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6"/>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57"/>
        <w:ind w:firstLine="0"/>
        <w:jc w:val="center"/>
        <w:rPr>
          <w:rFonts w:hint="eastAsia" w:eastAsia="黑体"/>
          <w:b/>
          <w:bCs/>
          <w:sz w:val="84"/>
        </w:rPr>
      </w:pPr>
      <w:r>
        <w:rPr>
          <w:rFonts w:hint="eastAsia" w:eastAsia="黑体"/>
          <w:b/>
          <w:bCs/>
          <w:sz w:val="84"/>
        </w:rPr>
        <w:t xml:space="preserve">竞争性磋商文件</w:t>
      </w:r>
      <w:r/>
    </w:p>
    <w:p>
      <w:pPr>
        <w:pStyle w:val="666"/>
        <w:ind w:firstLine="1606"/>
        <w:rPr>
          <w:rFonts w:ascii="Arial" w:hAnsi="Arial"/>
          <w:b/>
          <w:bCs/>
          <w:sz w:val="32"/>
          <w:szCs w:val="24"/>
        </w:rPr>
      </w:pPr>
      <w:r>
        <w:rPr>
          <w:rFonts w:ascii="Arial" w:hAnsi="Arial"/>
          <w:b/>
          <w:bCs/>
          <w:sz w:val="32"/>
          <w:szCs w:val="24"/>
        </w:rPr>
      </w:r>
      <w:r/>
    </w:p>
    <w:p>
      <w:pPr>
        <w:pStyle w:val="666"/>
        <w:ind w:firstLine="1606"/>
        <w:rPr>
          <w:rFonts w:ascii="Arial" w:hAnsi="Arial"/>
          <w:b/>
          <w:bCs/>
          <w:sz w:val="32"/>
          <w:szCs w:val="24"/>
        </w:rPr>
      </w:pPr>
      <w:r>
        <w:rPr>
          <w:rFonts w:ascii="Arial" w:hAnsi="Arial"/>
          <w:b/>
          <w:bCs/>
          <w:sz w:val="32"/>
          <w:szCs w:val="24"/>
        </w:rPr>
      </w:r>
      <w:r/>
    </w:p>
    <w:p>
      <w:pPr>
        <w:pStyle w:val="666"/>
        <w:ind w:firstLine="1606"/>
        <w:rPr>
          <w:rFonts w:ascii="Arial" w:hAnsi="Arial"/>
          <w:b/>
          <w:bCs/>
          <w:sz w:val="32"/>
          <w:szCs w:val="24"/>
        </w:rPr>
      </w:pPr>
      <w:r>
        <w:rPr>
          <w:rFonts w:ascii="Arial" w:hAnsi="Arial"/>
          <w:b/>
          <w:bCs/>
          <w:sz w:val="32"/>
          <w:szCs w:val="24"/>
        </w:rPr>
      </w:r>
      <w:r/>
    </w:p>
    <w:p>
      <w:pPr>
        <w:pStyle w:val="666"/>
        <w:ind w:firstLine="1606"/>
        <w:rPr>
          <w:b/>
          <w:sz w:val="32"/>
          <w:szCs w:val="32"/>
        </w:rPr>
      </w:pPr>
      <w:r>
        <w:rPr>
          <w:rFonts w:hint="eastAsia" w:ascii="Arial" w:hAnsi="Arial"/>
          <w:b/>
          <w:bCs/>
          <w:sz w:val="32"/>
          <w:szCs w:val="24"/>
        </w:rPr>
        <w:t xml:space="preserve">项目名称：</w:t>
      </w:r>
      <w:r>
        <w:rPr>
          <w:rFonts w:hint="eastAsia"/>
          <w:b/>
          <w:sz w:val="32"/>
          <w:szCs w:val="32"/>
        </w:rPr>
        <w:t xml:space="preserve">2026年财政综合业务平台及上级系</w:t>
      </w:r>
      <w:r>
        <w:rPr>
          <w:b/>
          <w:sz w:val="32"/>
          <w:szCs w:val="32"/>
        </w:rPr>
      </w:r>
      <w:r/>
    </w:p>
    <w:p>
      <w:pPr>
        <w:pStyle w:val="666"/>
        <w:ind w:firstLine="1606"/>
        <w:rPr>
          <w:rFonts w:hint="eastAsia"/>
          <w:b/>
          <w:sz w:val="32"/>
          <w:szCs w:val="32"/>
        </w:rPr>
      </w:pPr>
      <w:r>
        <w:rPr>
          <w:rFonts w:hint="eastAsia"/>
          <w:b/>
          <w:sz w:val="32"/>
          <w:szCs w:val="32"/>
        </w:rPr>
        <w:t xml:space="preserve">统对接运维保障服务</w:t>
      </w:r>
      <w:r/>
    </w:p>
    <w:p>
      <w:pPr>
        <w:pStyle w:val="666"/>
        <w:ind w:firstLine="1606"/>
        <w:jc w:val="left"/>
        <w:spacing w:before="120" w:after="120" w:line="360" w:lineRule="auto"/>
        <w:rPr>
          <w:rFonts w:hint="eastAsia"/>
        </w:rPr>
      </w:pPr>
      <w:r>
        <w:rPr>
          <w:rFonts w:hint="eastAsia" w:ascii="Arial" w:hAnsi="Arial"/>
          <w:b/>
          <w:bCs/>
          <w:sz w:val="32"/>
          <w:szCs w:val="24"/>
        </w:rPr>
        <w:t xml:space="preserve">项目编号：</w:t>
      </w:r>
      <w:r>
        <w:rPr>
          <w:b/>
          <w:bCs/>
          <w:sz w:val="32"/>
          <w:szCs w:val="24"/>
        </w:rPr>
        <w:t xml:space="preserve">JSZC-320115-YXNJ-C2026-0001</w:t>
      </w:r>
      <w:r>
        <w:rPr>
          <w:rFonts w:hint="eastAsia"/>
        </w:rPr>
      </w:r>
      <w:r/>
    </w:p>
    <w:p>
      <w:pPr>
        <w:pStyle w:val="666"/>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666"/>
        <w:jc w:val="left"/>
        <w:spacing w:line="360" w:lineRule="auto"/>
        <w:rPr>
          <w:rFonts w:hint="eastAsia" w:ascii="宋体" w:hAnsi="宋体"/>
          <w:sz w:val="24"/>
          <w:szCs w:val="24"/>
        </w:rPr>
      </w:pPr>
      <w:r>
        <w:rPr>
          <w:rFonts w:hint="eastAsia" w:ascii="宋体" w:hAnsi="宋体"/>
          <w:sz w:val="24"/>
          <w:szCs w:val="24"/>
        </w:rPr>
      </w:r>
      <w:r/>
    </w:p>
    <w:p>
      <w:pPr>
        <w:pStyle w:val="757"/>
        <w:ind w:firstLine="0"/>
        <w:jc w:val="center"/>
        <w:rPr>
          <w:rFonts w:hint="eastAsia"/>
          <w:b/>
          <w:bCs/>
          <w:sz w:val="32"/>
        </w:rPr>
      </w:pPr>
      <w:r>
        <w:rPr>
          <w:rFonts w:hint="eastAsia"/>
          <w:b/>
          <w:bCs/>
          <w:sz w:val="32"/>
        </w:rPr>
        <w:t xml:space="preserve">南京越鑫项目管理咨询有限公司</w:t>
      </w:r>
      <w:r/>
    </w:p>
    <w:p>
      <w:pPr>
        <w:pStyle w:val="666"/>
        <w:jc w:val="center"/>
        <w:rPr>
          <w:b/>
          <w:sz w:val="32"/>
          <w:szCs w:val="32"/>
        </w:rPr>
      </w:pPr>
      <w:r>
        <w:rPr>
          <w:rFonts w:hint="eastAsia"/>
          <w:b/>
          <w:sz w:val="32"/>
          <w:szCs w:val="32"/>
        </w:rPr>
        <w:t xml:space="preserve">2026年9月</w:t>
      </w:r>
      <w:r>
        <w:rPr>
          <w:b/>
          <w:sz w:val="32"/>
          <w:szCs w:val="32"/>
        </w:rPr>
      </w:r>
      <w:r/>
    </w:p>
    <w:p>
      <w:pPr>
        <w:pStyle w:val="666"/>
        <w:rPr>
          <w:rFonts w:hint="eastAsia"/>
        </w:rPr>
      </w:pPr>
      <w:r>
        <w:rPr>
          <w:rFonts w:hint="eastAsia"/>
        </w:rPr>
      </w:r>
      <w:r/>
    </w:p>
    <w:p>
      <w:pPr>
        <w:pStyle w:val="666"/>
        <w:jc w:val="center"/>
        <w:spacing w:line="480" w:lineRule="auto"/>
        <w:rPr>
          <w:rFonts w:hint="eastAsia" w:ascii="黑体" w:hAnsi="Arial" w:eastAsia="黑体"/>
          <w:b/>
          <w:sz w:val="44"/>
          <w:szCs w:val="21"/>
        </w:rPr>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r/>
      <w:bookmarkStart w:id="0" w:name="_Toc16938516"/>
      <w:r/>
      <w:bookmarkStart w:id="1" w:name="_Toc20823272"/>
      <w:r/>
      <w:bookmarkStart w:id="2" w:name="_Toc523127445"/>
      <w:r/>
      <w:bookmarkStart w:id="3" w:name="_Toc120614210"/>
      <w:r/>
      <w:bookmarkStart w:id="4" w:name="_Toc513029200"/>
      <w:r/>
      <w:bookmarkStart w:id="5" w:name="_Toc479757206"/>
      <w:r>
        <w:rPr>
          <w:rFonts w:ascii="仿宋_GB2312" w:hAnsi="Arial" w:eastAsia="仿宋_GB2312"/>
          <w:b/>
          <w:sz w:val="28"/>
          <w:szCs w:val="21"/>
        </w:rPr>
      </w:r>
      <w:r/>
      <w:r>
        <w:rPr>
          <w:rFonts w:hint="eastAsia" w:ascii="黑体" w:hAnsi="Arial" w:eastAsia="黑体"/>
          <w:b/>
          <w:sz w:val="44"/>
          <w:szCs w:val="21"/>
        </w:rPr>
      </w:r>
    </w:p>
    <w:p>
      <w:pPr>
        <w:pStyle w:val="722"/>
        <w:jc w:val="center"/>
        <w:spacing w:before="0" w:after="0" w:line="960" w:lineRule="auto"/>
        <w:rPr>
          <w:rFonts w:ascii="Times New Roman" w:hAnsi="Times New Roman" w:eastAsia="黑体"/>
          <w:b/>
          <w:bCs/>
          <w:caps w:val="0"/>
          <w:sz w:val="36"/>
          <w:szCs w:val="36"/>
          <w:lang w:val="en-US" w:eastAsia="zh-CN"/>
        </w:rPr>
      </w:pPr>
      <w:r>
        <w:rPr>
          <w:rFonts w:ascii="仿宋_GB2312" w:hAnsi="Arial" w:eastAsia="仿宋_GB2312"/>
          <w:b/>
          <w:sz w:val="28"/>
          <w:szCs w:val="21"/>
        </w:rPr>
        <w:fldChar w:fldCharType="begin"/>
      </w:r>
      <w:r>
        <w:rPr>
          <w:rFonts w:ascii="仿宋_GB2312" w:hAnsi="Arial" w:eastAsia="仿宋_GB2312"/>
          <w:b/>
          <w:sz w:val="28"/>
          <w:szCs w:val="21"/>
        </w:rPr>
        <w:instrText xml:space="preserve"> TOC \o "1-1" \h \z \u </w:instrText>
      </w:r>
      <w:r>
        <w:rPr>
          <w:rFonts w:ascii="仿宋_GB2312" w:hAnsi="Arial" w:eastAsia="仿宋_GB2312"/>
          <w:b/>
          <w:sz w:val="28"/>
          <w:szCs w:val="21"/>
        </w:rPr>
        <w:fldChar w:fldCharType="separate"/>
      </w: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"_Toc238758636"</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第一章  磋商邀请</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_Toc238758636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3</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w:instrText>
      </w:r>
      <w:r>
        <w:rPr>
          <w:rFonts w:ascii="Times New Roman" w:hAnsi="Times New Roman" w:eastAsia="黑体"/>
          <w:b/>
          <w:bCs/>
          <w:sz w:val="36"/>
          <w:szCs w:val="36"/>
        </w:rPr>
        <w:instrText xml:space="preserve">8637"</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第二章  供应商须知</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_Toc238758637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6</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"_Toc238758638"</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第三章  合同文本</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_Toc238758638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19</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"_Toc238758639"</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第四章  采购需求</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_Toc238758639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23</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ascii="Times New Roman" w:hAnsi="Times New Roman" w:eastAsia="黑体"/>
          <w:b/>
          <w:bCs/>
          <w:caps w:val="0"/>
          <w:sz w:val="36"/>
          <w:szCs w:val="36"/>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"_Toc238758640"</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第五章  评审方法与评审标准</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PAGEREF _</w:instrText>
      </w:r>
      <w:r>
        <w:rPr>
          <w:rFonts w:ascii="Times New Roman" w:hAnsi="Times New Roman" w:eastAsia="黑体"/>
          <w:b/>
          <w:bCs/>
          <w:sz w:val="36"/>
          <w:szCs w:val="36"/>
        </w:rPr>
        <w:instrText xml:space="preserve">Toc238758640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32</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ascii="Times New Roman" w:hAnsi="Times New Roman" w:eastAsia="黑体"/>
          <w:b/>
          <w:bCs/>
          <w:caps w:val="0"/>
          <w:sz w:val="36"/>
          <w:szCs w:val="36"/>
          <w:lang w:val="en-US" w:eastAsia="zh-CN"/>
        </w:rPr>
      </w:r>
      <w:r/>
    </w:p>
    <w:p>
      <w:pPr>
        <w:pStyle w:val="722"/>
        <w:jc w:val="center"/>
        <w:spacing w:before="0" w:after="0" w:line="960" w:lineRule="auto"/>
        <w:rPr>
          <w:rFonts w:hint="eastAsia" w:ascii="华文中宋" w:hAnsi="华文中宋" w:eastAsia="华文中宋"/>
          <w:b/>
          <w:bCs/>
          <w:caps w:val="0"/>
          <w:sz w:val="22"/>
          <w:lang w:val="en-US" w:eastAsia="zh-CN"/>
        </w:rPr>
      </w:pPr>
      <w:r>
        <w:rPr>
          <w:rStyle w:val="744"/>
          <w:rFonts w:ascii="Times New Roman" w:hAnsi="Times New Roman" w:eastAsia="黑体"/>
          <w:b/>
          <w:bCs/>
          <w:sz w:val="36"/>
          <w:szCs w:val="36"/>
        </w:rPr>
        <w:fldChar w:fldCharType="begin"/>
      </w:r>
      <w:r>
        <w:rPr>
          <w:rStyle w:val="744"/>
          <w:rFonts w:ascii="Times New Roman" w:hAnsi="Times New Roman" w:eastAsia="黑体"/>
          <w:b/>
          <w:bCs/>
          <w:sz w:val="36"/>
          <w:szCs w:val="36"/>
        </w:rPr>
        <w:instrText xml:space="preserve"> </w:instrText>
      </w:r>
      <w:r>
        <w:rPr>
          <w:rFonts w:ascii="Times New Roman" w:hAnsi="Times New Roman" w:eastAsia="黑体"/>
          <w:b/>
          <w:bCs/>
          <w:sz w:val="36"/>
          <w:szCs w:val="36"/>
        </w:rPr>
        <w:instrText xml:space="preserve">HYPERLINK \l "_Toc238758641"</w:instrText>
      </w:r>
      <w:r>
        <w:rPr>
          <w:rStyle w:val="744"/>
          <w:rFonts w:ascii="Times New Roman" w:hAnsi="Times New Roman" w:eastAsia="黑体"/>
          <w:b/>
          <w:bCs/>
          <w:sz w:val="36"/>
          <w:szCs w:val="36"/>
        </w:rPr>
        <w:instrText xml:space="preserve"> </w:instrText>
      </w:r>
      <w:r>
        <w:rPr>
          <w:rStyle w:val="744"/>
          <w:rFonts w:ascii="Times New Roman" w:hAnsi="Times New Roman" w:eastAsia="黑体"/>
          <w:b/>
          <w:bCs/>
          <w:sz w:val="36"/>
          <w:szCs w:val="36"/>
        </w:rPr>
        <w:fldChar w:fldCharType="separate"/>
      </w:r>
      <w:r>
        <w:rPr>
          <w:rStyle w:val="744"/>
          <w:rFonts w:ascii="Times New Roman" w:hAnsi="Times New Roman" w:eastAsia="黑体"/>
          <w:b/>
          <w:bCs/>
          <w:sz w:val="36"/>
          <w:szCs w:val="36"/>
        </w:rPr>
        <w:t xml:space="preserve">第六章  响应文件格式</w:t>
      </w:r>
      <w:r>
        <w:rPr>
          <w:rFonts w:ascii="Times New Roman" w:hAnsi="Times New Roman" w:eastAsia="黑体"/>
          <w:b/>
          <w:bCs/>
          <w:sz w:val="36"/>
          <w:szCs w:val="36"/>
        </w:rPr>
        <w:tab/>
      </w:r>
      <w:r>
        <w:rPr>
          <w:rFonts w:ascii="Times New Roman" w:hAnsi="Times New Roman" w:eastAsia="黑体"/>
          <w:b/>
          <w:bCs/>
          <w:sz w:val="36"/>
          <w:szCs w:val="36"/>
        </w:rPr>
        <w:fldChar w:fldCharType="begin"/>
      </w:r>
      <w:r>
        <w:rPr>
          <w:rFonts w:ascii="Times New Roman" w:hAnsi="Times New Roman" w:eastAsia="黑体"/>
          <w:b/>
          <w:bCs/>
          <w:sz w:val="36"/>
          <w:szCs w:val="36"/>
        </w:rPr>
        <w:instrText xml:space="preserve"> PAGEREF _Toc238758641 \h </w:instrText>
      </w:r>
      <w:r>
        <w:rPr>
          <w:rFonts w:ascii="Times New Roman" w:hAnsi="Times New Roman" w:eastAsia="黑体"/>
          <w:b/>
          <w:bCs/>
          <w:sz w:val="36"/>
          <w:szCs w:val="36"/>
        </w:rPr>
        <w:fldChar w:fldCharType="separate"/>
      </w:r>
      <w:r>
        <w:rPr>
          <w:rFonts w:ascii="Times New Roman" w:hAnsi="Times New Roman" w:eastAsia="黑体"/>
          <w:b/>
          <w:bCs/>
          <w:sz w:val="36"/>
          <w:szCs w:val="36"/>
        </w:rPr>
        <w:t xml:space="preserve">36</w:t>
      </w:r>
      <w:r>
        <w:rPr>
          <w:rFonts w:ascii="Times New Roman" w:hAnsi="Times New Roman" w:eastAsia="黑体"/>
          <w:b/>
          <w:bCs/>
          <w:sz w:val="36"/>
          <w:szCs w:val="36"/>
        </w:rPr>
        <w:fldChar w:fldCharType="end"/>
      </w:r>
      <w:r>
        <w:rPr>
          <w:rStyle w:val="744"/>
          <w:rFonts w:ascii="Times New Roman" w:hAnsi="Times New Roman" w:eastAsia="黑体"/>
          <w:b/>
          <w:bCs/>
          <w:sz w:val="36"/>
          <w:szCs w:val="36"/>
        </w:rPr>
        <w:fldChar w:fldCharType="end"/>
      </w:r>
      <w:r>
        <w:rPr>
          <w:rFonts w:hint="eastAsia" w:ascii="华文中宋" w:hAnsi="华文中宋" w:eastAsia="华文中宋"/>
          <w:b/>
          <w:bCs/>
          <w:caps w:val="0"/>
          <w:sz w:val="22"/>
          <w:lang w:val="en-US" w:eastAsia="zh-CN"/>
        </w:rPr>
      </w:r>
      <w:r/>
    </w:p>
    <w:p>
      <w:pPr>
        <w:pStyle w:val="666"/>
        <w:spacing w:line="480" w:lineRule="auto"/>
        <w:rPr>
          <w:rFonts w:hint="eastAsia" w:ascii="仿宋_GB2312" w:hAnsi="Arial" w:eastAsia="仿宋_GB2312"/>
          <w:b/>
          <w:sz w:val="28"/>
          <w:szCs w:val="21"/>
        </w:rPr>
      </w:pPr>
      <w:r>
        <w:rPr>
          <w:rFonts w:ascii="仿宋_GB2312" w:hAnsi="Arial" w:eastAsia="仿宋_GB2312"/>
          <w:b/>
          <w:sz w:val="28"/>
          <w:szCs w:val="21"/>
        </w:rPr>
        <w:fldChar w:fldCharType="end"/>
      </w:r>
      <w:r>
        <w:rPr>
          <w:rFonts w:hint="eastAsia" w:ascii="仿宋_GB2312" w:hAnsi="Arial" w:eastAsia="仿宋_GB2312"/>
          <w:b/>
          <w:sz w:val="28"/>
          <w:szCs w:val="21"/>
        </w:rPr>
      </w:r>
      <w:r/>
    </w:p>
    <w:p>
      <w:pPr>
        <w:pStyle w:val="666"/>
        <w:sectPr>
          <w:footerReference w:type="default" r:id="rId9"/>
          <w:footerReference w:type="even" r:id="rId10"/>
          <w:footnotePr/>
          <w:endnotePr/>
          <w:type w:val="nextPage"/>
          <w:pgSz w:w="11906" w:h="16838" w:orient="portrait"/>
          <w:pgMar w:top="1440" w:right="1077" w:bottom="1440" w:left="1077" w:header="851" w:footer="907" w:gutter="0"/>
          <w:cols w:num="1" w:sep="0" w:space="720" w:equalWidth="1"/>
          <w:docGrid w:linePitch="360"/>
          <w:titlePg/>
        </w:sectPr>
      </w:pPr>
      <w:r/>
      <w:r/>
    </w:p>
    <w:p>
      <w:pPr>
        <w:pStyle w:val="666"/>
        <w:jc w:val="center"/>
        <w:rPr>
          <w:rFonts w:hint="eastAsia" w:ascii="方正小标宋简体" w:hAnsi="方正小标宋简体" w:eastAsia="方正小标宋简体" w:cs="方正小标宋简体"/>
          <w:color w:val="000000"/>
          <w:sz w:val="36"/>
          <w:szCs w:val="36"/>
        </w:rPr>
        <w:outlineLvl w:val="0"/>
      </w:pPr>
      <w:r/>
      <w:bookmarkStart w:id="6" w:name="_Toc238758636"/>
      <w:r/>
      <w:bookmarkStart w:id="7" w:name="_Toc199251408"/>
      <w:r>
        <w:rPr>
          <w:rFonts w:hint="eastAsia" w:ascii="方正小标宋简体" w:hAnsi="方正小标宋简体" w:eastAsia="方正小标宋简体" w:cs="方正小标宋简体"/>
          <w:color w:val="000000"/>
          <w:sz w:val="36"/>
          <w:szCs w:val="36"/>
        </w:rPr>
        <w:t xml:space="preserve">第一章  磋商邀请</w:t>
      </w:r>
      <w:bookmarkEnd w:id="6"/>
      <w:r/>
      <w:bookmarkEnd w:id="7"/>
      <w:r>
        <w:rPr>
          <w:rFonts w:hint="eastAsia" w:ascii="方正小标宋简体" w:hAnsi="方正小标宋简体" w:eastAsia="方正小标宋简体" w:cs="方正小标宋简体"/>
          <w:color w:val="000000"/>
          <w:sz w:val="36"/>
          <w:szCs w:val="36"/>
        </w:rPr>
      </w:r>
      <w:r/>
    </w:p>
    <w:p>
      <w:pPr>
        <w:pStyle w:val="666"/>
        <w:ind w:firstLine="480"/>
        <w:spacing w:line="400" w:lineRule="exact"/>
        <w:rPr>
          <w:rFonts w:hint="eastAsia" w:ascii="宋体" w:hAnsi="宋体"/>
          <w:sz w:val="24"/>
          <w:szCs w:val="24"/>
        </w:rPr>
      </w:pPr>
      <w:r>
        <w:rPr>
          <w:rFonts w:hint="eastAsia" w:ascii="宋体" w:hAnsi="宋体"/>
          <w:sz w:val="24"/>
          <w:szCs w:val="24"/>
        </w:rPr>
        <w:t xml:space="preserve">受南京市江宁区城市数字治理中心（采购单位）委托，南京越鑫项目管理咨询有限公司（以下简称“采购代理机构”）就</w:t>
      </w:r>
      <w:r>
        <w:rPr>
          <w:sz w:val="24"/>
          <w:szCs w:val="24"/>
        </w:rPr>
        <w:t xml:space="preserve">2026年财政综合业务平台及上级系统对接运维保障服务</w:t>
      </w:r>
      <w:r>
        <w:rPr>
          <w:rFonts w:hint="eastAsia"/>
          <w:sz w:val="24"/>
          <w:szCs w:val="24"/>
        </w:rPr>
        <w:t xml:space="preserve">项目</w:t>
      </w:r>
      <w:r>
        <w:rPr>
          <w:rFonts w:hint="eastAsia" w:ascii="宋体" w:hAnsi="宋体"/>
          <w:sz w:val="24"/>
          <w:szCs w:val="24"/>
        </w:rPr>
        <w:t xml:space="preserve">（项目名称）进行竞争性磋商采购，欢迎符合条件的供应商参加磋商。</w:t>
      </w:r>
      <w:r/>
    </w:p>
    <w:p>
      <w:pPr>
        <w:pStyle w:val="666"/>
        <w:spacing w:line="400" w:lineRule="exact"/>
        <w:rPr>
          <w:rFonts w:hint="eastAsia" w:ascii="宋体" w:hAnsi="宋体"/>
          <w:b/>
          <w:bCs/>
          <w:sz w:val="28"/>
          <w:szCs w:val="32"/>
        </w:rPr>
      </w:pPr>
      <w:r>
        <w:rPr>
          <w:rFonts w:hint="eastAsia" w:ascii="宋体" w:hAnsi="宋体"/>
          <w:b/>
          <w:bCs/>
          <w:sz w:val="28"/>
          <w:szCs w:val="32"/>
        </w:rPr>
        <w:t xml:space="preserve">一、项目基本情况</w:t>
      </w:r>
      <w:r/>
    </w:p>
    <w:p>
      <w:pPr>
        <w:pStyle w:val="666"/>
        <w:ind w:firstLine="480"/>
        <w:spacing w:line="400" w:lineRule="exact"/>
        <w:rPr>
          <w:color w:val="0000ff"/>
          <w:sz w:val="24"/>
          <w:szCs w:val="24"/>
        </w:rPr>
      </w:pPr>
      <w:r>
        <w:rPr>
          <w:sz w:val="24"/>
          <w:szCs w:val="24"/>
        </w:rPr>
        <w:t xml:space="preserve">1.项目编号：</w:t>
      </w:r>
      <w:r>
        <w:rPr>
          <w:sz w:val="24"/>
          <w:szCs w:val="24"/>
        </w:rPr>
        <w:t xml:space="preserve">JSZ</w:t>
      </w:r>
      <w:r>
        <w:rPr>
          <w:sz w:val="24"/>
          <w:szCs w:val="24"/>
        </w:rPr>
        <w:t xml:space="preserve">C-320115-YXN</w:t>
      </w:r>
      <w:r>
        <w:rPr>
          <w:sz w:val="24"/>
          <w:szCs w:val="24"/>
        </w:rPr>
        <w:t xml:space="preserve">J-C2026-0001</w:t>
      </w:r>
      <w:r>
        <w:rPr>
          <w:color w:val="0000ff"/>
          <w:sz w:val="24"/>
          <w:szCs w:val="24"/>
        </w:rPr>
      </w:r>
      <w:r/>
    </w:p>
    <w:p>
      <w:pPr>
        <w:pStyle w:val="666"/>
        <w:ind w:firstLine="480"/>
        <w:spacing w:line="400" w:lineRule="exact"/>
        <w:rPr>
          <w:sz w:val="24"/>
          <w:szCs w:val="24"/>
        </w:rPr>
      </w:pPr>
      <w:r>
        <w:rPr>
          <w:sz w:val="24"/>
          <w:szCs w:val="24"/>
        </w:rPr>
        <w:t xml:space="preserve">2.项目名称：2026年财政综合业务平台及上级系统对接运维保障服务</w:t>
      </w:r>
      <w:r>
        <w:rPr>
          <w:rFonts w:hint="eastAsia"/>
          <w:sz w:val="24"/>
          <w:szCs w:val="24"/>
        </w:rPr>
        <w:t xml:space="preserve">项目</w:t>
      </w:r>
      <w:r>
        <w:rPr>
          <w:sz w:val="24"/>
          <w:szCs w:val="24"/>
        </w:rPr>
      </w:r>
      <w:r/>
    </w:p>
    <w:p>
      <w:pPr>
        <w:pStyle w:val="666"/>
        <w:ind w:firstLine="480"/>
        <w:spacing w:line="400" w:lineRule="exact"/>
        <w:rPr>
          <w:sz w:val="24"/>
          <w:szCs w:val="24"/>
        </w:rPr>
      </w:pPr>
      <w:r>
        <w:rPr>
          <w:sz w:val="24"/>
          <w:szCs w:val="24"/>
        </w:rPr>
        <w:t xml:space="preserve">3.预算金额：200.61</w:t>
      </w:r>
      <w:r>
        <w:rPr>
          <w:rFonts w:hint="eastAsia"/>
          <w:sz w:val="24"/>
          <w:szCs w:val="24"/>
        </w:rPr>
        <w:t xml:space="preserve">万元</w:t>
      </w:r>
      <w:r>
        <w:rPr>
          <w:sz w:val="24"/>
          <w:szCs w:val="24"/>
        </w:rPr>
      </w:r>
      <w:r/>
    </w:p>
    <w:p>
      <w:pPr>
        <w:pStyle w:val="666"/>
        <w:ind w:firstLine="480"/>
        <w:spacing w:line="400" w:lineRule="exact"/>
        <w:rPr>
          <w:color w:val="0000ff"/>
          <w:sz w:val="24"/>
          <w:szCs w:val="24"/>
        </w:rPr>
      </w:pPr>
      <w:r>
        <w:rPr>
          <w:sz w:val="24"/>
          <w:szCs w:val="24"/>
        </w:rPr>
        <w:t xml:space="preserve">4.</w:t>
      </w:r>
      <w:r>
        <w:rPr>
          <w:rFonts w:hint="eastAsia" w:ascii="宋体" w:hAnsi="宋体"/>
          <w:sz w:val="24"/>
          <w:szCs w:val="24"/>
        </w:rPr>
        <w:t xml:space="preserve">最高限价：</w:t>
      </w:r>
      <w:r>
        <w:rPr>
          <w:sz w:val="24"/>
          <w:szCs w:val="24"/>
        </w:rPr>
        <w:t xml:space="preserve">200.61</w:t>
      </w:r>
      <w:r>
        <w:rPr>
          <w:rFonts w:hint="eastAsia"/>
          <w:sz w:val="24"/>
          <w:szCs w:val="24"/>
        </w:rPr>
        <w:t xml:space="preserve">万元</w:t>
      </w:r>
      <w:r>
        <w:rPr>
          <w:color w:val="0000ff"/>
          <w:sz w:val="24"/>
          <w:szCs w:val="24"/>
        </w:rPr>
      </w:r>
      <w:r/>
    </w:p>
    <w:p>
      <w:pPr>
        <w:pStyle w:val="666"/>
        <w:ind w:firstLine="480"/>
        <w:spacing w:line="400" w:lineRule="exact"/>
        <w:rPr>
          <w:rFonts w:ascii="宋体" w:hAnsi="宋体"/>
          <w:sz w:val="24"/>
          <w:szCs w:val="24"/>
          <w:u w:val="single"/>
        </w:rPr>
      </w:pPr>
      <w:r>
        <w:rPr>
          <w:sz w:val="24"/>
          <w:szCs w:val="24"/>
        </w:rPr>
        <w:t xml:space="preserve">5.</w:t>
      </w:r>
      <w:r>
        <w:rPr>
          <w:rFonts w:hint="eastAsia" w:ascii="宋体" w:hAnsi="宋体"/>
          <w:sz w:val="24"/>
          <w:szCs w:val="24"/>
        </w:rPr>
        <w:t xml:space="preserve">采购需求（简介）：</w:t>
      </w:r>
      <w:r>
        <w:rPr>
          <w:sz w:val="24"/>
          <w:szCs w:val="24"/>
        </w:rPr>
        <w:t xml:space="preserve">本项目为财政综合业务平台省市对接运维及预算管理一体化预算绩效（街道）板块保障服务。承担区本级及14个街道园区财政业务系统运维，涵盖省级债务驻场、非税、社保、街道会计核算、财源大数据等模块，搭建运维街道园区基层绩效全流程管理模块，实现与省预算管理一体化系统对接，补齐街道财政绩效监管短板，完成全区659家预算单位CA证书续签、视频</w:t>
      </w:r>
      <w:r>
        <w:rPr>
          <w:sz w:val="24"/>
          <w:szCs w:val="24"/>
        </w:rPr>
        <w:t xml:space="preserve">会议、省市人大外部接口、数据治理等工作，保障财政信息系统稳定合规高效运行，服务区财政局、14个街道财政所及全区659家预算单位。</w:t>
      </w:r>
      <w:r>
        <w:rPr>
          <w:rFonts w:ascii="宋体" w:hAnsi="宋体"/>
          <w:sz w:val="24"/>
          <w:szCs w:val="24"/>
          <w:u w:val="single"/>
        </w:rPr>
      </w:r>
      <w:r/>
    </w:p>
    <w:p>
      <w:pPr>
        <w:pStyle w:val="666"/>
        <w:ind w:firstLine="480"/>
        <w:spacing w:line="400" w:lineRule="exact"/>
        <w:rPr>
          <w:rFonts w:hint="eastAsia" w:ascii="宋体" w:hAnsi="宋体"/>
          <w:sz w:val="24"/>
          <w:szCs w:val="24"/>
          <w:u w:val="single"/>
        </w:rPr>
      </w:pPr>
      <w:r>
        <w:rPr>
          <w:sz w:val="24"/>
          <w:szCs w:val="24"/>
        </w:rPr>
        <w:t xml:space="preserve">6.</w:t>
      </w:r>
      <w:r>
        <w:rPr>
          <w:rFonts w:hint="eastAsia" w:ascii="宋体" w:hAnsi="宋体"/>
          <w:sz w:val="24"/>
          <w:szCs w:val="24"/>
        </w:rPr>
        <w:t xml:space="preserve">合同履行期限：</w:t>
      </w:r>
      <w:r>
        <w:rPr>
          <w:sz w:val="24"/>
          <w:szCs w:val="24"/>
        </w:rPr>
        <w:t xml:space="preserve">2026年10月1日至2027年9月30日。</w:t>
      </w:r>
      <w:r>
        <w:rPr>
          <w:rFonts w:hint="eastAsia" w:ascii="宋体" w:hAnsi="宋体"/>
          <w:sz w:val="24"/>
          <w:szCs w:val="24"/>
          <w:u w:val="single"/>
        </w:rPr>
      </w:r>
      <w:r/>
    </w:p>
    <w:p>
      <w:pPr>
        <w:pStyle w:val="666"/>
        <w:ind w:firstLine="480"/>
        <w:spacing w:line="400" w:lineRule="exact"/>
        <w:rPr>
          <w:sz w:val="24"/>
          <w:szCs w:val="24"/>
        </w:rPr>
      </w:pPr>
      <w:r>
        <w:rPr>
          <w:sz w:val="24"/>
          <w:szCs w:val="24"/>
        </w:rPr>
        <w:t xml:space="preserve">7.</w:t>
      </w:r>
      <w:r>
        <w:rPr>
          <w:sz w:val="24"/>
          <w:szCs w:val="24"/>
        </w:rPr>
        <w:t xml:space="preserve">本项目不接受联合体参加磋商。</w:t>
      </w:r>
      <w:r/>
    </w:p>
    <w:p>
      <w:pPr>
        <w:pStyle w:val="666"/>
        <w:ind w:firstLine="480"/>
        <w:spacing w:line="400" w:lineRule="exact"/>
        <w:rPr>
          <w:sz w:val="24"/>
          <w:szCs w:val="24"/>
        </w:rPr>
      </w:pPr>
      <w:r>
        <w:rPr>
          <w:sz w:val="24"/>
          <w:szCs w:val="24"/>
        </w:rPr>
        <w:t xml:space="preserve">8.本项目不接受进口产品。</w:t>
      </w:r>
      <w:r/>
    </w:p>
    <w:p>
      <w:pPr>
        <w:pStyle w:val="666"/>
        <w:ind w:firstLine="480"/>
        <w:spacing w:line="400" w:lineRule="exact"/>
        <w:rPr>
          <w:sz w:val="24"/>
          <w:szCs w:val="24"/>
        </w:rPr>
      </w:pPr>
      <w:r>
        <w:rPr>
          <w:sz w:val="24"/>
          <w:szCs w:val="24"/>
        </w:rPr>
        <w:t xml:space="preserve">9.本项目不允许分包。</w:t>
      </w:r>
      <w:r/>
    </w:p>
    <w:p>
      <w:pPr>
        <w:pStyle w:val="666"/>
        <w:spacing w:line="400" w:lineRule="exact"/>
        <w:rPr>
          <w:rFonts w:hint="eastAsia" w:ascii="宋体" w:hAnsi="宋体"/>
          <w:b/>
          <w:bCs/>
          <w:sz w:val="28"/>
          <w:szCs w:val="32"/>
        </w:rPr>
      </w:pPr>
      <w:r>
        <w:rPr>
          <w:rFonts w:hint="eastAsia" w:ascii="宋体" w:hAnsi="宋体"/>
          <w:b/>
          <w:bCs/>
          <w:sz w:val="28"/>
          <w:szCs w:val="32"/>
        </w:rPr>
        <w:t xml:space="preserve">二、申请人的资格要求</w:t>
      </w:r>
      <w:r/>
    </w:p>
    <w:p>
      <w:pPr>
        <w:pStyle w:val="666"/>
        <w:ind w:firstLine="482"/>
        <w:spacing w:line="400" w:lineRule="exact"/>
        <w:rPr>
          <w:rFonts w:hint="eastAsia" w:ascii="宋体" w:hAnsi="宋体"/>
          <w:b/>
          <w:bCs/>
          <w:sz w:val="24"/>
          <w:szCs w:val="24"/>
        </w:rPr>
      </w:pPr>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通用</w:t>
      </w:r>
      <w:r>
        <w:rPr>
          <w:rFonts w:ascii="宋体" w:hAnsi="宋体"/>
          <w:b/>
          <w:bCs/>
          <w:sz w:val="24"/>
          <w:szCs w:val="24"/>
        </w:rPr>
        <w:t xml:space="preserve">资格要求</w:t>
      </w:r>
      <w:r>
        <w:rPr>
          <w:rFonts w:hint="eastAsia" w:ascii="宋体" w:hAnsi="宋体"/>
          <w:b/>
          <w:bCs/>
          <w:sz w:val="24"/>
          <w:szCs w:val="24"/>
        </w:rPr>
      </w:r>
      <w:r/>
    </w:p>
    <w:p>
      <w:pPr>
        <w:pStyle w:val="666"/>
        <w:ind w:firstLine="480"/>
        <w:spacing w:line="400" w:lineRule="exact"/>
        <w:rPr>
          <w:rFonts w:ascii="宋体" w:hAnsi="宋体"/>
          <w:sz w:val="24"/>
          <w:szCs w:val="24"/>
          <w:lang w:val="zh-CN"/>
        </w:rPr>
      </w:pPr>
      <w:r>
        <w:rPr>
          <w:sz w:val="24"/>
          <w:szCs w:val="24"/>
          <w:lang w:val="zh-CN"/>
        </w:rPr>
        <w:t xml:space="preserve">1.</w:t>
      </w:r>
      <w:r>
        <w:rPr>
          <w:rFonts w:hint="eastAsia" w:ascii="宋体" w:hAnsi="宋体"/>
          <w:sz w:val="24"/>
          <w:szCs w:val="24"/>
          <w:lang w:val="zh-CN"/>
        </w:rPr>
        <w:t xml:space="preserve">满足《中华人民共和国政府采购法》第二十二条规定，并提供下列材料：</w:t>
      </w:r>
      <w:r>
        <w:rPr>
          <w:rFonts w:ascii="宋体" w:hAnsi="宋体"/>
          <w:sz w:val="24"/>
          <w:szCs w:val="24"/>
          <w:lang w:val="zh-CN"/>
        </w:rPr>
      </w:r>
      <w:r/>
    </w:p>
    <w:p>
      <w:pPr>
        <w:pStyle w:val="666"/>
        <w:ind w:firstLine="480"/>
        <w:spacing w:line="400" w:lineRule="exact"/>
        <w:rPr>
          <w:sz w:val="24"/>
          <w:szCs w:val="24"/>
          <w:lang w:val="zh-CN"/>
        </w:rPr>
      </w:pPr>
      <w:r>
        <w:rPr>
          <w:sz w:val="24"/>
          <w:szCs w:val="24"/>
          <w:lang w:val="zh-CN"/>
        </w:rPr>
        <w:t xml:space="preserve">（1）具有独立承担民事责任的能力</w:t>
      </w:r>
      <w:r>
        <w:rPr>
          <w:rFonts w:hint="eastAsia"/>
          <w:sz w:val="24"/>
          <w:szCs w:val="24"/>
          <w:lang w:val="zh-CN"/>
        </w:rPr>
        <w:t xml:space="preserve">（提供法人或其他组织的营业执照等证明文件，自然人的身份证明）</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（2）具有良好的商业信誉和健全的财务会计制度</w:t>
      </w:r>
      <w:r>
        <w:rPr>
          <w:rFonts w:hint="eastAsia"/>
          <w:sz w:val="24"/>
          <w:szCs w:val="24"/>
          <w:lang w:val="zh-CN"/>
        </w:rPr>
        <w:t xml:space="preserve">（提供2025年度审计报告，或</w:t>
      </w:r>
      <w:r>
        <w:rPr>
          <w:sz w:val="24"/>
          <w:szCs w:val="24"/>
          <w:lang w:val="zh-CN"/>
        </w:rPr>
        <w:t xml:space="preserve">提交响应文件截止时间</w:t>
      </w:r>
      <w:r>
        <w:rPr>
          <w:rFonts w:hint="eastAsia"/>
          <w:sz w:val="24"/>
          <w:szCs w:val="24"/>
          <w:lang w:val="zh-CN"/>
        </w:rPr>
        <w:t xml:space="preserve">前6个月内任意一个月的财务报表，或提交响应文件截止时间前6个月内银行出具的资信证明，或财政部门认可的专业担保机构出具的投标担保函）</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（3）具有履行合同所必需的设备和专业技术能力</w:t>
      </w:r>
      <w:r>
        <w:rPr>
          <w:rFonts w:hint="eastAsia"/>
          <w:sz w:val="24"/>
          <w:szCs w:val="24"/>
          <w:lang w:val="zh-CN"/>
        </w:rPr>
        <w:t xml:space="preserve">（提供根据项目需求提供履行合同所必需的设备和专业技术能力的声明或证明材料）</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（4）有依法缴纳税收和社会保障资金的良好记录</w:t>
      </w:r>
      <w:r>
        <w:rPr>
          <w:rFonts w:hint="eastAsia"/>
          <w:sz w:val="24"/>
          <w:szCs w:val="24"/>
          <w:lang w:val="zh-CN"/>
        </w:rPr>
        <w:t xml:space="preserve">（提供提交响应文件截止时间前一年内至少一个月依法缴纳税收及缴纳社会保障资金的证明材料。供应商依法享受缓缴、免缴税收、社会保障资金的提供证明材料</w:t>
      </w:r>
      <w:r>
        <w:rPr>
          <w:rFonts w:hint="eastAsia"/>
          <w:sz w:val="24"/>
          <w:szCs w:val="24"/>
          <w:lang w:val="zh-CN"/>
        </w:rPr>
        <w:t xml:space="preserve">）</w:t>
      </w:r>
      <w:r>
        <w:rPr>
          <w:sz w:val="24"/>
          <w:szCs w:val="24"/>
          <w:lang w:val="zh-CN"/>
        </w:rPr>
        <w:t xml:space="preserve">；</w:t>
      </w:r>
      <w:r/>
    </w:p>
    <w:p>
      <w:pPr>
        <w:pStyle w:val="666"/>
        <w:ind w:firstLine="480"/>
        <w:spacing w:line="400" w:lineRule="exact"/>
        <w:rPr>
          <w:sz w:val="24"/>
          <w:szCs w:val="24"/>
          <w:lang w:val="zh-CN"/>
        </w:rPr>
      </w:pPr>
      <w:r>
        <w:rPr>
          <w:sz w:val="24"/>
          <w:szCs w:val="24"/>
          <w:lang w:val="zh-CN"/>
        </w:rPr>
        <w:t xml:space="preserve">（5）参加政府采购活动前三年内，在经营活动中没有重大违法记录（提供承诺书）；</w:t>
      </w:r>
      <w:r/>
    </w:p>
    <w:p>
      <w:pPr>
        <w:pStyle w:val="666"/>
        <w:ind w:firstLine="480"/>
        <w:spacing w:line="400" w:lineRule="exact"/>
        <w:rPr>
          <w:sz w:val="24"/>
          <w:szCs w:val="24"/>
          <w:lang w:val="zh-CN"/>
        </w:rPr>
      </w:pPr>
      <w:r>
        <w:rPr>
          <w:sz w:val="24"/>
          <w:szCs w:val="24"/>
          <w:lang w:val="zh-CN"/>
        </w:rPr>
        <w:t xml:space="preserve">（6）法律、行政法规规定的其他条件：无。</w:t>
      </w:r>
      <w:r/>
    </w:p>
    <w:p>
      <w:pPr>
        <w:pStyle w:val="666"/>
        <w:ind w:firstLine="482"/>
        <w:spacing w:line="400" w:lineRule="exact"/>
        <w:rPr>
          <w:rFonts w:ascii="宋体" w:hAnsi="宋体"/>
          <w:b/>
          <w:bCs/>
          <w:sz w:val="24"/>
          <w:szCs w:val="24"/>
        </w:rPr>
      </w:pPr>
      <w:r>
        <w:rPr>
          <w:rFonts w:hint="eastAsia" w:ascii="宋体" w:hAnsi="宋体"/>
          <w:b/>
          <w:bCs/>
          <w:sz w:val="24"/>
          <w:szCs w:val="24"/>
        </w:rPr>
        <w:t xml:space="preserve">（二）</w:t>
      </w:r>
      <w:r>
        <w:rPr>
          <w:rFonts w:ascii="宋体" w:hAnsi="宋体"/>
          <w:b/>
          <w:bCs/>
          <w:sz w:val="24"/>
          <w:szCs w:val="24"/>
        </w:rPr>
        <w:t xml:space="preserve">落实政府采购政策需满足的资格要求：</w:t>
      </w:r>
      <w:r/>
    </w:p>
    <w:p>
      <w:pPr>
        <w:pStyle w:val="666"/>
        <w:ind w:firstLine="480"/>
        <w:spacing w:line="400" w:lineRule="exact"/>
        <w:rPr>
          <w:rFonts w:hint="eastAsia" w:ascii="宋体" w:hAnsi="宋体"/>
          <w:sz w:val="24"/>
          <w:szCs w:val="24"/>
          <w:lang w:val="zh-CN"/>
        </w:rPr>
      </w:pPr>
      <w:r>
        <w:rPr>
          <w:rFonts w:ascii="宋体" w:hAnsi="宋体"/>
          <w:sz w:val="24"/>
          <w:szCs w:val="24"/>
          <w:lang w:val="zh-CN"/>
        </w:rPr>
        <w:t xml:space="preserve">本项目专门面向中小微企业采购，供应商应为中小微企业或监狱企业或残疾人福利性单位，提供《中小企业声明函》或《残疾人福利性单位声明函》（格式见第六章）或监狱企业的证明文件。</w:t>
      </w:r>
      <w:r>
        <w:rPr>
          <w:rFonts w:hint="eastAsia" w:ascii="宋体" w:hAnsi="宋体"/>
          <w:sz w:val="24"/>
          <w:szCs w:val="24"/>
          <w:lang w:val="zh-CN"/>
        </w:rPr>
      </w:r>
      <w:r/>
    </w:p>
    <w:p>
      <w:pPr>
        <w:pStyle w:val="666"/>
        <w:ind w:firstLine="482"/>
        <w:spacing w:line="400" w:lineRule="exact"/>
        <w:rPr>
          <w:rFonts w:ascii="宋体" w:hAnsi="宋体"/>
          <w:color w:val="0000ff"/>
          <w:sz w:val="24"/>
          <w:szCs w:val="24"/>
        </w:rPr>
      </w:pPr>
      <w:r>
        <w:rPr>
          <w:rFonts w:hint="eastAsia" w:ascii="宋体" w:hAnsi="宋体"/>
          <w:b/>
          <w:bCs/>
          <w:sz w:val="24"/>
          <w:szCs w:val="24"/>
        </w:rPr>
        <w:t xml:space="preserve">（三）本项目的特定资格要求：</w:t>
      </w:r>
      <w:r>
        <w:rPr>
          <w:rFonts w:hint="eastAsia" w:ascii="宋体" w:hAnsi="宋体"/>
          <w:sz w:val="24"/>
          <w:szCs w:val="24"/>
        </w:rPr>
        <w:t xml:space="preserve">无</w:t>
      </w:r>
      <w:r>
        <w:rPr>
          <w:rFonts w:ascii="宋体" w:hAnsi="宋体"/>
          <w:color w:val="0000ff"/>
          <w:sz w:val="24"/>
          <w:szCs w:val="24"/>
        </w:rPr>
      </w:r>
      <w:r/>
    </w:p>
    <w:p>
      <w:pPr>
        <w:pStyle w:val="666"/>
        <w:ind w:firstLine="482"/>
        <w:spacing w:line="400" w:lineRule="exact"/>
        <w:rPr>
          <w:rFonts w:hint="eastAsia" w:ascii="宋体" w:hAnsi="宋体"/>
          <w:b/>
          <w:bCs/>
          <w:sz w:val="24"/>
          <w:szCs w:val="24"/>
        </w:rPr>
      </w:pPr>
      <w:r>
        <w:rPr>
          <w:rFonts w:hint="eastAsia" w:ascii="宋体" w:hAnsi="宋体"/>
          <w:b/>
          <w:bCs/>
          <w:sz w:val="24"/>
          <w:szCs w:val="24"/>
        </w:rPr>
        <w:t xml:space="preserve">（四）拒绝下述供应商参加本次采购活动</w:t>
      </w:r>
      <w:r/>
    </w:p>
    <w:p>
      <w:pPr>
        <w:pStyle w:val="666"/>
        <w:ind w:firstLine="480"/>
        <w:spacing w:line="400" w:lineRule="exact"/>
        <w:rPr>
          <w:sz w:val="24"/>
          <w:szCs w:val="24"/>
        </w:rPr>
      </w:pPr>
      <w:r>
        <w:rPr>
          <w:sz w:val="24"/>
          <w:szCs w:val="24"/>
        </w:rPr>
        <w:t xml:space="preserve">1.单位负责人为同一人或者存在直接控股、管理关系的不同供应商，不得参加同一合同项下的政府采购活动。</w:t>
      </w:r>
      <w:r/>
    </w:p>
    <w:p>
      <w:pPr>
        <w:pStyle w:val="666"/>
        <w:ind w:firstLine="480"/>
        <w:spacing w:line="400" w:lineRule="exact"/>
        <w:rPr>
          <w:sz w:val="24"/>
          <w:szCs w:val="24"/>
        </w:rPr>
      </w:pPr>
      <w:r>
        <w:rPr>
          <w:sz w:val="24"/>
          <w:szCs w:val="24"/>
        </w:rPr>
        <w:t xml:space="preserve">2.为采购项目提供整体设计、规范编制或者项目管理、监理、检测等服务的供应商，不得参加本项目的采购活动。</w:t>
      </w:r>
      <w:r/>
    </w:p>
    <w:p>
      <w:pPr>
        <w:pStyle w:val="666"/>
        <w:ind w:firstLine="480"/>
        <w:spacing w:line="400" w:lineRule="exact"/>
        <w:rPr>
          <w:sz w:val="24"/>
          <w:szCs w:val="24"/>
        </w:rPr>
      </w:pPr>
      <w:r>
        <w:rPr>
          <w:sz w:val="24"/>
          <w:szCs w:val="24"/>
        </w:rPr>
        <w:t xml:space="preserve">3.供应商被</w:t>
      </w:r>
      <w:r>
        <w:rPr>
          <w:rFonts w:hint="eastAsia"/>
          <w:sz w:val="24"/>
          <w:szCs w:val="24"/>
        </w:rPr>
        <w:t xml:space="preserve">“信用中国”网站列入失信被执行人、重大税收违法失信主体、政府采购严重违法失信行为记录名单。</w:t>
      </w:r>
      <w:r>
        <w:rPr>
          <w:sz w:val="24"/>
          <w:szCs w:val="24"/>
        </w:rPr>
        <w:t xml:space="preserve">（资格审查环节查询，响应文件中无需提供证明材料）</w:t>
      </w:r>
      <w:r/>
    </w:p>
    <w:p>
      <w:pPr>
        <w:pStyle w:val="666"/>
        <w:spacing w:line="400" w:lineRule="exact"/>
        <w:rPr>
          <w:rFonts w:hint="eastAsia" w:ascii="宋体" w:hAnsi="宋体"/>
          <w:b/>
          <w:bCs/>
          <w:sz w:val="28"/>
          <w:szCs w:val="32"/>
        </w:rPr>
      </w:pPr>
      <w:r>
        <w:rPr>
          <w:rFonts w:hint="eastAsia" w:ascii="宋体" w:hAnsi="宋体"/>
          <w:b/>
          <w:bCs/>
          <w:sz w:val="28"/>
          <w:szCs w:val="32"/>
        </w:rPr>
        <w:t xml:space="preserve">三、获取磋商文件</w:t>
      </w:r>
      <w:r/>
    </w:p>
    <w:p>
      <w:pPr>
        <w:pStyle w:val="666"/>
        <w:ind w:firstLine="480"/>
        <w:spacing w:line="400" w:lineRule="exact"/>
        <w:rPr>
          <w:rFonts w:hint="eastAsia" w:ascii="宋体" w:hAnsi="宋体"/>
          <w:sz w:val="24"/>
          <w:szCs w:val="24"/>
        </w:rPr>
      </w:pPr>
      <w:r>
        <w:rPr>
          <w:sz w:val="24"/>
          <w:szCs w:val="24"/>
        </w:rPr>
        <w:t xml:space="preserve">1.</w:t>
      </w:r>
      <w:r>
        <w:rPr>
          <w:rFonts w:hint="eastAsia" w:ascii="宋体" w:hAnsi="宋体"/>
          <w:sz w:val="24"/>
          <w:szCs w:val="24"/>
        </w:rPr>
        <w:t xml:space="preserve">时间：自磋商文件公告发布之日起</w:t>
      </w:r>
      <w:r>
        <w:rPr>
          <w:sz w:val="24"/>
          <w:szCs w:val="24"/>
        </w:rPr>
        <w:t xml:space="preserve">5</w:t>
      </w:r>
      <w:r>
        <w:rPr>
          <w:rFonts w:hint="eastAsia" w:ascii="宋体" w:hAnsi="宋体"/>
          <w:sz w:val="24"/>
          <w:szCs w:val="24"/>
        </w:rPr>
        <w:t xml:space="preserve">个工作日。</w:t>
      </w:r>
      <w:r/>
    </w:p>
    <w:p>
      <w:pPr>
        <w:pStyle w:val="666"/>
        <w:ind w:firstLine="480"/>
        <w:spacing w:line="400" w:lineRule="exact"/>
        <w:rPr>
          <w:rFonts w:hint="eastAsia" w:ascii="宋体" w:hAnsi="宋体"/>
          <w:sz w:val="24"/>
          <w:szCs w:val="24"/>
        </w:rPr>
      </w:pPr>
      <w:r>
        <w:rPr>
          <w:sz w:val="24"/>
          <w:szCs w:val="24"/>
        </w:rPr>
        <w:t xml:space="preserve">2.</w:t>
      </w:r>
      <w:r>
        <w:rPr>
          <w:rFonts w:hint="eastAsia" w:ascii="宋体" w:hAnsi="宋体"/>
          <w:sz w:val="24"/>
          <w:szCs w:val="24"/>
        </w:rPr>
        <w:t xml:space="preserve">方式：在“江苏政府采购网”免费下载</w:t>
      </w:r>
      <w:r/>
    </w:p>
    <w:p>
      <w:pPr>
        <w:pStyle w:val="666"/>
        <w:spacing w:line="400" w:lineRule="exact"/>
        <w:rPr>
          <w:rFonts w:hint="eastAsia" w:ascii="宋体" w:hAnsi="宋体"/>
          <w:b/>
          <w:bCs/>
          <w:sz w:val="28"/>
          <w:szCs w:val="32"/>
        </w:rPr>
      </w:pPr>
      <w:r>
        <w:rPr>
          <w:rFonts w:hint="eastAsia" w:ascii="宋体" w:hAnsi="宋体"/>
          <w:b/>
          <w:bCs/>
          <w:sz w:val="28"/>
          <w:szCs w:val="32"/>
        </w:rPr>
        <w:t xml:space="preserve">四、提交响应文件截止时间</w:t>
      </w:r>
      <w:r/>
    </w:p>
    <w:p>
      <w:pPr>
        <w:pStyle w:val="666"/>
        <w:ind w:firstLine="480"/>
        <w:spacing w:line="400" w:lineRule="exact"/>
        <w:rPr>
          <w:rFonts w:hint="eastAsia"/>
          <w:sz w:val="24"/>
          <w:szCs w:val="24"/>
        </w:rPr>
      </w:pPr>
      <w:r>
        <w:rPr>
          <w:sz w:val="24"/>
          <w:szCs w:val="24"/>
        </w:rPr>
        <w:t xml:space="preserve">202</w:t>
      </w:r>
      <w:r>
        <w:rPr>
          <w:rFonts w:hint="eastAsia"/>
          <w:sz w:val="24"/>
          <w:szCs w:val="24"/>
        </w:rPr>
        <w:t xml:space="preserve">6</w:t>
      </w:r>
      <w:r>
        <w:rPr>
          <w:sz w:val="24"/>
          <w:szCs w:val="24"/>
        </w:rPr>
        <w:t xml:space="preserve">年</w:t>
      </w:r>
      <w:r>
        <w:rPr>
          <w:rFonts w:hint="eastAsia"/>
          <w:sz w:val="24"/>
          <w:szCs w:val="24"/>
        </w:rPr>
        <w:t xml:space="preserve">09</w:t>
      </w:r>
      <w:r>
        <w:rPr>
          <w:sz w:val="24"/>
          <w:szCs w:val="24"/>
        </w:rPr>
        <w:t xml:space="preserve">月</w:t>
      </w:r>
      <w:r>
        <w:rPr>
          <w:rFonts w:hint="eastAsia"/>
          <w:sz w:val="24"/>
          <w:szCs w:val="24"/>
        </w:rPr>
        <w:t xml:space="preserve">29</w:t>
      </w:r>
      <w:r>
        <w:rPr>
          <w:sz w:val="24"/>
          <w:szCs w:val="24"/>
        </w:rPr>
        <w:t xml:space="preserve">日</w:t>
      </w:r>
      <w:r>
        <w:rPr>
          <w:rFonts w:hint="eastAsia"/>
          <w:sz w:val="24"/>
          <w:szCs w:val="24"/>
        </w:rPr>
        <w:t xml:space="preserve">9</w:t>
      </w:r>
      <w:r>
        <w:rPr>
          <w:sz w:val="24"/>
          <w:szCs w:val="24"/>
        </w:rPr>
        <w:t xml:space="preserve">时</w:t>
      </w:r>
      <w:r>
        <w:rPr>
          <w:rFonts w:hint="eastAsia"/>
          <w:sz w:val="24"/>
          <w:szCs w:val="24"/>
        </w:rPr>
        <w:t xml:space="preserve">30</w:t>
      </w:r>
      <w:r>
        <w:rPr>
          <w:sz w:val="24"/>
          <w:szCs w:val="24"/>
        </w:rPr>
        <w:t xml:space="preserve">分（北京时间）</w:t>
      </w:r>
      <w:r>
        <w:rPr>
          <w:rFonts w:hint="eastAsia"/>
          <w:sz w:val="24"/>
          <w:szCs w:val="24"/>
        </w:rPr>
      </w:r>
      <w:r/>
    </w:p>
    <w:p>
      <w:pPr>
        <w:pStyle w:val="666"/>
        <w:spacing w:line="400" w:lineRule="exact"/>
        <w:rPr>
          <w:rFonts w:hint="eastAsia" w:ascii="宋体" w:hAnsi="宋体"/>
          <w:b/>
          <w:bCs/>
          <w:sz w:val="28"/>
          <w:szCs w:val="32"/>
        </w:rPr>
      </w:pPr>
      <w:r>
        <w:rPr>
          <w:rFonts w:hint="eastAsia" w:ascii="宋体" w:hAnsi="宋体"/>
          <w:b/>
          <w:bCs/>
          <w:sz w:val="28"/>
          <w:szCs w:val="32"/>
        </w:rPr>
        <w:t xml:space="preserve">五、公告期限</w:t>
      </w:r>
      <w:r/>
    </w:p>
    <w:p>
      <w:pPr>
        <w:pStyle w:val="666"/>
        <w:ind w:firstLine="480"/>
        <w:spacing w:line="400" w:lineRule="exact"/>
        <w:rPr>
          <w:sz w:val="24"/>
          <w:szCs w:val="24"/>
        </w:rPr>
      </w:pPr>
      <w:r>
        <w:rPr>
          <w:sz w:val="24"/>
          <w:szCs w:val="24"/>
        </w:rPr>
        <w:t xml:space="preserve">公告期限为自本公告发布之日起3个工作日。</w:t>
      </w:r>
      <w:r/>
    </w:p>
    <w:p>
      <w:pPr>
        <w:pStyle w:val="666"/>
        <w:spacing w:line="400" w:lineRule="exact"/>
        <w:rPr>
          <w:rFonts w:hint="eastAsia" w:ascii="宋体" w:hAnsi="宋体"/>
          <w:b/>
          <w:bCs/>
          <w:sz w:val="28"/>
          <w:szCs w:val="32"/>
        </w:rPr>
      </w:pPr>
      <w:r>
        <w:rPr>
          <w:rFonts w:hint="eastAsia" w:ascii="宋体" w:hAnsi="宋体"/>
          <w:b/>
          <w:bCs/>
          <w:sz w:val="28"/>
          <w:szCs w:val="32"/>
        </w:rPr>
        <w:t xml:space="preserve">六、</w:t>
      </w:r>
      <w:r>
        <w:rPr>
          <w:rFonts w:hint="eastAsia" w:ascii="宋体" w:hAnsi="宋体"/>
          <w:b/>
          <w:bCs/>
          <w:sz w:val="28"/>
          <w:szCs w:val="32"/>
        </w:rPr>
        <w:t xml:space="preserve">其他事宜</w:t>
      </w:r>
      <w:r/>
    </w:p>
    <w:p>
      <w:pPr>
        <w:pStyle w:val="666"/>
        <w:ind w:firstLine="480"/>
        <w:spacing w:line="400" w:lineRule="exact"/>
        <w:rPr>
          <w:rFonts w:hint="eastAsia" w:ascii="宋体" w:hAnsi="宋体" w:cs="宋体"/>
          <w:sz w:val="24"/>
          <w:szCs w:val="24"/>
        </w:rPr>
      </w:pPr>
      <w:r>
        <w:rPr>
          <w:sz w:val="24"/>
          <w:szCs w:val="24"/>
        </w:rPr>
        <w:t xml:space="preserve">1.</w:t>
      </w:r>
      <w:r>
        <w:rPr>
          <w:rFonts w:hint="eastAsia" w:ascii="宋体" w:hAnsi="宋体" w:cs="宋体"/>
          <w:sz w:val="24"/>
          <w:szCs w:val="24"/>
        </w:rPr>
        <w:t xml:space="preserve">本次磋商</w:t>
      </w:r>
      <w:r>
        <w:rPr>
          <w:rFonts w:hint="eastAsia" w:ascii="宋体" w:hAnsi="宋体" w:cs="宋体"/>
          <w:sz w:val="24"/>
          <w:szCs w:val="24"/>
        </w:rPr>
        <w:t xml:space="preserve">不收取磋商保证金。</w:t>
      </w:r>
      <w:r/>
    </w:p>
    <w:p>
      <w:pPr>
        <w:pStyle w:val="666"/>
        <w:ind w:firstLine="480"/>
        <w:spacing w:line="400" w:lineRule="exact"/>
        <w:tabs>
          <w:tab w:val="left" w:pos="900" w:leader="none"/>
        </w:tabs>
        <w:rPr>
          <w:rFonts w:hint="eastAsia" w:ascii="宋体" w:hAnsi="宋体" w:cs="宋体"/>
          <w:sz w:val="24"/>
          <w:szCs w:val="24"/>
        </w:rPr>
      </w:pPr>
      <w:r>
        <w:rPr>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，供应商如对采购需求有疑问，请咨询采购代理机构联系人。</w:t>
      </w:r>
      <w:r/>
    </w:p>
    <w:p>
      <w:pPr>
        <w:pStyle w:val="666"/>
        <w:ind w:firstLine="480"/>
        <w:spacing w:line="400" w:lineRule="exact"/>
        <w:rPr>
          <w:rFonts w:hint="eastAsia" w:ascii="宋体" w:hAnsi="宋体" w:cs="宋体"/>
          <w:sz w:val="24"/>
          <w:szCs w:val="24"/>
        </w:rPr>
      </w:pPr>
      <w:r>
        <w:rPr>
          <w:sz w:val="24"/>
          <w:szCs w:val="24"/>
        </w:rPr>
        <w:t xml:space="preserve">3.</w:t>
      </w:r>
      <w:r>
        <w:rPr>
          <w:rFonts w:ascii="宋体" w:hAnsi="宋体" w:cs="宋体"/>
          <w:sz w:val="24"/>
          <w:szCs w:val="24"/>
        </w:rPr>
        <w:t xml:space="preserve">供应商通过苏采云系统参与政府采购项目（苏采云系统登录页详见“江苏政府采购网”首页底部），需要办理江苏省政府采购数字证书及电子签章（详见苏采云系统登录页“</w:t>
      </w:r>
      <w:r>
        <w:rPr>
          <w:sz w:val="24"/>
          <w:szCs w:val="24"/>
        </w:rPr>
        <w:t xml:space="preserve">CA</w:t>
      </w:r>
      <w:r>
        <w:rPr>
          <w:rFonts w:ascii="宋体" w:hAnsi="宋体" w:cs="宋体"/>
          <w:sz w:val="24"/>
          <w:szCs w:val="24"/>
        </w:rPr>
        <w:t xml:space="preserve">办理指南”），进行苏采云系统注册并制作上传电子响应文件（具体操作指南详见“江苏政府采购网-办事指南-资料下载”）。</w:t>
      </w:r>
      <w:r>
        <w:rPr>
          <w:rFonts w:hint="eastAsia" w:ascii="宋体" w:hAnsi="宋体" w:cs="宋体"/>
          <w:sz w:val="24"/>
          <w:szCs w:val="24"/>
        </w:rPr>
      </w:r>
      <w:r/>
    </w:p>
    <w:p>
      <w:pPr>
        <w:pStyle w:val="666"/>
        <w:ind w:firstLine="480"/>
        <w:spacing w:line="400" w:lineRule="exact"/>
        <w:rPr>
          <w:sz w:val="24"/>
          <w:szCs w:val="24"/>
        </w:rPr>
      </w:pPr>
      <w:r>
        <w:rPr>
          <w:sz w:val="24"/>
          <w:szCs w:val="24"/>
        </w:rPr>
        <w:t xml:space="preserve">4.有关本次采购的事项若存在变动或修改，请及时关注</w:t>
      </w:r>
      <w:r>
        <w:rPr>
          <w:rFonts w:ascii="宋体" w:hAnsi="宋体"/>
          <w:sz w:val="24"/>
          <w:szCs w:val="24"/>
        </w:rPr>
        <w:t xml:space="preserve">“江苏政府采购网”</w:t>
      </w:r>
      <w:r>
        <w:rPr>
          <w:sz w:val="24"/>
          <w:szCs w:val="24"/>
        </w:rPr>
        <w:t xml:space="preserve">（www.ccgp-jiangsu.gov.cn）更正公告。</w:t>
      </w:r>
      <w:r/>
    </w:p>
    <w:p>
      <w:pPr>
        <w:pStyle w:val="666"/>
        <w:ind w:firstLine="480"/>
        <w:spacing w:line="400" w:lineRule="exact"/>
        <w:rPr>
          <w:rFonts w:hint="eastAsia" w:ascii="宋体" w:hAnsi="宋体" w:cs="宋体"/>
          <w:sz w:val="24"/>
          <w:szCs w:val="24"/>
        </w:rPr>
      </w:pPr>
      <w:r/>
      <w:bookmarkStart w:id="8" w:name="_Hlk202281624"/>
      <w:r>
        <w:rPr>
          <w:sz w:val="24"/>
          <w:szCs w:val="24"/>
        </w:rPr>
        <w:t xml:space="preserve">5.</w:t>
      </w:r>
      <w:r>
        <w:rPr>
          <w:rFonts w:hint="eastAsia" w:ascii="宋体" w:hAnsi="宋体" w:cs="宋体"/>
          <w:sz w:val="24"/>
          <w:szCs w:val="24"/>
        </w:rPr>
        <w:t xml:space="preserve">政府采购信用承诺</w:t>
      </w:r>
      <w:r/>
    </w:p>
    <w:p>
      <w:pPr>
        <w:pStyle w:val="666"/>
        <w:ind w:firstLine="480"/>
        <w:jc w:val="left"/>
        <w:spacing w:line="400" w:lineRule="exact"/>
        <w:rPr>
          <w:sz w:val="24"/>
        </w:rPr>
      </w:pPr>
      <w:r>
        <w:rPr>
          <w:sz w:val="24"/>
        </w:rPr>
        <w:t xml:space="preserve">根据《关于在政府采购活动中推行信用承诺制的通知》宁财购通〔2021〕5号规定，参加南京地区政府采购活动的供应商，应以书面形式向采购人或政府采购代理机构作出信用承诺。</w:t>
      </w:r>
      <w:r/>
    </w:p>
    <w:p>
      <w:pPr>
        <w:pStyle w:val="666"/>
        <w:ind w:firstLine="480"/>
        <w:spacing w:line="400" w:lineRule="exact"/>
        <w:rPr>
          <w:sz w:val="24"/>
        </w:rPr>
      </w:pPr>
      <w:r>
        <w:rPr>
          <w:sz w:val="24"/>
        </w:rPr>
        <w:t xml:space="preserve">在政府采购资格审查环节，供应商只需提供书面《南京市政府采购供应商信用承诺书》，即可替代以下证明材料：</w:t>
      </w:r>
      <w:r/>
    </w:p>
    <w:p>
      <w:pPr>
        <w:pStyle w:val="666"/>
        <w:ind w:firstLine="480"/>
        <w:spacing w:line="400" w:lineRule="exact"/>
        <w:rPr>
          <w:sz w:val="24"/>
        </w:rPr>
      </w:pPr>
      <w:r>
        <w:rPr>
          <w:sz w:val="24"/>
        </w:rPr>
        <w:t xml:space="preserve">（1）符合国家相关规定的财务状况报告；</w:t>
      </w:r>
      <w:r/>
    </w:p>
    <w:p>
      <w:pPr>
        <w:pStyle w:val="666"/>
        <w:ind w:firstLine="480"/>
        <w:spacing w:line="400" w:lineRule="exact"/>
        <w:rPr>
          <w:sz w:val="24"/>
        </w:rPr>
      </w:pPr>
      <w:r>
        <w:rPr>
          <w:sz w:val="24"/>
        </w:rPr>
        <w:t xml:space="preserve">（2）依法缴纳税收的证明材料；</w:t>
      </w:r>
      <w:r/>
    </w:p>
    <w:p>
      <w:pPr>
        <w:pStyle w:val="666"/>
        <w:ind w:firstLine="480"/>
        <w:spacing w:line="400" w:lineRule="exact"/>
        <w:rPr>
          <w:sz w:val="24"/>
        </w:rPr>
      </w:pPr>
      <w:r>
        <w:rPr>
          <w:sz w:val="24"/>
        </w:rPr>
        <w:t xml:space="preserve">（3）依法缴纳社会保障资金的证明材料；</w:t>
      </w:r>
      <w:r/>
    </w:p>
    <w:p>
      <w:pPr>
        <w:pStyle w:val="666"/>
        <w:ind w:firstLine="480"/>
        <w:spacing w:line="400" w:lineRule="exact"/>
        <w:rPr>
          <w:sz w:val="24"/>
        </w:rPr>
      </w:pPr>
      <w:r>
        <w:rPr>
          <w:sz w:val="24"/>
        </w:rPr>
        <w:t xml:space="preserve">（4）具备履行政府采购合同所必需的设备和专业技术能力的证明材料；</w:t>
      </w:r>
      <w:r/>
    </w:p>
    <w:p>
      <w:pPr>
        <w:pStyle w:val="666"/>
        <w:ind w:firstLine="480"/>
        <w:spacing w:line="400" w:lineRule="exact"/>
        <w:rPr>
          <w:sz w:val="24"/>
        </w:rPr>
      </w:pPr>
      <w:r>
        <w:rPr>
          <w:sz w:val="24"/>
        </w:rPr>
        <w:t xml:space="preserve">（5）参加政府采购活动前三年内在经营活动</w:t>
      </w:r>
      <w:r>
        <w:rPr>
          <w:sz w:val="24"/>
        </w:rPr>
        <w:t xml:space="preserve">中没</w:t>
      </w:r>
      <w:r>
        <w:rPr>
          <w:sz w:val="24"/>
        </w:rPr>
        <w:t xml:space="preserve">有重大违法记录的证明材料；</w:t>
      </w:r>
      <w:r/>
    </w:p>
    <w:p>
      <w:pPr>
        <w:pStyle w:val="666"/>
        <w:ind w:firstLine="480"/>
        <w:spacing w:line="400" w:lineRule="exact"/>
        <w:rPr>
          <w:sz w:val="24"/>
        </w:rPr>
      </w:pPr>
      <w:r>
        <w:rPr>
          <w:sz w:val="24"/>
        </w:rPr>
        <w:t xml:space="preserve">（6）未被列入失信被执行人、重大税收违法失信主体、政府采购严重违法失信行为记录名单的证明材料。</w:t>
      </w:r>
      <w:r/>
    </w:p>
    <w:p>
      <w:pPr>
        <w:pStyle w:val="666"/>
        <w:ind w:firstLine="480"/>
        <w:spacing w:line="400" w:lineRule="exact"/>
        <w:rPr>
          <w:sz w:val="24"/>
        </w:rPr>
      </w:pPr>
      <w:r>
        <w:rPr>
          <w:sz w:val="24"/>
        </w:rPr>
        <w:t xml:space="preserve">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p>
    <w:p>
      <w:pPr>
        <w:pStyle w:val="666"/>
        <w:ind w:firstLine="480"/>
        <w:spacing w:line="400" w:lineRule="exact"/>
        <w:rPr>
          <w:sz w:val="24"/>
        </w:rPr>
      </w:pPr>
      <w:r>
        <w:rPr>
          <w:sz w:val="24"/>
        </w:rPr>
        <w:t xml:space="preserve">（1）供应商被列入严重失信主体名单；</w:t>
      </w:r>
      <w:r/>
    </w:p>
    <w:p>
      <w:pPr>
        <w:pStyle w:val="666"/>
        <w:ind w:firstLine="480"/>
        <w:spacing w:line="400" w:lineRule="exact"/>
        <w:rPr>
          <w:sz w:val="24"/>
        </w:rPr>
      </w:pPr>
      <w:r>
        <w:rPr>
          <w:sz w:val="24"/>
        </w:rPr>
        <w:t xml:space="preserve">（2）被相关监管部门作出行政处罚且尚在处罚有效期内；</w:t>
      </w:r>
      <w:r/>
    </w:p>
    <w:p>
      <w:pPr>
        <w:pStyle w:val="666"/>
        <w:ind w:firstLine="480"/>
        <w:spacing w:line="400" w:lineRule="exact"/>
        <w:rPr>
          <w:sz w:val="24"/>
        </w:rPr>
      </w:pPr>
      <w:r>
        <w:rPr>
          <w:sz w:val="24"/>
        </w:rPr>
        <w:t xml:space="preserve">（3）其他法律、行政法规规定的不适用信用承诺的情形。供应商对信用承诺内容的真实性、合法性、有效性负责。如作出虚假信用承诺，视同为</w:t>
      </w:r>
      <w:r>
        <w:rPr>
          <w:rFonts w:ascii="宋体" w:hAnsi="宋体"/>
          <w:sz w:val="24"/>
        </w:rPr>
        <w:t xml:space="preserve">“</w:t>
      </w:r>
      <w:r>
        <w:rPr>
          <w:sz w:val="24"/>
        </w:rPr>
        <w:t xml:space="preserve">提供虚假材料谋取中标、成交</w:t>
      </w:r>
      <w:r>
        <w:rPr>
          <w:rFonts w:ascii="宋体" w:hAnsi="宋体"/>
          <w:sz w:val="24"/>
        </w:rPr>
        <w:t xml:space="preserve">”</w:t>
      </w:r>
      <w:r>
        <w:rPr>
          <w:sz w:val="24"/>
        </w:rPr>
        <w:t xml:space="preserve">的违法行为。</w:t>
      </w:r>
      <w:r/>
    </w:p>
    <w:p>
      <w:pPr>
        <w:pStyle w:val="666"/>
        <w:spacing w:line="400" w:lineRule="exact"/>
        <w:rPr>
          <w:rFonts w:hint="eastAsia" w:ascii="宋体" w:hAnsi="宋体"/>
          <w:b/>
          <w:bCs/>
          <w:sz w:val="28"/>
          <w:szCs w:val="32"/>
        </w:rPr>
      </w:pPr>
      <w:r/>
      <w:bookmarkEnd w:id="8"/>
      <w:r>
        <w:rPr>
          <w:rFonts w:hint="eastAsia" w:ascii="宋体" w:hAnsi="宋体"/>
          <w:b/>
          <w:bCs/>
          <w:sz w:val="28"/>
          <w:szCs w:val="32"/>
        </w:rPr>
        <w:t xml:space="preserve">七、本次磋商联系方式</w:t>
      </w:r>
      <w:r/>
    </w:p>
    <w:p>
      <w:pPr>
        <w:pStyle w:val="666"/>
        <w:ind w:firstLine="480"/>
        <w:spacing w:line="400" w:lineRule="exact"/>
        <w:rPr>
          <w:sz w:val="24"/>
          <w:szCs w:val="24"/>
        </w:rPr>
      </w:pPr>
      <w:r/>
      <w:bookmarkStart w:id="9" w:name="_Hlk202281709"/>
      <w:r>
        <w:rPr>
          <w:sz w:val="24"/>
          <w:szCs w:val="24"/>
        </w:rPr>
        <w:t xml:space="preserve">1.采购人</w:t>
      </w:r>
      <w:r/>
    </w:p>
    <w:p>
      <w:pPr>
        <w:pStyle w:val="666"/>
        <w:ind w:firstLine="480"/>
        <w:spacing w:line="400" w:lineRule="exact"/>
        <w:rPr>
          <w:sz w:val="24"/>
          <w:szCs w:val="24"/>
        </w:rPr>
      </w:pPr>
      <w:r>
        <w:rPr>
          <w:sz w:val="24"/>
          <w:szCs w:val="24"/>
        </w:rPr>
        <w:t xml:space="preserve">单位名称：南京市江宁区城市数字治理中心</w:t>
      </w:r>
      <w:r/>
    </w:p>
    <w:p>
      <w:pPr>
        <w:pStyle w:val="666"/>
        <w:ind w:firstLine="480"/>
        <w:spacing w:line="400" w:lineRule="exact"/>
        <w:rPr>
          <w:sz w:val="24"/>
          <w:szCs w:val="24"/>
        </w:rPr>
      </w:pPr>
      <w:r>
        <w:rPr>
          <w:sz w:val="24"/>
          <w:szCs w:val="24"/>
        </w:rPr>
        <w:t xml:space="preserve">单位地址：南京市江宁区秣周东路10号</w:t>
      </w:r>
      <w:r/>
    </w:p>
    <w:p>
      <w:pPr>
        <w:pStyle w:val="666"/>
        <w:ind w:firstLine="480"/>
        <w:spacing w:line="400" w:lineRule="exact"/>
        <w:rPr>
          <w:sz w:val="24"/>
          <w:szCs w:val="24"/>
        </w:rPr>
      </w:pPr>
      <w:r>
        <w:rPr>
          <w:sz w:val="24"/>
          <w:szCs w:val="24"/>
        </w:rPr>
        <w:t xml:space="preserve">联系人：</w:t>
      </w:r>
      <w:r>
        <w:rPr>
          <w:rFonts w:hint="eastAsia"/>
          <w:sz w:val="24"/>
          <w:szCs w:val="24"/>
        </w:rPr>
        <w:t xml:space="preserve">孙先生</w:t>
      </w:r>
      <w:r>
        <w:rPr>
          <w:sz w:val="24"/>
          <w:szCs w:val="24"/>
        </w:rPr>
      </w:r>
      <w:r/>
    </w:p>
    <w:p>
      <w:pPr>
        <w:pStyle w:val="666"/>
        <w:ind w:firstLine="480"/>
        <w:spacing w:line="400" w:lineRule="exact"/>
        <w:rPr>
          <w:sz w:val="24"/>
          <w:szCs w:val="24"/>
        </w:rPr>
      </w:pPr>
      <w:r>
        <w:rPr>
          <w:sz w:val="24"/>
          <w:szCs w:val="24"/>
        </w:rPr>
        <w:t xml:space="preserve">联系电话：</w:t>
      </w:r>
      <w:bookmarkStart w:id="10" w:name="_Toc28359086"/>
      <w:r/>
      <w:bookmarkStart w:id="11" w:name="_Toc28359009"/>
      <w:r>
        <w:rPr>
          <w:sz w:val="24"/>
          <w:szCs w:val="24"/>
        </w:rPr>
        <w:t xml:space="preserve">025-86139002</w:t>
      </w:r>
      <w:r/>
    </w:p>
    <w:p>
      <w:pPr>
        <w:pStyle w:val="666"/>
        <w:ind w:firstLine="480"/>
        <w:spacing w:line="400" w:lineRule="exact"/>
        <w:rPr>
          <w:rFonts w:hint="eastAsia"/>
          <w:sz w:val="24"/>
          <w:szCs w:val="24"/>
        </w:rPr>
      </w:pPr>
      <w:r>
        <w:rPr>
          <w:rFonts w:hint="eastAsia"/>
          <w:sz w:val="24"/>
          <w:szCs w:val="24"/>
        </w:rPr>
        <w:t xml:space="preserve">2.</w:t>
      </w:r>
      <w:bookmarkEnd w:id="10"/>
      <w:r/>
      <w:bookmarkEnd w:id="11"/>
      <w:r>
        <w:rPr>
          <w:rFonts w:hint="eastAsia"/>
          <w:sz w:val="24"/>
          <w:szCs w:val="24"/>
        </w:rPr>
        <w:t xml:space="preserve">采购代理机构信息</w:t>
      </w:r>
      <w:r/>
    </w:p>
    <w:p>
      <w:pPr>
        <w:pStyle w:val="666"/>
        <w:ind w:firstLine="480"/>
        <w:spacing w:line="400" w:lineRule="exact"/>
        <w:rPr>
          <w:rFonts w:ascii="宋体" w:hAnsi="宋体"/>
          <w:sz w:val="24"/>
          <w:szCs w:val="24"/>
        </w:rPr>
      </w:pPr>
      <w:r>
        <w:rPr>
          <w:rFonts w:hint="eastAsia" w:ascii="宋体" w:hAnsi="宋体"/>
          <w:sz w:val="24"/>
          <w:szCs w:val="24"/>
        </w:rPr>
        <w:t xml:space="preserve">单位名称：南京越鑫项目管理咨询有限公司</w:t>
      </w:r>
      <w:r>
        <w:rPr>
          <w:rFonts w:ascii="宋体" w:hAnsi="宋体"/>
          <w:sz w:val="24"/>
          <w:szCs w:val="24"/>
        </w:rPr>
      </w:r>
      <w:r/>
    </w:p>
    <w:p>
      <w:pPr>
        <w:pStyle w:val="666"/>
        <w:ind w:firstLine="480"/>
        <w:spacing w:line="400" w:lineRule="exact"/>
        <w:rPr>
          <w:rFonts w:hint="eastAsia" w:ascii="宋体" w:hAnsi="宋体"/>
          <w:sz w:val="24"/>
          <w:szCs w:val="24"/>
        </w:rPr>
      </w:pPr>
      <w:r>
        <w:rPr>
          <w:rFonts w:hint="eastAsia" w:ascii="宋体" w:hAnsi="宋体"/>
          <w:sz w:val="24"/>
          <w:szCs w:val="24"/>
        </w:rPr>
        <w:t xml:space="preserve">单位</w:t>
      </w:r>
      <w:r>
        <w:rPr>
          <w:sz w:val="24"/>
          <w:szCs w:val="24"/>
        </w:rPr>
        <w:t xml:space="preserve">地址：南京市江宁区绿都大道31号都荟天地城C4幢508室</w:t>
      </w:r>
      <w:r>
        <w:rPr>
          <w:rFonts w:hint="eastAsia" w:ascii="宋体" w:hAnsi="宋体"/>
          <w:sz w:val="24"/>
          <w:szCs w:val="24"/>
        </w:rPr>
      </w:r>
      <w:r/>
    </w:p>
    <w:p>
      <w:pPr>
        <w:pStyle w:val="666"/>
        <w:ind w:firstLine="480"/>
        <w:spacing w:line="400" w:lineRule="exact"/>
        <w:rPr>
          <w:rFonts w:hint="eastAsia" w:ascii="宋体" w:hAnsi="宋体"/>
          <w:sz w:val="24"/>
          <w:szCs w:val="24"/>
        </w:rPr>
      </w:pPr>
      <w:r>
        <w:rPr>
          <w:rFonts w:hint="eastAsia" w:ascii="宋体" w:hAnsi="宋体"/>
          <w:sz w:val="24"/>
          <w:szCs w:val="24"/>
        </w:rPr>
        <w:t xml:space="preserve">联系人：邢工</w:t>
      </w:r>
      <w:r/>
    </w:p>
    <w:p>
      <w:pPr>
        <w:pStyle w:val="666"/>
        <w:ind w:firstLine="480"/>
        <w:spacing w:line="400" w:lineRule="exact"/>
        <w:rPr>
          <w:rFonts w:hint="eastAsia"/>
        </w:rPr>
      </w:pPr>
      <w:r>
        <w:rPr>
          <w:sz w:val="24"/>
          <w:szCs w:val="24"/>
        </w:rPr>
        <w:t xml:space="preserve">联系电话：</w:t>
      </w:r>
      <w:r>
        <w:rPr>
          <w:rFonts w:hint="eastAsia"/>
          <w:sz w:val="24"/>
          <w:szCs w:val="24"/>
        </w:rPr>
        <w:t xml:space="preserve">13814140456</w:t>
      </w:r>
      <w:r>
        <w:rPr>
          <w:rFonts w:hint="eastAsia"/>
        </w:rPr>
      </w:r>
      <w:r/>
    </w:p>
    <w:p>
      <w:pPr>
        <w:pStyle w:val="666"/>
        <w:jc w:val="center"/>
        <w:rPr>
          <w:rFonts w:hint="eastAsia" w:ascii="方正小标宋简体" w:hAnsi="方正小标宋简体" w:eastAsia="方正小标宋简体" w:cs="方正小标宋简体"/>
          <w:color w:val="000000"/>
          <w:sz w:val="36"/>
          <w:szCs w:val="36"/>
        </w:rPr>
        <w:outlineLvl w:val="0"/>
      </w:pPr>
      <w:r/>
      <w:bookmarkEnd w:id="9"/>
      <w:r>
        <w:rPr>
          <w:rFonts w:hint="eastAsia" w:ascii="宋体" w:hAnsi="宋体" w:cs="宋体"/>
          <w:sz w:val="24"/>
          <w:szCs w:val="24"/>
        </w:rPr>
        <w:br w:type="page" w:clear="all"/>
      </w:r>
      <w:bookmarkStart w:id="12" w:name="_Toc238758637"/>
      <w:r/>
      <w:bookmarkStart w:id="13" w:name="_Toc199251409"/>
      <w:r>
        <w:rPr>
          <w:rFonts w:hint="eastAsia" w:ascii="方正小标宋简体" w:hAnsi="方正小标宋简体" w:eastAsia="方正小标宋简体" w:cs="方正小标宋简体"/>
          <w:color w:val="000000"/>
          <w:sz w:val="36"/>
          <w:szCs w:val="36"/>
        </w:rPr>
        <w:t xml:space="preserve">第二章  供应商须知</w:t>
      </w:r>
      <w:bookmarkEnd w:id="12"/>
      <w:r/>
      <w:bookmarkEnd w:id="13"/>
      <w:r>
        <w:rPr>
          <w:rFonts w:hint="eastAsia" w:ascii="方正小标宋简体" w:hAnsi="方正小标宋简体" w:eastAsia="方正小标宋简体" w:cs="方正小标宋简体"/>
          <w:color w:val="000000"/>
          <w:sz w:val="36"/>
          <w:szCs w:val="36"/>
        </w:rPr>
      </w:r>
      <w:r/>
    </w:p>
    <w:p>
      <w:pPr>
        <w:pStyle w:val="666"/>
        <w:spacing w:line="400" w:lineRule="exact"/>
        <w:rPr>
          <w:rFonts w:hint="eastAsia" w:ascii="宋体" w:hAnsi="宋体"/>
          <w:b/>
          <w:bCs/>
          <w:sz w:val="28"/>
          <w:szCs w:val="32"/>
        </w:rPr>
        <w:outlineLvl w:val="1"/>
      </w:pPr>
      <w:r/>
      <w:bookmarkStart w:id="14" w:name="_Toc16938519"/>
      <w:r/>
      <w:bookmarkStart w:id="15" w:name="_Toc120614214"/>
      <w:r/>
      <w:bookmarkStart w:id="16" w:name="_Toc513029203"/>
      <w:r/>
      <w:bookmarkStart w:id="17" w:name="_Toc20823275"/>
      <w:r>
        <w:rPr>
          <w:rFonts w:hint="eastAsia" w:ascii="宋体" w:hAnsi="宋体"/>
          <w:b/>
          <w:bCs/>
          <w:sz w:val="28"/>
          <w:szCs w:val="32"/>
        </w:rPr>
        <w:t xml:space="preserve">一、总则</w:t>
      </w:r>
      <w:bookmarkEnd w:id="14"/>
      <w:r/>
      <w:bookmarkEnd w:id="15"/>
      <w:r/>
      <w:bookmarkEnd w:id="16"/>
      <w:r/>
      <w:bookmarkEnd w:id="17"/>
      <w:r>
        <w:rPr>
          <w:rFonts w:hint="eastAsia" w:ascii="宋体" w:hAnsi="宋体"/>
          <w:b/>
          <w:bCs/>
          <w:sz w:val="28"/>
          <w:szCs w:val="32"/>
        </w:rPr>
      </w:r>
      <w:r/>
    </w:p>
    <w:p>
      <w:pPr>
        <w:pStyle w:val="666"/>
        <w:spacing w:line="400" w:lineRule="exact"/>
        <w:rPr>
          <w:rFonts w:hint="eastAsia" w:ascii="方正楷体_GBK" w:eastAsia="方正楷体_GBK"/>
          <w:b/>
          <w:bCs/>
          <w:sz w:val="24"/>
          <w:szCs w:val="28"/>
        </w:rPr>
        <w:outlineLvl w:val="2"/>
      </w:pPr>
      <w:r/>
      <w:bookmarkStart w:id="18" w:name="_Toc16938520"/>
      <w:r/>
      <w:bookmarkStart w:id="19" w:name="_Toc513029204"/>
      <w:r/>
      <w:bookmarkStart w:id="20" w:name="_Toc458694821"/>
      <w:r/>
      <w:bookmarkStart w:id="21" w:name="_Hlt16619475"/>
      <w:r/>
      <w:bookmarkEnd w:id="21"/>
      <w:r/>
      <w:bookmarkStart w:id="22" w:name="_Toc20823276"/>
      <w:r>
        <w:rPr>
          <w:rFonts w:hint="eastAsia" w:ascii="方正楷体_GBK" w:eastAsia="方正楷体_GBK"/>
          <w:b/>
          <w:bCs/>
          <w:sz w:val="24"/>
          <w:szCs w:val="28"/>
        </w:rPr>
        <w:t xml:space="preserve">1</w:t>
      </w:r>
      <w:bookmarkEnd w:id="20"/>
      <w:r>
        <w:rPr>
          <w:rFonts w:hint="eastAsia" w:ascii="方正楷体_GBK" w:eastAsia="方正楷体_GBK"/>
          <w:b/>
          <w:bCs/>
          <w:sz w:val="24"/>
          <w:szCs w:val="28"/>
        </w:rPr>
        <w:t xml:space="preserve">. 采购方式</w:t>
      </w:r>
      <w:bookmarkEnd w:id="18"/>
      <w:r/>
      <w:bookmarkEnd w:id="19"/>
      <w:r/>
      <w:bookmarkEnd w:id="22"/>
      <w:r>
        <w:rPr>
          <w:rFonts w:hint="eastAsia" w:ascii="方正楷体_GBK" w:eastAsia="方正楷体_GBK"/>
          <w:b/>
          <w:bCs/>
          <w:sz w:val="24"/>
          <w:szCs w:val="28"/>
        </w:rPr>
      </w:r>
      <w:r/>
    </w:p>
    <w:p>
      <w:pPr>
        <w:pStyle w:val="666"/>
        <w:ind w:firstLine="420"/>
        <w:spacing w:line="400" w:lineRule="exact"/>
        <w:rPr>
          <w:rFonts w:hint="eastAsia" w:ascii="宋体" w:hAnsi="宋体"/>
          <w:sz w:val="24"/>
          <w:szCs w:val="21"/>
        </w:rPr>
      </w:pPr>
      <w:r>
        <w:rPr>
          <w:sz w:val="24"/>
          <w:szCs w:val="21"/>
        </w:rPr>
        <w:t xml:space="preserve">1.1</w:t>
      </w:r>
      <w:r>
        <w:rPr>
          <w:rFonts w:hint="eastAsia" w:ascii="宋体" w:hAnsi="宋体"/>
          <w:sz w:val="24"/>
          <w:szCs w:val="21"/>
        </w:rPr>
        <w:t xml:space="preserve"> 本次政府采购活动采取竞争性磋商</w:t>
      </w:r>
      <w:r>
        <w:rPr>
          <w:rFonts w:hint="eastAsia" w:ascii="宋体" w:hAnsi="宋体"/>
          <w:sz w:val="24"/>
          <w:szCs w:val="21"/>
        </w:rPr>
        <w:t xml:space="preserve">(以下简</w:t>
      </w:r>
      <w:r>
        <w:rPr>
          <w:rFonts w:hint="eastAsia" w:ascii="宋体" w:hAnsi="宋体"/>
          <w:sz w:val="24"/>
          <w:szCs w:val="21"/>
        </w:rPr>
        <w:t xml:space="preserve">称“磋商”)方式，本文件仅适用于采购公告中所述项目。</w:t>
      </w:r>
      <w:r/>
    </w:p>
    <w:p>
      <w:pPr>
        <w:pStyle w:val="666"/>
        <w:spacing w:line="400" w:lineRule="exact"/>
        <w:rPr>
          <w:rFonts w:hint="eastAsia" w:ascii="方正楷体_GBK" w:eastAsia="方正楷体_GBK"/>
          <w:b/>
          <w:bCs/>
          <w:sz w:val="24"/>
          <w:szCs w:val="28"/>
        </w:rPr>
        <w:outlineLvl w:val="2"/>
      </w:pPr>
      <w:r/>
      <w:bookmarkStart w:id="23" w:name="_Toc513029205"/>
      <w:r/>
      <w:bookmarkStart w:id="24" w:name="_Toc20823277"/>
      <w:r/>
      <w:bookmarkStart w:id="25" w:name="_Toc16938521"/>
      <w:r>
        <w:rPr>
          <w:rFonts w:hint="eastAsia" w:ascii="方正楷体_GBK" w:eastAsia="方正楷体_GBK"/>
          <w:b/>
          <w:bCs/>
          <w:sz w:val="24"/>
          <w:szCs w:val="28"/>
        </w:rPr>
        <w:t xml:space="preserve">2. 合格的</w:t>
      </w:r>
      <w:bookmarkEnd w:id="23"/>
      <w:r/>
      <w:bookmarkEnd w:id="24"/>
      <w:r/>
      <w:bookmarkEnd w:id="25"/>
      <w:r>
        <w:rPr>
          <w:rFonts w:hint="eastAsia" w:ascii="方正楷体_GBK" w:eastAsia="方正楷体_GBK"/>
          <w:b/>
          <w:bCs/>
          <w:sz w:val="24"/>
          <w:szCs w:val="28"/>
        </w:rPr>
        <w:t xml:space="preserve">供应商</w:t>
      </w:r>
      <w:r/>
    </w:p>
    <w:p>
      <w:pPr>
        <w:pStyle w:val="666"/>
        <w:ind w:firstLine="420"/>
        <w:spacing w:line="400" w:lineRule="exact"/>
        <w:rPr>
          <w:rFonts w:hint="eastAsia" w:ascii="宋体" w:hAnsi="宋体"/>
          <w:sz w:val="24"/>
          <w:szCs w:val="21"/>
        </w:rPr>
      </w:pPr>
      <w:r>
        <w:rPr>
          <w:rFonts w:hint="eastAsia"/>
          <w:sz w:val="24"/>
          <w:szCs w:val="21"/>
        </w:rPr>
        <w:t xml:space="preserve">2.1 </w:t>
      </w:r>
      <w:r>
        <w:rPr>
          <w:rFonts w:hint="eastAsia" w:ascii="宋体" w:hAnsi="宋体"/>
          <w:sz w:val="24"/>
          <w:szCs w:val="21"/>
        </w:rPr>
        <w:t xml:space="preserve">满足采购公告对供应商资格要求。</w:t>
      </w:r>
      <w:r/>
    </w:p>
    <w:p>
      <w:pPr>
        <w:pStyle w:val="666"/>
        <w:ind w:firstLine="420"/>
        <w:spacing w:line="400" w:lineRule="exact"/>
        <w:rPr>
          <w:rFonts w:hint="eastAsia" w:ascii="宋体" w:hAnsi="宋体"/>
          <w:sz w:val="24"/>
          <w:szCs w:val="21"/>
        </w:rPr>
      </w:pPr>
      <w:r>
        <w:rPr>
          <w:rFonts w:hint="eastAsia"/>
          <w:sz w:val="24"/>
          <w:szCs w:val="21"/>
        </w:rPr>
        <w:t xml:space="preserve">2.2 </w:t>
      </w:r>
      <w:r>
        <w:rPr>
          <w:rFonts w:hint="eastAsia" w:ascii="宋体" w:hAnsi="宋体"/>
          <w:sz w:val="24"/>
          <w:szCs w:val="21"/>
        </w:rPr>
        <w:t xml:space="preserve">满足磋商文件规定的实质性要求。</w:t>
      </w:r>
      <w:r/>
    </w:p>
    <w:p>
      <w:pPr>
        <w:pStyle w:val="666"/>
        <w:spacing w:line="400" w:lineRule="exact"/>
        <w:rPr>
          <w:rFonts w:hint="eastAsia" w:ascii="方正楷体_GBK" w:eastAsia="方正楷体_GBK"/>
          <w:b/>
          <w:bCs/>
          <w:sz w:val="24"/>
          <w:szCs w:val="28"/>
        </w:rPr>
        <w:outlineLvl w:val="2"/>
      </w:pPr>
      <w:r/>
      <w:bookmarkStart w:id="26" w:name="_Toc513029206"/>
      <w:r/>
      <w:bookmarkStart w:id="27" w:name="_Toc20823278"/>
      <w:r/>
      <w:bookmarkStart w:id="28" w:name="_Toc16938522"/>
      <w:r>
        <w:rPr>
          <w:rFonts w:hint="eastAsia" w:ascii="方正楷体_GBK" w:eastAsia="方正楷体_GBK"/>
          <w:b/>
          <w:bCs/>
          <w:sz w:val="24"/>
          <w:szCs w:val="28"/>
        </w:rPr>
        <w:t xml:space="preserve">3. 适用法律</w:t>
      </w:r>
      <w:bookmarkEnd w:id="26"/>
      <w:r/>
      <w:bookmarkEnd w:id="27"/>
      <w:r/>
      <w:bookmarkEnd w:id="28"/>
      <w:r>
        <w:rPr>
          <w:rFonts w:hint="eastAsia" w:ascii="方正楷体_GBK" w:eastAsia="方正楷体_GBK"/>
          <w:b/>
          <w:bCs/>
          <w:sz w:val="24"/>
          <w:szCs w:val="28"/>
        </w:rPr>
      </w:r>
      <w:r/>
    </w:p>
    <w:p>
      <w:pPr>
        <w:pStyle w:val="666"/>
        <w:ind w:firstLine="420"/>
        <w:spacing w:line="400" w:lineRule="exact"/>
        <w:rPr>
          <w:rFonts w:hint="eastAsia" w:ascii="宋体" w:hAnsi="宋体"/>
          <w:sz w:val="24"/>
          <w:szCs w:val="21"/>
        </w:rPr>
      </w:pPr>
      <w:r>
        <w:rPr>
          <w:rFonts w:hint="eastAsia"/>
          <w:sz w:val="24"/>
          <w:szCs w:val="21"/>
        </w:rPr>
        <w:t xml:space="preserve">3.1 </w:t>
      </w:r>
      <w:r>
        <w:rPr>
          <w:sz w:val="24"/>
          <w:szCs w:val="21"/>
        </w:rPr>
        <w:t xml:space="preserve">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66"/>
        <w:spacing w:line="400" w:lineRule="exact"/>
        <w:rPr>
          <w:rFonts w:hint="eastAsia" w:ascii="方正楷体_GBK" w:eastAsia="方正楷体_GBK"/>
          <w:b/>
          <w:bCs/>
          <w:sz w:val="24"/>
          <w:szCs w:val="28"/>
        </w:rPr>
        <w:outlineLvl w:val="2"/>
      </w:pPr>
      <w:r/>
      <w:bookmarkStart w:id="29" w:name="_Toc513029207"/>
      <w:r/>
      <w:bookmarkStart w:id="30" w:name="_Toc20823279"/>
      <w:r/>
      <w:bookmarkStart w:id="31" w:name="_Toc462564067"/>
      <w:r/>
      <w:bookmarkStart w:id="32" w:name="_Toc16938523"/>
      <w:r>
        <w:rPr>
          <w:rFonts w:hint="eastAsia" w:ascii="方正楷体_GBK" w:eastAsia="方正楷体_GBK"/>
          <w:b/>
          <w:bCs/>
          <w:sz w:val="24"/>
          <w:szCs w:val="28"/>
        </w:rPr>
        <w:t xml:space="preserve">4. 磋商费用</w:t>
      </w:r>
      <w:bookmarkEnd w:id="29"/>
      <w:r/>
      <w:bookmarkEnd w:id="30"/>
      <w:r/>
      <w:bookmarkEnd w:id="31"/>
      <w:r/>
      <w:bookmarkEnd w:id="32"/>
      <w:r>
        <w:rPr>
          <w:rFonts w:hint="eastAsia" w:ascii="方正楷体_GBK" w:eastAsia="方正楷体_GBK"/>
          <w:b/>
          <w:bCs/>
          <w:sz w:val="24"/>
          <w:szCs w:val="28"/>
        </w:rPr>
      </w:r>
      <w:r/>
    </w:p>
    <w:p>
      <w:pPr>
        <w:pStyle w:val="666"/>
        <w:ind w:firstLine="420"/>
        <w:spacing w:line="400" w:lineRule="exact"/>
        <w:rPr>
          <w:rFonts w:hint="eastAsia" w:ascii="宋体" w:hAnsi="宋体"/>
          <w:sz w:val="24"/>
          <w:szCs w:val="21"/>
        </w:rPr>
      </w:pPr>
      <w:r>
        <w:rPr>
          <w:sz w:val="24"/>
          <w:szCs w:val="21"/>
        </w:rPr>
        <w:t xml:space="preserve">4.1 </w:t>
      </w:r>
      <w:r>
        <w:rPr>
          <w:rFonts w:hint="eastAsia" w:ascii="宋体" w:hAnsi="宋体"/>
          <w:sz w:val="24"/>
          <w:szCs w:val="21"/>
        </w:rPr>
        <w:t xml:space="preserve">供应商应自行承担所有与参加采购有关的费用，采购人和采购代理机构在任何情况下均无义务和责任承担这些费用。</w:t>
      </w:r>
      <w:r/>
    </w:p>
    <w:p>
      <w:pPr>
        <w:pStyle w:val="666"/>
        <w:ind w:firstLine="420"/>
        <w:spacing w:line="400" w:lineRule="exact"/>
        <w:rPr>
          <w:sz w:val="24"/>
          <w:szCs w:val="21"/>
        </w:rPr>
      </w:pPr>
      <w:r/>
      <w:bookmarkStart w:id="33" w:name="_Hlk202281876"/>
      <w:r>
        <w:rPr>
          <w:sz w:val="24"/>
          <w:szCs w:val="21"/>
        </w:rPr>
        <w:t xml:space="preserve">4.2 本次采购收取代理服务费。本项目代理服务费以成交金额为基础，参照《江苏省政府采购代理服务费收费指导意见》（苏采协【2024】20号）文件规定收费标准的85%计取。如计算出的代理服务费低于人民币4000元的，则按人民币4000元</w:t>
      </w:r>
      <w:r>
        <w:rPr>
          <w:sz w:val="24"/>
          <w:szCs w:val="21"/>
        </w:rPr>
        <w:t xml:space="preserve">收取。代理服务费由成交供应商在领取成交通知书时向采购代理机构缴纳。</w:t>
      </w:r>
      <w:r/>
    </w:p>
    <w:p>
      <w:pPr>
        <w:pStyle w:val="666"/>
        <w:spacing w:line="400" w:lineRule="exact"/>
        <w:rPr>
          <w:rFonts w:hint="eastAsia" w:ascii="方正楷体_GBK" w:eastAsia="方正楷体_GBK"/>
          <w:b/>
          <w:bCs/>
          <w:sz w:val="24"/>
          <w:szCs w:val="28"/>
        </w:rPr>
        <w:outlineLvl w:val="2"/>
      </w:pPr>
      <w:r/>
      <w:bookmarkEnd w:id="33"/>
      <w:r>
        <w:rPr>
          <w:rFonts w:hint="eastAsia" w:ascii="方正楷体_GBK" w:eastAsia="方正楷体_GBK"/>
          <w:b/>
          <w:bCs/>
          <w:sz w:val="24"/>
          <w:szCs w:val="28"/>
        </w:rPr>
        <w:t xml:space="preserve">5. 磋商文件的约束力</w:t>
      </w:r>
      <w:r/>
    </w:p>
    <w:p>
      <w:pPr>
        <w:pStyle w:val="666"/>
        <w:ind w:firstLine="420"/>
        <w:spacing w:line="400" w:lineRule="exact"/>
        <w:rPr>
          <w:rFonts w:hint="eastAsia"/>
          <w:sz w:val="24"/>
          <w:szCs w:val="21"/>
        </w:rPr>
      </w:pPr>
      <w:r>
        <w:rPr>
          <w:rFonts w:hint="eastAsia"/>
          <w:sz w:val="24"/>
          <w:szCs w:val="21"/>
        </w:rPr>
        <w:t xml:space="preserve">5.1 </w:t>
      </w:r>
      <w:r>
        <w:rPr>
          <w:sz w:val="24"/>
          <w:szCs w:val="21"/>
        </w:rPr>
        <w:t xml:space="preserve">供应商一旦参加本项目采购活动，即被认为接受了本文件的规定和约束。</w:t>
      </w:r>
      <w:r>
        <w:rPr>
          <w:rFonts w:hint="eastAsia"/>
          <w:sz w:val="24"/>
          <w:szCs w:val="21"/>
        </w:rPr>
      </w:r>
      <w:r/>
    </w:p>
    <w:p>
      <w:pPr>
        <w:pStyle w:val="666"/>
        <w:spacing w:line="400" w:lineRule="exact"/>
        <w:rPr>
          <w:rFonts w:hint="eastAsia" w:ascii="宋体" w:hAnsi="宋体"/>
          <w:b/>
          <w:bCs/>
          <w:sz w:val="28"/>
          <w:szCs w:val="32"/>
        </w:rPr>
        <w:outlineLvl w:val="1"/>
      </w:pPr>
      <w:r/>
      <w:bookmarkStart w:id="34" w:name="_Toc16938525"/>
      <w:r/>
      <w:bookmarkStart w:id="35" w:name="_Toc20823281"/>
      <w:r/>
      <w:bookmarkStart w:id="36" w:name="_Toc513029209"/>
      <w:r/>
      <w:bookmarkStart w:id="37" w:name="_Toc120614215"/>
      <w:r>
        <w:rPr>
          <w:rFonts w:hint="eastAsia" w:ascii="宋体" w:hAnsi="宋体"/>
          <w:b/>
          <w:bCs/>
          <w:sz w:val="28"/>
          <w:szCs w:val="32"/>
        </w:rPr>
        <w:t xml:space="preserve">二、</w:t>
      </w:r>
      <w:bookmarkEnd w:id="34"/>
      <w:r/>
      <w:bookmarkEnd w:id="35"/>
      <w:r/>
      <w:bookmarkEnd w:id="36"/>
      <w:r/>
      <w:bookmarkEnd w:id="37"/>
      <w:r>
        <w:rPr>
          <w:rFonts w:hint="eastAsia" w:ascii="宋体" w:hAnsi="宋体"/>
          <w:b/>
          <w:bCs/>
          <w:sz w:val="28"/>
          <w:szCs w:val="32"/>
        </w:rPr>
        <w:t xml:space="preserve">磋商文件</w:t>
      </w:r>
      <w:r/>
    </w:p>
    <w:p>
      <w:pPr>
        <w:pStyle w:val="666"/>
        <w:spacing w:line="400" w:lineRule="exact"/>
        <w:rPr>
          <w:rFonts w:hint="eastAsia" w:ascii="方正楷体_GBK" w:eastAsia="方正楷体_GBK"/>
          <w:b/>
          <w:bCs/>
          <w:sz w:val="24"/>
          <w:szCs w:val="28"/>
        </w:rPr>
        <w:outlineLvl w:val="2"/>
      </w:pPr>
      <w:r/>
      <w:bookmarkStart w:id="38" w:name="_Toc513029210"/>
      <w:r/>
      <w:bookmarkStart w:id="39" w:name="_Toc20823282"/>
      <w:r/>
      <w:bookmarkStart w:id="40" w:name="_Toc16938526"/>
      <w:r>
        <w:rPr>
          <w:rFonts w:hint="eastAsia" w:ascii="方正楷体_GBK" w:eastAsia="方正楷体_GBK"/>
          <w:b/>
          <w:bCs/>
          <w:sz w:val="24"/>
          <w:szCs w:val="28"/>
        </w:rPr>
        <w:t xml:space="preserve">6. 磋商文件构成</w:t>
      </w:r>
      <w:bookmarkEnd w:id="38"/>
      <w:r/>
      <w:bookmarkEnd w:id="39"/>
      <w:r/>
      <w:bookmarkEnd w:id="40"/>
      <w:r>
        <w:rPr>
          <w:rFonts w:hint="eastAsia" w:ascii="方正楷体_GBK" w:eastAsia="方正楷体_GBK"/>
          <w:b/>
          <w:bCs/>
          <w:sz w:val="24"/>
          <w:szCs w:val="28"/>
        </w:rPr>
      </w:r>
      <w:r/>
    </w:p>
    <w:p>
      <w:pPr>
        <w:pStyle w:val="666"/>
        <w:ind w:firstLine="420"/>
        <w:spacing w:line="400" w:lineRule="exact"/>
        <w:rPr>
          <w:sz w:val="24"/>
          <w:szCs w:val="21"/>
        </w:rPr>
      </w:pPr>
      <w:r>
        <w:rPr>
          <w:rFonts w:hint="eastAsia"/>
          <w:sz w:val="24"/>
          <w:szCs w:val="21"/>
        </w:rPr>
        <w:t xml:space="preserve">6.1 磋商文件由以下部分组成：</w:t>
      </w:r>
      <w:r>
        <w:rPr>
          <w:sz w:val="24"/>
          <w:szCs w:val="21"/>
        </w:rPr>
      </w:r>
      <w:r/>
    </w:p>
    <w:p>
      <w:pPr>
        <w:pStyle w:val="666"/>
        <w:ind w:firstLine="420"/>
        <w:spacing w:line="400" w:lineRule="exact"/>
        <w:rPr>
          <w:rFonts w:hint="eastAsia"/>
          <w:sz w:val="24"/>
          <w:szCs w:val="21"/>
        </w:rPr>
      </w:pPr>
      <w:r>
        <w:rPr>
          <w:rFonts w:hint="eastAsia"/>
          <w:sz w:val="24"/>
          <w:szCs w:val="21"/>
        </w:rPr>
        <w:t xml:space="preserve">（1）磋商邀请</w:t>
      </w:r>
      <w:r/>
    </w:p>
    <w:p>
      <w:pPr>
        <w:pStyle w:val="666"/>
        <w:ind w:firstLine="420"/>
        <w:spacing w:line="400" w:lineRule="exact"/>
        <w:rPr>
          <w:rFonts w:hint="eastAsia"/>
          <w:sz w:val="24"/>
          <w:szCs w:val="21"/>
        </w:rPr>
      </w:pPr>
      <w:r>
        <w:rPr>
          <w:rFonts w:hint="eastAsia"/>
          <w:sz w:val="24"/>
          <w:szCs w:val="21"/>
        </w:rPr>
        <w:t xml:space="preserve">（2）供应商须知</w:t>
      </w:r>
      <w:r/>
    </w:p>
    <w:p>
      <w:pPr>
        <w:pStyle w:val="666"/>
        <w:ind w:firstLine="420"/>
        <w:spacing w:line="400" w:lineRule="exact"/>
        <w:rPr>
          <w:rFonts w:hint="eastAsia"/>
          <w:sz w:val="24"/>
          <w:szCs w:val="21"/>
        </w:rPr>
      </w:pPr>
      <w:r>
        <w:rPr>
          <w:rFonts w:hint="eastAsia"/>
          <w:sz w:val="24"/>
          <w:szCs w:val="21"/>
        </w:rPr>
        <w:t xml:space="preserve">（3）合同文本</w:t>
      </w:r>
      <w:r/>
    </w:p>
    <w:p>
      <w:pPr>
        <w:pStyle w:val="666"/>
        <w:ind w:firstLine="420"/>
        <w:spacing w:line="400" w:lineRule="exact"/>
        <w:rPr>
          <w:rFonts w:hint="eastAsia"/>
          <w:sz w:val="24"/>
          <w:szCs w:val="21"/>
        </w:rPr>
      </w:pPr>
      <w:r>
        <w:rPr>
          <w:rFonts w:hint="eastAsia"/>
          <w:sz w:val="24"/>
          <w:szCs w:val="21"/>
        </w:rPr>
        <w:t xml:space="preserve">（4）采购需求</w:t>
      </w:r>
      <w:r/>
    </w:p>
    <w:p>
      <w:pPr>
        <w:pStyle w:val="666"/>
        <w:ind w:firstLine="420"/>
        <w:spacing w:line="400" w:lineRule="exact"/>
        <w:rPr>
          <w:rFonts w:hint="eastAsia"/>
          <w:sz w:val="24"/>
          <w:szCs w:val="21"/>
        </w:rPr>
      </w:pPr>
      <w:r>
        <w:rPr>
          <w:rFonts w:hint="eastAsia"/>
          <w:sz w:val="24"/>
          <w:szCs w:val="21"/>
        </w:rPr>
        <w:t xml:space="preserve">（5）评审方法与评审标准</w:t>
      </w:r>
      <w:r/>
    </w:p>
    <w:p>
      <w:pPr>
        <w:pStyle w:val="666"/>
        <w:ind w:firstLine="420"/>
        <w:spacing w:line="400" w:lineRule="exact"/>
        <w:rPr>
          <w:rFonts w:hint="eastAsia"/>
          <w:sz w:val="24"/>
          <w:szCs w:val="21"/>
        </w:rPr>
      </w:pPr>
      <w:r>
        <w:rPr>
          <w:rFonts w:hint="eastAsia"/>
          <w:sz w:val="24"/>
          <w:szCs w:val="21"/>
        </w:rPr>
        <w:t xml:space="preserve">（6）响应文件格式</w:t>
      </w:r>
      <w:r/>
    </w:p>
    <w:p>
      <w:pPr>
        <w:pStyle w:val="666"/>
        <w:ind w:firstLine="420"/>
        <w:spacing w:line="400" w:lineRule="exact"/>
        <w:rPr>
          <w:rFonts w:hint="eastAsia"/>
          <w:sz w:val="24"/>
          <w:szCs w:val="21"/>
        </w:rPr>
      </w:pPr>
      <w:r>
        <w:rPr>
          <w:rFonts w:hint="eastAsia"/>
          <w:sz w:val="24"/>
          <w:szCs w:val="21"/>
        </w:rPr>
        <w:t xml:space="preserve">供应商应仔细检查磋商文件是否齐全，如有缺漏请立即与采购代理机构联系。</w:t>
      </w:r>
      <w:r/>
    </w:p>
    <w:p>
      <w:pPr>
        <w:pStyle w:val="666"/>
        <w:ind w:firstLine="420"/>
        <w:spacing w:line="400" w:lineRule="exact"/>
        <w:rPr>
          <w:rFonts w:hint="eastAsia"/>
          <w:sz w:val="24"/>
          <w:szCs w:val="21"/>
        </w:rPr>
      </w:pPr>
      <w:r>
        <w:rPr>
          <w:rFonts w:hint="eastAsia"/>
          <w:sz w:val="24"/>
          <w:szCs w:val="21"/>
        </w:rPr>
        <w:t xml:space="preserve">6.</w:t>
      </w:r>
      <w:r>
        <w:rPr>
          <w:rFonts w:hint="eastAsia"/>
          <w:sz w:val="24"/>
          <w:szCs w:val="21"/>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66"/>
        <w:spacing w:line="400" w:lineRule="exact"/>
        <w:rPr>
          <w:rFonts w:hint="eastAsia" w:ascii="方正楷体_GBK" w:eastAsia="方正楷体_GBK"/>
          <w:b/>
          <w:bCs/>
          <w:sz w:val="24"/>
          <w:szCs w:val="28"/>
        </w:rPr>
        <w:outlineLvl w:val="2"/>
      </w:pPr>
      <w:r/>
      <w:bookmarkStart w:id="41" w:name="_Toc20823283"/>
      <w:r/>
      <w:bookmarkStart w:id="42" w:name="_Toc462564070"/>
      <w:r/>
      <w:bookmarkStart w:id="43" w:name="_Toc16938527"/>
      <w:r/>
      <w:bookmarkStart w:id="44" w:name="_Toc513029211"/>
      <w:r>
        <w:rPr>
          <w:rFonts w:hint="eastAsia" w:ascii="方正楷体_GBK" w:eastAsia="方正楷体_GBK"/>
          <w:b/>
          <w:bCs/>
          <w:sz w:val="24"/>
          <w:szCs w:val="28"/>
        </w:rPr>
        <w:t xml:space="preserve">7. 磋商文件的澄清</w:t>
      </w:r>
      <w:bookmarkEnd w:id="41"/>
      <w:r/>
      <w:bookmarkEnd w:id="42"/>
      <w:r/>
      <w:bookmarkEnd w:id="43"/>
      <w:r/>
      <w:bookmarkEnd w:id="44"/>
      <w:r>
        <w:rPr>
          <w:rFonts w:hint="eastAsia" w:ascii="方正楷体_GBK" w:eastAsia="方正楷体_GBK"/>
          <w:b/>
          <w:bCs/>
          <w:sz w:val="24"/>
          <w:szCs w:val="28"/>
        </w:rPr>
        <w:t xml:space="preserve">或修改</w:t>
      </w:r>
      <w:r/>
    </w:p>
    <w:p>
      <w:pPr>
        <w:pStyle w:val="666"/>
        <w:ind w:firstLine="420"/>
        <w:spacing w:line="400" w:lineRule="exact"/>
        <w:rPr>
          <w:rFonts w:hint="eastAsia"/>
          <w:sz w:val="24"/>
          <w:szCs w:val="21"/>
        </w:rPr>
      </w:pPr>
      <w:r>
        <w:rPr>
          <w:rFonts w:hint="eastAsia"/>
          <w:sz w:val="24"/>
          <w:szCs w:val="21"/>
        </w:rPr>
        <w:t xml:space="preserve">7.1 在响应文件提交截止时间前，</w:t>
      </w:r>
      <w:r>
        <w:rPr>
          <w:sz w:val="24"/>
          <w:szCs w:val="21"/>
        </w:rPr>
        <w:t xml:space="preserve">采购代理机构</w:t>
      </w:r>
      <w:r>
        <w:rPr>
          <w:rFonts w:hint="eastAsia"/>
          <w:sz w:val="24"/>
          <w:szCs w:val="21"/>
        </w:rPr>
        <w:t xml:space="preserve">可以对已发出的磋商文件进行必要的澄清或者修改，并在原公告发布媒体发布更正公告，澄清或修改的内容将作为磋商文件的组成部分，并对供应商具有约束力。</w:t>
      </w:r>
      <w:r/>
    </w:p>
    <w:p>
      <w:pPr>
        <w:pStyle w:val="666"/>
        <w:ind w:firstLine="420"/>
        <w:spacing w:line="400" w:lineRule="exact"/>
        <w:rPr>
          <w:rFonts w:hint="eastAsia"/>
          <w:sz w:val="24"/>
          <w:szCs w:val="21"/>
        </w:rPr>
      </w:pPr>
      <w:r>
        <w:rPr>
          <w:rFonts w:hint="eastAsia"/>
          <w:sz w:val="24"/>
          <w:szCs w:val="21"/>
        </w:rPr>
        <w:t xml:space="preserve">7.2 供应商应在提交响应文件截止时间前，关注原公告发布媒体有关本项目的更正公告，根据更正公告内容自行决定是否需要重新制作和提交响应文件</w:t>
      </w:r>
      <w:r>
        <w:rPr>
          <w:rFonts w:hint="eastAsia"/>
          <w:sz w:val="24"/>
          <w:szCs w:val="21"/>
        </w:rPr>
        <w:t xml:space="preserve">，并承担由此产生的相应责任。</w:t>
      </w:r>
      <w:r/>
    </w:p>
    <w:p>
      <w:pPr>
        <w:pStyle w:val="666"/>
        <w:ind w:firstLine="420"/>
        <w:spacing w:line="400" w:lineRule="exact"/>
        <w:rPr>
          <w:rFonts w:hint="eastAsia"/>
          <w:sz w:val="24"/>
          <w:szCs w:val="21"/>
        </w:rPr>
      </w:pPr>
      <w:r>
        <w:rPr>
          <w:rFonts w:hint="eastAsia"/>
          <w:sz w:val="24"/>
          <w:szCs w:val="21"/>
        </w:rPr>
        <w:t xml:space="preserve">7.3 </w:t>
      </w:r>
      <w:r>
        <w:rPr>
          <w:sz w:val="24"/>
          <w:szCs w:val="21"/>
        </w:rPr>
        <w:t xml:space="preserve">采购代理机构</w:t>
      </w:r>
      <w:r>
        <w:rPr>
          <w:rFonts w:hint="eastAsia"/>
          <w:sz w:val="24"/>
          <w:szCs w:val="21"/>
        </w:rPr>
        <w:t xml:space="preserve">有权按照法定的要求推迟提交响应文件截止时间，并在原公告发布媒体发布更正公告。</w:t>
      </w:r>
      <w:r/>
    </w:p>
    <w:p>
      <w:pPr>
        <w:pStyle w:val="666"/>
        <w:spacing w:line="400" w:lineRule="exact"/>
        <w:rPr>
          <w:rFonts w:hint="eastAsia" w:ascii="宋体" w:hAnsi="宋体"/>
          <w:b/>
          <w:bCs/>
          <w:sz w:val="28"/>
          <w:szCs w:val="32"/>
        </w:rPr>
        <w:outlineLvl w:val="1"/>
      </w:pPr>
      <w:r/>
      <w:bookmarkStart w:id="45" w:name="_Toc462564072"/>
      <w:r/>
      <w:bookmarkStart w:id="46" w:name="_Toc120614216"/>
      <w:r/>
      <w:bookmarkStart w:id="47" w:name="_Toc20823285"/>
      <w:r/>
      <w:bookmarkStart w:id="48" w:name="_Toc16938529"/>
      <w:r/>
      <w:bookmarkStart w:id="49" w:name="_Toc513029213"/>
      <w:r>
        <w:rPr>
          <w:rFonts w:hint="eastAsia" w:ascii="宋体" w:hAnsi="宋体"/>
          <w:b/>
          <w:bCs/>
          <w:sz w:val="28"/>
          <w:szCs w:val="32"/>
        </w:rPr>
        <w:t xml:space="preserve">三、响应文件的编制</w:t>
      </w:r>
      <w:bookmarkEnd w:id="45"/>
      <w:r/>
      <w:bookmarkEnd w:id="46"/>
      <w:r/>
      <w:bookmarkEnd w:id="47"/>
      <w:r/>
      <w:bookmarkEnd w:id="48"/>
      <w:r/>
      <w:bookmarkEnd w:id="49"/>
      <w:r>
        <w:rPr>
          <w:rFonts w:hint="eastAsia" w:ascii="宋体" w:hAnsi="宋体"/>
          <w:b/>
          <w:bCs/>
          <w:sz w:val="28"/>
          <w:szCs w:val="32"/>
        </w:rPr>
      </w:r>
      <w:r/>
    </w:p>
    <w:p>
      <w:pPr>
        <w:pStyle w:val="666"/>
        <w:spacing w:line="400" w:lineRule="exact"/>
        <w:rPr>
          <w:rFonts w:hint="eastAsia" w:ascii="方正楷体_GBK" w:eastAsia="方正楷体_GBK"/>
          <w:b/>
          <w:bCs/>
          <w:sz w:val="24"/>
          <w:szCs w:val="28"/>
        </w:rPr>
        <w:outlineLvl w:val="2"/>
      </w:pPr>
      <w:r/>
      <w:bookmarkStart w:id="50" w:name="_Toc20823286"/>
      <w:r/>
      <w:bookmarkStart w:id="51" w:name="_Toc16938530"/>
      <w:r/>
      <w:bookmarkStart w:id="52" w:name="_Toc462564073"/>
      <w:r/>
      <w:bookmarkStart w:id="53" w:name="_Toc513029214"/>
      <w:r>
        <w:rPr>
          <w:rFonts w:hint="eastAsia" w:ascii="方正楷体_GBK" w:eastAsia="方正楷体_GBK"/>
          <w:b/>
          <w:bCs/>
          <w:sz w:val="24"/>
          <w:szCs w:val="28"/>
        </w:rPr>
        <w:t xml:space="preserve">8. 响应文件的语言及度量衡单位</w:t>
      </w:r>
      <w:bookmarkEnd w:id="50"/>
      <w:r/>
      <w:bookmarkEnd w:id="51"/>
      <w:r/>
      <w:bookmarkEnd w:id="52"/>
      <w:r/>
      <w:bookmarkEnd w:id="53"/>
      <w:r>
        <w:rPr>
          <w:rFonts w:hint="eastAsia" w:ascii="方正楷体_GBK" w:eastAsia="方正楷体_GBK"/>
          <w:b/>
          <w:bCs/>
          <w:sz w:val="24"/>
          <w:szCs w:val="28"/>
        </w:rPr>
      </w:r>
      <w:r/>
    </w:p>
    <w:p>
      <w:pPr>
        <w:pStyle w:val="666"/>
        <w:ind w:firstLine="420"/>
        <w:spacing w:line="400" w:lineRule="exact"/>
        <w:rPr>
          <w:rFonts w:hint="eastAsia"/>
          <w:sz w:val="24"/>
          <w:szCs w:val="21"/>
        </w:rPr>
      </w:pPr>
      <w:r>
        <w:rPr>
          <w:rFonts w:hint="eastAsia"/>
          <w:sz w:val="24"/>
          <w:szCs w:val="21"/>
        </w:rPr>
        <w:t xml:space="preserve">8.1 供应商提交的响应文件以及供应商与采购代理机构就有关磋商的所有来往通知、函件和文件均应使用简体中文。</w:t>
      </w:r>
      <w:r/>
    </w:p>
    <w:p>
      <w:pPr>
        <w:pStyle w:val="666"/>
        <w:ind w:firstLine="420"/>
        <w:spacing w:line="400" w:lineRule="exact"/>
        <w:rPr>
          <w:rFonts w:hint="eastAsia"/>
          <w:sz w:val="24"/>
          <w:szCs w:val="21"/>
        </w:rPr>
      </w:pPr>
      <w:r>
        <w:rPr>
          <w:rFonts w:hint="eastAsia"/>
          <w:sz w:val="24"/>
          <w:szCs w:val="21"/>
        </w:rPr>
        <w:t xml:space="preserve">8.2 除技术性能另有规定外，响应文件所使用的度量衡单位，均须采用国家法定计量单位。</w:t>
      </w:r>
      <w:r/>
    </w:p>
    <w:p>
      <w:pPr>
        <w:pStyle w:val="666"/>
        <w:spacing w:line="400" w:lineRule="exact"/>
        <w:rPr>
          <w:rFonts w:hint="eastAsia" w:ascii="方正楷体_GBK" w:eastAsia="方正楷体_GBK"/>
          <w:b/>
          <w:bCs/>
          <w:sz w:val="24"/>
          <w:szCs w:val="28"/>
        </w:rPr>
        <w:outlineLvl w:val="2"/>
      </w:pPr>
      <w:r/>
      <w:bookmarkStart w:id="54" w:name="_Toc20823287"/>
      <w:r/>
      <w:bookmarkStart w:id="55" w:name="_Toc462564074"/>
      <w:r/>
      <w:bookmarkStart w:id="56" w:name="_Toc16938531"/>
      <w:r/>
      <w:bookmarkStart w:id="57" w:name="_Toc513029215"/>
      <w:r>
        <w:rPr>
          <w:rFonts w:hint="eastAsia" w:ascii="方正楷体_GBK" w:eastAsia="方正楷体_GBK"/>
          <w:b/>
          <w:bCs/>
          <w:sz w:val="24"/>
          <w:szCs w:val="28"/>
        </w:rPr>
        <w:t xml:space="preserve">9. 响应文件构成</w:t>
      </w:r>
      <w:bookmarkEnd w:id="54"/>
      <w:r/>
      <w:bookmarkEnd w:id="55"/>
      <w:r/>
      <w:bookmarkEnd w:id="56"/>
      <w:r/>
      <w:bookmarkEnd w:id="57"/>
      <w:r>
        <w:rPr>
          <w:rFonts w:hint="eastAsia" w:ascii="方正楷体_GBK" w:eastAsia="方正楷体_GBK"/>
          <w:b/>
          <w:bCs/>
          <w:sz w:val="24"/>
          <w:szCs w:val="28"/>
        </w:rPr>
      </w:r>
      <w:r/>
    </w:p>
    <w:p>
      <w:pPr>
        <w:pStyle w:val="666"/>
        <w:ind w:firstLine="480"/>
        <w:spacing w:line="400" w:lineRule="exact"/>
        <w:rPr>
          <w:rFonts w:hint="eastAsia"/>
          <w:sz w:val="24"/>
          <w:szCs w:val="21"/>
        </w:rPr>
      </w:pPr>
      <w:r>
        <w:rPr>
          <w:rFonts w:hint="eastAsia"/>
          <w:sz w:val="24"/>
          <w:szCs w:val="21"/>
        </w:rPr>
        <w:t xml:space="preserve">9.1 供应商编写的响应文件应包括资格证明文件、符合性证明文件、磋商报价</w:t>
      </w:r>
      <w:r>
        <w:rPr>
          <w:rFonts w:hint="eastAsia"/>
          <w:sz w:val="24"/>
          <w:szCs w:val="21"/>
        </w:rPr>
        <w:t xml:space="preserve">表、分项报价表（如有）、响应及偏离表、磋商响应函、法定代表人授权委托书。</w:t>
      </w:r>
      <w:r/>
    </w:p>
    <w:p>
      <w:pPr>
        <w:pStyle w:val="666"/>
        <w:ind w:firstLine="480"/>
        <w:spacing w:line="400" w:lineRule="exact"/>
        <w:rPr>
          <w:rFonts w:hint="eastAsia"/>
          <w:sz w:val="24"/>
          <w:szCs w:val="21"/>
        </w:rPr>
      </w:pPr>
      <w:r>
        <w:rPr>
          <w:rFonts w:hint="eastAsia"/>
          <w:sz w:val="24"/>
          <w:szCs w:val="21"/>
        </w:rPr>
        <w:t xml:space="preserve">9.2 </w:t>
      </w:r>
      <w:r>
        <w:rPr>
          <w:rFonts w:hint="eastAsia"/>
          <w:b/>
          <w:bCs/>
          <w:sz w:val="24"/>
          <w:szCs w:val="21"/>
        </w:rPr>
        <w:t xml:space="preserve">如标书制作工具与“江苏政府采购网”发布的磋商文件内容不一致，以“江苏政府采购网”发布的磋商文件为准。</w:t>
      </w:r>
      <w:r>
        <w:rPr>
          <w:rFonts w:hint="eastAsia"/>
          <w:sz w:val="24"/>
          <w:szCs w:val="21"/>
        </w:rPr>
      </w:r>
      <w:r/>
    </w:p>
    <w:p>
      <w:pPr>
        <w:pStyle w:val="666"/>
        <w:spacing w:line="400" w:lineRule="exact"/>
        <w:rPr>
          <w:rFonts w:hint="eastAsia" w:ascii="方正楷体_GBK" w:eastAsia="方正楷体_GBK"/>
          <w:b/>
          <w:bCs/>
          <w:sz w:val="24"/>
          <w:szCs w:val="28"/>
        </w:rPr>
        <w:outlineLvl w:val="2"/>
      </w:pPr>
      <w:r/>
      <w:bookmarkStart w:id="58" w:name="_Toc513029219"/>
      <w:r/>
      <w:bookmarkStart w:id="59" w:name="_Toc49090508"/>
      <w:r/>
      <w:bookmarkStart w:id="60" w:name="_Toc14577354"/>
      <w:r/>
      <w:bookmarkStart w:id="61" w:name="_Toc513029216"/>
      <w:r/>
      <w:bookmarkStart w:id="62" w:name="_Toc49090509"/>
      <w:r/>
      <w:bookmarkStart w:id="63" w:name="_Hlt26954838"/>
      <w:r/>
      <w:bookmarkEnd w:id="63"/>
      <w:r/>
      <w:bookmarkStart w:id="64" w:name="_Hlt26668975"/>
      <w:r/>
      <w:bookmarkEnd w:id="64"/>
      <w:r/>
      <w:bookmarkStart w:id="65" w:name="_Hlt26670360"/>
      <w:r/>
      <w:bookmarkEnd w:id="65"/>
      <w:r/>
      <w:bookmarkStart w:id="66" w:name="_Toc14577355"/>
      <w:r/>
      <w:bookmarkStart w:id="67" w:name="_Toc14577357"/>
      <w:r/>
      <w:bookmarkStart w:id="68" w:name="_Toc49090507"/>
      <w:r>
        <w:rPr>
          <w:rFonts w:hint="eastAsia" w:ascii="方正楷体_GBK" w:eastAsia="方正楷体_GBK"/>
          <w:b/>
          <w:bCs/>
          <w:sz w:val="24"/>
          <w:szCs w:val="28"/>
        </w:rPr>
        <w:t xml:space="preserve">10. 磋商报价</w:t>
      </w:r>
      <w:r/>
    </w:p>
    <w:p>
      <w:pPr>
        <w:pStyle w:val="666"/>
        <w:ind w:firstLine="420"/>
        <w:spacing w:line="400" w:lineRule="exact"/>
        <w:rPr>
          <w:rFonts w:hint="eastAsia"/>
          <w:sz w:val="24"/>
          <w:szCs w:val="21"/>
        </w:rPr>
      </w:pPr>
      <w:r>
        <w:rPr>
          <w:rFonts w:hint="eastAsia"/>
          <w:sz w:val="24"/>
          <w:szCs w:val="21"/>
        </w:rPr>
        <w:t xml:space="preserve">10.1 响应文件中的单价和总价无特殊规定的采用人民币报价，以元为单位标注。磋商文件另有规定的按规定执行。</w:t>
      </w:r>
      <w:r/>
    </w:p>
    <w:p>
      <w:pPr>
        <w:pStyle w:val="666"/>
        <w:ind w:firstLine="420"/>
        <w:spacing w:line="400" w:lineRule="exact"/>
        <w:rPr>
          <w:rFonts w:hint="eastAsia"/>
          <w:sz w:val="24"/>
          <w:szCs w:val="21"/>
        </w:rPr>
      </w:pPr>
      <w:r>
        <w:rPr>
          <w:rFonts w:hint="eastAsia"/>
          <w:sz w:val="24"/>
          <w:szCs w:val="21"/>
        </w:rPr>
        <w:t xml:space="preserve">10.2 </w:t>
      </w:r>
      <w:r>
        <w:rPr>
          <w:rFonts w:hint="eastAsia"/>
          <w:b/>
          <w:bCs/>
          <w:sz w:val="24"/>
          <w:szCs w:val="21"/>
        </w:rPr>
        <w:t xml:space="preserve">供应商应按照磋商文件规定完整、准确填报磋商报价表和分项报价表（如有），否则作为无效响应。</w:t>
      </w:r>
      <w:r>
        <w:rPr>
          <w:rFonts w:hint="eastAsia"/>
          <w:sz w:val="24"/>
          <w:szCs w:val="21"/>
        </w:rPr>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11. 响应及偏离表</w:t>
      </w:r>
      <w:r/>
    </w:p>
    <w:p>
      <w:pPr>
        <w:pStyle w:val="666"/>
        <w:ind w:firstLine="420"/>
        <w:spacing w:line="400" w:lineRule="exact"/>
        <w:rPr>
          <w:rFonts w:hint="eastAsia"/>
          <w:sz w:val="24"/>
          <w:szCs w:val="21"/>
        </w:rPr>
      </w:pPr>
      <w:r>
        <w:rPr>
          <w:rFonts w:hint="eastAsia"/>
          <w:sz w:val="24"/>
          <w:szCs w:val="21"/>
        </w:rPr>
        <w:t xml:space="preserve">11.1 供应商需对磋商文件中的技术要求与商务要求逐项作出响应或偏离说明。</w:t>
      </w:r>
      <w:r/>
    </w:p>
    <w:p>
      <w:pPr>
        <w:pStyle w:val="666"/>
        <w:ind w:firstLine="420"/>
        <w:spacing w:line="400" w:lineRule="exact"/>
        <w:rPr>
          <w:rFonts w:hint="eastAsia"/>
          <w:sz w:val="24"/>
          <w:szCs w:val="21"/>
        </w:rPr>
      </w:pPr>
      <w:r>
        <w:rPr>
          <w:rFonts w:hint="eastAsia"/>
          <w:sz w:val="24"/>
          <w:szCs w:val="21"/>
        </w:rPr>
        <w:t xml:space="preserve">11.2 供应商可在响应文件中提供认为需要的其他技术文件或说明。</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12. 磋商响应函和授权委托书</w:t>
      </w:r>
      <w:r>
        <w:rPr>
          <w:rFonts w:ascii="方正楷体_GBK" w:eastAsia="方正楷体_GBK"/>
          <w:b/>
          <w:bCs/>
          <w:sz w:val="24"/>
          <w:szCs w:val="28"/>
        </w:rPr>
      </w:r>
      <w:r/>
    </w:p>
    <w:p>
      <w:pPr>
        <w:pStyle w:val="666"/>
        <w:ind w:firstLine="420"/>
        <w:spacing w:line="400" w:lineRule="exact"/>
        <w:rPr>
          <w:rFonts w:hint="eastAsia"/>
          <w:sz w:val="24"/>
          <w:szCs w:val="21"/>
        </w:rPr>
      </w:pPr>
      <w:r>
        <w:rPr>
          <w:rFonts w:hint="eastAsia"/>
          <w:sz w:val="24"/>
          <w:szCs w:val="21"/>
        </w:rPr>
        <w:t xml:space="preserve">12.1 </w:t>
      </w:r>
      <w:r>
        <w:rPr>
          <w:rFonts w:hint="eastAsia"/>
          <w:b/>
          <w:bCs/>
          <w:sz w:val="24"/>
          <w:szCs w:val="21"/>
        </w:rPr>
        <w:t xml:space="preserve">供应商应按照磋商文件规定完整、正确填报磋商响应函和法定代表人授权委托书，否则作为无效响应。</w:t>
      </w:r>
      <w:r>
        <w:rPr>
          <w:rFonts w:hint="eastAsia"/>
          <w:sz w:val="24"/>
          <w:szCs w:val="21"/>
        </w:rPr>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13. 磋商有效期</w:t>
      </w:r>
      <w:r/>
    </w:p>
    <w:p>
      <w:pPr>
        <w:pStyle w:val="666"/>
        <w:ind w:firstLine="420"/>
        <w:spacing w:line="400" w:lineRule="exact"/>
        <w:rPr>
          <w:sz w:val="24"/>
          <w:szCs w:val="21"/>
        </w:rPr>
      </w:pPr>
      <w:r>
        <w:rPr>
          <w:sz w:val="24"/>
          <w:szCs w:val="21"/>
        </w:rPr>
        <w:t xml:space="preserve">13.1 磋商有效期为采购公告规定的提交响应文件截止之日起六十天。磋商有效期比规定短的将被视为非实质性响应磋商文件，其磋商响应将被拒绝。</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14. 磋商有效期的延长</w:t>
      </w:r>
      <w:r/>
    </w:p>
    <w:p>
      <w:pPr>
        <w:pStyle w:val="666"/>
        <w:ind w:firstLine="420"/>
        <w:spacing w:line="400" w:lineRule="exact"/>
        <w:rPr>
          <w:rFonts w:hint="eastAsia"/>
          <w:sz w:val="24"/>
          <w:szCs w:val="21"/>
        </w:rPr>
      </w:pPr>
      <w:r>
        <w:rPr>
          <w:rFonts w:hint="eastAsia"/>
          <w:sz w:val="24"/>
          <w:szCs w:val="21"/>
        </w:rPr>
        <w:t xml:space="preserve">14.1 在特殊情况下，采购代理机构于原磋商有效期满之前，可向供应商提出延长磋商有效期的要求。这种要求与答复均应采用书面形式。供应商</w:t>
      </w:r>
      <w:r>
        <w:rPr>
          <w:rFonts w:hint="eastAsia"/>
          <w:sz w:val="24"/>
          <w:szCs w:val="21"/>
        </w:rPr>
        <w:t xml:space="preserve">可以拒绝采购代理机构的这一要求而放弃磋商。同意延长磋商有效期的供应商既不能要求也不允许修改其响应文件，同时受磋商有效期约束的所有权利与义务均延长至新的有效期满。</w:t>
      </w:r>
      <w:r/>
    </w:p>
    <w:p>
      <w:pPr>
        <w:pStyle w:val="666"/>
        <w:spacing w:line="400" w:lineRule="exact"/>
        <w:rPr>
          <w:rFonts w:ascii="宋体" w:hAnsi="宋体"/>
          <w:b/>
          <w:bCs/>
          <w:sz w:val="28"/>
          <w:szCs w:val="32"/>
        </w:rPr>
        <w:outlineLvl w:val="1"/>
      </w:pPr>
      <w:r>
        <w:rPr>
          <w:rFonts w:hint="eastAsia" w:ascii="宋体" w:hAnsi="宋体"/>
          <w:b/>
          <w:bCs/>
          <w:sz w:val="28"/>
          <w:szCs w:val="32"/>
        </w:rPr>
        <w:t xml:space="preserve">四、响应文件的递交、撤回和修改</w:t>
      </w:r>
      <w:r>
        <w:rPr>
          <w:rFonts w:ascii="宋体" w:hAnsi="宋体"/>
          <w:b/>
          <w:bCs/>
          <w:sz w:val="28"/>
          <w:szCs w:val="32"/>
        </w:rPr>
      </w:r>
      <w:r/>
    </w:p>
    <w:p>
      <w:pPr>
        <w:pStyle w:val="666"/>
        <w:spacing w:line="400" w:lineRule="exact"/>
        <w:rPr>
          <w:rFonts w:hint="eastAsia" w:ascii="方正楷体_GBK" w:eastAsia="方正楷体_GBK"/>
          <w:b/>
          <w:bCs/>
          <w:sz w:val="24"/>
          <w:szCs w:val="28"/>
        </w:rPr>
        <w:outlineLvl w:val="2"/>
      </w:pPr>
      <w:r/>
      <w:bookmarkEnd w:id="58"/>
      <w:r/>
      <w:bookmarkEnd w:id="59"/>
      <w:r/>
      <w:bookmarkEnd w:id="60"/>
      <w:r/>
      <w:bookmarkEnd w:id="61"/>
      <w:r/>
      <w:bookmarkEnd w:id="62"/>
      <w:r/>
      <w:bookmarkEnd w:id="66"/>
      <w:r/>
      <w:bookmarkEnd w:id="67"/>
      <w:r/>
      <w:bookmarkEnd w:id="68"/>
      <w:r/>
      <w:bookmarkStart w:id="69" w:name="_Hlt26954846"/>
      <w:r/>
      <w:bookmarkEnd w:id="69"/>
      <w:r/>
      <w:bookmarkStart w:id="70" w:name="_Hlt26954848"/>
      <w:r/>
      <w:bookmarkEnd w:id="70"/>
      <w:r/>
      <w:bookmarkStart w:id="71" w:name="_Hlt26954731"/>
      <w:r/>
      <w:bookmarkEnd w:id="71"/>
      <w:r/>
      <w:bookmarkStart w:id="72" w:name="_Hlt26670486"/>
      <w:r/>
      <w:bookmarkEnd w:id="72"/>
      <w:r/>
      <w:bookmarkStart w:id="73" w:name="_Hlt26670482"/>
      <w:r/>
      <w:bookmarkEnd w:id="73"/>
      <w:r>
        <w:rPr>
          <w:rFonts w:hint="eastAsia" w:ascii="方正楷体_GBK" w:eastAsia="方正楷体_GBK"/>
          <w:b/>
          <w:bCs/>
          <w:sz w:val="24"/>
          <w:szCs w:val="28"/>
        </w:rPr>
        <w:t xml:space="preserve">15. 响应文件的递交</w:t>
      </w:r>
      <w:r/>
    </w:p>
    <w:p>
      <w:pPr>
        <w:pStyle w:val="666"/>
        <w:ind w:firstLine="420"/>
        <w:spacing w:line="400" w:lineRule="exact"/>
        <w:rPr>
          <w:rFonts w:hint="eastAsia"/>
          <w:sz w:val="24"/>
          <w:szCs w:val="21"/>
        </w:rPr>
      </w:pPr>
      <w:r>
        <w:rPr>
          <w:rFonts w:hint="eastAsia"/>
          <w:sz w:val="24"/>
          <w:szCs w:val="21"/>
        </w:rPr>
        <w:t xml:space="preserve">15.1 供应商应在采购公告规定的提交响应文件截止时间前制作并上传电子响应文件。提交响应文件截止时间后上传的响应文件将被拒绝。</w:t>
      </w:r>
      <w:r/>
    </w:p>
    <w:p>
      <w:pPr>
        <w:pStyle w:val="666"/>
        <w:ind w:firstLine="420"/>
        <w:spacing w:line="400" w:lineRule="exact"/>
        <w:rPr>
          <w:rFonts w:hint="eastAsia"/>
          <w:sz w:val="24"/>
          <w:szCs w:val="21"/>
        </w:rPr>
      </w:pPr>
      <w:r>
        <w:rPr>
          <w:rFonts w:hint="eastAsia"/>
          <w:sz w:val="24"/>
          <w:szCs w:val="21"/>
        </w:rPr>
        <w:t xml:space="preserve">15.2 供应商应充分考虑网络环境、网络带宽等因素可能产生的影响，如因供应商自身原因造成的电子响应文件上传不成功的，按照本磋商文件第二章第22.1条规定做无效响应处理。</w:t>
      </w:r>
      <w:r/>
    </w:p>
    <w:p>
      <w:pPr>
        <w:pStyle w:val="666"/>
        <w:ind w:firstLine="420"/>
        <w:spacing w:line="400" w:lineRule="exact"/>
        <w:rPr>
          <w:rFonts w:hint="eastAsia"/>
          <w:sz w:val="24"/>
          <w:szCs w:val="21"/>
        </w:rPr>
      </w:pPr>
      <w:r>
        <w:rPr>
          <w:rFonts w:hint="eastAsia"/>
          <w:sz w:val="24"/>
          <w:szCs w:val="21"/>
        </w:rPr>
        <w:t xml:space="preserve">15.3 采购代理机构可以按照规定，通过修改磋商文件酌情延长提交响应文件截止日期，在此情况下，供应商的所有权利和义务均以延长后新的截止日期为准。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16. 响应文件的撤回和修改</w:t>
      </w:r>
      <w:r/>
    </w:p>
    <w:p>
      <w:pPr>
        <w:pStyle w:val="666"/>
        <w:ind w:firstLine="420"/>
        <w:spacing w:line="400" w:lineRule="exact"/>
        <w:rPr>
          <w:rFonts w:hint="eastAsia"/>
          <w:sz w:val="24"/>
          <w:szCs w:val="21"/>
        </w:rPr>
      </w:pPr>
      <w:r>
        <w:rPr>
          <w:rFonts w:hint="eastAsia"/>
          <w:sz w:val="24"/>
          <w:szCs w:val="21"/>
        </w:rPr>
        <w:t xml:space="preserve">16.1 响应文件的撤回</w:t>
      </w:r>
      <w:r/>
    </w:p>
    <w:p>
      <w:pPr>
        <w:pStyle w:val="666"/>
        <w:ind w:firstLine="420"/>
        <w:spacing w:line="400" w:lineRule="exact"/>
        <w:rPr>
          <w:rFonts w:hint="eastAsia"/>
          <w:sz w:val="24"/>
          <w:szCs w:val="21"/>
        </w:rPr>
      </w:pPr>
      <w:r>
        <w:rPr>
          <w:rFonts w:hint="eastAsia"/>
          <w:sz w:val="24"/>
          <w:szCs w:val="21"/>
        </w:rPr>
        <w:t xml:space="preserve">16.1.1 供应商可在提交响应文件截止时间前，撤回其电子响应文件。</w:t>
      </w:r>
      <w:r/>
    </w:p>
    <w:p>
      <w:pPr>
        <w:pStyle w:val="666"/>
        <w:ind w:firstLine="420"/>
        <w:spacing w:line="400" w:lineRule="exact"/>
        <w:rPr>
          <w:rFonts w:hint="eastAsia"/>
          <w:sz w:val="24"/>
          <w:szCs w:val="21"/>
        </w:rPr>
      </w:pPr>
      <w:r>
        <w:rPr>
          <w:rFonts w:hint="eastAsia"/>
          <w:sz w:val="24"/>
          <w:szCs w:val="21"/>
        </w:rPr>
        <w:t xml:space="preserve">16.1.2 供应商撤回电子响应文件，则认为其不再参与本项目磋商活动。</w:t>
      </w:r>
      <w:r/>
    </w:p>
    <w:p>
      <w:pPr>
        <w:pStyle w:val="666"/>
        <w:ind w:firstLine="420"/>
        <w:spacing w:line="400" w:lineRule="exact"/>
        <w:rPr>
          <w:rFonts w:hint="eastAsia"/>
          <w:sz w:val="24"/>
          <w:szCs w:val="21"/>
        </w:rPr>
      </w:pPr>
      <w:r>
        <w:rPr>
          <w:rFonts w:hint="eastAsia"/>
          <w:sz w:val="24"/>
          <w:szCs w:val="21"/>
        </w:rPr>
        <w:t xml:space="preserve">16.1.3 在提交响应文件截止时间至磋商文件中规定的磋商有效期满之间的这段时间内，供应商不得撤回其响应文件。</w:t>
      </w:r>
      <w:r/>
    </w:p>
    <w:p>
      <w:pPr>
        <w:pStyle w:val="666"/>
        <w:ind w:firstLine="420"/>
        <w:spacing w:line="400" w:lineRule="exact"/>
        <w:rPr>
          <w:rFonts w:hint="eastAsia"/>
          <w:sz w:val="24"/>
          <w:szCs w:val="21"/>
        </w:rPr>
      </w:pPr>
      <w:r>
        <w:rPr>
          <w:rFonts w:hint="eastAsia"/>
          <w:sz w:val="24"/>
          <w:szCs w:val="21"/>
        </w:rPr>
        <w:t xml:space="preserve">16.2 响应文件的修改</w:t>
      </w:r>
      <w:r/>
    </w:p>
    <w:p>
      <w:pPr>
        <w:pStyle w:val="666"/>
        <w:ind w:firstLine="420"/>
        <w:spacing w:line="400" w:lineRule="exact"/>
        <w:rPr>
          <w:rFonts w:hint="eastAsia"/>
          <w:sz w:val="24"/>
          <w:szCs w:val="21"/>
        </w:rPr>
      </w:pPr>
      <w:r>
        <w:rPr>
          <w:rFonts w:hint="eastAsia"/>
          <w:sz w:val="24"/>
          <w:szCs w:val="21"/>
        </w:rPr>
        <w:t xml:space="preserve">16.2.1 供应商可在提</w:t>
      </w:r>
      <w:r>
        <w:rPr>
          <w:rFonts w:hint="eastAsia"/>
          <w:sz w:val="24"/>
          <w:szCs w:val="21"/>
        </w:rPr>
        <w:t xml:space="preserve">交响应文件截止时间前，对其电子响应文件进行修改。</w:t>
      </w:r>
      <w:r/>
    </w:p>
    <w:p>
      <w:pPr>
        <w:pStyle w:val="666"/>
        <w:ind w:firstLine="420"/>
        <w:spacing w:line="400" w:lineRule="exact"/>
        <w:rPr>
          <w:rFonts w:hint="eastAsia"/>
          <w:sz w:val="24"/>
          <w:szCs w:val="21"/>
        </w:rPr>
      </w:pPr>
      <w:r>
        <w:rPr>
          <w:rFonts w:hint="eastAsia"/>
          <w:sz w:val="24"/>
          <w:szCs w:val="21"/>
        </w:rPr>
        <w:t xml:space="preserve">16.2.2 提交响应文件截止时间之后，供应商不得对其电子响应文件作任何修改。</w:t>
      </w:r>
      <w:r/>
    </w:p>
    <w:p>
      <w:pPr>
        <w:pStyle w:val="666"/>
        <w:spacing w:line="400" w:lineRule="exact"/>
        <w:rPr>
          <w:rFonts w:hint="eastAsia" w:ascii="宋体" w:hAnsi="宋体"/>
          <w:b/>
          <w:bCs/>
          <w:sz w:val="28"/>
          <w:szCs w:val="32"/>
        </w:rPr>
        <w:outlineLvl w:val="1"/>
      </w:pPr>
      <w:r/>
      <w:bookmarkStart w:id="74" w:name="_Toc20823301"/>
      <w:r/>
      <w:bookmarkStart w:id="75" w:name="_Toc16938545"/>
      <w:r/>
      <w:bookmarkStart w:id="76" w:name="_Toc120614218"/>
      <w:r/>
      <w:bookmarkStart w:id="77" w:name="_Toc513029229"/>
      <w:r>
        <w:rPr>
          <w:rFonts w:hint="eastAsia" w:ascii="宋体" w:hAnsi="宋体"/>
          <w:b/>
          <w:bCs/>
          <w:sz w:val="28"/>
          <w:szCs w:val="32"/>
        </w:rPr>
        <w:t xml:space="preserve">五、响应文件的解密与评审</w:t>
      </w:r>
      <w:bookmarkEnd w:id="74"/>
      <w:r/>
      <w:bookmarkEnd w:id="75"/>
      <w:r/>
      <w:bookmarkEnd w:id="76"/>
      <w:r/>
      <w:bookmarkEnd w:id="77"/>
      <w:r>
        <w:rPr>
          <w:rFonts w:hint="eastAsia" w:ascii="宋体" w:hAnsi="宋体"/>
          <w:b/>
          <w:bCs/>
          <w:sz w:val="28"/>
          <w:szCs w:val="32"/>
        </w:rPr>
      </w:r>
      <w:r/>
    </w:p>
    <w:p>
      <w:pPr>
        <w:pStyle w:val="666"/>
        <w:spacing w:line="400" w:lineRule="exact"/>
        <w:rPr>
          <w:rFonts w:hint="eastAsia" w:ascii="方正楷体_GBK" w:eastAsia="方正楷体_GBK"/>
          <w:b/>
          <w:bCs/>
          <w:sz w:val="24"/>
          <w:szCs w:val="28"/>
        </w:rPr>
        <w:outlineLvl w:val="2"/>
      </w:pPr>
      <w:r/>
      <w:bookmarkStart w:id="78" w:name="_Toc16938546"/>
      <w:r/>
      <w:bookmarkStart w:id="79" w:name="_Toc513029230"/>
      <w:r/>
      <w:bookmarkStart w:id="80" w:name="_Toc20823302"/>
      <w:r>
        <w:rPr>
          <w:rFonts w:hint="eastAsia" w:ascii="方正楷体_GBK" w:eastAsia="方正楷体_GBK"/>
          <w:b/>
          <w:bCs/>
          <w:sz w:val="24"/>
          <w:szCs w:val="28"/>
        </w:rPr>
        <w:t xml:space="preserve">17. 响应文件解密</w:t>
      </w:r>
      <w:r/>
    </w:p>
    <w:p>
      <w:pPr>
        <w:pStyle w:val="666"/>
        <w:ind w:firstLine="420"/>
        <w:spacing w:line="400" w:lineRule="exact"/>
        <w:rPr>
          <w:rFonts w:hint="eastAsia"/>
          <w:sz w:val="24"/>
          <w:szCs w:val="21"/>
        </w:rPr>
      </w:pPr>
      <w:r>
        <w:rPr>
          <w:rFonts w:hint="eastAsia"/>
          <w:sz w:val="24"/>
          <w:szCs w:val="21"/>
        </w:rPr>
        <w:t xml:space="preserve">17.1 供应商应当在苏采云系统规定的时间内对响应文件进行解密。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18. 评审</w:t>
      </w:r>
      <w:r/>
    </w:p>
    <w:p>
      <w:pPr>
        <w:pStyle w:val="666"/>
        <w:ind w:firstLine="420"/>
        <w:spacing w:line="400" w:lineRule="exact"/>
        <w:rPr>
          <w:rFonts w:hint="eastAsia"/>
          <w:sz w:val="24"/>
          <w:szCs w:val="21"/>
        </w:rPr>
      </w:pPr>
      <w:r>
        <w:rPr>
          <w:rFonts w:hint="eastAsia"/>
          <w:sz w:val="24"/>
          <w:szCs w:val="21"/>
        </w:rPr>
        <w:t xml:space="preserve">18.1 依法组建的磋商小组对响应文件进行评审。</w:t>
      </w:r>
      <w:r/>
    </w:p>
    <w:p>
      <w:pPr>
        <w:pStyle w:val="666"/>
        <w:ind w:firstLine="420"/>
        <w:spacing w:line="400" w:lineRule="exact"/>
        <w:rPr>
          <w:rFonts w:hint="eastAsia"/>
          <w:sz w:val="24"/>
          <w:szCs w:val="21"/>
        </w:rPr>
      </w:pPr>
      <w:r>
        <w:rPr>
          <w:rFonts w:hint="eastAsia"/>
          <w:sz w:val="24"/>
          <w:szCs w:val="21"/>
        </w:rPr>
        <w:t xml:space="preserve">18.2 磋商小组由采购人代表和有关方面的专家组成，人员构成符合政府采购有关规定。</w:t>
      </w:r>
      <w:r/>
    </w:p>
    <w:p>
      <w:pPr>
        <w:pStyle w:val="666"/>
        <w:ind w:firstLine="420"/>
        <w:spacing w:line="400" w:lineRule="exact"/>
        <w:rPr>
          <w:rFonts w:hint="eastAsia"/>
          <w:sz w:val="24"/>
          <w:szCs w:val="21"/>
        </w:rPr>
      </w:pPr>
      <w:r>
        <w:rPr>
          <w:rFonts w:hint="eastAsia"/>
          <w:sz w:val="24"/>
          <w:szCs w:val="21"/>
        </w:rPr>
        <w:t xml:space="preserve">18.3 磋商小组独立工作，负责评审所有响应文件并推荐成交候选人，或根据采购人授权直接确定成交供应商。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19. 评审过程的保密与公正</w:t>
      </w:r>
      <w:r/>
    </w:p>
    <w:p>
      <w:pPr>
        <w:pStyle w:val="666"/>
        <w:ind w:firstLine="420"/>
        <w:spacing w:line="400" w:lineRule="exact"/>
        <w:rPr>
          <w:rFonts w:hint="eastAsia"/>
          <w:sz w:val="24"/>
          <w:szCs w:val="21"/>
        </w:rPr>
      </w:pPr>
      <w:r>
        <w:rPr>
          <w:rFonts w:hint="eastAsia"/>
          <w:sz w:val="24"/>
          <w:szCs w:val="21"/>
        </w:rPr>
        <w:t xml:space="preserve">19.1 磋商小组、采购人和采购代理机构工作人员、相关监督人员等与评审工作有关的人员，对评审情况以及在评审过程中获悉的国家秘密、商业秘密负有保密责任。</w:t>
      </w:r>
      <w:r/>
    </w:p>
    <w:p>
      <w:pPr>
        <w:pStyle w:val="666"/>
        <w:ind w:firstLine="420"/>
        <w:spacing w:line="400" w:lineRule="exact"/>
        <w:rPr>
          <w:rFonts w:hint="eastAsia"/>
          <w:sz w:val="24"/>
          <w:szCs w:val="21"/>
        </w:rPr>
      </w:pPr>
      <w:r>
        <w:rPr>
          <w:rFonts w:hint="eastAsia"/>
          <w:sz w:val="24"/>
          <w:szCs w:val="21"/>
        </w:rPr>
        <w:t xml:space="preserve">19.2 供应商不得以任何方式影响评审过程。</w:t>
      </w:r>
      <w:r/>
    </w:p>
    <w:p>
      <w:pPr>
        <w:pStyle w:val="666"/>
        <w:ind w:firstLine="420"/>
        <w:spacing w:line="400" w:lineRule="exact"/>
        <w:rPr>
          <w:rFonts w:hint="eastAsia"/>
          <w:sz w:val="24"/>
          <w:szCs w:val="21"/>
        </w:rPr>
      </w:pPr>
      <w:r>
        <w:rPr>
          <w:rFonts w:hint="eastAsia"/>
          <w:sz w:val="24"/>
          <w:szCs w:val="21"/>
        </w:rPr>
        <w:t xml:space="preserve">19.3 采购代理机构和磋商小组不向未成交的供应商解释未成交原因，也不公布评审过程中的相关细节。</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20. 评审过程中的澄清</w:t>
      </w:r>
      <w:r/>
    </w:p>
    <w:p>
      <w:pPr>
        <w:pStyle w:val="666"/>
        <w:ind w:firstLine="420"/>
        <w:spacing w:line="400" w:lineRule="exact"/>
        <w:rPr>
          <w:rFonts w:hint="eastAsia"/>
          <w:sz w:val="24"/>
          <w:szCs w:val="21"/>
        </w:rPr>
      </w:pPr>
      <w:r>
        <w:rPr>
          <w:rFonts w:hint="eastAsia"/>
          <w:sz w:val="24"/>
          <w:szCs w:val="21"/>
        </w:rPr>
        <w:t xml:space="preserve">20.1 项目评审期间，磋商小组有权要求供应商对响应文件中含义不明确、同类问题表述不一致或者有明显文字和计算错误的内容等作出必要的澄清、说明或者补正。</w:t>
      </w:r>
      <w:r/>
    </w:p>
    <w:p>
      <w:pPr>
        <w:pStyle w:val="666"/>
        <w:ind w:firstLine="420"/>
        <w:spacing w:line="400" w:lineRule="exact"/>
        <w:rPr>
          <w:rFonts w:hint="eastAsia"/>
          <w:sz w:val="24"/>
          <w:szCs w:val="21"/>
        </w:rPr>
      </w:pPr>
      <w:r>
        <w:rPr>
          <w:rFonts w:hint="eastAsia"/>
          <w:sz w:val="24"/>
          <w:szCs w:val="21"/>
        </w:rPr>
        <w:t xml:space="preserve">供应商的澄清、说明或者补</w:t>
      </w:r>
      <w:r>
        <w:rPr>
          <w:rFonts w:hint="eastAsia"/>
          <w:sz w:val="24"/>
          <w:szCs w:val="21"/>
        </w:rPr>
        <w:t xml:space="preserve">正不得超出响应文件的范围或者改变响应文件的实质性内容。</w:t>
      </w:r>
      <w:r/>
    </w:p>
    <w:p>
      <w:pPr>
        <w:pStyle w:val="666"/>
        <w:ind w:firstLine="420"/>
        <w:spacing w:line="400" w:lineRule="exact"/>
        <w:rPr>
          <w:rFonts w:hint="eastAsia"/>
          <w:sz w:val="24"/>
          <w:szCs w:val="21"/>
        </w:rPr>
      </w:pPr>
      <w:r>
        <w:rPr>
          <w:rFonts w:hint="eastAsia"/>
          <w:sz w:val="24"/>
          <w:szCs w:val="21"/>
        </w:rPr>
        <w:t xml:space="preserve">磋商小组并非对每个供应商都做澄清要求。</w:t>
      </w:r>
      <w:r/>
    </w:p>
    <w:p>
      <w:pPr>
        <w:pStyle w:val="666"/>
        <w:ind w:firstLine="420"/>
        <w:spacing w:line="400" w:lineRule="exact"/>
        <w:rPr>
          <w:rFonts w:hint="eastAsia"/>
          <w:sz w:val="24"/>
          <w:szCs w:val="21"/>
        </w:rPr>
      </w:pPr>
      <w:r>
        <w:rPr>
          <w:rFonts w:hint="eastAsia"/>
          <w:sz w:val="24"/>
          <w:szCs w:val="21"/>
        </w:rPr>
        <w:t xml:space="preserve">20.2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w:t>
      </w:r>
      <w:r/>
    </w:p>
    <w:p>
      <w:pPr>
        <w:pStyle w:val="666"/>
        <w:ind w:firstLine="420"/>
        <w:spacing w:line="400" w:lineRule="exact"/>
        <w:rPr>
          <w:rFonts w:hint="eastAsia"/>
          <w:sz w:val="24"/>
          <w:szCs w:val="21"/>
        </w:rPr>
      </w:pPr>
      <w:r>
        <w:rPr>
          <w:rFonts w:hint="eastAsia"/>
          <w:sz w:val="24"/>
          <w:szCs w:val="21"/>
        </w:rPr>
        <w:t xml:space="preserve">20.3 接到磋商小组澄清、说明和补正要求的供应商如未按规定做出澄清、说明和补正，其风险由供应商自行承担。</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21. 响应文件的审查</w:t>
      </w:r>
      <w:r/>
    </w:p>
    <w:p>
      <w:pPr>
        <w:pStyle w:val="666"/>
        <w:ind w:firstLine="420"/>
        <w:spacing w:line="400" w:lineRule="exact"/>
        <w:rPr>
          <w:rFonts w:hint="eastAsia"/>
          <w:sz w:val="24"/>
          <w:szCs w:val="21"/>
        </w:rPr>
      </w:pPr>
      <w:r>
        <w:rPr>
          <w:rFonts w:hint="eastAsia"/>
          <w:sz w:val="24"/>
          <w:szCs w:val="21"/>
        </w:rPr>
        <w:t xml:space="preserve">21.1 响应文件审查分为资格审查和符合性审查。</w:t>
      </w:r>
      <w:r/>
    </w:p>
    <w:p>
      <w:pPr>
        <w:pStyle w:val="666"/>
        <w:ind w:firstLine="420"/>
        <w:spacing w:line="400" w:lineRule="exact"/>
        <w:rPr>
          <w:rFonts w:hint="eastAsia"/>
          <w:sz w:val="24"/>
          <w:szCs w:val="21"/>
        </w:rPr>
      </w:pPr>
      <w:r>
        <w:rPr>
          <w:rFonts w:hint="eastAsia"/>
          <w:sz w:val="24"/>
          <w:szCs w:val="21"/>
        </w:rPr>
        <w:t xml:space="preserve">21.1.1 资格审查。依据法律法规和磋商文件的规定，磋商小组对响应文件中的资格证明文件进行审查，以确定供应商是否具备参加磋商的资格。</w:t>
      </w:r>
      <w:r/>
    </w:p>
    <w:p>
      <w:pPr>
        <w:pStyle w:val="666"/>
        <w:ind w:firstLine="420"/>
        <w:spacing w:line="400" w:lineRule="exact"/>
        <w:rPr>
          <w:rFonts w:hint="eastAsia"/>
          <w:sz w:val="24"/>
          <w:szCs w:val="21"/>
        </w:rPr>
      </w:pPr>
      <w:r>
        <w:rPr>
          <w:rFonts w:hint="eastAsia"/>
          <w:sz w:val="24"/>
          <w:szCs w:val="21"/>
        </w:rPr>
        <w:t xml:space="preserve">磋商小组进行资格审查时，将在“信用中国”网站查询供应商的信用记录，以确定供应商是否具备磋商资格，查询结果留存并归档。</w:t>
      </w:r>
      <w:r/>
    </w:p>
    <w:p>
      <w:pPr>
        <w:pStyle w:val="666"/>
        <w:ind w:firstLine="420"/>
        <w:spacing w:line="400" w:lineRule="exact"/>
        <w:rPr>
          <w:rFonts w:hint="eastAsia"/>
          <w:sz w:val="24"/>
          <w:szCs w:val="21"/>
        </w:rPr>
      </w:pPr>
      <w:r>
        <w:rPr>
          <w:rFonts w:hint="eastAsia"/>
          <w:sz w:val="24"/>
          <w:szCs w:val="21"/>
        </w:rPr>
        <w:t xml:space="preserve">21.1.2 符合性审查。磋商小组对通过资格审查的供应商的响应文件进行符合性审查，以确定其是否满足磋商文件的实质性要求。本文件中打“</w:t>
      </w:r>
      <w:r>
        <w:rPr>
          <w:rFonts w:hint="eastAsia" w:ascii="宋体" w:hAnsi="宋体"/>
          <w:sz w:val="24"/>
          <w:szCs w:val="21"/>
        </w:rPr>
        <w:t xml:space="preserve">★</w:t>
      </w:r>
      <w:r>
        <w:rPr>
          <w:rFonts w:hint="eastAsia"/>
          <w:sz w:val="24"/>
          <w:szCs w:val="21"/>
        </w:rPr>
        <w:t xml:space="preserve">”内容为实质性要求。</w:t>
      </w:r>
      <w:r/>
    </w:p>
    <w:p>
      <w:pPr>
        <w:pStyle w:val="666"/>
        <w:ind w:firstLine="420"/>
        <w:spacing w:line="400" w:lineRule="exact"/>
        <w:rPr>
          <w:rFonts w:hint="eastAsia"/>
          <w:sz w:val="24"/>
          <w:szCs w:val="21"/>
        </w:rPr>
      </w:pPr>
      <w:r>
        <w:rPr>
          <w:rFonts w:hint="eastAsia"/>
          <w:sz w:val="24"/>
          <w:szCs w:val="21"/>
        </w:rPr>
        <w:t xml:space="preserve">21.1.3 未通过资格审查或符合性审查的供应商，磋商小组将通过苏采云系统告知具体原因，评审结束后将不再接</w:t>
      </w:r>
      <w:r>
        <w:rPr>
          <w:rFonts w:hint="eastAsia"/>
          <w:sz w:val="24"/>
          <w:szCs w:val="21"/>
        </w:rPr>
        <w:t xml:space="preserve">受有关询问。</w:t>
      </w:r>
      <w:r/>
    </w:p>
    <w:p>
      <w:pPr>
        <w:pStyle w:val="666"/>
        <w:ind w:firstLine="420"/>
        <w:spacing w:line="400" w:lineRule="exact"/>
        <w:rPr>
          <w:rFonts w:hint="eastAsia"/>
          <w:sz w:val="24"/>
          <w:szCs w:val="21"/>
        </w:rPr>
      </w:pPr>
      <w:r>
        <w:rPr>
          <w:rFonts w:hint="eastAsia"/>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pStyle w:val="666"/>
        <w:ind w:firstLine="420"/>
        <w:spacing w:line="400" w:lineRule="exact"/>
        <w:rPr>
          <w:rFonts w:hint="eastAsia"/>
          <w:sz w:val="24"/>
          <w:szCs w:val="21"/>
        </w:rPr>
      </w:pPr>
      <w:r>
        <w:rPr>
          <w:rFonts w:hint="eastAsia"/>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666"/>
        <w:ind w:firstLine="420"/>
        <w:spacing w:line="400" w:lineRule="exact"/>
        <w:rPr>
          <w:rFonts w:hint="eastAsia"/>
          <w:sz w:val="24"/>
          <w:szCs w:val="21"/>
        </w:rPr>
      </w:pPr>
      <w:r>
        <w:rPr>
          <w:rFonts w:hint="eastAsia"/>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666"/>
        <w:ind w:firstLine="420"/>
        <w:spacing w:line="400" w:lineRule="exact"/>
        <w:rPr>
          <w:rFonts w:hint="eastAsia"/>
          <w:sz w:val="24"/>
          <w:szCs w:val="21"/>
        </w:rPr>
      </w:pPr>
      <w:r>
        <w:rPr>
          <w:rFonts w:hint="eastAsia"/>
          <w:sz w:val="24"/>
          <w:szCs w:val="21"/>
        </w:rPr>
        <w:t xml:space="preserve">21.4 供应商在项目评审全过程中应保持通讯畅通，及时登录苏采云系统查阅、答复相关信息。</w:t>
      </w:r>
      <w:r/>
    </w:p>
    <w:p>
      <w:pPr>
        <w:pStyle w:val="666"/>
        <w:ind w:firstLine="420"/>
        <w:spacing w:line="400" w:lineRule="exact"/>
        <w:rPr>
          <w:rFonts w:hint="eastAsia"/>
          <w:sz w:val="24"/>
          <w:szCs w:val="21"/>
        </w:rPr>
      </w:pPr>
      <w:r>
        <w:rPr>
          <w:rFonts w:hint="eastAsia"/>
          <w:sz w:val="24"/>
          <w:szCs w:val="21"/>
        </w:rPr>
        <w:t xml:space="preserve">21.5 异常低价审查</w:t>
      </w:r>
      <w:r/>
    </w:p>
    <w:p>
      <w:pPr>
        <w:pStyle w:val="666"/>
        <w:ind w:firstLine="420"/>
        <w:spacing w:line="400" w:lineRule="exact"/>
        <w:rPr>
          <w:sz w:val="24"/>
          <w:lang w:val="zh-CN"/>
        </w:rPr>
      </w:pPr>
      <w:r>
        <w:rPr>
          <w:sz w:val="24"/>
          <w:lang w:val="zh-CN"/>
        </w:rPr>
        <w:t xml:space="preserve">2</w:t>
      </w:r>
      <w:r>
        <w:rPr>
          <w:sz w:val="24"/>
        </w:rPr>
        <w:t xml:space="preserve">1</w:t>
      </w:r>
      <w:r>
        <w:rPr>
          <w:sz w:val="24"/>
          <w:lang w:val="zh-CN"/>
        </w:rPr>
        <w:t xml:space="preserve">.</w:t>
      </w:r>
      <w:r>
        <w:rPr>
          <w:sz w:val="24"/>
        </w:rPr>
        <w:t xml:space="preserve">5</w:t>
      </w:r>
      <w:r>
        <w:rPr>
          <w:sz w:val="24"/>
          <w:lang w:val="zh-CN"/>
        </w:rPr>
        <w:t xml:space="preserve">.</w:t>
      </w:r>
      <w:r>
        <w:rPr>
          <w:sz w:val="24"/>
        </w:rPr>
        <w:t xml:space="preserve">1</w:t>
      </w:r>
      <w:r>
        <w:rPr>
          <w:sz w:val="24"/>
          <w:lang w:val="zh-CN"/>
        </w:rPr>
        <w:t xml:space="preserve">评</w:t>
      </w:r>
      <w:r>
        <w:rPr>
          <w:sz w:val="24"/>
        </w:rPr>
        <w:t xml:space="preserve">审</w:t>
      </w:r>
      <w:r>
        <w:rPr>
          <w:sz w:val="24"/>
          <w:lang w:val="zh-CN"/>
        </w:rPr>
        <w:t xml:space="preserve">过程中出现下列情形之一的，</w:t>
      </w:r>
      <w:r>
        <w:rPr>
          <w:sz w:val="24"/>
          <w:szCs w:val="21"/>
        </w:rPr>
        <w:t xml:space="preserve">磋商小组</w:t>
      </w:r>
      <w:r>
        <w:rPr>
          <w:sz w:val="24"/>
          <w:lang w:val="zh-CN"/>
        </w:rPr>
        <w:t xml:space="preserve">应当启动异常低价审查程序：</w:t>
      </w:r>
      <w:r/>
    </w:p>
    <w:p>
      <w:pPr>
        <w:pStyle w:val="666"/>
        <w:ind w:firstLine="420"/>
        <w:spacing w:line="400" w:lineRule="exact"/>
        <w:rPr>
          <w:sz w:val="24"/>
          <w:lang w:val="zh-CN"/>
        </w:rPr>
      </w:pPr>
      <w:r>
        <w:rPr>
          <w:sz w:val="24"/>
          <w:lang w:val="zh-CN"/>
        </w:rPr>
        <w:t xml:space="preserve">（1）</w:t>
      </w:r>
      <w:r>
        <w:rPr>
          <w:sz w:val="24"/>
          <w:szCs w:val="21"/>
        </w:rPr>
        <w:t xml:space="preserve">报价</w:t>
      </w:r>
      <w:r>
        <w:rPr>
          <w:sz w:val="24"/>
          <w:lang w:val="zh-CN"/>
        </w:rPr>
        <w:t xml:space="preserve">低于全部通过符合性审查供应商</w:t>
      </w:r>
      <w:r>
        <w:rPr>
          <w:sz w:val="24"/>
          <w:szCs w:val="21"/>
        </w:rPr>
        <w:t xml:space="preserve">报价</w:t>
      </w:r>
      <w:r>
        <w:rPr>
          <w:sz w:val="24"/>
          <w:lang w:val="zh-CN"/>
        </w:rPr>
        <w:t xml:space="preserve">平均值50%的，即</w:t>
      </w:r>
      <w:r>
        <w:rPr>
          <w:sz w:val="24"/>
          <w:szCs w:val="21"/>
        </w:rPr>
        <w:t xml:space="preserve">报价</w:t>
      </w:r>
      <w:r>
        <w:rPr>
          <w:sz w:val="24"/>
          <w:lang w:val="zh-CN"/>
        </w:rPr>
        <w:t xml:space="preserve">&lt;全部通过符合性审查供应商</w:t>
      </w:r>
      <w:r>
        <w:rPr>
          <w:sz w:val="24"/>
          <w:szCs w:val="21"/>
        </w:rPr>
        <w:t xml:space="preserve">报价</w:t>
      </w:r>
      <w:r>
        <w:rPr>
          <w:sz w:val="24"/>
          <w:lang w:val="zh-CN"/>
        </w:rPr>
        <w:t xml:space="preserve">平均值×50%；</w:t>
      </w:r>
      <w:r/>
    </w:p>
    <w:p>
      <w:pPr>
        <w:pStyle w:val="666"/>
        <w:ind w:firstLine="420"/>
        <w:spacing w:line="400" w:lineRule="exact"/>
        <w:rPr>
          <w:sz w:val="24"/>
          <w:lang w:val="zh-CN"/>
        </w:rPr>
      </w:pPr>
      <w:r>
        <w:rPr>
          <w:sz w:val="24"/>
          <w:lang w:val="zh-CN"/>
        </w:rPr>
        <w:t xml:space="preserve">（2）</w:t>
      </w:r>
      <w:r>
        <w:rPr>
          <w:sz w:val="24"/>
          <w:szCs w:val="21"/>
        </w:rPr>
        <w:t xml:space="preserve">报价</w:t>
      </w:r>
      <w:r>
        <w:rPr>
          <w:sz w:val="24"/>
          <w:lang w:val="zh-CN"/>
        </w:rPr>
        <w:t xml:space="preserve">低于通过符合性审查的次低报价</w:t>
      </w:r>
      <w:r>
        <w:rPr>
          <w:sz w:val="24"/>
          <w:lang w:val="zh-CN"/>
        </w:rPr>
        <w:t xml:space="preserve">供应商</w:t>
      </w:r>
      <w:r>
        <w:rPr>
          <w:sz w:val="24"/>
          <w:szCs w:val="21"/>
        </w:rPr>
        <w:t xml:space="preserve">报价</w:t>
      </w:r>
      <w:r>
        <w:rPr>
          <w:sz w:val="24"/>
          <w:lang w:val="zh-CN"/>
        </w:rPr>
        <w:t xml:space="preserve">50%的，即</w:t>
      </w:r>
      <w:r>
        <w:rPr>
          <w:sz w:val="24"/>
          <w:szCs w:val="21"/>
        </w:rPr>
        <w:t xml:space="preserve">报价</w:t>
      </w:r>
      <w:r>
        <w:rPr>
          <w:sz w:val="24"/>
          <w:lang w:val="zh-CN"/>
        </w:rPr>
        <w:t xml:space="preserve">&lt;通过符合性审查的次低报价供应商</w:t>
      </w:r>
      <w:r>
        <w:rPr>
          <w:sz w:val="24"/>
          <w:szCs w:val="21"/>
        </w:rPr>
        <w:t xml:space="preserve">报价</w:t>
      </w:r>
      <w:r>
        <w:rPr>
          <w:sz w:val="24"/>
          <w:lang w:val="zh-CN"/>
        </w:rPr>
        <w:t xml:space="preserve">×50%；</w:t>
      </w:r>
      <w:r/>
    </w:p>
    <w:p>
      <w:pPr>
        <w:pStyle w:val="666"/>
        <w:ind w:firstLine="420"/>
        <w:spacing w:line="400" w:lineRule="exact"/>
        <w:rPr>
          <w:sz w:val="24"/>
          <w:lang w:val="zh-CN"/>
        </w:rPr>
      </w:pPr>
      <w:r>
        <w:rPr>
          <w:sz w:val="24"/>
          <w:lang w:val="zh-CN"/>
        </w:rPr>
        <w:t xml:space="preserve">（3）</w:t>
      </w:r>
      <w:r>
        <w:rPr>
          <w:sz w:val="24"/>
          <w:szCs w:val="21"/>
        </w:rPr>
        <w:t xml:space="preserve">报价</w:t>
      </w:r>
      <w:r>
        <w:rPr>
          <w:sz w:val="24"/>
          <w:lang w:val="zh-CN"/>
        </w:rPr>
        <w:t xml:space="preserve">低于采购项目最高限价</w:t>
      </w:r>
      <w:r>
        <w:rPr>
          <w:sz w:val="24"/>
        </w:rPr>
        <w:t xml:space="preserve">65</w:t>
      </w:r>
      <w:r>
        <w:rPr>
          <w:sz w:val="24"/>
          <w:lang w:val="zh-CN"/>
        </w:rPr>
        <w:t xml:space="preserve">%的，即</w:t>
      </w:r>
      <w:r>
        <w:rPr>
          <w:sz w:val="24"/>
          <w:szCs w:val="21"/>
        </w:rPr>
        <w:t xml:space="preserve">报价</w:t>
      </w:r>
      <w:r>
        <w:rPr>
          <w:sz w:val="24"/>
          <w:lang w:val="zh-CN"/>
        </w:rPr>
        <w:t xml:space="preserve">&lt;采购项目最高限价×</w:t>
      </w:r>
      <w:r>
        <w:rPr>
          <w:sz w:val="24"/>
        </w:rPr>
        <w:t xml:space="preserve">65</w:t>
      </w:r>
      <w:r>
        <w:rPr>
          <w:sz w:val="24"/>
          <w:lang w:val="zh-CN"/>
        </w:rPr>
        <w:t xml:space="preserve">%；</w:t>
      </w:r>
      <w:r/>
    </w:p>
    <w:p>
      <w:pPr>
        <w:pStyle w:val="666"/>
        <w:ind w:firstLine="420"/>
        <w:spacing w:line="400" w:lineRule="exact"/>
        <w:rPr>
          <w:sz w:val="24"/>
          <w:lang w:val="zh-CN"/>
        </w:rPr>
      </w:pPr>
      <w:r>
        <w:rPr>
          <w:sz w:val="24"/>
          <w:lang w:val="zh-CN"/>
        </w:rPr>
        <w:t xml:space="preserve">（4）</w:t>
      </w:r>
      <w:r>
        <w:rPr>
          <w:sz w:val="24"/>
          <w:szCs w:val="21"/>
        </w:rPr>
        <w:t xml:space="preserve">磋商小组</w:t>
      </w:r>
      <w:r>
        <w:rPr>
          <w:sz w:val="24"/>
          <w:lang w:val="zh-CN"/>
        </w:rPr>
        <w:t xml:space="preserve">基于专业判断，认为供应商</w:t>
      </w:r>
      <w:r>
        <w:rPr>
          <w:sz w:val="24"/>
        </w:rPr>
        <w:t xml:space="preserve">报价</w:t>
      </w:r>
      <w:r>
        <w:rPr>
          <w:sz w:val="24"/>
          <w:lang w:val="zh-CN"/>
        </w:rPr>
        <w:t xml:space="preserve">过低，有可能影响产品质量或者不能诚信履约的其他情形。</w:t>
      </w:r>
      <w:r/>
    </w:p>
    <w:p>
      <w:pPr>
        <w:pStyle w:val="666"/>
        <w:ind w:firstLine="420"/>
        <w:spacing w:line="400" w:lineRule="exact"/>
        <w:rPr>
          <w:sz w:val="24"/>
          <w:szCs w:val="21"/>
        </w:rPr>
      </w:pPr>
      <w:r>
        <w:rPr>
          <w:sz w:val="24"/>
          <w:szCs w:val="21"/>
        </w:rPr>
        <w:t xml:space="preserve">21.5.2磋商小组启动异常低价审查后，属于前述第（1）项至第（4）项情形的，应当要求相关供应商在评审现场合理的时间内对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666"/>
        <w:ind w:firstLine="420"/>
        <w:spacing w:line="400" w:lineRule="exact"/>
        <w:rPr>
          <w:sz w:val="24"/>
          <w:szCs w:val="21"/>
        </w:rPr>
      </w:pPr>
      <w:r>
        <w:rPr>
          <w:sz w:val="24"/>
          <w:szCs w:val="21"/>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22. 无效响应</w:t>
      </w:r>
      <w:r/>
    </w:p>
    <w:p>
      <w:pPr>
        <w:pStyle w:val="666"/>
        <w:ind w:firstLine="422"/>
        <w:spacing w:line="400" w:lineRule="exact"/>
        <w:rPr>
          <w:rFonts w:hint="eastAsia"/>
          <w:b/>
          <w:bCs/>
          <w:sz w:val="24"/>
          <w:szCs w:val="21"/>
        </w:rPr>
      </w:pPr>
      <w:r>
        <w:rPr>
          <w:rFonts w:hint="eastAsia"/>
          <w:b/>
          <w:bCs/>
          <w:sz w:val="24"/>
          <w:szCs w:val="21"/>
        </w:rPr>
        <w:t xml:space="preserve">22.1 无效响应情形</w:t>
      </w:r>
      <w:r/>
    </w:p>
    <w:p>
      <w:pPr>
        <w:pStyle w:val="666"/>
        <w:ind w:firstLine="420"/>
        <w:spacing w:line="400" w:lineRule="exact"/>
        <w:rPr>
          <w:rFonts w:hint="eastAsia"/>
          <w:sz w:val="24"/>
          <w:szCs w:val="21"/>
        </w:rPr>
      </w:pPr>
      <w:r>
        <w:rPr>
          <w:rFonts w:hint="eastAsia"/>
          <w:sz w:val="24"/>
          <w:szCs w:val="21"/>
        </w:rPr>
        <w:t xml:space="preserve">22.1.1 未在磋商文件规定时间内上传电子响应文件。</w:t>
      </w:r>
      <w:r>
        <w:rPr>
          <w:rFonts w:hint="eastAsia"/>
          <w:sz w:val="24"/>
          <w:szCs w:val="21"/>
        </w:rPr>
      </w:r>
      <w:r/>
    </w:p>
    <w:p>
      <w:pPr>
        <w:pStyle w:val="666"/>
        <w:ind w:firstLine="420"/>
        <w:spacing w:line="400" w:lineRule="exact"/>
        <w:rPr>
          <w:rFonts w:hint="eastAsia"/>
          <w:sz w:val="24"/>
          <w:szCs w:val="21"/>
        </w:rPr>
      </w:pPr>
      <w:r>
        <w:rPr>
          <w:rFonts w:hint="eastAsia"/>
          <w:sz w:val="24"/>
          <w:szCs w:val="21"/>
        </w:rPr>
        <w:t xml:space="preserve">22.1.2 未在苏采云系统规定的时间内未成功解密电子响应文件。</w:t>
      </w:r>
      <w:r/>
    </w:p>
    <w:p>
      <w:pPr>
        <w:pStyle w:val="666"/>
        <w:ind w:firstLine="420"/>
        <w:spacing w:line="400" w:lineRule="exact"/>
        <w:rPr>
          <w:rFonts w:hint="eastAsia"/>
          <w:sz w:val="24"/>
          <w:szCs w:val="21"/>
        </w:rPr>
      </w:pPr>
      <w:r>
        <w:rPr>
          <w:rFonts w:hint="eastAsia"/>
          <w:sz w:val="24"/>
          <w:szCs w:val="21"/>
        </w:rPr>
        <w:t xml:space="preserve">22.1.3 同一供应商提交两个（含两个）以上不同的响应文件或者报价（磋商文件另有约定的除外）。</w:t>
      </w:r>
      <w:r/>
    </w:p>
    <w:p>
      <w:pPr>
        <w:pStyle w:val="666"/>
        <w:ind w:firstLine="420"/>
        <w:spacing w:line="400" w:lineRule="exact"/>
        <w:rPr>
          <w:rFonts w:hint="eastAsia"/>
          <w:sz w:val="24"/>
          <w:szCs w:val="21"/>
        </w:rPr>
      </w:pPr>
      <w:r>
        <w:rPr>
          <w:rFonts w:hint="eastAsia"/>
          <w:sz w:val="24"/>
          <w:szCs w:val="21"/>
        </w:rPr>
        <w:t xml:space="preserve">22.1.4 供应商不具备磋商文件中规定的资格要求。</w:t>
      </w:r>
      <w:r/>
    </w:p>
    <w:p>
      <w:pPr>
        <w:pStyle w:val="666"/>
        <w:ind w:firstLine="420"/>
        <w:spacing w:line="400" w:lineRule="exact"/>
        <w:rPr>
          <w:rFonts w:hint="eastAsia"/>
          <w:sz w:val="24"/>
          <w:szCs w:val="21"/>
        </w:rPr>
      </w:pPr>
      <w:r>
        <w:rPr>
          <w:rFonts w:hint="eastAsia"/>
          <w:sz w:val="24"/>
          <w:szCs w:val="21"/>
        </w:rPr>
        <w:t xml:space="preserve">22.1.5 供应商的报价超过了采购预算或最高限价或单价上限。</w:t>
      </w:r>
      <w:r/>
    </w:p>
    <w:p>
      <w:pPr>
        <w:pStyle w:val="666"/>
        <w:ind w:firstLine="420"/>
        <w:spacing w:line="400" w:lineRule="exact"/>
        <w:rPr>
          <w:rFonts w:hint="eastAsia"/>
          <w:sz w:val="24"/>
          <w:szCs w:val="21"/>
        </w:rPr>
      </w:pPr>
      <w:r>
        <w:rPr>
          <w:rFonts w:hint="eastAsia"/>
          <w:sz w:val="24"/>
          <w:szCs w:val="21"/>
        </w:rPr>
        <w:t xml:space="preserve">22.1.6 未通过符合性审查。</w:t>
      </w:r>
      <w:r/>
    </w:p>
    <w:p>
      <w:pPr>
        <w:pStyle w:val="666"/>
        <w:ind w:firstLine="420"/>
        <w:spacing w:line="400" w:lineRule="exact"/>
        <w:rPr>
          <w:rFonts w:hint="eastAsia"/>
          <w:sz w:val="24"/>
          <w:szCs w:val="21"/>
        </w:rPr>
      </w:pPr>
      <w:r>
        <w:rPr>
          <w:rFonts w:hint="eastAsia"/>
          <w:sz w:val="24"/>
          <w:szCs w:val="21"/>
        </w:rPr>
        <w:t xml:space="preserve">22.1.7 响应文件含有采购人不能接受的附加条件。</w:t>
      </w:r>
      <w:r/>
    </w:p>
    <w:p>
      <w:pPr>
        <w:pStyle w:val="666"/>
        <w:ind w:firstLine="420"/>
        <w:spacing w:line="400" w:lineRule="exact"/>
        <w:rPr>
          <w:rFonts w:hint="eastAsia"/>
          <w:sz w:val="24"/>
          <w:szCs w:val="21"/>
        </w:rPr>
      </w:pPr>
      <w:r>
        <w:rPr>
          <w:rFonts w:hint="eastAsia"/>
          <w:sz w:val="24"/>
          <w:szCs w:val="21"/>
        </w:rPr>
        <w:t xml:space="preserve">22.1.8 磋商小组按照本磋商文件规定对供应商进行异常低价审查后，认为供应商不能证明其报价合理性的。</w:t>
      </w:r>
      <w:r/>
    </w:p>
    <w:p>
      <w:pPr>
        <w:pStyle w:val="666"/>
        <w:ind w:firstLine="420"/>
        <w:spacing w:line="400" w:lineRule="exact"/>
        <w:rPr>
          <w:rFonts w:hint="eastAsia"/>
          <w:sz w:val="24"/>
          <w:szCs w:val="21"/>
        </w:rPr>
      </w:pPr>
      <w:r>
        <w:rPr>
          <w:rFonts w:hint="eastAsia"/>
          <w:sz w:val="24"/>
          <w:szCs w:val="21"/>
        </w:rPr>
        <w:t xml:space="preserve">22.1.9 响应文件未按照磋商文件要求加盖电子公章。</w:t>
      </w:r>
      <w:r/>
    </w:p>
    <w:p>
      <w:pPr>
        <w:pStyle w:val="666"/>
        <w:ind w:firstLine="420"/>
        <w:spacing w:line="400" w:lineRule="exact"/>
        <w:rPr>
          <w:sz w:val="24"/>
          <w:szCs w:val="21"/>
        </w:rPr>
      </w:pPr>
      <w:r>
        <w:rPr>
          <w:rFonts w:hint="eastAsia"/>
          <w:sz w:val="24"/>
          <w:szCs w:val="21"/>
        </w:rPr>
        <w:t xml:space="preserve">22.1.10 供应商串通响应。</w:t>
      </w:r>
      <w:r>
        <w:rPr>
          <w:sz w:val="24"/>
          <w:szCs w:val="21"/>
        </w:rPr>
      </w:r>
      <w:r/>
    </w:p>
    <w:p>
      <w:pPr>
        <w:pStyle w:val="666"/>
        <w:ind w:firstLine="420"/>
        <w:spacing w:line="400" w:lineRule="exact"/>
        <w:rPr>
          <w:rFonts w:hint="eastAsia"/>
          <w:sz w:val="24"/>
          <w:szCs w:val="21"/>
        </w:rPr>
      </w:pPr>
      <w:r>
        <w:rPr>
          <w:rFonts w:hint="eastAsia"/>
          <w:sz w:val="24"/>
          <w:szCs w:val="21"/>
        </w:rPr>
        <w:t xml:space="preserve">22.1.11 法律法规及本磋商文件规定的其他无效响应的情形。</w:t>
      </w:r>
      <w:r/>
    </w:p>
    <w:p>
      <w:pPr>
        <w:pStyle w:val="666"/>
        <w:ind w:firstLine="422"/>
        <w:spacing w:line="400" w:lineRule="exact"/>
        <w:rPr>
          <w:rFonts w:hint="eastAsia"/>
          <w:b/>
          <w:bCs/>
          <w:sz w:val="24"/>
          <w:szCs w:val="21"/>
        </w:rPr>
      </w:pPr>
      <w:r>
        <w:rPr>
          <w:rFonts w:hint="eastAsia"/>
          <w:b/>
          <w:bCs/>
          <w:sz w:val="24"/>
          <w:szCs w:val="21"/>
        </w:rPr>
        <w:t xml:space="preserve">22.2 有下列情形之一的视为供应商串通响应：</w:t>
      </w:r>
      <w:r/>
    </w:p>
    <w:p>
      <w:pPr>
        <w:pStyle w:val="666"/>
        <w:ind w:firstLine="420"/>
        <w:spacing w:line="400" w:lineRule="exact"/>
        <w:rPr>
          <w:rFonts w:hint="eastAsia"/>
          <w:sz w:val="24"/>
          <w:szCs w:val="21"/>
        </w:rPr>
      </w:pPr>
      <w:r>
        <w:rPr>
          <w:rFonts w:hint="eastAsia"/>
          <w:sz w:val="24"/>
          <w:szCs w:val="21"/>
        </w:rPr>
        <w:t xml:space="preserve">22.2.1 不同供应商的响应文件由同一单位或者个人编制。</w:t>
      </w:r>
      <w:r/>
    </w:p>
    <w:p>
      <w:pPr>
        <w:pStyle w:val="666"/>
        <w:ind w:firstLine="420"/>
        <w:spacing w:line="400" w:lineRule="exact"/>
        <w:rPr>
          <w:rFonts w:hint="eastAsia"/>
          <w:sz w:val="24"/>
          <w:szCs w:val="21"/>
        </w:rPr>
      </w:pPr>
      <w:r>
        <w:rPr>
          <w:rFonts w:hint="eastAsia"/>
          <w:sz w:val="24"/>
          <w:szCs w:val="21"/>
        </w:rPr>
        <w:t xml:space="preserve">22.2.2 不同供应商委托同一单位或者个人办理响应事宜。</w:t>
      </w:r>
      <w:r/>
    </w:p>
    <w:p>
      <w:pPr>
        <w:pStyle w:val="666"/>
        <w:ind w:firstLine="420"/>
        <w:spacing w:line="400" w:lineRule="exact"/>
        <w:rPr>
          <w:rFonts w:hint="eastAsia"/>
          <w:sz w:val="24"/>
          <w:szCs w:val="21"/>
        </w:rPr>
      </w:pPr>
      <w:r>
        <w:rPr>
          <w:rFonts w:hint="eastAsia"/>
          <w:sz w:val="24"/>
          <w:szCs w:val="21"/>
        </w:rPr>
        <w:t xml:space="preserve">22.2.3 不同供应商的响应文件载明的项目管理成员或者联系人员为同一人。</w:t>
      </w:r>
      <w:r/>
    </w:p>
    <w:p>
      <w:pPr>
        <w:pStyle w:val="666"/>
        <w:ind w:firstLine="420"/>
        <w:spacing w:line="400" w:lineRule="exact"/>
        <w:rPr>
          <w:rFonts w:hint="eastAsia"/>
          <w:sz w:val="24"/>
          <w:szCs w:val="21"/>
        </w:rPr>
      </w:pPr>
      <w:r>
        <w:rPr>
          <w:rFonts w:hint="eastAsia"/>
          <w:sz w:val="24"/>
          <w:szCs w:val="21"/>
        </w:rPr>
        <w:t xml:space="preserve">22.2.4 不同供应商的响应文件异常一致或者响应报价呈规律性差异。</w:t>
      </w:r>
      <w:r/>
    </w:p>
    <w:p>
      <w:pPr>
        <w:pStyle w:val="666"/>
        <w:ind w:firstLine="420"/>
        <w:spacing w:line="400" w:lineRule="exact"/>
        <w:rPr>
          <w:rFonts w:hint="eastAsia"/>
          <w:sz w:val="24"/>
          <w:szCs w:val="21"/>
        </w:rPr>
      </w:pPr>
      <w:r>
        <w:rPr>
          <w:rFonts w:hint="eastAsia"/>
          <w:sz w:val="24"/>
          <w:szCs w:val="21"/>
        </w:rPr>
        <w:t xml:space="preserve">22.2.5 不同供应商的响应文件相互混装。</w:t>
      </w:r>
      <w:r/>
    </w:p>
    <w:p>
      <w:pPr>
        <w:pStyle w:val="666"/>
        <w:ind w:firstLine="420"/>
        <w:spacing w:line="400" w:lineRule="exact"/>
        <w:rPr>
          <w:rFonts w:hint="eastAsia"/>
          <w:sz w:val="24"/>
          <w:szCs w:val="21"/>
        </w:rPr>
      </w:pPr>
      <w:r>
        <w:rPr>
          <w:rFonts w:hint="eastAsia"/>
          <w:sz w:val="24"/>
          <w:szCs w:val="21"/>
        </w:rPr>
        <w:t xml:space="preserve">22.2.6 不同供应商的MAC地</w:t>
      </w:r>
      <w:r>
        <w:rPr>
          <w:rFonts w:hint="eastAsia"/>
          <w:sz w:val="24"/>
          <w:szCs w:val="21"/>
        </w:rPr>
        <w:t xml:space="preserve">址或标书制作工具客户端标识码一致。</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23. 磋商程序及采购活动终止</w:t>
      </w:r>
      <w:r>
        <w:rPr>
          <w:rFonts w:ascii="方正楷体_GBK" w:eastAsia="方正楷体_GBK"/>
          <w:b/>
          <w:bCs/>
          <w:sz w:val="24"/>
          <w:szCs w:val="28"/>
        </w:rPr>
      </w:r>
      <w:r/>
    </w:p>
    <w:p>
      <w:pPr>
        <w:pStyle w:val="666"/>
        <w:ind w:firstLine="422"/>
        <w:spacing w:line="400" w:lineRule="exact"/>
        <w:rPr>
          <w:rFonts w:hint="eastAsia"/>
          <w:b/>
          <w:bCs/>
          <w:sz w:val="24"/>
          <w:szCs w:val="21"/>
        </w:rPr>
      </w:pPr>
      <w:r>
        <w:rPr>
          <w:rFonts w:hint="eastAsia"/>
          <w:b/>
          <w:bCs/>
          <w:sz w:val="24"/>
          <w:szCs w:val="21"/>
        </w:rPr>
        <w:t xml:space="preserve">23.1 磋商程序</w:t>
      </w:r>
      <w:r/>
    </w:p>
    <w:p>
      <w:pPr>
        <w:pStyle w:val="666"/>
        <w:ind w:firstLine="420"/>
        <w:spacing w:line="400" w:lineRule="exact"/>
        <w:rPr>
          <w:rFonts w:hint="eastAsia"/>
          <w:sz w:val="24"/>
          <w:szCs w:val="21"/>
        </w:rPr>
      </w:pPr>
      <w:r>
        <w:rPr>
          <w:rFonts w:hint="eastAsia"/>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666"/>
        <w:ind w:firstLine="420"/>
        <w:spacing w:line="400" w:lineRule="exact"/>
        <w:rPr>
          <w:rFonts w:hint="eastAsia"/>
          <w:sz w:val="24"/>
          <w:szCs w:val="21"/>
        </w:rPr>
      </w:pPr>
      <w:r>
        <w:rPr>
          <w:rFonts w:hint="eastAsia"/>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666"/>
        <w:ind w:firstLine="420"/>
        <w:spacing w:line="400" w:lineRule="exact"/>
        <w:rPr>
          <w:rFonts w:hint="eastAsia"/>
          <w:sz w:val="24"/>
          <w:szCs w:val="21"/>
        </w:rPr>
      </w:pPr>
      <w:r>
        <w:rPr>
          <w:rFonts w:hint="eastAsia"/>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666"/>
        <w:ind w:firstLine="420"/>
        <w:spacing w:line="400" w:lineRule="exact"/>
        <w:rPr>
          <w:rFonts w:hint="eastAsia"/>
          <w:sz w:val="24"/>
          <w:szCs w:val="21"/>
        </w:rPr>
      </w:pPr>
      <w:r>
        <w:rPr>
          <w:rFonts w:hint="eastAsia"/>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w:t>
      </w:r>
      <w:r>
        <w:rPr>
          <w:rFonts w:hint="eastAsia"/>
          <w:sz w:val="24"/>
          <w:szCs w:val="21"/>
        </w:rPr>
        <w:t xml:space="preserve">》及最后报价格式表，要求其在规定时间内提交最后报价。</w:t>
      </w:r>
      <w:r/>
    </w:p>
    <w:p>
      <w:pPr>
        <w:pStyle w:val="666"/>
        <w:ind w:firstLine="420"/>
        <w:spacing w:line="400" w:lineRule="exact"/>
        <w:rPr>
          <w:rFonts w:hint="eastAsia"/>
          <w:sz w:val="24"/>
          <w:szCs w:val="21"/>
        </w:rPr>
      </w:pPr>
      <w:r>
        <w:rPr>
          <w:rFonts w:hint="eastAsia"/>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666"/>
        <w:ind w:firstLine="420"/>
        <w:spacing w:line="400" w:lineRule="exact"/>
        <w:rPr>
          <w:rFonts w:hint="eastAsia"/>
          <w:sz w:val="24"/>
          <w:szCs w:val="21"/>
        </w:rPr>
      </w:pPr>
      <w:r>
        <w:rPr>
          <w:rFonts w:hint="eastAsia"/>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66"/>
        <w:ind w:firstLine="422"/>
        <w:spacing w:line="400" w:lineRule="exact"/>
        <w:rPr>
          <w:rFonts w:hint="eastAsia"/>
          <w:b/>
          <w:bCs/>
          <w:sz w:val="24"/>
          <w:szCs w:val="21"/>
        </w:rPr>
      </w:pPr>
      <w:r>
        <w:rPr>
          <w:rFonts w:hint="eastAsia"/>
          <w:b/>
          <w:bCs/>
          <w:sz w:val="24"/>
          <w:szCs w:val="21"/>
        </w:rPr>
        <w:t xml:space="preserve">23.2 采购活动终止情形</w:t>
      </w:r>
      <w:r/>
    </w:p>
    <w:p>
      <w:pPr>
        <w:pStyle w:val="666"/>
        <w:ind w:firstLine="420"/>
        <w:spacing w:line="400" w:lineRule="exact"/>
        <w:rPr>
          <w:rFonts w:hint="eastAsia"/>
          <w:sz w:val="24"/>
          <w:szCs w:val="21"/>
        </w:rPr>
      </w:pPr>
      <w:r>
        <w:rPr>
          <w:rFonts w:hint="eastAsia"/>
          <w:sz w:val="24"/>
          <w:szCs w:val="21"/>
        </w:rPr>
        <w:t xml:space="preserve">23.2.1 因情况变化，不再符合竞争性磋商采购方式适用情形。</w:t>
      </w:r>
      <w:r/>
    </w:p>
    <w:p>
      <w:pPr>
        <w:pStyle w:val="666"/>
        <w:ind w:firstLine="420"/>
        <w:spacing w:line="400" w:lineRule="exact"/>
        <w:rPr>
          <w:rFonts w:hint="eastAsia"/>
          <w:sz w:val="24"/>
          <w:szCs w:val="21"/>
        </w:rPr>
      </w:pPr>
      <w:r>
        <w:rPr>
          <w:rFonts w:hint="eastAsia"/>
          <w:sz w:val="24"/>
          <w:szCs w:val="21"/>
        </w:rPr>
        <w:t xml:space="preserve">23.2.2 出现影响采购公正的违法、违规行为。</w:t>
      </w:r>
      <w:r/>
    </w:p>
    <w:p>
      <w:pPr>
        <w:pStyle w:val="666"/>
        <w:ind w:firstLine="420"/>
        <w:spacing w:line="400" w:lineRule="exact"/>
        <w:rPr>
          <w:rFonts w:hint="eastAsia"/>
          <w:sz w:val="24"/>
          <w:szCs w:val="21"/>
        </w:rPr>
      </w:pPr>
      <w:r>
        <w:rPr>
          <w:rFonts w:hint="eastAsia"/>
          <w:sz w:val="24"/>
          <w:szCs w:val="21"/>
        </w:rPr>
        <w:t xml:space="preserve">23.2.3 在苏采云系统规定时间内成功解密电子响应文件的供应商不足三家。</w:t>
      </w:r>
      <w:r/>
    </w:p>
    <w:p>
      <w:pPr>
        <w:pStyle w:val="666"/>
        <w:ind w:firstLine="420"/>
        <w:spacing w:line="400" w:lineRule="exact"/>
        <w:rPr>
          <w:rFonts w:hint="eastAsia"/>
          <w:sz w:val="24"/>
          <w:szCs w:val="21"/>
        </w:rPr>
      </w:pPr>
      <w:r>
        <w:rPr>
          <w:rFonts w:hint="eastAsia"/>
          <w:sz w:val="24"/>
          <w:szCs w:val="21"/>
        </w:rPr>
        <w:t xml:space="preserve">23.2.4 除本磋商文件第二章第25.1.2条第三款规定的情形外，磋商过程中符合要求的供应商或者提交最后报价且未超过采购预算或最高限价的供应商不足三家。</w:t>
      </w:r>
      <w:r/>
    </w:p>
    <w:p>
      <w:pPr>
        <w:pStyle w:val="666"/>
        <w:ind w:firstLine="420"/>
        <w:spacing w:line="400" w:lineRule="exact"/>
        <w:rPr>
          <w:rFonts w:hint="eastAsia"/>
          <w:sz w:val="24"/>
          <w:szCs w:val="21"/>
        </w:rPr>
      </w:pPr>
      <w:r>
        <w:rPr>
          <w:rFonts w:hint="eastAsia"/>
          <w:sz w:val="24"/>
          <w:szCs w:val="21"/>
        </w:rPr>
        <w:t xml:space="preserve">23.2.5 法律法规规定的其他应当终止</w:t>
      </w:r>
      <w:r>
        <w:rPr>
          <w:rFonts w:hint="eastAsia"/>
          <w:sz w:val="24"/>
          <w:szCs w:val="21"/>
        </w:rPr>
        <w:t xml:space="preserve">情形</w:t>
      </w:r>
      <w:r>
        <w:rPr>
          <w:rFonts w:hint="eastAsia"/>
          <w:sz w:val="24"/>
          <w:szCs w:val="21"/>
        </w:rPr>
        <w:t xml:space="preserve">。</w:t>
      </w:r>
      <w:r/>
    </w:p>
    <w:p>
      <w:pPr>
        <w:pStyle w:val="666"/>
        <w:ind w:firstLine="420"/>
        <w:spacing w:line="400" w:lineRule="exact"/>
        <w:rPr>
          <w:sz w:val="24"/>
          <w:szCs w:val="21"/>
        </w:rPr>
      </w:pPr>
      <w:r>
        <w:rPr>
          <w:rFonts w:hint="eastAsia"/>
          <w:sz w:val="24"/>
          <w:szCs w:val="21"/>
        </w:rPr>
        <w:t xml:space="preserve">23.4 </w:t>
      </w:r>
      <w:r>
        <w:rPr>
          <w:rFonts w:hint="eastAsia"/>
          <w:b/>
          <w:bCs/>
          <w:sz w:val="24"/>
          <w:szCs w:val="21"/>
        </w:rPr>
        <w:t xml:space="preserve">如出现23.2.3或23.2.4情形，磋商小组应对磋商文件是否存在不合理条款进行论证，并在评审报告中写明论证意见。</w:t>
      </w:r>
      <w:r>
        <w:rPr>
          <w:sz w:val="24"/>
          <w:szCs w:val="21"/>
        </w:rPr>
      </w:r>
      <w:r/>
    </w:p>
    <w:p>
      <w:pPr>
        <w:pStyle w:val="666"/>
        <w:spacing w:line="400" w:lineRule="exact"/>
        <w:rPr>
          <w:rFonts w:hint="eastAsia" w:ascii="宋体" w:hAnsi="宋体"/>
          <w:b/>
          <w:bCs/>
          <w:sz w:val="28"/>
          <w:szCs w:val="32"/>
        </w:rPr>
        <w:outlineLvl w:val="1"/>
      </w:pPr>
      <w:r>
        <w:rPr>
          <w:rFonts w:hint="eastAsia" w:ascii="宋体" w:hAnsi="宋体"/>
          <w:b/>
          <w:bCs/>
          <w:sz w:val="28"/>
          <w:szCs w:val="32"/>
        </w:rPr>
        <w:t xml:space="preserve">六、成交</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24. 确定成交单位</w:t>
      </w:r>
      <w:r/>
    </w:p>
    <w:p>
      <w:pPr>
        <w:pStyle w:val="666"/>
        <w:ind w:firstLine="420"/>
        <w:spacing w:line="400" w:lineRule="exact"/>
        <w:rPr>
          <w:rFonts w:hint="eastAsia"/>
          <w:sz w:val="24"/>
          <w:szCs w:val="21"/>
        </w:rPr>
      </w:pPr>
      <w:r>
        <w:rPr>
          <w:rFonts w:hint="eastAsia"/>
          <w:sz w:val="24"/>
          <w:szCs w:val="21"/>
        </w:rPr>
        <w:t xml:space="preserve">24.1 成交候选供应商的确定原则和数量见磋商文件第五章。</w:t>
      </w:r>
      <w:r/>
    </w:p>
    <w:p>
      <w:pPr>
        <w:pStyle w:val="666"/>
        <w:ind w:firstLine="420"/>
        <w:spacing w:line="400" w:lineRule="exact"/>
        <w:rPr>
          <w:sz w:val="24"/>
          <w:szCs w:val="21"/>
        </w:rPr>
      </w:pPr>
      <w:r>
        <w:rPr>
          <w:rFonts w:hint="eastAsia"/>
          <w:sz w:val="24"/>
          <w:szCs w:val="21"/>
        </w:rPr>
        <w:t xml:space="preserve">24.2 按以下第（2）种方式确定成交供应商</w:t>
      </w:r>
      <w:r>
        <w:rPr>
          <w:sz w:val="24"/>
          <w:szCs w:val="21"/>
        </w:rPr>
      </w:r>
      <w:r/>
    </w:p>
    <w:p>
      <w:pPr>
        <w:pStyle w:val="666"/>
        <w:ind w:firstLine="420"/>
        <w:spacing w:line="400" w:lineRule="exact"/>
        <w:rPr>
          <w:rFonts w:hint="eastAsia"/>
          <w:sz w:val="24"/>
          <w:szCs w:val="21"/>
        </w:rPr>
      </w:pPr>
      <w:r>
        <w:rPr>
          <w:rFonts w:hint="eastAsia"/>
          <w:sz w:val="24"/>
          <w:szCs w:val="21"/>
        </w:rPr>
        <w:t xml:space="preserve">（1）磋商小组直接确定排名第一的成交候选供应商为成交供应商；</w:t>
      </w:r>
      <w:r/>
    </w:p>
    <w:p>
      <w:pPr>
        <w:pStyle w:val="666"/>
        <w:ind w:firstLine="420"/>
        <w:spacing w:line="400" w:lineRule="exact"/>
        <w:rPr>
          <w:rFonts w:hint="eastAsia"/>
          <w:sz w:val="24"/>
          <w:szCs w:val="21"/>
        </w:rPr>
      </w:pPr>
      <w:r>
        <w:rPr>
          <w:rFonts w:hint="eastAsia"/>
          <w:sz w:val="24"/>
          <w:szCs w:val="21"/>
        </w:rPr>
        <w:t xml:space="preserve">（2）采购人在磋商小组推荐的成交候选供应商中按顺序确定成交供应商。</w:t>
      </w:r>
      <w:r/>
    </w:p>
    <w:p>
      <w:pPr>
        <w:pStyle w:val="666"/>
        <w:ind w:firstLine="420"/>
        <w:spacing w:line="400" w:lineRule="exact"/>
        <w:rPr>
          <w:rFonts w:hint="eastAsia"/>
          <w:sz w:val="24"/>
          <w:szCs w:val="21"/>
        </w:rPr>
      </w:pPr>
      <w:r>
        <w:rPr>
          <w:rFonts w:hint="eastAsia"/>
          <w:sz w:val="24"/>
          <w:szCs w:val="21"/>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w:t>
      </w:r>
      <w:r>
        <w:rPr>
          <w:rFonts w:hint="eastAsia"/>
          <w:sz w:val="24"/>
          <w:szCs w:val="21"/>
        </w:rPr>
        <w:t xml:space="preserve">应商。</w:t>
      </w:r>
      <w:r/>
    </w:p>
    <w:p>
      <w:pPr>
        <w:pStyle w:val="666"/>
        <w:ind w:firstLine="420"/>
        <w:spacing w:line="400" w:lineRule="exact"/>
        <w:rPr>
          <w:rFonts w:hint="eastAsia"/>
          <w:sz w:val="24"/>
          <w:szCs w:val="21"/>
        </w:rPr>
      </w:pPr>
      <w:r>
        <w:rPr>
          <w:rFonts w:hint="eastAsia"/>
          <w:sz w:val="24"/>
          <w:szCs w:val="21"/>
        </w:rPr>
        <w:t xml:space="preserve">24.3 采购代理机构将在“江苏政府采购网”发布成交结果公告，公告期限为1个工作日。</w:t>
      </w:r>
      <w:r/>
    </w:p>
    <w:p>
      <w:pPr>
        <w:pStyle w:val="666"/>
        <w:ind w:firstLine="420"/>
        <w:spacing w:line="400" w:lineRule="exact"/>
        <w:rPr>
          <w:rFonts w:hint="eastAsia"/>
          <w:sz w:val="24"/>
          <w:szCs w:val="21"/>
        </w:rPr>
      </w:pPr>
      <w:r>
        <w:rPr>
          <w:rFonts w:hint="eastAsia"/>
          <w:sz w:val="24"/>
          <w:szCs w:val="21"/>
        </w:rPr>
        <w:t xml:space="preserve">24.4 </w:t>
      </w:r>
      <w:r>
        <w:rPr>
          <w:rFonts w:hint="eastAsia"/>
          <w:b/>
          <w:bCs/>
          <w:sz w:val="24"/>
          <w:szCs w:val="21"/>
        </w:rPr>
        <w:t xml:space="preserve">若有充分证据证明成交供应商有下列情况之一的，一经查实将被取消成交资格：</w:t>
      </w:r>
      <w:r>
        <w:rPr>
          <w:rFonts w:hint="eastAsia"/>
          <w:sz w:val="24"/>
          <w:szCs w:val="21"/>
        </w:rPr>
      </w:r>
      <w:r/>
    </w:p>
    <w:p>
      <w:pPr>
        <w:pStyle w:val="666"/>
        <w:ind w:firstLine="420"/>
        <w:spacing w:line="400" w:lineRule="exact"/>
        <w:rPr>
          <w:rFonts w:hint="eastAsia"/>
          <w:sz w:val="24"/>
          <w:szCs w:val="21"/>
        </w:rPr>
      </w:pPr>
      <w:r>
        <w:rPr>
          <w:rFonts w:hint="eastAsia"/>
          <w:sz w:val="24"/>
          <w:szCs w:val="21"/>
        </w:rPr>
        <w:t xml:space="preserve">24.4.1 提供虚假材料谋取成交。</w:t>
      </w:r>
      <w:r/>
    </w:p>
    <w:p>
      <w:pPr>
        <w:pStyle w:val="666"/>
        <w:ind w:firstLine="420"/>
        <w:spacing w:line="400" w:lineRule="exact"/>
        <w:rPr>
          <w:rFonts w:hint="eastAsia"/>
          <w:sz w:val="24"/>
          <w:szCs w:val="21"/>
        </w:rPr>
      </w:pPr>
      <w:r>
        <w:rPr>
          <w:rFonts w:hint="eastAsia"/>
          <w:sz w:val="24"/>
          <w:szCs w:val="21"/>
        </w:rPr>
        <w:t xml:space="preserve">24.4.2 向评审专家、采购人或采购代理机构工作人员行贿或者提供其他不正当利益。</w:t>
      </w:r>
      <w:r/>
    </w:p>
    <w:p>
      <w:pPr>
        <w:pStyle w:val="666"/>
        <w:ind w:firstLine="420"/>
        <w:spacing w:line="400" w:lineRule="exact"/>
        <w:rPr>
          <w:rFonts w:hint="eastAsia"/>
          <w:sz w:val="24"/>
          <w:szCs w:val="21"/>
        </w:rPr>
      </w:pPr>
      <w:r>
        <w:rPr>
          <w:rFonts w:hint="eastAsia"/>
          <w:sz w:val="24"/>
          <w:szCs w:val="21"/>
        </w:rPr>
        <w:t xml:space="preserve">24.4.3 与其他供应商、评审专家、采购人或采购代理机构工作人员恶意串通。</w:t>
      </w:r>
      <w:r/>
    </w:p>
    <w:p>
      <w:pPr>
        <w:pStyle w:val="666"/>
        <w:ind w:firstLine="420"/>
        <w:spacing w:line="400" w:lineRule="exact"/>
        <w:rPr>
          <w:rFonts w:hint="eastAsia"/>
          <w:sz w:val="24"/>
          <w:szCs w:val="21"/>
        </w:rPr>
      </w:pPr>
      <w:r>
        <w:rPr>
          <w:rFonts w:hint="eastAsia"/>
          <w:sz w:val="24"/>
          <w:szCs w:val="21"/>
        </w:rPr>
        <w:t xml:space="preserve">24.4.4 不满足本磋商文件规定的实质性要求，但在评审过程中未被磋商</w:t>
      </w:r>
      <w:r>
        <w:rPr>
          <w:rFonts w:hint="eastAsia"/>
          <w:sz w:val="24"/>
          <w:szCs w:val="21"/>
        </w:rPr>
        <w:t xml:space="preserve">小组发现。</w:t>
      </w:r>
      <w:r/>
    </w:p>
    <w:p>
      <w:pPr>
        <w:pStyle w:val="666"/>
        <w:ind w:firstLine="420"/>
        <w:spacing w:line="400" w:lineRule="exact"/>
        <w:rPr>
          <w:rFonts w:hint="eastAsia"/>
          <w:sz w:val="24"/>
          <w:szCs w:val="21"/>
        </w:rPr>
      </w:pPr>
      <w:r>
        <w:rPr>
          <w:rFonts w:hint="eastAsia"/>
          <w:sz w:val="24"/>
          <w:szCs w:val="21"/>
        </w:rPr>
        <w:t xml:space="preserve">24.4.5 采取不正当手段诋毁、排挤其他供应商。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25. 成交通知书</w:t>
      </w:r>
      <w:r/>
    </w:p>
    <w:p>
      <w:pPr>
        <w:pStyle w:val="666"/>
        <w:ind w:firstLine="420"/>
        <w:spacing w:line="400" w:lineRule="exact"/>
        <w:rPr>
          <w:rFonts w:hint="eastAsia"/>
          <w:sz w:val="24"/>
          <w:szCs w:val="21"/>
        </w:rPr>
      </w:pPr>
      <w:r>
        <w:rPr>
          <w:rFonts w:hint="eastAsia"/>
          <w:sz w:val="24"/>
          <w:szCs w:val="21"/>
        </w:rPr>
        <w:t xml:space="preserve">25.1 成交结果确定后，采购代理机构将向成交供应商发出《成交通知书》。成交供应商可在成交结果公告届满之日起三十日内，登录苏采云系统下载。</w:t>
      </w:r>
      <w:r/>
    </w:p>
    <w:p>
      <w:pPr>
        <w:pStyle w:val="666"/>
        <w:ind w:firstLine="420"/>
        <w:spacing w:line="400" w:lineRule="exact"/>
        <w:rPr>
          <w:rFonts w:hint="eastAsia"/>
          <w:sz w:val="24"/>
          <w:szCs w:val="21"/>
        </w:rPr>
      </w:pPr>
      <w:r>
        <w:rPr>
          <w:rFonts w:hint="eastAsia"/>
          <w:sz w:val="24"/>
          <w:szCs w:val="21"/>
        </w:rPr>
        <w:t xml:space="preserve">因系统存储空间有限，成交结果公告届满之日起三十日后，苏采云系统不再保证提供下载《成交通知书》服务，因未及时下载而造成的不利后果由成交供应商自行承担。</w:t>
      </w:r>
      <w:r/>
    </w:p>
    <w:p>
      <w:pPr>
        <w:pStyle w:val="666"/>
        <w:ind w:firstLine="420"/>
        <w:spacing w:line="400" w:lineRule="exact"/>
        <w:rPr>
          <w:rFonts w:hint="eastAsia"/>
          <w:sz w:val="24"/>
          <w:szCs w:val="21"/>
        </w:rPr>
      </w:pPr>
      <w:r>
        <w:rPr>
          <w:rFonts w:hint="eastAsia"/>
          <w:sz w:val="24"/>
          <w:szCs w:val="21"/>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666"/>
        <w:spacing w:line="400" w:lineRule="exact"/>
        <w:rPr>
          <w:rFonts w:hint="eastAsia" w:ascii="宋体" w:hAnsi="宋体"/>
          <w:b/>
          <w:bCs/>
          <w:sz w:val="28"/>
          <w:szCs w:val="32"/>
        </w:rPr>
        <w:outlineLvl w:val="1"/>
      </w:pPr>
      <w:r>
        <w:rPr>
          <w:rFonts w:hint="eastAsia" w:ascii="宋体" w:hAnsi="宋体"/>
          <w:b/>
          <w:bCs/>
          <w:sz w:val="28"/>
          <w:szCs w:val="32"/>
        </w:rPr>
        <w:t xml:space="preserve">七、授予合同</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26. 签订合同</w:t>
      </w:r>
      <w:r/>
    </w:p>
    <w:p>
      <w:pPr>
        <w:pStyle w:val="666"/>
        <w:ind w:firstLine="420"/>
        <w:spacing w:line="400" w:lineRule="exact"/>
        <w:rPr>
          <w:sz w:val="24"/>
          <w:szCs w:val="21"/>
        </w:rPr>
      </w:pPr>
      <w:r>
        <w:rPr>
          <w:rFonts w:hint="eastAsia"/>
          <w:sz w:val="24"/>
          <w:szCs w:val="21"/>
        </w:rPr>
        <w:t xml:space="preserve">26.l 成交供应商应当在《成交通知书》发出之日起三十日内，按照磋商文件确定的事项与采购人签订政府采购合同。采购人于合同签订后2个工作日内通过苏采云系统进行公示。</w:t>
      </w:r>
      <w:r>
        <w:rPr>
          <w:sz w:val="24"/>
          <w:szCs w:val="21"/>
        </w:rPr>
      </w:r>
      <w:r/>
    </w:p>
    <w:p>
      <w:pPr>
        <w:pStyle w:val="666"/>
        <w:ind w:firstLine="420"/>
        <w:spacing w:line="400" w:lineRule="exact"/>
        <w:rPr>
          <w:rFonts w:hint="eastAsia"/>
          <w:sz w:val="24"/>
          <w:szCs w:val="21"/>
        </w:rPr>
      </w:pPr>
      <w:r>
        <w:rPr>
          <w:rFonts w:hint="eastAsia"/>
          <w:sz w:val="24"/>
          <w:szCs w:val="21"/>
        </w:rPr>
        <w:t xml:space="preserve">26.2 磋商文件、成交供应商的响应文件及磋商过程中有关澄清、承诺文件均作为合同附件。</w:t>
      </w:r>
      <w:r/>
    </w:p>
    <w:p>
      <w:pPr>
        <w:pStyle w:val="666"/>
        <w:ind w:firstLine="420"/>
        <w:spacing w:line="400" w:lineRule="exact"/>
        <w:rPr>
          <w:rFonts w:hint="eastAsia"/>
          <w:sz w:val="24"/>
          <w:szCs w:val="21"/>
        </w:rPr>
      </w:pPr>
      <w:r>
        <w:rPr>
          <w:rFonts w:hint="eastAsia"/>
          <w:sz w:val="24"/>
          <w:szCs w:val="21"/>
        </w:rPr>
        <w:t xml:space="preserve">26.3 磋商文件不允许分包或允许分包但供应商未在响应文件中提供分包情况说明及分包意向协议的，成交供应商不得进行分包，否则采购人有权取消成交供应商成交资格或终止合同；磋商文件允许分包但供</w:t>
      </w:r>
      <w:r>
        <w:rPr>
          <w:rFonts w:hint="eastAsia"/>
          <w:sz w:val="24"/>
          <w:szCs w:val="21"/>
        </w:rPr>
        <w:t xml:space="preserve">应商未按磋商文件要求和响应文件的分包情况说明及分包意向协议进行分包的，采购人有权取消成交供应商成交资格或终止合同。成交供应商存在上述情形造成采购人损失的，应承担相应赔偿责任。</w:t>
      </w:r>
      <w:r/>
    </w:p>
    <w:p>
      <w:pPr>
        <w:pStyle w:val="666"/>
        <w:ind w:firstLine="420"/>
        <w:spacing w:line="400" w:lineRule="exact"/>
        <w:rPr>
          <w:rFonts w:hint="eastAsia"/>
          <w:sz w:val="24"/>
          <w:szCs w:val="21"/>
        </w:rPr>
      </w:pPr>
      <w:r>
        <w:rPr>
          <w:rFonts w:hint="eastAsia"/>
          <w:sz w:val="24"/>
          <w:szCs w:val="21"/>
        </w:rPr>
        <w:t xml:space="preserve">26.4 成交供应商不得将合同标的进行转包，否则采购人有权取消其成交资格或终止合同。转包造成采购人损失的，成交供应商应承担相应赔偿责任。</w:t>
      </w:r>
      <w:r/>
    </w:p>
    <w:p>
      <w:pPr>
        <w:pStyle w:val="666"/>
        <w:ind w:firstLine="420"/>
        <w:spacing w:line="400" w:lineRule="exact"/>
        <w:rPr>
          <w:rFonts w:hint="eastAsia"/>
          <w:sz w:val="24"/>
          <w:szCs w:val="21"/>
        </w:rPr>
      </w:pPr>
      <w:r>
        <w:rPr>
          <w:rFonts w:hint="eastAsia"/>
          <w:sz w:val="24"/>
          <w:szCs w:val="21"/>
        </w:rPr>
        <w:t xml:space="preserve">26.5 成交供应商因自身原因拒绝与采购人签订合同的，不得参加采购人重新组织的采购活动，且将可能被拒绝参加该采购人一年内的其他政府采购活动。</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27. 标的物的追加</w:t>
      </w:r>
      <w:r/>
    </w:p>
    <w:p>
      <w:pPr>
        <w:pStyle w:val="666"/>
        <w:ind w:firstLine="420"/>
        <w:spacing w:line="400" w:lineRule="exact"/>
        <w:rPr>
          <w:rFonts w:hint="eastAsia"/>
          <w:sz w:val="24"/>
          <w:szCs w:val="21"/>
        </w:rPr>
      </w:pPr>
      <w:r>
        <w:rPr>
          <w:rFonts w:hint="eastAsia"/>
          <w:sz w:val="24"/>
          <w:szCs w:val="21"/>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28. 政府采购履约资金扶持政策</w:t>
      </w:r>
      <w:r/>
    </w:p>
    <w:p>
      <w:pPr>
        <w:pStyle w:val="666"/>
        <w:ind w:firstLine="420"/>
        <w:spacing w:line="400" w:lineRule="exact"/>
        <w:rPr>
          <w:rFonts w:hint="eastAsia"/>
          <w:sz w:val="24"/>
          <w:szCs w:val="21"/>
        </w:rPr>
      </w:pPr>
      <w:r>
        <w:rPr>
          <w:rFonts w:hint="eastAsia"/>
          <w:sz w:val="24"/>
          <w:szCs w:val="21"/>
        </w:rPr>
        <w:t xml:space="preserve">28.1 成交供应商通过南京市公共资源交易平台网站“小企业融资平台”，选择相应的金融机构办理融资贷款。</w:t>
      </w:r>
      <w:r/>
    </w:p>
    <w:p>
      <w:pPr>
        <w:pStyle w:val="666"/>
        <w:ind w:firstLine="420"/>
        <w:spacing w:line="400" w:lineRule="exact"/>
        <w:rPr>
          <w:rFonts w:hint="eastAsia"/>
          <w:sz w:val="24"/>
          <w:szCs w:val="21"/>
        </w:rPr>
      </w:pPr>
      <w:r>
        <w:rPr>
          <w:rFonts w:hint="eastAsia"/>
          <w:sz w:val="24"/>
          <w:szCs w:val="21"/>
        </w:rPr>
        <w:t xml:space="preserve">28.2 依据《关于在全省政府采购领域推行电子履约保函（保险）的通知》（苏财购〔2023〕150号），需要缴纳履约保证金的，成交供应商可通过江苏政府采购网“政府采购电子履约保函（保险）综合服务平台”线上办理履约</w:t>
      </w:r>
      <w:r>
        <w:rPr>
          <w:rFonts w:hint="eastAsia"/>
          <w:sz w:val="24"/>
          <w:szCs w:val="21"/>
        </w:rPr>
        <w:t xml:space="preserve">保函（保险）。</w:t>
      </w:r>
      <w:r/>
    </w:p>
    <w:p>
      <w:pPr>
        <w:pStyle w:val="666"/>
        <w:spacing w:line="400" w:lineRule="exact"/>
        <w:rPr>
          <w:rFonts w:hint="eastAsia" w:ascii="宋体" w:hAnsi="宋体"/>
          <w:b/>
          <w:bCs/>
          <w:sz w:val="28"/>
          <w:szCs w:val="32"/>
        </w:rPr>
        <w:outlineLvl w:val="1"/>
      </w:pPr>
      <w:r>
        <w:rPr>
          <w:rFonts w:hint="eastAsia" w:ascii="宋体" w:hAnsi="宋体"/>
          <w:b/>
          <w:bCs/>
          <w:sz w:val="28"/>
          <w:szCs w:val="32"/>
        </w:rPr>
        <w:t xml:space="preserve">八、质疑</w:t>
      </w:r>
      <w:r/>
    </w:p>
    <w:p>
      <w:pPr>
        <w:pStyle w:val="666"/>
        <w:ind w:firstLine="420"/>
        <w:spacing w:line="400" w:lineRule="exact"/>
        <w:rPr>
          <w:rFonts w:hint="eastAsia"/>
          <w:sz w:val="24"/>
          <w:szCs w:val="21"/>
        </w:rPr>
        <w:outlineLvl w:val="2"/>
      </w:pPr>
      <w:r>
        <w:rPr>
          <w:rFonts w:hint="eastAsia"/>
          <w:sz w:val="24"/>
          <w:szCs w:val="21"/>
        </w:rPr>
        <w:t xml:space="preserve">29.提出质疑的供应商应当是参与所质疑项目采购活动的供应商，潜在供应商依法获取其可质疑的磋商文件的，可以对磋商文件提出质疑。</w:t>
      </w:r>
      <w:r/>
    </w:p>
    <w:p>
      <w:pPr>
        <w:pStyle w:val="666"/>
        <w:ind w:firstLine="420"/>
        <w:spacing w:line="400" w:lineRule="exact"/>
        <w:rPr>
          <w:rFonts w:hint="eastAsia"/>
          <w:sz w:val="24"/>
          <w:szCs w:val="21"/>
        </w:rPr>
        <w:outlineLvl w:val="2"/>
      </w:pPr>
      <w:r>
        <w:rPr>
          <w:rFonts w:hint="eastAsia"/>
          <w:sz w:val="24"/>
          <w:szCs w:val="21"/>
        </w:rPr>
        <w:t xml:space="preserve">30.供应商认为磋商文件、采购过程和采购结果使自己的权益受到损害的，可以在知道或应知其权益受到损害之日起七个工作日内，按照第32条、第33条之规定以书面形式向采购人或采购代理机构提出质疑。</w:t>
      </w:r>
      <w:r>
        <w:rPr>
          <w:rFonts w:hint="eastAsia"/>
          <w:b/>
          <w:bCs/>
          <w:sz w:val="24"/>
          <w:szCs w:val="21"/>
        </w:rPr>
        <w:t xml:space="preserve">上述应知其权益受到损害之日是指：</w:t>
      </w:r>
      <w:r>
        <w:rPr>
          <w:rFonts w:hint="eastAsia"/>
          <w:sz w:val="24"/>
          <w:szCs w:val="21"/>
        </w:rPr>
      </w:r>
      <w:r/>
    </w:p>
    <w:p>
      <w:pPr>
        <w:pStyle w:val="666"/>
        <w:ind w:firstLine="420"/>
        <w:spacing w:line="400" w:lineRule="exact"/>
        <w:rPr>
          <w:rFonts w:hint="eastAsia"/>
          <w:sz w:val="24"/>
          <w:szCs w:val="21"/>
        </w:rPr>
      </w:pPr>
      <w:r>
        <w:rPr>
          <w:rFonts w:hint="eastAsia"/>
          <w:sz w:val="24"/>
          <w:szCs w:val="21"/>
        </w:rPr>
        <w:t xml:space="preserve">30.1 对磋商文件提出质疑的，为收到磋商文件之日或者磋商文件公告期限届满之日。</w:t>
      </w:r>
      <w:r/>
    </w:p>
    <w:p>
      <w:pPr>
        <w:pStyle w:val="666"/>
        <w:ind w:firstLine="420"/>
        <w:spacing w:line="400" w:lineRule="exact"/>
        <w:rPr>
          <w:rFonts w:hint="eastAsia"/>
          <w:sz w:val="24"/>
          <w:szCs w:val="21"/>
        </w:rPr>
      </w:pPr>
      <w:r>
        <w:rPr>
          <w:rFonts w:hint="eastAsia"/>
          <w:sz w:val="24"/>
          <w:szCs w:val="21"/>
        </w:rPr>
        <w:t xml:space="preserve">30.2 对采购过程提出质疑的，为各采购程序环节结束之日。</w:t>
      </w:r>
      <w:r/>
    </w:p>
    <w:p>
      <w:pPr>
        <w:pStyle w:val="666"/>
        <w:ind w:firstLine="420"/>
        <w:spacing w:line="400" w:lineRule="exact"/>
        <w:rPr>
          <w:rFonts w:hint="eastAsia"/>
          <w:sz w:val="24"/>
          <w:szCs w:val="21"/>
        </w:rPr>
      </w:pPr>
      <w:r>
        <w:rPr>
          <w:rFonts w:hint="eastAsia"/>
          <w:sz w:val="24"/>
          <w:szCs w:val="21"/>
        </w:rPr>
        <w:t xml:space="preserve">30.3 对成交结果提出质疑的，为成交结果公告期限届满之日。</w:t>
      </w:r>
      <w:r/>
    </w:p>
    <w:p>
      <w:pPr>
        <w:pStyle w:val="666"/>
        <w:ind w:firstLine="420"/>
        <w:spacing w:line="400" w:lineRule="exact"/>
        <w:rPr>
          <w:rFonts w:hint="eastAsia" w:ascii="宋体" w:hAnsi="宋体"/>
          <w:sz w:val="24"/>
          <w:lang w:val="zh-CN"/>
        </w:rPr>
        <w:outlineLvl w:val="2"/>
      </w:pPr>
      <w:r>
        <w:rPr>
          <w:rFonts w:hint="eastAsia"/>
          <w:sz w:val="24"/>
          <w:szCs w:val="21"/>
        </w:rPr>
        <w:t xml:space="preserve">31.供应商应当在法定质疑期内一次性提出针对同一采购程序环节的质疑。供应商如在法定期限内对同一采购程序环节提出多次质疑的，采购代理机构</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666"/>
        <w:ind w:firstLine="420"/>
        <w:spacing w:line="400" w:lineRule="exact"/>
        <w:rPr>
          <w:rFonts w:hint="eastAsia"/>
          <w:sz w:val="24"/>
          <w:szCs w:val="21"/>
        </w:rPr>
        <w:outlineLvl w:val="2"/>
      </w:pPr>
      <w:r>
        <w:rPr>
          <w:rFonts w:hint="eastAsia"/>
          <w:sz w:val="24"/>
          <w:szCs w:val="21"/>
        </w:rPr>
        <w:t xml:space="preserve">32.供应商提出质疑应提交《质疑函》原件，且尽可能通过邮寄方式送达，采购代理机构和采购人不接受无运单的快件。《质疑函》应按照本磋商文件中《质疑函范本》的格式和内容填写。</w:t>
      </w:r>
      <w:r>
        <w:rPr>
          <w:rFonts w:hint="eastAsia"/>
          <w:b/>
          <w:bCs/>
          <w:sz w:val="24"/>
          <w:szCs w:val="21"/>
        </w:rPr>
        <w:t xml:space="preserve">由授权代表负责质疑事宜的，《质疑函》附件中应提交由质疑供应商法定代表人或主要负责人签署的《授权委托书》</w:t>
      </w:r>
      <w:r>
        <w:rPr>
          <w:rFonts w:hint="eastAsia"/>
          <w:b/>
          <w:bCs/>
          <w:sz w:val="24"/>
          <w:szCs w:val="21"/>
        </w:rPr>
        <w:t xml:space="preserve">。</w:t>
      </w:r>
      <w:r>
        <w:rPr>
          <w:rFonts w:hint="eastAsia"/>
          <w:sz w:val="24"/>
          <w:szCs w:val="21"/>
        </w:rPr>
      </w:r>
      <w:r/>
    </w:p>
    <w:p>
      <w:pPr>
        <w:pStyle w:val="666"/>
        <w:ind w:firstLine="420"/>
        <w:spacing w:line="400" w:lineRule="exact"/>
        <w:rPr>
          <w:rFonts w:hint="eastAsia"/>
          <w:sz w:val="24"/>
          <w:szCs w:val="21"/>
        </w:rPr>
      </w:pPr>
      <w:r>
        <w:rPr>
          <w:rFonts w:hint="eastAsia"/>
          <w:sz w:val="24"/>
          <w:szCs w:val="21"/>
        </w:rPr>
        <w:t xml:space="preserve">供应商如组成联合体参加采购活动，《质疑函范本》中要求加盖公章之处，联合体各方均须按要求加盖公章。</w:t>
      </w:r>
      <w:r/>
    </w:p>
    <w:p>
      <w:pPr>
        <w:pStyle w:val="666"/>
        <w:ind w:firstLine="420"/>
        <w:jc w:val="left"/>
        <w:spacing w:line="400" w:lineRule="exact"/>
        <w:rPr>
          <w:b/>
          <w:bCs/>
          <w:sz w:val="24"/>
          <w:lang w:val="zh-CN"/>
        </w:rPr>
        <w:outlineLvl w:val="2"/>
      </w:pPr>
      <w:r>
        <w:rPr>
          <w:sz w:val="24"/>
        </w:rPr>
        <w:t xml:space="preserve">33.</w:t>
      </w:r>
      <w:r>
        <w:rPr>
          <w:b/>
          <w:bCs/>
          <w:sz w:val="24"/>
        </w:rPr>
        <w:t xml:space="preserve">供应商根据质疑事项向相应的质疑答复主体提出质疑，具体详见磋商文件第一章。</w:t>
      </w:r>
      <w:r>
        <w:rPr>
          <w:b/>
          <w:bCs/>
          <w:sz w:val="24"/>
          <w:lang w:val="zh-CN"/>
        </w:rPr>
      </w:r>
      <w:r/>
    </w:p>
    <w:p>
      <w:pPr>
        <w:pStyle w:val="666"/>
        <w:ind w:firstLine="422"/>
        <w:spacing w:line="400" w:lineRule="exact"/>
        <w:rPr>
          <w:b/>
          <w:bCs/>
          <w:sz w:val="24"/>
        </w:rPr>
      </w:pPr>
      <w:r>
        <w:rPr>
          <w:b/>
          <w:bCs/>
          <w:sz w:val="24"/>
          <w:szCs w:val="21"/>
        </w:rPr>
        <w:t xml:space="preserve">供应商对采购人、</w:t>
      </w:r>
      <w:r>
        <w:rPr>
          <w:rFonts w:hint="eastAsia"/>
          <w:b/>
          <w:bCs/>
          <w:sz w:val="24"/>
          <w:szCs w:val="21"/>
        </w:rPr>
        <w:t xml:space="preserve">采购代理机构</w:t>
      </w:r>
      <w:r>
        <w:rPr>
          <w:b/>
          <w:bCs/>
          <w:sz w:val="24"/>
          <w:szCs w:val="21"/>
        </w:rPr>
        <w:t xml:space="preserve">的质疑答复不满意，或者采购人、</w:t>
      </w:r>
      <w:r>
        <w:rPr>
          <w:rFonts w:hint="eastAsia"/>
          <w:b/>
          <w:bCs/>
          <w:sz w:val="24"/>
          <w:szCs w:val="21"/>
        </w:rPr>
        <w:t xml:space="preserve">采购代理机构</w:t>
      </w:r>
      <w:r>
        <w:rPr>
          <w:b/>
          <w:bCs/>
          <w:sz w:val="24"/>
          <w:szCs w:val="21"/>
        </w:rPr>
        <w:t xml:space="preserve">未在规定时间内作出质疑答复的，可以在答复期满后15个工作日内向</w:t>
      </w:r>
      <w:r>
        <w:rPr>
          <w:rFonts w:hint="eastAsia"/>
          <w:b/>
          <w:bCs/>
          <w:sz w:val="24"/>
          <w:szCs w:val="21"/>
        </w:rPr>
        <w:t xml:space="preserve">南京市江宁区</w:t>
      </w:r>
      <w:r>
        <w:rPr>
          <w:b/>
          <w:bCs/>
          <w:sz w:val="24"/>
          <w:szCs w:val="21"/>
        </w:rPr>
        <w:t xml:space="preserve">财政局提起投诉。</w:t>
      </w:r>
      <w:r>
        <w:rPr>
          <w:b/>
          <w:bCs/>
          <w:sz w:val="24"/>
        </w:rPr>
      </w:r>
      <w:r/>
    </w:p>
    <w:p>
      <w:pPr>
        <w:pStyle w:val="666"/>
        <w:ind w:firstLine="420"/>
        <w:spacing w:line="400" w:lineRule="exact"/>
        <w:rPr>
          <w:sz w:val="24"/>
          <w:lang w:val="zh-CN"/>
        </w:rPr>
        <w:outlineLvl w:val="2"/>
      </w:pPr>
      <w:r>
        <w:rPr>
          <w:sz w:val="24"/>
        </w:rPr>
        <w:t xml:space="preserve">34.</w:t>
      </w:r>
      <w:r>
        <w:rPr>
          <w:sz w:val="24"/>
          <w:lang w:val="zh-CN"/>
        </w:rPr>
        <w:t xml:space="preserve">以下情形的质疑不予受理：</w:t>
      </w:r>
      <w:r/>
    </w:p>
    <w:p>
      <w:pPr>
        <w:pStyle w:val="666"/>
        <w:ind w:firstLine="420"/>
        <w:spacing w:line="400" w:lineRule="exact"/>
        <w:rPr>
          <w:sz w:val="24"/>
          <w:lang w:val="zh-CN"/>
        </w:rPr>
      </w:pPr>
      <w:r>
        <w:rPr>
          <w:sz w:val="24"/>
        </w:rPr>
        <w:t xml:space="preserve">34</w:t>
      </w:r>
      <w:r>
        <w:rPr>
          <w:sz w:val="24"/>
          <w:lang w:val="zh-CN"/>
        </w:rPr>
        <w:t xml:space="preserve">.1 超出政府采购法定期限的质疑；</w:t>
      </w:r>
      <w:r/>
    </w:p>
    <w:p>
      <w:pPr>
        <w:pStyle w:val="666"/>
        <w:ind w:firstLine="420"/>
        <w:spacing w:line="400" w:lineRule="exact"/>
        <w:rPr>
          <w:sz w:val="24"/>
          <w:lang w:val="zh-CN"/>
        </w:rPr>
      </w:pPr>
      <w:r>
        <w:rPr>
          <w:sz w:val="24"/>
        </w:rPr>
        <w:t xml:space="preserve">34</w:t>
      </w:r>
      <w:r>
        <w:rPr>
          <w:sz w:val="24"/>
          <w:lang w:val="zh-CN"/>
        </w:rPr>
        <w:t xml:space="preserve">.2 </w:t>
      </w:r>
      <w:r>
        <w:rPr>
          <w:sz w:val="24"/>
        </w:rPr>
        <w:t xml:space="preserve">属于第31条规定的对</w:t>
      </w:r>
      <w:r>
        <w:rPr>
          <w:sz w:val="24"/>
          <w:lang w:val="zh-CN"/>
        </w:rPr>
        <w:t xml:space="preserve">同一采购程序环节提出</w:t>
      </w:r>
      <w:r>
        <w:rPr>
          <w:sz w:val="24"/>
        </w:rPr>
        <w:t xml:space="preserve">的多次</w:t>
      </w:r>
      <w:r>
        <w:rPr>
          <w:sz w:val="24"/>
          <w:lang w:val="zh-CN"/>
        </w:rPr>
        <w:t xml:space="preserve">质疑；</w:t>
      </w:r>
      <w:r/>
    </w:p>
    <w:p>
      <w:pPr>
        <w:pStyle w:val="666"/>
        <w:ind w:firstLine="420"/>
        <w:spacing w:line="400" w:lineRule="exact"/>
        <w:rPr>
          <w:sz w:val="24"/>
          <w:lang w:val="zh-CN"/>
        </w:rPr>
      </w:pPr>
      <w:r>
        <w:rPr>
          <w:sz w:val="24"/>
        </w:rPr>
        <w:t xml:space="preserve">34</w:t>
      </w:r>
      <w:r>
        <w:rPr>
          <w:sz w:val="24"/>
          <w:lang w:val="zh-CN"/>
        </w:rPr>
        <w:t xml:space="preserve">.3 法律法规规定的</w:t>
      </w:r>
      <w:r>
        <w:rPr>
          <w:sz w:val="24"/>
        </w:rPr>
        <w:t xml:space="preserve">其他</w:t>
      </w:r>
      <w:r>
        <w:rPr>
          <w:sz w:val="24"/>
          <w:lang w:val="zh-CN"/>
        </w:rPr>
        <w:t xml:space="preserve">不予受理情形。</w:t>
      </w:r>
      <w:r/>
    </w:p>
    <w:p>
      <w:pPr>
        <w:pStyle w:val="666"/>
        <w:ind w:firstLine="420"/>
        <w:spacing w:line="400" w:lineRule="exact"/>
        <w:rPr>
          <w:sz w:val="24"/>
          <w:lang w:val="zh-CN"/>
        </w:rPr>
        <w:outlineLvl w:val="2"/>
      </w:pPr>
      <w:r>
        <w:rPr>
          <w:sz w:val="24"/>
        </w:rPr>
        <w:t xml:space="preserve">35</w:t>
      </w:r>
      <w:r>
        <w:rPr>
          <w:sz w:val="24"/>
          <w:lang w:val="zh-CN"/>
        </w:rPr>
        <w:t xml:space="preserve">.供应商提出书面质疑必须有理、有据，不得捏造事实、提供虚假材料进行恶意质疑。否则，一经查实，</w:t>
      </w:r>
      <w:r>
        <w:rPr>
          <w:rFonts w:hint="eastAsia"/>
          <w:sz w:val="24"/>
          <w:lang w:val="zh-CN"/>
        </w:rPr>
        <w:t xml:space="preserve">采购代理机构</w:t>
      </w:r>
      <w:r>
        <w:rPr>
          <w:sz w:val="24"/>
          <w:lang w:val="zh-CN"/>
        </w:rPr>
        <w:t xml:space="preserve">或采购人有权依据政府采购的有关规定，报请政府采购监管部门对该供应商进行相应的行政处罚和记录该供应商的失信信息。</w:t>
      </w:r>
      <w:r/>
    </w:p>
    <w:p>
      <w:pPr>
        <w:pStyle w:val="666"/>
        <w:spacing w:line="400" w:lineRule="exact"/>
        <w:rPr>
          <w:rFonts w:ascii="宋体" w:hAnsi="宋体"/>
          <w:b/>
          <w:bCs/>
          <w:sz w:val="28"/>
          <w:szCs w:val="32"/>
        </w:rPr>
        <w:outlineLvl w:val="1"/>
      </w:pPr>
      <w:r>
        <w:rPr>
          <w:rFonts w:hint="eastAsia" w:ascii="宋体" w:hAnsi="宋体"/>
          <w:b/>
          <w:bCs/>
          <w:sz w:val="28"/>
          <w:szCs w:val="32"/>
        </w:rPr>
        <w:t xml:space="preserve">九、政策功能落实</w:t>
      </w:r>
      <w:r>
        <w:rPr>
          <w:rFonts w:ascii="宋体" w:hAnsi="宋体"/>
          <w:b/>
          <w:bCs/>
          <w:sz w:val="28"/>
          <w:szCs w:val="32"/>
        </w:rPr>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36. 促进中小企业发展</w:t>
      </w:r>
      <w:r/>
    </w:p>
    <w:p>
      <w:pPr>
        <w:pStyle w:val="666"/>
        <w:ind w:firstLine="420"/>
        <w:spacing w:line="400" w:lineRule="exact"/>
        <w:rPr>
          <w:rFonts w:hint="eastAsia"/>
          <w:sz w:val="24"/>
        </w:rPr>
      </w:pPr>
      <w:r>
        <w:rPr>
          <w:rFonts w:hint="eastAsia"/>
          <w:sz w:val="24"/>
        </w:rPr>
        <w:t xml:space="preserve">36.1 中小企业是指在中华人民共和国境内依法设立，依据国务院批准的中小企业划分标准（详见《关于印发中小企业划型标准规定的通知》（工信部联企业〔2011〕300号）、《国家统计局关于印发〈统计上大中小微型企业划分办法（2017）〉的通知</w:t>
      </w:r>
      <w:r>
        <w:rPr>
          <w:rFonts w:hint="eastAsia"/>
          <w:sz w:val="24"/>
        </w:rPr>
        <w:t xml:space="preserve">》（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66"/>
        <w:ind w:firstLine="420"/>
        <w:spacing w:line="400" w:lineRule="exact"/>
        <w:rPr>
          <w:rFonts w:hint="eastAsia"/>
          <w:sz w:val="24"/>
        </w:rPr>
      </w:pPr>
      <w:r>
        <w:rPr>
          <w:rFonts w:hint="eastAsia"/>
          <w:sz w:val="24"/>
        </w:rPr>
        <w:t xml:space="preserve">36.2 中小企业参加政府采购活动，应当出具《中小企业声明函》，否则不享受相关中小企业支持政策。</w:t>
      </w:r>
      <w:r/>
    </w:p>
    <w:p>
      <w:pPr>
        <w:pStyle w:val="666"/>
        <w:ind w:firstLine="420"/>
        <w:spacing w:line="400" w:lineRule="exact"/>
        <w:rPr>
          <w:rFonts w:hint="eastAsia"/>
          <w:b/>
          <w:bCs/>
          <w:sz w:val="24"/>
        </w:rPr>
      </w:pPr>
      <w:r>
        <w:rPr>
          <w:rFonts w:hint="eastAsia"/>
          <w:sz w:val="24"/>
        </w:rPr>
        <w:t xml:space="preserve">36.3 </w:t>
      </w:r>
      <w:r>
        <w:rPr>
          <w:rFonts w:hint="eastAsia"/>
          <w:b/>
          <w:bCs/>
          <w:sz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666"/>
        <w:ind w:firstLine="420"/>
        <w:spacing w:line="400" w:lineRule="exact"/>
        <w:rPr>
          <w:rFonts w:hint="eastAsia"/>
          <w:b/>
          <w:bCs/>
          <w:sz w:val="24"/>
        </w:rPr>
      </w:pPr>
      <w:r>
        <w:rPr>
          <w:rFonts w:hint="eastAsia"/>
          <w:sz w:val="24"/>
        </w:rPr>
        <w:t xml:space="preserve">36.4 </w:t>
      </w:r>
      <w:r>
        <w:rPr>
          <w:rFonts w:hint="eastAsia"/>
          <w:b/>
          <w:bCs/>
          <w:sz w:val="24"/>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p>
    <w:p>
      <w:pPr>
        <w:pStyle w:val="666"/>
        <w:ind w:firstLine="420"/>
        <w:spacing w:line="400" w:lineRule="exact"/>
        <w:rPr>
          <w:rFonts w:hint="eastAsia"/>
          <w:sz w:val="24"/>
        </w:rPr>
      </w:pPr>
      <w:r>
        <w:rPr>
          <w:rFonts w:hint="eastAsia"/>
          <w:sz w:val="24"/>
        </w:rPr>
        <w:t xml:space="preserve">36.5 以联合体形式参加政府采购活动，联合体各方均为中小企业的，联合体视同中小企业。其中，联合体各方均为小微企业的，联合体视同小微企业。</w:t>
      </w:r>
      <w:r/>
    </w:p>
    <w:p>
      <w:pPr>
        <w:pStyle w:val="666"/>
        <w:ind w:firstLine="420"/>
        <w:spacing w:line="400" w:lineRule="exact"/>
        <w:rPr>
          <w:rFonts w:hint="eastAsia"/>
          <w:sz w:val="24"/>
        </w:rPr>
      </w:pPr>
      <w:r>
        <w:rPr>
          <w:rFonts w:hint="eastAsia"/>
          <w:sz w:val="24"/>
        </w:rPr>
        <w:t xml:space="preserve">36.6 监狱和戒毒企业（统称监狱企业）视同小型、微型企业。按照《关于政府采购支持监狱企业发展有关问题的通知》（财库〔2014〕68号）规定，监狱企业</w:t>
      </w:r>
      <w:r>
        <w:rPr>
          <w:rFonts w:hint="eastAsia"/>
          <w:sz w:val="24"/>
        </w:rPr>
        <w:t xml:space="preserve">需提供由省级以上监狱管理局、戒毒管理局（含新疆生产建设兵团）出具的属于监狱企业的证明文件。</w:t>
      </w:r>
      <w:r/>
    </w:p>
    <w:p>
      <w:pPr>
        <w:pStyle w:val="666"/>
        <w:ind w:firstLine="420"/>
        <w:spacing w:line="400" w:lineRule="exact"/>
        <w:rPr>
          <w:rFonts w:hint="eastAsia"/>
          <w:sz w:val="24"/>
        </w:rPr>
      </w:pPr>
      <w:r>
        <w:rPr>
          <w:rFonts w:hint="eastAsia"/>
          <w:sz w:val="24"/>
        </w:rPr>
        <w:t xml:space="preserve">36.7 残疾人福利性单位视同小型、微型企业。按照《关于促进残疾人就业政府采购政策的通知》（财库〔2017〕141号）规定，残疾人福利性单位需提供《残疾人福利性单位声明函》。</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37. 节能产品和环境标志产品</w:t>
      </w:r>
      <w:r>
        <w:rPr>
          <w:rFonts w:ascii="方正楷体_GBK" w:eastAsia="方正楷体_GBK"/>
          <w:b/>
          <w:bCs/>
          <w:sz w:val="24"/>
          <w:szCs w:val="28"/>
        </w:rPr>
      </w:r>
      <w:r/>
    </w:p>
    <w:p>
      <w:pPr>
        <w:pStyle w:val="666"/>
        <w:ind w:firstLine="420"/>
        <w:spacing w:line="400" w:lineRule="exact"/>
        <w:rPr>
          <w:sz w:val="24"/>
          <w:lang w:val="zh-CN"/>
        </w:rPr>
      </w:pPr>
      <w:r>
        <w:rPr>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w:t>
      </w:r>
      <w:r>
        <w:rPr>
          <w:sz w:val="24"/>
        </w:rPr>
        <w:t xml:space="preserve">志产品。国家对品目清单进行调整的，按照最新的品目清单执行。</w:t>
      </w:r>
      <w:r>
        <w:rPr>
          <w:sz w:val="24"/>
          <w:lang w:val="zh-CN"/>
        </w:rPr>
      </w:r>
      <w:r/>
    </w:p>
    <w:p>
      <w:pPr>
        <w:pStyle w:val="666"/>
        <w:ind w:firstLine="420"/>
        <w:spacing w:line="400" w:lineRule="exact"/>
        <w:rPr>
          <w:sz w:val="24"/>
          <w:lang w:val="zh-CN"/>
        </w:rPr>
      </w:pPr>
      <w:r>
        <w:rPr>
          <w:sz w:val="24"/>
        </w:rPr>
        <w:t xml:space="preserve">37.2 采购产品</w:t>
      </w:r>
      <w:r>
        <w:rPr>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pStyle w:val="666"/>
        <w:ind w:firstLine="420"/>
        <w:spacing w:line="400" w:lineRule="exact"/>
        <w:rPr>
          <w:sz w:val="24"/>
          <w:lang w:val="zh-CN"/>
        </w:rPr>
      </w:pPr>
      <w:r>
        <w:rPr>
          <w:sz w:val="24"/>
        </w:rPr>
        <w:t xml:space="preserve">37.3 采购产品</w:t>
      </w:r>
      <w:r>
        <w:rPr>
          <w:sz w:val="24"/>
          <w:lang w:val="zh-CN"/>
        </w:rPr>
        <w:t xml:space="preserve">属于政府优先采购节能产品和环境标志产品的，对供应商提供的国家确定的认证机构出</w:t>
      </w:r>
      <w:r>
        <w:rPr>
          <w:sz w:val="24"/>
          <w:lang w:val="zh-CN"/>
        </w:rPr>
        <w:t xml:space="preserve">具的、处于有效期之内的节能产品或环境标志产品认证证书，评审时给予加分（详见</w:t>
      </w:r>
      <w:r>
        <w:rPr>
          <w:sz w:val="24"/>
        </w:rPr>
        <w:t xml:space="preserve">第五章</w:t>
      </w:r>
      <w:r>
        <w:rPr>
          <w:sz w:val="24"/>
          <w:lang w:val="zh-CN"/>
        </w:rPr>
        <w:t xml:space="preserve">）。</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38. 绿色采购</w:t>
      </w:r>
      <w:r>
        <w:rPr>
          <w:rFonts w:ascii="方正楷体_GBK" w:eastAsia="方正楷体_GBK"/>
          <w:b/>
          <w:bCs/>
          <w:sz w:val="24"/>
          <w:szCs w:val="28"/>
        </w:rPr>
      </w:r>
      <w:r/>
    </w:p>
    <w:p>
      <w:pPr>
        <w:pStyle w:val="666"/>
        <w:ind w:firstLine="420"/>
        <w:spacing w:line="400" w:lineRule="exact"/>
        <w:rPr>
          <w:sz w:val="24"/>
        </w:rPr>
      </w:pPr>
      <w:r>
        <w:rPr>
          <w:sz w:val="24"/>
        </w:rPr>
        <w:t xml:space="preserve">38.1 采购产品</w:t>
      </w:r>
      <w:r>
        <w:rPr>
          <w:bCs/>
          <w:sz w:val="24"/>
          <w:szCs w:val="24"/>
        </w:rPr>
        <w:t xml:space="preserve">中涉及商品包装、快递包装要求的，应按照</w:t>
      </w:r>
      <w:r>
        <w:rPr>
          <w:sz w:val="24"/>
        </w:rPr>
        <w:t xml:space="preserve">《关于印发&lt;商品包装政府采购需求标准（试行）&gt;、&lt;快递包装政府采购需求标准（试行）&gt;的通知》（财办库〔2020〕123号）、</w:t>
      </w:r>
      <w:r>
        <w:rPr>
          <w:sz w:val="24"/>
          <w:szCs w:val="24"/>
        </w:rPr>
        <w:t xml:space="preserve">《江苏省财政厅关于加强政府绿色采购有关事项的通知》（苏财购〔2023〕65号）</w:t>
      </w:r>
      <w:r>
        <w:rPr>
          <w:sz w:val="24"/>
        </w:rPr>
        <w:t xml:space="preserve">文件执行。磋商文件对</w:t>
      </w:r>
      <w:r>
        <w:rPr>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sz w:val="24"/>
        </w:rPr>
      </w:r>
      <w:r/>
    </w:p>
    <w:p>
      <w:pPr>
        <w:pStyle w:val="666"/>
        <w:ind w:firstLine="420"/>
        <w:spacing w:line="400" w:lineRule="exact"/>
        <w:rPr>
          <w:sz w:val="24"/>
        </w:rPr>
      </w:pPr>
      <w:r>
        <w:rPr>
          <w:sz w:val="24"/>
        </w:rPr>
        <w:t xml:space="preserve">38.2 采购产品中涉及数据中心相关设备、运维服务的，应按照《关于印发〈绿色数据中心政府采购需求标准（试行）的通知》（财办库〔2023〕7号）、</w:t>
      </w:r>
      <w:r>
        <w:rPr>
          <w:sz w:val="24"/>
          <w:szCs w:val="24"/>
        </w:rPr>
        <w:t xml:space="preserve">《江苏省财政厅关于加强政府绿色采购有关事项的通知》（苏财购〔2023〕65号）</w:t>
      </w:r>
      <w:r>
        <w:rPr>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66"/>
        <w:ind w:firstLine="420"/>
        <w:spacing w:line="400" w:lineRule="exact"/>
        <w:rPr>
          <w:sz w:val="24"/>
        </w:rPr>
      </w:pPr>
      <w:r>
        <w:rPr>
          <w:sz w:val="24"/>
        </w:rPr>
        <w:t xml:space="preserve">38.3 采购</w:t>
      </w:r>
      <w:r>
        <w:rPr>
          <w:sz w:val="24"/>
        </w:rPr>
        <w:t xml:space="preserve">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66"/>
        <w:ind w:firstLine="420"/>
        <w:spacing w:line="400" w:lineRule="exact"/>
        <w:rPr>
          <w:sz w:val="24"/>
        </w:rPr>
      </w:pPr>
      <w:r>
        <w:rPr>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w:t>
      </w:r>
      <w:r>
        <w:rPr>
          <w:sz w:val="24"/>
        </w:rPr>
        <w:t xml:space="preserve">上述产品进行验收，必要时可以委托依法取得检测、认证资质的机构进行检测、认证。</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39. 创新产品采购</w:t>
      </w:r>
      <w:r>
        <w:rPr>
          <w:rFonts w:ascii="方正楷体_GBK" w:eastAsia="方正楷体_GBK"/>
          <w:b/>
          <w:bCs/>
          <w:sz w:val="24"/>
          <w:szCs w:val="28"/>
        </w:rPr>
      </w:r>
      <w:r/>
    </w:p>
    <w:p>
      <w:pPr>
        <w:pStyle w:val="666"/>
        <w:ind w:firstLine="420"/>
        <w:spacing w:line="400" w:lineRule="exact"/>
        <w:widowControl/>
        <w:rPr>
          <w:rFonts w:hint="eastAsia"/>
          <w:sz w:val="24"/>
        </w:rPr>
      </w:pPr>
      <w:r>
        <w:rPr>
          <w:rFonts w:hint="eastAsia"/>
          <w:sz w:val="24"/>
        </w:rPr>
        <w:t xml:space="preserve">39.1 优先采购各级政府部门公开发布的有效期内的创新产品、首台套等《目录》内的创新产品。创新产品自进入《目录》起2年内视同具备相应销售业绩。</w:t>
      </w:r>
      <w:r/>
    </w:p>
    <w:p>
      <w:pPr>
        <w:pStyle w:val="666"/>
        <w:spacing w:line="400" w:lineRule="exact"/>
        <w:rPr>
          <w:rFonts w:ascii="方正楷体_GBK" w:eastAsia="方正楷体_GBK"/>
          <w:b/>
          <w:bCs/>
          <w:sz w:val="24"/>
          <w:szCs w:val="28"/>
        </w:rPr>
        <w:outlineLvl w:val="2"/>
      </w:pPr>
      <w:r>
        <w:rPr>
          <w:rFonts w:hint="eastAsia" w:ascii="方正楷体_GBK" w:eastAsia="方正楷体_GBK"/>
          <w:b/>
          <w:bCs/>
          <w:sz w:val="24"/>
          <w:szCs w:val="28"/>
        </w:rPr>
        <w:t xml:space="preserve">40. 网络产品、市场准入类产品采购</w:t>
      </w:r>
      <w:r>
        <w:rPr>
          <w:rFonts w:ascii="方正楷体_GBK" w:eastAsia="方正楷体_GBK"/>
          <w:b/>
          <w:bCs/>
          <w:sz w:val="24"/>
          <w:szCs w:val="28"/>
        </w:rPr>
      </w:r>
      <w:r/>
    </w:p>
    <w:p>
      <w:pPr>
        <w:pStyle w:val="666"/>
        <w:ind w:firstLine="420"/>
        <w:spacing w:line="400" w:lineRule="exact"/>
        <w:rPr>
          <w:sz w:val="24"/>
          <w:lang w:val="zh-CN"/>
        </w:rPr>
      </w:pPr>
      <w:r>
        <w:rPr>
          <w:sz w:val="24"/>
        </w:rPr>
        <w:t xml:space="preserve">40.1 </w:t>
      </w:r>
      <w:r>
        <w:rPr>
          <w:sz w:val="24"/>
          <w:lang w:val="zh-CN"/>
        </w:rPr>
        <w:t xml:space="preserve">本项目中如涉及网络关键设备或网络安全专用产品的，应严格</w:t>
      </w:r>
      <w:r>
        <w:rPr>
          <w:sz w:val="24"/>
          <w:lang w:val="zh-CN"/>
        </w:rPr>
        <w:t xml:space="preserve">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666"/>
        <w:ind w:firstLine="420"/>
        <w:spacing w:line="400" w:lineRule="exact"/>
        <w:rPr>
          <w:sz w:val="24"/>
          <w:lang w:val="zh-CN"/>
        </w:rPr>
      </w:pPr>
      <w:r>
        <w:rPr>
          <w:sz w:val="24"/>
        </w:rPr>
        <w:t xml:space="preserve">40.2 </w:t>
      </w:r>
      <w:r>
        <w:rPr>
          <w:sz w:val="24"/>
          <w:lang w:val="zh-CN"/>
        </w:rPr>
        <w:t xml:space="preserve">本项目中如涉及国家强制性产品认证</w:t>
      </w:r>
      <w:r>
        <w:rPr>
          <w:sz w:val="24"/>
          <w:lang w:val="zh-CN"/>
        </w:rPr>
        <w:t xml:space="preserve">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41. 实施本国产品标准及相关政策</w:t>
      </w:r>
      <w:r/>
    </w:p>
    <w:p>
      <w:pPr>
        <w:pStyle w:val="666"/>
        <w:ind w:firstLine="420"/>
        <w:spacing w:line="400" w:lineRule="exact"/>
        <w:rPr>
          <w:rFonts w:hint="eastAsia"/>
          <w:sz w:val="24"/>
          <w:lang w:val="zh-CN"/>
        </w:rPr>
      </w:pPr>
      <w:r>
        <w:rPr>
          <w:rFonts w:hint="eastAsia"/>
          <w:sz w:val="24"/>
          <w:lang w:val="zh-CN"/>
        </w:rPr>
        <w:t xml:space="preserve">41.1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w:t>
      </w:r>
      <w:r>
        <w:rPr>
          <w:rFonts w:hint="eastAsia"/>
          <w:sz w:val="24"/>
          <w:lang w:val="zh-CN"/>
        </w:rPr>
        <w:t xml:space="preserve">〔2025〕78号）等文件规定，在政府采购中实施本国产品标准及相关政策。</w:t>
      </w:r>
      <w:r/>
    </w:p>
    <w:p>
      <w:pPr>
        <w:pStyle w:val="666"/>
        <w:ind w:firstLine="420"/>
        <w:spacing w:line="400" w:lineRule="exact"/>
        <w:rPr>
          <w:rFonts w:hint="eastAsia"/>
          <w:sz w:val="24"/>
          <w:lang w:val="zh-CN"/>
        </w:rPr>
      </w:pPr>
      <w:r>
        <w:rPr>
          <w:rFonts w:hint="eastAsia"/>
          <w:sz w:val="24"/>
          <w:lang w:val="zh-CN"/>
        </w:rPr>
        <w:t xml:space="preserve">41.2本国产品应当符合以下条件：</w:t>
      </w:r>
      <w:r/>
    </w:p>
    <w:p>
      <w:pPr>
        <w:pStyle w:val="666"/>
        <w:ind w:firstLine="420"/>
        <w:spacing w:line="400" w:lineRule="exact"/>
        <w:rPr>
          <w:rFonts w:hint="eastAsia"/>
          <w:sz w:val="24"/>
          <w:lang w:val="zh-CN"/>
        </w:rPr>
      </w:pPr>
      <w:r>
        <w:rPr>
          <w:rFonts w:hint="eastAsia"/>
          <w:sz w:val="24"/>
          <w:lang w:val="zh-CN"/>
        </w:rPr>
        <w:t xml:space="preserve">（1）在中国境内生产</w:t>
      </w:r>
      <w:r/>
    </w:p>
    <w:p>
      <w:pPr>
        <w:pStyle w:val="666"/>
        <w:ind w:firstLine="420"/>
        <w:spacing w:line="400" w:lineRule="exact"/>
        <w:rPr>
          <w:rFonts w:hint="eastAsia"/>
          <w:sz w:val="24"/>
          <w:lang w:val="zh-CN"/>
        </w:rPr>
      </w:pPr>
      <w:r>
        <w:rPr>
          <w:rFonts w:hint="eastAsia"/>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666"/>
        <w:ind w:firstLine="420"/>
        <w:spacing w:line="400" w:lineRule="exact"/>
        <w:rPr>
          <w:rFonts w:hint="eastAsia"/>
          <w:sz w:val="24"/>
          <w:lang w:val="zh-CN"/>
        </w:rPr>
      </w:pPr>
      <w:r>
        <w:rPr>
          <w:rFonts w:hint="eastAsia"/>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6"/>
        <w:ind w:firstLine="420"/>
        <w:spacing w:line="400" w:lineRule="exact"/>
        <w:rPr>
          <w:rFonts w:hint="eastAsia"/>
          <w:sz w:val="24"/>
          <w:lang w:val="zh-CN"/>
        </w:rPr>
      </w:pPr>
      <w:r>
        <w:rPr>
          <w:rFonts w:hint="eastAsia"/>
          <w:sz w:val="24"/>
          <w:lang w:val="zh-CN"/>
        </w:rPr>
        <w:t xml:space="preserve">（2）在中国境内生产的组件成本占比达到规定比例</w:t>
      </w:r>
      <w:r/>
    </w:p>
    <w:p>
      <w:pPr>
        <w:pStyle w:val="666"/>
        <w:ind w:firstLine="420"/>
        <w:spacing w:line="400" w:lineRule="exact"/>
        <w:rPr>
          <w:rFonts w:hint="eastAsia"/>
          <w:sz w:val="24"/>
          <w:lang w:val="zh-CN"/>
        </w:rPr>
      </w:pPr>
      <w:r>
        <w:rPr>
          <w:rFonts w:hint="eastAsia"/>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66"/>
        <w:ind w:firstLine="420"/>
        <w:spacing w:line="400" w:lineRule="exact"/>
        <w:rPr>
          <w:rFonts w:hint="eastAsia"/>
          <w:sz w:val="24"/>
          <w:lang w:val="zh-CN"/>
        </w:rPr>
      </w:pPr>
      <w:r>
        <w:rPr>
          <w:rFonts w:hint="eastAsia"/>
          <w:sz w:val="24"/>
          <w:lang w:val="zh-CN"/>
        </w:rPr>
        <w:t xml:space="preserve">（3）特定产品的关键组件、关键工序符合相关要求</w:t>
      </w:r>
      <w:r/>
    </w:p>
    <w:p>
      <w:pPr>
        <w:pStyle w:val="666"/>
        <w:ind w:firstLine="420"/>
        <w:spacing w:line="400" w:lineRule="exact"/>
        <w:rPr>
          <w:rFonts w:hint="eastAsia"/>
          <w:sz w:val="24"/>
          <w:lang w:val="zh-CN"/>
        </w:rPr>
      </w:pPr>
      <w:r>
        <w:rPr>
          <w:rFonts w:hint="eastAsia"/>
          <w:sz w:val="24"/>
          <w:lang w:val="zh-CN"/>
        </w:rPr>
        <w:t xml:space="preserve">对特定产品，在符合本通</w:t>
      </w:r>
      <w:r>
        <w:rPr>
          <w:rFonts w:hint="eastAsia"/>
          <w:sz w:val="24"/>
          <w:lang w:val="zh-CN"/>
        </w:rPr>
        <w:t xml:space="preserve">知第一条第（一）项和第（二）项条件的基础上，应当符合财政部会同有关行业主管部门确定的其关键组件、关键工序在中国境内生产、完成等要求。</w:t>
      </w:r>
      <w:r/>
    </w:p>
    <w:p>
      <w:pPr>
        <w:pStyle w:val="666"/>
        <w:ind w:firstLine="420"/>
        <w:spacing w:line="400" w:lineRule="exact"/>
        <w:rPr>
          <w:rFonts w:hint="eastAsia"/>
          <w:sz w:val="24"/>
          <w:lang w:val="zh-CN"/>
        </w:rPr>
      </w:pPr>
      <w:r>
        <w:rPr>
          <w:rFonts w:hint="eastAsia"/>
          <w:sz w:val="24"/>
          <w:lang w:val="zh-CN"/>
        </w:rPr>
        <w:t xml:space="preserve">41.3本国产品标准的适用范围</w:t>
      </w:r>
      <w:r/>
    </w:p>
    <w:p>
      <w:pPr>
        <w:pStyle w:val="666"/>
        <w:ind w:firstLine="420"/>
        <w:spacing w:line="400" w:lineRule="exact"/>
        <w:rPr>
          <w:rFonts w:hint="eastAsia"/>
          <w:sz w:val="24"/>
          <w:lang w:val="zh-CN"/>
        </w:rPr>
      </w:pPr>
      <w:r>
        <w:rPr>
          <w:rFonts w:hint="eastAsia"/>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66"/>
        <w:ind w:firstLine="420"/>
        <w:spacing w:line="400" w:lineRule="exact"/>
        <w:rPr>
          <w:sz w:val="24"/>
          <w:lang w:val="zh-CN"/>
        </w:rPr>
      </w:pPr>
      <w:r>
        <w:rPr>
          <w:rFonts w:hint="eastAsia"/>
          <w:sz w:val="24"/>
          <w:lang w:val="zh-CN"/>
        </w:rPr>
        <w:t xml:space="preserve">41.4对本国产品的支持政策</w:t>
      </w:r>
      <w:r>
        <w:rPr>
          <w:sz w:val="24"/>
          <w:lang w:val="zh-CN"/>
        </w:rPr>
      </w:r>
      <w:r/>
    </w:p>
    <w:p>
      <w:pPr>
        <w:pStyle w:val="666"/>
        <w:ind w:firstLine="422"/>
        <w:spacing w:line="400" w:lineRule="exact"/>
        <w:rPr>
          <w:b/>
          <w:bCs/>
          <w:sz w:val="24"/>
        </w:rPr>
      </w:pPr>
      <w:r>
        <w:rPr>
          <w:b/>
          <w:bCs/>
          <w:sz w:val="24"/>
        </w:rPr>
        <w:t xml:space="preserve">本项目如</w:t>
      </w:r>
      <w:r>
        <w:rPr>
          <w:b/>
          <w:bCs/>
          <w:sz w:val="24"/>
          <w:lang w:val="zh-CN"/>
        </w:rPr>
        <w:t xml:space="preserve">既有本国产品又有非本国产品参与竞争，依法对本国产品给予价格评审优惠，</w:t>
      </w:r>
      <w:r>
        <w:rPr>
          <w:b/>
          <w:bCs/>
          <w:sz w:val="24"/>
        </w:rPr>
        <w:t xml:space="preserve">具体详见第五章。</w:t>
      </w:r>
      <w:r/>
    </w:p>
    <w:p>
      <w:pPr>
        <w:pStyle w:val="666"/>
        <w:ind w:firstLine="420"/>
        <w:spacing w:line="400" w:lineRule="exact"/>
        <w:rPr>
          <w:sz w:val="24"/>
        </w:rPr>
      </w:pPr>
      <w:r>
        <w:rPr>
          <w:sz w:val="24"/>
        </w:rPr>
        <w:t xml:space="preserve">41.5政策执行要求</w:t>
      </w:r>
      <w:r/>
    </w:p>
    <w:p>
      <w:pPr>
        <w:pStyle w:val="666"/>
        <w:ind w:firstLine="420"/>
        <w:spacing w:line="400" w:lineRule="exact"/>
        <w:rPr>
          <w:color w:val="333333"/>
          <w:sz w:val="24"/>
          <w:szCs w:val="24"/>
          <w:shd w:val="clear" w:color="auto" w:fill="ffffff"/>
        </w:rPr>
      </w:pPr>
      <w:r>
        <w:rPr>
          <w:sz w:val="24"/>
          <w:lang w:val="zh-CN"/>
        </w:rPr>
        <w:t xml:space="preserve">（</w:t>
      </w:r>
      <w:r>
        <w:rPr>
          <w:sz w:val="24"/>
        </w:rPr>
        <w:t xml:space="preserve">1</w:t>
      </w:r>
      <w:r>
        <w:rPr>
          <w:sz w:val="24"/>
          <w:lang w:val="zh-CN"/>
        </w:rPr>
        <w:t xml:space="preserve">）产品在中国境内生产的组件成本核算规则。产品在中国境内生产的组件成本，按照《中国境内生产的组件成本核算基本规则》计算，</w:t>
      </w:r>
      <w:r>
        <w:rPr>
          <w:sz w:val="24"/>
        </w:rPr>
        <w:t xml:space="preserve">详见</w:t>
      </w:r>
      <w:r>
        <w:rPr>
          <w:color w:val="333333"/>
          <w:sz w:val="24"/>
          <w:szCs w:val="24"/>
          <w:shd w:val="clear" w:color="auto" w:fill="ffffff"/>
        </w:rPr>
        <w:t xml:space="preserve">《国务院办公厅关于在政府采购中实施本国产品标准及相关政策的通知》（国办发〔2025〕34号）规定。</w:t>
      </w:r>
      <w:r/>
    </w:p>
    <w:p>
      <w:pPr>
        <w:pStyle w:val="666"/>
        <w:ind w:firstLine="420"/>
        <w:spacing w:line="400" w:lineRule="exact"/>
        <w:rPr>
          <w:b/>
          <w:bCs/>
          <w:sz w:val="24"/>
        </w:rPr>
      </w:pPr>
      <w:r>
        <w:rPr>
          <w:sz w:val="24"/>
          <w:lang w:val="zh-CN"/>
        </w:rPr>
        <w:t xml:space="preserve">（2）有关证明文件。</w:t>
      </w:r>
      <w:r>
        <w:rPr>
          <w:b/>
          <w:bCs/>
          <w:sz w:val="24"/>
        </w:rPr>
        <w:t xml:space="preserve">供应商对提供的本国产品出具《关于符合本国产品标准的声明函》（格式见第六章）或财政部会同有关部门规定的有关证明文件，出具符合要求的《关于符合本国产品标准的声明函》或有关证明</w:t>
      </w:r>
      <w:r>
        <w:rPr>
          <w:b/>
          <w:bCs/>
          <w:sz w:val="24"/>
        </w:rPr>
        <w:t xml:space="preserve">文件的，该产品视为本国产品，不再要求供应商提供其他证明材料。供应商提供虚假《关于符合本国产品标准的声明函》、虚假证明文件谋取成交的，依照《中华人民共和国政府采购法》等法律法规规定追究相应责任。</w:t>
      </w:r>
      <w:r/>
    </w:p>
    <w:p>
      <w:pPr>
        <w:pStyle w:val="666"/>
        <w:ind w:firstLine="420"/>
        <w:spacing w:line="400" w:lineRule="exact"/>
        <w:rPr>
          <w:sz w:val="24"/>
          <w:lang w:val="zh-CN"/>
        </w:rPr>
      </w:pPr>
      <w:r>
        <w:rPr>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66"/>
        <w:spacing w:line="400" w:lineRule="exact"/>
        <w:rPr>
          <w:rFonts w:hint="eastAsia" w:ascii="方正楷体_GBK" w:eastAsia="方正楷体_GBK"/>
          <w:b/>
          <w:bCs/>
          <w:sz w:val="24"/>
          <w:szCs w:val="28"/>
        </w:rPr>
        <w:outlineLvl w:val="2"/>
      </w:pPr>
      <w:r>
        <w:rPr>
          <w:rFonts w:hint="eastAsia" w:ascii="方正楷体_GBK" w:eastAsia="方正楷体_GBK"/>
          <w:b/>
          <w:bCs/>
          <w:sz w:val="24"/>
          <w:szCs w:val="28"/>
        </w:rPr>
        <w:t xml:space="preserve">42. 数据交易说明</w:t>
      </w:r>
      <w:r/>
    </w:p>
    <w:p>
      <w:pPr>
        <w:pStyle w:val="666"/>
        <w:ind w:firstLine="420"/>
        <w:spacing w:line="400" w:lineRule="exact"/>
        <w:rPr>
          <w:rFonts w:hint="eastAsia"/>
          <w:sz w:val="24"/>
          <w:lang w:val="zh-CN"/>
        </w:rPr>
      </w:pPr>
      <w:r>
        <w:rPr>
          <w:rFonts w:hint="eastAsia"/>
          <w:sz w:val="24"/>
          <w:lang w:val="zh-CN"/>
        </w:rPr>
        <w:t xml:space="preserve">数据交易标的包括数据产品、数据服务、数据工具。</w:t>
      </w:r>
      <w:r/>
    </w:p>
    <w:p>
      <w:pPr>
        <w:pStyle w:val="666"/>
        <w:ind w:firstLine="420"/>
        <w:spacing w:line="400" w:lineRule="exact"/>
        <w:rPr>
          <w:rFonts w:hint="eastAsia"/>
          <w:sz w:val="24"/>
          <w:lang w:val="zh-CN"/>
        </w:rPr>
      </w:pPr>
      <w:r>
        <w:rPr>
          <w:rFonts w:hint="eastAsia"/>
          <w:sz w:val="24"/>
          <w:lang w:val="zh-CN"/>
        </w:rPr>
        <w:t xml:space="preserve">数据产品是指用于交易的数据和数据衍生产品，包括但不限于数据集、数据分析报告、数据可视化产品、数据指数、API 数据、加密数据等。</w:t>
      </w:r>
      <w:r/>
    </w:p>
    <w:p>
      <w:pPr>
        <w:pStyle w:val="666"/>
        <w:ind w:firstLine="420"/>
        <w:spacing w:line="400" w:lineRule="exact"/>
        <w:rPr>
          <w:rFonts w:hint="eastAsia"/>
          <w:sz w:val="24"/>
          <w:lang w:val="zh-CN"/>
        </w:rPr>
      </w:pPr>
      <w:r>
        <w:rPr>
          <w:rFonts w:hint="eastAsia"/>
          <w:sz w:val="24"/>
          <w:lang w:val="zh-CN"/>
        </w:rPr>
        <w:t xml:space="preserve">数据服务是指提供数据收集、存储、使用、加工、传输等服务，包括但不限于数据采集和预处理服务、数据建模、分析处理服务、数据可视化服务、数据安全服务等。</w:t>
      </w:r>
      <w:r/>
    </w:p>
    <w:p>
      <w:pPr>
        <w:pStyle w:val="666"/>
        <w:ind w:firstLine="420"/>
        <w:spacing w:line="400" w:lineRule="exact"/>
        <w:rPr>
          <w:rFonts w:hint="eastAsia"/>
          <w:sz w:val="24"/>
          <w:lang w:val="zh-CN"/>
        </w:rPr>
      </w:pPr>
      <w:r>
        <w:rPr>
          <w:rFonts w:hint="eastAsia"/>
          <w:sz w:val="24"/>
          <w:lang w:val="zh-CN"/>
        </w:rPr>
        <w:t xml:space="preserve">数据工具是指可实现数据服务的软硬件工具，包括但不限于数据存储和管理工具、数据采集工具、数据清洗工具、数据分析工具、数据可视化</w:t>
      </w:r>
      <w:r>
        <w:rPr>
          <w:rFonts w:hint="eastAsia"/>
          <w:sz w:val="24"/>
          <w:lang w:val="zh-CN"/>
        </w:rPr>
        <w:t xml:space="preserve">工具、数据安全工具等。</w:t>
      </w:r>
      <w:bookmarkEnd w:id="78"/>
      <w:r/>
      <w:bookmarkEnd w:id="79"/>
      <w:r/>
      <w:bookmarkEnd w:id="80"/>
      <w:r>
        <w:rPr>
          <w:rFonts w:hint="eastAsia"/>
          <w:sz w:val="24"/>
          <w:lang w:val="zh-CN"/>
        </w:rPr>
      </w:r>
      <w:r/>
    </w:p>
    <w:p>
      <w:pPr>
        <w:pStyle w:val="666"/>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bookmarkStart w:id="81" w:name="_Toc238758638"/>
      <w:r/>
      <w:bookmarkStart w:id="82" w:name="_Toc199251410"/>
      <w:r>
        <w:rPr>
          <w:rFonts w:hint="eastAsia" w:ascii="方正小标宋简体" w:hAnsi="方正小标宋简体" w:eastAsia="方正小标宋简体" w:cs="方正小标宋简体"/>
          <w:color w:val="000000"/>
          <w:sz w:val="36"/>
          <w:szCs w:val="36"/>
        </w:rPr>
        <w:t xml:space="preserve">第三章  合同文本</w:t>
      </w:r>
      <w:bookmarkEnd w:id="81"/>
      <w:r/>
      <w:bookmarkEnd w:id="82"/>
      <w:r>
        <w:rPr>
          <w:rFonts w:hint="eastAsia" w:ascii="方正小标宋简体" w:hAnsi="方正小标宋简体" w:eastAsia="方正小标宋简体" w:cs="方正小标宋简体"/>
          <w:color w:val="000000"/>
          <w:sz w:val="36"/>
          <w:szCs w:val="36"/>
        </w:rPr>
      </w:r>
      <w:r/>
    </w:p>
    <w:p>
      <w:pPr>
        <w:pStyle w:val="666"/>
        <w:jc w:val="center"/>
        <w:spacing w:before="145" w:after="145" w:line="400" w:lineRule="exact"/>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746"/>
        <w:ind w:left="0"/>
        <w:spacing w:line="400" w:lineRule="exact"/>
        <w:rPr>
          <w:rFonts w:hint="eastAsia"/>
        </w:rPr>
      </w:pPr>
      <w:r>
        <w:rPr>
          <w:rFonts w:hint="eastAsia"/>
        </w:rPr>
      </w:r>
      <w:r/>
    </w:p>
    <w:p>
      <w:pPr>
        <w:pStyle w:val="666"/>
        <w:jc w:val="center"/>
        <w:spacing w:before="145" w:after="145" w:line="400" w:lineRule="exact"/>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pStyle w:val="666"/>
        <w:jc w:val="left"/>
        <w:spacing w:line="400" w:lineRule="exact"/>
        <w:rPr>
          <w:rFonts w:ascii="宋体" w:hAnsi="宋体" w:cs="Courier New"/>
          <w:color w:val="000000"/>
          <w:sz w:val="24"/>
          <w:szCs w:val="24"/>
        </w:rPr>
      </w:pPr>
      <w:r>
        <w:rPr>
          <w:rFonts w:ascii="宋体" w:hAnsi="宋体" w:cs="Courier New"/>
          <w:color w:val="000000"/>
          <w:sz w:val="24"/>
          <w:szCs w:val="24"/>
        </w:rPr>
        <w:t xml:space="preserve">合同编号：</w:t>
      </w:r>
      <w:r/>
    </w:p>
    <w:p>
      <w:pPr>
        <w:pStyle w:val="666"/>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pStyle w:val="666"/>
        <w:jc w:val="left"/>
        <w:spacing w:line="400" w:lineRule="exact"/>
        <w:rPr>
          <w:rFonts w:ascii="宋体" w:hAnsi="宋体" w:cs="Courier New"/>
          <w:color w:val="000000"/>
          <w:sz w:val="24"/>
          <w:szCs w:val="24"/>
        </w:rPr>
      </w:pPr>
      <w:r>
        <w:rPr>
          <w:rFonts w:ascii="宋体" w:hAnsi="宋体" w:cs="Courier New"/>
          <w:color w:val="000000"/>
          <w:sz w:val="24"/>
          <w:szCs w:val="24"/>
        </w:rPr>
        <w:t xml:space="preserve">甲方：（买方）</w:t>
      </w:r>
      <w:r/>
    </w:p>
    <w:p>
      <w:pPr>
        <w:pStyle w:val="666"/>
        <w:jc w:val="left"/>
        <w:spacing w:line="400" w:lineRule="exact"/>
        <w:rPr>
          <w:rFonts w:ascii="宋体" w:hAnsi="宋体" w:cs="Courier New"/>
          <w:color w:val="000000"/>
          <w:sz w:val="24"/>
          <w:szCs w:val="24"/>
        </w:rPr>
      </w:pPr>
      <w:r>
        <w:rPr>
          <w:rFonts w:ascii="宋体" w:hAnsi="宋体" w:cs="Courier New"/>
          <w:color w:val="000000"/>
          <w:sz w:val="24"/>
          <w:szCs w:val="24"/>
        </w:rPr>
        <w:t xml:space="preserve">乙方：（卖方）</w:t>
      </w:r>
      <w:r/>
    </w:p>
    <w:p>
      <w:pPr>
        <w:pStyle w:val="666"/>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采购代理机构组织的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66"/>
        <w:spacing w:line="400" w:lineRule="exact"/>
        <w:rPr>
          <w:color w:val="000000"/>
          <w:sz w:val="24"/>
          <w:szCs w:val="24"/>
        </w:rPr>
      </w:pPr>
      <w:r>
        <w:rPr>
          <w:color w:val="000000"/>
          <w:sz w:val="24"/>
          <w:szCs w:val="24"/>
        </w:rPr>
        <w:t xml:space="preserve">1.1 标的名称：</w:t>
      </w:r>
      <w:r/>
    </w:p>
    <w:p>
      <w:pPr>
        <w:pStyle w:val="666"/>
        <w:spacing w:line="400" w:lineRule="exact"/>
        <w:rPr>
          <w:sz w:val="24"/>
          <w:szCs w:val="24"/>
        </w:rPr>
      </w:pPr>
      <w:r>
        <w:rPr>
          <w:sz w:val="24"/>
          <w:szCs w:val="24"/>
        </w:rPr>
        <w:t xml:space="preserve">1.2 标的质量：按磋商文件及响应文件执行。</w:t>
      </w:r>
      <w:r/>
    </w:p>
    <w:p>
      <w:pPr>
        <w:pStyle w:val="666"/>
        <w:spacing w:line="400" w:lineRule="exact"/>
        <w:rPr>
          <w:color w:val="000000"/>
          <w:sz w:val="24"/>
          <w:szCs w:val="24"/>
        </w:rPr>
      </w:pPr>
      <w:r>
        <w:rPr>
          <w:color w:val="000000"/>
          <w:sz w:val="24"/>
          <w:szCs w:val="24"/>
        </w:rPr>
        <w:t xml:space="preserve">1.3 标的数量（规</w:t>
      </w:r>
      <w:r>
        <w:rPr>
          <w:color w:val="000000"/>
          <w:sz w:val="24"/>
          <w:szCs w:val="24"/>
        </w:rPr>
        <w:t xml:space="preserve">模）：</w:t>
      </w:r>
      <w:r/>
    </w:p>
    <w:p>
      <w:pPr>
        <w:pStyle w:val="666"/>
        <w:spacing w:line="400" w:lineRule="exact"/>
        <w:rPr>
          <w:sz w:val="24"/>
          <w:szCs w:val="24"/>
        </w:rPr>
      </w:pPr>
      <w:r>
        <w:rPr>
          <w:sz w:val="24"/>
          <w:szCs w:val="24"/>
        </w:rPr>
        <w:t xml:space="preserve">1.4 履行时间（期限）：按磋商文件及响应文件执行。</w:t>
      </w:r>
      <w:r/>
    </w:p>
    <w:p>
      <w:pPr>
        <w:pStyle w:val="666"/>
        <w:spacing w:line="400" w:lineRule="exact"/>
        <w:rPr>
          <w:sz w:val="24"/>
          <w:szCs w:val="24"/>
        </w:rPr>
      </w:pPr>
      <w:r>
        <w:rPr>
          <w:sz w:val="24"/>
          <w:szCs w:val="24"/>
        </w:rPr>
        <w:t xml:space="preserve">1.5 履行地点：采购人指定地点。</w:t>
      </w:r>
      <w:r/>
    </w:p>
    <w:p>
      <w:pPr>
        <w:pStyle w:val="666"/>
        <w:spacing w:line="400" w:lineRule="exact"/>
        <w:rPr>
          <w:sz w:val="24"/>
          <w:szCs w:val="24"/>
        </w:rPr>
      </w:pPr>
      <w:r>
        <w:rPr>
          <w:sz w:val="24"/>
          <w:szCs w:val="24"/>
        </w:rPr>
        <w:t xml:space="preserve">1.6 履行方式：按磋商文件及响应文件执行。</w:t>
      </w:r>
      <w:r/>
    </w:p>
    <w:p>
      <w:pPr>
        <w:pStyle w:val="666"/>
        <w:spacing w:line="400" w:lineRule="exact"/>
        <w:rPr>
          <w:sz w:val="24"/>
          <w:szCs w:val="24"/>
        </w:rPr>
      </w:pPr>
      <w:r>
        <w:rPr>
          <w:sz w:val="24"/>
          <w:szCs w:val="24"/>
        </w:rPr>
        <w:t xml:space="preserve">1.7 包装方式：按磋商文件及响应文件执行。</w:t>
      </w:r>
      <w:r/>
    </w:p>
    <w:p>
      <w:pPr>
        <w:pStyle w:val="679"/>
        <w:ind w:firstLine="0"/>
        <w:spacing w:line="400" w:lineRule="exact"/>
        <w:rPr>
          <w:rFonts w:ascii="Times New Roman" w:hAnsi="Times New Roman"/>
          <w:color w:val="000000"/>
          <w:sz w:val="24"/>
          <w:szCs w:val="24"/>
        </w:rPr>
      </w:pPr>
      <w:r>
        <w:rPr>
          <w:rFonts w:ascii="Times New Roman" w:hAnsi="Times New Roman"/>
          <w:color w:val="000000"/>
          <w:sz w:val="24"/>
          <w:szCs w:val="24"/>
        </w:rPr>
        <w:t xml:space="preserve">1.8 合同组成：关于本项目的磋商文件、响应文件、工作说明书（如有）、绩效目标考核方法（如有）是本合同的组成部分，本合同未约定的，双方应当按照上述文件履行，如上述文件存在冲突的，以甲方选择的解释顺序为准。</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09"/>
        <w:spacing w:line="400" w:lineRule="exact"/>
        <w:rPr>
          <w:rFonts w:ascii="Times New Roman" w:hAnsi="Times New Roman" w:cs="Times New Roman"/>
          <w:color w:val="000000"/>
          <w:sz w:val="24"/>
          <w:szCs w:val="24"/>
        </w:rPr>
      </w:pPr>
      <w:r>
        <w:rPr>
          <w:rFonts w:ascii="Times New Roman" w:hAnsi="Times New Roman" w:cs="Times New Roman"/>
          <w:color w:val="000000"/>
          <w:sz w:val="24"/>
          <w:szCs w:val="24"/>
        </w:rPr>
        <w:t xml:space="preserve">2.1 </w:t>
      </w:r>
      <w:r>
        <w:rPr>
          <w:rFonts w:ascii="Times New Roman" w:hAnsi="Times New Roman" w:cs="Times New Roman"/>
          <w:sz w:val="24"/>
          <w:szCs w:val="24"/>
        </w:rPr>
        <w:t xml:space="preserve">本合同金额为：人民币____________________元，（大写：__________________</w:t>
      </w:r>
      <w:r>
        <w:rPr>
          <w:rFonts w:ascii="Times New Roman" w:hAnsi="Times New Roman" w:cs="Times New Roman"/>
          <w:sz w:val="24"/>
          <w:szCs w:val="24"/>
        </w:rPr>
        <w:t xml:space="preserve">___）。</w:t>
      </w:r>
      <w:r>
        <w:rPr>
          <w:rFonts w:ascii="Times New Roman" w:hAnsi="Times New Roman" w:cs="Times New Roman"/>
          <w:color w:val="000000"/>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66"/>
        <w:spacing w:line="400" w:lineRule="exact"/>
        <w:rPr>
          <w:rFonts w:hint="eastAsia"/>
          <w:color w:val="000000"/>
          <w:sz w:val="24"/>
          <w:szCs w:val="24"/>
        </w:rPr>
      </w:pPr>
      <w:r>
        <w:rPr>
          <w:rFonts w:hint="eastAsia"/>
          <w:color w:val="000000"/>
          <w:sz w:val="24"/>
          <w:szCs w:val="24"/>
        </w:rPr>
        <w:t xml:space="preserve">3.1 乙方应按磋商文件规定的时间向甲方提供服务（包含与服务相关的货物）的有关技术资料。</w:t>
      </w:r>
      <w:r/>
    </w:p>
    <w:p>
      <w:pPr>
        <w:pStyle w:val="666"/>
        <w:spacing w:line="400" w:lineRule="exact"/>
        <w:rPr>
          <w:rFonts w:hint="eastAsia"/>
          <w:color w:val="000000"/>
          <w:sz w:val="24"/>
          <w:szCs w:val="24"/>
        </w:rPr>
      </w:pPr>
      <w:r>
        <w:rPr>
          <w:rFonts w:hint="eastAsia"/>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66"/>
        <w:spacing w:line="400" w:lineRule="exact"/>
        <w:rPr>
          <w:rFonts w:hint="eastAsia"/>
          <w:color w:val="000000"/>
          <w:sz w:val="24"/>
          <w:szCs w:val="24"/>
        </w:rPr>
      </w:pPr>
      <w:r>
        <w:rPr>
          <w:color w:val="000000"/>
          <w:sz w:val="24"/>
          <w:szCs w:val="24"/>
        </w:rPr>
        <w:t xml:space="preserve">4.1 乙方应保证甲方在使用、接受本合同服务（包含与服务相关的货物）或其任何一部</w:t>
      </w:r>
      <w:r>
        <w:rPr>
          <w:color w:val="000000"/>
          <w:sz w:val="24"/>
          <w:szCs w:val="24"/>
        </w:rPr>
        <w:t xml:space="preserve">分时不受第三方提出侵犯其专利权、版权、商标权和工业设计权等知识产权的起诉。一旦出现侵权，由乙方负全部责任。</w:t>
      </w:r>
      <w:r>
        <w:rPr>
          <w:rFonts w:hint="eastAsia"/>
          <w:color w:val="000000"/>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66"/>
        <w:spacing w:line="400" w:lineRule="exact"/>
        <w:rPr>
          <w:color w:val="000000"/>
          <w:sz w:val="24"/>
          <w:szCs w:val="24"/>
        </w:rPr>
      </w:pPr>
      <w:r>
        <w:rPr>
          <w:color w:val="000000"/>
          <w:sz w:val="24"/>
          <w:szCs w:val="24"/>
        </w:rPr>
        <w:t xml:space="preserve">5.1 乙方保证所交付的服务（包含与服务相关的货物）的所有权完全属于乙方且无任何抵押、查封等产权瑕疵。</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pStyle w:val="666"/>
        <w:spacing w:line="400" w:lineRule="exact"/>
        <w:rPr>
          <w:sz w:val="24"/>
          <w:szCs w:val="24"/>
        </w:rPr>
      </w:pPr>
      <w:r>
        <w:rPr>
          <w:sz w:val="24"/>
          <w:szCs w:val="24"/>
        </w:rPr>
        <w:t xml:space="preserve">6.1 本项目乙方无需缴纳履约保证金。</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pStyle w:val="666"/>
        <w:spacing w:line="400" w:lineRule="exact"/>
        <w:rPr>
          <w:color w:val="000000"/>
          <w:sz w:val="24"/>
          <w:szCs w:val="24"/>
        </w:rPr>
      </w:pPr>
      <w:r>
        <w:rPr>
          <w:color w:val="000000"/>
          <w:sz w:val="24"/>
          <w:szCs w:val="24"/>
        </w:rPr>
        <w:t xml:space="preserve">7.1 乙方不得将合同标的转包给他人履行。</w:t>
      </w:r>
      <w:r/>
    </w:p>
    <w:p>
      <w:pPr>
        <w:pStyle w:val="666"/>
        <w:spacing w:line="400" w:lineRule="exact"/>
        <w:rPr>
          <w:color w:val="000000"/>
          <w:sz w:val="24"/>
          <w:szCs w:val="24"/>
        </w:rPr>
      </w:pPr>
      <w:r>
        <w:rPr>
          <w:color w:val="000000"/>
          <w:sz w:val="24"/>
          <w:szCs w:val="24"/>
        </w:rPr>
        <w:t xml:space="preserve">7.2 本项目不允许分包，乙方不得将合同标的任何部分分包给他人履行。</w:t>
      </w:r>
      <w:r/>
    </w:p>
    <w:p>
      <w:pPr>
        <w:pStyle w:val="666"/>
        <w:spacing w:line="400" w:lineRule="exact"/>
        <w:rPr>
          <w:rFonts w:hint="eastAsia"/>
          <w:color w:val="000000"/>
          <w:sz w:val="24"/>
          <w:szCs w:val="24"/>
        </w:rPr>
      </w:pPr>
      <w:r>
        <w:rPr>
          <w:color w:val="000000"/>
          <w:sz w:val="24"/>
          <w:szCs w:val="24"/>
        </w:rPr>
        <w:t xml:space="preserve">7.3 乙方如有转包或分包行为，甲方有权终止合同</w:t>
      </w:r>
      <w:r>
        <w:rPr>
          <w:rFonts w:hint="eastAsia"/>
          <w:color w:val="000000"/>
          <w:sz w:val="24"/>
          <w:szCs w:val="24"/>
        </w:rPr>
        <w:t xml:space="preserve">，由此造成甲方损</w:t>
      </w:r>
      <w:r>
        <w:rPr>
          <w:rFonts w:hint="eastAsia"/>
          <w:color w:val="000000"/>
          <w:sz w:val="24"/>
          <w:szCs w:val="24"/>
        </w:rPr>
        <w:t xml:space="preserve">失的，乙方应承担</w:t>
      </w:r>
      <w:r>
        <w:rPr>
          <w:rFonts w:hint="eastAsia"/>
          <w:color w:val="000000"/>
          <w:sz w:val="24"/>
          <w:szCs w:val="24"/>
        </w:rPr>
        <w:t xml:space="preserve">相应赔偿责任。</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09"/>
        <w:spacing w:line="400" w:lineRule="exact"/>
        <w:rPr>
          <w:rFonts w:ascii="Times New Roman" w:hAnsi="Times New Roman" w:cs="Times New Roman"/>
          <w:sz w:val="24"/>
          <w:szCs w:val="24"/>
        </w:rPr>
      </w:pPr>
      <w:r>
        <w:rPr>
          <w:rFonts w:ascii="Times New Roman" w:hAnsi="Times New Roman" w:cs="Times New Roman"/>
          <w:sz w:val="24"/>
          <w:szCs w:val="24"/>
        </w:rPr>
        <w:t xml:space="preserve">8.1 合同款项的支付方式及时间</w:t>
      </w:r>
      <w:r/>
    </w:p>
    <w:p>
      <w:pPr>
        <w:pStyle w:val="666"/>
        <w:spacing w:line="400" w:lineRule="exact"/>
        <w:rPr>
          <w:rFonts w:hint="eastAsia"/>
          <w:sz w:val="24"/>
          <w:szCs w:val="24"/>
        </w:rPr>
      </w:pPr>
      <w:r>
        <w:rPr>
          <w:rFonts w:hint="eastAsia"/>
          <w:sz w:val="24"/>
          <w:szCs w:val="24"/>
        </w:rPr>
        <w:t xml:space="preserve">8.1.1 </w:t>
      </w:r>
      <w:r>
        <w:rPr>
          <w:sz w:val="24"/>
          <w:szCs w:val="24"/>
        </w:rPr>
        <w:t xml:space="preserve">本项目财政综合业务平台及省市对接运维保障服务（项目清单第1项）由</w:t>
      </w:r>
      <w:r>
        <w:rPr>
          <w:rFonts w:hint="eastAsia"/>
          <w:sz w:val="24"/>
          <w:szCs w:val="24"/>
        </w:rPr>
        <w:t xml:space="preserve">甲方</w:t>
      </w:r>
      <w:r>
        <w:rPr>
          <w:sz w:val="24"/>
          <w:szCs w:val="24"/>
        </w:rPr>
        <w:t xml:space="preserve">与</w:t>
      </w:r>
      <w:r>
        <w:rPr>
          <w:rFonts w:hint="eastAsia"/>
          <w:sz w:val="24"/>
          <w:szCs w:val="24"/>
        </w:rPr>
        <w:t xml:space="preserve">乙方签订</w:t>
      </w:r>
      <w:r>
        <w:rPr>
          <w:sz w:val="24"/>
          <w:szCs w:val="24"/>
        </w:rPr>
        <w:t xml:space="preserve">服务合同。</w:t>
      </w:r>
      <w:r>
        <w:rPr>
          <w:rFonts w:hint="eastAsia"/>
          <w:sz w:val="24"/>
          <w:szCs w:val="24"/>
        </w:rPr>
      </w:r>
      <w:r/>
    </w:p>
    <w:p>
      <w:pPr>
        <w:pStyle w:val="709"/>
        <w:spacing w:line="40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（1）合同签订15个工作日内后，甲方支付合同总价款的50%作为预付款。</w:t>
      </w:r>
      <w:r/>
    </w:p>
    <w:p>
      <w:pPr>
        <w:pStyle w:val="709"/>
        <w:spacing w:line="40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（2）完成财政综合业务平台及省市对接运维保障服务，并通过验收后，甲方支付合同总价款的50%。</w:t>
      </w:r>
      <w:r/>
    </w:p>
    <w:p>
      <w:pPr>
        <w:pStyle w:val="666"/>
        <w:spacing w:line="400" w:lineRule="exact"/>
        <w:rPr>
          <w:rFonts w:hint="eastAsia"/>
          <w:sz w:val="24"/>
          <w:szCs w:val="24"/>
        </w:rPr>
      </w:pPr>
      <w:r>
        <w:rPr>
          <w:rFonts w:hint="eastAsia"/>
          <w:sz w:val="24"/>
          <w:szCs w:val="24"/>
        </w:rPr>
        <w:t xml:space="preserve">8.1.2 本项目预算管理一体化预算绩效（街道）板块（项目清单第2项）实行统招分签，具体安排如下：</w:t>
      </w:r>
      <w:r/>
    </w:p>
    <w:p>
      <w:pPr>
        <w:pStyle w:val="666"/>
        <w:spacing w:line="400" w:lineRule="exact"/>
        <w:rPr>
          <w:rFonts w:hint="eastAsia"/>
          <w:sz w:val="24"/>
          <w:szCs w:val="24"/>
        </w:rPr>
      </w:pPr>
      <w:r>
        <w:rPr>
          <w:rFonts w:hint="eastAsia"/>
          <w:sz w:val="24"/>
          <w:szCs w:val="24"/>
        </w:rPr>
        <w:t xml:space="preserve">统招分签范围：本次采购确定中标供应商后，由10个街道分别与中标供应商签订服务合同，各街道为独立合同甲方，</w:t>
      </w:r>
      <w:r>
        <w:rPr>
          <w:rFonts w:hint="eastAsia"/>
          <w:sz w:val="24"/>
          <w:szCs w:val="24"/>
        </w:rPr>
        <w:t xml:space="preserve">分别享有合同权利并承担合同义务。</w:t>
      </w:r>
      <w:r/>
    </w:p>
    <w:p>
      <w:pPr>
        <w:pStyle w:val="666"/>
        <w:spacing w:line="400" w:lineRule="exact"/>
        <w:rPr>
          <w:rFonts w:hint="eastAsia"/>
          <w:sz w:val="24"/>
          <w:szCs w:val="24"/>
        </w:rPr>
      </w:pPr>
      <w:r>
        <w:rPr>
          <w:rFonts w:hint="eastAsia"/>
          <w:sz w:val="24"/>
          <w:szCs w:val="24"/>
        </w:rPr>
        <w:t xml:space="preserve">费用与支付：各街道服务费用不超过6万元/街道，各街道分别按合同约定方式支付相应款项。</w:t>
      </w:r>
      <w:r/>
    </w:p>
    <w:p>
      <w:pPr>
        <w:pStyle w:val="666"/>
        <w:spacing w:line="400" w:lineRule="exact"/>
        <w:rPr>
          <w:rFonts w:hint="eastAsia"/>
          <w:sz w:val="24"/>
          <w:szCs w:val="24"/>
        </w:rPr>
      </w:pPr>
      <w:r>
        <w:rPr>
          <w:rFonts w:hint="eastAsia"/>
          <w:sz w:val="24"/>
          <w:szCs w:val="24"/>
        </w:rPr>
        <w:t xml:space="preserve">（1）预付款：10个街道分别与中标供应商签订服务合同后15个工作日内，各街道向乙方支付各自合同总价款的50%作为预付款。</w:t>
      </w:r>
      <w:r/>
    </w:p>
    <w:p>
      <w:pPr>
        <w:pStyle w:val="666"/>
        <w:spacing w:line="400" w:lineRule="exact"/>
        <w:rPr>
          <w:rFonts w:hint="eastAsia"/>
          <w:sz w:val="24"/>
          <w:szCs w:val="24"/>
        </w:rPr>
      </w:pPr>
      <w:r>
        <w:rPr>
          <w:rFonts w:hint="eastAsia"/>
          <w:sz w:val="24"/>
          <w:szCs w:val="24"/>
        </w:rPr>
        <w:t xml:space="preserve">（2）尾款：各街道完成街道预算绩效板块搭建、运维、系统对接服务并经验收合格后，分别向乙方支付各自合同总价款的剩余50%尾款。</w:t>
      </w:r>
      <w:r/>
    </w:p>
    <w:p>
      <w:pPr>
        <w:pStyle w:val="709"/>
        <w:spacing w:line="400" w:lineRule="exact"/>
        <w:rPr>
          <w:rFonts w:ascii="Times New Roman" w:hAnsi="Times New Roman" w:cs="Times New Roman"/>
          <w:sz w:val="24"/>
          <w:szCs w:val="24"/>
        </w:rPr>
      </w:pPr>
      <w:r>
        <w:rPr>
          <w:rFonts w:ascii="Times New Roman" w:hAnsi="Times New Roman" w:cs="Times New Roman"/>
          <w:sz w:val="24"/>
          <w:szCs w:val="24"/>
        </w:rPr>
        <w:t xml:space="preserve">8.1.3 满足合同约定支付条件的，甲方收到乙方发票后10个工作日内，将资金支付到合同约定的乙方账户。</w:t>
      </w:r>
      <w:r/>
    </w:p>
    <w:p>
      <w:pPr>
        <w:pStyle w:val="709"/>
        <w:spacing w:line="400" w:lineRule="exact"/>
        <w:rPr>
          <w:rFonts w:hint="eastAsia" w:ascii="Times New Roman" w:hAnsi="Times New Roman" w:cs="Times New Roman"/>
          <w:sz w:val="24"/>
          <w:szCs w:val="24"/>
        </w:rPr>
      </w:pPr>
      <w:r>
        <w:rPr>
          <w:rFonts w:ascii="Times New Roman" w:hAnsi="Times New Roman" w:cs="Times New Roman"/>
          <w:sz w:val="24"/>
          <w:szCs w:val="24"/>
        </w:rPr>
        <w:t xml:space="preserve">8.2 根据</w:t>
      </w:r>
      <w:r>
        <w:rPr>
          <w:rFonts w:ascii="Times New Roman" w:hAnsi="Times New Roman" w:cs="Times New Roman"/>
          <w:sz w:val="24"/>
          <w:szCs w:val="24"/>
        </w:rPr>
        <w:t xml:space="preserve">《保障中小企业款项支付条例》规定，甲方未按合同约定支付款项的，乙方可以向有关部门投诉。</w:t>
      </w:r>
      <w:r>
        <w:rPr>
          <w:rFonts w:hint="eastAsia" w:ascii="Times New Roman" w:hAnsi="Times New Roman" w:cs="Times New Roman"/>
          <w:sz w:val="24"/>
          <w:szCs w:val="24"/>
        </w:rPr>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66"/>
        <w:spacing w:line="400" w:lineRule="exact"/>
        <w:rPr>
          <w:color w:val="000000"/>
          <w:sz w:val="24"/>
          <w:szCs w:val="24"/>
        </w:rPr>
      </w:pPr>
      <w:r>
        <w:rPr>
          <w:color w:val="000000"/>
          <w:sz w:val="24"/>
          <w:szCs w:val="24"/>
        </w:rPr>
        <w:t xml:space="preserve">9.1 本合同执行中的相关税费均由乙方负担。</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666"/>
        <w:spacing w:line="400" w:lineRule="exact"/>
        <w:rPr>
          <w:color w:val="000000"/>
          <w:sz w:val="24"/>
          <w:szCs w:val="24"/>
        </w:rPr>
      </w:pPr>
      <w:r>
        <w:rPr>
          <w:color w:val="000000"/>
          <w:sz w:val="24"/>
          <w:szCs w:val="24"/>
        </w:rPr>
        <w:t xml:space="preserve">10.1 甲方依法组织履约验收工作。</w:t>
      </w:r>
      <w:r/>
    </w:p>
    <w:p>
      <w:pPr>
        <w:pStyle w:val="666"/>
        <w:spacing w:line="400" w:lineRule="exact"/>
        <w:rPr>
          <w:color w:val="000000"/>
          <w:sz w:val="24"/>
          <w:szCs w:val="24"/>
        </w:rPr>
      </w:pPr>
      <w:r>
        <w:rPr>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66"/>
        <w:spacing w:line="400" w:lineRule="exact"/>
        <w:rPr>
          <w:color w:val="000000"/>
          <w:sz w:val="24"/>
          <w:szCs w:val="24"/>
        </w:rPr>
      </w:pPr>
      <w:r>
        <w:rPr>
          <w:color w:val="000000"/>
          <w:sz w:val="24"/>
          <w:szCs w:val="24"/>
        </w:rPr>
        <w:t xml:space="preserve">10.3 对于实际使用人和甲方分离的项目，甲方邀请实际使用人参与验收。</w:t>
      </w:r>
      <w:r/>
    </w:p>
    <w:p>
      <w:pPr>
        <w:pStyle w:val="666"/>
        <w:spacing w:line="400" w:lineRule="exact"/>
        <w:rPr>
          <w:color w:val="000000"/>
          <w:sz w:val="24"/>
          <w:szCs w:val="24"/>
        </w:rPr>
      </w:pPr>
      <w:r>
        <w:rPr>
          <w:color w:val="000000"/>
          <w:sz w:val="24"/>
          <w:szCs w:val="24"/>
        </w:rPr>
        <w:t xml:space="preserve">10.4 如有必要，甲方可邀请参加本项目磋商的其他供应商或第三方专业机构及专家参与验收，相关意见将作为验收结论的参考。</w:t>
      </w:r>
      <w:r/>
    </w:p>
    <w:p>
      <w:pPr>
        <w:pStyle w:val="666"/>
        <w:spacing w:line="400" w:lineRule="exact"/>
        <w:rPr>
          <w:color w:val="000000"/>
          <w:sz w:val="24"/>
          <w:szCs w:val="24"/>
        </w:rPr>
      </w:pPr>
      <w:r>
        <w:rPr>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w:t>
      </w:r>
      <w:r>
        <w:rPr>
          <w:rFonts w:hint="eastAsia"/>
          <w:color w:val="000000"/>
          <w:sz w:val="24"/>
          <w:szCs w:val="24"/>
        </w:rPr>
        <w:t xml:space="preserve">，</w:t>
      </w:r>
      <w:r>
        <w:rPr>
          <w:color w:val="000000"/>
          <w:sz w:val="24"/>
          <w:szCs w:val="24"/>
        </w:rPr>
        <w:t xml:space="preserve">验收小组出具验收书</w:t>
      </w:r>
      <w:r>
        <w:rPr>
          <w:rFonts w:hint="eastAsia"/>
          <w:color w:val="000000"/>
          <w:sz w:val="24"/>
          <w:szCs w:val="24"/>
        </w:rPr>
        <w:t xml:space="preserve">，</w:t>
      </w:r>
      <w:r>
        <w:rPr>
          <w:color w:val="000000"/>
          <w:sz w:val="24"/>
          <w:szCs w:val="24"/>
        </w:rPr>
        <w:t xml:space="preserve">列明各项服务的验收情况及项目总体评价</w:t>
      </w:r>
      <w:r>
        <w:rPr>
          <w:rFonts w:hint="eastAsia"/>
          <w:color w:val="000000"/>
          <w:sz w:val="24"/>
          <w:szCs w:val="24"/>
        </w:rPr>
        <w:t xml:space="preserve">，</w:t>
      </w:r>
      <w:r>
        <w:rPr>
          <w:color w:val="000000"/>
          <w:sz w:val="24"/>
          <w:szCs w:val="24"/>
        </w:rPr>
        <w:t xml:space="preserve">由验收双方共同签署。验收结果与采购合同约定的资金支付及履约保证金退还挂钩。履约验收的各项资料存档备查。</w:t>
      </w:r>
      <w:r/>
    </w:p>
    <w:p>
      <w:pPr>
        <w:pStyle w:val="666"/>
        <w:spacing w:line="400" w:lineRule="exact"/>
        <w:rPr>
          <w:color w:val="000000"/>
          <w:sz w:val="24"/>
          <w:szCs w:val="24"/>
        </w:rPr>
      </w:pPr>
      <w:r>
        <w:rPr>
          <w:color w:val="000000"/>
          <w:sz w:val="24"/>
          <w:szCs w:val="24"/>
        </w:rPr>
        <w:t xml:space="preserve">10.6 验收合格的项目</w:t>
      </w:r>
      <w:r>
        <w:rPr>
          <w:rFonts w:hint="eastAsia"/>
          <w:color w:val="000000"/>
          <w:sz w:val="24"/>
          <w:szCs w:val="24"/>
        </w:rPr>
        <w:t xml:space="preserve">，</w:t>
      </w:r>
      <w:r>
        <w:rPr>
          <w:color w:val="000000"/>
          <w:sz w:val="24"/>
          <w:szCs w:val="24"/>
        </w:rPr>
        <w:t xml:space="preserve">甲方根据采购合同的约定及时向乙方支付合同款项、退还履约保证</w:t>
      </w:r>
      <w:r>
        <w:rPr>
          <w:color w:val="000000"/>
          <w:sz w:val="24"/>
          <w:szCs w:val="24"/>
        </w:rPr>
        <w:t xml:space="preserve">金。验收不合格的项目，甲方依法及时处理。采购合同的履行、违约责任和解决争议的方式等适用《中华人民共和国民法典》。乙方在履约过程中有政府采购法律法规规定的违法违规情形的</w:t>
      </w:r>
      <w:r>
        <w:rPr>
          <w:rFonts w:hint="eastAsia"/>
          <w:color w:val="000000"/>
          <w:sz w:val="24"/>
          <w:szCs w:val="24"/>
        </w:rPr>
        <w:t xml:space="preserve">，</w:t>
      </w:r>
      <w:r>
        <w:rPr>
          <w:color w:val="000000"/>
          <w:sz w:val="24"/>
          <w:szCs w:val="24"/>
        </w:rPr>
        <w:t xml:space="preserve">甲方将及时报告本级财政部门。</w:t>
      </w:r>
      <w:r/>
    </w:p>
    <w:p>
      <w:pPr>
        <w:pStyle w:val="666"/>
        <w:spacing w:line="400" w:lineRule="exact"/>
        <w:rPr>
          <w:color w:val="000000"/>
          <w:sz w:val="24"/>
          <w:szCs w:val="24"/>
        </w:rPr>
      </w:pPr>
      <w:r>
        <w:rPr>
          <w:color w:val="000000"/>
          <w:sz w:val="24"/>
          <w:szCs w:val="24"/>
        </w:rPr>
        <w:t xml:space="preserve">10.7 网络安全、市场准入要求（如有）：</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pStyle w:val="666"/>
        <w:spacing w:line="400" w:lineRule="exact"/>
        <w:rPr>
          <w:color w:val="000000"/>
          <w:sz w:val="24"/>
          <w:szCs w:val="24"/>
        </w:rPr>
      </w:pPr>
      <w:r>
        <w:rPr>
          <w:color w:val="000000"/>
          <w:sz w:val="24"/>
          <w:szCs w:val="24"/>
        </w:rPr>
        <w:t xml:space="preserve">11.1 甲方无正当理由拒绝接受乙方提供服务的，应向乙方偿付拒绝接受服务合同总额</w:t>
      </w:r>
      <w:r>
        <w:rPr>
          <w:color w:val="000000"/>
          <w:sz w:val="24"/>
          <w:szCs w:val="24"/>
          <w:u w:val="single"/>
        </w:rPr>
        <w:t xml:space="preserve">     </w:t>
      </w:r>
      <w:r>
        <w:rPr>
          <w:color w:val="000000"/>
          <w:sz w:val="24"/>
          <w:szCs w:val="24"/>
        </w:rPr>
        <w:t xml:space="preserve">的违约金。</w:t>
      </w:r>
      <w:r/>
    </w:p>
    <w:p>
      <w:pPr>
        <w:pStyle w:val="666"/>
        <w:spacing w:line="400" w:lineRule="exact"/>
        <w:rPr>
          <w:color w:val="000000"/>
          <w:sz w:val="24"/>
          <w:szCs w:val="24"/>
        </w:rPr>
      </w:pPr>
      <w:r>
        <w:rPr>
          <w:color w:val="000000"/>
          <w:sz w:val="24"/>
          <w:szCs w:val="24"/>
        </w:rPr>
        <w:t xml:space="preserve">11.2 </w:t>
      </w:r>
      <w:r>
        <w:rPr>
          <w:sz w:val="24"/>
          <w:szCs w:val="24"/>
        </w:rPr>
        <w:t xml:space="preserve">甲方无故逾期验收和办理支付手续的，应按逾期付款总额每日</w:t>
      </w:r>
      <w:r>
        <w:rPr>
          <w:sz w:val="24"/>
          <w:szCs w:val="24"/>
          <w:u w:val="single"/>
        </w:rPr>
        <w:t xml:space="preserve">     </w:t>
      </w:r>
      <w:r>
        <w:rPr>
          <w:sz w:val="24"/>
          <w:szCs w:val="24"/>
        </w:rPr>
        <w:t xml:space="preserve">向乙方支付违约金。</w:t>
      </w:r>
      <w:r>
        <w:rPr>
          <w:color w:val="000000"/>
          <w:sz w:val="24"/>
          <w:szCs w:val="24"/>
        </w:rPr>
      </w:r>
      <w:r/>
    </w:p>
    <w:p>
      <w:pPr>
        <w:pStyle w:val="666"/>
        <w:spacing w:line="400" w:lineRule="exact"/>
        <w:rPr>
          <w:sz w:val="24"/>
          <w:szCs w:val="24"/>
        </w:rPr>
      </w:pPr>
      <w:r>
        <w:rPr>
          <w:color w:val="000000"/>
          <w:sz w:val="24"/>
          <w:szCs w:val="24"/>
        </w:rPr>
        <w:t xml:space="preserve">11.3 乙方逾期提供服务的，应按逾期提供服务合同总额每日</w:t>
      </w:r>
      <w:r>
        <w:rPr>
          <w:sz w:val="24"/>
          <w:szCs w:val="24"/>
          <w:u w:val="single"/>
        </w:rPr>
        <w:t xml:space="preserve">     </w:t>
      </w:r>
      <w:r>
        <w:rPr>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sz w:val="24"/>
          <w:szCs w:val="24"/>
        </w:rPr>
        <w:t xml:space="preserve">，应向甲方支付合同总额</w:t>
      </w:r>
      <w:r>
        <w:rPr>
          <w:sz w:val="24"/>
          <w:szCs w:val="24"/>
          <w:u w:val="single"/>
        </w:rPr>
        <w:t xml:space="preserve">    </w:t>
      </w:r>
      <w:r>
        <w:rPr>
          <w:sz w:val="24"/>
          <w:szCs w:val="24"/>
        </w:rPr>
        <w:t xml:space="preserve">的违约金。</w:t>
      </w:r>
      <w:r/>
    </w:p>
    <w:p>
      <w:pPr>
        <w:pStyle w:val="666"/>
        <w:spacing w:line="400" w:lineRule="exact"/>
        <w:rPr>
          <w:color w:val="000000"/>
          <w:sz w:val="24"/>
          <w:szCs w:val="24"/>
        </w:rPr>
      </w:pPr>
      <w:r>
        <w:rPr>
          <w:color w:val="000000"/>
          <w:sz w:val="24"/>
          <w:szCs w:val="24"/>
        </w:rPr>
        <w:t xml:space="preserve">11.4 乙方所提供服务的标准不符合合同规定及磋商文件规定标准的，甲方有权拒绝接受服务，并可单方面解除合同。</w:t>
      </w:r>
      <w:r/>
    </w:p>
    <w:p>
      <w:pPr>
        <w:pStyle w:val="666"/>
        <w:spacing w:line="400" w:lineRule="exact"/>
      </w:pPr>
      <w:r>
        <w:rPr>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w:t>
      </w:r>
      <w:r>
        <w:rPr>
          <w:color w:val="000000"/>
          <w:sz w:val="24"/>
          <w:szCs w:val="24"/>
        </w:rPr>
        <w:t xml:space="preserve">（包括但不限于诉讼费、保全费、保全担保费、律师费、公证费、鉴定费、差旅费）。</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pStyle w:val="666"/>
        <w:spacing w:line="400" w:lineRule="exact"/>
        <w:rPr>
          <w:color w:val="000000"/>
          <w:sz w:val="24"/>
          <w:szCs w:val="24"/>
        </w:rPr>
      </w:pPr>
      <w:r>
        <w:rPr>
          <w:color w:val="000000"/>
          <w:sz w:val="24"/>
          <w:szCs w:val="24"/>
        </w:rPr>
        <w:t xml:space="preserve">12.1 在合同有效期内，任何一方因不可抗力事件导致不能履行合同，则合同履行期可延长，其延长期与不可抗力影响期相同。</w:t>
      </w:r>
      <w:r/>
    </w:p>
    <w:p>
      <w:pPr>
        <w:pStyle w:val="666"/>
        <w:spacing w:line="400" w:lineRule="exact"/>
        <w:rPr>
          <w:color w:val="000000"/>
          <w:sz w:val="24"/>
          <w:szCs w:val="24"/>
        </w:rPr>
      </w:pPr>
      <w:r>
        <w:rPr>
          <w:color w:val="000000"/>
          <w:sz w:val="24"/>
          <w:szCs w:val="24"/>
        </w:rPr>
        <w:t xml:space="preserve">12.2 不可抗力事件发生后，应立即通知对方并寄送有关权威机构出具的证明。</w:t>
      </w:r>
      <w:r/>
    </w:p>
    <w:p>
      <w:pPr>
        <w:pStyle w:val="666"/>
        <w:spacing w:line="400" w:lineRule="exact"/>
        <w:rPr>
          <w:color w:val="000000"/>
          <w:sz w:val="24"/>
          <w:szCs w:val="24"/>
        </w:rPr>
      </w:pPr>
      <w:r>
        <w:rPr>
          <w:color w:val="000000"/>
          <w:sz w:val="24"/>
          <w:szCs w:val="24"/>
        </w:rPr>
        <w:t xml:space="preserve">12.3 不可抗力事件延续120天以上，双方应通过友好协商，确定是否继续履行合同。</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666"/>
        <w:spacing w:line="400" w:lineRule="exact"/>
        <w:rPr>
          <w:color w:val="000000"/>
          <w:sz w:val="24"/>
          <w:szCs w:val="24"/>
        </w:rPr>
      </w:pPr>
      <w:r>
        <w:rPr>
          <w:color w:val="000000"/>
          <w:sz w:val="24"/>
          <w:szCs w:val="24"/>
        </w:rPr>
        <w:t xml:space="preserve">13.1 双方在签订、履行合同中所发生的一切争议，应通过友好协商解决。如协商不成的由甲方住所地人民法院管辖。</w:t>
      </w:r>
      <w:r/>
    </w:p>
    <w:p>
      <w:pPr>
        <w:pStyle w:val="666"/>
        <w:spacing w:line="400" w:lineRule="exact"/>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pStyle w:val="666"/>
        <w:spacing w:line="400" w:lineRule="exact"/>
        <w:rPr>
          <w:color w:val="000000"/>
          <w:sz w:val="24"/>
          <w:szCs w:val="24"/>
        </w:rPr>
      </w:pPr>
      <w:r>
        <w:rPr>
          <w:color w:val="000000"/>
          <w:sz w:val="24"/>
          <w:szCs w:val="24"/>
        </w:rPr>
        <w:t xml:space="preserve">14.1 本合同经双方加盖单位公章后生效。</w:t>
      </w:r>
      <w:r/>
    </w:p>
    <w:p>
      <w:pPr>
        <w:pStyle w:val="666"/>
        <w:spacing w:line="400" w:lineRule="exact"/>
        <w:rPr>
          <w:color w:val="000000"/>
          <w:sz w:val="24"/>
          <w:szCs w:val="24"/>
        </w:rPr>
      </w:pPr>
      <w:r>
        <w:rPr>
          <w:color w:val="000000"/>
          <w:sz w:val="24"/>
          <w:szCs w:val="24"/>
        </w:rPr>
        <w:t xml:space="preserve">14.2 本合同未尽事宜，遵照《中华人民共和国民法典》《中华人民共和国政府采购法》有关条文执行。</w:t>
      </w:r>
      <w:r/>
    </w:p>
    <w:p>
      <w:pPr>
        <w:pStyle w:val="666"/>
        <w:spacing w:line="400" w:lineRule="exact"/>
        <w:rPr>
          <w:color w:val="000000"/>
          <w:sz w:val="24"/>
          <w:szCs w:val="24"/>
        </w:rPr>
      </w:pPr>
      <w:r>
        <w:rPr>
          <w:color w:val="000000"/>
          <w:sz w:val="24"/>
          <w:szCs w:val="24"/>
        </w:rPr>
        <w:t xml:space="preserve">14.3 本合同正本一式两份，具有同等法律效力，甲方、乙方各执一份。</w:t>
      </w:r>
      <w:r/>
    </w:p>
    <w:p>
      <w:pPr>
        <w:pStyle w:val="709"/>
        <w:spacing w:line="400" w:lineRule="exact"/>
        <w:rPr>
          <w:rFonts w:hint="eastAsia" w:hAnsi="宋体"/>
          <w:sz w:val="24"/>
          <w:szCs w:val="24"/>
        </w:rPr>
      </w:pPr>
      <w:r>
        <w:rPr>
          <w:rFonts w:hint="eastAsia" w:hAnsi="宋体"/>
          <w:sz w:val="24"/>
          <w:szCs w:val="24"/>
        </w:rPr>
      </w:r>
      <w:r/>
    </w:p>
    <w:p>
      <w:pPr>
        <w:pStyle w:val="709"/>
        <w:ind w:firstLine="240"/>
        <w:spacing w:line="400" w:lineRule="exact"/>
        <w:rPr>
          <w:rFonts w:hint="eastAsia" w:hAnsi="宋体"/>
          <w:sz w:val="24"/>
          <w:szCs w:val="24"/>
        </w:rPr>
      </w:pPr>
      <w:r>
        <w:rPr>
          <w:rFonts w:hint="eastAsia" w:hAnsi="宋体"/>
          <w:sz w:val="24"/>
          <w:szCs w:val="24"/>
        </w:rPr>
        <w:t xml:space="preserve">甲方：（公章）                       乙方：（公章）</w:t>
      </w:r>
      <w:r/>
    </w:p>
    <w:p>
      <w:pPr>
        <w:pStyle w:val="709"/>
        <w:ind w:firstLine="240"/>
        <w:spacing w:line="400" w:lineRule="exact"/>
        <w:rPr>
          <w:rFonts w:hint="eastAsia" w:hAnsi="宋体"/>
          <w:sz w:val="24"/>
          <w:szCs w:val="24"/>
        </w:rPr>
      </w:pPr>
      <w:r>
        <w:rPr>
          <w:rFonts w:hint="eastAsia" w:hAnsi="宋体"/>
          <w:sz w:val="24"/>
          <w:szCs w:val="24"/>
        </w:rPr>
        <w:t xml:space="preserve">地址：                               地址：</w:t>
      </w:r>
      <w:r/>
    </w:p>
    <w:p>
      <w:pPr>
        <w:pStyle w:val="709"/>
        <w:ind w:firstLine="240"/>
        <w:spacing w:line="400" w:lineRule="exact"/>
        <w:rPr>
          <w:rFonts w:hint="eastAsia" w:hAnsi="宋体"/>
          <w:sz w:val="24"/>
          <w:szCs w:val="24"/>
        </w:rPr>
      </w:pPr>
      <w:r>
        <w:rPr>
          <w:rFonts w:hint="eastAsia" w:hAnsi="宋体"/>
          <w:sz w:val="24"/>
          <w:szCs w:val="24"/>
        </w:rPr>
        <w:t xml:space="preserve">法定代表人或授权代表：               法定代表人或授权代表：</w:t>
      </w:r>
      <w:r/>
    </w:p>
    <w:p>
      <w:pPr>
        <w:pStyle w:val="709"/>
        <w:ind w:firstLine="240"/>
        <w:spacing w:line="400" w:lineRule="exact"/>
        <w:rPr>
          <w:rFonts w:hint="eastAsia" w:hAnsi="宋体"/>
          <w:sz w:val="24"/>
          <w:szCs w:val="24"/>
        </w:rPr>
      </w:pPr>
      <w:r>
        <w:rPr>
          <w:rFonts w:hint="eastAsia" w:hAnsi="宋体"/>
          <w:sz w:val="24"/>
          <w:szCs w:val="24"/>
        </w:rPr>
        <w:t xml:space="preserve">联系电话：                   </w:t>
      </w:r>
      <w:r>
        <w:rPr>
          <w:rFonts w:hint="eastAsia" w:hAnsi="宋体"/>
          <w:sz w:val="24"/>
          <w:szCs w:val="24"/>
        </w:rPr>
        <w:t xml:space="preserve">        联系电话：</w:t>
      </w:r>
      <w:r/>
    </w:p>
    <w:p>
      <w:pPr>
        <w:pStyle w:val="709"/>
        <w:spacing w:line="400" w:lineRule="exact"/>
        <w:rPr>
          <w:rFonts w:hint="eastAsia" w:hAnsi="宋体"/>
          <w:sz w:val="24"/>
          <w:szCs w:val="24"/>
        </w:rPr>
      </w:pPr>
      <w:r>
        <w:rPr>
          <w:rFonts w:hint="eastAsia" w:hAnsi="宋体"/>
          <w:sz w:val="24"/>
          <w:szCs w:val="24"/>
        </w:rPr>
        <w:t xml:space="preserve">                                          </w:t>
      </w:r>
      <w:r/>
    </w:p>
    <w:p>
      <w:pPr>
        <w:pStyle w:val="709"/>
        <w:ind w:firstLine="5280"/>
        <w:spacing w:line="400" w:lineRule="exact"/>
        <w:rPr>
          <w:rFonts w:hint="eastAsia" w:hAnsi="宋体"/>
          <w:sz w:val="24"/>
          <w:szCs w:val="24"/>
        </w:rPr>
      </w:pPr>
      <w:r>
        <w:rPr>
          <w:rFonts w:hint="eastAsia" w:hAnsi="宋体"/>
          <w:sz w:val="24"/>
          <w:szCs w:val="24"/>
        </w:rPr>
        <w:t xml:space="preserve">签订日期：      年    月   日</w:t>
      </w:r>
      <w:r/>
    </w:p>
    <w:p>
      <w:pPr>
        <w:pStyle w:val="709"/>
        <w:ind w:firstLine="4800"/>
        <w:spacing w:line="400" w:lineRule="exact"/>
        <w:rPr>
          <w:rFonts w:hint="eastAsia" w:hAnsi="宋体"/>
          <w:sz w:val="24"/>
          <w:szCs w:val="24"/>
        </w:rPr>
      </w:pPr>
      <w:r>
        <w:rPr>
          <w:rFonts w:hint="eastAsia" w:hAnsi="宋体"/>
          <w:sz w:val="24"/>
          <w:szCs w:val="24"/>
        </w:rPr>
      </w:r>
      <w:r/>
    </w:p>
    <w:p>
      <w:pPr>
        <w:pStyle w:val="666"/>
        <w:jc w:val="center"/>
        <w:spacing w:line="400" w:lineRule="exact"/>
        <w:rPr>
          <w:rFonts w:hint="eastAsia" w:ascii="宋体" w:hAnsi="宋体"/>
          <w:b/>
          <w:sz w:val="30"/>
          <w:szCs w:val="21"/>
        </w:rPr>
      </w:pPr>
      <w:r>
        <w:rPr>
          <w:rFonts w:hint="eastAsia" w:ascii="宋体" w:hAnsi="宋体"/>
          <w:b/>
          <w:sz w:val="30"/>
          <w:szCs w:val="21"/>
        </w:rPr>
        <w:t xml:space="preserve">《*******合同》补充协议（合同附件）</w:t>
      </w:r>
      <w:r/>
    </w:p>
    <w:p>
      <w:pPr>
        <w:pStyle w:val="709"/>
        <w:jc w:val="center"/>
        <w:spacing w:line="400" w:lineRule="exact"/>
        <w:rPr>
          <w:rFonts w:hAnsi="宋体"/>
          <w:color w:val="000000"/>
          <w:sz w:val="24"/>
          <w:szCs w:val="24"/>
        </w:rPr>
      </w:pPr>
      <w:r>
        <w:rPr>
          <w:rFonts w:hint="eastAsia" w:hAnsi="宋体"/>
          <w:color w:val="000000"/>
          <w:sz w:val="24"/>
          <w:szCs w:val="24"/>
        </w:rPr>
        <w:t xml:space="preserve">如遇磋商文件及合同未约定事项，双方可友好协商签订补充协议。</w:t>
      </w:r>
      <w:r>
        <w:rPr>
          <w:rFonts w:hAnsi="宋体"/>
          <w:color w:val="000000"/>
          <w:sz w:val="24"/>
          <w:szCs w:val="24"/>
        </w:rPr>
      </w:r>
      <w:r/>
    </w:p>
    <w:p>
      <w:pPr>
        <w:pStyle w:val="666"/>
        <w:jc w:val="center"/>
        <w:rPr>
          <w:rFonts w:hint="eastAsia" w:ascii="方正小标宋简体" w:hAnsi="方正小标宋简体" w:eastAsia="方正小标宋简体" w:cs="方正小标宋简体"/>
          <w:color w:val="000000"/>
          <w:sz w:val="36"/>
          <w:szCs w:val="36"/>
        </w:rPr>
        <w:outlineLvl w:val="0"/>
      </w:pPr>
      <w:r/>
      <w:bookmarkEnd w:id="0"/>
      <w:r/>
      <w:bookmarkEnd w:id="1"/>
      <w:r/>
      <w:bookmarkEnd w:id="2"/>
      <w:r/>
      <w:bookmarkEnd w:id="3"/>
      <w:r/>
      <w:bookmarkEnd w:id="4"/>
      <w:r/>
      <w:bookmarkEnd w:id="5"/>
      <w:r>
        <w:rPr>
          <w:rFonts w:hint="eastAsia" w:hAnsi="宋体"/>
          <w:color w:val="000000"/>
          <w:sz w:val="24"/>
          <w:szCs w:val="24"/>
        </w:rPr>
        <w:br w:type="page" w:clear="all"/>
      </w:r>
      <w:bookmarkStart w:id="83" w:name="_Toc238758639"/>
      <w:r/>
      <w:bookmarkStart w:id="84" w:name="_Toc199251411"/>
      <w:r/>
      <w:bookmarkStart w:id="85" w:name="_Toc26554093"/>
      <w:r/>
      <w:bookmarkStart w:id="86" w:name="_Toc49090575"/>
      <w:r>
        <w:rPr>
          <w:rFonts w:hint="eastAsia" w:ascii="方正小标宋简体" w:hAnsi="方正小标宋简体" w:eastAsia="方正小标宋简体" w:cs="方正小标宋简体"/>
          <w:color w:val="000000"/>
          <w:sz w:val="36"/>
          <w:szCs w:val="36"/>
        </w:rPr>
        <w:t xml:space="preserve">第四章  采购需求</w:t>
      </w:r>
      <w:bookmarkEnd w:id="83"/>
      <w:r/>
      <w:bookmarkEnd w:id="84"/>
      <w:r>
        <w:rPr>
          <w:rFonts w:hint="eastAsia" w:ascii="方正小标宋简体" w:hAnsi="方正小标宋简体" w:eastAsia="方正小标宋简体" w:cs="方正小标宋简体"/>
          <w:color w:val="000000"/>
          <w:sz w:val="36"/>
          <w:szCs w:val="36"/>
        </w:rPr>
      </w:r>
      <w:r/>
    </w:p>
    <w:p>
      <w:pPr>
        <w:pStyle w:val="666"/>
        <w:spacing w:line="400" w:lineRule="exact"/>
        <w:rPr>
          <w:rFonts w:hint="eastAsia" w:ascii="宋体" w:hAnsi="宋体"/>
          <w:b/>
          <w:bCs/>
          <w:sz w:val="24"/>
          <w:szCs w:val="24"/>
        </w:rPr>
      </w:pPr>
      <w:r>
        <w:rPr>
          <w:rFonts w:hint="eastAsia" w:ascii="宋体" w:hAnsi="宋体"/>
          <w:b/>
          <w:bCs/>
          <w:sz w:val="24"/>
          <w:szCs w:val="24"/>
        </w:rPr>
        <w:t xml:space="preserve">一、项目属性：</w:t>
      </w:r>
      <w:r>
        <w:rPr>
          <w:rFonts w:hint="eastAsia" w:ascii="宋体" w:hAnsi="宋体"/>
          <w:sz w:val="24"/>
          <w:szCs w:val="24"/>
        </w:rPr>
        <w:t xml:space="preserve">服务类项目。</w:t>
      </w:r>
      <w:r>
        <w:rPr>
          <w:rFonts w:hint="eastAsia" w:ascii="宋体" w:hAnsi="宋体"/>
          <w:b/>
          <w:bCs/>
          <w:sz w:val="24"/>
          <w:szCs w:val="24"/>
        </w:rPr>
      </w:r>
      <w:r/>
    </w:p>
    <w:p>
      <w:pPr>
        <w:pStyle w:val="666"/>
        <w:contextualSpacing/>
        <w:spacing w:line="400" w:lineRule="exact"/>
        <w:rPr>
          <w:rFonts w:hint="eastAsia" w:ascii="宋体" w:hAnsi="宋体"/>
          <w:b/>
          <w:bCs/>
          <w:sz w:val="24"/>
          <w:szCs w:val="24"/>
        </w:rPr>
      </w:pPr>
      <w:r>
        <w:rPr>
          <w:rFonts w:hint="eastAsia" w:ascii="宋体" w:hAnsi="宋体"/>
          <w:b/>
          <w:bCs/>
          <w:sz w:val="24"/>
          <w:szCs w:val="24"/>
        </w:rPr>
        <w:t xml:space="preserve">二、项目概况</w:t>
      </w:r>
      <w:r/>
    </w:p>
    <w:p>
      <w:pPr>
        <w:pStyle w:val="666"/>
        <w:contextualSpacing/>
        <w:ind w:firstLine="480"/>
        <w:spacing w:line="400" w:lineRule="exact"/>
      </w:pPr>
      <w:r>
        <w:rPr>
          <w:sz w:val="24"/>
          <w:szCs w:val="24"/>
        </w:rPr>
        <w:t xml:space="preserve">（一）项目背景</w:t>
      </w:r>
      <w:r/>
    </w:p>
    <w:p>
      <w:pPr>
        <w:pStyle w:val="666"/>
        <w:contextualSpacing/>
        <w:ind w:firstLine="480"/>
        <w:spacing w:line="400" w:lineRule="exact"/>
        <w:rPr>
          <w:sz w:val="24"/>
          <w:szCs w:val="24"/>
        </w:rPr>
      </w:pPr>
      <w:r>
        <w:rPr>
          <w:sz w:val="24"/>
          <w:szCs w:val="24"/>
        </w:rPr>
        <w:t xml:space="preserve">根据江宁区委巡察整改长效落实要求，对照《预算管理一体化系统技术标准 V2.0》及省、市、区财政规范化管理系列文件要求，当前我区省预算管理一体化绩效管理模块仅覆盖区本级，未延伸至14个街道园区，基层财政绩效监管缺失，街道财政资金绩效监管存在盲区。为打通区、街两级预算绩效管理链条，本次采购搭</w:t>
      </w:r>
      <w:r>
        <w:rPr>
          <w:sz w:val="24"/>
          <w:szCs w:val="24"/>
        </w:rPr>
        <w:t xml:space="preserve">建并运维街道园区预算绩效专项板块，实现街道项目绩效、部门整体绩效、重点资金绩效全流程线上管理，完成与省预算一体化系统、省预决算公开平台无缝数据互通，压实基层资金绩效管控责任。同时，全区财政信息化业务系统种类多、覆盖范围广，包</w:t>
      </w:r>
      <w:r>
        <w:rPr>
          <w:sz w:val="24"/>
          <w:szCs w:val="24"/>
        </w:rPr>
        <w:t xml:space="preserve">含债务管理、非税收入、国库无纸化支付、社保发放、街道会计核算、人</w:t>
      </w:r>
      <w:r>
        <w:rPr>
          <w:sz w:val="24"/>
          <w:szCs w:val="24"/>
        </w:rPr>
        <w:t xml:space="preserve">大联网监督、法治财政、财源大数据等二十余套业务模块，涉及省、市、区、街道多层级系统接口对接、数据同步、日常运维；全区659家预算单位CA证书到期续保、财政各类视频会议保障、安全设备授权更新等常态化保障工作需专业技术团队支撑。通过统一采购一体化运维服务，建立常态化驻场+远程7×24小时保障机制，统一开展系统运维、数据治理、故障处置、政策适配升级、操作培训，实现区街财政业务数据互通、系统稳定运行、资金监管闭环，全面落实零基预算、政府债务管控、绩效评价等上级财政工作要求，提升全区财政信息化规范化、精细化管理水平。</w:t>
      </w:r>
      <w:r/>
    </w:p>
    <w:p>
      <w:pPr>
        <w:pStyle w:val="666"/>
        <w:contextualSpacing/>
        <w:ind w:firstLine="480"/>
        <w:spacing w:line="400" w:lineRule="exact"/>
        <w:rPr>
          <w:sz w:val="24"/>
          <w:szCs w:val="24"/>
        </w:rPr>
      </w:pPr>
      <w:r>
        <w:rPr>
          <w:sz w:val="24"/>
          <w:szCs w:val="24"/>
        </w:rPr>
        <w:t xml:space="preserve">（二）项目建设遵循标准</w:t>
      </w:r>
      <w:r/>
    </w:p>
    <w:p>
      <w:pPr>
        <w:pStyle w:val="666"/>
        <w:contextualSpacing/>
        <w:ind w:firstLine="480"/>
        <w:spacing w:line="400" w:lineRule="exact"/>
        <w:rPr>
          <w:rFonts w:hint="eastAsia"/>
          <w:sz w:val="24"/>
          <w:szCs w:val="24"/>
        </w:rPr>
      </w:pPr>
      <w:r>
        <w:rPr>
          <w:rFonts w:hint="eastAsia"/>
          <w:sz w:val="24"/>
          <w:szCs w:val="24"/>
        </w:rPr>
        <w:t xml:space="preserve">《省级政务信息化项目建设管理办法》（苏政办发〔2024〕38号）</w:t>
      </w:r>
      <w:r/>
    </w:p>
    <w:p>
      <w:pPr>
        <w:pStyle w:val="666"/>
        <w:contextualSpacing/>
        <w:ind w:firstLine="480"/>
        <w:spacing w:line="400" w:lineRule="exact"/>
        <w:rPr>
          <w:rFonts w:hint="eastAsia"/>
          <w:sz w:val="24"/>
          <w:szCs w:val="24"/>
        </w:rPr>
      </w:pPr>
      <w:r>
        <w:rPr>
          <w:rFonts w:hint="eastAsia"/>
          <w:sz w:val="24"/>
          <w:szCs w:val="24"/>
        </w:rPr>
        <w:t xml:space="preserve">《关于印发〈南京市涉农镇街财政机构建设发展实施方案〉的通知》（宁财农函〔2025〕44号）</w:t>
      </w:r>
      <w:r/>
    </w:p>
    <w:p>
      <w:pPr>
        <w:pStyle w:val="666"/>
        <w:contextualSpacing/>
        <w:ind w:firstLine="480"/>
        <w:spacing w:line="400" w:lineRule="exact"/>
        <w:rPr>
          <w:rFonts w:hint="eastAsia"/>
          <w:sz w:val="24"/>
          <w:szCs w:val="24"/>
        </w:rPr>
      </w:pPr>
      <w:r>
        <w:rPr>
          <w:rFonts w:hint="eastAsia"/>
          <w:sz w:val="24"/>
          <w:szCs w:val="24"/>
        </w:rPr>
        <w:t xml:space="preserve">《关于加强街道财政全周期规范管理的实施意见》（江宁委发〔2025〕20号）</w:t>
      </w:r>
      <w:r/>
    </w:p>
    <w:p>
      <w:pPr>
        <w:pStyle w:val="666"/>
        <w:contextualSpacing/>
        <w:ind w:firstLine="480"/>
        <w:spacing w:line="400" w:lineRule="exact"/>
        <w:rPr>
          <w:rFonts w:hint="eastAsia"/>
          <w:sz w:val="24"/>
          <w:szCs w:val="24"/>
        </w:rPr>
      </w:pPr>
      <w:r>
        <w:rPr>
          <w:rFonts w:hint="eastAsia"/>
          <w:sz w:val="24"/>
          <w:szCs w:val="24"/>
        </w:rPr>
        <w:t xml:space="preserve">《关于印发〈江宁区政务信息化项目建设和资金管理实施办法〉的通知》（江宁政发〔2025〕125号）</w:t>
      </w:r>
      <w:r/>
    </w:p>
    <w:p>
      <w:pPr>
        <w:pStyle w:val="666"/>
        <w:contextualSpacing/>
        <w:ind w:firstLine="480"/>
        <w:spacing w:line="400" w:lineRule="exact"/>
        <w:rPr>
          <w:sz w:val="24"/>
          <w:szCs w:val="24"/>
        </w:rPr>
      </w:pPr>
      <w:r>
        <w:rPr>
          <w:rFonts w:hint="eastAsia"/>
          <w:sz w:val="24"/>
          <w:szCs w:val="24"/>
        </w:rPr>
        <w:t xml:space="preserve">《财政部关于印发〈预算管理一体化系统技术标准V2.0〉的通知》（</w:t>
      </w:r>
      <w:r>
        <w:rPr>
          <w:sz w:val="24"/>
          <w:szCs w:val="24"/>
        </w:rPr>
        <w:t xml:space="preserve">财办〔2023〕17号</w:t>
      </w:r>
      <w:r>
        <w:rPr>
          <w:rFonts w:hint="eastAsia"/>
          <w:sz w:val="24"/>
          <w:szCs w:val="24"/>
        </w:rPr>
        <w:t xml:space="preserve">）</w:t>
      </w:r>
      <w:r>
        <w:rPr>
          <w:sz w:val="24"/>
          <w:szCs w:val="24"/>
        </w:rPr>
      </w:r>
      <w:r/>
    </w:p>
    <w:p>
      <w:pPr>
        <w:pStyle w:val="666"/>
        <w:contextualSpacing/>
        <w:spacing w:line="400" w:lineRule="exact"/>
        <w:rPr>
          <w:rFonts w:hint="eastAsia" w:ascii="宋体" w:hAnsi="宋体"/>
          <w:b/>
          <w:bCs/>
          <w:sz w:val="24"/>
          <w:szCs w:val="28"/>
        </w:rPr>
      </w:pPr>
      <w:r>
        <w:rPr>
          <w:rFonts w:hint="eastAsia" w:ascii="宋体" w:hAnsi="宋体"/>
          <w:b/>
          <w:bCs/>
          <w:sz w:val="24"/>
          <w:szCs w:val="28"/>
        </w:rPr>
        <w:t xml:space="preserve">三、项目清单</w:t>
      </w:r>
      <w:r/>
    </w:p>
    <w:tbl>
      <w:tblPr>
        <w:tblW w:w="4986"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62"/>
        <w:gridCol w:w="2695"/>
        <w:gridCol w:w="559"/>
        <w:gridCol w:w="719"/>
        <w:gridCol w:w="1060"/>
        <w:gridCol w:w="1070"/>
        <w:gridCol w:w="1985"/>
        <w:gridCol w:w="1091"/>
      </w:tblGrid>
      <w:tr>
        <w:trPr>
          <w:trHeight w:val="470"/>
        </w:trPr>
        <w:tc>
          <w:tcPr>
            <w:tcBorders>
              <w:top w:val="single" w:color="000000" w:sz="2" w:space="0"/>
              <w:bottom w:val="single" w:color="000000" w:sz="2" w:space="0"/>
            </w:tcBorders>
            <w:tcW w:w="288" w:type="pct"/>
            <w:vAlign w:val="center"/>
            <w:textDirection w:val="lrTb"/>
            <w:noWrap w:val="false"/>
          </w:tcPr>
          <w:p>
            <w:pPr>
              <w:pStyle w:val="666"/>
              <w:jc w:val="center"/>
              <w:spacing w:line="400" w:lineRule="exact"/>
              <w:rPr>
                <w:b/>
                <w:sz w:val="24"/>
                <w:szCs w:val="24"/>
              </w:rPr>
            </w:pPr>
            <w:r>
              <w:rPr>
                <w:b/>
                <w:sz w:val="24"/>
                <w:szCs w:val="24"/>
              </w:rPr>
              <w:t xml:space="preserve">序号</w:t>
            </w:r>
            <w:r/>
          </w:p>
        </w:tc>
        <w:tc>
          <w:tcPr>
            <w:tcBorders>
              <w:top w:val="single" w:color="000000" w:sz="2" w:space="0"/>
              <w:bottom w:val="single" w:color="000000" w:sz="2" w:space="0"/>
            </w:tcBorders>
            <w:tcW w:w="1383" w:type="pct"/>
            <w:vAlign w:val="center"/>
            <w:textDirection w:val="lrTb"/>
            <w:noWrap w:val="false"/>
          </w:tcPr>
          <w:p>
            <w:pPr>
              <w:pStyle w:val="666"/>
              <w:jc w:val="center"/>
              <w:spacing w:line="400" w:lineRule="exact"/>
              <w:rPr>
                <w:b/>
                <w:sz w:val="24"/>
                <w:szCs w:val="24"/>
              </w:rPr>
            </w:pPr>
            <w:r>
              <w:rPr>
                <w:b/>
                <w:sz w:val="24"/>
                <w:szCs w:val="24"/>
              </w:rPr>
              <w:t xml:space="preserve">分项名称</w:t>
            </w:r>
            <w:r/>
          </w:p>
        </w:tc>
        <w:tc>
          <w:tcPr>
            <w:tcBorders>
              <w:top w:val="single" w:color="000000" w:sz="2" w:space="0"/>
              <w:bottom w:val="single" w:color="000000" w:sz="2" w:space="0"/>
            </w:tcBorders>
            <w:tcW w:w="287" w:type="pct"/>
            <w:vAlign w:val="center"/>
            <w:textDirection w:val="lrTb"/>
            <w:noWrap w:val="false"/>
          </w:tcPr>
          <w:p>
            <w:pPr>
              <w:pStyle w:val="666"/>
              <w:jc w:val="center"/>
              <w:spacing w:line="400" w:lineRule="exact"/>
              <w:rPr>
                <w:b/>
                <w:sz w:val="24"/>
                <w:szCs w:val="24"/>
              </w:rPr>
            </w:pPr>
            <w:r>
              <w:rPr>
                <w:b/>
                <w:sz w:val="24"/>
                <w:szCs w:val="24"/>
              </w:rPr>
              <w:t xml:space="preserve">数量</w:t>
            </w:r>
            <w:r/>
          </w:p>
        </w:tc>
        <w:tc>
          <w:tcPr>
            <w:tcBorders>
              <w:top w:val="single" w:color="000000" w:sz="2" w:space="0"/>
              <w:bottom w:val="single" w:color="000000" w:sz="2" w:space="0"/>
            </w:tcBorders>
            <w:tcW w:w="369" w:type="pct"/>
            <w:vAlign w:val="center"/>
            <w:textDirection w:val="lrTb"/>
            <w:noWrap w:val="false"/>
          </w:tcPr>
          <w:p>
            <w:pPr>
              <w:pStyle w:val="666"/>
              <w:jc w:val="center"/>
              <w:spacing w:line="400" w:lineRule="exact"/>
              <w:rPr>
                <w:b/>
                <w:sz w:val="24"/>
                <w:szCs w:val="24"/>
              </w:rPr>
            </w:pPr>
            <w:r>
              <w:rPr>
                <w:b/>
                <w:sz w:val="24"/>
                <w:szCs w:val="24"/>
              </w:rPr>
              <w:t xml:space="preserve">单位</w:t>
            </w:r>
            <w:r/>
          </w:p>
        </w:tc>
        <w:tc>
          <w:tcPr>
            <w:tcBorders>
              <w:top w:val="single" w:color="000000" w:sz="2" w:space="0"/>
              <w:bottom w:val="single" w:color="000000" w:sz="2" w:space="0"/>
            </w:tcBorders>
            <w:tcW w:w="544" w:type="pct"/>
            <w:vAlign w:val="center"/>
            <w:textDirection w:val="lrTb"/>
            <w:noWrap w:val="false"/>
          </w:tcPr>
          <w:p>
            <w:pPr>
              <w:pStyle w:val="666"/>
              <w:jc w:val="center"/>
              <w:spacing w:line="400" w:lineRule="exact"/>
              <w:rPr>
                <w:b/>
                <w:sz w:val="24"/>
                <w:szCs w:val="24"/>
              </w:rPr>
            </w:pPr>
            <w:r>
              <w:rPr>
                <w:b/>
                <w:sz w:val="24"/>
                <w:szCs w:val="24"/>
              </w:rPr>
              <w:t xml:space="preserve">单价上限</w:t>
            </w:r>
            <w:r/>
          </w:p>
          <w:p>
            <w:pPr>
              <w:pStyle w:val="666"/>
              <w:jc w:val="center"/>
              <w:spacing w:line="400" w:lineRule="exact"/>
              <w:rPr>
                <w:b/>
                <w:sz w:val="24"/>
                <w:szCs w:val="24"/>
              </w:rPr>
            </w:pPr>
            <w:r>
              <w:rPr>
                <w:b/>
                <w:sz w:val="24"/>
                <w:szCs w:val="24"/>
              </w:rPr>
              <w:t xml:space="preserve">（元）</w:t>
            </w:r>
            <w:r>
              <w:rPr>
                <w:b/>
                <w:sz w:val="24"/>
                <w:szCs w:val="24"/>
              </w:rPr>
            </w:r>
            <w:r/>
          </w:p>
        </w:tc>
        <w:tc>
          <w:tcPr>
            <w:tcBorders>
              <w:top w:val="single" w:color="000000" w:sz="2" w:space="0"/>
              <w:bottom w:val="single" w:color="000000" w:sz="2" w:space="0"/>
            </w:tcBorders>
            <w:tcW w:w="549" w:type="pct"/>
            <w:vAlign w:val="center"/>
            <w:textDirection w:val="lrTb"/>
            <w:noWrap w:val="false"/>
          </w:tcPr>
          <w:p>
            <w:pPr>
              <w:pStyle w:val="666"/>
              <w:jc w:val="center"/>
              <w:spacing w:line="400" w:lineRule="exact"/>
              <w:rPr>
                <w:b/>
                <w:sz w:val="24"/>
                <w:szCs w:val="24"/>
              </w:rPr>
            </w:pPr>
            <w:r>
              <w:rPr>
                <w:b/>
                <w:sz w:val="24"/>
                <w:szCs w:val="24"/>
              </w:rPr>
              <w:t xml:space="preserve">产品类型</w:t>
            </w:r>
            <w:r/>
          </w:p>
        </w:tc>
        <w:tc>
          <w:tcPr>
            <w:tcBorders>
              <w:top w:val="single" w:color="000000" w:sz="2" w:space="0"/>
              <w:bottom w:val="single" w:color="000000" w:sz="2" w:space="0"/>
            </w:tcBorders>
            <w:tcW w:w="1019" w:type="pct"/>
            <w:vAlign w:val="center"/>
            <w:textDirection w:val="lrTb"/>
            <w:noWrap w:val="false"/>
          </w:tcPr>
          <w:p>
            <w:pPr>
              <w:pStyle w:val="666"/>
              <w:jc w:val="center"/>
              <w:spacing w:line="400" w:lineRule="exact"/>
              <w:rPr>
                <w:b/>
                <w:sz w:val="24"/>
                <w:szCs w:val="24"/>
              </w:rPr>
            </w:pPr>
            <w:r>
              <w:rPr>
                <w:b/>
                <w:sz w:val="24"/>
                <w:szCs w:val="24"/>
              </w:rPr>
              <w:t xml:space="preserve">中小企业划分标准所属行业</w:t>
            </w:r>
            <w:r>
              <w:rPr>
                <w:b/>
                <w:sz w:val="24"/>
                <w:szCs w:val="24"/>
              </w:rPr>
            </w:r>
            <w:r/>
          </w:p>
        </w:tc>
        <w:tc>
          <w:tcPr>
            <w:tcBorders>
              <w:top w:val="single" w:color="000000" w:sz="2" w:space="0"/>
              <w:bottom w:val="single" w:color="000000" w:sz="2" w:space="0"/>
            </w:tcBorders>
            <w:tcW w:w="560" w:type="pct"/>
            <w:vAlign w:val="center"/>
            <w:textDirection w:val="lrTb"/>
            <w:noWrap w:val="false"/>
          </w:tcPr>
          <w:p>
            <w:pPr>
              <w:pStyle w:val="666"/>
              <w:jc w:val="center"/>
              <w:spacing w:line="400" w:lineRule="exact"/>
              <w:rPr>
                <w:b/>
                <w:sz w:val="24"/>
                <w:szCs w:val="24"/>
              </w:rPr>
            </w:pPr>
            <w:r>
              <w:rPr>
                <w:b/>
                <w:sz w:val="24"/>
                <w:szCs w:val="24"/>
              </w:rPr>
              <w:t xml:space="preserve">属性</w:t>
            </w:r>
            <w:r/>
          </w:p>
        </w:tc>
      </w:tr>
      <w:tr>
        <w:trPr>
          <w:trHeight w:val="597"/>
        </w:trPr>
        <w:tc>
          <w:tcPr>
            <w:tcBorders>
              <w:top w:val="single" w:color="000000" w:sz="2" w:space="0"/>
              <w:bottom w:val="single" w:color="000000" w:sz="2" w:space="0"/>
            </w:tcBorders>
            <w:tcW w:w="288" w:type="pct"/>
            <w:vAlign w:val="center"/>
            <w:textDirection w:val="lrTb"/>
            <w:noWrap w:val="false"/>
          </w:tcPr>
          <w:p>
            <w:pPr>
              <w:pStyle w:val="666"/>
              <w:jc w:val="center"/>
              <w:spacing w:line="400" w:lineRule="exact"/>
              <w:rPr>
                <w:bCs/>
                <w:sz w:val="24"/>
                <w:szCs w:val="24"/>
              </w:rPr>
            </w:pPr>
            <w:r>
              <w:rPr>
                <w:bCs/>
                <w:sz w:val="24"/>
                <w:szCs w:val="24"/>
              </w:rPr>
              <w:t xml:space="preserve">1</w:t>
            </w:r>
            <w:r/>
          </w:p>
        </w:tc>
        <w:tc>
          <w:tcPr>
            <w:tcBorders>
              <w:top w:val="single" w:color="000000" w:sz="2" w:space="0"/>
              <w:bottom w:val="single" w:color="000000" w:sz="2" w:space="0"/>
            </w:tcBorders>
            <w:tcW w:w="1383" w:type="pct"/>
            <w:vAlign w:val="center"/>
            <w:textDirection w:val="lrTb"/>
            <w:noWrap w:val="false"/>
          </w:tcPr>
          <w:p>
            <w:pPr>
              <w:pStyle w:val="666"/>
              <w:jc w:val="left"/>
              <w:spacing w:line="400" w:lineRule="exact"/>
              <w:rPr>
                <w:bCs/>
                <w:sz w:val="24"/>
                <w:szCs w:val="24"/>
              </w:rPr>
            </w:pPr>
            <w:r>
              <w:rPr>
                <w:bCs/>
                <w:sz w:val="24"/>
                <w:szCs w:val="24"/>
              </w:rPr>
              <w:t xml:space="preserve">财政综合业务平台及省市对接运维保障服务</w:t>
            </w:r>
            <w:r/>
          </w:p>
        </w:tc>
        <w:tc>
          <w:tcPr>
            <w:tcBorders>
              <w:top w:val="single" w:color="000000" w:sz="2" w:space="0"/>
              <w:bottom w:val="single" w:color="000000" w:sz="2" w:space="0"/>
            </w:tcBorders>
            <w:tcW w:w="287" w:type="pct"/>
            <w:vAlign w:val="center"/>
            <w:textDirection w:val="lrTb"/>
            <w:noWrap w:val="false"/>
          </w:tcPr>
          <w:p>
            <w:pPr>
              <w:pStyle w:val="666"/>
              <w:jc w:val="center"/>
              <w:spacing w:line="400" w:lineRule="exact"/>
              <w:rPr>
                <w:bCs/>
                <w:sz w:val="24"/>
                <w:szCs w:val="24"/>
              </w:rPr>
            </w:pPr>
            <w:r>
              <w:rPr>
                <w:bCs/>
                <w:sz w:val="24"/>
                <w:szCs w:val="24"/>
              </w:rPr>
              <w:t xml:space="preserve">1</w:t>
            </w:r>
            <w:r/>
          </w:p>
        </w:tc>
        <w:tc>
          <w:tcPr>
            <w:tcBorders>
              <w:top w:val="single" w:color="000000" w:sz="2" w:space="0"/>
              <w:bottom w:val="single" w:color="000000" w:sz="2" w:space="0"/>
            </w:tcBorders>
            <w:tcW w:w="369" w:type="pct"/>
            <w:vAlign w:val="center"/>
            <w:textDirection w:val="lrTb"/>
            <w:noWrap w:val="false"/>
          </w:tcPr>
          <w:p>
            <w:pPr>
              <w:pStyle w:val="666"/>
              <w:jc w:val="center"/>
              <w:spacing w:line="400" w:lineRule="exact"/>
              <w:rPr>
                <w:bCs/>
                <w:sz w:val="24"/>
                <w:szCs w:val="24"/>
              </w:rPr>
            </w:pPr>
            <w:r>
              <w:rPr>
                <w:bCs/>
                <w:sz w:val="24"/>
                <w:szCs w:val="24"/>
              </w:rPr>
              <w:t xml:space="preserve">项</w:t>
            </w:r>
            <w:r/>
          </w:p>
        </w:tc>
        <w:tc>
          <w:tcPr>
            <w:tcBorders>
              <w:top w:val="single" w:color="000000" w:sz="2" w:space="0"/>
              <w:bottom w:val="single" w:color="000000" w:sz="2" w:space="0"/>
            </w:tcBorders>
            <w:tcW w:w="544" w:type="pct"/>
            <w:vAlign w:val="center"/>
            <w:textDirection w:val="lrTb"/>
            <w:noWrap w:val="false"/>
          </w:tcPr>
          <w:p>
            <w:pPr>
              <w:pStyle w:val="666"/>
              <w:jc w:val="center"/>
              <w:spacing w:line="400" w:lineRule="exact"/>
              <w:rPr>
                <w:bCs/>
                <w:sz w:val="24"/>
                <w:szCs w:val="24"/>
              </w:rPr>
            </w:pPr>
            <w:r>
              <w:rPr>
                <w:bCs/>
                <w:sz w:val="24"/>
                <w:szCs w:val="24"/>
              </w:rPr>
              <w:t xml:space="preserve">1406100</w:t>
            </w:r>
            <w:r/>
          </w:p>
        </w:tc>
        <w:tc>
          <w:tcPr>
            <w:tcBorders>
              <w:top w:val="single" w:color="000000" w:sz="2" w:space="0"/>
              <w:bottom w:val="single" w:color="000000" w:sz="2" w:space="0"/>
            </w:tcBorders>
            <w:tcW w:w="549" w:type="pct"/>
            <w:vAlign w:val="center"/>
            <w:textDirection w:val="lrTb"/>
            <w:noWrap w:val="false"/>
          </w:tcPr>
          <w:p>
            <w:pPr>
              <w:pStyle w:val="666"/>
              <w:jc w:val="center"/>
              <w:spacing w:line="400" w:lineRule="exact"/>
              <w:rPr>
                <w:rFonts w:hint="eastAsia"/>
                <w:bCs/>
                <w:sz w:val="24"/>
                <w:szCs w:val="24"/>
              </w:rPr>
            </w:pPr>
            <w:r>
              <w:rPr>
                <w:rFonts w:hint="eastAsia"/>
                <w:bCs/>
                <w:sz w:val="24"/>
                <w:szCs w:val="24"/>
              </w:rPr>
              <w:t xml:space="preserve">/</w:t>
            </w:r>
            <w:r/>
          </w:p>
        </w:tc>
        <w:tc>
          <w:tcPr>
            <w:tcBorders>
              <w:top w:val="single" w:color="000000" w:sz="2" w:space="0"/>
              <w:bottom w:val="single" w:color="000000" w:sz="2" w:space="0"/>
            </w:tcBorders>
            <w:tcW w:w="1019" w:type="pct"/>
            <w:vAlign w:val="center"/>
            <w:textDirection w:val="lrTb"/>
            <w:noWrap w:val="false"/>
          </w:tcPr>
          <w:p>
            <w:pPr>
              <w:pStyle w:val="666"/>
              <w:jc w:val="center"/>
              <w:spacing w:line="400" w:lineRule="exact"/>
              <w:rPr>
                <w:bCs/>
                <w:sz w:val="24"/>
                <w:szCs w:val="24"/>
              </w:rPr>
            </w:pPr>
            <w:r>
              <w:rPr>
                <w:bCs/>
                <w:sz w:val="24"/>
                <w:szCs w:val="24"/>
              </w:rPr>
              <w:t xml:space="preserve">软件和信息技术服务业</w:t>
            </w:r>
            <w:r/>
          </w:p>
        </w:tc>
        <w:tc>
          <w:tcPr>
            <w:tcBorders>
              <w:top w:val="single" w:color="000000" w:sz="2" w:space="0"/>
              <w:bottom w:val="single" w:color="000000" w:sz="2" w:space="0"/>
            </w:tcBorders>
            <w:tcW w:w="560" w:type="pct"/>
            <w:vAlign w:val="center"/>
            <w:textDirection w:val="lrTb"/>
            <w:noWrap w:val="false"/>
          </w:tcPr>
          <w:p>
            <w:pPr>
              <w:pStyle w:val="666"/>
              <w:jc w:val="center"/>
              <w:spacing w:line="400" w:lineRule="exact"/>
              <w:rPr>
                <w:bCs/>
                <w:sz w:val="24"/>
                <w:szCs w:val="24"/>
              </w:rPr>
            </w:pPr>
            <w:r>
              <w:rPr>
                <w:bCs/>
                <w:sz w:val="24"/>
                <w:szCs w:val="24"/>
              </w:rPr>
              <w:t xml:space="preserve">服务</w:t>
            </w:r>
            <w:r/>
          </w:p>
        </w:tc>
      </w:tr>
      <w:tr>
        <w:trPr>
          <w:trHeight w:val="597"/>
        </w:trPr>
        <w:tc>
          <w:tcPr>
            <w:tcBorders>
              <w:top w:val="single" w:color="000000" w:sz="2" w:space="0"/>
              <w:bottom w:val="single" w:color="000000" w:sz="2" w:space="0"/>
            </w:tcBorders>
            <w:tcW w:w="288" w:type="pct"/>
            <w:vAlign w:val="center"/>
            <w:textDirection w:val="lrTb"/>
            <w:noWrap w:val="false"/>
          </w:tcPr>
          <w:p>
            <w:pPr>
              <w:pStyle w:val="666"/>
              <w:jc w:val="center"/>
              <w:spacing w:line="400" w:lineRule="exact"/>
              <w:rPr>
                <w:bCs/>
                <w:sz w:val="24"/>
                <w:szCs w:val="24"/>
              </w:rPr>
            </w:pPr>
            <w:r>
              <w:rPr>
                <w:bCs/>
                <w:sz w:val="24"/>
                <w:szCs w:val="24"/>
              </w:rPr>
              <w:t xml:space="preserve">2</w:t>
            </w:r>
            <w:r/>
          </w:p>
        </w:tc>
        <w:tc>
          <w:tcPr>
            <w:tcBorders>
              <w:top w:val="single" w:color="000000" w:sz="2" w:space="0"/>
              <w:bottom w:val="single" w:color="000000" w:sz="2" w:space="0"/>
            </w:tcBorders>
            <w:tcW w:w="1383" w:type="pct"/>
            <w:vAlign w:val="center"/>
            <w:textDirection w:val="lrTb"/>
            <w:noWrap w:val="false"/>
          </w:tcPr>
          <w:p>
            <w:pPr>
              <w:pStyle w:val="666"/>
              <w:jc w:val="left"/>
              <w:spacing w:line="400" w:lineRule="exact"/>
              <w:rPr>
                <w:bCs/>
                <w:sz w:val="24"/>
                <w:szCs w:val="24"/>
              </w:rPr>
            </w:pPr>
            <w:r>
              <w:rPr>
                <w:bCs/>
                <w:sz w:val="24"/>
                <w:szCs w:val="24"/>
              </w:rPr>
              <w:t xml:space="preserve">预算管理一体化预算绩效（街道）板块</w:t>
            </w:r>
            <w:r/>
          </w:p>
        </w:tc>
        <w:tc>
          <w:tcPr>
            <w:tcBorders>
              <w:top w:val="single" w:color="000000" w:sz="2" w:space="0"/>
              <w:bottom w:val="single" w:color="000000" w:sz="2" w:space="0"/>
            </w:tcBorders>
            <w:tcW w:w="287" w:type="pct"/>
            <w:vAlign w:val="center"/>
            <w:textDirection w:val="lrTb"/>
            <w:noWrap w:val="false"/>
          </w:tcPr>
          <w:p>
            <w:pPr>
              <w:pStyle w:val="666"/>
              <w:jc w:val="center"/>
              <w:spacing w:line="400" w:lineRule="exact"/>
              <w:rPr>
                <w:bCs/>
                <w:sz w:val="24"/>
                <w:szCs w:val="24"/>
              </w:rPr>
            </w:pPr>
            <w:r>
              <w:rPr>
                <w:bCs/>
                <w:sz w:val="24"/>
                <w:szCs w:val="24"/>
              </w:rPr>
              <w:t xml:space="preserve">1</w:t>
            </w:r>
            <w:r/>
          </w:p>
        </w:tc>
        <w:tc>
          <w:tcPr>
            <w:tcBorders>
              <w:top w:val="single" w:color="000000" w:sz="2" w:space="0"/>
              <w:bottom w:val="single" w:color="000000" w:sz="2" w:space="0"/>
            </w:tcBorders>
            <w:tcW w:w="369" w:type="pct"/>
            <w:vAlign w:val="center"/>
            <w:textDirection w:val="lrTb"/>
            <w:noWrap w:val="false"/>
          </w:tcPr>
          <w:p>
            <w:pPr>
              <w:pStyle w:val="666"/>
              <w:jc w:val="center"/>
              <w:spacing w:line="400" w:lineRule="exact"/>
              <w:rPr>
                <w:bCs/>
                <w:sz w:val="24"/>
                <w:szCs w:val="24"/>
              </w:rPr>
            </w:pPr>
            <w:r>
              <w:rPr>
                <w:bCs/>
                <w:sz w:val="24"/>
                <w:szCs w:val="24"/>
              </w:rPr>
              <w:t xml:space="preserve">项</w:t>
            </w:r>
            <w:r/>
          </w:p>
        </w:tc>
        <w:tc>
          <w:tcPr>
            <w:tcBorders>
              <w:top w:val="single" w:color="000000" w:sz="2" w:space="0"/>
              <w:bottom w:val="single" w:color="000000" w:sz="2" w:space="0"/>
            </w:tcBorders>
            <w:tcW w:w="544" w:type="pct"/>
            <w:vAlign w:val="center"/>
            <w:textDirection w:val="lrTb"/>
            <w:noWrap w:val="false"/>
          </w:tcPr>
          <w:p>
            <w:pPr>
              <w:pStyle w:val="666"/>
              <w:jc w:val="center"/>
              <w:spacing w:line="400" w:lineRule="exact"/>
              <w:rPr>
                <w:bCs/>
                <w:sz w:val="24"/>
                <w:szCs w:val="24"/>
              </w:rPr>
            </w:pPr>
            <w:r>
              <w:rPr>
                <w:bCs/>
                <w:sz w:val="24"/>
                <w:szCs w:val="24"/>
              </w:rPr>
              <w:t xml:space="preserve">600000</w:t>
            </w:r>
            <w:r/>
          </w:p>
        </w:tc>
        <w:tc>
          <w:tcPr>
            <w:tcBorders>
              <w:top w:val="single" w:color="000000" w:sz="2" w:space="0"/>
              <w:bottom w:val="single" w:color="000000" w:sz="2" w:space="0"/>
            </w:tcBorders>
            <w:tcW w:w="549" w:type="pct"/>
            <w:vAlign w:val="center"/>
            <w:textDirection w:val="lrTb"/>
            <w:noWrap w:val="false"/>
          </w:tcPr>
          <w:p>
            <w:pPr>
              <w:pStyle w:val="666"/>
              <w:jc w:val="center"/>
              <w:spacing w:line="400" w:lineRule="exact"/>
              <w:rPr>
                <w:bCs/>
                <w:sz w:val="24"/>
                <w:szCs w:val="24"/>
              </w:rPr>
            </w:pPr>
            <w:r>
              <w:rPr>
                <w:rFonts w:hint="eastAsia"/>
                <w:bCs/>
                <w:sz w:val="24"/>
                <w:szCs w:val="24"/>
              </w:rPr>
              <w:t xml:space="preserve">/</w:t>
            </w:r>
            <w:r>
              <w:rPr>
                <w:bCs/>
                <w:sz w:val="24"/>
                <w:szCs w:val="24"/>
              </w:rPr>
            </w:r>
            <w:r/>
          </w:p>
        </w:tc>
        <w:tc>
          <w:tcPr>
            <w:tcBorders>
              <w:top w:val="single" w:color="000000" w:sz="2" w:space="0"/>
              <w:bottom w:val="single" w:color="000000" w:sz="2" w:space="0"/>
            </w:tcBorders>
            <w:tcW w:w="1019" w:type="pct"/>
            <w:vAlign w:val="center"/>
            <w:textDirection w:val="lrTb"/>
            <w:noWrap w:val="false"/>
          </w:tcPr>
          <w:p>
            <w:pPr>
              <w:pStyle w:val="666"/>
              <w:jc w:val="center"/>
              <w:spacing w:line="400" w:lineRule="exact"/>
              <w:rPr>
                <w:bCs/>
                <w:sz w:val="24"/>
                <w:szCs w:val="24"/>
              </w:rPr>
            </w:pPr>
            <w:r>
              <w:rPr>
                <w:bCs/>
                <w:sz w:val="24"/>
                <w:szCs w:val="24"/>
              </w:rPr>
              <w:t xml:space="preserve">软件和信息技术服务业</w:t>
            </w:r>
            <w:r/>
          </w:p>
        </w:tc>
        <w:tc>
          <w:tcPr>
            <w:tcBorders>
              <w:top w:val="single" w:color="000000" w:sz="2" w:space="0"/>
              <w:bottom w:val="single" w:color="000000" w:sz="2" w:space="0"/>
            </w:tcBorders>
            <w:tcW w:w="560" w:type="pct"/>
            <w:vAlign w:val="center"/>
            <w:textDirection w:val="lrTb"/>
            <w:noWrap w:val="false"/>
          </w:tcPr>
          <w:p>
            <w:pPr>
              <w:pStyle w:val="666"/>
              <w:jc w:val="center"/>
              <w:spacing w:line="400" w:lineRule="exact"/>
              <w:rPr>
                <w:bCs/>
                <w:sz w:val="24"/>
                <w:szCs w:val="24"/>
              </w:rPr>
            </w:pPr>
            <w:r>
              <w:rPr>
                <w:bCs/>
                <w:sz w:val="24"/>
                <w:szCs w:val="24"/>
              </w:rPr>
              <w:t xml:space="preserve">服务</w:t>
            </w:r>
            <w:r/>
          </w:p>
        </w:tc>
      </w:tr>
    </w:tbl>
    <w:p>
      <w:pPr>
        <w:pStyle w:val="666"/>
        <w:contextualSpacing/>
        <w:spacing w:line="400" w:lineRule="exact"/>
        <w:rPr>
          <w:rFonts w:hint="eastAsia" w:ascii="宋体" w:hAnsi="宋体"/>
          <w:b/>
          <w:bCs/>
          <w:sz w:val="24"/>
          <w:szCs w:val="28"/>
        </w:rPr>
      </w:pPr>
      <w:r>
        <w:rPr>
          <w:rFonts w:hint="eastAsia" w:ascii="宋体" w:hAnsi="宋体"/>
          <w:b/>
          <w:bCs/>
          <w:sz w:val="24"/>
          <w:szCs w:val="28"/>
        </w:rPr>
        <w:t xml:space="preserve">四、拟采购标的需要满足的技术、商务要求</w:t>
      </w:r>
      <w:r/>
    </w:p>
    <w:p>
      <w:pPr>
        <w:pStyle w:val="666"/>
        <w:contextualSpacing/>
        <w:ind w:firstLine="480"/>
        <w:spacing w:line="400" w:lineRule="exact"/>
        <w:rPr>
          <w:rFonts w:hint="eastAsia" w:ascii="宋体" w:hAnsi="宋体" w:cs="宋体"/>
          <w:bCs/>
          <w:sz w:val="24"/>
          <w:szCs w:val="24"/>
        </w:rPr>
        <w:outlineLvl w:val="1"/>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pStyle w:val="666"/>
        <w:contextualSpacing/>
        <w:ind w:firstLine="482"/>
        <w:spacing w:line="400" w:lineRule="exact"/>
        <w:rPr>
          <w:b/>
          <w:sz w:val="24"/>
          <w:szCs w:val="24"/>
        </w:rPr>
      </w:pPr>
      <w:r>
        <w:rPr>
          <w:b/>
          <w:sz w:val="24"/>
          <w:szCs w:val="24"/>
        </w:rPr>
        <w:t xml:space="preserve">1、财政综合业务平台及省市对接运维保障服务</w:t>
      </w:r>
      <w:r/>
    </w:p>
    <w:p>
      <w:pPr>
        <w:pStyle w:val="666"/>
        <w:contextualSpacing/>
        <w:ind w:firstLine="480"/>
        <w:spacing w:line="400" w:lineRule="exact"/>
        <w:rPr>
          <w:bCs/>
          <w:sz w:val="24"/>
          <w:szCs w:val="24"/>
        </w:rPr>
      </w:pPr>
      <w:r>
        <w:rPr>
          <w:rFonts w:hint="eastAsia"/>
          <w:bCs/>
          <w:sz w:val="24"/>
          <w:szCs w:val="24"/>
        </w:rPr>
        <w:t xml:space="preserve">（</w:t>
      </w:r>
      <w:r>
        <w:rPr>
          <w:bCs/>
          <w:sz w:val="24"/>
          <w:szCs w:val="24"/>
        </w:rPr>
        <w:t xml:space="preserve">1）省级债务系统驻场运维</w:t>
      </w:r>
      <w:r/>
    </w:p>
    <w:p>
      <w:pPr>
        <w:pStyle w:val="666"/>
        <w:contextualSpacing/>
        <w:ind w:firstLine="480"/>
        <w:spacing w:line="400" w:lineRule="exact"/>
        <w:rPr>
          <w:rFonts w:hint="eastAsia"/>
          <w:bCs/>
          <w:sz w:val="24"/>
          <w:szCs w:val="24"/>
        </w:rPr>
      </w:pPr>
      <w:r>
        <w:rPr>
          <w:rFonts w:hint="eastAsia"/>
          <w:bCs/>
          <w:sz w:val="24"/>
          <w:szCs w:val="24"/>
        </w:rPr>
        <w:t xml:space="preserve">为区级省级债务系统提供常态化驻场运维保障服务，全程配合江宁区财政局开展债务管理相关工作，保障债务系统稳定运行、数据规范精准、业务有序落地，具体运维要求如下：</w:t>
      </w:r>
      <w:r/>
    </w:p>
    <w:p>
      <w:pPr>
        <w:pStyle w:val="666"/>
        <w:contextualSpacing/>
        <w:ind w:firstLine="480"/>
        <w:spacing w:line="400" w:lineRule="exact"/>
        <w:rPr>
          <w:rFonts w:hint="eastAsia"/>
          <w:bCs/>
          <w:sz w:val="24"/>
          <w:szCs w:val="24"/>
        </w:rPr>
      </w:pPr>
      <w:r>
        <w:rPr>
          <w:rFonts w:hint="eastAsia"/>
          <w:bCs/>
          <w:sz w:val="24"/>
          <w:szCs w:val="24"/>
        </w:rPr>
        <w:t xml:space="preserve">常态化开展债务系统驻场运维工作，保障系统平稳、正常运转；配合</w:t>
      </w:r>
      <w:r>
        <w:rPr>
          <w:bCs/>
          <w:sz w:val="24"/>
          <w:szCs w:val="24"/>
        </w:rPr>
        <w:t xml:space="preserve">江宁区</w:t>
      </w:r>
      <w:r>
        <w:rPr>
          <w:rFonts w:hint="eastAsia"/>
          <w:bCs/>
          <w:sz w:val="24"/>
          <w:szCs w:val="24"/>
        </w:rPr>
        <w:t xml:space="preserve">财政部门开展各单位债务数据催报工作，通过多渠道督促相关单位按时完成数据填报，跟踪填报进度；协助解决填报过程中逻辑校验异常、数据错误等各类问题，规避填报偏差，确保全量债务数据合规、精准、统一；协助开展数据核对、汇总统计与深度分析，支撑财政债务监管、研判及日常管理工作。</w:t>
      </w:r>
      <w:r/>
    </w:p>
    <w:p>
      <w:pPr>
        <w:pStyle w:val="666"/>
        <w:contextualSpacing/>
        <w:ind w:firstLine="480"/>
        <w:spacing w:line="400" w:lineRule="exact"/>
        <w:rPr>
          <w:rFonts w:hint="eastAsia"/>
          <w:bCs/>
          <w:sz w:val="24"/>
          <w:szCs w:val="24"/>
        </w:rPr>
      </w:pPr>
      <w:r>
        <w:rPr>
          <w:rFonts w:hint="eastAsia"/>
          <w:bCs/>
          <w:sz w:val="24"/>
          <w:szCs w:val="24"/>
        </w:rPr>
        <w:t xml:space="preserve">（2）财政非税业务江宁区及外部单位接口运维服务</w:t>
      </w:r>
      <w:r/>
    </w:p>
    <w:p>
      <w:pPr>
        <w:pStyle w:val="666"/>
        <w:contextualSpacing/>
        <w:ind w:firstLine="480"/>
        <w:spacing w:line="400" w:lineRule="exact"/>
        <w:rPr>
          <w:rFonts w:hint="eastAsia"/>
          <w:bCs/>
          <w:sz w:val="24"/>
          <w:szCs w:val="24"/>
        </w:rPr>
      </w:pPr>
      <w:r>
        <w:rPr>
          <w:rFonts w:hint="eastAsia"/>
          <w:bCs/>
          <w:sz w:val="24"/>
          <w:szCs w:val="24"/>
        </w:rPr>
        <w:t xml:space="preserve">为江宁区财政局及各非税执收单位提供非税系统常态化运维</w:t>
      </w:r>
      <w:r>
        <w:rPr>
          <w:rFonts w:hint="eastAsia"/>
          <w:bCs/>
          <w:sz w:val="24"/>
          <w:szCs w:val="24"/>
        </w:rPr>
        <w:t xml:space="preserve">、外部接口及专项数据治理服务，保障全区非税收入收缴、电子票据管理、银行对账、专项收费治理等业务规范、安全、高效运转，具体运维要求如下：</w:t>
      </w:r>
      <w:r/>
    </w:p>
    <w:p>
      <w:pPr>
        <w:pStyle w:val="666"/>
        <w:contextualSpacing/>
        <w:ind w:firstLine="480"/>
        <w:spacing w:line="400" w:lineRule="exact"/>
        <w:rPr>
          <w:rFonts w:hint="eastAsia"/>
          <w:bCs/>
          <w:sz w:val="24"/>
          <w:szCs w:val="24"/>
        </w:rPr>
      </w:pPr>
      <w:r>
        <w:rPr>
          <w:rFonts w:hint="eastAsia"/>
          <w:bCs/>
          <w:sz w:val="24"/>
          <w:szCs w:val="24"/>
        </w:rPr>
        <w:t xml:space="preserve">按照财政票据及非税管理规范，建立全区非税系统基础信息动态维护机制，保障基础信息准确、完整、合规；配合财政科室开展非税日常对账工作，完成非税收入、国库资金、银行账务数据核对与接口异常排查，保障账账相符、数据闭环；协助各执收单位开展不明款查询、核对、规范补录等数据处理工作，统一操作口径与流程，解决日常数据异常问题，夯实非税账务数据基础。</w:t>
      </w:r>
      <w:r/>
    </w:p>
    <w:p>
      <w:pPr>
        <w:pStyle w:val="666"/>
        <w:contextualSpacing/>
        <w:ind w:firstLine="480"/>
        <w:spacing w:line="400" w:lineRule="exact"/>
        <w:rPr>
          <w:rFonts w:hint="eastAsia"/>
          <w:bCs/>
          <w:sz w:val="24"/>
          <w:szCs w:val="24"/>
        </w:rPr>
      </w:pPr>
      <w:r>
        <w:rPr>
          <w:rFonts w:hint="eastAsia"/>
          <w:bCs/>
          <w:sz w:val="24"/>
          <w:szCs w:val="24"/>
        </w:rPr>
        <w:t xml:space="preserve">（3）财税库联网国库支出无纸化处理系统（区本级、街道）板块运维服务</w:t>
      </w:r>
      <w:r/>
    </w:p>
    <w:p>
      <w:pPr>
        <w:pStyle w:val="666"/>
        <w:contextualSpacing/>
        <w:ind w:firstLine="480"/>
        <w:spacing w:line="400" w:lineRule="exact"/>
        <w:rPr>
          <w:rFonts w:hint="eastAsia"/>
          <w:bCs/>
          <w:sz w:val="24"/>
          <w:szCs w:val="24"/>
        </w:rPr>
      </w:pPr>
      <w:r>
        <w:rPr>
          <w:rFonts w:hint="eastAsia"/>
          <w:bCs/>
          <w:sz w:val="24"/>
          <w:szCs w:val="24"/>
        </w:rPr>
        <w:t xml:space="preserve">覆盖江宁区本级及14个街道园区全量业务范围，负责财税库联网国库支出无纸化系统常态化运维保障。全面支撑财库银三方对账、差错排查、数据核验等核心业务，保障人行金库数据精准、国库业务平稳高效运转。</w:t>
      </w:r>
      <w:r/>
    </w:p>
    <w:p>
      <w:pPr>
        <w:pStyle w:val="666"/>
        <w:contextualSpacing/>
        <w:ind w:firstLine="480"/>
        <w:spacing w:line="400" w:lineRule="exact"/>
        <w:rPr>
          <w:rFonts w:hint="eastAsia"/>
          <w:bCs/>
          <w:sz w:val="24"/>
          <w:szCs w:val="24"/>
        </w:rPr>
      </w:pPr>
      <w:r>
        <w:rPr>
          <w:rFonts w:hint="eastAsia"/>
          <w:bCs/>
          <w:sz w:val="24"/>
          <w:szCs w:val="24"/>
        </w:rPr>
        <w:t xml:space="preserve">（4）财政综合业务系统运维服务</w:t>
      </w:r>
      <w:r/>
    </w:p>
    <w:p>
      <w:pPr>
        <w:pStyle w:val="666"/>
        <w:contextualSpacing/>
        <w:ind w:firstLine="480"/>
        <w:spacing w:line="400" w:lineRule="exact"/>
        <w:rPr>
          <w:rFonts w:hint="eastAsia"/>
          <w:bCs/>
          <w:sz w:val="24"/>
          <w:szCs w:val="24"/>
        </w:rPr>
      </w:pPr>
      <w:r>
        <w:rPr>
          <w:rFonts w:hint="eastAsia"/>
          <w:bCs/>
          <w:sz w:val="24"/>
          <w:szCs w:val="24"/>
        </w:rPr>
        <w:t xml:space="preserve">保障系统持续稳定、高效运行，实现与全区所有财政业务系统无缝对接，规范接口管理、单位信息及权限管控，防范系统安全风险，全面提升财政信息化治理水平，包含系统接口运维服务，单位信息维护服务，用户与角色权限管理服务等内容。</w:t>
      </w:r>
      <w:r/>
    </w:p>
    <w:p>
      <w:pPr>
        <w:pStyle w:val="666"/>
        <w:contextualSpacing/>
        <w:ind w:firstLine="480"/>
        <w:spacing w:line="400" w:lineRule="exact"/>
        <w:rPr>
          <w:rFonts w:hint="eastAsia"/>
          <w:bCs/>
          <w:sz w:val="24"/>
          <w:szCs w:val="24"/>
        </w:rPr>
      </w:pPr>
      <w:r>
        <w:rPr>
          <w:rFonts w:hint="eastAsia"/>
          <w:bCs/>
          <w:sz w:val="24"/>
          <w:szCs w:val="24"/>
        </w:rPr>
        <w:t xml:space="preserve">（5）区本级单位银行账户资金管理功能运维服务</w:t>
      </w:r>
      <w:r>
        <w:rPr>
          <w:rFonts w:hint="eastAsia"/>
          <w:bCs/>
          <w:sz w:val="24"/>
          <w:szCs w:val="24"/>
        </w:rPr>
      </w:r>
      <w:r/>
    </w:p>
    <w:p>
      <w:pPr>
        <w:pStyle w:val="666"/>
        <w:contextualSpacing/>
        <w:ind w:firstLine="480"/>
        <w:spacing w:line="400" w:lineRule="exact"/>
        <w:rPr>
          <w:rFonts w:hint="eastAsia"/>
          <w:bCs/>
          <w:sz w:val="24"/>
          <w:szCs w:val="24"/>
        </w:rPr>
      </w:pPr>
      <w:r>
        <w:rPr>
          <w:rFonts w:hint="eastAsia"/>
          <w:bCs/>
          <w:sz w:val="24"/>
          <w:szCs w:val="24"/>
        </w:rPr>
        <w:t xml:space="preserve">区本级银行账户监管模块规范区本级各单位银行账户管理、强化财政资金监管、防范资金安全风险。区本级单位银行账户维护、账户资金填报、账户资金审核、资金汇总查询分析等模块运维保障。</w:t>
      </w:r>
      <w:r/>
    </w:p>
    <w:p>
      <w:pPr>
        <w:pStyle w:val="666"/>
        <w:contextualSpacing/>
        <w:ind w:firstLine="480"/>
        <w:spacing w:line="400" w:lineRule="exact"/>
        <w:rPr>
          <w:rFonts w:hint="eastAsia"/>
          <w:bCs/>
          <w:sz w:val="24"/>
          <w:szCs w:val="24"/>
        </w:rPr>
      </w:pPr>
      <w:r>
        <w:rPr>
          <w:rFonts w:hint="eastAsia"/>
          <w:bCs/>
          <w:sz w:val="24"/>
          <w:szCs w:val="24"/>
        </w:rPr>
        <w:t xml:space="preserve">（6）财政项目投资评审功能运维服务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负责财政项目投资评审功能模块常态化运维保障工作，持续保障系统功能稳定、高效运行，规范全区财政项目评审线上业务流程，优化评审工作机制，提升项目评审规范化、信息化工作质效。</w:t>
      </w:r>
      <w:r/>
    </w:p>
    <w:p>
      <w:pPr>
        <w:pStyle w:val="666"/>
        <w:contextualSpacing/>
        <w:ind w:firstLine="480"/>
        <w:spacing w:line="400" w:lineRule="exact"/>
        <w:rPr>
          <w:rFonts w:hint="eastAsia"/>
          <w:bCs/>
          <w:sz w:val="24"/>
          <w:szCs w:val="24"/>
        </w:rPr>
      </w:pPr>
      <w:r>
        <w:rPr>
          <w:rFonts w:hint="eastAsia"/>
          <w:bCs/>
          <w:sz w:val="24"/>
          <w:szCs w:val="24"/>
        </w:rPr>
        <w:t xml:space="preserve">（7）财源大数据分析功能运维服务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财源大数据分析模块常态化运维保障，统筹支撑企业财源整合、财源动态监控、数据统计查询、外部信息对接等核心业务。保障系统、数据库及外部接口安全稳定、高效运转，规范财源数据处理流程，精准支撑财政财源研判、风险防控与精细化管理工作。</w:t>
      </w:r>
      <w:r/>
    </w:p>
    <w:p>
      <w:pPr>
        <w:pStyle w:val="666"/>
        <w:contextualSpacing/>
        <w:ind w:firstLine="480"/>
        <w:spacing w:line="400" w:lineRule="exact"/>
        <w:rPr>
          <w:rFonts w:hint="eastAsia"/>
          <w:bCs/>
          <w:sz w:val="24"/>
          <w:szCs w:val="24"/>
        </w:rPr>
      </w:pPr>
      <w:r>
        <w:rPr>
          <w:rFonts w:hint="eastAsia"/>
          <w:bCs/>
          <w:sz w:val="24"/>
          <w:szCs w:val="24"/>
        </w:rPr>
        <w:t xml:space="preserve">（8）指标管理功能运维服务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预算指标管理功能常态化运维保障，保障指标管理模块安全、稳定、高效运行。完善预算指标数据自动同步机制，实现预算指标全生命周期数据闭环回流，规范数据校验标准、搭建标准化执行台账，支撑财政指标精细化管理、动态分析与合规核查工作。</w:t>
      </w:r>
      <w:r/>
    </w:p>
    <w:p>
      <w:pPr>
        <w:pStyle w:val="666"/>
        <w:contextualSpacing/>
        <w:ind w:firstLine="480"/>
        <w:spacing w:line="400" w:lineRule="exact"/>
        <w:rPr>
          <w:rFonts w:hint="eastAsia"/>
          <w:bCs/>
          <w:sz w:val="24"/>
          <w:szCs w:val="24"/>
        </w:rPr>
      </w:pPr>
      <w:r>
        <w:rPr>
          <w:rFonts w:hint="eastAsia"/>
          <w:bCs/>
          <w:sz w:val="24"/>
          <w:szCs w:val="24"/>
        </w:rPr>
        <w:t xml:space="preserve">（9）用款计划管理功能运维服务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负责全区用款计划管理功能常态化运维保障，支撑综合、经建、债务、农业、企业、社保等各</w:t>
      </w:r>
      <w:r>
        <w:rPr>
          <w:rFonts w:hint="eastAsia"/>
          <w:bCs/>
          <w:sz w:val="24"/>
          <w:szCs w:val="24"/>
        </w:rPr>
        <w:t xml:space="preserve">业务科室专项资金规范化、全流程线上管控。保障用款计划申报、审核、预占、批复全流程安全高效运转，动态适配财政政策与业务管理要求，全面提升专项资金精细化管理水平。</w:t>
      </w:r>
      <w:r/>
    </w:p>
    <w:p>
      <w:pPr>
        <w:pStyle w:val="666"/>
        <w:contextualSpacing/>
        <w:ind w:firstLine="480"/>
        <w:spacing w:line="400" w:lineRule="exact"/>
        <w:rPr>
          <w:rFonts w:hint="eastAsia"/>
          <w:bCs/>
          <w:sz w:val="24"/>
          <w:szCs w:val="24"/>
        </w:rPr>
      </w:pPr>
      <w:r>
        <w:rPr>
          <w:rFonts w:hint="eastAsia"/>
          <w:bCs/>
          <w:sz w:val="24"/>
          <w:szCs w:val="24"/>
        </w:rPr>
        <w:t xml:space="preserve">（10）拨款管理功能运维服务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拨款管理功能常态化运维保障，规范社保、农业、水利、农保、涉农、粮食风险等各类专项资金拨付业务流程，保障专项资金拨付及时、精准、合规，落实专款专用管理要求，有效提升财政专项资金使用效益。</w:t>
      </w:r>
      <w:r/>
    </w:p>
    <w:p>
      <w:pPr>
        <w:pStyle w:val="666"/>
        <w:contextualSpacing/>
        <w:ind w:firstLine="480"/>
        <w:spacing w:line="400" w:lineRule="exact"/>
        <w:rPr>
          <w:rFonts w:hint="eastAsia"/>
          <w:bCs/>
          <w:sz w:val="24"/>
          <w:szCs w:val="24"/>
        </w:rPr>
      </w:pPr>
      <w:r>
        <w:rPr>
          <w:rFonts w:hint="eastAsia"/>
          <w:bCs/>
          <w:sz w:val="24"/>
          <w:szCs w:val="24"/>
        </w:rPr>
        <w:t xml:space="preserve">（11）专户核算及电子报表功能运维服务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财政专户核算及电子报表模块常态化运维保障，保障系统安全、稳定、高效运行，规范财政专户账务核算全流程管理，优化账务处理及报表编制工作流程，全面提升专户账务管理规范化、精细化、高效化水平。</w:t>
      </w:r>
      <w:r/>
    </w:p>
    <w:p>
      <w:pPr>
        <w:pStyle w:val="666"/>
        <w:contextualSpacing/>
        <w:ind w:firstLine="480"/>
        <w:spacing w:line="400" w:lineRule="exact"/>
        <w:rPr>
          <w:rFonts w:hint="eastAsia"/>
          <w:bCs/>
          <w:sz w:val="24"/>
          <w:szCs w:val="24"/>
        </w:rPr>
      </w:pPr>
      <w:r>
        <w:rPr>
          <w:rFonts w:hint="eastAsia"/>
          <w:bCs/>
          <w:sz w:val="24"/>
          <w:szCs w:val="24"/>
        </w:rPr>
        <w:t xml:space="preserve">（12）工资统发管理功能运维服务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负责全区工资统发管理功能常态化运维保障，保障系统稳定、高效、合规运行，规范全区各类人员工资统发业务流程，动态适配薪资政策及日常管理调整需求，确保工资发放精准、规范、高效。</w:t>
      </w:r>
      <w:r/>
    </w:p>
    <w:p>
      <w:pPr>
        <w:pStyle w:val="666"/>
        <w:contextualSpacing/>
        <w:ind w:firstLine="480"/>
        <w:spacing w:line="400" w:lineRule="exact"/>
        <w:rPr>
          <w:rFonts w:hint="eastAsia"/>
          <w:bCs/>
          <w:color w:val="0000ff"/>
          <w:sz w:val="24"/>
          <w:szCs w:val="24"/>
        </w:rPr>
      </w:pPr>
      <w:r>
        <w:rPr>
          <w:rFonts w:hint="eastAsia"/>
          <w:bCs/>
          <w:sz w:val="24"/>
          <w:szCs w:val="24"/>
        </w:rPr>
        <w:t xml:space="preserve">（13）银行缴款接口运维服务</w:t>
      </w:r>
      <w:r>
        <w:rPr>
          <w:rFonts w:hint="eastAsia"/>
          <w:bCs/>
          <w:color w:val="0000ff"/>
          <w:sz w:val="24"/>
          <w:szCs w:val="24"/>
        </w:rPr>
      </w:r>
      <w:r/>
    </w:p>
    <w:p>
      <w:pPr>
        <w:pStyle w:val="666"/>
        <w:contextualSpacing/>
        <w:ind w:firstLine="480"/>
        <w:spacing w:line="400" w:lineRule="exact"/>
        <w:rPr>
          <w:rFonts w:hint="eastAsia"/>
          <w:bCs/>
          <w:sz w:val="24"/>
          <w:szCs w:val="24"/>
        </w:rPr>
      </w:pPr>
      <w:r>
        <w:rPr>
          <w:rFonts w:hint="eastAsia"/>
          <w:bCs/>
          <w:sz w:val="24"/>
          <w:szCs w:val="24"/>
        </w:rPr>
        <w:t xml:space="preserve">负责江宁区财政银行缴款接口常态化运维保障工作，以保障接口运行顺畅可靠、网络连接稳定、业务数据精准及时为核心，支撑非税缴款、工资代发、专户拨款等各类银财对接业务合规高效开展</w:t>
      </w:r>
      <w:r>
        <w:rPr>
          <w:rFonts w:hint="eastAsia"/>
          <w:bCs/>
          <w:sz w:val="24"/>
          <w:szCs w:val="24"/>
        </w:rPr>
        <w:t xml:space="preserve">，保障全区财政银行业务闭环有序运转。</w:t>
      </w:r>
      <w:r/>
    </w:p>
    <w:p>
      <w:pPr>
        <w:pStyle w:val="666"/>
        <w:contextualSpacing/>
        <w:ind w:firstLine="480"/>
        <w:spacing w:line="400" w:lineRule="exact"/>
        <w:rPr>
          <w:bCs/>
          <w:sz w:val="24"/>
          <w:szCs w:val="24"/>
        </w:rPr>
      </w:pPr>
      <w:r>
        <w:rPr>
          <w:rFonts w:hint="eastAsia"/>
          <w:bCs/>
          <w:sz w:val="24"/>
          <w:szCs w:val="24"/>
        </w:rPr>
        <w:t xml:space="preserve">（</w:t>
      </w:r>
      <w:r>
        <w:rPr>
          <w:bCs/>
          <w:sz w:val="24"/>
          <w:szCs w:val="24"/>
        </w:rPr>
        <w:t xml:space="preserve">14）公用经费、人员经费预算编制调整功能运维服务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公用经费、人员经费预算编制及调整功能常态化运维保障，保障系统功能稳定高效运行，配合完成年初预算批复数据规整导入、月度工资数据同步校验，动态适配预算调整业务需求，确保经费预算数据完整、精准、可溯，支撑全区经费预算编制与调整工作规范化开展。</w:t>
      </w:r>
      <w:r/>
    </w:p>
    <w:p>
      <w:pPr>
        <w:pStyle w:val="666"/>
        <w:contextualSpacing/>
        <w:ind w:firstLine="480"/>
        <w:spacing w:line="400" w:lineRule="exact"/>
        <w:rPr>
          <w:rFonts w:hint="eastAsia"/>
          <w:bCs/>
          <w:sz w:val="24"/>
          <w:szCs w:val="24"/>
        </w:rPr>
      </w:pPr>
      <w:r>
        <w:rPr>
          <w:rFonts w:hint="eastAsia"/>
          <w:bCs/>
          <w:sz w:val="24"/>
          <w:szCs w:val="24"/>
        </w:rPr>
        <w:t xml:space="preserve">（15）财政电子发票查验功能运维服务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负责财政电子发票查验功能常态化运维保障。完善电子票据验真、验重及数字化归档机制，保障电子发票查验业务安全、规范、高效开展，实现电子票据数据完整、全程可追溯、存储安全。</w:t>
      </w:r>
      <w:r/>
    </w:p>
    <w:p>
      <w:pPr>
        <w:pStyle w:val="666"/>
        <w:contextualSpacing/>
        <w:ind w:firstLine="480"/>
        <w:spacing w:line="400" w:lineRule="exact"/>
        <w:rPr>
          <w:rFonts w:hint="eastAsia"/>
          <w:bCs/>
          <w:sz w:val="24"/>
          <w:szCs w:val="24"/>
        </w:rPr>
      </w:pPr>
      <w:r>
        <w:rPr>
          <w:rFonts w:hint="eastAsia"/>
          <w:bCs/>
          <w:sz w:val="24"/>
          <w:szCs w:val="24"/>
        </w:rPr>
        <w:t xml:space="preserve">（16）人大联网监督接口运维服务</w:t>
      </w:r>
      <w:r/>
    </w:p>
    <w:p>
      <w:pPr>
        <w:pStyle w:val="666"/>
        <w:contextualSpacing/>
        <w:ind w:firstLine="480"/>
        <w:spacing w:line="400" w:lineRule="exact"/>
        <w:rPr>
          <w:rFonts w:hint="eastAsia"/>
          <w:bCs/>
          <w:sz w:val="24"/>
          <w:szCs w:val="24"/>
        </w:rPr>
      </w:pPr>
      <w:r>
        <w:rPr>
          <w:rFonts w:hint="eastAsia"/>
          <w:bCs/>
          <w:sz w:val="24"/>
          <w:szCs w:val="24"/>
        </w:rPr>
        <w:t xml:space="preserve">负责人大联网监督接口常态化运维保障，支撑财政与人大提案办理监督业务联动、数据互通。保障接口长期稳定、安全、高效运行，规范数据推送、校验、优化全流程管理，确保监督数据全面、精准、及时，满足人大联网监督工作规范化、高效化开展需求。</w:t>
      </w:r>
      <w:r/>
    </w:p>
    <w:p>
      <w:pPr>
        <w:pStyle w:val="666"/>
        <w:contextualSpacing/>
        <w:ind w:firstLine="480"/>
        <w:spacing w:line="400" w:lineRule="exact"/>
        <w:rPr>
          <w:rFonts w:hint="eastAsia"/>
          <w:bCs/>
          <w:color w:val="0000ff"/>
          <w:sz w:val="24"/>
          <w:szCs w:val="24"/>
        </w:rPr>
      </w:pPr>
      <w:r>
        <w:rPr>
          <w:rFonts w:hint="eastAsia"/>
          <w:bCs/>
          <w:sz w:val="24"/>
          <w:szCs w:val="24"/>
        </w:rPr>
        <w:t xml:space="preserve">（17）街道园区会计核算功能运维服务</w:t>
      </w:r>
      <w:r>
        <w:rPr>
          <w:rFonts w:hint="eastAsia"/>
          <w:bCs/>
          <w:color w:val="0000ff"/>
          <w:sz w:val="24"/>
          <w:szCs w:val="24"/>
        </w:rPr>
      </w:r>
      <w:r/>
    </w:p>
    <w:p>
      <w:pPr>
        <w:pStyle w:val="666"/>
        <w:contextualSpacing/>
        <w:ind w:firstLine="480"/>
        <w:spacing w:line="400" w:lineRule="exact"/>
        <w:rPr>
          <w:rFonts w:hint="eastAsia"/>
          <w:bCs/>
          <w:sz w:val="24"/>
          <w:szCs w:val="24"/>
        </w:rPr>
      </w:pPr>
      <w:r>
        <w:rPr>
          <w:rFonts w:hint="eastAsia"/>
          <w:bCs/>
          <w:sz w:val="24"/>
          <w:szCs w:val="24"/>
        </w:rPr>
        <w:t xml:space="preserve">负责全区街道园区会计核算功能常态化运维保障，严格遵循政府会计制度规范，保障街道园区财务会计、预算会计双核算体系稳定合规运行，完善平行记账、智能凭证、账务处理、报表生成、系统对接等全流</w:t>
      </w:r>
      <w:r>
        <w:rPr>
          <w:rFonts w:hint="eastAsia"/>
          <w:bCs/>
          <w:sz w:val="24"/>
          <w:szCs w:val="24"/>
        </w:rPr>
        <w:t xml:space="preserve">程功能，夯实基层财政核算信息化支撑，保障基层账务处理规范、数据精准、业务高效落地。</w:t>
      </w:r>
      <w:r/>
    </w:p>
    <w:p>
      <w:pPr>
        <w:pStyle w:val="666"/>
        <w:contextualSpacing/>
        <w:ind w:firstLine="480"/>
        <w:spacing w:line="400" w:lineRule="exact"/>
        <w:rPr>
          <w:rFonts w:hint="eastAsia"/>
          <w:bCs/>
          <w:sz w:val="24"/>
          <w:szCs w:val="24"/>
        </w:rPr>
      </w:pPr>
      <w:r>
        <w:rPr>
          <w:rFonts w:hint="eastAsia"/>
          <w:bCs/>
          <w:sz w:val="24"/>
          <w:szCs w:val="24"/>
        </w:rPr>
        <w:t xml:space="preserve">（18）街道预算编制调整与结算功能运维服务</w:t>
      </w:r>
      <w:r/>
    </w:p>
    <w:p>
      <w:pPr>
        <w:pStyle w:val="666"/>
        <w:contextualSpacing/>
        <w:ind w:firstLine="480"/>
        <w:spacing w:line="400" w:lineRule="exact"/>
        <w:rPr>
          <w:rFonts w:hint="eastAsia"/>
          <w:bCs/>
          <w:color w:val="0000ff"/>
          <w:sz w:val="24"/>
          <w:szCs w:val="24"/>
        </w:rPr>
      </w:pPr>
      <w:r>
        <w:rPr>
          <w:rFonts w:hint="eastAsia"/>
          <w:bCs/>
          <w:sz w:val="24"/>
          <w:szCs w:val="24"/>
        </w:rPr>
        <w:t xml:space="preserve">负责街道预算编制调整与结算功能常态化运维保障，支撑街道财政收支、结余资金、可用财力精准测算、动态监控及趋势分析，覆盖税源统计、收支测算、财力缺口分析、预算执行监测等核心业务，为街道预算编制、资金调度、财政决策提供精准、稳定的数据支撑</w:t>
      </w:r>
      <w:r>
        <w:rPr>
          <w:rFonts w:hint="eastAsia"/>
          <w:bCs/>
          <w:color w:val="0000ff"/>
          <w:sz w:val="24"/>
          <w:szCs w:val="24"/>
        </w:rPr>
        <w:t xml:space="preserve">。</w:t>
      </w:r>
      <w:r/>
    </w:p>
    <w:p>
      <w:pPr>
        <w:pStyle w:val="666"/>
        <w:contextualSpacing/>
        <w:ind w:firstLine="480"/>
        <w:spacing w:line="400" w:lineRule="exact"/>
        <w:rPr>
          <w:rFonts w:hint="eastAsia"/>
          <w:bCs/>
          <w:sz w:val="24"/>
          <w:szCs w:val="24"/>
        </w:rPr>
      </w:pPr>
      <w:r>
        <w:rPr>
          <w:rFonts w:hint="eastAsia"/>
          <w:bCs/>
          <w:sz w:val="24"/>
          <w:szCs w:val="24"/>
        </w:rPr>
        <w:t xml:space="preserve">（19）街道单位银行账户管理功能运维服务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全区街道单位银行账户管理功能常态化运维保障。规范街道账户开立、变更、注销全流程电子化管理，强化账户资金动态监测、数据报送与统计分析能力，全面夯实街道层级银行账户与财政资金精细化、规范化、闭环化监管水平。</w:t>
      </w:r>
      <w:r/>
    </w:p>
    <w:p>
      <w:pPr>
        <w:pStyle w:val="666"/>
        <w:contextualSpacing/>
        <w:ind w:firstLine="480"/>
        <w:spacing w:line="400" w:lineRule="exact"/>
        <w:rPr>
          <w:rFonts w:hint="eastAsia"/>
          <w:bCs/>
          <w:sz w:val="24"/>
          <w:szCs w:val="24"/>
        </w:rPr>
      </w:pPr>
      <w:r>
        <w:rPr>
          <w:rFonts w:hint="eastAsia"/>
          <w:bCs/>
          <w:sz w:val="24"/>
          <w:szCs w:val="24"/>
        </w:rPr>
        <w:t xml:space="preserve">（20）社会保障管理系统运维服务</w:t>
      </w:r>
      <w:r/>
    </w:p>
    <w:p>
      <w:pPr>
        <w:pStyle w:val="666"/>
        <w:contextualSpacing/>
        <w:ind w:firstLine="480"/>
        <w:spacing w:line="400" w:lineRule="exact"/>
        <w:rPr>
          <w:rFonts w:hint="eastAsia"/>
          <w:bCs/>
          <w:sz w:val="24"/>
          <w:szCs w:val="24"/>
        </w:rPr>
      </w:pPr>
      <w:r>
        <w:rPr>
          <w:rFonts w:hint="eastAsia"/>
          <w:bCs/>
          <w:sz w:val="24"/>
          <w:szCs w:val="24"/>
        </w:rPr>
        <w:t xml:space="preserve">保障社保参保信息精准核对、人员待遇规范发放安全合规；保障社保比对系统服务器、数据库、应用服务稳定运行，做好日常巡检、日志监控、故障排查与版本维护，确保系统7×24小时持续可用。保障与社保经办机构、工资代发银行、社保基金专户银行等关键单位的专用网络连接稳定畅通及接口服务持续可用。确保通过接口传输的社保参保信息、人员待遇发放明细指令、基金拨付指令及状态回执等各项核心业务数据的准</w:t>
      </w:r>
      <w:r>
        <w:rPr>
          <w:rFonts w:hint="eastAsia"/>
          <w:bCs/>
          <w:sz w:val="24"/>
          <w:szCs w:val="24"/>
        </w:rPr>
        <w:t xml:space="preserve">确性、完整性与及时性。</w:t>
      </w:r>
      <w:r/>
    </w:p>
    <w:p>
      <w:pPr>
        <w:pStyle w:val="666"/>
        <w:contextualSpacing/>
        <w:ind w:firstLine="480"/>
        <w:spacing w:line="400" w:lineRule="exact"/>
        <w:rPr>
          <w:rFonts w:hint="eastAsia"/>
          <w:bCs/>
          <w:sz w:val="24"/>
          <w:szCs w:val="24"/>
        </w:rPr>
      </w:pPr>
      <w:r>
        <w:rPr>
          <w:rFonts w:hint="eastAsia"/>
          <w:bCs/>
          <w:sz w:val="24"/>
          <w:szCs w:val="24"/>
        </w:rPr>
        <w:t xml:space="preserve">（21）办文单综合管理功能运维服务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江宁区财政办公系统及数字化档案系统常态化运维保障。财政办公系统承载海量公文与协同业务数据，数字化档案系统存量多年份、多类型财政电子档案。本项运维需保障两大系统稳定、规范、高效运行，夯实财政办公数字化、档案规范化管理支撑。</w:t>
      </w:r>
      <w:r/>
    </w:p>
    <w:p>
      <w:pPr>
        <w:pStyle w:val="666"/>
        <w:contextualSpacing/>
        <w:ind w:firstLine="480"/>
        <w:spacing w:line="400" w:lineRule="exact"/>
        <w:rPr>
          <w:rFonts w:hint="eastAsia"/>
          <w:bCs/>
          <w:sz w:val="24"/>
          <w:szCs w:val="24"/>
        </w:rPr>
      </w:pPr>
      <w:r>
        <w:rPr>
          <w:rFonts w:hint="eastAsia"/>
          <w:bCs/>
          <w:sz w:val="24"/>
          <w:szCs w:val="24"/>
        </w:rPr>
        <w:t xml:space="preserve">（22）法治审核与公平竞争审查功能运维服务</w:t>
      </w:r>
      <w:r/>
    </w:p>
    <w:p>
      <w:pPr>
        <w:pStyle w:val="666"/>
        <w:contextualSpacing/>
        <w:ind w:firstLine="480"/>
        <w:spacing w:line="400" w:lineRule="exact"/>
        <w:rPr>
          <w:rFonts w:hint="eastAsia"/>
          <w:bCs/>
          <w:sz w:val="24"/>
          <w:szCs w:val="24"/>
        </w:rPr>
      </w:pPr>
      <w:r>
        <w:rPr>
          <w:rFonts w:hint="eastAsia"/>
          <w:bCs/>
          <w:sz w:val="24"/>
          <w:szCs w:val="24"/>
        </w:rPr>
        <w:t xml:space="preserve">负责法治审核与公平竞争审查系统的日常监控、故障处理、性能优化，保障系统稳定、高效运行，支撑规范性文件、涉法涉诉、合同（协议）审查业务的正常办理。根据《南京市江宁区财政局规范性文件管理办法》《江宁区财政局公平竞争审查制度实施方案》的最新要求，对系统内的审查流程、校验规则、权限配置进行维护更新，确保审查流程与政策要求一致。</w:t>
      </w:r>
      <w:r/>
    </w:p>
    <w:p>
      <w:pPr>
        <w:pStyle w:val="666"/>
        <w:contextualSpacing/>
        <w:ind w:firstLine="480"/>
        <w:spacing w:line="400" w:lineRule="exact"/>
        <w:rPr>
          <w:rFonts w:hint="eastAsia"/>
          <w:bCs/>
          <w:sz w:val="24"/>
          <w:szCs w:val="24"/>
        </w:rPr>
      </w:pPr>
      <w:r>
        <w:rPr>
          <w:rFonts w:hint="eastAsia"/>
          <w:bCs/>
          <w:sz w:val="24"/>
          <w:szCs w:val="24"/>
        </w:rPr>
        <w:t xml:space="preserve">（23）区法治财政规范化管理功能运维服务</w:t>
      </w:r>
      <w:r/>
    </w:p>
    <w:p>
      <w:pPr>
        <w:pStyle w:val="666"/>
        <w:contextualSpacing/>
        <w:ind w:firstLine="480"/>
        <w:spacing w:line="400" w:lineRule="exact"/>
        <w:rPr>
          <w:rFonts w:hint="eastAsia"/>
          <w:bCs/>
          <w:sz w:val="24"/>
          <w:szCs w:val="24"/>
        </w:rPr>
      </w:pPr>
      <w:r>
        <w:rPr>
          <w:rFonts w:hint="eastAsia"/>
          <w:bCs/>
          <w:sz w:val="24"/>
          <w:szCs w:val="24"/>
        </w:rPr>
        <w:t xml:space="preserve">保障区法治财政规范化管理功能稳定运行；保障规范性文件清理功能、省市区各级文件查询功能、清理报告功能，执法信息公示等功能正常运行；根据使用单位相关科室需求对系统进行个性化优化，根据财政管理需要定制化财政业务专题查询功能。</w:t>
      </w:r>
      <w:r/>
    </w:p>
    <w:p>
      <w:pPr>
        <w:pStyle w:val="666"/>
        <w:contextualSpacing/>
        <w:ind w:firstLine="480"/>
        <w:spacing w:line="400" w:lineRule="exact"/>
        <w:rPr>
          <w:rFonts w:hint="eastAsia"/>
          <w:bCs/>
          <w:sz w:val="24"/>
          <w:szCs w:val="24"/>
        </w:rPr>
      </w:pPr>
      <w:r>
        <w:rPr>
          <w:rFonts w:hint="eastAsia"/>
          <w:bCs/>
          <w:sz w:val="24"/>
          <w:szCs w:val="24"/>
        </w:rPr>
        <w:t xml:space="preserve">（24）全区各单位系统CA续签运维服务</w:t>
      </w:r>
      <w:r/>
    </w:p>
    <w:p>
      <w:pPr>
        <w:pStyle w:val="666"/>
        <w:contextualSpacing/>
        <w:ind w:firstLine="480"/>
        <w:spacing w:line="400" w:lineRule="exact"/>
        <w:rPr>
          <w:rFonts w:hint="eastAsia"/>
          <w:bCs/>
          <w:sz w:val="24"/>
          <w:szCs w:val="24"/>
        </w:rPr>
      </w:pPr>
      <w:r>
        <w:rPr>
          <w:rFonts w:hint="eastAsia"/>
          <w:bCs/>
          <w:sz w:val="24"/>
          <w:szCs w:val="24"/>
        </w:rPr>
        <w:t xml:space="preserve">依据《关于做好省预算管理一体化系统国产密码算法数字证书应用工作的通知》</w:t>
      </w:r>
      <w:r>
        <w:rPr>
          <w:rFonts w:hint="eastAsia"/>
          <w:bCs/>
          <w:sz w:val="24"/>
          <w:szCs w:val="24"/>
        </w:rPr>
        <w:t xml:space="preserve">（苏财办〔2021〕16号）及《关于更换政府采购管理交易系统CA数字证书和电子签章的通知》文件要求，为全区659预算单位开展预算一体化、苏采云系统CA证书新办、续期及U Key适配等配套实施服务，保障预算申报、资金拨付、政府采购、线上预决算等业务正常办理。</w:t>
      </w:r>
      <w:r/>
    </w:p>
    <w:p>
      <w:pPr>
        <w:pStyle w:val="666"/>
        <w:contextualSpacing/>
        <w:ind w:firstLine="480"/>
        <w:spacing w:line="400" w:lineRule="exact"/>
        <w:rPr>
          <w:rFonts w:hint="eastAsia"/>
          <w:bCs/>
          <w:sz w:val="24"/>
          <w:szCs w:val="24"/>
        </w:rPr>
      </w:pPr>
      <w:r>
        <w:rPr>
          <w:rFonts w:hint="eastAsia"/>
          <w:bCs/>
          <w:sz w:val="24"/>
          <w:szCs w:val="24"/>
        </w:rPr>
        <w:t xml:space="preserve">（25）财政部门视频会议保障运维服务</w:t>
      </w:r>
      <w:r/>
    </w:p>
    <w:p>
      <w:pPr>
        <w:pStyle w:val="666"/>
        <w:contextualSpacing/>
        <w:ind w:firstLine="480"/>
        <w:spacing w:line="400" w:lineRule="exact"/>
        <w:rPr>
          <w:bCs/>
          <w:sz w:val="24"/>
          <w:szCs w:val="24"/>
        </w:rPr>
      </w:pPr>
      <w:r>
        <w:rPr>
          <w:rFonts w:hint="eastAsia"/>
          <w:bCs/>
          <w:sz w:val="24"/>
          <w:szCs w:val="24"/>
        </w:rPr>
        <w:t xml:space="preserve">负责财政系统省、</w:t>
      </w:r>
      <w:r>
        <w:rPr>
          <w:rFonts w:hint="eastAsia"/>
          <w:bCs/>
          <w:sz w:val="24"/>
          <w:szCs w:val="24"/>
        </w:rPr>
        <w:t xml:space="preserve">市、区各级财政部门网络视频会议的联调、测试及全程保障工作，重点保障每年的预算管理、地方政府债务管控、基层“三保”等财政重点专项视频会议；完成会前设备调试、线路检测、信号对接、音视频优化等联调工作，及时排查处置各类设备、网络故障，确保各类专项调度、政策部署、业务培训会议在主要会议场地画面清晰、声音流畅、运行稳定；负责大楼内5间标准化会议室、局史馆、财政讲坛、图书室等会场的日常运维，适配办公、会务、展示、远程会议、学习交流等场景，全面支撑会议、培训、展览、研学等工作开展，切实保障财政各项业务、财政政策落地落实。</w:t>
      </w:r>
      <w:r>
        <w:rPr>
          <w:bCs/>
          <w:sz w:val="24"/>
          <w:szCs w:val="24"/>
        </w:rPr>
      </w:r>
      <w:r/>
    </w:p>
    <w:p>
      <w:pPr>
        <w:pStyle w:val="666"/>
        <w:contextualSpacing/>
        <w:ind w:firstLine="482"/>
        <w:spacing w:line="400" w:lineRule="exact"/>
        <w:rPr>
          <w:b/>
          <w:sz w:val="24"/>
          <w:szCs w:val="24"/>
        </w:rPr>
      </w:pPr>
      <w:r>
        <w:rPr>
          <w:rFonts w:hint="eastAsia"/>
          <w:b/>
          <w:sz w:val="24"/>
          <w:szCs w:val="24"/>
        </w:rPr>
        <w:t xml:space="preserve">2、</w:t>
      </w:r>
      <w:r>
        <w:rPr>
          <w:b/>
          <w:sz w:val="24"/>
          <w:szCs w:val="24"/>
        </w:rPr>
        <w:t xml:space="preserve">预算管理一体化预算绩效（街道）板块</w:t>
      </w:r>
      <w:r/>
    </w:p>
    <w:p>
      <w:pPr>
        <w:pStyle w:val="666"/>
        <w:contextualSpacing/>
        <w:ind w:firstLine="480"/>
        <w:spacing w:line="400" w:lineRule="exact"/>
        <w:rPr>
          <w:rFonts w:hint="eastAsia"/>
          <w:bCs/>
          <w:sz w:val="24"/>
          <w:szCs w:val="24"/>
        </w:rPr>
      </w:pPr>
      <w:r>
        <w:rPr>
          <w:rFonts w:hint="eastAsia"/>
          <w:bCs/>
          <w:sz w:val="24"/>
          <w:szCs w:val="24"/>
        </w:rPr>
        <w:t xml:space="preserve">面向全区14个街道园区开放预算绩效管理系统，实现基层绩效全流程数字化、规范化管理，完成与省预算管理一体化系统无缝对接，强化街道财政资金全链条绩效监管，保障基层</w:t>
      </w:r>
      <w:r>
        <w:rPr>
          <w:rFonts w:hint="eastAsia"/>
          <w:bCs/>
          <w:sz w:val="24"/>
          <w:szCs w:val="24"/>
        </w:rPr>
        <w:t xml:space="preserve">财政资金使用提质增效，具体运维要求如下：</w:t>
      </w:r>
      <w:r/>
    </w:p>
    <w:p>
      <w:pPr>
        <w:pStyle w:val="666"/>
        <w:contextualSpacing/>
        <w:ind w:firstLine="480"/>
        <w:spacing w:line="400" w:lineRule="exact"/>
        <w:rPr>
          <w:rFonts w:hint="eastAsia"/>
          <w:bCs/>
          <w:sz w:val="24"/>
          <w:szCs w:val="24"/>
        </w:rPr>
      </w:pPr>
      <w:r>
        <w:rPr>
          <w:rFonts w:hint="eastAsia"/>
          <w:bCs/>
          <w:sz w:val="24"/>
          <w:szCs w:val="24"/>
        </w:rPr>
        <w:t xml:space="preserve">（1）总体运维要求</w:t>
      </w:r>
      <w:r/>
    </w:p>
    <w:p>
      <w:pPr>
        <w:pStyle w:val="666"/>
        <w:contextualSpacing/>
        <w:ind w:firstLine="480"/>
        <w:spacing w:line="400" w:lineRule="exact"/>
        <w:rPr>
          <w:rFonts w:hint="eastAsia"/>
          <w:bCs/>
          <w:sz w:val="24"/>
          <w:szCs w:val="24"/>
        </w:rPr>
      </w:pPr>
      <w:r>
        <w:rPr>
          <w:rFonts w:hint="eastAsia"/>
          <w:bCs/>
          <w:sz w:val="24"/>
          <w:szCs w:val="24"/>
        </w:rPr>
        <w:t xml:space="preserve">依托现有区本级预算绩效体系，搭建、运维街道园区预算绩效专项板块，推动绩效管理与零基预算深度融合，实现街道项目绩效、部门整体绩效、重点资金绩效、绩效公开及省系统对接全业务闭环。保障系统安全合规、自主可控，贴合基层财政业务实际，满足政策规范与考核要求。</w:t>
      </w:r>
      <w:r/>
    </w:p>
    <w:p>
      <w:pPr>
        <w:pStyle w:val="666"/>
        <w:contextualSpacing/>
        <w:ind w:firstLine="480"/>
        <w:spacing w:line="400" w:lineRule="exact"/>
        <w:rPr>
          <w:rFonts w:hint="eastAsia"/>
          <w:bCs/>
          <w:sz w:val="24"/>
          <w:szCs w:val="24"/>
        </w:rPr>
      </w:pPr>
      <w:r>
        <w:rPr>
          <w:rFonts w:hint="eastAsia"/>
          <w:bCs/>
          <w:sz w:val="24"/>
          <w:szCs w:val="24"/>
        </w:rPr>
        <w:t xml:space="preserve">（2）项目绩效全周期管理运维</w:t>
      </w:r>
      <w:r/>
    </w:p>
    <w:p>
      <w:pPr>
        <w:pStyle w:val="666"/>
        <w:contextualSpacing/>
        <w:ind w:firstLine="480"/>
        <w:spacing w:line="400" w:lineRule="exact"/>
        <w:rPr>
          <w:rFonts w:hint="eastAsia"/>
          <w:bCs/>
          <w:sz w:val="24"/>
          <w:szCs w:val="24"/>
        </w:rPr>
      </w:pPr>
      <w:r>
        <w:rPr>
          <w:rFonts w:hint="eastAsia"/>
          <w:bCs/>
          <w:sz w:val="24"/>
          <w:szCs w:val="24"/>
        </w:rPr>
        <w:t xml:space="preserve">保障街道园区各类财政项目绩效目标申报、审</w:t>
      </w:r>
      <w:r>
        <w:rPr>
          <w:rFonts w:hint="eastAsia"/>
          <w:bCs/>
          <w:sz w:val="24"/>
          <w:szCs w:val="24"/>
        </w:rPr>
        <w:t xml:space="preserve">核、批复、调整、监控、自评全流程线上顺畅办理。维护标准化绩效目标模板，按项目类型规范产出、效益、满意度指标填报口径，支持佐证材料上传及线上多级审核批复，支撑“以绩效定预算”的零基预算管理要求。针对政策变动、客观条件变化等场景，保障绩效目标线上调整、全程留痕、与预算调整联动同步。系统自动对接资金支付数据，实现资金进度与绩效完成情况联动监控，配置分级预警、问题整改、数据汇总分析功能，自动生成监控报告。维护标准化自评模板，支撑项目完工后线上自评、多级审核备案，建立绩效自评数据库，实现项目绩效全流程可追溯、可管控。</w:t>
      </w:r>
      <w:r/>
    </w:p>
    <w:p>
      <w:pPr>
        <w:pStyle w:val="666"/>
        <w:contextualSpacing/>
        <w:ind w:firstLine="480"/>
        <w:spacing w:line="400" w:lineRule="exact"/>
        <w:rPr>
          <w:rFonts w:hint="eastAsia"/>
          <w:bCs/>
          <w:sz w:val="24"/>
          <w:szCs w:val="24"/>
        </w:rPr>
      </w:pPr>
      <w:r>
        <w:rPr>
          <w:rFonts w:hint="eastAsia"/>
          <w:bCs/>
          <w:sz w:val="24"/>
          <w:szCs w:val="24"/>
        </w:rPr>
        <w:t xml:space="preserve">（3）部门整体绩效全周期管理运维</w:t>
      </w:r>
      <w:r/>
    </w:p>
    <w:p>
      <w:pPr>
        <w:pStyle w:val="666"/>
        <w:contextualSpacing/>
        <w:ind w:firstLine="480"/>
        <w:spacing w:line="400" w:lineRule="exact"/>
        <w:rPr>
          <w:rFonts w:hint="eastAsia"/>
          <w:bCs/>
          <w:sz w:val="24"/>
          <w:szCs w:val="24"/>
        </w:rPr>
      </w:pPr>
      <w:r>
        <w:rPr>
          <w:rFonts w:hint="eastAsia"/>
          <w:bCs/>
          <w:sz w:val="24"/>
          <w:szCs w:val="24"/>
        </w:rPr>
        <w:t xml:space="preserve">支撑街道园区各部门整体绩效目标编报、审核、批复、动态调整、日常监控、年度自评全流程运维。适配部</w:t>
      </w:r>
      <w:r>
        <w:rPr>
          <w:rFonts w:hint="eastAsia"/>
          <w:bCs/>
          <w:sz w:val="24"/>
          <w:szCs w:val="24"/>
        </w:rPr>
        <w:t xml:space="preserve">门职能及年度重点工作，实现部门绩效目标与预算编制一体化同步申报、同步批复。支持按需发起绩效目标调整，规范线上审批流程，实现动态闭环管理。整合预算支出与业务数据，实现部门履职情况、预算执行、绩效目标联动监控，常态化支撑部门问题自查、整改提升。年度终了保障部门整体绩效自评工作有序开展，依托标准化自评模板完成自评、审核、复核、归档，形成部门绩效评价台账，作为部门履职考核及预算调整依据。</w:t>
      </w:r>
      <w:r/>
    </w:p>
    <w:p>
      <w:pPr>
        <w:pStyle w:val="666"/>
        <w:contextualSpacing/>
        <w:ind w:firstLine="480"/>
        <w:spacing w:line="400" w:lineRule="exact"/>
        <w:rPr>
          <w:rFonts w:hint="eastAsia"/>
          <w:bCs/>
          <w:sz w:val="24"/>
          <w:szCs w:val="24"/>
        </w:rPr>
      </w:pPr>
      <w:r>
        <w:rPr>
          <w:rFonts w:hint="eastAsia"/>
          <w:bCs/>
          <w:sz w:val="24"/>
          <w:szCs w:val="24"/>
        </w:rPr>
        <w:t xml:space="preserve">（4）重点绩效管理运维</w:t>
      </w:r>
      <w:r/>
    </w:p>
    <w:p>
      <w:pPr>
        <w:pStyle w:val="666"/>
        <w:contextualSpacing/>
        <w:ind w:firstLine="480"/>
        <w:spacing w:line="400" w:lineRule="exact"/>
        <w:rPr>
          <w:rFonts w:hint="eastAsia"/>
          <w:bCs/>
          <w:sz w:val="24"/>
          <w:szCs w:val="24"/>
        </w:rPr>
      </w:pPr>
      <w:r>
        <w:rPr>
          <w:rFonts w:hint="eastAsia"/>
          <w:bCs/>
          <w:sz w:val="24"/>
          <w:szCs w:val="24"/>
        </w:rPr>
        <w:t xml:space="preserve">针对街道民生保障、基础设施建设等重点领域、重点项目资金，搭建专项绩效管控模块。实现重点项目绩效优先监控、重点数据分析、专项评价管理，支撑财政部门线上开展评价方案编制、数据核查、报告编制等工作。保障绩效评价结果公示、查询功能正常，落实评价结果与后续预算安排、项目审批联动应用机制，强化重点财政资金绩效约束，提升资金使用效益。</w:t>
      </w:r>
      <w:r/>
    </w:p>
    <w:p>
      <w:pPr>
        <w:pStyle w:val="666"/>
        <w:contextualSpacing/>
        <w:ind w:firstLine="480"/>
        <w:spacing w:line="400" w:lineRule="exact"/>
        <w:rPr>
          <w:rFonts w:hint="eastAsia"/>
          <w:bCs/>
          <w:sz w:val="24"/>
          <w:szCs w:val="24"/>
        </w:rPr>
      </w:pPr>
      <w:r>
        <w:rPr>
          <w:rFonts w:hint="eastAsia"/>
          <w:bCs/>
          <w:sz w:val="24"/>
          <w:szCs w:val="24"/>
        </w:rPr>
        <w:t xml:space="preserve">（5）绩效公开管理运维</w:t>
      </w:r>
      <w:r/>
    </w:p>
    <w:p>
      <w:pPr>
        <w:pStyle w:val="666"/>
        <w:contextualSpacing/>
        <w:ind w:firstLine="480"/>
        <w:spacing w:line="400" w:lineRule="exact"/>
        <w:rPr>
          <w:rFonts w:hint="eastAsia"/>
          <w:bCs/>
          <w:sz w:val="24"/>
          <w:szCs w:val="24"/>
        </w:rPr>
      </w:pPr>
      <w:r>
        <w:rPr>
          <w:rFonts w:hint="eastAsia"/>
          <w:bCs/>
          <w:sz w:val="24"/>
          <w:szCs w:val="24"/>
        </w:rPr>
        <w:t xml:space="preserve">维护系统绩效自动归集、一键公开功能，标准化生成绩效目标、自评报告等公开资料，保障公开内容真实、完整、合规。实现与省预决算公开统一平台对接、同步上传公示，支持各层级用户及社会公众查询监督，全面提升街道基层财政绩效管理透明度。</w:t>
      </w:r>
      <w:r/>
    </w:p>
    <w:p>
      <w:pPr>
        <w:pStyle w:val="666"/>
        <w:contextualSpacing/>
        <w:ind w:firstLine="480"/>
        <w:spacing w:line="400" w:lineRule="exact"/>
        <w:rPr>
          <w:rFonts w:hint="eastAsia"/>
          <w:bCs/>
          <w:sz w:val="24"/>
          <w:szCs w:val="24"/>
        </w:rPr>
      </w:pPr>
      <w:r>
        <w:rPr>
          <w:rFonts w:hint="eastAsia"/>
          <w:bCs/>
          <w:sz w:val="24"/>
          <w:szCs w:val="24"/>
        </w:rPr>
        <w:t xml:space="preserve">（6）省一体化系统专项对接运维</w:t>
      </w:r>
      <w:r/>
    </w:p>
    <w:p>
      <w:pPr>
        <w:pStyle w:val="666"/>
        <w:contextualSpacing/>
        <w:ind w:firstLine="480"/>
        <w:spacing w:line="400" w:lineRule="exact"/>
        <w:rPr>
          <w:bCs/>
          <w:sz w:val="24"/>
          <w:szCs w:val="24"/>
        </w:rPr>
      </w:pPr>
      <w:r>
        <w:rPr>
          <w:rFonts w:hint="eastAsia"/>
          <w:bCs/>
          <w:sz w:val="24"/>
          <w:szCs w:val="24"/>
        </w:rPr>
        <w:t xml:space="preserve">严格按照省级</w:t>
      </w:r>
      <w:r>
        <w:rPr>
          <w:rFonts w:hint="eastAsia"/>
          <w:bCs/>
          <w:sz w:val="24"/>
          <w:szCs w:val="24"/>
        </w:rPr>
        <w:t xml:space="preserve">系统技术规范与接口标准，完成街道绩效板块与省预算管理一体化系统对接运维。自动采集14个街道园区预算项目基础数据，搭建本地化绩效项目数据库，保障数据与省级系统一致。定时归集省级预算执行数据，实现项目资金数据与绩效数据自动关联匹配、同步更新。常态化适配省级接口迭代调整，保障数据传输稳定、精准、无偏差，补齐基层绩效监管盲区，实现区街两级预算绩效管理全覆盖、业务协同、数据互通。</w:t>
      </w:r>
      <w:r>
        <w:rPr>
          <w:bCs/>
          <w:sz w:val="24"/>
          <w:szCs w:val="24"/>
        </w:rPr>
      </w:r>
      <w:r/>
    </w:p>
    <w:p>
      <w:pPr>
        <w:pStyle w:val="666"/>
        <w:contextualSpacing/>
        <w:ind w:firstLine="480"/>
        <w:spacing w:line="400" w:lineRule="exact"/>
        <w:rPr>
          <w:rFonts w:hint="eastAsia" w:ascii="黑体" w:hAnsi="黑体" w:eastAsia="黑体" w:cs="黑体"/>
          <w:sz w:val="24"/>
          <w:szCs w:val="24"/>
        </w:rPr>
        <w:outlineLvl w:val="1"/>
      </w:pPr>
      <w:r>
        <w:rPr>
          <w:rFonts w:ascii="黑体" w:hAnsi="黑体" w:eastAsia="黑体" w:cs="黑体"/>
          <w:sz w:val="24"/>
          <w:szCs w:val="24"/>
        </w:rPr>
        <w:t xml:space="preserve">★</w:t>
      </w:r>
      <w:r>
        <w:rPr>
          <w:rFonts w:hint="eastAsia" w:ascii="黑体" w:hAnsi="黑体" w:eastAsia="黑体" w:cs="黑体"/>
          <w:sz w:val="24"/>
          <w:szCs w:val="24"/>
        </w:rPr>
        <w:t xml:space="preserve">（二）人员要求</w:t>
      </w:r>
      <w:r/>
    </w:p>
    <w:p>
      <w:pPr>
        <w:pStyle w:val="666"/>
        <w:ind w:firstLine="480"/>
        <w:spacing w:line="400" w:lineRule="exact"/>
        <w:rPr>
          <w:sz w:val="24"/>
        </w:rPr>
      </w:pPr>
      <w:r>
        <w:rPr>
          <w:sz w:val="24"/>
          <w:szCs w:val="24"/>
        </w:rPr>
        <w:t xml:space="preserve">供应商须组建专属驻场运维服务团队，全程为本项目提供区本级</w:t>
      </w:r>
      <w:r>
        <w:rPr>
          <w:rFonts w:hint="eastAsia"/>
          <w:sz w:val="24"/>
          <w:szCs w:val="24"/>
        </w:rPr>
        <w:t xml:space="preserve">+14</w:t>
      </w:r>
      <w:r>
        <w:rPr>
          <w:sz w:val="24"/>
          <w:szCs w:val="24"/>
        </w:rPr>
        <w:t xml:space="preserve">个街道园区全流程财政信息化运维服务，未经区</w:t>
      </w:r>
      <w:r>
        <w:rPr>
          <w:rFonts w:hint="eastAsia"/>
          <w:sz w:val="24"/>
          <w:szCs w:val="24"/>
        </w:rPr>
        <w:t xml:space="preserve">江宁区</w:t>
      </w:r>
      <w:r>
        <w:rPr>
          <w:sz w:val="24"/>
          <w:szCs w:val="24"/>
        </w:rPr>
        <w:t xml:space="preserve">财政局书面同意不得随意更换核心人员；如需更换，须提前15个工作日提交同等资质人员，经</w:t>
      </w:r>
      <w:r>
        <w:rPr>
          <w:rFonts w:hint="eastAsia"/>
          <w:sz w:val="24"/>
          <w:szCs w:val="24"/>
        </w:rPr>
        <w:t xml:space="preserve">江宁区</w:t>
      </w:r>
      <w:r>
        <w:rPr>
          <w:sz w:val="24"/>
          <w:szCs w:val="24"/>
        </w:rPr>
        <w:t xml:space="preserve">财政局审核通过后方可替换。</w:t>
      </w:r>
      <w:r>
        <w:rPr>
          <w:sz w:val="24"/>
        </w:rPr>
      </w:r>
      <w:r/>
    </w:p>
    <w:p>
      <w:pPr>
        <w:pStyle w:val="666"/>
        <w:ind w:left="360"/>
        <w:spacing w:line="400" w:lineRule="exact"/>
        <w:rPr>
          <w:sz w:val="24"/>
          <w:szCs w:val="24"/>
        </w:rPr>
      </w:pPr>
      <w:r>
        <w:rPr>
          <w:rFonts w:hint="eastAsia"/>
          <w:sz w:val="24"/>
          <w:szCs w:val="24"/>
        </w:rPr>
        <w:t xml:space="preserve">1、</w:t>
      </w:r>
      <w:r>
        <w:rPr>
          <w:sz w:val="24"/>
          <w:szCs w:val="24"/>
        </w:rPr>
        <w:t xml:space="preserve">项目经理及驻场运维服务要求</w:t>
      </w:r>
      <w:r/>
    </w:p>
    <w:p>
      <w:pPr>
        <w:pStyle w:val="666"/>
        <w:ind w:firstLine="480"/>
        <w:spacing w:line="400" w:lineRule="exact"/>
        <w:rPr>
          <w:sz w:val="24"/>
        </w:rPr>
      </w:pPr>
      <w:r>
        <w:rPr>
          <w:rFonts w:hint="eastAsia"/>
          <w:sz w:val="24"/>
          <w:szCs w:val="24"/>
        </w:rPr>
        <w:t xml:space="preserve">供应商</w:t>
      </w:r>
      <w:r>
        <w:rPr>
          <w:sz w:val="24"/>
          <w:szCs w:val="24"/>
        </w:rPr>
        <w:t xml:space="preserve">应为本项目配备专门的实施及驻场运维服务团队：项目经理1名，驻场一体化工程师和驻场安全工程师各1名（项目经理不得兼任驻场人员），远程技术支持人员不少于5名。</w:t>
      </w:r>
      <w:r>
        <w:rPr>
          <w:sz w:val="24"/>
        </w:rPr>
      </w:r>
      <w:r/>
    </w:p>
    <w:p>
      <w:pPr>
        <w:pStyle w:val="666"/>
        <w:ind w:firstLine="480"/>
        <w:spacing w:line="400" w:lineRule="exact"/>
        <w:rPr>
          <w:sz w:val="24"/>
        </w:rPr>
      </w:pPr>
      <w:r>
        <w:rPr>
          <w:rFonts w:hint="eastAsia"/>
          <w:sz w:val="24"/>
          <w:szCs w:val="24"/>
        </w:rPr>
        <w:t xml:space="preserve">供应商</w:t>
      </w:r>
      <w:r>
        <w:rPr>
          <w:sz w:val="24"/>
          <w:szCs w:val="24"/>
        </w:rPr>
        <w:t xml:space="preserve">投入的项目经理必须具备丰富的项目管理经验，精通《预算管理一体化业务规范》《预算管理一体化技术规范》等财政业务和财政投资评审、财源数据治理以及财政部门运作方式，同时具备较强的沟通协调和管理能力，能依据系统实</w:t>
      </w:r>
      <w:r>
        <w:rPr>
          <w:sz w:val="24"/>
          <w:szCs w:val="24"/>
        </w:rPr>
        <w:t xml:space="preserve">际使用单位要求提供合理的、高效的服务。</w:t>
      </w:r>
      <w:r>
        <w:rPr>
          <w:sz w:val="24"/>
        </w:rPr>
      </w:r>
      <w:r/>
    </w:p>
    <w:p>
      <w:pPr>
        <w:pStyle w:val="666"/>
        <w:ind w:firstLine="480"/>
        <w:spacing w:line="400" w:lineRule="exact"/>
        <w:rPr>
          <w:sz w:val="24"/>
        </w:rPr>
      </w:pPr>
      <w:r>
        <w:rPr>
          <w:rFonts w:hint="eastAsia"/>
          <w:sz w:val="24"/>
          <w:szCs w:val="24"/>
        </w:rPr>
        <w:t xml:space="preserve">供应商</w:t>
      </w:r>
      <w:r>
        <w:rPr>
          <w:sz w:val="24"/>
          <w:szCs w:val="24"/>
        </w:rPr>
        <w:t xml:space="preserve">为本项目拟投入驻场运维服务人员需熟悉并了解系统架构并具备专业的技术服务能力，精通《预算管理一体化业务规范》《预算管理一体化技术规范》和财政投资评审、财源数据治理及财政部门运作方式，能及时准确的为系统实际使用单位提供驻场运维服务。</w:t>
      </w:r>
      <w:r>
        <w:rPr>
          <w:sz w:val="24"/>
        </w:rPr>
      </w:r>
      <w:r/>
    </w:p>
    <w:p>
      <w:pPr>
        <w:pStyle w:val="666"/>
        <w:contextualSpacing/>
        <w:ind w:firstLine="480"/>
        <w:spacing w:line="400" w:lineRule="exact"/>
        <w:rPr>
          <w:rFonts w:ascii="黑体" w:hAnsi="黑体" w:eastAsia="黑体" w:cs="黑体"/>
          <w:sz w:val="24"/>
          <w:szCs w:val="24"/>
        </w:rPr>
        <w:outlineLvl w:val="1"/>
      </w:pPr>
      <w:r>
        <w:rPr>
          <w:rFonts w:ascii="黑体" w:hAnsi="黑体" w:eastAsia="黑体" w:cs="黑体"/>
          <w:sz w:val="24"/>
          <w:szCs w:val="24"/>
        </w:rPr>
        <w:t xml:space="preserve">★（三）整体服务要求</w:t>
      </w:r>
      <w:r/>
    </w:p>
    <w:p>
      <w:pPr>
        <w:pStyle w:val="666"/>
        <w:ind w:firstLine="480"/>
        <w:spacing w:line="400" w:lineRule="exact"/>
        <w:rPr>
          <w:sz w:val="24"/>
        </w:rPr>
      </w:pPr>
      <w:r>
        <w:rPr>
          <w:sz w:val="24"/>
          <w:szCs w:val="24"/>
        </w:rPr>
        <w:t xml:space="preserve">1、总体服务要求</w:t>
      </w:r>
      <w:r>
        <w:rPr>
          <w:sz w:val="24"/>
        </w:rPr>
      </w:r>
      <w:r/>
    </w:p>
    <w:p>
      <w:pPr>
        <w:pStyle w:val="666"/>
        <w:ind w:firstLine="480"/>
        <w:spacing w:line="400" w:lineRule="exact"/>
        <w:rPr>
          <w:sz w:val="24"/>
        </w:rPr>
      </w:pPr>
      <w:r>
        <w:rPr>
          <w:sz w:val="24"/>
          <w:szCs w:val="24"/>
        </w:rPr>
        <w:t xml:space="preserve">服务覆盖范围：区财政局各业务科室、区本级所有预算单位、14个街道园区财政所、全区659家预算单位；</w:t>
      </w:r>
      <w:r>
        <w:rPr>
          <w:sz w:val="24"/>
        </w:rPr>
      </w:r>
      <w:r/>
    </w:p>
    <w:p>
      <w:pPr>
        <w:pStyle w:val="666"/>
        <w:ind w:firstLine="480"/>
        <w:spacing w:line="400" w:lineRule="exact"/>
        <w:rPr>
          <w:sz w:val="24"/>
        </w:rPr>
      </w:pPr>
      <w:r>
        <w:rPr>
          <w:sz w:val="24"/>
          <w:szCs w:val="24"/>
        </w:rPr>
        <w:t xml:space="preserve">服务模式：驻场运维+远程7×24小时技术支持+现场上门处置+定期巡检+专项实施相结合；</w:t>
      </w:r>
      <w:r>
        <w:rPr>
          <w:sz w:val="24"/>
        </w:rPr>
      </w:r>
      <w:r/>
    </w:p>
    <w:p>
      <w:pPr>
        <w:pStyle w:val="666"/>
        <w:ind w:firstLine="480"/>
        <w:spacing w:line="400" w:lineRule="exact"/>
        <w:rPr>
          <w:sz w:val="24"/>
        </w:rPr>
      </w:pPr>
      <w:r>
        <w:rPr>
          <w:sz w:val="24"/>
          <w:szCs w:val="24"/>
        </w:rPr>
        <w:t xml:space="preserve">所有系统运维、接口对接、功能优化须兼容国产服务器、国产操作系统、国产数据库，满足信创适配要求。</w:t>
      </w:r>
      <w:r>
        <w:rPr>
          <w:sz w:val="24"/>
        </w:rPr>
      </w:r>
      <w:r/>
    </w:p>
    <w:p>
      <w:pPr>
        <w:pStyle w:val="666"/>
        <w:ind w:left="480"/>
        <w:spacing w:line="400" w:lineRule="exact"/>
        <w:rPr>
          <w:sz w:val="24"/>
        </w:rPr>
      </w:pPr>
      <w:r>
        <w:rPr>
          <w:rFonts w:hint="eastAsia"/>
          <w:sz w:val="24"/>
          <w:szCs w:val="24"/>
        </w:rPr>
        <w:t xml:space="preserve">2、</w:t>
      </w:r>
      <w:r>
        <w:rPr>
          <w:sz w:val="24"/>
          <w:szCs w:val="24"/>
        </w:rPr>
        <w:t xml:space="preserve">日常巡检运维服务要求</w:t>
      </w:r>
      <w:r>
        <w:rPr>
          <w:sz w:val="24"/>
        </w:rPr>
      </w:r>
      <w:r/>
    </w:p>
    <w:p>
      <w:pPr>
        <w:pStyle w:val="666"/>
        <w:ind w:firstLine="480"/>
        <w:spacing w:line="400" w:lineRule="exact"/>
        <w:rPr>
          <w:sz w:val="24"/>
        </w:rPr>
      </w:pPr>
      <w:r>
        <w:rPr>
          <w:sz w:val="24"/>
          <w:szCs w:val="24"/>
        </w:rPr>
        <w:t xml:space="preserve">每日巡检：核心业务系统（国库支付、社保、非税、债务、省一体化）每日后台巡检，监控服务状态、数据库连接、接口传输日志、报错信息，形成每日巡检台账；</w:t>
      </w:r>
      <w:r>
        <w:rPr>
          <w:sz w:val="24"/>
        </w:rPr>
      </w:r>
      <w:r/>
    </w:p>
    <w:p>
      <w:pPr>
        <w:pStyle w:val="666"/>
        <w:ind w:firstLine="480"/>
        <w:spacing w:line="400" w:lineRule="exact"/>
        <w:rPr>
          <w:sz w:val="24"/>
        </w:rPr>
      </w:pPr>
      <w:r>
        <w:rPr>
          <w:sz w:val="24"/>
          <w:szCs w:val="24"/>
        </w:rPr>
        <w:t xml:space="preserve">每周巡检：全区街道绩效板块、会计核算、银行账户监管、财源大数据模块全面巡检，梳理异常数据、未处置问题；</w:t>
      </w:r>
      <w:r>
        <w:rPr>
          <w:sz w:val="24"/>
        </w:rPr>
      </w:r>
      <w:r/>
    </w:p>
    <w:p>
      <w:pPr>
        <w:pStyle w:val="666"/>
        <w:ind w:firstLine="480"/>
        <w:spacing w:line="400" w:lineRule="exact"/>
        <w:rPr>
          <w:sz w:val="24"/>
        </w:rPr>
      </w:pPr>
      <w:r>
        <w:rPr>
          <w:sz w:val="24"/>
          <w:szCs w:val="24"/>
        </w:rPr>
        <w:t xml:space="preserve">月度巡检：所有财政业务系统、视频会议设备、CA证书到期预警、安全设备特征库检查，出具月度运维巡检报告提交</w:t>
      </w:r>
      <w:r>
        <w:rPr>
          <w:rFonts w:hint="eastAsia"/>
          <w:sz w:val="24"/>
          <w:szCs w:val="24"/>
        </w:rPr>
        <w:t xml:space="preserve">区财政局</w:t>
      </w:r>
      <w:r>
        <w:rPr>
          <w:sz w:val="24"/>
          <w:szCs w:val="24"/>
        </w:rPr>
        <w:t xml:space="preserve">。</w:t>
      </w:r>
      <w:r>
        <w:rPr>
          <w:sz w:val="24"/>
        </w:rPr>
      </w:r>
      <w:r/>
    </w:p>
    <w:p>
      <w:pPr>
        <w:pStyle w:val="666"/>
        <w:ind w:left="480"/>
        <w:spacing w:line="400" w:lineRule="exact"/>
        <w:rPr>
          <w:sz w:val="24"/>
        </w:rPr>
      </w:pPr>
      <w:r>
        <w:rPr>
          <w:rFonts w:hint="eastAsia"/>
          <w:sz w:val="24"/>
          <w:szCs w:val="24"/>
        </w:rPr>
        <w:t xml:space="preserve">3、</w:t>
      </w:r>
      <w:r>
        <w:rPr>
          <w:sz w:val="24"/>
          <w:szCs w:val="24"/>
        </w:rPr>
        <w:t xml:space="preserve">故障分级响应时限要求</w:t>
      </w:r>
      <w:r>
        <w:rPr>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7" w:type="dxa"/>
          <w:top w:w="17" w:type="dxa"/>
          <w:right w:w="17" w:type="dxa"/>
          <w:bottom w:w="17" w:type="dxa"/>
        </w:tblCellMar>
        <w:tblLook w:val="04A0" w:firstRow="1" w:lastRow="0" w:firstColumn="1" w:lastColumn="0" w:noHBand="0" w:noVBand="1"/>
      </w:tblPr>
      <w:tblGrid>
        <w:gridCol w:w="1293"/>
        <w:gridCol w:w="8493"/>
      </w:tblGrid>
      <w:tr>
        <w:trPr>
          <w:tblHeader/>
        </w:trPr>
        <w:tc>
          <w:tcPr>
            <w:tcW w:w="1293" w:type="dxa"/>
            <w:vAlign w:val="center"/>
            <w:textDirection w:val="lrTb"/>
            <w:noWrap w:val="false"/>
          </w:tcPr>
          <w:p>
            <w:pPr>
              <w:pStyle w:val="666"/>
              <w:jc w:val="center"/>
              <w:spacing w:line="400" w:lineRule="exact"/>
              <w:widowControl/>
              <w:rPr>
                <w:b/>
                <w:bCs/>
                <w:sz w:val="24"/>
                <w:szCs w:val="24"/>
              </w:rPr>
            </w:pPr>
            <w:r>
              <w:rPr>
                <w:b/>
                <w:bCs/>
                <w:sz w:val="24"/>
                <w:szCs w:val="24"/>
                <w:lang w:bidi="ar"/>
              </w:rPr>
              <w:t xml:space="preserve">故障等</w:t>
            </w:r>
            <w:r>
              <w:rPr>
                <w:b/>
                <w:bCs/>
                <w:sz w:val="24"/>
                <w:szCs w:val="24"/>
                <w:lang w:bidi="ar"/>
              </w:rPr>
              <w:t xml:space="preserve">级</w:t>
            </w:r>
            <w:r>
              <w:rPr>
                <w:b/>
                <w:bCs/>
                <w:sz w:val="24"/>
                <w:szCs w:val="24"/>
              </w:rPr>
            </w:r>
            <w:r/>
          </w:p>
        </w:tc>
        <w:tc>
          <w:tcPr>
            <w:tcW w:w="8493" w:type="dxa"/>
            <w:vAlign w:val="center"/>
            <w:textDirection w:val="lrTb"/>
            <w:noWrap w:val="false"/>
          </w:tcPr>
          <w:p>
            <w:pPr>
              <w:pStyle w:val="666"/>
              <w:jc w:val="center"/>
              <w:spacing w:line="400" w:lineRule="exact"/>
              <w:widowControl/>
              <w:rPr>
                <w:b/>
                <w:bCs/>
                <w:sz w:val="24"/>
                <w:szCs w:val="24"/>
              </w:rPr>
            </w:pPr>
            <w:r>
              <w:rPr>
                <w:b/>
                <w:bCs/>
                <w:sz w:val="24"/>
                <w:szCs w:val="24"/>
                <w:lang w:bidi="ar"/>
              </w:rPr>
              <w:t xml:space="preserve">界定标准</w:t>
            </w:r>
            <w:r>
              <w:rPr>
                <w:b/>
                <w:bCs/>
                <w:sz w:val="24"/>
                <w:szCs w:val="24"/>
              </w:rPr>
            </w:r>
            <w:r/>
          </w:p>
        </w:tc>
      </w:tr>
      <w:tr>
        <w:trPr/>
        <w:tc>
          <w:tcPr>
            <w:tcW w:w="1293" w:type="dxa"/>
            <w:vAlign w:val="center"/>
            <w:textDirection w:val="lrTb"/>
            <w:noWrap w:val="false"/>
          </w:tcPr>
          <w:p>
            <w:pPr>
              <w:pStyle w:val="666"/>
              <w:jc w:val="center"/>
              <w:spacing w:line="400" w:lineRule="exact"/>
              <w:widowControl/>
              <w:rPr>
                <w:sz w:val="24"/>
                <w:szCs w:val="24"/>
              </w:rPr>
            </w:pPr>
            <w:r>
              <w:rPr>
                <w:sz w:val="24"/>
                <w:szCs w:val="24"/>
                <w:lang w:bidi="ar"/>
              </w:rPr>
              <w:t xml:space="preserve">一级故障（紧急）</w:t>
            </w:r>
            <w:r>
              <w:rPr>
                <w:sz w:val="24"/>
                <w:szCs w:val="24"/>
              </w:rPr>
            </w:r>
            <w:r/>
          </w:p>
        </w:tc>
        <w:tc>
          <w:tcPr>
            <w:tcW w:w="8493" w:type="dxa"/>
            <w:vAlign w:val="center"/>
            <w:textDirection w:val="lrTb"/>
            <w:noWrap w:val="false"/>
          </w:tcPr>
          <w:p>
            <w:pPr>
              <w:pStyle w:val="666"/>
              <w:jc w:val="center"/>
              <w:spacing w:line="400" w:lineRule="exact"/>
              <w:widowControl/>
              <w:rPr>
                <w:sz w:val="24"/>
                <w:szCs w:val="24"/>
              </w:rPr>
            </w:pPr>
            <w:r>
              <w:rPr>
                <w:sz w:val="24"/>
                <w:szCs w:val="24"/>
                <w:lang w:bidi="ar"/>
              </w:rPr>
              <w:t xml:space="preserve">系统宕机、核心业务中断、大面积无法支付/无法访问等严重影响全局业务的情形</w:t>
            </w:r>
            <w:r>
              <w:rPr>
                <w:sz w:val="24"/>
                <w:szCs w:val="24"/>
              </w:rPr>
            </w:r>
            <w:r/>
          </w:p>
        </w:tc>
      </w:tr>
      <w:tr>
        <w:trPr/>
        <w:tc>
          <w:tcPr>
            <w:tcW w:w="1293" w:type="dxa"/>
            <w:vAlign w:val="center"/>
            <w:textDirection w:val="lrTb"/>
            <w:noWrap w:val="false"/>
          </w:tcPr>
          <w:p>
            <w:pPr>
              <w:pStyle w:val="666"/>
              <w:jc w:val="center"/>
              <w:spacing w:line="400" w:lineRule="exact"/>
              <w:widowControl/>
              <w:rPr>
                <w:sz w:val="24"/>
                <w:szCs w:val="24"/>
              </w:rPr>
            </w:pPr>
            <w:r>
              <w:rPr>
                <w:sz w:val="24"/>
                <w:szCs w:val="24"/>
                <w:lang w:bidi="ar"/>
              </w:rPr>
              <w:t xml:space="preserve">二级故障（严重）</w:t>
            </w:r>
            <w:r>
              <w:rPr>
                <w:sz w:val="24"/>
                <w:szCs w:val="24"/>
              </w:rPr>
            </w:r>
            <w:r/>
          </w:p>
        </w:tc>
        <w:tc>
          <w:tcPr>
            <w:tcW w:w="8493" w:type="dxa"/>
            <w:vAlign w:val="center"/>
            <w:textDirection w:val="lrTb"/>
            <w:noWrap w:val="false"/>
          </w:tcPr>
          <w:p>
            <w:pPr>
              <w:pStyle w:val="666"/>
              <w:jc w:val="center"/>
              <w:spacing w:line="400" w:lineRule="exact"/>
              <w:widowControl/>
              <w:rPr>
                <w:sz w:val="24"/>
                <w:szCs w:val="24"/>
              </w:rPr>
            </w:pPr>
            <w:r>
              <w:rPr>
                <w:sz w:val="24"/>
                <w:szCs w:val="24"/>
                <w:lang w:bidi="ar"/>
              </w:rPr>
              <w:t xml:space="preserve">单一模块功能异常、部分单位业务受阻，但未影响全局业务的情形</w:t>
            </w:r>
            <w:r>
              <w:rPr>
                <w:sz w:val="24"/>
                <w:szCs w:val="24"/>
              </w:rPr>
            </w:r>
            <w:r/>
          </w:p>
        </w:tc>
      </w:tr>
      <w:tr>
        <w:trPr/>
        <w:tc>
          <w:tcPr>
            <w:tcW w:w="1293" w:type="dxa"/>
            <w:vAlign w:val="center"/>
            <w:textDirection w:val="lrTb"/>
            <w:noWrap w:val="false"/>
          </w:tcPr>
          <w:p>
            <w:pPr>
              <w:pStyle w:val="666"/>
              <w:jc w:val="center"/>
              <w:spacing w:line="400" w:lineRule="exact"/>
              <w:widowControl/>
              <w:rPr>
                <w:sz w:val="24"/>
                <w:szCs w:val="24"/>
              </w:rPr>
            </w:pPr>
            <w:r>
              <w:rPr>
                <w:sz w:val="24"/>
                <w:szCs w:val="24"/>
                <w:lang w:bidi="ar"/>
              </w:rPr>
              <w:t xml:space="preserve">三级故障（一般）</w:t>
            </w:r>
            <w:r>
              <w:rPr>
                <w:sz w:val="24"/>
                <w:szCs w:val="24"/>
              </w:rPr>
            </w:r>
            <w:r/>
          </w:p>
        </w:tc>
        <w:tc>
          <w:tcPr>
            <w:tcW w:w="8493" w:type="dxa"/>
            <w:vAlign w:val="center"/>
            <w:textDirection w:val="lrTb"/>
            <w:noWrap w:val="false"/>
          </w:tcPr>
          <w:p>
            <w:pPr>
              <w:pStyle w:val="666"/>
              <w:jc w:val="center"/>
              <w:spacing w:line="400" w:lineRule="exact"/>
              <w:widowControl/>
              <w:rPr>
                <w:sz w:val="24"/>
                <w:szCs w:val="24"/>
              </w:rPr>
            </w:pPr>
            <w:r>
              <w:rPr>
                <w:sz w:val="24"/>
                <w:szCs w:val="24"/>
                <w:lang w:bidi="ar"/>
              </w:rPr>
              <w:t xml:space="preserve">系统操作咨询、单一用户使用问题等不影响业务连续性的情形</w:t>
            </w:r>
            <w:r>
              <w:rPr>
                <w:sz w:val="24"/>
                <w:szCs w:val="24"/>
              </w:rPr>
            </w:r>
            <w:r/>
          </w:p>
        </w:tc>
      </w:tr>
    </w:tbl>
    <w:p>
      <w:pPr>
        <w:pStyle w:val="666"/>
        <w:ind w:firstLine="480"/>
        <w:spacing w:line="400" w:lineRule="exact"/>
        <w:rPr>
          <w:sz w:val="24"/>
          <w:szCs w:val="24"/>
        </w:rPr>
      </w:pPr>
      <w:r>
        <w:rPr>
          <w:sz w:val="24"/>
          <w:szCs w:val="24"/>
        </w:rPr>
      </w:r>
      <w:r/>
    </w:p>
    <w:p>
      <w:pPr>
        <w:pStyle w:val="666"/>
        <w:ind w:firstLine="480"/>
        <w:spacing w:line="400" w:lineRule="exact"/>
        <w:rPr>
          <w:sz w:val="24"/>
        </w:rPr>
      </w:pPr>
      <w:r>
        <w:rPr>
          <w:sz w:val="24"/>
          <w:szCs w:val="24"/>
        </w:rPr>
        <w:t xml:space="preserve">一级故障：5钟内电话响应，30分钟内工程师抵达现场，2小时内恢复业务；无法即时修复的须提供临时替代方案，每超时1小时按合同总额0.5%扣减服务费；</w:t>
      </w:r>
      <w:r>
        <w:rPr>
          <w:sz w:val="24"/>
        </w:rPr>
      </w:r>
      <w:r/>
    </w:p>
    <w:p>
      <w:pPr>
        <w:pStyle w:val="666"/>
        <w:ind w:firstLine="480"/>
        <w:spacing w:line="400" w:lineRule="exact"/>
        <w:rPr>
          <w:sz w:val="24"/>
        </w:rPr>
      </w:pPr>
      <w:r>
        <w:rPr>
          <w:sz w:val="24"/>
          <w:szCs w:val="24"/>
        </w:rPr>
        <w:t xml:space="preserve">二级故障：10分钟响应，1小时内到场处置，4小时内解决；</w:t>
      </w:r>
      <w:r>
        <w:rPr>
          <w:sz w:val="24"/>
        </w:rPr>
      </w:r>
      <w:r/>
    </w:p>
    <w:p>
      <w:pPr>
        <w:pStyle w:val="666"/>
        <w:ind w:firstLine="480"/>
        <w:spacing w:line="400" w:lineRule="exact"/>
        <w:rPr>
          <w:sz w:val="24"/>
        </w:rPr>
      </w:pPr>
      <w:r>
        <w:rPr>
          <w:sz w:val="24"/>
          <w:szCs w:val="24"/>
        </w:rPr>
        <w:t xml:space="preserve">三级故障：20分钟响应，远程优先处置，当日内办结；需到场处置的24小时内抵达对应街道/单位；</w:t>
      </w:r>
      <w:r>
        <w:rPr>
          <w:sz w:val="24"/>
        </w:rPr>
      </w:r>
      <w:r/>
    </w:p>
    <w:p>
      <w:pPr>
        <w:pStyle w:val="666"/>
        <w:ind w:firstLine="480"/>
        <w:spacing w:line="400" w:lineRule="exact"/>
        <w:rPr>
          <w:sz w:val="24"/>
          <w:szCs w:val="24"/>
        </w:rPr>
      </w:pPr>
      <w:r>
        <w:rPr>
          <w:sz w:val="24"/>
          <w:szCs w:val="24"/>
        </w:rPr>
        <w:t xml:space="preserve">重大专项工作（预算编制、债务上报、年终结算、绩效自评、省级视频调度会）实行7×24小时专人值守，无休息时限。</w:t>
      </w:r>
      <w:r/>
    </w:p>
    <w:p>
      <w:pPr>
        <w:pStyle w:val="666"/>
        <w:ind w:left="480"/>
        <w:spacing w:line="400" w:lineRule="exact"/>
        <w:rPr>
          <w:sz w:val="24"/>
          <w:szCs w:val="24"/>
        </w:rPr>
      </w:pPr>
      <w:r>
        <w:rPr>
          <w:rFonts w:hint="eastAsia"/>
          <w:sz w:val="24"/>
          <w:szCs w:val="24"/>
        </w:rPr>
        <w:t xml:space="preserve">4、</w:t>
      </w:r>
      <w:r>
        <w:rPr>
          <w:sz w:val="24"/>
          <w:szCs w:val="24"/>
        </w:rPr>
        <w:t xml:space="preserve">应急保障机制</w:t>
      </w:r>
      <w:r/>
    </w:p>
    <w:p>
      <w:pPr>
        <w:pStyle w:val="666"/>
        <w:ind w:firstLine="480"/>
        <w:spacing w:line="400" w:lineRule="exact"/>
        <w:rPr>
          <w:sz w:val="24"/>
          <w:szCs w:val="24"/>
        </w:rPr>
      </w:pPr>
      <w:r>
        <w:rPr>
          <w:sz w:val="24"/>
          <w:szCs w:val="24"/>
        </w:rPr>
        <w:t xml:space="preserve">制定《财政系统重大故障应急预案》，包含数据崩溃、接口中断、病毒攻击、证书大面积失效、会议设备故障等场景，作为项目交付必备文档；</w:t>
      </w:r>
      <w:r/>
    </w:p>
    <w:p>
      <w:pPr>
        <w:pStyle w:val="666"/>
        <w:ind w:firstLine="480"/>
        <w:spacing w:line="400" w:lineRule="exact"/>
        <w:rPr>
          <w:rFonts w:hint="eastAsia"/>
          <w:sz w:val="24"/>
          <w:szCs w:val="24"/>
        </w:rPr>
      </w:pPr>
      <w:r>
        <w:rPr>
          <w:sz w:val="24"/>
          <w:szCs w:val="24"/>
        </w:rPr>
        <w:t xml:space="preserve">建立备用运维人员轮班机制，夜间、节假日故障有人兜底处置。</w:t>
      </w:r>
      <w:r>
        <w:rPr>
          <w:rFonts w:hint="eastAsia"/>
          <w:sz w:val="24"/>
          <w:szCs w:val="24"/>
        </w:rPr>
      </w:r>
      <w:r/>
    </w:p>
    <w:p>
      <w:pPr>
        <w:pStyle w:val="666"/>
        <w:contextualSpacing/>
        <w:ind w:firstLine="480"/>
        <w:spacing w:line="400" w:lineRule="exact"/>
        <w:rPr>
          <w:rFonts w:hint="eastAsia" w:ascii="黑体" w:hAnsi="黑体" w:eastAsia="黑体" w:cs="黑体"/>
          <w:sz w:val="24"/>
          <w:szCs w:val="24"/>
        </w:rPr>
        <w:outlineLvl w:val="1"/>
      </w:pPr>
      <w:r>
        <w:rPr>
          <w:rFonts w:hint="eastAsia" w:ascii="黑体" w:hAnsi="黑体" w:eastAsia="黑体" w:cs="黑体"/>
          <w:sz w:val="24"/>
          <w:szCs w:val="24"/>
        </w:rPr>
        <w:t xml:space="preserve">★</w:t>
      </w:r>
      <w:r>
        <w:rPr>
          <w:rFonts w:ascii="黑体" w:hAnsi="黑体" w:eastAsia="黑体" w:cs="黑体"/>
          <w:sz w:val="24"/>
          <w:szCs w:val="24"/>
        </w:rPr>
        <w:t xml:space="preserve">（四）商务要求</w:t>
      </w:r>
      <w:r>
        <w:rPr>
          <w:rFonts w:hint="eastAsia" w:ascii="黑体" w:hAnsi="黑体" w:eastAsia="黑体" w:cs="黑体"/>
          <w:sz w:val="24"/>
          <w:szCs w:val="24"/>
        </w:rPr>
      </w:r>
      <w:r/>
    </w:p>
    <w:p>
      <w:pPr>
        <w:pStyle w:val="666"/>
        <w:ind w:firstLine="480"/>
        <w:spacing w:line="400" w:lineRule="exact"/>
        <w:rPr>
          <w:sz w:val="24"/>
          <w:szCs w:val="24"/>
        </w:rPr>
      </w:pPr>
      <w:r>
        <w:rPr>
          <w:rFonts w:hint="eastAsia"/>
          <w:sz w:val="24"/>
          <w:szCs w:val="24"/>
        </w:rPr>
        <w:t xml:space="preserve">1、</w:t>
      </w:r>
      <w:r>
        <w:rPr>
          <w:sz w:val="24"/>
          <w:szCs w:val="24"/>
        </w:rPr>
        <w:t xml:space="preserve">报价要求</w:t>
      </w:r>
      <w:r/>
    </w:p>
    <w:p>
      <w:pPr>
        <w:pStyle w:val="666"/>
        <w:ind w:firstLine="480"/>
        <w:spacing w:line="400" w:lineRule="exact"/>
        <w:rPr>
          <w:sz w:val="24"/>
          <w:szCs w:val="24"/>
        </w:rPr>
      </w:pPr>
      <w:r>
        <w:rPr>
          <w:sz w:val="24"/>
          <w:szCs w:val="24"/>
        </w:rPr>
        <w:t xml:space="preserve">（1）报价应包含与本次采购项目有关的所有费用。包含但不限于人员、设备、安装、调试、验收、配套服务等所有含税费用</w:t>
      </w:r>
      <w:r>
        <w:rPr>
          <w:sz w:val="24"/>
          <w:szCs w:val="24"/>
        </w:rPr>
        <w:t xml:space="preserve">。同时，还应包含支付给员工的工资和国家强制缴纳的各种社会保障资金，以及供应商认为需要的其他费用等。</w:t>
      </w:r>
      <w:r/>
    </w:p>
    <w:p>
      <w:pPr>
        <w:pStyle w:val="666"/>
        <w:ind w:firstLine="480"/>
        <w:spacing w:line="400" w:lineRule="exact"/>
        <w:rPr>
          <w:sz w:val="24"/>
          <w:szCs w:val="24"/>
        </w:rPr>
      </w:pPr>
      <w:r>
        <w:rPr>
          <w:sz w:val="24"/>
          <w:szCs w:val="24"/>
        </w:rPr>
        <w:t xml:space="preserve">（2）供应商的任何错漏、优惠、竞争性报价不得作为减轻责任、减少服务、增加收费、降低服务质量的理由。</w:t>
      </w:r>
      <w:r/>
    </w:p>
    <w:p>
      <w:pPr>
        <w:pStyle w:val="666"/>
        <w:ind w:firstLine="480"/>
        <w:spacing w:line="400" w:lineRule="exact"/>
        <w:rPr>
          <w:bCs/>
          <w:color w:val="0000ff"/>
          <w:sz w:val="24"/>
          <w:szCs w:val="24"/>
        </w:rPr>
      </w:pPr>
      <w:r>
        <w:rPr>
          <w:sz w:val="24"/>
          <w:szCs w:val="24"/>
        </w:rPr>
        <w:t xml:space="preserve">（3）供应商报价除包含磋商文件中列明的项目外，还应包括保障服务正常运行应当具有的物资和服务，对服务正常运行应当具有的物资和服务理解不一致的以采购人理解为准。</w:t>
      </w:r>
      <w:r>
        <w:rPr>
          <w:bCs/>
          <w:color w:val="0000ff"/>
          <w:sz w:val="24"/>
          <w:szCs w:val="24"/>
        </w:rPr>
      </w:r>
      <w:r/>
    </w:p>
    <w:p>
      <w:pPr>
        <w:pStyle w:val="666"/>
        <w:ind w:firstLine="480"/>
        <w:spacing w:line="400" w:lineRule="exact"/>
        <w:rPr>
          <w:bCs/>
          <w:sz w:val="24"/>
          <w:szCs w:val="24"/>
        </w:rPr>
      </w:pPr>
      <w:r>
        <w:rPr>
          <w:rFonts w:hint="eastAsia"/>
          <w:bCs/>
          <w:sz w:val="24"/>
          <w:szCs w:val="24"/>
        </w:rPr>
        <w:t xml:space="preserve">2、</w:t>
      </w:r>
      <w:r>
        <w:rPr>
          <w:bCs/>
          <w:sz w:val="24"/>
          <w:szCs w:val="24"/>
        </w:rPr>
        <w:t xml:space="preserve">付款条件</w:t>
      </w:r>
      <w:r/>
    </w:p>
    <w:p>
      <w:pPr>
        <w:pStyle w:val="666"/>
        <w:ind w:firstLine="480"/>
        <w:spacing w:line="400" w:lineRule="exact"/>
        <w:rPr>
          <w:sz w:val="24"/>
          <w:szCs w:val="24"/>
        </w:rPr>
      </w:pPr>
      <w:r>
        <w:rPr>
          <w:sz w:val="24"/>
          <w:szCs w:val="24"/>
        </w:rPr>
        <w:t xml:space="preserve">以第三章合同文本要求为准。</w:t>
      </w:r>
      <w:r/>
    </w:p>
    <w:p>
      <w:pPr>
        <w:pStyle w:val="666"/>
        <w:ind w:firstLine="480"/>
        <w:spacing w:line="400" w:lineRule="exact"/>
        <w:rPr>
          <w:sz w:val="24"/>
          <w:szCs w:val="24"/>
        </w:rPr>
      </w:pPr>
      <w:r>
        <w:rPr>
          <w:rFonts w:hint="eastAsia"/>
          <w:sz w:val="24"/>
          <w:szCs w:val="24"/>
        </w:rPr>
        <w:t xml:space="preserve">3、</w:t>
      </w:r>
      <w:r>
        <w:rPr>
          <w:sz w:val="24"/>
          <w:szCs w:val="24"/>
        </w:rPr>
        <w:t xml:space="preserve">交付时间及地点</w:t>
      </w:r>
      <w:r/>
    </w:p>
    <w:p>
      <w:pPr>
        <w:pStyle w:val="666"/>
        <w:ind w:firstLine="480"/>
        <w:spacing w:line="400" w:lineRule="exact"/>
        <w:rPr>
          <w:sz w:val="24"/>
          <w:szCs w:val="24"/>
        </w:rPr>
      </w:pPr>
      <w:r>
        <w:rPr>
          <w:sz w:val="24"/>
          <w:szCs w:val="24"/>
        </w:rPr>
        <w:t xml:space="preserve">（1）</w:t>
      </w:r>
      <w:r>
        <w:rPr>
          <w:rFonts w:hint="eastAsia"/>
          <w:sz w:val="24"/>
          <w:szCs w:val="24"/>
        </w:rPr>
        <w:t xml:space="preserve">服务</w:t>
      </w:r>
      <w:r>
        <w:rPr>
          <w:sz w:val="24"/>
          <w:szCs w:val="24"/>
        </w:rPr>
        <w:t xml:space="preserve">时间：2026年10月1日至2027年9月30日。</w:t>
      </w:r>
      <w:r/>
    </w:p>
    <w:p>
      <w:pPr>
        <w:pStyle w:val="666"/>
        <w:ind w:firstLine="480"/>
        <w:spacing w:line="400" w:lineRule="exact"/>
        <w:rPr>
          <w:sz w:val="24"/>
          <w:szCs w:val="24"/>
        </w:rPr>
      </w:pPr>
      <w:r>
        <w:rPr>
          <w:sz w:val="24"/>
          <w:szCs w:val="24"/>
        </w:rPr>
        <w:t xml:space="preserve">（2）</w:t>
      </w:r>
      <w:r>
        <w:rPr>
          <w:rFonts w:hint="eastAsia"/>
          <w:sz w:val="24"/>
          <w:szCs w:val="24"/>
        </w:rPr>
        <w:t xml:space="preserve">服务</w:t>
      </w:r>
      <w:r>
        <w:rPr>
          <w:sz w:val="24"/>
          <w:szCs w:val="24"/>
        </w:rPr>
        <w:t xml:space="preserve">地点：采购人指定地点。</w:t>
      </w:r>
      <w:r/>
    </w:p>
    <w:p>
      <w:pPr>
        <w:pStyle w:val="666"/>
        <w:ind w:firstLine="480"/>
        <w:spacing w:line="400" w:lineRule="exact"/>
        <w:rPr>
          <w:sz w:val="24"/>
          <w:szCs w:val="24"/>
        </w:rPr>
      </w:pPr>
      <w:r>
        <w:rPr>
          <w:rFonts w:hint="eastAsia"/>
          <w:sz w:val="24"/>
          <w:szCs w:val="24"/>
        </w:rPr>
        <w:t xml:space="preserve">4、</w:t>
      </w:r>
      <w:r>
        <w:rPr>
          <w:sz w:val="24"/>
          <w:szCs w:val="24"/>
        </w:rPr>
        <w:t xml:space="preserve">履约保证金</w:t>
      </w:r>
      <w:r/>
    </w:p>
    <w:p>
      <w:pPr>
        <w:pStyle w:val="666"/>
        <w:ind w:firstLine="480"/>
        <w:spacing w:line="400" w:lineRule="exact"/>
        <w:rPr>
          <w:sz w:val="24"/>
          <w:szCs w:val="24"/>
        </w:rPr>
      </w:pPr>
      <w:r>
        <w:rPr>
          <w:sz w:val="24"/>
          <w:szCs w:val="24"/>
        </w:rPr>
        <w:t xml:space="preserve">以第三章合同文本内容为准。</w:t>
      </w:r>
      <w:r/>
    </w:p>
    <w:p>
      <w:pPr>
        <w:pStyle w:val="666"/>
        <w:ind w:firstLine="480"/>
        <w:spacing w:line="400" w:lineRule="exact"/>
        <w:rPr>
          <w:sz w:val="24"/>
          <w:szCs w:val="24"/>
        </w:rPr>
      </w:pPr>
      <w:r/>
      <w:bookmarkStart w:id="87" w:name="OLE_LINK1"/>
      <w:r>
        <w:rPr>
          <w:rFonts w:hint="eastAsia"/>
          <w:sz w:val="24"/>
          <w:szCs w:val="24"/>
        </w:rPr>
        <w:t xml:space="preserve">5、</w:t>
      </w:r>
      <w:r>
        <w:rPr>
          <w:sz w:val="24"/>
          <w:szCs w:val="24"/>
        </w:rPr>
        <w:t xml:space="preserve">其他要求</w:t>
      </w:r>
      <w:r/>
    </w:p>
    <w:p>
      <w:pPr>
        <w:pStyle w:val="666"/>
        <w:ind w:firstLine="480"/>
        <w:spacing w:line="400" w:lineRule="exact"/>
        <w:rPr>
          <w:sz w:val="24"/>
          <w:szCs w:val="24"/>
        </w:rPr>
      </w:pPr>
      <w:r/>
      <w:bookmarkEnd w:id="87"/>
      <w:r>
        <w:rPr>
          <w:sz w:val="24"/>
          <w:szCs w:val="24"/>
        </w:rPr>
        <w:t xml:space="preserve">磋商文件中要求提供证明材料的，签订合同时供应商应按磋商文件要求和响应文件响应内容提供相应证明材料原件供采购人核验，否则采购人将取消其成交资格。</w:t>
      </w:r>
      <w:r/>
    </w:p>
    <w:p>
      <w:pPr>
        <w:pStyle w:val="666"/>
        <w:ind w:firstLine="480"/>
        <w:spacing w:line="400" w:lineRule="exact"/>
        <w:rPr>
          <w:rFonts w:hint="eastAsia"/>
          <w:sz w:val="24"/>
          <w:szCs w:val="24"/>
        </w:rPr>
      </w:pPr>
      <w:r>
        <w:rPr>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rPr>
          <w:rFonts w:hint="eastAsia"/>
          <w:sz w:val="24"/>
          <w:szCs w:val="24"/>
        </w:rPr>
      </w:r>
      <w:r/>
    </w:p>
    <w:p>
      <w:pPr>
        <w:pStyle w:val="666"/>
        <w:contextualSpacing/>
        <w:ind w:firstLine="480"/>
        <w:spacing w:line="400" w:lineRule="exact"/>
        <w:rPr>
          <w:rFonts w:ascii="黑体" w:hAnsi="黑体" w:eastAsia="黑体" w:cs="黑体"/>
          <w:sz w:val="24"/>
          <w:szCs w:val="24"/>
        </w:rPr>
        <w:outlineLvl w:val="1"/>
      </w:pPr>
      <w:r>
        <w:rPr>
          <w:rFonts w:ascii="黑体" w:hAnsi="黑体" w:eastAsia="黑体" w:cs="黑体"/>
          <w:sz w:val="24"/>
          <w:szCs w:val="24"/>
        </w:rPr>
        <w:t xml:space="preserve">（</w:t>
      </w:r>
      <w:r>
        <w:rPr>
          <w:rFonts w:hint="eastAsia" w:ascii="黑体" w:hAnsi="黑体" w:eastAsia="黑体" w:cs="黑体"/>
          <w:sz w:val="24"/>
          <w:szCs w:val="24"/>
        </w:rPr>
        <w:t xml:space="preserve">五</w:t>
      </w:r>
      <w:r>
        <w:rPr>
          <w:rFonts w:ascii="黑体" w:hAnsi="黑体" w:eastAsia="黑体" w:cs="黑体"/>
          <w:sz w:val="24"/>
          <w:szCs w:val="24"/>
        </w:rPr>
        <w:t xml:space="preserve">）</w:t>
      </w:r>
      <w:r>
        <w:rPr>
          <w:rFonts w:hint="eastAsia" w:ascii="黑体" w:hAnsi="黑体" w:eastAsia="黑体" w:cs="黑体"/>
          <w:sz w:val="24"/>
          <w:szCs w:val="24"/>
        </w:rPr>
        <w:t xml:space="preserve">陈述</w:t>
      </w:r>
      <w:r>
        <w:rPr>
          <w:rFonts w:ascii="黑体" w:hAnsi="黑体" w:eastAsia="黑体" w:cs="黑体"/>
          <w:sz w:val="24"/>
          <w:szCs w:val="24"/>
        </w:rPr>
        <w:t xml:space="preserve">要求</w:t>
      </w:r>
      <w:r/>
    </w:p>
    <w:p>
      <w:pPr>
        <w:pStyle w:val="666"/>
        <w:ind w:firstLine="480"/>
        <w:spacing w:line="400" w:lineRule="exact"/>
        <w:rPr>
          <w:sz w:val="24"/>
          <w:szCs w:val="24"/>
        </w:rPr>
      </w:pPr>
      <w:r>
        <w:rPr>
          <w:rFonts w:hint="eastAsia"/>
          <w:sz w:val="24"/>
          <w:szCs w:val="24"/>
        </w:rPr>
        <w:t xml:space="preserve">1、</w:t>
      </w:r>
      <w:r>
        <w:rPr>
          <w:sz w:val="24"/>
          <w:szCs w:val="24"/>
        </w:rPr>
        <w:t xml:space="preserve">视频文件的格式为*.mp4或*.avi，供应商须将视频文件压缩为*.zi</w:t>
      </w:r>
      <w:r>
        <w:rPr>
          <w:sz w:val="24"/>
          <w:szCs w:val="24"/>
        </w:rPr>
        <w:t xml:space="preserve">p文件上传（单个文件不得大于50M，大于50M的需分段压缩，所有文件合计不得大于300M）。文件上传方式见苏采云系统操作指南，上传的演示视频将作为响应文件的组成部分。</w:t>
      </w:r>
      <w:r/>
    </w:p>
    <w:p>
      <w:pPr>
        <w:pStyle w:val="666"/>
        <w:ind w:firstLine="480"/>
        <w:spacing w:line="400" w:lineRule="exact"/>
        <w:rPr>
          <w:rFonts w:hint="eastAsia"/>
          <w:color w:val="0000ff"/>
          <w:sz w:val="24"/>
          <w:szCs w:val="24"/>
        </w:rPr>
      </w:pPr>
      <w:r>
        <w:rPr>
          <w:rFonts w:hint="eastAsia"/>
          <w:sz w:val="24"/>
          <w:szCs w:val="24"/>
        </w:rPr>
        <w:t xml:space="preserve">2、陈述</w:t>
      </w:r>
      <w:r>
        <w:rPr>
          <w:sz w:val="24"/>
          <w:szCs w:val="24"/>
        </w:rPr>
        <w:t xml:space="preserve">内容及演示时长详见</w:t>
      </w:r>
      <w:r>
        <w:rPr>
          <w:rFonts w:ascii="宋体" w:hAnsi="宋体"/>
          <w:sz w:val="24"/>
          <w:szCs w:val="24"/>
        </w:rPr>
        <w:t xml:space="preserve">“第五章 评审方法与评审标准”。</w:t>
      </w:r>
      <w:r>
        <w:rPr>
          <w:rFonts w:hint="eastAsia"/>
          <w:color w:val="0000ff"/>
          <w:sz w:val="24"/>
          <w:szCs w:val="24"/>
        </w:rPr>
      </w:r>
      <w:r/>
    </w:p>
    <w:p>
      <w:pPr>
        <w:pStyle w:val="666"/>
        <w:jc w:val="center"/>
        <w:rPr>
          <w:rFonts w:hint="eastAsia"/>
          <w:b/>
          <w:i/>
          <w:sz w:val="30"/>
          <w:szCs w:val="32"/>
          <w:u w:val="single"/>
        </w:rPr>
        <w:outlineLvl w:val="0"/>
      </w:pPr>
      <w:r/>
      <w:bookmarkStart w:id="88" w:name="_Toc120614281"/>
      <w:r>
        <w:rPr>
          <w:rFonts w:hint="eastAsia" w:ascii="黑体" w:eastAsia="黑体"/>
          <w:bCs/>
          <w:sz w:val="44"/>
          <w:szCs w:val="28"/>
        </w:rPr>
        <w:br w:type="page" w:clear="all"/>
      </w:r>
      <w:bookmarkStart w:id="89" w:name="_Toc199251412"/>
      <w:r/>
      <w:bookmarkStart w:id="90" w:name="_Toc238758640"/>
      <w:r>
        <w:rPr>
          <w:rFonts w:hint="eastAsia" w:ascii="方正小标宋简体" w:hAnsi="方正小标宋简体" w:eastAsia="方正小标宋简体" w:cs="方正小标宋简体"/>
          <w:color w:val="000000"/>
          <w:sz w:val="36"/>
          <w:szCs w:val="36"/>
        </w:rPr>
        <w:t xml:space="preserve">第五章  评审方法与评审标准</w:t>
      </w:r>
      <w:bookmarkEnd w:id="89"/>
      <w:r/>
      <w:bookmarkEnd w:id="90"/>
      <w:r>
        <w:rPr>
          <w:rFonts w:hint="eastAsia"/>
          <w:b/>
          <w:i/>
          <w:sz w:val="30"/>
          <w:szCs w:val="32"/>
          <w:u w:val="single"/>
        </w:rPr>
      </w:r>
      <w:r/>
    </w:p>
    <w:p>
      <w:pPr>
        <w:pStyle w:val="666"/>
        <w:spacing w:line="400" w:lineRule="exact"/>
        <w:rPr>
          <w:rFonts w:hint="eastAsia" w:ascii="宋体" w:hAnsi="宋体"/>
          <w:b/>
          <w:bCs/>
          <w:sz w:val="24"/>
          <w:szCs w:val="28"/>
        </w:rPr>
        <w:outlineLvl w:val="1"/>
      </w:pPr>
      <w:r>
        <w:rPr>
          <w:rFonts w:hint="eastAsia" w:ascii="宋体" w:hAnsi="宋体"/>
          <w:b/>
          <w:bCs/>
          <w:sz w:val="24"/>
          <w:szCs w:val="28"/>
        </w:rPr>
        <w:t xml:space="preserve">一、评审方法</w:t>
      </w:r>
      <w:r/>
    </w:p>
    <w:p>
      <w:pPr>
        <w:pStyle w:val="666"/>
        <w:ind w:firstLine="480"/>
        <w:spacing w:line="400" w:lineRule="exact"/>
        <w:rPr>
          <w:rFonts w:hint="eastAsia"/>
          <w:sz w:val="24"/>
          <w:szCs w:val="24"/>
          <w:lang w:val="zh-CN"/>
        </w:rPr>
      </w:pPr>
      <w:r>
        <w:rPr>
          <w:sz w:val="24"/>
          <w:szCs w:val="24"/>
          <w:lang w:val="zh-CN"/>
        </w:rPr>
        <w:t xml:space="preserve">1</w:t>
      </w:r>
      <w:r>
        <w:rPr>
          <w:rFonts w:hint="eastAsia"/>
          <w:sz w:val="24"/>
          <w:szCs w:val="24"/>
          <w:lang w:val="zh-CN"/>
        </w:rPr>
        <w:t xml:space="preserve">、</w:t>
      </w:r>
      <w:r>
        <w:rPr>
          <w:sz w:val="24"/>
          <w:szCs w:val="24"/>
          <w:lang w:val="zh-CN"/>
        </w:rPr>
        <w:t xml:space="preserve">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磋商小组按照评审总分由高到低顺序推荐3名成交候选供应商，并编写评审报告。符合本磋商文件第二章第23.1.2条第三款情形的，可以推荐2名成交候选供应商。评审得分相同的，按照最后报价由低到高的顺序推荐。评审得分且最后报价相同的，按照</w:t>
      </w:r>
      <w:r>
        <w:rPr>
          <w:rFonts w:ascii="宋体" w:hAnsi="宋体"/>
          <w:sz w:val="24"/>
          <w:szCs w:val="24"/>
          <w:lang w:val="zh-CN"/>
        </w:rPr>
        <w:t xml:space="preserve">“</w:t>
      </w:r>
      <w:r>
        <w:rPr>
          <w:sz w:val="24"/>
          <w:szCs w:val="24"/>
          <w:lang w:val="zh-CN"/>
        </w:rPr>
        <w:t xml:space="preserve">评审标准-2.服务</w:t>
      </w:r>
      <w:r>
        <w:rPr>
          <w:rFonts w:ascii="宋体" w:hAnsi="宋体"/>
          <w:sz w:val="24"/>
          <w:szCs w:val="24"/>
          <w:lang w:val="zh-CN"/>
        </w:rPr>
        <w:t xml:space="preserve">”</w:t>
      </w:r>
      <w:r>
        <w:rPr>
          <w:sz w:val="24"/>
          <w:szCs w:val="24"/>
          <w:lang w:val="zh-CN"/>
        </w:rPr>
        <w:t xml:space="preserve">得分由高到低顺序推荐。</w:t>
      </w:r>
      <w:r>
        <w:rPr>
          <w:rFonts w:hint="eastAsia"/>
          <w:sz w:val="24"/>
          <w:szCs w:val="24"/>
          <w:lang w:val="zh-CN"/>
        </w:rPr>
      </w:r>
      <w:r/>
    </w:p>
    <w:p>
      <w:pPr>
        <w:pStyle w:val="666"/>
        <w:spacing w:line="400" w:lineRule="exact"/>
        <w:rPr>
          <w:rFonts w:hint="eastAsia" w:ascii="宋体" w:hAnsi="宋体"/>
          <w:b/>
          <w:bCs/>
          <w:sz w:val="24"/>
          <w:szCs w:val="28"/>
        </w:rPr>
        <w:outlineLvl w:val="1"/>
      </w:pPr>
      <w:r>
        <w:rPr>
          <w:rFonts w:hint="eastAsia" w:ascii="宋体" w:hAnsi="宋体"/>
          <w:b/>
          <w:bCs/>
          <w:sz w:val="24"/>
          <w:szCs w:val="28"/>
        </w:rPr>
        <w:t xml:space="preserve">二、评审标准</w:t>
      </w:r>
      <w:r/>
    </w:p>
    <w:tbl>
      <w:tblPr>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blHeade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b/>
                <w:bCs/>
                <w:spacing w:val="-3"/>
              </w:rPr>
            </w:pPr>
            <w:r>
              <w:rPr>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b/>
                <w:bCs/>
                <w:spacing w:val="-3"/>
              </w:rPr>
            </w:pPr>
            <w:r>
              <w:rPr>
                <w:b/>
                <w:bCs/>
                <w:spacing w:val="-3"/>
              </w:rPr>
              <w:t xml:space="preserve">评审因素</w:t>
            </w:r>
            <w:r/>
          </w:p>
        </w:tc>
        <w:tc>
          <w:tcPr>
            <w:tcBorders>
              <w:top w:val="single" w:color="000000" w:sz="2" w:space="0"/>
              <w:bottom w:val="single" w:color="000000" w:sz="2" w:space="0"/>
            </w:tcBorders>
            <w:tcW w:w="6425" w:type="dxa"/>
            <w:vAlign w:val="center"/>
            <w:textDirection w:val="lrTb"/>
            <w:noWrap w:val="false"/>
          </w:tcPr>
          <w:p>
            <w:pPr>
              <w:pStyle w:val="666"/>
              <w:jc w:val="center"/>
              <w:spacing w:line="360" w:lineRule="auto"/>
              <w:rPr>
                <w:b/>
                <w:bCs/>
                <w:spacing w:val="-3"/>
              </w:rPr>
            </w:pPr>
            <w:r>
              <w:rPr>
                <w:b/>
                <w:bCs/>
                <w:spacing w:val="-3"/>
              </w:rPr>
              <w:t xml:space="preserve">评审细则</w:t>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b/>
                <w:bCs/>
                <w:spacing w:val="-3"/>
              </w:rPr>
            </w:pPr>
            <w:r>
              <w:rPr>
                <w:b/>
                <w:bCs/>
                <w:spacing w:val="-3"/>
              </w:rPr>
              <w:t xml:space="preserve">分值</w:t>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b/>
                <w:bCs/>
                <w:spacing w:val="-3"/>
              </w:rPr>
            </w:pPr>
            <w:r>
              <w:rPr>
                <w:b/>
                <w:bCs/>
                <w:spacing w:val="-3"/>
              </w:rPr>
              <w:t xml:space="preserve">类型</w:t>
            </w:r>
            <w:r/>
          </w:p>
        </w:tc>
      </w:tr>
      <w:tr>
        <w:trPr/>
        <w:tc>
          <w:tcPr>
            <w:gridSpan w:val="5"/>
            <w:tcBorders>
              <w:top w:val="single" w:color="000000" w:sz="2" w:space="0"/>
              <w:bottom w:val="single" w:color="000000" w:sz="2" w:space="0"/>
            </w:tcBorders>
            <w:tcW w:w="9612" w:type="dxa"/>
            <w:vAlign w:val="top"/>
            <w:textDirection w:val="lrTb"/>
            <w:noWrap w:val="false"/>
          </w:tcPr>
          <w:p>
            <w:pPr>
              <w:pStyle w:val="666"/>
              <w:ind w:left="114"/>
              <w:spacing w:line="360" w:lineRule="auto"/>
              <w:rPr>
                <w:szCs w:val="21"/>
              </w:rPr>
            </w:pPr>
            <w:r>
              <w:rPr>
                <w:b/>
                <w:bCs/>
                <w:spacing w:val="-3"/>
                <w:szCs w:val="21"/>
              </w:rPr>
              <w:t xml:space="preserve">1.价</w:t>
            </w:r>
            <w:r>
              <w:rPr>
                <w:b/>
                <w:bCs/>
                <w:spacing w:val="-2"/>
                <w:szCs w:val="21"/>
              </w:rPr>
              <w:t xml:space="preserve">格</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szCs w:val="21"/>
              </w:rPr>
            </w:pPr>
            <w:r>
              <w:rPr>
                <w:spacing w:val="-6"/>
                <w:szCs w:val="21"/>
              </w:rPr>
              <w:t xml:space="preserve">1</w:t>
            </w:r>
            <w:r>
              <w:rPr>
                <w:spacing w:val="-5"/>
                <w:szCs w:val="21"/>
              </w:rPr>
              <w:t xml:space="preserve">.1</w:t>
            </w:r>
            <w:r>
              <w:rPr>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szCs w:val="21"/>
              </w:rPr>
            </w:pPr>
            <w:r>
              <w:rPr>
                <w:spacing w:val="-2"/>
                <w:szCs w:val="21"/>
              </w:rPr>
              <w:t xml:space="preserve">价格分</w:t>
            </w:r>
            <w:r>
              <w:rPr>
                <w:szCs w:val="21"/>
              </w:rPr>
            </w:r>
            <w:r/>
          </w:p>
        </w:tc>
        <w:tc>
          <w:tcPr>
            <w:tcBorders>
              <w:top w:val="single" w:color="000000" w:sz="2" w:space="0"/>
              <w:bottom w:val="single" w:color="000000" w:sz="2" w:space="0"/>
            </w:tcBorders>
            <w:tcW w:w="6425" w:type="dxa"/>
            <w:vAlign w:val="center"/>
            <w:textDirection w:val="lrTb"/>
            <w:noWrap w:val="false"/>
          </w:tcPr>
          <w:p>
            <w:pPr>
              <w:pStyle w:val="666"/>
              <w:jc w:val="left"/>
              <w:spacing w:line="360" w:lineRule="auto"/>
            </w:pPr>
            <w:r>
              <w:t xml:space="preserve">采用低价优先法计算，即满足磋商文件要求且最终报价最低的供应商报价为评审基准价，其价格分为满分。其他供应商的价格分统一按照下列公式计算：报价得分=</w:t>
            </w:r>
            <w:r>
              <w:rPr>
                <w:rFonts w:hint="eastAsia"/>
              </w:rPr>
              <w:t xml:space="preserve">（</w:t>
            </w:r>
            <w:r>
              <w:t xml:space="preserve">评审基准价/最终报价</w:t>
            </w:r>
            <w:r>
              <w:rPr>
                <w:rFonts w:hint="eastAsia"/>
              </w:rPr>
              <w:t xml:space="preserve">）</w:t>
            </w:r>
            <w:r>
              <w:t xml:space="preserve">×</w:t>
            </w:r>
            <w:r>
              <w:t xml:space="preserve">价格分值（小数点保留两位）</w:t>
            </w:r>
            <w:r/>
          </w:p>
          <w:p>
            <w:pPr>
              <w:pStyle w:val="793"/>
              <w:ind w:left="0"/>
              <w:spacing w:line="360" w:lineRule="auto"/>
            </w:pPr>
            <w:r>
              <w:rPr>
                <w:sz w:val="21"/>
                <w:szCs w:val="21"/>
              </w:rPr>
              <w:t xml:space="preserve">因落实政府采购政策进行价格调整的，以调整后的价格计算评</w:t>
            </w:r>
            <w:r>
              <w:t xml:space="preserve">审</w:t>
            </w:r>
            <w:r>
              <w:rPr>
                <w:sz w:val="21"/>
                <w:szCs w:val="21"/>
              </w:rPr>
              <w:t xml:space="preserve">基准价和最终报价。</w:t>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szCs w:val="21"/>
              </w:rPr>
            </w:pPr>
            <w:r>
              <w:rPr>
                <w:szCs w:val="21"/>
              </w:rPr>
              <w:t xml:space="preserve">10</w:t>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szCs w:val="21"/>
              </w:rPr>
            </w:pPr>
            <w:r>
              <w:rPr>
                <w:szCs w:val="21"/>
              </w:rPr>
              <w:t xml:space="preserve">价格分</w:t>
            </w:r>
            <w:r/>
          </w:p>
        </w:tc>
      </w:tr>
      <w:tr>
        <w:trPr/>
        <w:tc>
          <w:tcPr>
            <w:gridSpan w:val="5"/>
            <w:tcBorders>
              <w:top w:val="single" w:color="000000" w:sz="2" w:space="0"/>
              <w:bottom w:val="single" w:color="000000" w:sz="2" w:space="0"/>
            </w:tcBorders>
            <w:tcW w:w="9612" w:type="dxa"/>
            <w:vAlign w:val="top"/>
            <w:textDirection w:val="lrTb"/>
            <w:noWrap w:val="false"/>
          </w:tcPr>
          <w:p>
            <w:pPr>
              <w:pStyle w:val="666"/>
              <w:ind w:left="114"/>
              <w:spacing w:line="360" w:lineRule="auto"/>
              <w:rPr>
                <w:szCs w:val="21"/>
              </w:rPr>
            </w:pPr>
            <w:r>
              <w:rPr>
                <w:b/>
                <w:bCs/>
                <w:spacing w:val="-3"/>
                <w:szCs w:val="21"/>
              </w:rPr>
              <w:t xml:space="preserve">2.服务</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rFonts w:hint="eastAsia"/>
                <w:color w:val="0000ff"/>
                <w:spacing w:val="-2"/>
                <w:szCs w:val="21"/>
              </w:rPr>
            </w:pPr>
            <w:r>
              <w:rPr>
                <w:rFonts w:hint="eastAsia"/>
                <w:spacing w:val="-2"/>
                <w:szCs w:val="21"/>
              </w:rPr>
              <w:t xml:space="preserve">2.1</w:t>
            </w:r>
            <w:r>
              <w:rPr>
                <w:rFonts w:hint="eastAsia"/>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color w:val="0000ff"/>
                <w:spacing w:val="-2"/>
                <w:szCs w:val="21"/>
              </w:rPr>
            </w:pPr>
            <w:r>
              <w:rPr>
                <w:szCs w:val="21"/>
              </w:rPr>
              <w:t xml:space="preserve">应急保障方案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rFonts w:hint="eastAsia"/>
                <w:szCs w:val="21"/>
              </w:rPr>
            </w:pPr>
            <w:r>
              <w:rPr>
                <w:rFonts w:hint="eastAsia"/>
                <w:szCs w:val="21"/>
              </w:rPr>
              <w:t xml:space="preserve">评委根据供应商提供的应急保障方案综合评分，包括：1.应急组织架构与分级响应机制；2.重大故障应急处置措施；3.数据安全保障与容灾恢复；4.业务连续性保障与故障兜底；5.应急演练、备勤轮班与保障措施。以上每项内容逐项评分：</w:t>
            </w:r>
            <w:r/>
          </w:p>
          <w:p>
            <w:pPr>
              <w:pStyle w:val="666"/>
              <w:spacing w:line="360" w:lineRule="auto"/>
              <w:rPr>
                <w:rFonts w:hint="eastAsia"/>
                <w:szCs w:val="21"/>
              </w:rPr>
            </w:pPr>
            <w:r>
              <w:rPr>
                <w:rFonts w:hint="eastAsia"/>
                <w:szCs w:val="21"/>
              </w:rPr>
              <w:t xml:space="preserve">方案内容完整深刻，且专门针对本项目，契合采购需求得2分；</w:t>
            </w:r>
            <w:r/>
          </w:p>
          <w:p>
            <w:pPr>
              <w:pStyle w:val="666"/>
              <w:spacing w:line="360" w:lineRule="auto"/>
              <w:rPr>
                <w:rFonts w:hint="eastAsia"/>
                <w:szCs w:val="21"/>
              </w:rPr>
            </w:pPr>
            <w:r>
              <w:rPr>
                <w:rFonts w:hint="eastAsia"/>
                <w:szCs w:val="21"/>
              </w:rPr>
              <w:t xml:space="preserve">方案内容属于通用类，非专门针对本项目，部分契合采购需求得1分；</w:t>
            </w:r>
            <w:r/>
          </w:p>
          <w:p>
            <w:pPr>
              <w:pStyle w:val="666"/>
              <w:spacing w:line="360" w:lineRule="auto"/>
              <w:rPr>
                <w:rFonts w:hint="eastAsia"/>
                <w:szCs w:val="21"/>
              </w:rPr>
            </w:pPr>
            <w:r>
              <w:rPr>
                <w:rFonts w:hint="eastAsia"/>
                <w:szCs w:val="21"/>
              </w:rPr>
              <w:t xml:space="preserve">方案内容非专门针对本项目，脱离采购需求不得分。</w:t>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color w:val="0000ff"/>
                <w:szCs w:val="21"/>
              </w:rPr>
            </w:pPr>
            <w:r>
              <w:rPr>
                <w:szCs w:val="21"/>
              </w:rPr>
              <w:t xml:space="preserve">10</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color w:val="0000ff"/>
                <w:spacing w:val="-2"/>
                <w:szCs w:val="21"/>
              </w:rPr>
            </w:pPr>
            <w:r>
              <w:rPr>
                <w:spacing w:val="-2"/>
                <w:szCs w:val="21"/>
              </w:rPr>
              <w:t xml:space="preserve">2.2</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color w:val="0000ff"/>
                <w:spacing w:val="-2"/>
                <w:szCs w:val="21"/>
              </w:rPr>
            </w:pPr>
            <w:r>
              <w:rPr>
                <w:szCs w:val="21"/>
              </w:rPr>
              <w:t xml:space="preserve">项目实施方案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szCs w:val="21"/>
              </w:rPr>
            </w:pPr>
            <w:r>
              <w:rPr>
                <w:szCs w:val="21"/>
              </w:rPr>
              <w:t xml:space="preserve">评委根据供应商提供的项目实施方案综合评分，包括：1.实施组织与项目团队；2.实施进度计划与进度管控；3.项目实施质量管控；4.风险管控。以上每项内容逐项评分：</w:t>
            </w:r>
            <w:r/>
          </w:p>
          <w:p>
            <w:pPr>
              <w:pStyle w:val="666"/>
              <w:spacing w:line="360" w:lineRule="auto"/>
              <w:rPr>
                <w:szCs w:val="21"/>
              </w:rPr>
            </w:pPr>
            <w:r>
              <w:rPr>
                <w:szCs w:val="21"/>
              </w:rPr>
              <w:t xml:space="preserve">方案内容完整深刻，且专门针对本项目，契合采购需求得2分；</w:t>
            </w:r>
            <w:r/>
          </w:p>
          <w:p>
            <w:pPr>
              <w:pStyle w:val="666"/>
              <w:spacing w:line="360" w:lineRule="auto"/>
              <w:rPr>
                <w:szCs w:val="21"/>
              </w:rPr>
            </w:pPr>
            <w:r>
              <w:rPr>
                <w:szCs w:val="21"/>
              </w:rPr>
              <w:t xml:space="preserve">方案内容属于通用类，非专门针对本项目，部分契合采购需求得1分；</w:t>
            </w:r>
            <w:r/>
          </w:p>
          <w:p>
            <w:pPr>
              <w:pStyle w:val="666"/>
              <w:spacing w:line="360" w:lineRule="auto"/>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color w:val="0000ff"/>
                <w:spacing w:val="-2"/>
                <w:szCs w:val="21"/>
              </w:rPr>
            </w:pPr>
            <w:r>
              <w:rPr>
                <w:szCs w:val="21"/>
              </w:rPr>
              <w:t xml:space="preserve">2.3</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color w:val="0000ff"/>
                <w:spacing w:val="-2"/>
                <w:szCs w:val="21"/>
              </w:rPr>
            </w:pPr>
            <w:r>
              <w:rPr>
                <w:szCs w:val="21"/>
              </w:rPr>
              <w:t xml:space="preserve">省级债务系统驻场运维服务方案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szCs w:val="21"/>
              </w:rPr>
            </w:pPr>
            <w:r>
              <w:rPr>
                <w:szCs w:val="21"/>
              </w:rPr>
              <w:t xml:space="preserve">评委根据供应商提供的省级债务系统驻场运维服务方案综合评分，</w:t>
            </w:r>
            <w:r>
              <w:rPr>
                <w:szCs w:val="21"/>
              </w:rPr>
              <w:t xml:space="preserve">包括：1.运维服务业务理解；2.运维服务内容；3.运维服务方式；4.运维服务质量保障。以上每项内容逐项评分：</w:t>
            </w:r>
            <w:r/>
          </w:p>
          <w:p>
            <w:pPr>
              <w:pStyle w:val="699"/>
              <w:spacing w:line="360" w:lineRule="auto"/>
              <w:rPr>
                <w:szCs w:val="21"/>
              </w:rPr>
            </w:pPr>
            <w:r>
              <w:rPr>
                <w:szCs w:val="21"/>
              </w:rPr>
              <w:t xml:space="preserve">方案内容完整深刻，且专门针对本项目，契合采购需求得2分；</w:t>
            </w:r>
            <w:r/>
          </w:p>
          <w:p>
            <w:pPr>
              <w:pStyle w:val="699"/>
              <w:spacing w:line="360" w:lineRule="auto"/>
              <w:rPr>
                <w:szCs w:val="21"/>
              </w:rPr>
            </w:pPr>
            <w:r>
              <w:rPr>
                <w:szCs w:val="21"/>
              </w:rPr>
              <w:t xml:space="preserve">方案内容属于通用类，非专门针对本项目，部分契合采购需求得1分；</w:t>
            </w:r>
            <w:r/>
          </w:p>
          <w:p>
            <w:pPr>
              <w:pStyle w:val="666"/>
              <w:spacing w:line="360" w:lineRule="auto"/>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color w:val="0000ff"/>
                <w:spacing w:val="-2"/>
                <w:szCs w:val="21"/>
              </w:rPr>
            </w:pPr>
            <w:r>
              <w:rPr>
                <w:szCs w:val="21"/>
              </w:rPr>
              <w:t xml:space="preserve">2.4</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color w:val="0000ff"/>
                <w:spacing w:val="-2"/>
                <w:szCs w:val="21"/>
              </w:rPr>
            </w:pPr>
            <w:r>
              <w:rPr>
                <w:szCs w:val="21"/>
              </w:rPr>
              <w:t xml:space="preserve">财政非税业务江宁区及外部单位接口运维服务方案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szCs w:val="21"/>
              </w:rPr>
            </w:pPr>
            <w:r>
              <w:rPr>
                <w:szCs w:val="21"/>
              </w:rPr>
              <w:t xml:space="preserve">评委根据供应商提供的财政非税业务江宁区及外部单位接口运维服务方案综合评分，包括：1.运维服务业务理解；2.运维服务内容；3.运维服务方式；4.运维服务质量保障。以上每项内容逐项评分：</w:t>
            </w:r>
            <w:r/>
          </w:p>
          <w:p>
            <w:pPr>
              <w:pStyle w:val="699"/>
              <w:spacing w:line="360" w:lineRule="auto"/>
              <w:rPr>
                <w:szCs w:val="21"/>
              </w:rPr>
            </w:pPr>
            <w:r>
              <w:rPr>
                <w:szCs w:val="21"/>
              </w:rPr>
              <w:t xml:space="preserve">方案内容完整深刻，且专门针对本项目，契合采购需求得2分；</w:t>
            </w:r>
            <w:r/>
          </w:p>
          <w:p>
            <w:pPr>
              <w:pStyle w:val="699"/>
              <w:spacing w:line="360" w:lineRule="auto"/>
              <w:rPr>
                <w:szCs w:val="21"/>
              </w:rPr>
            </w:pPr>
            <w:r>
              <w:rPr>
                <w:szCs w:val="21"/>
              </w:rPr>
              <w:t xml:space="preserve">方案内容属于通用类，非专门针对本项目，部分契合采购需求得1分；</w:t>
            </w:r>
            <w:r/>
          </w:p>
          <w:p>
            <w:pPr>
              <w:pStyle w:val="666"/>
              <w:spacing w:line="360" w:lineRule="auto"/>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color w:val="0000ff"/>
                <w:spacing w:val="-2"/>
                <w:szCs w:val="21"/>
              </w:rPr>
            </w:pPr>
            <w:r>
              <w:rPr>
                <w:szCs w:val="21"/>
              </w:rPr>
              <w:t xml:space="preserve">2.5</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color w:val="0000ff"/>
                <w:spacing w:val="-2"/>
                <w:szCs w:val="21"/>
              </w:rPr>
            </w:pPr>
            <w:r>
              <w:rPr>
                <w:szCs w:val="21"/>
              </w:rPr>
              <w:t xml:space="preserve">财政项目投资评审功能运维服务方案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szCs w:val="21"/>
              </w:rPr>
            </w:pPr>
            <w:r>
              <w:rPr>
                <w:szCs w:val="21"/>
              </w:rPr>
              <w:t xml:space="preserve">评委根据供应商提供的财政项目投资评审功能运维服务方案综合评分，包括：1.运维服务业务理解；2.运维服务内容；3.运维服务方式；4.运维服务质量保障。以上每项内容逐项评分：</w:t>
            </w:r>
            <w:r/>
          </w:p>
          <w:p>
            <w:pPr>
              <w:pStyle w:val="699"/>
              <w:spacing w:line="360" w:lineRule="auto"/>
              <w:rPr>
                <w:szCs w:val="21"/>
              </w:rPr>
            </w:pPr>
            <w:r>
              <w:rPr>
                <w:szCs w:val="21"/>
              </w:rPr>
              <w:t xml:space="preserve">方案内容完整深刻，且专门针对本项目，契合采购需求得2分；</w:t>
            </w:r>
            <w:r/>
          </w:p>
          <w:p>
            <w:pPr>
              <w:pStyle w:val="699"/>
              <w:spacing w:line="360" w:lineRule="auto"/>
              <w:rPr>
                <w:szCs w:val="21"/>
              </w:rPr>
            </w:pPr>
            <w:r>
              <w:rPr>
                <w:szCs w:val="21"/>
              </w:rPr>
              <w:t xml:space="preserve">方案内容属于通用类，非专门针对本项目</w:t>
            </w:r>
            <w:r>
              <w:rPr>
                <w:szCs w:val="21"/>
              </w:rPr>
              <w:t xml:space="preserve">，部分契合采购需求得1分；</w:t>
            </w:r>
            <w:r/>
          </w:p>
          <w:p>
            <w:pPr>
              <w:pStyle w:val="666"/>
              <w:spacing w:line="360" w:lineRule="auto"/>
              <w:rPr>
                <w:color w:val="0000ff"/>
                <w:szCs w:val="21"/>
              </w:rPr>
            </w:pPr>
            <w:r>
              <w:rPr>
                <w:szCs w:val="21"/>
              </w:rP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color w:val="0000ff"/>
                <w:szCs w:val="21"/>
              </w:rPr>
            </w:pPr>
            <w:r>
              <w:rPr>
                <w:szCs w:val="21"/>
              </w:rP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color w:val="0000ff"/>
                <w:spacing w:val="-6"/>
                <w:szCs w:val="21"/>
              </w:rPr>
            </w:pPr>
            <w:r>
              <w:rPr>
                <w:spacing w:val="-4"/>
                <w:szCs w:val="21"/>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color w:val="0000ff"/>
                <w:spacing w:val="-2"/>
                <w:szCs w:val="21"/>
              </w:rPr>
            </w:pPr>
            <w:r>
              <w:t xml:space="preserve">2.6</w:t>
            </w:r>
            <w:r>
              <w:rPr>
                <w:color w:val="0000ff"/>
                <w:spacing w:val="-2"/>
                <w:szCs w:val="21"/>
              </w:rPr>
            </w:r>
            <w:r/>
          </w:p>
        </w:tc>
        <w:tc>
          <w:tcPr>
            <w:tcBorders>
              <w:top w:val="single" w:color="000000" w:sz="2" w:space="0"/>
              <w:bottom w:val="single" w:color="000000" w:sz="2" w:space="0"/>
            </w:tcBorders>
            <w:tcW w:w="1179" w:type="dxa"/>
            <w:vAlign w:val="center"/>
            <w:textDirection w:val="lrTb"/>
            <w:noWrap w:val="false"/>
          </w:tcPr>
          <w:p>
            <w:pPr>
              <w:pStyle w:val="666"/>
              <w:jc w:val="left"/>
              <w:spacing w:line="360" w:lineRule="auto"/>
              <w:rPr>
                <w:color w:val="0000ff"/>
                <w:spacing w:val="-2"/>
                <w:szCs w:val="21"/>
              </w:rPr>
            </w:pPr>
            <w:r>
              <w:t xml:space="preserve">办文单综合管理功能运维服务方案</w:t>
            </w:r>
            <w:r>
              <w:rPr>
                <w:color w:val="0000ff"/>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pPr>
            <w:r>
              <w:t xml:space="preserve">评委根据供应商提供的办文单综合管理功能运维服务方案综合评分，包括：1.运维服务业务理解；2.运维服务内容；3.运维服务方式；4.运维服务质量保障。以上每项内容逐项评分：</w:t>
            </w:r>
            <w:r/>
          </w:p>
          <w:p>
            <w:pPr>
              <w:pStyle w:val="699"/>
              <w:spacing w:line="360" w:lineRule="auto"/>
            </w:pPr>
            <w:r>
              <w:t xml:space="preserve">方案内容完整深刻，且专门针对本项目，契合采购需求得2分；</w:t>
            </w:r>
            <w:r/>
          </w:p>
          <w:p>
            <w:pPr>
              <w:pStyle w:val="699"/>
              <w:spacing w:line="360" w:lineRule="auto"/>
            </w:pPr>
            <w:r>
              <w:t xml:space="preserve">方案内容属于通用类，非专门针对本项目，部分契合采购需求得1分；</w:t>
            </w:r>
            <w:r/>
          </w:p>
          <w:p>
            <w:pPr>
              <w:pStyle w:val="666"/>
              <w:spacing w:line="360" w:lineRule="auto"/>
              <w:rPr>
                <w:color w:val="0000ff"/>
                <w:szCs w:val="21"/>
              </w:rPr>
            </w:pPr>
            <w:r>
              <w:t xml:space="preserve">方案内容非专门针对本项目，脱离采购需求不得分。</w:t>
            </w:r>
            <w:r>
              <w:rPr>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color w:val="0000ff"/>
                <w:szCs w:val="21"/>
              </w:rPr>
            </w:pPr>
            <w:r>
              <w:t xml:space="preserve">8</w:t>
            </w:r>
            <w:r>
              <w:rPr>
                <w:color w:val="0000ff"/>
                <w:szCs w:val="21"/>
              </w:rPr>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color w:val="0000ff"/>
                <w:spacing w:val="-6"/>
                <w:szCs w:val="21"/>
              </w:rPr>
            </w:pPr>
            <w:r>
              <w:rPr>
                <w:spacing w:val="-4"/>
              </w:rPr>
              <w:t xml:space="preserve">主观分</w:t>
            </w:r>
            <w:r>
              <w:rPr>
                <w:color w:val="0000ff"/>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rFonts w:hint="eastAsia"/>
                <w:spacing w:val="-2"/>
                <w:szCs w:val="21"/>
              </w:rPr>
            </w:pPr>
            <w:r>
              <w:rPr>
                <w:spacing w:val="-2"/>
                <w:szCs w:val="21"/>
              </w:rPr>
              <w:t xml:space="preserve">2.</w:t>
            </w:r>
            <w:r>
              <w:rPr>
                <w:rFonts w:hint="eastAsia"/>
                <w:spacing w:val="-2"/>
                <w:szCs w:val="21"/>
              </w:rPr>
              <w:t xml:space="preserve">7</w:t>
            </w:r>
            <w:r/>
          </w:p>
        </w:tc>
        <w:tc>
          <w:tcPr>
            <w:tcBorders>
              <w:top w:val="single" w:color="000000" w:sz="2" w:space="0"/>
              <w:bottom w:val="single" w:color="000000" w:sz="2" w:space="0"/>
            </w:tcBorders>
            <w:tcW w:w="1179" w:type="dxa"/>
            <w:vAlign w:val="center"/>
            <w:textDirection w:val="lrTb"/>
            <w:noWrap w:val="false"/>
          </w:tcPr>
          <w:p>
            <w:pPr>
              <w:pStyle w:val="666"/>
              <w:ind w:right="108"/>
              <w:jc w:val="center"/>
              <w:spacing w:line="360" w:lineRule="auto"/>
              <w:rPr>
                <w:spacing w:val="-2"/>
                <w:szCs w:val="21"/>
                <w:highlight w:val="yellow"/>
              </w:rPr>
            </w:pPr>
            <w:r>
              <w:t xml:space="preserve">预算管理一体化预算绩效（街道）板块服务方案</w:t>
            </w:r>
            <w:r>
              <w:rPr>
                <w:spacing w:val="-2"/>
                <w:szCs w:val="21"/>
                <w:highlight w:val="yellow"/>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pPr>
            <w:r>
              <w:t xml:space="preserve">评委根据供应商提供的预算管理一体化预算绩效（街道）板块服务方案综合评分，包括：1.运维服务业务理解；2.运维服务内容；3.运维服务方式；4.运维服务质量保障。以上每项内容逐项评分：</w:t>
            </w:r>
            <w:r/>
          </w:p>
          <w:p>
            <w:pPr>
              <w:pStyle w:val="699"/>
              <w:spacing w:line="360" w:lineRule="auto"/>
            </w:pPr>
            <w:r>
              <w:t xml:space="preserve">方案内容完整深刻，且专门针对本项目，契合采购需求得2分；</w:t>
            </w:r>
            <w:r/>
          </w:p>
          <w:p>
            <w:pPr>
              <w:pStyle w:val="699"/>
              <w:spacing w:line="360" w:lineRule="auto"/>
            </w:pPr>
            <w:r>
              <w:t xml:space="preserve">方案内容属于通用类，非专门针对本项目，部分契合采购需求得1分；</w:t>
            </w:r>
            <w:r/>
          </w:p>
          <w:p>
            <w:pPr>
              <w:pStyle w:val="666"/>
              <w:spacing w:line="360" w:lineRule="auto"/>
              <w:rPr>
                <w:spacing w:val="1"/>
                <w:szCs w:val="21"/>
              </w:rPr>
            </w:pPr>
            <w:r>
              <w:t xml:space="preserve">方案内容非专门针对本项目，脱离采购需求不得分。</w:t>
            </w:r>
            <w:r>
              <w:rPr>
                <w:spacing w:val="1"/>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szCs w:val="21"/>
                <w:highlight w:val="yellow"/>
              </w:rPr>
            </w:pPr>
            <w:r>
              <w:t xml:space="preserve">8</w:t>
            </w:r>
            <w:r>
              <w:rPr>
                <w:szCs w:val="21"/>
                <w:highlight w:val="yellow"/>
              </w:rPr>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szCs w:val="21"/>
              </w:rPr>
            </w:pPr>
            <w:r>
              <w:rPr>
                <w:spacing w:val="-4"/>
              </w:rPr>
              <w:t xml:space="preserve">主观分</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rFonts w:hint="eastAsia"/>
                <w:spacing w:val="-2"/>
                <w:szCs w:val="21"/>
              </w:rPr>
            </w:pPr>
            <w:r>
              <w:rPr>
                <w:rFonts w:hint="eastAsia"/>
                <w:spacing w:val="-2"/>
                <w:szCs w:val="21"/>
              </w:rPr>
              <w:t xml:space="preserve">2.8</w:t>
            </w:r>
            <w:r/>
          </w:p>
        </w:tc>
        <w:tc>
          <w:tcPr>
            <w:tcBorders>
              <w:top w:val="single" w:color="000000" w:sz="2" w:space="0"/>
              <w:bottom w:val="single" w:color="000000" w:sz="2" w:space="0"/>
            </w:tcBorders>
            <w:tcW w:w="1179" w:type="dxa"/>
            <w:vAlign w:val="center"/>
            <w:textDirection w:val="lrTb"/>
            <w:noWrap w:val="false"/>
          </w:tcPr>
          <w:p>
            <w:pPr>
              <w:pStyle w:val="666"/>
              <w:ind w:right="108"/>
              <w:jc w:val="center"/>
              <w:spacing w:line="360" w:lineRule="auto"/>
              <w:rPr>
                <w:rFonts w:hint="eastAsia"/>
                <w:spacing w:val="-2"/>
              </w:rPr>
            </w:pPr>
            <w:r>
              <w:rPr>
                <w:rFonts w:hint="eastAsia"/>
                <w:spacing w:val="-2"/>
              </w:rPr>
              <w:t xml:space="preserve">视频陈述</w:t>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rFonts w:hint="eastAsia"/>
              </w:rPr>
            </w:pPr>
            <w:r>
              <w:rPr>
                <w:rFonts w:hint="eastAsia"/>
              </w:rPr>
              <w:t xml:space="preserve">根据供应商拟投入本项目的驻场人员（陈述人是响应文件中安排的驻场运维人员中1人，陈述开始前须手持本人身份证</w:t>
            </w:r>
            <w:r>
              <w:rPr>
                <w:rFonts w:hint="eastAsia"/>
              </w:rPr>
              <w:t xml:space="preserve">确认身份信息）</w:t>
            </w:r>
            <w:r>
              <w:rPr>
                <w:rFonts w:hint="eastAsia"/>
                <w:szCs w:val="21"/>
              </w:rPr>
              <w:t xml:space="preserve">结合江宁区实际</w:t>
            </w:r>
            <w:r>
              <w:rPr>
                <w:rFonts w:hint="eastAsia"/>
              </w:rPr>
              <w:t xml:space="preserve">对以下内容进行理解陈述：1.各类债券（专项债券、一般债券、再融资债券）基本信息与用途理解；2.财政非税与银行对账出现账实不符处理方式；3.财政项目投资评审业务流程；4.办文单综合管理数据安全运维与办文单流转异常处理；5.如何实现街道绩效板块与省预算管理一体化对接。（供应商按系统提示上传陈述视频文件，每家供应商总时间不超过15分钟。）以上每项内容逐项评分：</w:t>
            </w:r>
            <w:r/>
          </w:p>
          <w:p>
            <w:pPr>
              <w:pStyle w:val="666"/>
              <w:spacing w:line="360" w:lineRule="auto"/>
              <w:rPr>
                <w:rFonts w:hint="eastAsia"/>
              </w:rPr>
            </w:pPr>
            <w:r>
              <w:rPr>
                <w:rFonts w:hint="eastAsia"/>
              </w:rPr>
              <w:t xml:space="preserve">陈述内容完整深刻，且专门针对本项目，契合采购需求得2分；</w:t>
            </w:r>
            <w:r/>
          </w:p>
          <w:p>
            <w:pPr>
              <w:pStyle w:val="666"/>
              <w:spacing w:line="360" w:lineRule="auto"/>
              <w:rPr>
                <w:rFonts w:hint="eastAsia"/>
              </w:rPr>
            </w:pPr>
            <w:r>
              <w:rPr>
                <w:rFonts w:hint="eastAsia"/>
              </w:rPr>
              <w:t xml:space="preserve">陈述内容属于通用类，非专门针对本项目，部分契合采购需求得1分；</w:t>
            </w:r>
            <w:r/>
          </w:p>
          <w:p>
            <w:pPr>
              <w:pStyle w:val="666"/>
              <w:spacing w:line="360" w:lineRule="auto"/>
              <w:rPr>
                <w:rFonts w:hint="eastAsia"/>
                <w:color w:val="0000ff"/>
                <w:szCs w:val="21"/>
              </w:rPr>
            </w:pPr>
            <w:r>
              <w:rPr>
                <w:rFonts w:hint="eastAsia"/>
              </w:rPr>
              <w:t xml:space="preserve">陈述内容非专门针对本项目，脱离采购需求不得分。</w:t>
            </w:r>
            <w:r>
              <w:rPr>
                <w:rFonts w:hint="eastAsia"/>
                <w:color w:val="0000ff"/>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rFonts w:hint="eastAsia"/>
              </w:rPr>
            </w:pPr>
            <w:r>
              <w:rPr>
                <w:rFonts w:hint="eastAsia"/>
              </w:rPr>
              <w:t xml:space="preserve">10</w:t>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pPr>
            <w:r>
              <w:rPr>
                <w:spacing w:val="-4"/>
              </w:rPr>
              <w:t xml:space="preserve">主观分</w:t>
            </w:r>
            <w:r/>
          </w:p>
        </w:tc>
      </w:tr>
      <w:tr>
        <w:trPr/>
        <w:tc>
          <w:tcPr>
            <w:gridSpan w:val="5"/>
            <w:tcBorders>
              <w:top w:val="single" w:color="000000" w:sz="2" w:space="0"/>
              <w:bottom w:val="single" w:color="000000" w:sz="2" w:space="0"/>
            </w:tcBorders>
            <w:tcW w:w="9612" w:type="dxa"/>
            <w:vAlign w:val="center"/>
            <w:textDirection w:val="lrTb"/>
            <w:noWrap w:val="false"/>
          </w:tcPr>
          <w:p>
            <w:pPr>
              <w:pStyle w:val="666"/>
              <w:spacing w:line="360" w:lineRule="auto"/>
              <w:rPr>
                <w:szCs w:val="21"/>
              </w:rPr>
            </w:pPr>
            <w:r>
              <w:rPr>
                <w:b/>
                <w:bCs/>
                <w:spacing w:val="-3"/>
                <w:szCs w:val="21"/>
              </w:rPr>
              <w:t xml:space="preserve">3.业绩</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spacing w:val="-2"/>
                <w:szCs w:val="21"/>
              </w:rPr>
            </w:pPr>
            <w:r>
              <w:rPr>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666"/>
              <w:spacing w:line="360" w:lineRule="auto"/>
              <w:rPr>
                <w:spacing w:val="-2"/>
                <w:szCs w:val="21"/>
              </w:rPr>
            </w:pPr>
            <w:r>
              <w:rPr>
                <w:spacing w:val="-1"/>
                <w:szCs w:val="21"/>
              </w:rPr>
              <w:t xml:space="preserve">供应商业绩</w:t>
            </w:r>
            <w:r>
              <w:rPr>
                <w:spacing w:val="-2"/>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rFonts w:hint="eastAsia"/>
                <w:szCs w:val="21"/>
              </w:rPr>
            </w:pPr>
            <w:r>
              <w:rPr>
                <w:szCs w:val="21"/>
              </w:rPr>
              <w:t xml:space="preserve">供应商提供自2021年1月1日（含）以来类似项目业绩（至少包含财源数据运维、财政办公系统、会议管理），每提供1类得2分，同一份合同不得重复计分类别，本项最多得6分。</w:t>
            </w:r>
            <w:r>
              <w:rPr>
                <w:b/>
                <w:bCs/>
                <w:szCs w:val="21"/>
              </w:rPr>
              <w:t xml:space="preserve">（时间以合同签订时间为准，提供有效合同，合同页须清晰可见相应内容）</w:t>
            </w:r>
            <w:r>
              <w:rPr>
                <w:rFonts w:hint="eastAsia"/>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rFonts w:hint="eastAsia"/>
                <w:szCs w:val="21"/>
              </w:rPr>
            </w:pPr>
            <w:r>
              <w:rPr>
                <w:rFonts w:hint="eastAsia"/>
                <w:szCs w:val="21"/>
              </w:rPr>
              <w:t xml:space="preserve">6</w:t>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szCs w:val="21"/>
              </w:rPr>
            </w:pPr>
            <w:r>
              <w:rPr>
                <w:spacing w:val="-6"/>
                <w:szCs w:val="21"/>
              </w:rPr>
              <w:t xml:space="preserve">客</w:t>
            </w:r>
            <w:r>
              <w:rPr>
                <w:spacing w:val="-4"/>
                <w:szCs w:val="21"/>
              </w:rPr>
              <w:t xml:space="preserve">观分</w:t>
            </w:r>
            <w:r>
              <w:rPr>
                <w:szCs w:val="21"/>
              </w:rPr>
            </w:r>
            <w:r/>
          </w:p>
        </w:tc>
      </w:tr>
      <w:tr>
        <w:trPr/>
        <w:tc>
          <w:tcPr>
            <w:gridSpan w:val="5"/>
            <w:tcBorders>
              <w:top w:val="single" w:color="000000" w:sz="2" w:space="0"/>
              <w:bottom w:val="single" w:color="000000" w:sz="2" w:space="0"/>
            </w:tcBorders>
            <w:tcW w:w="9612" w:type="dxa"/>
            <w:vAlign w:val="top"/>
            <w:textDirection w:val="lrTb"/>
            <w:noWrap w:val="false"/>
          </w:tcPr>
          <w:p>
            <w:pPr>
              <w:pStyle w:val="666"/>
              <w:spacing w:line="360" w:lineRule="auto"/>
              <w:rPr>
                <w:szCs w:val="21"/>
              </w:rPr>
            </w:pPr>
            <w:r>
              <w:rPr>
                <w:b/>
                <w:bCs/>
                <w:spacing w:val="-3"/>
                <w:szCs w:val="21"/>
              </w:rPr>
              <w:t xml:space="preserve">4.履约能力</w:t>
            </w:r>
            <w:r>
              <w:rPr>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spacing w:val="-2"/>
                <w:szCs w:val="21"/>
              </w:rPr>
            </w:pPr>
            <w:r>
              <w:rPr>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spacing w:val="-1"/>
                <w:szCs w:val="21"/>
              </w:rPr>
            </w:pPr>
            <w:r>
              <w:rPr>
                <w:spacing w:val="-1"/>
                <w:szCs w:val="21"/>
              </w:rPr>
              <w:t xml:space="preserve">履约能力1</w:t>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rFonts w:hint="eastAsia"/>
                <w:spacing w:val="12"/>
                <w:szCs w:val="21"/>
              </w:rPr>
            </w:pPr>
            <w:r>
              <w:rPr>
                <w:rFonts w:hint="eastAsia"/>
                <w:spacing w:val="12"/>
                <w:szCs w:val="21"/>
              </w:rPr>
              <w:t xml:space="preserve">项目经理：</w:t>
            </w:r>
            <w:r/>
          </w:p>
          <w:p>
            <w:pPr>
              <w:pStyle w:val="666"/>
              <w:spacing w:line="360" w:lineRule="auto"/>
              <w:rPr>
                <w:rFonts w:hint="eastAsia"/>
                <w:spacing w:val="12"/>
                <w:szCs w:val="21"/>
              </w:rPr>
            </w:pPr>
            <w:r>
              <w:rPr>
                <w:rFonts w:hint="eastAsia"/>
                <w:spacing w:val="12"/>
                <w:szCs w:val="21"/>
              </w:rPr>
              <w:t xml:space="preserve">（1）供应商拟派的项目经理具有信息系统项目管理师证书或信创集成项目管理师证书的得3分：</w:t>
            </w:r>
            <w:r/>
          </w:p>
          <w:p>
            <w:pPr>
              <w:pStyle w:val="666"/>
              <w:spacing w:line="360" w:lineRule="auto"/>
              <w:rPr>
                <w:rFonts w:hint="eastAsia"/>
                <w:spacing w:val="12"/>
                <w:szCs w:val="21"/>
              </w:rPr>
            </w:pPr>
            <w:r>
              <w:rPr>
                <w:rFonts w:hint="eastAsia"/>
                <w:spacing w:val="12"/>
                <w:szCs w:val="21"/>
              </w:rPr>
              <w:t xml:space="preserve">（2）供应商拟派</w:t>
            </w:r>
            <w:r>
              <w:rPr>
                <w:spacing w:val="12"/>
                <w:szCs w:val="21"/>
              </w:rPr>
              <w:t xml:space="preserve">项目经理具有类似系统项</w:t>
            </w:r>
            <w:r>
              <w:rPr>
                <w:spacing w:val="12"/>
                <w:szCs w:val="21"/>
              </w:rPr>
              <w:t xml:space="preserve">目实施经验</w:t>
            </w:r>
            <w:r>
              <w:rPr>
                <w:rFonts w:hint="eastAsia"/>
                <w:spacing w:val="12"/>
                <w:szCs w:val="21"/>
              </w:rPr>
              <w:t xml:space="preserve">，得2分。</w:t>
            </w:r>
            <w:r/>
          </w:p>
          <w:p>
            <w:pPr>
              <w:pStyle w:val="666"/>
              <w:spacing w:line="360" w:lineRule="auto"/>
              <w:rPr>
                <w:b/>
                <w:bCs/>
                <w:spacing w:val="12"/>
                <w:szCs w:val="21"/>
              </w:rPr>
            </w:pPr>
            <w:r>
              <w:rPr>
                <w:rFonts w:hint="eastAsia"/>
                <w:b/>
                <w:bCs/>
                <w:spacing w:val="12"/>
                <w:szCs w:val="21"/>
              </w:rPr>
              <w:t xml:space="preserve">（提供证书、</w:t>
            </w:r>
            <w:r>
              <w:rPr>
                <w:b/>
                <w:bCs/>
                <w:spacing w:val="12"/>
                <w:szCs w:val="21"/>
              </w:rPr>
              <w:t xml:space="preserve">项目建设单位出具的工作经验的盖章证明</w:t>
            </w:r>
            <w:r>
              <w:rPr>
                <w:rFonts w:hint="eastAsia"/>
                <w:b/>
                <w:bCs/>
                <w:spacing w:val="12"/>
                <w:szCs w:val="21"/>
              </w:rPr>
              <w:t xml:space="preserve">及供应商为其缴纳的2026年1月以来内任意一个月的社保证明材料加盖公章，未提供不得分）</w:t>
            </w:r>
            <w:r>
              <w:rPr>
                <w:b/>
                <w:bCs/>
                <w:spacing w:val="12"/>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rFonts w:hint="eastAsia"/>
                <w:szCs w:val="21"/>
              </w:rPr>
            </w:pPr>
            <w:r>
              <w:rPr>
                <w:rFonts w:hint="eastAsia"/>
                <w:szCs w:val="21"/>
              </w:rPr>
              <w:t xml:space="preserve">5</w:t>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spacing w:val="-6"/>
                <w:szCs w:val="21"/>
              </w:rPr>
            </w:pPr>
            <w:r>
              <w:rPr>
                <w:spacing w:val="-6"/>
                <w:szCs w:val="21"/>
              </w:rPr>
              <w:t xml:space="preserve">客</w:t>
            </w:r>
            <w:r>
              <w:rPr>
                <w:spacing w:val="-4"/>
                <w:szCs w:val="21"/>
              </w:rPr>
              <w:t xml:space="preserve">观分</w:t>
            </w:r>
            <w:r>
              <w:rPr>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rFonts w:hint="eastAsia"/>
                <w:spacing w:val="-2"/>
                <w:szCs w:val="21"/>
              </w:rPr>
            </w:pPr>
            <w:r>
              <w:rPr>
                <w:rFonts w:hint="eastAsia"/>
                <w:spacing w:val="-2"/>
                <w:szCs w:val="21"/>
              </w:rPr>
              <w:t xml:space="preserve">4.2</w:t>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rFonts w:hint="eastAsia"/>
                <w:spacing w:val="-1"/>
                <w:szCs w:val="21"/>
              </w:rPr>
            </w:pPr>
            <w:r>
              <w:rPr>
                <w:spacing w:val="-1"/>
                <w:szCs w:val="21"/>
              </w:rPr>
              <w:t xml:space="preserve">履约能力</w:t>
            </w:r>
            <w:r>
              <w:rPr>
                <w:rFonts w:hint="eastAsia"/>
                <w:spacing w:val="-1"/>
                <w:szCs w:val="21"/>
              </w:rPr>
              <w:t xml:space="preserve">2</w:t>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rFonts w:hint="eastAsia"/>
                <w:spacing w:val="12"/>
                <w:szCs w:val="21"/>
              </w:rPr>
            </w:pPr>
            <w:r>
              <w:rPr>
                <w:spacing w:val="12"/>
                <w:szCs w:val="21"/>
              </w:rPr>
              <w:t xml:space="preserve">项目</w:t>
            </w:r>
            <w:r>
              <w:rPr>
                <w:rFonts w:hint="eastAsia"/>
                <w:spacing w:val="12"/>
                <w:szCs w:val="21"/>
              </w:rPr>
              <w:t xml:space="preserve">团队人员（项目经理除外）：</w:t>
            </w:r>
            <w:r/>
          </w:p>
          <w:p>
            <w:pPr>
              <w:pStyle w:val="666"/>
              <w:spacing w:line="360" w:lineRule="auto"/>
              <w:rPr>
                <w:rFonts w:hint="eastAsia"/>
                <w:b/>
                <w:bCs/>
                <w:spacing w:val="12"/>
                <w:szCs w:val="21"/>
              </w:rPr>
            </w:pPr>
            <w:r>
              <w:rPr>
                <w:rFonts w:hint="eastAsia"/>
                <w:spacing w:val="12"/>
                <w:szCs w:val="21"/>
              </w:rPr>
              <w:t xml:space="preserve">（1）</w:t>
            </w:r>
            <w:r>
              <w:rPr>
                <w:spacing w:val="12"/>
                <w:szCs w:val="21"/>
              </w:rPr>
              <w:t xml:space="preserve">项目团队人员（项目经理除外）具有数据库系统工程师</w:t>
            </w:r>
            <w:r>
              <w:rPr>
                <w:rFonts w:hint="eastAsia"/>
                <w:spacing w:val="12"/>
                <w:szCs w:val="21"/>
              </w:rPr>
              <w:t xml:space="preserve">证书或</w:t>
            </w:r>
            <w:r>
              <w:rPr>
                <w:spacing w:val="12"/>
                <w:szCs w:val="21"/>
              </w:rPr>
              <w:t xml:space="preserve">信息安全工程师</w:t>
            </w:r>
            <w:r>
              <w:rPr>
                <w:rFonts w:hint="eastAsia"/>
                <w:spacing w:val="12"/>
                <w:szCs w:val="21"/>
              </w:rPr>
              <w:t xml:space="preserve">证书或</w:t>
            </w:r>
            <w:r>
              <w:rPr>
                <w:spacing w:val="12"/>
                <w:szCs w:val="21"/>
              </w:rPr>
              <w:t xml:space="preserve">系统集成项目管理工程师</w:t>
            </w:r>
            <w:r>
              <w:rPr>
                <w:rFonts w:hint="eastAsia"/>
                <w:spacing w:val="12"/>
                <w:szCs w:val="21"/>
              </w:rPr>
              <w:t xml:space="preserve">证书或</w:t>
            </w:r>
            <w:r>
              <w:rPr>
                <w:spacing w:val="12"/>
                <w:szCs w:val="21"/>
              </w:rPr>
              <w:t xml:space="preserve">系统开发工程师</w:t>
            </w:r>
            <w:r>
              <w:rPr>
                <w:rFonts w:hint="eastAsia"/>
                <w:spacing w:val="12"/>
                <w:szCs w:val="21"/>
              </w:rPr>
              <w:t xml:space="preserve">证书</w:t>
            </w:r>
            <w:r>
              <w:rPr>
                <w:spacing w:val="12"/>
                <w:szCs w:val="21"/>
              </w:rPr>
              <w:t xml:space="preserve">，得2分</w:t>
            </w:r>
            <w:r>
              <w:rPr>
                <w:rFonts w:hint="eastAsia"/>
                <w:spacing w:val="12"/>
                <w:szCs w:val="21"/>
              </w:rPr>
              <w:t xml:space="preserve">；</w:t>
            </w:r>
            <w:r>
              <w:rPr>
                <w:rFonts w:hint="eastAsia"/>
                <w:b/>
                <w:bCs/>
                <w:spacing w:val="12"/>
                <w:szCs w:val="21"/>
              </w:rPr>
              <w:t xml:space="preserve">（</w:t>
            </w:r>
            <w:r>
              <w:rPr>
                <w:b/>
                <w:bCs/>
                <w:spacing w:val="12"/>
                <w:szCs w:val="21"/>
              </w:rPr>
              <w:t xml:space="preserve">需提供相关证书及供应商为其缴纳的2026年1月以来内任意一个月的社保证明材料加盖公章，未提供不得分</w:t>
            </w:r>
            <w:r>
              <w:rPr>
                <w:rFonts w:hint="eastAsia"/>
                <w:b/>
                <w:bCs/>
                <w:spacing w:val="12"/>
                <w:szCs w:val="21"/>
              </w:rPr>
              <w:t xml:space="preserve">）</w:t>
            </w:r>
            <w:r/>
          </w:p>
          <w:p>
            <w:pPr>
              <w:pStyle w:val="666"/>
              <w:spacing w:line="360" w:lineRule="auto"/>
              <w:rPr>
                <w:rFonts w:hint="eastAsia"/>
                <w:spacing w:val="12"/>
                <w:szCs w:val="21"/>
              </w:rPr>
            </w:pPr>
            <w:r>
              <w:rPr>
                <w:rFonts w:hint="eastAsia"/>
                <w:spacing w:val="12"/>
                <w:szCs w:val="21"/>
              </w:rPr>
              <w:t xml:space="preserve">（2）项目团队人员中具有</w:t>
            </w:r>
            <w:r>
              <w:rPr>
                <w:spacing w:val="12"/>
                <w:szCs w:val="21"/>
              </w:rPr>
              <w:t xml:space="preserve">类似系统项目实施经验</w:t>
            </w:r>
            <w:r>
              <w:rPr>
                <w:rFonts w:hint="eastAsia"/>
                <w:spacing w:val="12"/>
                <w:szCs w:val="21"/>
              </w:rPr>
              <w:t xml:space="preserve">，得3分。</w:t>
            </w:r>
            <w:r/>
          </w:p>
          <w:p>
            <w:pPr>
              <w:pStyle w:val="666"/>
              <w:spacing w:line="360" w:lineRule="auto"/>
              <w:rPr>
                <w:rFonts w:hint="eastAsia"/>
                <w:b/>
                <w:bCs/>
                <w:spacing w:val="12"/>
                <w:szCs w:val="21"/>
              </w:rPr>
            </w:pPr>
            <w:r>
              <w:rPr>
                <w:rFonts w:hint="eastAsia"/>
                <w:b/>
                <w:bCs/>
                <w:spacing w:val="12"/>
                <w:szCs w:val="21"/>
              </w:rPr>
              <w:t xml:space="preserve">（需提供</w:t>
            </w:r>
            <w:r>
              <w:rPr>
                <w:b/>
                <w:bCs/>
                <w:spacing w:val="12"/>
                <w:szCs w:val="21"/>
              </w:rPr>
              <w:t xml:space="preserve">项目建设单位出具的工作经验的盖章证明及供应商为其缴纳的2026年1月以来内任意一个月的社保证明材料加盖公章，未提供不得分</w:t>
            </w:r>
            <w:r>
              <w:rPr>
                <w:rFonts w:hint="eastAsia"/>
                <w:b/>
                <w:bCs/>
                <w:spacing w:val="12"/>
                <w:szCs w:val="21"/>
              </w:rPr>
              <w:t xml:space="preserve">）</w:t>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rFonts w:hint="eastAsia"/>
                <w:szCs w:val="21"/>
              </w:rPr>
            </w:pPr>
            <w:r>
              <w:rPr>
                <w:rFonts w:hint="eastAsia"/>
                <w:szCs w:val="21"/>
              </w:rPr>
              <w:t xml:space="preserve">5</w:t>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spacing w:val="-6"/>
                <w:szCs w:val="21"/>
              </w:rPr>
            </w:pPr>
            <w:r>
              <w:rPr>
                <w:spacing w:val="-6"/>
                <w:szCs w:val="21"/>
              </w:rPr>
              <w:t xml:space="preserve">客</w:t>
            </w:r>
            <w:r>
              <w:rPr>
                <w:spacing w:val="-4"/>
                <w:szCs w:val="21"/>
              </w:rPr>
              <w:t xml:space="preserve">观分</w:t>
            </w:r>
            <w:r>
              <w:rPr>
                <w:spacing w:val="-6"/>
                <w:szCs w:val="21"/>
              </w:rPr>
            </w:r>
            <w:r/>
          </w:p>
        </w:tc>
      </w:tr>
      <w:tr>
        <w:trPr/>
        <w:tc>
          <w:tcPr>
            <w:tcBorders>
              <w:top w:val="single" w:color="000000" w:sz="2" w:space="0"/>
              <w:bottom w:val="single" w:color="000000" w:sz="2" w:space="0"/>
            </w:tcBorders>
            <w:tcW w:w="519" w:type="dxa"/>
            <w:vAlign w:val="center"/>
            <w:textDirection w:val="lrTb"/>
            <w:noWrap w:val="false"/>
          </w:tcPr>
          <w:p>
            <w:pPr>
              <w:pStyle w:val="666"/>
              <w:jc w:val="center"/>
              <w:spacing w:line="360" w:lineRule="auto"/>
              <w:rPr>
                <w:rFonts w:hint="eastAsia"/>
                <w:spacing w:val="-2"/>
                <w:szCs w:val="21"/>
              </w:rPr>
            </w:pPr>
            <w:r>
              <w:rPr>
                <w:rFonts w:hint="eastAsia"/>
                <w:spacing w:val="-2"/>
                <w:szCs w:val="21"/>
              </w:rPr>
              <w:t xml:space="preserve">4.3</w:t>
            </w:r>
            <w:r/>
          </w:p>
        </w:tc>
        <w:tc>
          <w:tcPr>
            <w:tcBorders>
              <w:top w:val="single" w:color="000000" w:sz="2" w:space="0"/>
              <w:bottom w:val="single" w:color="000000" w:sz="2" w:space="0"/>
            </w:tcBorders>
            <w:tcW w:w="1179" w:type="dxa"/>
            <w:vAlign w:val="center"/>
            <w:textDirection w:val="lrTb"/>
            <w:noWrap w:val="false"/>
          </w:tcPr>
          <w:p>
            <w:pPr>
              <w:pStyle w:val="666"/>
              <w:jc w:val="center"/>
              <w:spacing w:line="360" w:lineRule="auto"/>
              <w:rPr>
                <w:spacing w:val="-1"/>
                <w:szCs w:val="21"/>
              </w:rPr>
            </w:pPr>
            <w:r>
              <w:rPr>
                <w:spacing w:val="-1"/>
                <w:szCs w:val="21"/>
              </w:rPr>
              <w:t xml:space="preserve">履约能力</w:t>
            </w:r>
            <w:r>
              <w:rPr>
                <w:rFonts w:hint="eastAsia"/>
                <w:spacing w:val="-1"/>
                <w:szCs w:val="21"/>
              </w:rPr>
              <w:t xml:space="preserve">3</w:t>
            </w:r>
            <w:r>
              <w:rPr>
                <w:spacing w:val="-1"/>
                <w:szCs w:val="21"/>
              </w:rPr>
            </w:r>
            <w:r/>
          </w:p>
        </w:tc>
        <w:tc>
          <w:tcPr>
            <w:tcBorders>
              <w:top w:val="single" w:color="000000" w:sz="2" w:space="0"/>
              <w:bottom w:val="single" w:color="000000" w:sz="2" w:space="0"/>
            </w:tcBorders>
            <w:tcW w:w="6425" w:type="dxa"/>
            <w:vAlign w:val="center"/>
            <w:textDirection w:val="lrTb"/>
            <w:noWrap w:val="false"/>
          </w:tcPr>
          <w:p>
            <w:pPr>
              <w:pStyle w:val="666"/>
              <w:spacing w:line="360" w:lineRule="auto"/>
              <w:rPr>
                <w:spacing w:val="12"/>
                <w:szCs w:val="21"/>
              </w:rPr>
            </w:pPr>
            <w:r>
              <w:rPr>
                <w:rFonts w:hint="eastAsia"/>
                <w:spacing w:val="12"/>
                <w:szCs w:val="21"/>
              </w:rPr>
              <w:t xml:space="preserve">供应商具有本项目相关的软件著作权证书，包括“</w:t>
            </w:r>
            <w:r>
              <w:rPr>
                <w:spacing w:val="12"/>
                <w:szCs w:val="21"/>
              </w:rPr>
              <w:t xml:space="preserve">税源治理、投资评审、债务系统、档案管理、智能会议、非税管理</w:t>
            </w:r>
            <w:r>
              <w:rPr>
                <w:rFonts w:hint="eastAsia"/>
                <w:spacing w:val="12"/>
                <w:szCs w:val="21"/>
              </w:rPr>
              <w:t xml:space="preserve">”，每提供1类证书得1分，最多得6分。（所提供证书“软件名称”与评分细则规定不同时，应提供符合上述要求的内容（功能）说明及关键信息，否则不予认可。）</w:t>
            </w:r>
            <w:r>
              <w:rPr>
                <w:spacing w:val="12"/>
                <w:szCs w:val="21"/>
              </w:rPr>
            </w:r>
            <w:r/>
          </w:p>
        </w:tc>
        <w:tc>
          <w:tcPr>
            <w:tcBorders>
              <w:top w:val="single" w:color="000000" w:sz="2" w:space="0"/>
              <w:bottom w:val="single" w:color="000000" w:sz="2" w:space="0"/>
            </w:tcBorders>
            <w:tcW w:w="637" w:type="dxa"/>
            <w:vAlign w:val="center"/>
            <w:textDirection w:val="lrTb"/>
            <w:noWrap w:val="false"/>
          </w:tcPr>
          <w:p>
            <w:pPr>
              <w:pStyle w:val="666"/>
              <w:jc w:val="center"/>
              <w:spacing w:line="360" w:lineRule="auto"/>
              <w:rPr>
                <w:rFonts w:hint="eastAsia"/>
                <w:szCs w:val="21"/>
              </w:rPr>
            </w:pPr>
            <w:r>
              <w:rPr>
                <w:rFonts w:hint="eastAsia"/>
                <w:szCs w:val="21"/>
              </w:rPr>
              <w:t xml:space="preserve">6</w:t>
            </w:r>
            <w:r/>
          </w:p>
        </w:tc>
        <w:tc>
          <w:tcPr>
            <w:tcBorders>
              <w:top w:val="single" w:color="000000" w:sz="2" w:space="0"/>
              <w:bottom w:val="single" w:color="000000" w:sz="2" w:space="0"/>
            </w:tcBorders>
            <w:tcW w:w="852" w:type="dxa"/>
            <w:vAlign w:val="center"/>
            <w:textDirection w:val="lrTb"/>
            <w:noWrap w:val="false"/>
          </w:tcPr>
          <w:p>
            <w:pPr>
              <w:pStyle w:val="666"/>
              <w:jc w:val="center"/>
              <w:spacing w:line="360" w:lineRule="auto"/>
              <w:rPr>
                <w:spacing w:val="-6"/>
                <w:szCs w:val="21"/>
              </w:rPr>
            </w:pPr>
            <w:r>
              <w:rPr>
                <w:spacing w:val="-6"/>
                <w:szCs w:val="21"/>
              </w:rPr>
              <w:t xml:space="preserve">客</w:t>
            </w:r>
            <w:r>
              <w:rPr>
                <w:spacing w:val="-4"/>
                <w:szCs w:val="21"/>
              </w:rPr>
              <w:t xml:space="preserve">观分</w:t>
            </w:r>
            <w:r>
              <w:rPr>
                <w:spacing w:val="-6"/>
                <w:szCs w:val="21"/>
              </w:rPr>
            </w:r>
            <w:r/>
          </w:p>
        </w:tc>
      </w:tr>
      <w:tr>
        <w:trPr/>
        <w:tc>
          <w:tcPr>
            <w:gridSpan w:val="3"/>
            <w:tcBorders>
              <w:top w:val="single" w:color="000000" w:sz="2" w:space="0"/>
              <w:bottom w:val="single" w:color="000000" w:sz="2" w:space="0"/>
            </w:tcBorders>
            <w:tcW w:w="8123" w:type="dxa"/>
            <w:vAlign w:val="center"/>
            <w:textDirection w:val="lrTb"/>
            <w:noWrap w:val="false"/>
          </w:tcPr>
          <w:p>
            <w:pPr>
              <w:pStyle w:val="666"/>
              <w:ind w:left="172"/>
              <w:jc w:val="center"/>
              <w:spacing w:line="360" w:lineRule="auto"/>
              <w:rPr>
                <w:color w:val="ff0000"/>
                <w:spacing w:val="-2"/>
                <w:szCs w:val="21"/>
              </w:rPr>
            </w:pPr>
            <w:r>
              <w:rPr>
                <w:spacing w:val="-3"/>
                <w:szCs w:val="21"/>
              </w:rPr>
              <w:t xml:space="preserve">合</w:t>
            </w:r>
            <w:r>
              <w:rPr>
                <w:spacing w:val="-2"/>
                <w:szCs w:val="21"/>
              </w:rPr>
              <w:t xml:space="preserve">计</w:t>
            </w:r>
            <w:r>
              <w:rPr>
                <w:color w:val="ff0000"/>
                <w:spacing w:val="-2"/>
                <w:szCs w:val="21"/>
              </w:rPr>
            </w:r>
            <w:r/>
          </w:p>
        </w:tc>
        <w:tc>
          <w:tcPr>
            <w:gridSpan w:val="2"/>
            <w:tcBorders>
              <w:top w:val="single" w:color="000000" w:sz="2" w:space="0"/>
              <w:bottom w:val="single" w:color="000000" w:sz="2" w:space="0"/>
            </w:tcBorders>
            <w:tcW w:w="1489" w:type="dxa"/>
            <w:vAlign w:val="center"/>
            <w:textDirection w:val="lrTb"/>
            <w:noWrap w:val="false"/>
          </w:tcPr>
          <w:p>
            <w:pPr>
              <w:pStyle w:val="666"/>
              <w:jc w:val="center"/>
              <w:spacing w:line="360" w:lineRule="auto"/>
              <w:rPr>
                <w:szCs w:val="21"/>
              </w:rPr>
            </w:pPr>
            <w:r>
              <w:rPr>
                <w:rFonts w:hint="eastAsia"/>
                <w:spacing w:val="-11"/>
                <w:szCs w:val="21"/>
              </w:rPr>
              <w:t xml:space="preserve">100</w:t>
            </w:r>
            <w:r>
              <w:rPr>
                <w:spacing w:val="-11"/>
                <w:szCs w:val="21"/>
              </w:rPr>
              <w:t xml:space="preserve">分</w:t>
            </w:r>
            <w:r>
              <w:rPr>
                <w:szCs w:val="21"/>
              </w:rPr>
            </w:r>
            <w:r/>
          </w:p>
        </w:tc>
      </w:tr>
    </w:tbl>
    <w:p>
      <w:pPr>
        <w:pStyle w:val="666"/>
        <w:jc w:val="center"/>
        <w:rPr>
          <w:rFonts w:hint="eastAsia" w:ascii="黑体" w:eastAsia="黑体"/>
          <w:bCs/>
          <w:sz w:val="44"/>
          <w:szCs w:val="28"/>
        </w:rPr>
        <w:outlineLvl w:val="0"/>
      </w:pPr>
      <w:r>
        <w:rPr>
          <w:rFonts w:hint="eastAsia" w:ascii="黑体" w:eastAsia="黑体"/>
          <w:bCs/>
          <w:sz w:val="44"/>
          <w:szCs w:val="28"/>
        </w:rPr>
        <w:br w:type="page" w:clear="all"/>
      </w:r>
      <w:bookmarkStart w:id="91" w:name="_Toc199251413"/>
      <w:r/>
      <w:bookmarkStart w:id="92" w:name="_Toc238758641"/>
      <w:r>
        <w:rPr>
          <w:rFonts w:hint="eastAsia" w:ascii="方正小标宋简体" w:hAnsi="方正小标宋简体" w:eastAsia="方正小标宋简体" w:cs="方正小标宋简体"/>
          <w:color w:val="000000"/>
          <w:sz w:val="36"/>
          <w:szCs w:val="36"/>
        </w:rPr>
        <w:t xml:space="preserve">第六章  </w:t>
      </w:r>
      <w:bookmarkEnd w:id="85"/>
      <w:r/>
      <w:bookmarkEnd w:id="86"/>
      <w:r/>
      <w:bookmarkEnd w:id="88"/>
      <w:r>
        <w:rPr>
          <w:rFonts w:hint="eastAsia" w:ascii="方正小标宋简体" w:hAnsi="方正小标宋简体" w:eastAsia="方正小标宋简体" w:cs="方正小标宋简体"/>
          <w:color w:val="000000"/>
          <w:sz w:val="36"/>
          <w:szCs w:val="36"/>
        </w:rPr>
        <w:t xml:space="preserve">响应文件格式</w:t>
      </w:r>
      <w:bookmarkEnd w:id="91"/>
      <w:r/>
      <w:bookmarkEnd w:id="92"/>
      <w:r>
        <w:rPr>
          <w:rFonts w:hint="eastAsia" w:ascii="黑体" w:eastAsia="黑体"/>
          <w:bCs/>
          <w:sz w:val="44"/>
          <w:szCs w:val="28"/>
        </w:rPr>
      </w:r>
      <w:r/>
    </w:p>
    <w:p>
      <w:pPr>
        <w:pStyle w:val="666"/>
        <w:jc w:val="center"/>
        <w:rPr>
          <w:rFonts w:hint="eastAsia" w:ascii="宋体" w:hAnsi="宋体"/>
          <w:b/>
          <w:sz w:val="72"/>
          <w:szCs w:val="21"/>
        </w:rPr>
      </w:pPr>
      <w:r/>
      <w:bookmarkStart w:id="93" w:name="_Hlt26671244"/>
      <w:r/>
      <w:bookmarkEnd w:id="93"/>
      <w:r/>
      <w:bookmarkStart w:id="94" w:name="_Hlt26955039"/>
      <w:r/>
      <w:bookmarkEnd w:id="94"/>
      <w:r/>
      <w:bookmarkStart w:id="95" w:name="_Toc120614282"/>
      <w:r/>
      <w:bookmarkStart w:id="96" w:name="_Toc49090576"/>
      <w:r/>
      <w:bookmarkStart w:id="97" w:name="_Toc26554094"/>
      <w:r>
        <w:rPr>
          <w:rFonts w:hint="eastAsia" w:ascii="宋体" w:hAnsi="宋体"/>
          <w:b/>
          <w:sz w:val="72"/>
          <w:szCs w:val="21"/>
        </w:rPr>
      </w:r>
      <w:r/>
    </w:p>
    <w:p>
      <w:pPr>
        <w:pStyle w:val="666"/>
        <w:jc w:val="center"/>
        <w:rPr>
          <w:rFonts w:hint="eastAsia" w:ascii="宋体" w:hAnsi="宋体"/>
          <w:b/>
          <w:sz w:val="72"/>
          <w:szCs w:val="21"/>
        </w:rPr>
      </w:pPr>
      <w:r>
        <w:rPr>
          <w:rFonts w:hint="eastAsia" w:ascii="宋体" w:hAnsi="宋体"/>
          <w:b/>
          <w:sz w:val="72"/>
          <w:szCs w:val="21"/>
        </w:rPr>
        <w:t xml:space="preserve">响  应  文  件</w:t>
      </w:r>
      <w:r/>
    </w:p>
    <w:p>
      <w:pPr>
        <w:pStyle w:val="666"/>
        <w:jc w:val="center"/>
        <w:rPr>
          <w:rFonts w:hint="eastAsia" w:ascii="宋体" w:hAnsi="宋体"/>
          <w:b/>
          <w:sz w:val="72"/>
          <w:szCs w:val="21"/>
        </w:rPr>
      </w:pPr>
      <w:r>
        <w:rPr>
          <w:rFonts w:hint="eastAsia" w:ascii="宋体" w:hAnsi="宋体"/>
          <w:b/>
          <w:sz w:val="72"/>
          <w:szCs w:val="21"/>
        </w:rPr>
      </w:r>
      <w:r/>
    </w:p>
    <w:p>
      <w:pPr>
        <w:pStyle w:val="666"/>
        <w:jc w:val="center"/>
        <w:rPr>
          <w:rFonts w:hint="eastAsia" w:ascii="宋体" w:hAnsi="宋体"/>
          <w:b/>
          <w:sz w:val="72"/>
          <w:szCs w:val="21"/>
        </w:rPr>
      </w:pPr>
      <w:r>
        <w:rPr>
          <w:rFonts w:hint="eastAsia" w:ascii="宋体" w:hAnsi="宋体"/>
          <w:b/>
          <w:sz w:val="72"/>
          <w:szCs w:val="21"/>
        </w:rPr>
      </w:r>
      <w:r/>
    </w:p>
    <w:p>
      <w:pPr>
        <w:pStyle w:val="666"/>
        <w:jc w:val="center"/>
        <w:rPr>
          <w:rFonts w:hint="eastAsia" w:ascii="宋体" w:hAnsi="宋体"/>
          <w:b/>
          <w:sz w:val="36"/>
          <w:szCs w:val="21"/>
        </w:rPr>
      </w:pPr>
      <w:r>
        <w:rPr>
          <w:rFonts w:hint="eastAsia" w:ascii="宋体" w:hAnsi="宋体"/>
          <w:b/>
          <w:sz w:val="36"/>
          <w:szCs w:val="21"/>
        </w:rPr>
      </w:r>
      <w:r/>
    </w:p>
    <w:p>
      <w:pPr>
        <w:pStyle w:val="666"/>
        <w:jc w:val="center"/>
        <w:rPr>
          <w:rFonts w:hint="eastAsia" w:ascii="宋体" w:hAnsi="宋体"/>
          <w:b/>
          <w:sz w:val="36"/>
          <w:szCs w:val="21"/>
        </w:rPr>
      </w:pPr>
      <w:r>
        <w:rPr>
          <w:rFonts w:hint="eastAsia" w:ascii="宋体" w:hAnsi="宋体"/>
          <w:b/>
          <w:sz w:val="36"/>
          <w:szCs w:val="21"/>
        </w:rPr>
      </w:r>
      <w:r/>
    </w:p>
    <w:p>
      <w:pPr>
        <w:pStyle w:val="666"/>
        <w:jc w:val="center"/>
        <w:rPr>
          <w:rFonts w:hint="eastAsia" w:ascii="宋体" w:hAnsi="宋体"/>
          <w:b/>
          <w:sz w:val="36"/>
          <w:szCs w:val="21"/>
        </w:rPr>
      </w:pPr>
      <w:r>
        <w:rPr>
          <w:rFonts w:hint="eastAsia" w:ascii="宋体" w:hAnsi="宋体"/>
          <w:b/>
          <w:sz w:val="36"/>
          <w:szCs w:val="21"/>
        </w:rPr>
      </w:r>
      <w:r/>
    </w:p>
    <w:p>
      <w:pPr>
        <w:pStyle w:val="666"/>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666"/>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666"/>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666"/>
        <w:ind w:firstLine="1084"/>
        <w:rPr>
          <w:rFonts w:ascii="宋体" w:hAnsi="宋体"/>
          <w:b/>
          <w:sz w:val="36"/>
          <w:szCs w:val="21"/>
          <w:u w:val="single"/>
        </w:rPr>
      </w:pPr>
      <w:r>
        <w:rPr>
          <w:rFonts w:hint="eastAsia" w:ascii="宋体" w:hAnsi="宋体"/>
          <w:b/>
          <w:sz w:val="36"/>
          <w:szCs w:val="21"/>
        </w:rPr>
        <w:t xml:space="preserve">日      期 ：</w:t>
      </w:r>
      <w:r>
        <w:rPr>
          <w:rFonts w:hint="eastAsia" w:ascii="宋体" w:hAnsi="宋体"/>
          <w:b/>
          <w:sz w:val="36"/>
          <w:szCs w:val="21"/>
          <w:u w:val="single"/>
        </w:rPr>
        <w:t xml:space="preserve">                   </w:t>
      </w:r>
      <w:r>
        <w:rPr>
          <w:rFonts w:ascii="宋体" w:hAnsi="宋体"/>
          <w:b/>
          <w:sz w:val="36"/>
          <w:szCs w:val="21"/>
          <w:u w:val="single"/>
        </w:rPr>
      </w:r>
      <w:r/>
    </w:p>
    <w:p>
      <w:pPr>
        <w:pStyle w:val="666"/>
        <w:jc w:val="center"/>
        <w:spacing w:line="440" w:lineRule="exact"/>
        <w:rPr>
          <w:rFonts w:hint="eastAsia" w:ascii="宋体" w:hAnsi="宋体"/>
          <w:b/>
          <w:bCs/>
          <w:sz w:val="32"/>
          <w:szCs w:val="32"/>
        </w:rPr>
      </w:pPr>
      <w:r>
        <w:rPr>
          <w:rFonts w:hint="eastAsia" w:ascii="宋体" w:hAnsi="宋体"/>
          <w:b/>
          <w:bCs/>
          <w:sz w:val="32"/>
          <w:szCs w:val="32"/>
        </w:rPr>
      </w:r>
      <w:r/>
    </w:p>
    <w:p>
      <w:pPr>
        <w:pStyle w:val="666"/>
        <w:spacing w:line="440" w:lineRule="exact"/>
        <w:rPr>
          <w:rFonts w:ascii="宋体" w:hAnsi="宋体"/>
          <w:szCs w:val="21"/>
        </w:rPr>
      </w:pPr>
      <w:r>
        <w:rPr>
          <w:rFonts w:ascii="宋体" w:hAnsi="宋体"/>
          <w:szCs w:val="21"/>
        </w:rPr>
      </w:r>
      <w:r/>
    </w:p>
    <w:p>
      <w:pPr>
        <w:pStyle w:val="666"/>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pStyle w:val="666"/>
        <w:jc w:val="center"/>
        <w:spacing w:line="440" w:lineRule="exact"/>
        <w:rPr>
          <w:rFonts w:hint="eastAsia" w:ascii="宋体" w:hAnsi="宋体"/>
          <w:b/>
          <w:bCs/>
          <w:sz w:val="32"/>
          <w:szCs w:val="32"/>
        </w:rPr>
      </w:pPr>
      <w:r>
        <w:rPr>
          <w:rFonts w:hint="eastAsia" w:ascii="宋体" w:hAnsi="宋体"/>
          <w:b/>
          <w:bCs/>
          <w:sz w:val="32"/>
          <w:szCs w:val="32"/>
        </w:rPr>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一、南京市政府采购供应商信用承诺书</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二、法定代表人授权委托书</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三、磋商响应函</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四、磋商报价表</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五、分项报价表（如有）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六、技术要求响应及偏离表</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七、商务要求响应及偏离表</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八、中小企业声明函（如有）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十、联合体协议（如有）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pStyle w:val="666"/>
        <w:ind w:firstLine="560"/>
        <w:spacing w:line="360" w:lineRule="auto"/>
        <w:rPr>
          <w:rFonts w:hint="eastAsia" w:ascii="宋体" w:hAnsi="宋体" w:cs="宋体"/>
          <w:sz w:val="28"/>
          <w:szCs w:val="28"/>
        </w:rPr>
      </w:pPr>
      <w:r>
        <w:rPr>
          <w:rFonts w:hint="eastAsia" w:ascii="宋体" w:hAnsi="宋体" w:cs="宋体"/>
          <w:sz w:val="28"/>
          <w:szCs w:val="28"/>
        </w:rPr>
        <w:t xml:space="preserve">十二、分包情况说明及分包意向协议（如有）</w:t>
      </w:r>
      <w:r/>
    </w:p>
    <w:p>
      <w:pPr>
        <w:pStyle w:val="666"/>
        <w:spacing w:line="360" w:lineRule="auto"/>
        <w:rPr>
          <w:rFonts w:hint="eastAsia" w:ascii="黑体" w:hAnsi="黑体" w:eastAsia="黑体"/>
          <w:b/>
          <w:bCs/>
          <w:sz w:val="32"/>
          <w:szCs w:val="36"/>
        </w:rPr>
        <w:outlineLvl w:val="1"/>
      </w:pPr>
      <w:r>
        <w:rPr>
          <w:rFonts w:hint="eastAsia" w:ascii="黑体" w:hAnsi="黑体" w:eastAsia="黑体"/>
          <w:i/>
          <w:sz w:val="32"/>
          <w:szCs w:val="32"/>
          <w:u w:val="single"/>
        </w:rPr>
        <w:br w:type="page" w:clear="all"/>
      </w:r>
      <w:r>
        <w:rPr>
          <w:rFonts w:hint="eastAsia" w:ascii="黑体" w:hAnsi="黑体" w:eastAsia="黑体"/>
          <w:b/>
          <w:bCs/>
          <w:sz w:val="32"/>
          <w:szCs w:val="36"/>
        </w:rPr>
        <w:t xml:space="preserve">一、</w:t>
      </w:r>
      <w:r>
        <w:rPr>
          <w:rFonts w:ascii="黑体" w:hAnsi="黑体" w:eastAsia="黑体"/>
          <w:b/>
          <w:bCs/>
          <w:sz w:val="32"/>
          <w:szCs w:val="36"/>
        </w:rPr>
        <w:t xml:space="preserve">南京市政府采购供应商信用承诺书</w:t>
      </w:r>
      <w:r>
        <w:rPr>
          <w:rFonts w:hint="eastAsia" w:ascii="黑体" w:hAnsi="黑体" w:eastAsia="黑体"/>
          <w:b/>
          <w:bCs/>
          <w:sz w:val="32"/>
          <w:szCs w:val="36"/>
        </w:rPr>
      </w:r>
      <w:r/>
    </w:p>
    <w:p>
      <w:pPr>
        <w:pStyle w:val="666"/>
        <w:jc w:val="center"/>
        <w:spacing w:line="360" w:lineRule="auto"/>
        <w:rPr>
          <w:rFonts w:hint="eastAsia" w:ascii="宋体" w:hAnsi="宋体" w:cs="方正小标宋简体"/>
          <w:b/>
          <w:bCs/>
          <w:color w:val="000000"/>
          <w:sz w:val="32"/>
          <w:szCs w:val="32"/>
          <w:lang w:val="zh-CN"/>
        </w:rPr>
      </w:pPr>
      <w:r/>
      <w:bookmarkEnd w:id="95"/>
      <w:r/>
      <w:bookmarkEnd w:id="96"/>
      <w:r/>
      <w:bookmarkEnd w:id="97"/>
      <w:r/>
      <w:bookmarkStart w:id="98" w:name="_Toc120614284"/>
      <w:r>
        <w:rPr>
          <w:rFonts w:hint="eastAsia" w:ascii="宋体" w:hAnsi="宋体" w:cs="方正小标宋简体"/>
          <w:b/>
          <w:bCs/>
          <w:color w:val="000000"/>
          <w:sz w:val="32"/>
          <w:szCs w:val="32"/>
          <w:lang w:val="zh-CN"/>
        </w:rPr>
        <w:t xml:space="preserve">南京市政府采购供应商信用承诺书</w:t>
      </w:r>
      <w:r/>
    </w:p>
    <w:p>
      <w:pPr>
        <w:pStyle w:val="666"/>
        <w:jc w:val="right"/>
        <w:rPr>
          <w:rFonts w:hint="eastAsia"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rPr>
        <w:t xml:space="preserve">XXXX年XX月XX日</w:t>
      </w:r>
      <w:r/>
    </w:p>
    <w:tbl>
      <w:tblPr>
        <w:tblpPr w:horzAnchor="text" w:tblpXSpec="center" w:vertAnchor="text" w:tblpY="1" w:leftFromText="180" w:topFromText="0" w:rightFromText="180" w:bottomFromText="0"/>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158"/>
        <w:gridCol w:w="2294"/>
        <w:gridCol w:w="2194"/>
        <w:gridCol w:w="2993"/>
      </w:tblGrid>
      <w:tr>
        <w:trPr>
          <w:trHeight w:val="567"/>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单位名称</w:t>
            </w:r>
            <w:r>
              <w:rPr>
                <w:sz w:val="24"/>
                <w:szCs w:val="32"/>
              </w:rPr>
            </w:r>
            <w:r/>
          </w:p>
        </w:tc>
        <w:tc>
          <w:tcPr>
            <w:tcW w:w="2284" w:type="dxa"/>
            <w:vAlign w:val="center"/>
            <w:textDirection w:val="lrTb"/>
            <w:noWrap w:val="false"/>
          </w:tcPr>
          <w:p>
            <w:pPr>
              <w:pStyle w:val="666"/>
              <w:ind w:firstLine="480"/>
              <w:jc w:val="center"/>
              <w:rPr>
                <w:sz w:val="24"/>
                <w:szCs w:val="32"/>
              </w:rPr>
              <w:framePr w:hSpace="180" w:wrap="around" w:vAnchor="text" w:hAnchor="text" w:xAlign="center" w:y="1"/>
            </w:pPr>
            <w:r>
              <w:rPr>
                <w:sz w:val="24"/>
                <w:szCs w:val="32"/>
              </w:rPr>
            </w:r>
            <w:r/>
          </w:p>
        </w:tc>
        <w:tc>
          <w:tcPr>
            <w:tcW w:w="2184"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统一社会信用代码</w:t>
            </w:r>
            <w:r>
              <w:rPr>
                <w:sz w:val="24"/>
                <w:szCs w:val="32"/>
              </w:rPr>
            </w:r>
            <w:r/>
          </w:p>
        </w:tc>
        <w:tc>
          <w:tcPr>
            <w:tcW w:w="2980" w:type="dxa"/>
            <w:vAlign w:val="center"/>
            <w:textDirection w:val="lrTb"/>
            <w:noWrap w:val="false"/>
          </w:tcPr>
          <w:p>
            <w:pPr>
              <w:pStyle w:val="666"/>
              <w:jc w:val="center"/>
              <w:rPr>
                <w:rFonts w:hint="eastAsia"/>
                <w:sz w:val="24"/>
                <w:szCs w:val="32"/>
              </w:rPr>
              <w:framePr w:hSpace="180" w:wrap="around" w:vAnchor="text" w:hAnchor="text" w:xAlign="center" w:y="1"/>
            </w:pPr>
            <w:r>
              <w:rPr>
                <w:rFonts w:hint="eastAsia"/>
                <w:sz w:val="24"/>
                <w:szCs w:val="32"/>
              </w:rPr>
            </w:r>
            <w:r/>
          </w:p>
        </w:tc>
      </w:tr>
      <w:tr>
        <w:trPr>
          <w:trHeight w:val="567"/>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法定代表人</w:t>
            </w:r>
            <w:r>
              <w:rPr>
                <w:sz w:val="24"/>
                <w:szCs w:val="32"/>
              </w:rPr>
            </w:r>
            <w:r/>
          </w:p>
        </w:tc>
        <w:tc>
          <w:tcPr>
            <w:tcW w:w="2284" w:type="dxa"/>
            <w:vAlign w:val="center"/>
            <w:textDirection w:val="lrTb"/>
            <w:noWrap w:val="false"/>
          </w:tcPr>
          <w:p>
            <w:pPr>
              <w:pStyle w:val="666"/>
              <w:ind w:firstLine="480"/>
              <w:jc w:val="center"/>
              <w:rPr>
                <w:sz w:val="24"/>
                <w:szCs w:val="32"/>
              </w:rPr>
              <w:framePr w:hSpace="180" w:wrap="around" w:vAnchor="text" w:hAnchor="text" w:xAlign="center" w:y="1"/>
            </w:pPr>
            <w:r>
              <w:rPr>
                <w:sz w:val="24"/>
                <w:szCs w:val="32"/>
              </w:rPr>
            </w:r>
            <w:r/>
          </w:p>
        </w:tc>
        <w:tc>
          <w:tcPr>
            <w:tcW w:w="2184"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联系人</w:t>
            </w:r>
            <w:r>
              <w:rPr>
                <w:sz w:val="24"/>
                <w:szCs w:val="32"/>
              </w:rPr>
            </w:r>
            <w:r/>
          </w:p>
        </w:tc>
        <w:tc>
          <w:tcPr>
            <w:tcW w:w="2980" w:type="dxa"/>
            <w:vAlign w:val="center"/>
            <w:textDirection w:val="lrTb"/>
            <w:noWrap w:val="false"/>
          </w:tcPr>
          <w:p>
            <w:pPr>
              <w:pStyle w:val="666"/>
              <w:jc w:val="center"/>
              <w:framePr w:hSpace="180" w:wrap="around" w:vAnchor="text" w:hAnchor="text" w:xAlign="center" w:y="1"/>
            </w:pPr>
            <w:r/>
            <w:r/>
          </w:p>
        </w:tc>
      </w:tr>
      <w:tr>
        <w:trPr>
          <w:trHeight w:val="567"/>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联系地址</w:t>
            </w:r>
            <w:r>
              <w:rPr>
                <w:sz w:val="24"/>
                <w:szCs w:val="32"/>
              </w:rPr>
            </w:r>
            <w:r/>
          </w:p>
        </w:tc>
        <w:tc>
          <w:tcPr>
            <w:tcW w:w="2284" w:type="dxa"/>
            <w:vAlign w:val="center"/>
            <w:textDirection w:val="lrTb"/>
            <w:noWrap w:val="false"/>
          </w:tcPr>
          <w:p>
            <w:pPr>
              <w:pStyle w:val="666"/>
              <w:ind w:firstLine="480"/>
              <w:jc w:val="center"/>
              <w:rPr>
                <w:sz w:val="24"/>
                <w:szCs w:val="32"/>
              </w:rPr>
              <w:framePr w:hSpace="180" w:wrap="around" w:vAnchor="text" w:hAnchor="text" w:xAlign="center" w:y="1"/>
            </w:pPr>
            <w:r>
              <w:rPr>
                <w:sz w:val="24"/>
                <w:szCs w:val="32"/>
              </w:rPr>
            </w:r>
            <w:r/>
          </w:p>
        </w:tc>
        <w:tc>
          <w:tcPr>
            <w:tcW w:w="2184"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联系电话</w:t>
            </w:r>
            <w:r>
              <w:rPr>
                <w:sz w:val="24"/>
                <w:szCs w:val="32"/>
              </w:rPr>
            </w:r>
            <w:r/>
          </w:p>
        </w:tc>
        <w:tc>
          <w:tcPr>
            <w:tcW w:w="2980" w:type="dxa"/>
            <w:vAlign w:val="center"/>
            <w:textDirection w:val="lrTb"/>
            <w:noWrap w:val="false"/>
          </w:tcPr>
          <w:p>
            <w:pPr>
              <w:pStyle w:val="666"/>
              <w:jc w:val="center"/>
              <w:framePr w:hSpace="180" w:wrap="around" w:vAnchor="text" w:hAnchor="text" w:xAlign="center" w:y="1"/>
            </w:pPr>
            <w:r/>
            <w:r/>
          </w:p>
        </w:tc>
      </w:tr>
      <w:tr>
        <w:trPr>
          <w:trHeight w:val="5560"/>
        </w:trPr>
        <w:tc>
          <w:tcPr>
            <w:tcW w:w="2148" w:type="dxa"/>
            <w:vAlign w:val="center"/>
            <w:textDirection w:val="lrTb"/>
            <w:noWrap w:val="false"/>
          </w:tcPr>
          <w:p>
            <w:pPr>
              <w:pStyle w:val="666"/>
              <w:jc w:val="center"/>
              <w:rPr>
                <w:sz w:val="24"/>
                <w:szCs w:val="32"/>
              </w:rPr>
              <w:framePr w:hSpace="180" w:wrap="around" w:vAnchor="text" w:hAnchor="text" w:xAlign="center" w:y="1"/>
            </w:pPr>
            <w:r>
              <w:rPr>
                <w:rFonts w:hint="eastAsia"/>
                <w:sz w:val="24"/>
                <w:szCs w:val="32"/>
              </w:rPr>
              <w:t xml:space="preserve">信用承诺</w:t>
            </w:r>
            <w:r>
              <w:rPr>
                <w:sz w:val="24"/>
                <w:szCs w:val="32"/>
              </w:rPr>
            </w:r>
            <w:r/>
          </w:p>
        </w:tc>
        <w:tc>
          <w:tcPr>
            <w:gridSpan w:val="3"/>
            <w:tcW w:w="7448" w:type="dxa"/>
            <w:vAlign w:val="center"/>
            <w:textDirection w:val="lrTb"/>
            <w:noWrap w:val="false"/>
          </w:tcPr>
          <w:p>
            <w:pPr>
              <w:pStyle w:val="666"/>
              <w:ind w:firstLine="420"/>
              <w:framePr w:hSpace="180" w:wrap="around" w:vAnchor="text" w:hAnchor="text" w:xAlign="center" w:y="1"/>
            </w:pPr>
            <w:r>
              <w:rPr>
                <w:rFonts w:hint="eastAsia"/>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w:t>
            </w:r>
            <w:r>
              <w:rPr>
                <w:rFonts w:hint="eastAsia"/>
              </w:rPr>
              <w:t xml:space="preserve">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666"/>
              <w:ind w:firstLine="420"/>
              <w:framePr w:hSpace="180" w:wrap="around" w:vAnchor="text" w:hAnchor="text" w:xAlign="center" w:y="1"/>
            </w:pPr>
            <w:r/>
            <w:r/>
          </w:p>
          <w:p>
            <w:pPr>
              <w:pStyle w:val="666"/>
              <w:ind w:firstLine="420"/>
              <w:jc w:val="center"/>
              <w:framePr w:hSpace="180" w:wrap="around" w:vAnchor="text" w:hAnchor="text" w:xAlign="center" w:y="1"/>
            </w:pPr>
            <w:r>
              <w:rPr>
                <w:rFonts w:hint="eastAsia"/>
              </w:rPr>
              <w:t xml:space="preserve">供应商名称（盖章）：</w:t>
            </w:r>
            <w:r/>
          </w:p>
          <w:p>
            <w:pPr>
              <w:pStyle w:val="666"/>
              <w:ind w:firstLine="420"/>
              <w:jc w:val="center"/>
              <w:framePr w:hSpace="180" w:wrap="around" w:vAnchor="text" w:hAnchor="text" w:xAlign="center" w:y="1"/>
            </w:pPr>
            <w:r/>
            <w:r/>
          </w:p>
          <w:p>
            <w:pPr>
              <w:pStyle w:val="666"/>
              <w:ind w:firstLine="420"/>
              <w:jc w:val="center"/>
              <w:framePr w:hSpace="180" w:wrap="around" w:vAnchor="text" w:hAnchor="text" w:xAlign="center" w:y="1"/>
            </w:pPr>
            <w:r>
              <w:rPr>
                <w:rFonts w:hint="eastAsia"/>
              </w:rPr>
              <w:t xml:space="preserve">法定代表人（签字）：</w:t>
            </w:r>
            <w:r/>
          </w:p>
          <w:p>
            <w:pPr>
              <w:pStyle w:val="666"/>
              <w:ind w:firstLine="420"/>
              <w:jc w:val="center"/>
              <w:framePr w:hSpace="180" w:wrap="around" w:vAnchor="text" w:hAnchor="text" w:xAlign="center" w:y="1"/>
            </w:pPr>
            <w:r/>
            <w:r/>
          </w:p>
          <w:p>
            <w:pPr>
              <w:pStyle w:val="666"/>
              <w:ind w:firstLine="420"/>
              <w:jc w:val="center"/>
              <w:framePr w:hSpace="180" w:wrap="around" w:vAnchor="text" w:hAnchor="text" w:xAlign="center" w:y="1"/>
            </w:pPr>
            <w:r>
              <w:rPr>
                <w:rFonts w:hint="eastAsia"/>
              </w:rPr>
              <w:t xml:space="preserve">XXXX年XX月XX日</w:t>
            </w:r>
            <w:r/>
          </w:p>
        </w:tc>
      </w:tr>
    </w:tbl>
    <w:p>
      <w:pPr>
        <w:pStyle w:val="666"/>
        <w:rPr>
          <w:rFonts w:hint="eastAsia" w:ascii="黑体" w:hAnsi="黑体" w:eastAsia="黑体"/>
          <w:sz w:val="32"/>
          <w:szCs w:val="32"/>
        </w:rPr>
      </w:pPr>
      <w:r>
        <w:rPr>
          <w:rFonts w:hint="eastAsia" w:ascii="黑体" w:hAnsi="黑体" w:eastAsia="黑体"/>
          <w:sz w:val="32"/>
          <w:szCs w:val="32"/>
        </w:rPr>
      </w:r>
      <w:r/>
    </w:p>
    <w:p>
      <w:pPr>
        <w:pStyle w:val="666"/>
        <w:rPr>
          <w:rFonts w:hint="eastAsia" w:ascii="黑体" w:hAnsi="黑体" w:eastAsia="黑体"/>
          <w:sz w:val="32"/>
          <w:szCs w:val="32"/>
        </w:rPr>
        <w:sectPr>
          <w:footerReference w:type="first" r:id="rId11"/>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sz w:val="32"/>
          <w:szCs w:val="32"/>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二、</w:t>
      </w:r>
      <w:r>
        <w:rPr>
          <w:rFonts w:ascii="黑体" w:hAnsi="黑体" w:eastAsia="黑体"/>
          <w:b/>
          <w:bCs/>
          <w:sz w:val="32"/>
          <w:szCs w:val="36"/>
        </w:rPr>
        <w:t xml:space="preserve">法定代表人授权委托书</w:t>
      </w:r>
      <w:r>
        <w:rPr>
          <w:rFonts w:hint="eastAsia" w:ascii="黑体" w:hAnsi="黑体" w:eastAsia="黑体"/>
          <w:b/>
          <w:bCs/>
          <w:sz w:val="32"/>
          <w:szCs w:val="36"/>
        </w:rPr>
      </w:r>
      <w:r/>
    </w:p>
    <w:p>
      <w:pPr>
        <w:pStyle w:val="666"/>
        <w:jc w:val="center"/>
        <w:spacing w:line="360" w:lineRule="auto"/>
        <w:rPr>
          <w:rFonts w:hint="eastAsia" w:ascii="宋体" w:hAnsi="宋体" w:cs="方正小标宋简体"/>
          <w:b/>
          <w:bCs/>
          <w:color w:val="000000"/>
          <w:sz w:val="32"/>
          <w:szCs w:val="32"/>
          <w:lang w:val="zh-CN"/>
        </w:rPr>
      </w:pPr>
      <w:r>
        <w:rPr>
          <w:rFonts w:ascii="宋体" w:hAnsi="宋体" w:cs="方正小标宋简体"/>
          <w:b/>
          <w:bCs/>
          <w:color w:val="000000"/>
          <w:sz w:val="32"/>
          <w:szCs w:val="32"/>
          <w:lang w:val="zh-CN"/>
        </w:rPr>
        <w:t xml:space="preserve">法定代表人授权委托书</w:t>
      </w:r>
      <w:r>
        <w:rPr>
          <w:rFonts w:hint="eastAsia" w:ascii="宋体" w:hAnsi="宋体" w:cs="方正小标宋简体"/>
          <w:b/>
          <w:bCs/>
          <w:color w:val="000000"/>
          <w:sz w:val="32"/>
          <w:szCs w:val="32"/>
          <w:lang w:val="zh-CN"/>
        </w:rPr>
      </w:r>
      <w:r/>
    </w:p>
    <w:p>
      <w:pPr>
        <w:pStyle w:val="755"/>
        <w:ind w:firstLine="480"/>
        <w:spacing w:line="360" w:lineRule="auto"/>
        <w:rPr>
          <w:sz w:val="24"/>
          <w:szCs w:val="24"/>
        </w:rPr>
      </w:pPr>
      <w:r>
        <w:rPr>
          <w:sz w:val="24"/>
          <w:szCs w:val="24"/>
        </w:rPr>
        <w:t xml:space="preserve">本人</w:t>
      </w:r>
      <w:r>
        <w:rPr>
          <w:sz w:val="24"/>
          <w:szCs w:val="24"/>
          <w:u w:val="single"/>
        </w:rPr>
        <w:t xml:space="preserve">    </w:t>
      </w:r>
      <w:r>
        <w:rPr>
          <w:sz w:val="24"/>
          <w:szCs w:val="24"/>
        </w:rPr>
        <w:t xml:space="preserve">（姓名）系</w:t>
      </w:r>
      <w:r>
        <w:rPr>
          <w:sz w:val="24"/>
          <w:szCs w:val="24"/>
          <w:u w:val="single"/>
        </w:rPr>
        <w:t xml:space="preserve">            </w:t>
      </w:r>
      <w:r>
        <w:rPr>
          <w:sz w:val="24"/>
          <w:szCs w:val="24"/>
        </w:rPr>
        <w:t xml:space="preserve">（供应商名称）的法定代表人（单位负责人），现代表我单位授权委托</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（姓名，职务）为我方合法代理人参加</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（项目编号）</w:t>
      </w:r>
      <w:r>
        <w:rPr>
          <w:sz w:val="24"/>
          <w:szCs w:val="24"/>
          <w:u w:val="single"/>
        </w:rPr>
        <w:t xml:space="preserve">      </w:t>
      </w:r>
      <w:r>
        <w:rPr>
          <w:sz w:val="24"/>
          <w:szCs w:val="24"/>
        </w:rPr>
        <w:t xml:space="preserve">（项目名称）的政府采购活动，由其代表我方办理上述项目在响应、磋商、澄清确认过程中的相关事宜，其法律后果由我方承担。</w:t>
      </w:r>
      <w:r/>
    </w:p>
    <w:p>
      <w:pPr>
        <w:pStyle w:val="755"/>
        <w:ind w:firstLine="480"/>
        <w:spacing w:line="360" w:lineRule="auto"/>
        <w:rPr>
          <w:sz w:val="24"/>
          <w:szCs w:val="24"/>
        </w:rPr>
      </w:pPr>
      <w:r>
        <w:rPr>
          <w:sz w:val="24"/>
          <w:szCs w:val="24"/>
        </w:rPr>
        <w:t xml:space="preserve">委托期限：自本授权委托书签署之日起至磋商有效期届满之日止。</w:t>
      </w:r>
      <w:r/>
    </w:p>
    <w:p>
      <w:pPr>
        <w:pStyle w:val="755"/>
        <w:ind w:firstLine="480"/>
        <w:spacing w:line="360" w:lineRule="auto"/>
        <w:rPr>
          <w:sz w:val="24"/>
          <w:szCs w:val="24"/>
        </w:rPr>
      </w:pPr>
      <w:r>
        <w:rPr>
          <w:sz w:val="24"/>
          <w:szCs w:val="24"/>
        </w:rPr>
        <w:t xml:space="preserve">代理人无转委托权。</w:t>
      </w:r>
      <w:r/>
    </w:p>
    <w:p>
      <w:pPr>
        <w:pStyle w:val="755"/>
        <w:ind w:firstLine="480"/>
        <w:spacing w:line="360" w:lineRule="auto"/>
        <w:rPr>
          <w:sz w:val="24"/>
          <w:szCs w:val="24"/>
        </w:rPr>
      </w:pPr>
      <w:r>
        <w:rPr>
          <w:sz w:val="24"/>
          <w:szCs w:val="24"/>
        </w:rPr>
        <w:t xml:space="preserve">供应商名称（加盖公章）：________________</w:t>
      </w:r>
      <w:r/>
    </w:p>
    <w:p>
      <w:pPr>
        <w:pStyle w:val="755"/>
        <w:ind w:firstLine="480"/>
        <w:spacing w:line="360" w:lineRule="auto"/>
        <w:rPr>
          <w:sz w:val="24"/>
          <w:szCs w:val="24"/>
        </w:rPr>
      </w:pPr>
      <w:r>
        <w:rPr>
          <w:sz w:val="24"/>
          <w:szCs w:val="24"/>
        </w:rPr>
        <w:t xml:space="preserve">法定代表人（单位负责人）（签字或签章）：________________</w:t>
      </w:r>
      <w:r/>
    </w:p>
    <w:p>
      <w:pPr>
        <w:pStyle w:val="755"/>
        <w:ind w:firstLine="480"/>
        <w:spacing w:line="360" w:lineRule="auto"/>
        <w:rPr>
          <w:sz w:val="24"/>
          <w:szCs w:val="24"/>
        </w:rPr>
      </w:pPr>
      <w:r>
        <w:rPr>
          <w:sz w:val="24"/>
          <w:szCs w:val="24"/>
        </w:rPr>
        <w:t xml:space="preserve">代理人（签字或签章）：</w:t>
      </w:r>
      <w:r>
        <w:rPr>
          <w:sz w:val="24"/>
          <w:szCs w:val="24"/>
        </w:rPr>
        <w:t xml:space="preserve">________________ </w:t>
      </w:r>
      <w:r/>
    </w:p>
    <w:p>
      <w:pPr>
        <w:pStyle w:val="755"/>
        <w:ind w:firstLine="480"/>
        <w:spacing w:line="360" w:lineRule="auto"/>
        <w:rPr>
          <w:sz w:val="24"/>
          <w:szCs w:val="24"/>
        </w:rPr>
      </w:pPr>
      <w:r>
        <w:rPr>
          <w:sz w:val="24"/>
          <w:szCs w:val="24"/>
        </w:rPr>
        <w:t xml:space="preserve">日期：_____年______月______日</w:t>
      </w:r>
      <w:r/>
    </w:p>
    <w:p>
      <w:pPr>
        <w:pStyle w:val="755"/>
        <w:ind w:firstLine="480"/>
        <w:spacing w:line="360" w:lineRule="auto"/>
        <w:rPr>
          <w:sz w:val="24"/>
          <w:szCs w:val="24"/>
        </w:rPr>
      </w:pPr>
      <w:r>
        <w:rPr>
          <w:sz w:val="24"/>
          <w:szCs w:val="24"/>
        </w:rPr>
        <w:t xml:space="preserve">附：法定代表人（单位负责人）及代理人有效身份证明文件</w:t>
      </w:r>
      <w:r/>
    </w:p>
    <w:p>
      <w:pPr>
        <w:pStyle w:val="755"/>
        <w:ind w:firstLine="0"/>
        <w:spacing w:line="360" w:lineRule="auto"/>
        <w:rPr>
          <w:rFonts w:hint="eastAsia"/>
          <w:sz w:val="24"/>
          <w:szCs w:val="24"/>
        </w:rPr>
      </w:pPr>
      <w:r>
        <w:rPr>
          <w:rFonts w:hint="eastAsia"/>
          <w:sz w:val="24"/>
          <w:szCs w:val="24"/>
        </w:rPr>
      </w:r>
      <w:r/>
    </w:p>
    <w:p>
      <w:pPr>
        <w:pStyle w:val="755"/>
        <w:ind w:firstLine="480"/>
        <w:spacing w:line="400" w:lineRule="exact"/>
        <w:rPr>
          <w:sz w:val="24"/>
          <w:szCs w:val="24"/>
        </w:rPr>
      </w:pPr>
      <w:r>
        <w:rPr>
          <w:sz w:val="24"/>
          <w:szCs w:val="24"/>
        </w:rPr>
        <w:t xml:space="preserve">说明：</w:t>
      </w:r>
      <w:r/>
    </w:p>
    <w:p>
      <w:pPr>
        <w:pStyle w:val="755"/>
        <w:ind w:firstLine="480"/>
        <w:spacing w:line="400" w:lineRule="exact"/>
        <w:rPr>
          <w:sz w:val="24"/>
          <w:szCs w:val="24"/>
        </w:rPr>
      </w:pPr>
      <w:r>
        <w:rPr>
          <w:sz w:val="24"/>
          <w:szCs w:val="24"/>
        </w:rPr>
        <w:t xml:space="preserve">1.</w:t>
      </w:r>
      <w:r>
        <w:rPr>
          <w:rFonts w:hint="eastAsia"/>
          <w:sz w:val="24"/>
          <w:szCs w:val="24"/>
        </w:rPr>
        <w:t xml:space="preserve"> </w:t>
      </w:r>
      <w:r>
        <w:rPr>
          <w:sz w:val="24"/>
          <w:szCs w:val="24"/>
        </w:rPr>
        <w:t xml:space="preserve">若供应商为事业单位或其他组织或分支机构（仅限磋商文件注明允许分支机构投标情形），则法定代表人（单位负责人）处的签署人可为单位负责人。</w:t>
      </w:r>
      <w:r/>
    </w:p>
    <w:p>
      <w:pPr>
        <w:pStyle w:val="755"/>
        <w:ind w:firstLine="480"/>
        <w:spacing w:line="400" w:lineRule="exact"/>
        <w:rPr>
          <w:sz w:val="24"/>
          <w:szCs w:val="24"/>
        </w:rPr>
      </w:pPr>
      <w:r>
        <w:rPr>
          <w:sz w:val="24"/>
          <w:szCs w:val="24"/>
        </w:rPr>
        <w:t xml:space="preserve">2.</w:t>
      </w:r>
      <w:r>
        <w:rPr>
          <w:rFonts w:hint="eastAsia"/>
          <w:sz w:val="24"/>
          <w:szCs w:val="24"/>
        </w:rPr>
        <w:t xml:space="preserve"> </w:t>
      </w:r>
      <w:r>
        <w:rPr>
          <w:sz w:val="24"/>
          <w:szCs w:val="24"/>
        </w:rPr>
        <w:t xml:space="preserve">当代理人为法定代表人（或上述情况的单位负责人）时，代理人相关内容填报为法定代表人（或上述情况的单位负责人）信息，</w:t>
      </w:r>
      <w:r>
        <w:rPr>
          <w:rFonts w:ascii="宋体" w:hAnsi="宋体"/>
          <w:sz w:val="24"/>
          <w:szCs w:val="24"/>
        </w:rPr>
        <w:t xml:space="preserve">“代理人（签字或盖章）”处</w:t>
      </w:r>
      <w:r>
        <w:rPr>
          <w:sz w:val="24"/>
          <w:szCs w:val="24"/>
        </w:rPr>
        <w:t xml:space="preserve">可不用再重复签字或盖章。</w:t>
      </w:r>
      <w:r/>
    </w:p>
    <w:p>
      <w:pPr>
        <w:pStyle w:val="755"/>
        <w:ind w:firstLine="480"/>
        <w:spacing w:line="400" w:lineRule="exact"/>
        <w:rPr>
          <w:sz w:val="24"/>
          <w:szCs w:val="24"/>
        </w:rPr>
      </w:pPr>
      <w:r>
        <w:rPr>
          <w:sz w:val="24"/>
          <w:szCs w:val="24"/>
        </w:rPr>
        <w:t xml:space="preserve">3.</w:t>
      </w:r>
      <w:r>
        <w:rPr>
          <w:rFonts w:hint="eastAsia"/>
          <w:sz w:val="24"/>
          <w:szCs w:val="24"/>
        </w:rPr>
        <w:t xml:space="preserve"> </w:t>
      </w:r>
      <w:r>
        <w:rPr>
          <w:sz w:val="24"/>
          <w:szCs w:val="24"/>
        </w:rPr>
        <w:t xml:space="preserve">供应商为自然人的，可不提供本《法定代表人授权委托书》。</w:t>
      </w:r>
      <w:r/>
    </w:p>
    <w:p>
      <w:pPr>
        <w:pStyle w:val="755"/>
        <w:ind w:firstLine="480"/>
        <w:spacing w:line="400" w:lineRule="exact"/>
        <w:rPr>
          <w:sz w:val="24"/>
          <w:szCs w:val="24"/>
        </w:rPr>
      </w:pPr>
      <w:r>
        <w:rPr>
          <w:sz w:val="24"/>
          <w:szCs w:val="24"/>
        </w:rPr>
        <w:t xml:space="preserve">4.</w:t>
      </w:r>
      <w:r>
        <w:rPr>
          <w:rFonts w:hint="eastAsia"/>
          <w:sz w:val="24"/>
          <w:szCs w:val="24"/>
        </w:rPr>
        <w:t xml:space="preserve"> </w:t>
      </w:r>
      <w:r>
        <w:rPr>
          <w:sz w:val="24"/>
          <w:szCs w:val="24"/>
        </w:rPr>
        <w:t xml:space="preserve">供应商应同时提供法定代表人（单位负责人）及代理人的身份证或护照等有效身份证明文件。</w:t>
      </w:r>
      <w:r>
        <w:rPr>
          <w:b/>
          <w:bCs/>
          <w:sz w:val="24"/>
          <w:szCs w:val="24"/>
        </w:rPr>
        <w:t xml:space="preserve">提供身份证的，应同时提供身份证双面</w:t>
      </w:r>
      <w:r>
        <w:rPr>
          <w:sz w:val="24"/>
          <w:szCs w:val="24"/>
        </w:rPr>
        <w:t xml:space="preserve">。</w:t>
      </w:r>
      <w:r/>
    </w:p>
    <w:p>
      <w:pPr>
        <w:pStyle w:val="755"/>
        <w:ind w:firstLine="482"/>
        <w:spacing w:line="400" w:lineRule="exact"/>
        <w:rPr>
          <w:b/>
          <w:bCs/>
          <w:sz w:val="24"/>
          <w:szCs w:val="24"/>
        </w:rPr>
      </w:pPr>
      <w:r>
        <w:rPr>
          <w:b/>
          <w:bCs/>
          <w:sz w:val="24"/>
          <w:szCs w:val="24"/>
        </w:rPr>
        <w:t xml:space="preserve">5.</w:t>
      </w:r>
      <w:r>
        <w:rPr>
          <w:rFonts w:hint="eastAsia"/>
          <w:b/>
          <w:bCs/>
          <w:sz w:val="24"/>
          <w:szCs w:val="24"/>
        </w:rPr>
        <w:t xml:space="preserve"> </w:t>
      </w:r>
      <w:r>
        <w:rPr>
          <w:b/>
          <w:bCs/>
          <w:sz w:val="24"/>
          <w:szCs w:val="24"/>
        </w:rPr>
        <w:t xml:space="preserve">未按磋商文件要求和格式提供《法定代表人授权委托书》的，将作为无效响应处理。</w:t>
      </w:r>
      <w:r/>
    </w:p>
    <w:p>
      <w:pPr>
        <w:pStyle w:val="755"/>
        <w:ind w:firstLine="482"/>
        <w:spacing w:line="400" w:lineRule="exact"/>
        <w:rPr>
          <w:rFonts w:hint="eastAsia"/>
          <w:b/>
          <w:bCs/>
          <w:sz w:val="24"/>
          <w:szCs w:val="24"/>
        </w:rPr>
      </w:pPr>
      <w:r>
        <w:rPr>
          <w:rFonts w:hint="eastAsia"/>
          <w:b/>
          <w:bCs/>
          <w:sz w:val="24"/>
          <w:szCs w:val="24"/>
        </w:rPr>
      </w:r>
      <w:r/>
    </w:p>
    <w:p>
      <w:pPr>
        <w:pStyle w:val="755"/>
        <w:ind w:firstLine="0"/>
        <w:spacing w:line="360" w:lineRule="auto"/>
        <w:rPr>
          <w:rFonts w:hint="eastAsia"/>
          <w:b/>
          <w:bCs/>
          <w:sz w:val="24"/>
          <w:szCs w:val="24"/>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b/>
          <w:bCs/>
          <w:sz w:val="24"/>
          <w:szCs w:val="24"/>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三、磋商响应函</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磋商响应函</w:t>
      </w:r>
      <w:r/>
    </w:p>
    <w:p>
      <w:pPr>
        <w:pStyle w:val="757"/>
        <w:ind w:firstLine="0"/>
        <w:spacing w:before="0" w:after="0" w:line="480" w:lineRule="exact"/>
        <w:rPr>
          <w:rFonts w:ascii="Times New Roman" w:hAnsi="Times New Roman"/>
          <w:szCs w:val="21"/>
        </w:rPr>
      </w:pPr>
      <w:r>
        <w:rPr>
          <w:rFonts w:ascii="Times New Roman" w:hAnsi="Times New Roman"/>
          <w:szCs w:val="21"/>
        </w:rPr>
        <w:t xml:space="preserve">致：</w:t>
      </w:r>
      <w:r>
        <w:rPr>
          <w:rFonts w:ascii="Times New Roman" w:hAnsi="Times New Roman"/>
          <w:szCs w:val="21"/>
          <w:u w:val="single"/>
        </w:rPr>
        <w:t xml:space="preserve">                    </w:t>
      </w:r>
      <w:r>
        <w:rPr>
          <w:rFonts w:ascii="Times New Roman" w:hAnsi="Times New Roman"/>
          <w:szCs w:val="21"/>
        </w:rPr>
        <w:t xml:space="preserve">（采购人名称）</w:t>
      </w:r>
      <w:r/>
    </w:p>
    <w:p>
      <w:pPr>
        <w:pStyle w:val="757"/>
        <w:spacing w:before="0" w:after="0" w:line="480" w:lineRule="exact"/>
        <w:rPr>
          <w:rFonts w:ascii="Times New Roman" w:hAnsi="Times New Roman"/>
          <w:szCs w:val="21"/>
        </w:rPr>
      </w:pPr>
      <w:r>
        <w:rPr>
          <w:rFonts w:ascii="Times New Roman" w:hAnsi="Times New Roman"/>
          <w:szCs w:val="21"/>
        </w:rPr>
        <w:t xml:space="preserve">根据贵方</w:t>
      </w:r>
      <w:r>
        <w:rPr>
          <w:rFonts w:ascii="Times New Roman" w:hAnsi="Times New Roman"/>
          <w:color w:val="000000"/>
          <w:u w:val="single"/>
        </w:rPr>
        <w:t xml:space="preserve">            </w:t>
      </w:r>
      <w:r>
        <w:rPr>
          <w:rFonts w:ascii="Times New Roman" w:hAnsi="Times New Roman"/>
          <w:color w:val="000000"/>
        </w:rPr>
        <w:t xml:space="preserve">（项目编号）</w:t>
      </w:r>
      <w:r>
        <w:rPr>
          <w:rFonts w:ascii="Times New Roman" w:hAnsi="Times New Roman"/>
          <w:color w:val="000000"/>
          <w:u w:val="single"/>
        </w:rPr>
        <w:t xml:space="preserve">                </w:t>
      </w:r>
      <w:r>
        <w:rPr>
          <w:rFonts w:ascii="Times New Roman" w:hAnsi="Times New Roman"/>
          <w:color w:val="000000"/>
        </w:rPr>
        <w:t xml:space="preserve">（项目名称）</w:t>
      </w:r>
      <w:r>
        <w:rPr>
          <w:rFonts w:ascii="Times New Roman" w:hAnsi="Times New Roman"/>
        </w:rPr>
        <w:t xml:space="preserve">的</w:t>
      </w:r>
      <w:r>
        <w:rPr>
          <w:rFonts w:ascii="Times New Roman" w:hAnsi="Times New Roman"/>
          <w:szCs w:val="21"/>
        </w:rPr>
        <w:t xml:space="preserve">磋商文件，我方正式提</w:t>
      </w:r>
      <w:r>
        <w:rPr>
          <w:rFonts w:ascii="Times New Roman" w:hAnsi="Times New Roman"/>
        </w:rPr>
        <w:t xml:space="preserve">交磋商响应函，</w:t>
      </w:r>
      <w:r>
        <w:rPr>
          <w:rFonts w:ascii="Times New Roman" w:hAnsi="Times New Roman"/>
          <w:szCs w:val="21"/>
        </w:rPr>
        <w:t xml:space="preserve">并宣布同意如下内容：</w:t>
      </w:r>
      <w:r/>
    </w:p>
    <w:p>
      <w:pPr>
        <w:pStyle w:val="666"/>
        <w:ind w:firstLine="480"/>
        <w:jc w:val="left"/>
        <w:spacing w:line="480" w:lineRule="exact"/>
        <w:rPr>
          <w:sz w:val="24"/>
          <w:szCs w:val="21"/>
        </w:rPr>
      </w:pPr>
      <w:r>
        <w:rPr>
          <w:sz w:val="24"/>
          <w:szCs w:val="21"/>
        </w:rPr>
        <w:t xml:space="preserve">1. 按磋商文件规定的各项要求，向贵方提供所需服务（包含与</w:t>
      </w:r>
      <w:r>
        <w:rPr>
          <w:sz w:val="24"/>
          <w:szCs w:val="21"/>
        </w:rPr>
        <w:t xml:space="preserve">服务相关的货物）。</w:t>
      </w:r>
      <w:r/>
    </w:p>
    <w:p>
      <w:pPr>
        <w:pStyle w:val="666"/>
        <w:ind w:firstLine="480"/>
        <w:jc w:val="left"/>
        <w:spacing w:line="480" w:lineRule="exact"/>
        <w:rPr>
          <w:sz w:val="24"/>
          <w:szCs w:val="21"/>
        </w:rPr>
      </w:pPr>
      <w:r>
        <w:rPr>
          <w:sz w:val="24"/>
          <w:szCs w:val="21"/>
        </w:rPr>
        <w:t xml:space="preserve">2. 我们完全理解贵方不一定将合同授予最低报价的供应商。</w:t>
      </w:r>
      <w:r/>
    </w:p>
    <w:p>
      <w:pPr>
        <w:pStyle w:val="666"/>
        <w:ind w:firstLine="480"/>
        <w:jc w:val="left"/>
        <w:spacing w:line="480" w:lineRule="exact"/>
        <w:rPr>
          <w:sz w:val="24"/>
          <w:szCs w:val="21"/>
        </w:rPr>
      </w:pPr>
      <w:r>
        <w:rPr>
          <w:sz w:val="24"/>
          <w:szCs w:val="21"/>
        </w:rPr>
        <w:t xml:space="preserve">3. 我们已详细审核全部磋商文件及其有效补充文件，我们知道必须放弃提出含糊不清或误解问题的权利。</w:t>
      </w:r>
      <w:r/>
    </w:p>
    <w:p>
      <w:pPr>
        <w:pStyle w:val="666"/>
        <w:ind w:firstLine="480"/>
        <w:jc w:val="left"/>
        <w:spacing w:line="480" w:lineRule="exact"/>
        <w:rPr>
          <w:sz w:val="24"/>
          <w:szCs w:val="21"/>
        </w:rPr>
      </w:pPr>
      <w:r>
        <w:rPr>
          <w:sz w:val="24"/>
          <w:szCs w:val="21"/>
        </w:rPr>
        <w:t xml:space="preserve">4. 我们同意从规定的磋商日期起遵循本响应文件，并在规定的磋商有效期期满之前均具有约束力。</w:t>
      </w:r>
      <w:r/>
    </w:p>
    <w:p>
      <w:pPr>
        <w:pStyle w:val="666"/>
        <w:ind w:firstLine="480"/>
        <w:jc w:val="left"/>
        <w:spacing w:line="480" w:lineRule="exact"/>
        <w:rPr>
          <w:sz w:val="24"/>
          <w:szCs w:val="21"/>
        </w:rPr>
      </w:pPr>
      <w:r>
        <w:rPr>
          <w:sz w:val="24"/>
          <w:szCs w:val="21"/>
        </w:rPr>
        <w:t xml:space="preserve">5. 同意向贵方提供贵方可能另外要求的与磋商有关的任何证据或资料，并保证我方已提供和将要提供的文件是真实的、准确的。</w:t>
      </w:r>
      <w:r/>
    </w:p>
    <w:p>
      <w:pPr>
        <w:pStyle w:val="666"/>
        <w:ind w:firstLine="480"/>
        <w:jc w:val="left"/>
        <w:spacing w:line="480" w:lineRule="exact"/>
        <w:rPr>
          <w:sz w:val="24"/>
          <w:szCs w:val="21"/>
        </w:rPr>
      </w:pPr>
      <w:r>
        <w:rPr>
          <w:sz w:val="24"/>
          <w:szCs w:val="21"/>
        </w:rPr>
        <w:t xml:space="preserve">6. 一旦我方成交，我方将根据磋商文件的规定，严格履行合同的责任和义务,并保证在磋商文件规定的时间完成项目，交付贵方验收、使用。</w:t>
      </w:r>
      <w:r/>
    </w:p>
    <w:p>
      <w:pPr>
        <w:pStyle w:val="666"/>
        <w:ind w:firstLine="480"/>
        <w:jc w:val="left"/>
        <w:spacing w:line="480" w:lineRule="exact"/>
        <w:rPr>
          <w:sz w:val="24"/>
          <w:szCs w:val="24"/>
        </w:rPr>
      </w:pPr>
      <w:r>
        <w:rPr>
          <w:sz w:val="24"/>
          <w:szCs w:val="24"/>
        </w:rPr>
        <w:t xml:space="preserve">7. 我方为：</w:t>
      </w:r>
      <w:r>
        <w:rPr>
          <w:rFonts w:ascii="Wingdings" w:hAnsi="Wingdings" w:eastAsia="Wingdings" w:cs="Wingdings"/>
          <w:sz w:val="24"/>
          <w:szCs w:val="24"/>
        </w:rPr>
        <w:t xml:space="preserve">¨</w:t>
      </w:r>
      <w:r>
        <w:rPr>
          <w:sz w:val="24"/>
          <w:szCs w:val="24"/>
        </w:rPr>
        <w:t xml:space="preserve">大型企业 </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微型企业（在对应</w:t>
      </w:r>
      <w:r>
        <w:rPr>
          <w:rFonts w:ascii="Wingdings" w:hAnsi="Wingdings" w:eastAsia="Wingdings" w:cs="Wingdings"/>
          <w:sz w:val="24"/>
          <w:szCs w:val="24"/>
        </w:rPr>
        <w:t xml:space="preserve">¨</w:t>
      </w:r>
      <w:r>
        <w:rPr>
          <w:color w:val="000000"/>
          <w:sz w:val="24"/>
          <w:szCs w:val="24"/>
        </w:rPr>
        <w:t xml:space="preserve">内</w:t>
      </w:r>
      <w:r>
        <w:rPr>
          <w:sz w:val="24"/>
          <w:szCs w:val="24"/>
          <w:lang w:val="zh-CN"/>
        </w:rPr>
        <w:t xml:space="preserve">打</w:t>
      </w:r>
      <w:r>
        <w:rPr>
          <w:sz w:val="24"/>
          <w:szCs w:val="24"/>
          <w:lang w:val="zh-CN"/>
        </w:rPr>
        <w:t xml:space="preserve">“√”</w:t>
      </w:r>
      <w:r>
        <w:rPr>
          <w:sz w:val="24"/>
          <w:szCs w:val="24"/>
        </w:rPr>
        <w:t xml:space="preserve">）</w:t>
      </w:r>
      <w:r/>
    </w:p>
    <w:p>
      <w:pPr>
        <w:pStyle w:val="791"/>
        <w:ind w:firstLine="480"/>
        <w:spacing w:line="480" w:lineRule="exact"/>
        <w:rPr>
          <w:rFonts w:ascii="Times New Roman" w:hAnsi="Times New Roman"/>
          <w:sz w:val="24"/>
          <w:szCs w:val="24"/>
          <w:lang w:eastAsia="zh-CN"/>
        </w:rPr>
      </w:pPr>
      <w:r>
        <w:rPr>
          <w:rFonts w:ascii="Times New Roman" w:hAnsi="Times New Roman"/>
          <w:sz w:val="24"/>
          <w:szCs w:val="24"/>
          <w:lang w:eastAsia="zh-CN"/>
        </w:rPr>
        <w:t xml:space="preserve">8. 我方为：</w:t>
      </w:r>
      <w:r>
        <w:rPr>
          <w:rFonts w:ascii="Wingdings" w:hAnsi="Wingdings" w:eastAsia="Wingdings" w:cs="Wingdings"/>
          <w:sz w:val="24"/>
          <w:szCs w:val="24"/>
        </w:rPr>
        <w:t xml:space="preserve">¨</w:t>
      </w:r>
      <w:r>
        <w:rPr>
          <w:rFonts w:ascii="Times New Roman" w:hAnsi="Times New Roman"/>
          <w:sz w:val="24"/>
          <w:szCs w:val="24"/>
          <w:lang w:eastAsia="zh-CN"/>
        </w:rPr>
        <w:t xml:space="preserve">民营企业 </w:t>
      </w:r>
      <w:r>
        <w:rPr>
          <w:rFonts w:ascii="Wingdings" w:hAnsi="Wingdings" w:eastAsia="Wingdings" w:cs="Wingdings"/>
          <w:sz w:val="24"/>
          <w:szCs w:val="24"/>
        </w:rPr>
        <w:t xml:space="preserve">¨</w:t>
      </w:r>
      <w:r>
        <w:rPr>
          <w:rFonts w:ascii="Times New Roman" w:hAnsi="Times New Roman"/>
          <w:sz w:val="24"/>
          <w:szCs w:val="24"/>
          <w:lang w:eastAsia="zh-CN"/>
        </w:rPr>
        <w:t xml:space="preserve">非民营企业 </w:t>
      </w:r>
      <w:r>
        <w:rPr>
          <w:rFonts w:ascii="Wingdings" w:hAnsi="Wingdings" w:eastAsia="Wingdings" w:cs="Wingdings"/>
          <w:sz w:val="24"/>
          <w:szCs w:val="24"/>
        </w:rPr>
        <w:t xml:space="preserve">¨</w:t>
      </w:r>
      <w:r>
        <w:rPr>
          <w:rFonts w:ascii="Times New Roman" w:hAnsi="Times New Roman"/>
          <w:sz w:val="24"/>
          <w:szCs w:val="24"/>
          <w:lang w:eastAsia="zh-CN"/>
        </w:rPr>
        <w:t xml:space="preserve">事业单位或其他组织（在对应</w:t>
      </w:r>
      <w:r>
        <w:rPr>
          <w:rFonts w:ascii="Wingdings" w:hAnsi="Wingdings" w:eastAsia="Wingdings" w:cs="Wingdings"/>
          <w:sz w:val="24"/>
          <w:szCs w:val="24"/>
        </w:rPr>
        <w:t xml:space="preserve">¨</w:t>
      </w:r>
      <w:r>
        <w:rPr>
          <w:rFonts w:ascii="Times New Roman" w:hAnsi="Times New Roman"/>
          <w:color w:val="000000"/>
          <w:sz w:val="24"/>
          <w:szCs w:val="24"/>
          <w:lang w:eastAsia="zh-CN"/>
        </w:rPr>
        <w:t xml:space="preserve">内</w:t>
      </w:r>
      <w:r>
        <w:rPr>
          <w:rFonts w:ascii="Times New Roman" w:hAnsi="Times New Roman"/>
          <w:sz w:val="24"/>
          <w:szCs w:val="24"/>
          <w:lang w:val="zh-CN" w:eastAsia="zh-CN"/>
        </w:rPr>
        <w:t xml:space="preserve">打</w:t>
      </w:r>
      <w:r>
        <w:rPr>
          <w:rFonts w:ascii="Times New Roman" w:hAnsi="Times New Roman"/>
          <w:sz w:val="24"/>
          <w:szCs w:val="24"/>
          <w:lang w:val="zh-CN" w:eastAsia="zh-CN"/>
        </w:rPr>
        <w:t xml:space="preserve">“√”</w:t>
      </w:r>
      <w:r>
        <w:rPr>
          <w:rFonts w:ascii="Times New Roman" w:hAnsi="Times New Roman"/>
          <w:sz w:val="24"/>
          <w:szCs w:val="24"/>
          <w:lang w:eastAsia="zh-CN"/>
        </w:rPr>
        <w:t xml:space="preserve">）</w:t>
      </w:r>
      <w:r/>
    </w:p>
    <w:p>
      <w:pPr>
        <w:pStyle w:val="666"/>
        <w:ind w:firstLine="480"/>
        <w:jc w:val="left"/>
        <w:spacing w:line="480" w:lineRule="exact"/>
        <w:rPr>
          <w:sz w:val="24"/>
          <w:szCs w:val="21"/>
        </w:rPr>
      </w:pPr>
      <w:r>
        <w:rPr>
          <w:szCs w:val="21"/>
        </w:rPr>
        <w:t xml:space="preserve">9. </w:t>
      </w:r>
      <w:r>
        <w:rPr>
          <w:sz w:val="24"/>
          <w:szCs w:val="21"/>
        </w:rPr>
        <w:t xml:space="preserve">我方与本磋商有关的正式通讯地址为：</w:t>
      </w:r>
      <w:r/>
    </w:p>
    <w:p>
      <w:pPr>
        <w:pStyle w:val="757"/>
        <w:spacing w:before="0" w:after="0" w:line="480" w:lineRule="exact"/>
        <w:rPr>
          <w:rFonts w:ascii="Times New Roman" w:hAnsi="Times New Roman"/>
          <w:szCs w:val="21"/>
        </w:rPr>
      </w:pPr>
      <w:r>
        <w:rPr>
          <w:rFonts w:ascii="Times New Roman" w:hAnsi="Times New Roman"/>
          <w:szCs w:val="21"/>
        </w:rPr>
        <w:t xml:space="preserve">地  址：</w:t>
      </w:r>
      <w:r/>
    </w:p>
    <w:p>
      <w:pPr>
        <w:pStyle w:val="757"/>
        <w:spacing w:before="0" w:after="0" w:line="480" w:lineRule="exact"/>
        <w:rPr>
          <w:rFonts w:ascii="Times New Roman" w:hAnsi="Times New Roman"/>
          <w:szCs w:val="21"/>
        </w:rPr>
      </w:pPr>
      <w:r>
        <w:rPr>
          <w:rFonts w:ascii="Times New Roman" w:hAnsi="Times New Roman"/>
          <w:szCs w:val="21"/>
        </w:rPr>
        <w:t xml:space="preserve">邮  编：</w:t>
      </w:r>
      <w:r/>
    </w:p>
    <w:p>
      <w:pPr>
        <w:pStyle w:val="757"/>
        <w:spacing w:before="0" w:after="0" w:line="480" w:lineRule="exact"/>
        <w:rPr>
          <w:rFonts w:ascii="Times New Roman" w:hAnsi="Times New Roman"/>
          <w:szCs w:val="21"/>
          <w:u w:val="single"/>
        </w:rPr>
      </w:pPr>
      <w:r>
        <w:rPr>
          <w:rFonts w:ascii="Times New Roman" w:hAnsi="Times New Roman"/>
          <w:szCs w:val="21"/>
        </w:rPr>
        <w:t xml:space="preserve">电  话：</w:t>
      </w:r>
      <w:r>
        <w:rPr>
          <w:rFonts w:ascii="Times New Roman" w:hAnsi="Times New Roman"/>
          <w:szCs w:val="21"/>
          <w:u w:val="single"/>
        </w:rPr>
      </w:r>
      <w:r/>
    </w:p>
    <w:p>
      <w:pPr>
        <w:pStyle w:val="757"/>
        <w:spacing w:before="0" w:after="0" w:line="480" w:lineRule="exact"/>
        <w:rPr>
          <w:rFonts w:ascii="Times New Roman" w:hAnsi="Times New Roman"/>
          <w:szCs w:val="21"/>
          <w:u w:val="single"/>
        </w:rPr>
      </w:pPr>
      <w:r>
        <w:rPr>
          <w:rFonts w:ascii="Times New Roman" w:hAnsi="Times New Roman"/>
          <w:szCs w:val="21"/>
        </w:rPr>
        <w:t xml:space="preserve">传  真：</w:t>
      </w:r>
      <w:r>
        <w:rPr>
          <w:rFonts w:ascii="Times New Roman" w:hAnsi="Times New Roman"/>
          <w:szCs w:val="21"/>
          <w:u w:val="single"/>
        </w:rPr>
      </w:r>
      <w:r/>
    </w:p>
    <w:p>
      <w:pPr>
        <w:pStyle w:val="757"/>
        <w:spacing w:before="0" w:after="0" w:line="480" w:lineRule="exact"/>
        <w:rPr>
          <w:rFonts w:ascii="Times New Roman" w:hAnsi="Times New Roman"/>
          <w:szCs w:val="21"/>
          <w:u w:val="single"/>
        </w:rPr>
      </w:pPr>
      <w:r>
        <w:rPr>
          <w:rFonts w:ascii="Times New Roman" w:hAnsi="Times New Roman"/>
          <w:szCs w:val="21"/>
        </w:rPr>
        <w:t xml:space="preserve">开户行：</w:t>
      </w:r>
      <w:r>
        <w:rPr>
          <w:rFonts w:ascii="Times New Roman" w:hAnsi="Times New Roman"/>
          <w:szCs w:val="21"/>
          <w:u w:val="single"/>
        </w:rPr>
      </w:r>
      <w:r/>
    </w:p>
    <w:p>
      <w:pPr>
        <w:pStyle w:val="757"/>
        <w:spacing w:before="0" w:after="0" w:line="480" w:lineRule="exact"/>
        <w:rPr>
          <w:rFonts w:ascii="Times New Roman" w:hAnsi="Times New Roman"/>
          <w:szCs w:val="21"/>
          <w:u w:val="single"/>
        </w:rPr>
      </w:pPr>
      <w:r>
        <w:rPr>
          <w:rFonts w:ascii="Times New Roman" w:hAnsi="Times New Roman"/>
          <w:szCs w:val="21"/>
        </w:rPr>
        <w:t xml:space="preserve">账  号：</w:t>
      </w:r>
      <w:r>
        <w:rPr>
          <w:rFonts w:ascii="Times New Roman" w:hAnsi="Times New Roman"/>
          <w:szCs w:val="21"/>
          <w:u w:val="single"/>
        </w:rPr>
      </w:r>
      <w:r/>
    </w:p>
    <w:p>
      <w:pPr>
        <w:pStyle w:val="666"/>
        <w:ind w:firstLine="480"/>
        <w:spacing w:line="480" w:lineRule="exact"/>
        <w:rPr>
          <w:sz w:val="24"/>
          <w:szCs w:val="24"/>
        </w:rPr>
      </w:pPr>
      <w:r>
        <w:rPr>
          <w:sz w:val="24"/>
          <w:szCs w:val="24"/>
        </w:rPr>
        <w:t xml:space="preserve">供应商名称：（加盖电子公章）</w:t>
      </w:r>
      <w:r/>
    </w:p>
    <w:p>
      <w:pPr>
        <w:pStyle w:val="757"/>
        <w:spacing w:before="0" w:after="0" w:line="480" w:lineRule="exact"/>
        <w:rPr>
          <w:rFonts w:ascii="Times New Roman" w:hAnsi="Times New Roman"/>
          <w:szCs w:val="21"/>
        </w:rPr>
      </w:pPr>
      <w:r>
        <w:rPr>
          <w:rFonts w:ascii="Times New Roman" w:hAnsi="Times New Roman"/>
          <w:szCs w:val="21"/>
        </w:rPr>
        <w:t xml:space="preserve">日  期：</w:t>
      </w:r>
      <w:r/>
    </w:p>
    <w:p>
      <w:pPr>
        <w:pStyle w:val="757"/>
        <w:spacing w:before="0" w:after="0" w:line="480" w:lineRule="exact"/>
        <w:rPr>
          <w:rFonts w:hint="eastAsia" w:ascii="宋体" w:hAnsi="宋体"/>
          <w:szCs w:val="21"/>
        </w:rPr>
      </w:pPr>
      <w:r>
        <w:rPr>
          <w:rFonts w:hint="eastAsia" w:ascii="宋体" w:hAnsi="宋体"/>
          <w:szCs w:val="21"/>
        </w:rPr>
      </w:r>
      <w:r/>
    </w:p>
    <w:p>
      <w:pPr>
        <w:pStyle w:val="666"/>
        <w:jc w:val="left"/>
        <w:spacing w:line="360" w:lineRule="auto"/>
        <w:rPr>
          <w:rFonts w:hint="eastAsia" w:ascii="黑体" w:hAnsi="黑体" w:eastAsia="黑体"/>
          <w:sz w:val="32"/>
          <w:szCs w:val="32"/>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sz w:val="32"/>
          <w:szCs w:val="32"/>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四、磋商报价表</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磋商报价表</w:t>
      </w:r>
      <w:r/>
    </w:p>
    <w:p>
      <w:pPr>
        <w:pStyle w:val="666"/>
        <w:rPr>
          <w:rFonts w:hint="eastAsia" w:ascii="宋体" w:hAnsi="宋体"/>
          <w:sz w:val="24"/>
          <w:szCs w:val="24"/>
        </w:rPr>
      </w:pPr>
      <w:r>
        <w:rPr>
          <w:rFonts w:hint="eastAsia" w:ascii="宋体" w:hAnsi="宋体"/>
          <w:sz w:val="24"/>
          <w:szCs w:val="24"/>
        </w:rPr>
        <w:t xml:space="preserve">供应商名称：（加盖电子公章）</w:t>
      </w:r>
      <w:r/>
    </w:p>
    <w:p>
      <w:pPr>
        <w:pStyle w:val="666"/>
        <w:widowControl/>
        <w:rPr>
          <w:rFonts w:hint="eastAsia" w:ascii="宋体" w:hAnsi="宋体"/>
          <w:sz w:val="24"/>
          <w:szCs w:val="24"/>
        </w:rPr>
      </w:pPr>
      <w:r>
        <w:rPr>
          <w:rFonts w:hint="eastAsia" w:ascii="宋体" w:hAnsi="宋体"/>
          <w:sz w:val="24"/>
          <w:szCs w:val="24"/>
        </w:rPr>
        <w:t xml:space="preserve">项目名称：</w:t>
      </w:r>
      <w:r/>
    </w:p>
    <w:p>
      <w:pPr>
        <w:pStyle w:val="666"/>
        <w:widowControl/>
        <w:rPr>
          <w:rFonts w:hint="eastAsia" w:ascii="宋体" w:hAnsi="宋体"/>
          <w:sz w:val="24"/>
          <w:szCs w:val="24"/>
        </w:rPr>
      </w:pPr>
      <w:r>
        <w:rPr>
          <w:rFonts w:hint="eastAsia" w:ascii="宋体" w:hAnsi="宋体"/>
          <w:sz w:val="24"/>
          <w:szCs w:val="24"/>
        </w:rPr>
        <w:t xml:space="preserve">项目编号：                                   采购包号：</w:t>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39"/>
      </w:tblGrid>
      <w:tr>
        <w:trPr>
          <w:cantSplit/>
          <w:trHeight w:val="725"/>
        </w:trPr>
        <w:tc>
          <w:tcPr>
            <w:tcW w:w="9748" w:type="dxa"/>
            <w:vAlign w:val="center"/>
            <w:textDirection w:val="lrTb"/>
            <w:noWrap w:val="false"/>
          </w:tcPr>
          <w:p>
            <w:pPr>
              <w:pStyle w:val="666"/>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757"/>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cs="宋体"/>
              </w:rPr>
              <w:t xml:space="preserve">：</w:t>
            </w:r>
            <w:r>
              <w:rPr>
                <w:rFonts w:hint="eastAsia" w:ascii="宋体" w:hAnsi="宋体"/>
                <w:szCs w:val="21"/>
              </w:rPr>
            </w:r>
            <w:r/>
          </w:p>
        </w:tc>
      </w:tr>
    </w:tbl>
    <w:p>
      <w:pPr>
        <w:pStyle w:val="666"/>
        <w:spacing w:line="480" w:lineRule="auto"/>
        <w:rPr>
          <w:rFonts w:ascii="宋体" w:hAnsi="宋体"/>
          <w:sz w:val="24"/>
          <w:szCs w:val="24"/>
        </w:rPr>
      </w:pPr>
      <w:r>
        <w:rPr>
          <w:rFonts w:ascii="宋体" w:hAnsi="宋体"/>
          <w:sz w:val="24"/>
          <w:szCs w:val="24"/>
        </w:rPr>
      </w:r>
      <w:r/>
    </w:p>
    <w:p>
      <w:pPr>
        <w:pStyle w:val="666"/>
        <w:ind w:firstLine="6663"/>
        <w:spacing w:line="480" w:lineRule="auto"/>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79"/>
        <w:ind w:firstLine="0"/>
        <w:rPr>
          <w:rFonts w:hint="eastAsia"/>
        </w:rPr>
      </w:pPr>
      <w:r>
        <w:rPr>
          <w:rFonts w:hint="eastAsia"/>
        </w:rPr>
      </w:r>
      <w:r/>
    </w:p>
    <w:p>
      <w:pPr>
        <w:pStyle w:val="679"/>
        <w:ind w:firstLine="0"/>
        <w:rPr>
          <w:rFonts w:hint="eastAsia"/>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rPr>
      </w:r>
      <w:r/>
    </w:p>
    <w:p>
      <w:pPr>
        <w:pStyle w:val="666"/>
        <w:spacing w:line="360" w:lineRule="auto"/>
        <w:rPr>
          <w:rFonts w:hint="eastAsia" w:ascii="黑体" w:hAnsi="黑体" w:eastAsia="黑体"/>
          <w:b/>
          <w:bCs/>
          <w:sz w:val="32"/>
          <w:szCs w:val="36"/>
        </w:rPr>
        <w:outlineLvl w:val="1"/>
      </w:pPr>
      <w:r>
        <w:rPr>
          <w:rFonts w:hint="eastAsia" w:ascii="黑体" w:hAnsi="黑体" w:eastAsia="黑体"/>
          <w:b/>
          <w:bCs/>
          <w:sz w:val="32"/>
          <w:szCs w:val="36"/>
        </w:rPr>
        <w:t xml:space="preserve">五、</w:t>
      </w:r>
      <w:r>
        <w:rPr>
          <w:rFonts w:ascii="黑体" w:hAnsi="黑体" w:eastAsia="黑体"/>
          <w:b/>
          <w:bCs/>
          <w:sz w:val="32"/>
          <w:szCs w:val="36"/>
        </w:rPr>
        <w:t xml:space="preserve">分项报价表</w:t>
      </w:r>
      <w:r>
        <w:rPr>
          <w:rFonts w:hint="eastAsia" w:ascii="黑体" w:hAnsi="黑体" w:eastAsia="黑体"/>
          <w:b/>
          <w:bCs/>
          <w:sz w:val="32"/>
          <w:szCs w:val="36"/>
        </w:rPr>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分项报价表</w:t>
      </w:r>
      <w:r/>
    </w:p>
    <w:p>
      <w:pPr>
        <w:pStyle w:val="666"/>
        <w:ind w:right="1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66"/>
        <w:ind w:right="1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6"/>
        <w:ind w:right="180"/>
        <w:rPr>
          <w:rFonts w:hint="eastAsia" w:ascii="宋体" w:hAnsi="宋体"/>
          <w:sz w:val="24"/>
          <w:szCs w:val="24"/>
        </w:rPr>
      </w:pPr>
      <w:r>
        <w:rPr>
          <w:rFonts w:hint="eastAsia" w:ascii="宋体" w:hAnsi="宋体"/>
          <w:sz w:val="24"/>
          <w:szCs w:val="24"/>
        </w:rPr>
        <w:t xml:space="preserve">项目编号：                                   采购包号：</w:t>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8"/>
        <w:gridCol w:w="1133"/>
        <w:gridCol w:w="959"/>
        <w:gridCol w:w="1770"/>
        <w:gridCol w:w="1454"/>
        <w:gridCol w:w="821"/>
        <w:gridCol w:w="811"/>
        <w:gridCol w:w="817"/>
        <w:gridCol w:w="1206"/>
      </w:tblGrid>
      <w:tr>
        <w:trPr>
          <w:cantSplit/>
          <w:trHeight w:val="544"/>
        </w:trPr>
        <w:tc>
          <w:tcPr>
            <w:tcW w:w="668" w:type="dxa"/>
            <w:vAlign w:val="center"/>
            <w:vMerge w:val="restart"/>
            <w:textDirection w:val="lrTb"/>
            <w:noWrap w:val="false"/>
          </w:tcPr>
          <w:p>
            <w:pPr>
              <w:pStyle w:val="666"/>
              <w:jc w:val="center"/>
              <w:spacing w:line="360" w:lineRule="auto"/>
              <w:rPr>
                <w:sz w:val="24"/>
                <w:szCs w:val="24"/>
              </w:rPr>
            </w:pPr>
            <w:r>
              <w:rPr>
                <w:sz w:val="24"/>
                <w:szCs w:val="24"/>
              </w:rPr>
              <w:t xml:space="preserve">序号</w:t>
            </w:r>
            <w:r/>
          </w:p>
        </w:tc>
        <w:tc>
          <w:tcPr>
            <w:tcW w:w="1133" w:type="dxa"/>
            <w:vAlign w:val="center"/>
            <w:textDirection w:val="lrTb"/>
            <w:noWrap w:val="false"/>
          </w:tcPr>
          <w:p>
            <w:pPr>
              <w:pStyle w:val="666"/>
              <w:ind w:right="180"/>
              <w:jc w:val="center"/>
              <w:spacing w:line="360" w:lineRule="auto"/>
              <w:rPr>
                <w:sz w:val="24"/>
                <w:szCs w:val="24"/>
              </w:rPr>
            </w:pPr>
            <w:r>
              <w:rPr>
                <w:sz w:val="24"/>
                <w:szCs w:val="24"/>
              </w:rPr>
              <w:t xml:space="preserve">1</w:t>
            </w:r>
            <w:r/>
          </w:p>
        </w:tc>
        <w:tc>
          <w:tcPr>
            <w:tcW w:w="959" w:type="dxa"/>
            <w:vAlign w:val="center"/>
            <w:textDirection w:val="lrTb"/>
            <w:noWrap w:val="false"/>
          </w:tcPr>
          <w:p>
            <w:pPr>
              <w:pStyle w:val="666"/>
              <w:ind w:right="180"/>
              <w:jc w:val="center"/>
              <w:spacing w:line="360" w:lineRule="auto"/>
              <w:rPr>
                <w:sz w:val="24"/>
                <w:szCs w:val="24"/>
              </w:rPr>
            </w:pPr>
            <w:r>
              <w:rPr>
                <w:sz w:val="24"/>
                <w:szCs w:val="24"/>
              </w:rPr>
              <w:t xml:space="preserve">2</w:t>
            </w:r>
            <w:r/>
          </w:p>
        </w:tc>
        <w:tc>
          <w:tcPr>
            <w:tcW w:w="1770" w:type="dxa"/>
            <w:vAlign w:val="center"/>
            <w:textDirection w:val="lrTb"/>
            <w:noWrap w:val="false"/>
          </w:tcPr>
          <w:p>
            <w:pPr>
              <w:pStyle w:val="666"/>
              <w:ind w:right="180"/>
              <w:jc w:val="center"/>
              <w:spacing w:line="360" w:lineRule="auto"/>
              <w:rPr>
                <w:sz w:val="24"/>
                <w:szCs w:val="24"/>
              </w:rPr>
            </w:pPr>
            <w:r>
              <w:rPr>
                <w:sz w:val="24"/>
                <w:szCs w:val="24"/>
              </w:rPr>
              <w:t xml:space="preserve">3</w:t>
            </w:r>
            <w:r/>
          </w:p>
        </w:tc>
        <w:tc>
          <w:tcPr>
            <w:tcW w:w="1454" w:type="dxa"/>
            <w:vAlign w:val="center"/>
            <w:textDirection w:val="lrTb"/>
            <w:noWrap w:val="false"/>
          </w:tcPr>
          <w:p>
            <w:pPr>
              <w:pStyle w:val="666"/>
              <w:ind w:right="180"/>
              <w:jc w:val="center"/>
              <w:spacing w:line="360" w:lineRule="auto"/>
              <w:rPr>
                <w:sz w:val="24"/>
                <w:szCs w:val="24"/>
              </w:rPr>
            </w:pPr>
            <w:r>
              <w:rPr>
                <w:sz w:val="24"/>
                <w:szCs w:val="24"/>
              </w:rPr>
              <w:t xml:space="preserve">4</w:t>
            </w:r>
            <w:r/>
          </w:p>
        </w:tc>
        <w:tc>
          <w:tcPr>
            <w:tcW w:w="821" w:type="dxa"/>
            <w:vAlign w:val="center"/>
            <w:textDirection w:val="lrTb"/>
            <w:noWrap w:val="false"/>
          </w:tcPr>
          <w:p>
            <w:pPr>
              <w:pStyle w:val="666"/>
              <w:ind w:right="180"/>
              <w:jc w:val="center"/>
              <w:spacing w:line="360" w:lineRule="auto"/>
              <w:rPr>
                <w:sz w:val="24"/>
                <w:szCs w:val="24"/>
              </w:rPr>
            </w:pPr>
            <w:r>
              <w:rPr>
                <w:sz w:val="24"/>
                <w:szCs w:val="24"/>
              </w:rPr>
              <w:t xml:space="preserve">5</w:t>
            </w:r>
            <w:r/>
          </w:p>
        </w:tc>
        <w:tc>
          <w:tcPr>
            <w:tcW w:w="811" w:type="dxa"/>
            <w:vAlign w:val="center"/>
            <w:textDirection w:val="lrTb"/>
            <w:noWrap w:val="false"/>
          </w:tcPr>
          <w:p>
            <w:pPr>
              <w:pStyle w:val="666"/>
              <w:ind w:right="180"/>
              <w:jc w:val="center"/>
              <w:spacing w:line="360" w:lineRule="auto"/>
              <w:rPr>
                <w:sz w:val="24"/>
                <w:szCs w:val="24"/>
              </w:rPr>
            </w:pPr>
            <w:r>
              <w:rPr>
                <w:sz w:val="24"/>
                <w:szCs w:val="24"/>
              </w:rPr>
              <w:t xml:space="preserve">6</w:t>
            </w:r>
            <w:r/>
          </w:p>
        </w:tc>
        <w:tc>
          <w:tcPr>
            <w:tcW w:w="817" w:type="dxa"/>
            <w:vAlign w:val="center"/>
            <w:textDirection w:val="lrTb"/>
            <w:noWrap w:val="false"/>
          </w:tcPr>
          <w:p>
            <w:pPr>
              <w:pStyle w:val="666"/>
              <w:ind w:right="180"/>
              <w:jc w:val="center"/>
              <w:spacing w:line="360" w:lineRule="auto"/>
              <w:rPr>
                <w:sz w:val="24"/>
                <w:szCs w:val="24"/>
              </w:rPr>
            </w:pPr>
            <w:r>
              <w:rPr>
                <w:sz w:val="24"/>
                <w:szCs w:val="24"/>
              </w:rPr>
              <w:t xml:space="preserve">7</w:t>
            </w:r>
            <w:r/>
          </w:p>
        </w:tc>
        <w:tc>
          <w:tcPr>
            <w:tcW w:w="1206" w:type="dxa"/>
            <w:vAlign w:val="center"/>
            <w:textDirection w:val="lrTb"/>
            <w:noWrap w:val="false"/>
          </w:tcPr>
          <w:p>
            <w:pPr>
              <w:pStyle w:val="666"/>
              <w:ind w:right="180"/>
              <w:jc w:val="center"/>
              <w:spacing w:line="360" w:lineRule="auto"/>
              <w:rPr>
                <w:sz w:val="24"/>
                <w:szCs w:val="24"/>
              </w:rPr>
            </w:pPr>
            <w:r>
              <w:rPr>
                <w:sz w:val="24"/>
                <w:szCs w:val="24"/>
              </w:rPr>
              <w:t xml:space="preserve">8</w:t>
            </w:r>
            <w:r/>
          </w:p>
        </w:tc>
      </w:tr>
      <w:tr>
        <w:trPr>
          <w:cantSplit/>
          <w:trHeight w:val="294"/>
        </w:trPr>
        <w:tc>
          <w:tcPr>
            <w:tcW w:w="668" w:type="dxa"/>
            <w:vAlign w:val="center"/>
            <w:vMerge w:val="continue"/>
            <w:textDirection w:val="lrTb"/>
            <w:noWrap w:val="false"/>
          </w:tcPr>
          <w:p>
            <w:pPr>
              <w:pStyle w:val="666"/>
              <w:jc w:val="center"/>
              <w:spacing w:line="360" w:lineRule="auto"/>
              <w:rPr>
                <w:sz w:val="24"/>
                <w:szCs w:val="24"/>
              </w:rPr>
            </w:pPr>
            <w:r>
              <w:rPr>
                <w:sz w:val="24"/>
                <w:szCs w:val="24"/>
              </w:rPr>
            </w:r>
            <w:r/>
          </w:p>
        </w:tc>
        <w:tc>
          <w:tcPr>
            <w:tcW w:w="1133" w:type="dxa"/>
            <w:vAlign w:val="center"/>
            <w:textDirection w:val="lrTb"/>
            <w:noWrap w:val="false"/>
          </w:tcPr>
          <w:p>
            <w:pPr>
              <w:pStyle w:val="666"/>
              <w:jc w:val="center"/>
              <w:spacing w:line="360" w:lineRule="auto"/>
              <w:rPr>
                <w:sz w:val="24"/>
                <w:szCs w:val="24"/>
              </w:rPr>
            </w:pPr>
            <w:r>
              <w:rPr>
                <w:sz w:val="24"/>
                <w:szCs w:val="24"/>
              </w:rPr>
              <w:t xml:space="preserve">分项名称</w:t>
            </w:r>
            <w:r/>
          </w:p>
        </w:tc>
        <w:tc>
          <w:tcPr>
            <w:tcW w:w="959" w:type="dxa"/>
            <w:vAlign w:val="center"/>
            <w:textDirection w:val="lrTb"/>
            <w:noWrap w:val="false"/>
          </w:tcPr>
          <w:p>
            <w:pPr>
              <w:pStyle w:val="666"/>
              <w:jc w:val="center"/>
              <w:spacing w:line="360" w:lineRule="auto"/>
              <w:rPr>
                <w:sz w:val="24"/>
                <w:szCs w:val="24"/>
              </w:rPr>
            </w:pPr>
            <w:r>
              <w:rPr>
                <w:sz w:val="24"/>
                <w:szCs w:val="24"/>
              </w:rPr>
              <w:t xml:space="preserve">品牌</w:t>
            </w:r>
            <w:r/>
          </w:p>
        </w:tc>
        <w:tc>
          <w:tcPr>
            <w:tcW w:w="1770" w:type="dxa"/>
            <w:vAlign w:val="center"/>
            <w:textDirection w:val="lrTb"/>
            <w:noWrap w:val="false"/>
          </w:tcPr>
          <w:p>
            <w:pPr>
              <w:pStyle w:val="666"/>
              <w:jc w:val="center"/>
              <w:spacing w:line="360" w:lineRule="auto"/>
              <w:rPr>
                <w:sz w:val="24"/>
                <w:szCs w:val="24"/>
              </w:rPr>
            </w:pPr>
            <w:r>
              <w:rPr>
                <w:sz w:val="24"/>
                <w:szCs w:val="24"/>
              </w:rPr>
              <w:t xml:space="preserve">规格或型号</w:t>
            </w:r>
            <w:r/>
          </w:p>
        </w:tc>
        <w:tc>
          <w:tcPr>
            <w:tcW w:w="1454" w:type="dxa"/>
            <w:vAlign w:val="center"/>
            <w:textDirection w:val="lrTb"/>
            <w:noWrap w:val="false"/>
          </w:tcPr>
          <w:p>
            <w:pPr>
              <w:pStyle w:val="666"/>
              <w:jc w:val="center"/>
              <w:spacing w:line="360" w:lineRule="auto"/>
              <w:rPr>
                <w:sz w:val="24"/>
                <w:szCs w:val="24"/>
              </w:rPr>
            </w:pPr>
            <w:r>
              <w:rPr>
                <w:sz w:val="24"/>
                <w:szCs w:val="24"/>
              </w:rPr>
              <w:t xml:space="preserve">交付期（天）</w:t>
            </w:r>
            <w:r/>
          </w:p>
        </w:tc>
        <w:tc>
          <w:tcPr>
            <w:tcW w:w="821" w:type="dxa"/>
            <w:vAlign w:val="center"/>
            <w:textDirection w:val="lrTb"/>
            <w:noWrap w:val="false"/>
          </w:tcPr>
          <w:p>
            <w:pPr>
              <w:pStyle w:val="666"/>
              <w:jc w:val="center"/>
              <w:spacing w:line="360" w:lineRule="auto"/>
              <w:rPr>
                <w:sz w:val="24"/>
                <w:szCs w:val="24"/>
              </w:rPr>
            </w:pPr>
            <w:r>
              <w:rPr>
                <w:sz w:val="24"/>
                <w:szCs w:val="24"/>
              </w:rPr>
              <w:t xml:space="preserve">数量</w:t>
            </w:r>
            <w:r/>
          </w:p>
        </w:tc>
        <w:tc>
          <w:tcPr>
            <w:tcW w:w="811" w:type="dxa"/>
            <w:vAlign w:val="center"/>
            <w:textDirection w:val="lrTb"/>
            <w:noWrap w:val="false"/>
          </w:tcPr>
          <w:p>
            <w:pPr>
              <w:pStyle w:val="666"/>
              <w:jc w:val="center"/>
              <w:spacing w:line="360" w:lineRule="auto"/>
              <w:rPr>
                <w:sz w:val="24"/>
                <w:szCs w:val="24"/>
              </w:rPr>
            </w:pPr>
            <w:r>
              <w:rPr>
                <w:sz w:val="24"/>
                <w:szCs w:val="24"/>
              </w:rPr>
              <w:t xml:space="preserve">单位</w:t>
            </w:r>
            <w:r/>
          </w:p>
        </w:tc>
        <w:tc>
          <w:tcPr>
            <w:tcW w:w="817" w:type="dxa"/>
            <w:vAlign w:val="center"/>
            <w:textDirection w:val="lrTb"/>
            <w:noWrap w:val="false"/>
          </w:tcPr>
          <w:p>
            <w:pPr>
              <w:pStyle w:val="666"/>
              <w:jc w:val="center"/>
              <w:spacing w:line="360" w:lineRule="auto"/>
              <w:rPr>
                <w:sz w:val="24"/>
                <w:szCs w:val="24"/>
              </w:rPr>
            </w:pPr>
            <w:r>
              <w:rPr>
                <w:sz w:val="24"/>
                <w:szCs w:val="24"/>
              </w:rPr>
              <w:t xml:space="preserve">单价（元）</w:t>
            </w:r>
            <w:r/>
          </w:p>
        </w:tc>
        <w:tc>
          <w:tcPr>
            <w:tcW w:w="1206" w:type="dxa"/>
            <w:vAlign w:val="center"/>
            <w:textDirection w:val="lrTb"/>
            <w:noWrap w:val="false"/>
          </w:tcPr>
          <w:p>
            <w:pPr>
              <w:pStyle w:val="666"/>
              <w:jc w:val="center"/>
              <w:spacing w:line="360" w:lineRule="auto"/>
              <w:rPr>
                <w:sz w:val="24"/>
                <w:szCs w:val="24"/>
              </w:rPr>
            </w:pPr>
            <w:r>
              <w:rPr>
                <w:sz w:val="24"/>
                <w:szCs w:val="24"/>
              </w:rPr>
              <w:t xml:space="preserve">总价（元）</w:t>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1</w:t>
            </w:r>
            <w:r/>
          </w:p>
        </w:tc>
        <w:tc>
          <w:tcPr>
            <w:tcW w:w="1133" w:type="dxa"/>
            <w:vAlign w:val="center"/>
            <w:textDirection w:val="lrTb"/>
            <w:noWrap w:val="false"/>
          </w:tcPr>
          <w:p>
            <w:pPr>
              <w:pStyle w:val="666"/>
              <w:jc w:val="center"/>
              <w:spacing w:line="360" w:lineRule="auto"/>
              <w:rPr>
                <w:sz w:val="24"/>
                <w:szCs w:val="24"/>
              </w:rPr>
            </w:pPr>
            <w:r>
              <w:rPr>
                <w:sz w:val="24"/>
                <w:szCs w:val="24"/>
              </w:rPr>
            </w:r>
            <w:r/>
          </w:p>
        </w:tc>
        <w:tc>
          <w:tcPr>
            <w:tcW w:w="959" w:type="dxa"/>
            <w:vAlign w:val="center"/>
            <w:textDirection w:val="lrTb"/>
            <w:noWrap w:val="false"/>
          </w:tcPr>
          <w:p>
            <w:pPr>
              <w:pStyle w:val="666"/>
              <w:jc w:val="center"/>
              <w:spacing w:line="360" w:lineRule="auto"/>
              <w:rPr>
                <w:sz w:val="24"/>
                <w:szCs w:val="24"/>
              </w:rPr>
            </w:pPr>
            <w:r>
              <w:rPr>
                <w:sz w:val="24"/>
                <w:szCs w:val="24"/>
              </w:rPr>
            </w:r>
            <w:r/>
          </w:p>
        </w:tc>
        <w:tc>
          <w:tcPr>
            <w:tcW w:w="1770" w:type="dxa"/>
            <w:vAlign w:val="center"/>
            <w:textDirection w:val="lrTb"/>
            <w:noWrap w:val="false"/>
          </w:tcPr>
          <w:p>
            <w:pPr>
              <w:pStyle w:val="666"/>
              <w:jc w:val="center"/>
              <w:spacing w:line="360" w:lineRule="auto"/>
              <w:rPr>
                <w:sz w:val="24"/>
                <w:szCs w:val="24"/>
              </w:rPr>
            </w:pPr>
            <w:r>
              <w:rPr>
                <w:sz w:val="24"/>
                <w:szCs w:val="24"/>
              </w:rPr>
            </w:r>
            <w:r/>
          </w:p>
        </w:tc>
        <w:tc>
          <w:tcPr>
            <w:tcW w:w="1454" w:type="dxa"/>
            <w:vAlign w:val="center"/>
            <w:textDirection w:val="lrTb"/>
            <w:noWrap w:val="false"/>
          </w:tcPr>
          <w:p>
            <w:pPr>
              <w:pStyle w:val="666"/>
              <w:jc w:val="center"/>
              <w:spacing w:line="360" w:lineRule="auto"/>
              <w:rPr>
                <w:sz w:val="24"/>
                <w:szCs w:val="24"/>
              </w:rPr>
            </w:pPr>
            <w:r>
              <w:rPr>
                <w:sz w:val="24"/>
                <w:szCs w:val="24"/>
              </w:rPr>
            </w:r>
            <w:r/>
          </w:p>
        </w:tc>
        <w:tc>
          <w:tcPr>
            <w:tcW w:w="821" w:type="dxa"/>
            <w:vAlign w:val="center"/>
            <w:textDirection w:val="lrTb"/>
            <w:noWrap w:val="false"/>
          </w:tcPr>
          <w:p>
            <w:pPr>
              <w:pStyle w:val="666"/>
              <w:jc w:val="center"/>
              <w:spacing w:line="360" w:lineRule="auto"/>
              <w:rPr>
                <w:sz w:val="24"/>
                <w:szCs w:val="24"/>
              </w:rPr>
            </w:pPr>
            <w:r>
              <w:rPr>
                <w:sz w:val="24"/>
                <w:szCs w:val="24"/>
              </w:rPr>
            </w:r>
            <w:r/>
          </w:p>
        </w:tc>
        <w:tc>
          <w:tcPr>
            <w:tcW w:w="811" w:type="dxa"/>
            <w:vAlign w:val="center"/>
            <w:textDirection w:val="lrTb"/>
            <w:noWrap w:val="false"/>
          </w:tcPr>
          <w:p>
            <w:pPr>
              <w:pStyle w:val="666"/>
              <w:jc w:val="center"/>
              <w:spacing w:line="360" w:lineRule="auto"/>
              <w:rPr>
                <w:sz w:val="24"/>
                <w:szCs w:val="24"/>
              </w:rPr>
            </w:pPr>
            <w:r>
              <w:rPr>
                <w:sz w:val="24"/>
                <w:szCs w:val="24"/>
              </w:rPr>
            </w:r>
            <w:r/>
          </w:p>
        </w:tc>
        <w:tc>
          <w:tcPr>
            <w:tcW w:w="817" w:type="dxa"/>
            <w:vAlign w:val="center"/>
            <w:textDirection w:val="lrTb"/>
            <w:noWrap w:val="false"/>
          </w:tcPr>
          <w:p>
            <w:pPr>
              <w:pStyle w:val="666"/>
              <w:jc w:val="center"/>
              <w:spacing w:line="360" w:lineRule="auto"/>
              <w:rPr>
                <w:sz w:val="24"/>
                <w:szCs w:val="24"/>
              </w:rPr>
            </w:pPr>
            <w:r>
              <w:rPr>
                <w:sz w:val="24"/>
                <w:szCs w:val="24"/>
              </w:rPr>
            </w:r>
            <w:r/>
          </w:p>
        </w:tc>
        <w:tc>
          <w:tcPr>
            <w:tcW w:w="1206" w:type="dxa"/>
            <w:vAlign w:val="center"/>
            <w:textDirection w:val="lrTb"/>
            <w:noWrap w:val="false"/>
          </w:tcPr>
          <w:p>
            <w:pPr>
              <w:pStyle w:val="666"/>
              <w:jc w:val="center"/>
              <w:spacing w:line="360" w:lineRule="auto"/>
              <w:rPr>
                <w:sz w:val="24"/>
                <w:szCs w:val="24"/>
              </w:rPr>
            </w:pPr>
            <w:r>
              <w:rPr>
                <w:sz w:val="24"/>
                <w:szCs w:val="24"/>
              </w:rPr>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2</w:t>
            </w:r>
            <w:r/>
          </w:p>
        </w:tc>
        <w:tc>
          <w:tcPr>
            <w:tcW w:w="1133" w:type="dxa"/>
            <w:vAlign w:val="center"/>
            <w:textDirection w:val="lrTb"/>
            <w:noWrap w:val="false"/>
          </w:tcPr>
          <w:p>
            <w:pPr>
              <w:pStyle w:val="666"/>
              <w:jc w:val="center"/>
              <w:spacing w:line="360" w:lineRule="auto"/>
              <w:rPr>
                <w:sz w:val="24"/>
                <w:szCs w:val="24"/>
              </w:rPr>
            </w:pPr>
            <w:r>
              <w:rPr>
                <w:sz w:val="24"/>
                <w:szCs w:val="24"/>
              </w:rPr>
            </w:r>
            <w:r/>
          </w:p>
        </w:tc>
        <w:tc>
          <w:tcPr>
            <w:tcW w:w="959" w:type="dxa"/>
            <w:vAlign w:val="center"/>
            <w:textDirection w:val="lrTb"/>
            <w:noWrap w:val="false"/>
          </w:tcPr>
          <w:p>
            <w:pPr>
              <w:pStyle w:val="666"/>
              <w:jc w:val="center"/>
              <w:spacing w:line="360" w:lineRule="auto"/>
              <w:rPr>
                <w:sz w:val="24"/>
                <w:szCs w:val="24"/>
              </w:rPr>
            </w:pPr>
            <w:r>
              <w:rPr>
                <w:sz w:val="24"/>
                <w:szCs w:val="24"/>
              </w:rPr>
            </w:r>
            <w:r/>
          </w:p>
        </w:tc>
        <w:tc>
          <w:tcPr>
            <w:tcW w:w="1770" w:type="dxa"/>
            <w:vAlign w:val="center"/>
            <w:textDirection w:val="lrTb"/>
            <w:noWrap w:val="false"/>
          </w:tcPr>
          <w:p>
            <w:pPr>
              <w:pStyle w:val="666"/>
              <w:jc w:val="center"/>
              <w:spacing w:line="360" w:lineRule="auto"/>
              <w:rPr>
                <w:sz w:val="24"/>
                <w:szCs w:val="24"/>
              </w:rPr>
            </w:pPr>
            <w:r>
              <w:rPr>
                <w:sz w:val="24"/>
                <w:szCs w:val="24"/>
              </w:rPr>
            </w:r>
            <w:r/>
          </w:p>
        </w:tc>
        <w:tc>
          <w:tcPr>
            <w:tcW w:w="1454" w:type="dxa"/>
            <w:vAlign w:val="center"/>
            <w:textDirection w:val="lrTb"/>
            <w:noWrap w:val="false"/>
          </w:tcPr>
          <w:p>
            <w:pPr>
              <w:pStyle w:val="666"/>
              <w:jc w:val="center"/>
              <w:spacing w:line="360" w:lineRule="auto"/>
              <w:rPr>
                <w:sz w:val="24"/>
                <w:szCs w:val="24"/>
              </w:rPr>
            </w:pPr>
            <w:r>
              <w:rPr>
                <w:sz w:val="24"/>
                <w:szCs w:val="24"/>
              </w:rPr>
            </w:r>
            <w:r/>
          </w:p>
        </w:tc>
        <w:tc>
          <w:tcPr>
            <w:tcW w:w="821" w:type="dxa"/>
            <w:vAlign w:val="center"/>
            <w:textDirection w:val="lrTb"/>
            <w:noWrap w:val="false"/>
          </w:tcPr>
          <w:p>
            <w:pPr>
              <w:pStyle w:val="666"/>
              <w:jc w:val="center"/>
              <w:spacing w:line="360" w:lineRule="auto"/>
              <w:rPr>
                <w:sz w:val="24"/>
                <w:szCs w:val="24"/>
              </w:rPr>
            </w:pPr>
            <w:r>
              <w:rPr>
                <w:sz w:val="24"/>
                <w:szCs w:val="24"/>
              </w:rPr>
            </w:r>
            <w:r/>
          </w:p>
        </w:tc>
        <w:tc>
          <w:tcPr>
            <w:tcW w:w="811" w:type="dxa"/>
            <w:vAlign w:val="center"/>
            <w:textDirection w:val="lrTb"/>
            <w:noWrap w:val="false"/>
          </w:tcPr>
          <w:p>
            <w:pPr>
              <w:pStyle w:val="666"/>
              <w:jc w:val="center"/>
              <w:spacing w:line="360" w:lineRule="auto"/>
              <w:rPr>
                <w:sz w:val="24"/>
                <w:szCs w:val="24"/>
              </w:rPr>
            </w:pPr>
            <w:r>
              <w:rPr>
                <w:sz w:val="24"/>
                <w:szCs w:val="24"/>
              </w:rPr>
            </w:r>
            <w:r/>
          </w:p>
        </w:tc>
        <w:tc>
          <w:tcPr>
            <w:tcW w:w="817" w:type="dxa"/>
            <w:vAlign w:val="center"/>
            <w:textDirection w:val="lrTb"/>
            <w:noWrap w:val="false"/>
          </w:tcPr>
          <w:p>
            <w:pPr>
              <w:pStyle w:val="666"/>
              <w:jc w:val="center"/>
              <w:spacing w:line="360" w:lineRule="auto"/>
              <w:rPr>
                <w:sz w:val="24"/>
                <w:szCs w:val="24"/>
              </w:rPr>
            </w:pPr>
            <w:r>
              <w:rPr>
                <w:sz w:val="24"/>
                <w:szCs w:val="24"/>
              </w:rPr>
            </w:r>
            <w:r/>
          </w:p>
        </w:tc>
        <w:tc>
          <w:tcPr>
            <w:tcW w:w="1206" w:type="dxa"/>
            <w:vAlign w:val="center"/>
            <w:textDirection w:val="lrTb"/>
            <w:noWrap w:val="false"/>
          </w:tcPr>
          <w:p>
            <w:pPr>
              <w:pStyle w:val="666"/>
              <w:jc w:val="center"/>
              <w:spacing w:line="360" w:lineRule="auto"/>
              <w:rPr>
                <w:sz w:val="24"/>
                <w:szCs w:val="24"/>
              </w:rPr>
            </w:pPr>
            <w:r>
              <w:rPr>
                <w:sz w:val="24"/>
                <w:szCs w:val="24"/>
              </w:rPr>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3</w:t>
            </w:r>
            <w:r/>
          </w:p>
        </w:tc>
        <w:tc>
          <w:tcPr>
            <w:tcW w:w="1133" w:type="dxa"/>
            <w:vAlign w:val="center"/>
            <w:textDirection w:val="lrTb"/>
            <w:noWrap w:val="false"/>
          </w:tcPr>
          <w:p>
            <w:pPr>
              <w:pStyle w:val="666"/>
              <w:jc w:val="center"/>
              <w:spacing w:line="360" w:lineRule="auto"/>
              <w:rPr>
                <w:sz w:val="24"/>
                <w:szCs w:val="24"/>
              </w:rPr>
            </w:pPr>
            <w:r>
              <w:rPr>
                <w:sz w:val="24"/>
                <w:szCs w:val="24"/>
              </w:rPr>
            </w:r>
            <w:r/>
          </w:p>
        </w:tc>
        <w:tc>
          <w:tcPr>
            <w:tcW w:w="959" w:type="dxa"/>
            <w:vAlign w:val="center"/>
            <w:textDirection w:val="lrTb"/>
            <w:noWrap w:val="false"/>
          </w:tcPr>
          <w:p>
            <w:pPr>
              <w:pStyle w:val="666"/>
              <w:jc w:val="center"/>
              <w:spacing w:line="360" w:lineRule="auto"/>
              <w:rPr>
                <w:sz w:val="24"/>
                <w:szCs w:val="24"/>
              </w:rPr>
            </w:pPr>
            <w:r>
              <w:rPr>
                <w:sz w:val="24"/>
                <w:szCs w:val="24"/>
              </w:rPr>
            </w:r>
            <w:r/>
          </w:p>
        </w:tc>
        <w:tc>
          <w:tcPr>
            <w:tcW w:w="1770" w:type="dxa"/>
            <w:vAlign w:val="center"/>
            <w:textDirection w:val="lrTb"/>
            <w:noWrap w:val="false"/>
          </w:tcPr>
          <w:p>
            <w:pPr>
              <w:pStyle w:val="666"/>
              <w:jc w:val="center"/>
              <w:spacing w:line="360" w:lineRule="auto"/>
              <w:rPr>
                <w:sz w:val="24"/>
                <w:szCs w:val="24"/>
              </w:rPr>
            </w:pPr>
            <w:r>
              <w:rPr>
                <w:sz w:val="24"/>
                <w:szCs w:val="24"/>
              </w:rPr>
            </w:r>
            <w:r/>
          </w:p>
        </w:tc>
        <w:tc>
          <w:tcPr>
            <w:tcW w:w="1454" w:type="dxa"/>
            <w:vAlign w:val="center"/>
            <w:textDirection w:val="lrTb"/>
            <w:noWrap w:val="false"/>
          </w:tcPr>
          <w:p>
            <w:pPr>
              <w:pStyle w:val="666"/>
              <w:jc w:val="center"/>
              <w:spacing w:line="360" w:lineRule="auto"/>
              <w:rPr>
                <w:sz w:val="24"/>
                <w:szCs w:val="24"/>
              </w:rPr>
            </w:pPr>
            <w:r>
              <w:rPr>
                <w:sz w:val="24"/>
                <w:szCs w:val="24"/>
              </w:rPr>
            </w:r>
            <w:r/>
          </w:p>
        </w:tc>
        <w:tc>
          <w:tcPr>
            <w:tcW w:w="821" w:type="dxa"/>
            <w:vAlign w:val="center"/>
            <w:textDirection w:val="lrTb"/>
            <w:noWrap w:val="false"/>
          </w:tcPr>
          <w:p>
            <w:pPr>
              <w:pStyle w:val="666"/>
              <w:jc w:val="center"/>
              <w:spacing w:line="360" w:lineRule="auto"/>
              <w:rPr>
                <w:sz w:val="24"/>
                <w:szCs w:val="24"/>
              </w:rPr>
            </w:pPr>
            <w:r>
              <w:rPr>
                <w:sz w:val="24"/>
                <w:szCs w:val="24"/>
              </w:rPr>
            </w:r>
            <w:r/>
          </w:p>
        </w:tc>
        <w:tc>
          <w:tcPr>
            <w:tcW w:w="811" w:type="dxa"/>
            <w:vAlign w:val="center"/>
            <w:textDirection w:val="lrTb"/>
            <w:noWrap w:val="false"/>
          </w:tcPr>
          <w:p>
            <w:pPr>
              <w:pStyle w:val="666"/>
              <w:jc w:val="center"/>
              <w:spacing w:line="360" w:lineRule="auto"/>
              <w:rPr>
                <w:sz w:val="24"/>
                <w:szCs w:val="24"/>
              </w:rPr>
            </w:pPr>
            <w:r>
              <w:rPr>
                <w:sz w:val="24"/>
                <w:szCs w:val="24"/>
              </w:rPr>
            </w:r>
            <w:r/>
          </w:p>
        </w:tc>
        <w:tc>
          <w:tcPr>
            <w:tcW w:w="817" w:type="dxa"/>
            <w:vAlign w:val="center"/>
            <w:textDirection w:val="lrTb"/>
            <w:noWrap w:val="false"/>
          </w:tcPr>
          <w:p>
            <w:pPr>
              <w:pStyle w:val="666"/>
              <w:jc w:val="center"/>
              <w:spacing w:line="360" w:lineRule="auto"/>
              <w:rPr>
                <w:sz w:val="24"/>
                <w:szCs w:val="24"/>
              </w:rPr>
            </w:pPr>
            <w:r>
              <w:rPr>
                <w:sz w:val="24"/>
                <w:szCs w:val="24"/>
              </w:rPr>
            </w:r>
            <w:r/>
          </w:p>
        </w:tc>
        <w:tc>
          <w:tcPr>
            <w:tcW w:w="1206" w:type="dxa"/>
            <w:vAlign w:val="center"/>
            <w:textDirection w:val="lrTb"/>
            <w:noWrap w:val="false"/>
          </w:tcPr>
          <w:p>
            <w:pPr>
              <w:pStyle w:val="666"/>
              <w:jc w:val="center"/>
              <w:spacing w:line="360" w:lineRule="auto"/>
              <w:rPr>
                <w:sz w:val="24"/>
                <w:szCs w:val="24"/>
              </w:rPr>
            </w:pPr>
            <w:r>
              <w:rPr>
                <w:sz w:val="24"/>
                <w:szCs w:val="24"/>
              </w:rPr>
            </w:r>
            <w:r/>
          </w:p>
        </w:tc>
      </w:tr>
      <w:tr>
        <w:trPr>
          <w:cantSplit/>
          <w:trHeight w:val="654"/>
        </w:trPr>
        <w:tc>
          <w:tcPr>
            <w:tcW w:w="668" w:type="dxa"/>
            <w:vAlign w:val="center"/>
            <w:textDirection w:val="lrTb"/>
            <w:noWrap w:val="false"/>
          </w:tcPr>
          <w:p>
            <w:pPr>
              <w:pStyle w:val="666"/>
              <w:jc w:val="center"/>
              <w:spacing w:line="360" w:lineRule="auto"/>
              <w:rPr>
                <w:sz w:val="24"/>
                <w:szCs w:val="24"/>
              </w:rPr>
            </w:pPr>
            <w:r>
              <w:rPr>
                <w:sz w:val="24"/>
                <w:szCs w:val="24"/>
              </w:rPr>
              <w:t xml:space="preserve">…</w:t>
            </w:r>
            <w:r/>
          </w:p>
        </w:tc>
        <w:tc>
          <w:tcPr>
            <w:gridSpan w:val="8"/>
            <w:tcW w:w="8971" w:type="dxa"/>
            <w:vAlign w:val="center"/>
            <w:textDirection w:val="lrTb"/>
            <w:noWrap w:val="false"/>
          </w:tcPr>
          <w:p>
            <w:pPr>
              <w:pStyle w:val="666"/>
              <w:spacing w:line="360" w:lineRule="auto"/>
              <w:rPr>
                <w:sz w:val="24"/>
                <w:szCs w:val="24"/>
              </w:rPr>
            </w:pPr>
            <w:r>
              <w:rPr>
                <w:sz w:val="24"/>
                <w:szCs w:val="24"/>
              </w:rPr>
              <w:t xml:space="preserve">总报价（元）：</w:t>
            </w:r>
            <w:r/>
          </w:p>
        </w:tc>
      </w:tr>
    </w:tbl>
    <w:p>
      <w:pPr>
        <w:pStyle w:val="733"/>
        <w:jc w:val="both"/>
        <w:spacing w:before="0" w:beforeAutospacing="0" w:after="0" w:afterAutospacing="0" w:line="360" w:lineRule="auto"/>
        <w:widowControl w:val="off"/>
        <w:rPr>
          <w:color w:val="000000"/>
        </w:rPr>
      </w:pPr>
      <w:r>
        <w:rPr>
          <w:color w:val="000000"/>
        </w:rPr>
        <w:t xml:space="preserve">备注：</w:t>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1.</w:t>
      </w:r>
      <w:r>
        <w:rPr>
          <w:rFonts w:hint="eastAsia" w:ascii="Times New Roman" w:hAnsi="Times New Roman" w:cs="Times New Roman"/>
          <w:color w:val="000000"/>
        </w:rPr>
        <w:t xml:space="preserve"> </w:t>
      </w:r>
      <w:r>
        <w:rPr>
          <w:rFonts w:cs="Times New Roman"/>
          <w:color w:val="000000"/>
        </w:rPr>
        <w:t xml:space="preserve">“总报价”</w:t>
      </w:r>
      <w:r>
        <w:rPr>
          <w:rFonts w:ascii="Times New Roman" w:hAnsi="Times New Roman" w:cs="Times New Roman"/>
          <w:color w:val="000000"/>
        </w:rPr>
        <w:t xml:space="preserve">应包括为完成整个项目所产生的所有费用，磋商文件另有规定的除外。</w:t>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2.</w:t>
      </w:r>
      <w:r>
        <w:rPr>
          <w:rFonts w:hint="eastAsia" w:ascii="Times New Roman" w:hAnsi="Times New Roman" w:cs="Times New Roman"/>
          <w:color w:val="000000"/>
        </w:rPr>
        <w:t xml:space="preserve"> </w:t>
      </w:r>
      <w:r>
        <w:rPr>
          <w:rFonts w:ascii="Times New Roman" w:hAnsi="Times New Roman" w:cs="Times New Roman"/>
          <w:color w:val="000000"/>
        </w:rPr>
        <w:t xml:space="preserve">《分项报价表》中“</w:t>
      </w:r>
      <w:r>
        <w:rPr>
          <w:rFonts w:cs="Times New Roman"/>
          <w:color w:val="000000"/>
        </w:rPr>
        <w:t xml:space="preserve">总报价”应当与《磋商报价表》中“总报价”一致</w:t>
      </w:r>
      <w:r>
        <w:rPr>
          <w:rFonts w:ascii="Times New Roman" w:hAnsi="Times New Roman" w:cs="Times New Roman"/>
          <w:color w:val="000000"/>
        </w:rPr>
        <w:t xml:space="preserve">。</w:t>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3.</w:t>
      </w:r>
      <w:r>
        <w:rPr>
          <w:rFonts w:hint="eastAsia" w:ascii="Times New Roman" w:hAnsi="Times New Roman" w:cs="Times New Roman"/>
          <w:color w:val="000000"/>
        </w:rPr>
        <w:t xml:space="preserve"> </w:t>
      </w:r>
      <w:r>
        <w:rPr>
          <w:rFonts w:ascii="Times New Roman" w:hAnsi="Times New Roman" w:cs="Times New Roman"/>
          <w:b/>
          <w:bCs/>
          <w:color w:val="000000"/>
        </w:rPr>
        <w:t xml:space="preserve">《分项报价表》中的分项名称须与</w:t>
      </w:r>
      <w:r>
        <w:rPr>
          <w:rFonts w:cs="Times New Roman"/>
          <w:b/>
          <w:bCs/>
          <w:color w:val="000000"/>
        </w:rPr>
        <w:t xml:space="preserve">“第四章采购需求-项目清单”</w:t>
      </w:r>
      <w:r>
        <w:rPr>
          <w:rFonts w:ascii="Times New Roman" w:hAnsi="Times New Roman" w:cs="Times New Roman"/>
          <w:b/>
          <w:bCs/>
          <w:color w:val="000000"/>
        </w:rPr>
        <w:t xml:space="preserve">中的分项名称一一对应，如有缺项、漏项，视为无效响应。</w:t>
      </w:r>
      <w:r>
        <w:rPr>
          <w:rFonts w:cs="Times New Roman"/>
        </w:rPr>
        <w:t xml:space="preserve">“项目清单”</w:t>
      </w:r>
      <w:r>
        <w:rPr>
          <w:rFonts w:ascii="Times New Roman" w:hAnsi="Times New Roman" w:cs="Times New Roman"/>
        </w:rPr>
        <w:t xml:space="preserve">中分项仅为一项的，此表无需提供。</w:t>
      </w:r>
      <w:r>
        <w:rPr>
          <w:rFonts w:ascii="Times New Roman" w:hAnsi="Times New Roman" w:cs="Times New Roman"/>
          <w:color w:val="000000"/>
        </w:rPr>
      </w:r>
      <w:r/>
    </w:p>
    <w:p>
      <w:pPr>
        <w:pStyle w:val="733"/>
        <w:ind w:firstLine="480"/>
        <w:jc w:val="both"/>
        <w:spacing w:before="0" w:beforeAutospacing="0" w:after="0" w:afterAutospacing="0" w:line="360" w:lineRule="auto"/>
        <w:widowControl w:val="off"/>
        <w:rPr>
          <w:rFonts w:ascii="Times New Roman" w:hAnsi="Times New Roman" w:cs="Times New Roman"/>
          <w:color w:val="000000"/>
        </w:rPr>
      </w:pPr>
      <w:r>
        <w:rPr>
          <w:rFonts w:ascii="Times New Roman" w:hAnsi="Times New Roman" w:cs="Times New Roman"/>
          <w:color w:val="000000"/>
        </w:rPr>
        <w:t xml:space="preserve">4.</w:t>
      </w:r>
      <w:r>
        <w:rPr>
          <w:rFonts w:hint="eastAsia" w:ascii="Times New Roman" w:hAnsi="Times New Roman" w:cs="Times New Roman"/>
          <w:color w:val="000000"/>
        </w:rPr>
        <w:t xml:space="preserve"> </w:t>
      </w:r>
      <w:r>
        <w:rPr>
          <w:rFonts w:ascii="Times New Roman" w:hAnsi="Times New Roman" w:cs="Times New Roman"/>
          <w:color w:val="000000"/>
        </w:rPr>
        <w:t xml:space="preserve">行数不够，可自行添加。</w:t>
      </w:r>
      <w:r/>
    </w:p>
    <w:p>
      <w:pPr>
        <w:pStyle w:val="666"/>
        <w:spacing w:line="360" w:lineRule="auto"/>
        <w:rPr>
          <w:rFonts w:hint="eastAsia"/>
          <w:b/>
          <w:bCs/>
          <w:color w:val="000000"/>
        </w:rPr>
        <w:outlineLvl w:val="1"/>
      </w:pPr>
      <w:r>
        <w:rPr>
          <w:rFonts w:hint="eastAsia" w:ascii="黑体" w:hAnsi="黑体" w:eastAsia="黑体"/>
          <w:i/>
          <w:sz w:val="32"/>
          <w:szCs w:val="32"/>
          <w:u w:val="single"/>
        </w:rPr>
        <w:br w:type="page" w:clear="all"/>
      </w:r>
      <w:bookmarkEnd w:id="98"/>
      <w:r>
        <w:rPr>
          <w:rFonts w:hint="eastAsia" w:ascii="黑体" w:hAnsi="黑体" w:eastAsia="黑体"/>
          <w:b/>
          <w:bCs/>
          <w:sz w:val="32"/>
          <w:szCs w:val="36"/>
        </w:rPr>
        <w:t xml:space="preserve">六、技术要求响应及偏离表</w:t>
      </w:r>
      <w:r>
        <w:rPr>
          <w:rFonts w:hint="eastAsia"/>
          <w:b/>
          <w:bCs/>
          <w:color w:val="000000"/>
        </w:rPr>
      </w:r>
      <w:r/>
    </w:p>
    <w:p>
      <w:pPr>
        <w:pStyle w:val="666"/>
        <w:jc w:val="center"/>
        <w:spacing w:line="360" w:lineRule="auto"/>
        <w:rPr>
          <w:rFonts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技术要求响应及偏离表</w:t>
      </w:r>
      <w:r>
        <w:rPr>
          <w:rFonts w:ascii="宋体" w:hAnsi="宋体" w:cs="方正小标宋简体"/>
          <w:b/>
          <w:bCs/>
          <w:color w:val="000000"/>
          <w:sz w:val="32"/>
          <w:szCs w:val="32"/>
          <w:lang w:val="zh-CN"/>
        </w:rPr>
      </w:r>
      <w:r/>
    </w:p>
    <w:p>
      <w:pPr>
        <w:pStyle w:val="666"/>
        <w:ind w:right="1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66"/>
        <w:ind w:right="1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6"/>
        <w:ind w:right="180"/>
        <w:rPr>
          <w:rFonts w:hint="eastAsia"/>
        </w:rPr>
      </w:pPr>
      <w:r>
        <w:rPr>
          <w:rFonts w:hint="eastAsia" w:ascii="宋体" w:hAnsi="宋体"/>
          <w:sz w:val="24"/>
          <w:szCs w:val="24"/>
        </w:rPr>
        <w:t xml:space="preserve">项目编号：                                   采购包号：</w:t>
      </w:r>
      <w:r>
        <w:rPr>
          <w:rFonts w:hint="eastAsia"/>
        </w:rPr>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0"/>
        <w:gridCol w:w="2854"/>
        <w:gridCol w:w="2763"/>
        <w:gridCol w:w="3292"/>
      </w:tblGrid>
      <w:tr>
        <w:trPr>
          <w:cantSplit/>
        </w:trPr>
        <w:tc>
          <w:tcPr>
            <w:tcW w:w="748"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666"/>
              <w:jc w:val="center"/>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666"/>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r>
        <w:trPr>
          <w:cantSplit/>
        </w:trPr>
        <w:tc>
          <w:tcPr>
            <w:tcW w:w="748"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666"/>
              <w:jc w:val="center"/>
              <w:rPr>
                <w:rFonts w:hint="eastAsia" w:ascii="宋体" w:hAnsi="宋体"/>
                <w:sz w:val="24"/>
                <w:szCs w:val="24"/>
              </w:rPr>
            </w:pPr>
            <w:r>
              <w:rPr>
                <w:rFonts w:hint="eastAsia" w:ascii="宋体" w:hAnsi="宋体"/>
                <w:sz w:val="24"/>
                <w:szCs w:val="24"/>
              </w:rPr>
            </w:r>
            <w:r/>
          </w:p>
        </w:tc>
      </w:tr>
    </w:tbl>
    <w:p>
      <w:pPr>
        <w:pStyle w:val="666"/>
        <w:spacing w:line="360" w:lineRule="auto"/>
        <w:rPr>
          <w:rFonts w:hint="eastAsia" w:ascii="宋体" w:hAnsi="宋体"/>
          <w:sz w:val="24"/>
          <w:szCs w:val="24"/>
        </w:rPr>
      </w:pPr>
      <w:r>
        <w:rPr>
          <w:rFonts w:hint="eastAsia" w:ascii="宋体" w:hAnsi="宋体"/>
          <w:sz w:val="24"/>
          <w:szCs w:val="24"/>
        </w:rPr>
      </w:r>
      <w:r/>
    </w:p>
    <w:p>
      <w:pPr>
        <w:pStyle w:val="733"/>
        <w:jc w:val="both"/>
        <w:spacing w:before="0" w:beforeAutospacing="0" w:after="0" w:afterAutospacing="0" w:line="360" w:lineRule="auto"/>
        <w:rPr>
          <w:rFonts w:ascii="Times New Roman" w:hAnsi="Times New Roman" w:cs="Times New Roman"/>
        </w:rPr>
      </w:pPr>
      <w:r/>
      <w:bookmarkStart w:id="99" w:name="_Hlt26955054"/>
      <w:r/>
      <w:bookmarkEnd w:id="99"/>
      <w:r>
        <w:rPr>
          <w:rFonts w:ascii="Times New Roman" w:hAnsi="Times New Roman" w:cs="Times New Roman"/>
        </w:rPr>
        <w:t xml:space="preserve">备注：</w:t>
      </w:r>
      <w:r/>
    </w:p>
    <w:p>
      <w:pPr>
        <w:pStyle w:val="733"/>
        <w:ind w:firstLine="482"/>
        <w:jc w:val="both"/>
        <w:spacing w:before="0" w:beforeAutospacing="0" w:after="0" w:afterAutospacing="0" w:line="360" w:lineRule="auto"/>
        <w:rPr>
          <w:rFonts w:ascii="Times New Roman" w:hAnsi="Times New Roman" w:cs="Times New Roman"/>
          <w:b/>
          <w:bCs/>
        </w:rPr>
      </w:pPr>
      <w:r>
        <w:rPr>
          <w:rFonts w:ascii="Times New Roman" w:hAnsi="Times New Roman" w:cs="Times New Roman"/>
          <w:b/>
          <w:bCs/>
        </w:rPr>
        <w:t xml:space="preserve">1.</w:t>
      </w:r>
      <w:r>
        <w:rPr>
          <w:rFonts w:hint="eastAsia" w:ascii="Times New Roman" w:hAnsi="Times New Roman" w:cs="Times New Roman"/>
          <w:b/>
          <w:bCs/>
        </w:rPr>
        <w:t xml:space="preserve"> </w:t>
      </w:r>
      <w:r>
        <w:rPr>
          <w:rFonts w:ascii="Times New Roman" w:hAnsi="Times New Roman" w:cs="Times New Roman"/>
          <w:b/>
          <w:bCs/>
        </w:rPr>
        <w:t xml:space="preserve">供应商须对磋商文件技术要求中的实质性要求（打</w:t>
      </w:r>
      <w:r>
        <w:rPr>
          <w:rFonts w:cs="Times New Roman"/>
          <w:b/>
          <w:bCs/>
        </w:rPr>
        <w:t xml:space="preserve">“</w:t>
      </w:r>
      <w:r>
        <w:rPr>
          <w:rFonts w:cs="Segoe UI Symbol"/>
          <w:b/>
          <w:bCs/>
        </w:rPr>
        <w:t xml:space="preserve">★</w:t>
      </w:r>
      <w:r>
        <w:rPr>
          <w:rFonts w:cs="Times New Roman"/>
          <w:b/>
          <w:bCs/>
        </w:rPr>
        <w:t xml:space="preserve">”</w:t>
      </w:r>
      <w:r>
        <w:rPr>
          <w:rFonts w:ascii="Times New Roman" w:hAnsi="Times New Roman" w:cs="Times New Roman"/>
          <w:b/>
          <w:bCs/>
        </w:rPr>
        <w:t xml:space="preserve">内容）作出明确响应，否则视为无效响应。</w:t>
      </w:r>
      <w:r/>
    </w:p>
    <w:p>
      <w:pPr>
        <w:pStyle w:val="733"/>
        <w:ind w:firstLine="482"/>
        <w:jc w:val="both"/>
        <w:spacing w:before="0" w:beforeAutospacing="0" w:after="0" w:afterAutospacing="0" w:line="360" w:lineRule="auto"/>
        <w:rPr>
          <w:rFonts w:ascii="Times New Roman" w:hAnsi="Times New Roman" w:cs="Times New Roman"/>
          <w:b/>
          <w:bCs/>
        </w:rPr>
      </w:pPr>
      <w:r>
        <w:rPr>
          <w:rFonts w:ascii="Times New Roman" w:hAnsi="Times New Roman" w:cs="Times New Roman"/>
          <w:b/>
          <w:bCs/>
        </w:rPr>
        <w:t xml:space="preserve">2.</w:t>
      </w:r>
      <w:r>
        <w:rPr>
          <w:rFonts w:hint="eastAsia" w:ascii="Times New Roman" w:hAnsi="Times New Roman" w:cs="Times New Roman"/>
          <w:b/>
          <w:bCs/>
        </w:rPr>
        <w:t xml:space="preserve"> </w:t>
      </w:r>
      <w:r>
        <w:rPr>
          <w:rFonts w:ascii="Times New Roman" w:hAnsi="Times New Roman" w:cs="Times New Roman"/>
          <w:b/>
          <w:bCs/>
        </w:rPr>
        <w:t xml:space="preserve">技术要求中实质性要求及其他要求明确需要提供证明材料的，签订合同时成交供应商应按磋商文件要求和响应文件内容提供相应证明材料供采购人核验，否则采购人将取消其成交资格。</w:t>
      </w:r>
      <w:r/>
    </w:p>
    <w:p>
      <w:pPr>
        <w:pStyle w:val="733"/>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3.</w:t>
      </w:r>
      <w:r>
        <w:rPr>
          <w:rFonts w:hint="eastAsia" w:ascii="Times New Roman" w:hAnsi="Times New Roman" w:cs="Times New Roman"/>
        </w:rPr>
        <w:t xml:space="preserve"> </w:t>
      </w:r>
      <w:r>
        <w:rPr>
          <w:rFonts w:ascii="Times New Roman" w:hAnsi="Times New Roman" w:cs="Times New Roman"/>
        </w:rPr>
        <w:t xml:space="preserve">行数不够，可自行添加。</w:t>
      </w:r>
      <w:r/>
    </w:p>
    <w:p>
      <w:pPr>
        <w:pStyle w:val="733"/>
        <w:jc w:val="both"/>
        <w:spacing w:before="0" w:beforeAutospacing="0" w:after="0" w:afterAutospacing="0" w:line="360" w:lineRule="auto"/>
        <w:rPr>
          <w:rFonts w:hint="eastAsia" w:ascii="Times New Roman" w:hAnsi="Times New Roman" w:cs="Times New Roman"/>
        </w:rPr>
      </w:pPr>
      <w:r>
        <w:rPr>
          <w:rFonts w:hint="eastAsia" w:ascii="Times New Roman" w:hAnsi="Times New Roman" w:cs="Times New Roman"/>
        </w:rPr>
      </w:r>
      <w:r/>
    </w:p>
    <w:p>
      <w:pPr>
        <w:pStyle w:val="666"/>
        <w:rPr>
          <w:rFonts w:hint="eastAsia" w:ascii="黑体" w:hAnsi="黑体" w:eastAsia="黑体"/>
          <w:iCs/>
          <w:sz w:val="32"/>
          <w:szCs w:val="32"/>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iCs/>
          <w:sz w:val="32"/>
          <w:szCs w:val="32"/>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七、商务要求响应及偏离表</w:t>
      </w:r>
      <w:r/>
    </w:p>
    <w:p>
      <w:pPr>
        <w:pStyle w:val="666"/>
        <w:jc w:val="center"/>
        <w:spacing w:line="360" w:lineRule="auto"/>
        <w:rPr>
          <w:rFonts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商务要求响应及偏离表</w:t>
      </w:r>
      <w:r>
        <w:rPr>
          <w:rFonts w:ascii="宋体" w:hAnsi="宋体" w:cs="方正小标宋简体"/>
          <w:b/>
          <w:bCs/>
          <w:color w:val="000000"/>
          <w:sz w:val="32"/>
          <w:szCs w:val="32"/>
          <w:lang w:val="zh-CN"/>
        </w:rPr>
      </w:r>
      <w:r/>
    </w:p>
    <w:p>
      <w:pPr>
        <w:pStyle w:val="666"/>
        <w:ind w:right="1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666"/>
        <w:ind w:right="1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6"/>
        <w:ind w:right="180"/>
        <w:rPr>
          <w:rFonts w:hint="eastAsia"/>
        </w:rPr>
      </w:pPr>
      <w:r>
        <w:rPr>
          <w:rFonts w:hint="eastAsia" w:ascii="宋体" w:hAnsi="宋体"/>
          <w:sz w:val="24"/>
          <w:szCs w:val="24"/>
        </w:rPr>
        <w:t xml:space="preserve">项目编号：                                   采购包号：</w:t>
      </w:r>
      <w:r>
        <w:rPr>
          <w:rFonts w:hint="eastAsia"/>
        </w:rPr>
      </w:r>
      <w:r/>
    </w:p>
    <w:tbl>
      <w:tblPr>
        <w:tblW w:w="96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8"/>
        <w:gridCol w:w="2816"/>
        <w:gridCol w:w="2771"/>
        <w:gridCol w:w="3274"/>
      </w:tblGrid>
      <w:tr>
        <w:trPr>
          <w:cantSplit/>
        </w:trPr>
        <w:tc>
          <w:tcPr>
            <w:tcW w:w="795"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磋商文件要求</w:t>
            </w:r>
            <w:r/>
          </w:p>
        </w:tc>
        <w:tc>
          <w:tcPr>
            <w:tcW w:w="2832"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t xml:space="preserve">正偏离、无偏离或负偏离</w:t>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r>
        <w:trPr>
          <w:cantSplit/>
        </w:trPr>
        <w:tc>
          <w:tcPr>
            <w:tcW w:w="795"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66"/>
              <w:jc w:val="center"/>
              <w:rPr>
                <w:rFonts w:hint="eastAsia" w:ascii="宋体" w:hAnsi="宋体"/>
                <w:color w:val="000000"/>
                <w:sz w:val="24"/>
                <w:szCs w:val="24"/>
              </w:rPr>
            </w:pPr>
            <w:r>
              <w:rPr>
                <w:rFonts w:hint="eastAsia" w:ascii="宋体" w:hAnsi="宋体"/>
                <w:color w:val="000000"/>
                <w:sz w:val="24"/>
                <w:szCs w:val="24"/>
              </w:rPr>
            </w:r>
            <w:r/>
          </w:p>
        </w:tc>
      </w:tr>
    </w:tbl>
    <w:p>
      <w:pPr>
        <w:pStyle w:val="666"/>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733"/>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备注：</w:t>
      </w:r>
      <w:r/>
    </w:p>
    <w:p>
      <w:pPr>
        <w:pStyle w:val="733"/>
        <w:ind w:firstLine="482"/>
        <w:jc w:val="both"/>
        <w:spacing w:before="0" w:beforeAutospacing="0" w:after="0" w:afterAutospacing="0" w:line="360" w:lineRule="auto"/>
        <w:rPr>
          <w:rFonts w:ascii="Times New Roman" w:hAnsi="Times New Roman" w:cs="Times New Roman"/>
          <w:b/>
          <w:bCs/>
        </w:rPr>
      </w:pPr>
      <w:r>
        <w:rPr>
          <w:rFonts w:ascii="Times New Roman" w:hAnsi="Times New Roman" w:cs="Times New Roman"/>
          <w:b/>
          <w:bCs/>
        </w:rPr>
        <w:t xml:space="preserve">1.</w:t>
      </w:r>
      <w:r>
        <w:rPr>
          <w:rFonts w:hint="eastAsia" w:ascii="Times New Roman" w:hAnsi="Times New Roman" w:cs="Times New Roman"/>
          <w:b/>
          <w:bCs/>
        </w:rPr>
        <w:t xml:space="preserve"> </w:t>
      </w:r>
      <w:r>
        <w:rPr>
          <w:rFonts w:ascii="Times New Roman" w:hAnsi="Times New Roman" w:cs="Times New Roman"/>
          <w:b/>
          <w:bCs/>
        </w:rPr>
        <w:t xml:space="preserve">供应商须对磋商文件商务要求中的实质性要求（</w:t>
      </w:r>
      <w:r>
        <w:rPr>
          <w:rFonts w:cs="Times New Roman"/>
          <w:b/>
          <w:bCs/>
        </w:rPr>
        <w:t xml:space="preserve">打“</w:t>
      </w:r>
      <w:r>
        <w:rPr>
          <w:rFonts w:cs="Segoe UI Symbol"/>
          <w:b/>
          <w:bCs/>
        </w:rPr>
        <w:t xml:space="preserve">★</w:t>
      </w:r>
      <w:r>
        <w:rPr>
          <w:rFonts w:cs="Times New Roman"/>
          <w:b/>
          <w:bCs/>
        </w:rPr>
        <w:t xml:space="preserve">”内容</w:t>
      </w:r>
      <w:r>
        <w:rPr>
          <w:rFonts w:ascii="Times New Roman" w:hAnsi="Times New Roman" w:cs="Times New Roman"/>
          <w:b/>
          <w:bCs/>
        </w:rPr>
        <w:t xml:space="preserve">）做出明确响应，否则视为无效响应。</w:t>
      </w:r>
      <w:r/>
    </w:p>
    <w:p>
      <w:pPr>
        <w:pStyle w:val="733"/>
        <w:ind w:firstLine="480"/>
        <w:jc w:val="both"/>
        <w:spacing w:before="0" w:beforeAutospacing="0" w:after="0" w:afterAutospacing="0" w:line="360" w:lineRule="auto"/>
        <w:rPr>
          <w:rFonts w:ascii="Times New Roman" w:hAnsi="Times New Roman" w:cs="Times New Roman"/>
        </w:rPr>
      </w:pPr>
      <w:r>
        <w:rPr>
          <w:rFonts w:ascii="Times New Roman" w:hAnsi="Times New Roman" w:cs="Times New Roman"/>
        </w:rPr>
        <w:t xml:space="preserve">2.</w:t>
      </w:r>
      <w:r>
        <w:rPr>
          <w:rFonts w:hint="eastAsia" w:ascii="Times New Roman" w:hAnsi="Times New Roman" w:cs="Times New Roman"/>
        </w:rPr>
        <w:t xml:space="preserve"> </w:t>
      </w:r>
      <w:r>
        <w:rPr>
          <w:rFonts w:ascii="Times New Roman" w:hAnsi="Times New Roman" w:cs="Times New Roman"/>
        </w:rPr>
        <w:t xml:space="preserve">行数不够，可自行添加。</w:t>
      </w:r>
      <w:r/>
    </w:p>
    <w:p>
      <w:pPr>
        <w:pStyle w:val="733"/>
        <w:jc w:val="both"/>
        <w:spacing w:before="0" w:beforeAutospacing="0" w:after="0" w:afterAutospacing="0" w:line="360" w:lineRule="auto"/>
        <w:rPr>
          <w:rFonts w:hint="eastAsia" w:ascii="Times New Roman" w:hAnsi="Times New Roman" w:cs="Times New Roman"/>
        </w:rPr>
      </w:pPr>
      <w:r>
        <w:rPr>
          <w:rFonts w:hint="eastAsia" w:ascii="Times New Roman" w:hAnsi="Times New Roman" w:cs="Times New Roman"/>
        </w:rPr>
      </w:r>
      <w:r/>
    </w:p>
    <w:p>
      <w:pPr>
        <w:pStyle w:val="733"/>
        <w:jc w:val="both"/>
        <w:spacing w:before="0" w:beforeAutospacing="0" w:after="0" w:afterAutospacing="0" w:line="360" w:lineRule="auto"/>
        <w:rPr>
          <w:rFonts w:hint="eastAsia"/>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八、中小企业声明函</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中小企业声明函（服务）</w:t>
      </w:r>
      <w:r/>
    </w:p>
    <w:p>
      <w:pPr>
        <w:pStyle w:val="666"/>
        <w:ind w:firstLine="480"/>
        <w:spacing w:line="440" w:lineRule="exact"/>
        <w:rPr>
          <w:sz w:val="24"/>
          <w:szCs w:val="24"/>
        </w:rPr>
      </w:pPr>
      <w:r>
        <w:rPr>
          <w:sz w:val="24"/>
          <w:szCs w:val="24"/>
        </w:rPr>
        <w:t xml:space="preserve">本公司（联合体）郑重声明，根据《政府采购促进中小企业发展管理办法》</w:t>
      </w:r>
      <w:r>
        <w:rPr>
          <w:rFonts w:hint="eastAsia"/>
          <w:sz w:val="24"/>
          <w:szCs w:val="24"/>
        </w:rPr>
        <w:t xml:space="preserve">（</w:t>
      </w:r>
      <w:r>
        <w:rPr>
          <w:sz w:val="24"/>
          <w:szCs w:val="24"/>
        </w:rPr>
        <w:t xml:space="preserve">财库〔2020〕46号</w:t>
      </w:r>
      <w:r>
        <w:rPr>
          <w:rFonts w:hint="eastAsia"/>
          <w:sz w:val="24"/>
          <w:szCs w:val="24"/>
        </w:rPr>
        <w:t xml:space="preserve">）</w:t>
      </w:r>
      <w:r>
        <w:rPr>
          <w:sz w:val="24"/>
          <w:szCs w:val="24"/>
        </w:rPr>
        <w:t xml:space="preserve">的规定，本公司（联合体）参加</w:t>
      </w:r>
      <w:r>
        <w:rPr>
          <w:sz w:val="24"/>
          <w:szCs w:val="24"/>
          <w:u w:val="single"/>
        </w:rPr>
        <w:t xml:space="preserve">XXXXXXXXXXX</w:t>
      </w:r>
      <w:r>
        <w:rPr>
          <w:sz w:val="24"/>
          <w:szCs w:val="24"/>
        </w:rPr>
        <w:t xml:space="preserve">（单位名称）采购编号为</w:t>
      </w:r>
      <w:r>
        <w:rPr>
          <w:sz w:val="24"/>
          <w:szCs w:val="24"/>
          <w:u w:val="single"/>
        </w:rPr>
        <w:t xml:space="preserve">XX</w:t>
      </w:r>
      <w:r>
        <w:rPr>
          <w:sz w:val="24"/>
          <w:szCs w:val="24"/>
          <w:u w:val="single"/>
        </w:rPr>
        <w:t xml:space="preserve">XXXXXXXXXXXXX</w:t>
      </w:r>
      <w:r>
        <w:rPr>
          <w:sz w:val="24"/>
          <w:szCs w:val="24"/>
        </w:rPr>
        <w:t xml:space="preserve">项目（采购包号：</w:t>
      </w:r>
      <w:r>
        <w:rPr>
          <w:sz w:val="24"/>
          <w:szCs w:val="24"/>
          <w:u w:val="single"/>
        </w:rPr>
        <w:t xml:space="preserve">XXX</w:t>
      </w:r>
      <w:r>
        <w:rPr>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eastAsia="仿宋_GB2312"/>
          <w:sz w:val="24"/>
          <w:szCs w:val="24"/>
        </w:rPr>
        <w:t xml:space="preserve">〔</w:t>
      </w:r>
      <w:r>
        <w:rPr>
          <w:sz w:val="24"/>
          <w:szCs w:val="24"/>
        </w:rPr>
        <w:t xml:space="preserve">2011</w:t>
      </w:r>
      <w:r>
        <w:rPr>
          <w:rFonts w:eastAsia="仿宋_GB2312"/>
          <w:sz w:val="24"/>
          <w:szCs w:val="24"/>
        </w:rPr>
        <w:t xml:space="preserve">〕</w:t>
      </w:r>
      <w:r>
        <w:rPr>
          <w:sz w:val="24"/>
          <w:szCs w:val="24"/>
        </w:rPr>
        <w:t xml:space="preserve">300号)的规定，相关企业（含联合体中的小微企业、签订分包意向协议的中小企业）的具体情况如下：</w:t>
      </w:r>
      <w:r/>
    </w:p>
    <w:p>
      <w:pPr>
        <w:pStyle w:val="666"/>
        <w:ind w:firstLine="480"/>
        <w:spacing w:line="440" w:lineRule="exact"/>
        <w:rPr>
          <w:i/>
          <w:sz w:val="24"/>
          <w:szCs w:val="24"/>
          <w:u w:val="single"/>
        </w:rPr>
      </w:pPr>
      <w:r>
        <w:rPr>
          <w:sz w:val="24"/>
          <w:szCs w:val="24"/>
        </w:rPr>
        <w:t xml:space="preserve">1.</w:t>
      </w:r>
      <w:r>
        <w:rPr>
          <w:sz w:val="24"/>
          <w:szCs w:val="24"/>
          <w:u w:val="single"/>
        </w:rPr>
        <w:t xml:space="preserve">      </w:t>
      </w:r>
      <w:r>
        <w:rPr>
          <w:sz w:val="24"/>
          <w:szCs w:val="24"/>
        </w:rPr>
        <w:t xml:space="preserve">（标的名称）属于</w:t>
      </w:r>
      <w:r>
        <w:rPr>
          <w:sz w:val="24"/>
          <w:szCs w:val="24"/>
          <w:u w:val="single"/>
        </w:rPr>
        <w:t xml:space="preserve">     </w:t>
      </w:r>
      <w:r>
        <w:rPr>
          <w:sz w:val="24"/>
          <w:szCs w:val="24"/>
        </w:rPr>
        <w:t xml:space="preserve">行业（磋商文件中明确的所属行业）；承接企业为</w:t>
      </w:r>
      <w:r>
        <w:rPr>
          <w:sz w:val="24"/>
          <w:szCs w:val="24"/>
          <w:u w:val="single"/>
        </w:rPr>
        <w:t xml:space="preserve">      </w:t>
      </w:r>
      <w:r>
        <w:rPr>
          <w:sz w:val="24"/>
          <w:szCs w:val="24"/>
        </w:rPr>
        <w:t xml:space="preserve">（企业名称），从业人员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w:t>
      </w:r>
      <w:r>
        <w:rPr>
          <w:i/>
          <w:sz w:val="24"/>
          <w:szCs w:val="24"/>
          <w:u w:val="single"/>
        </w:rPr>
      </w:r>
      <w:r/>
    </w:p>
    <w:p>
      <w:pPr>
        <w:pStyle w:val="666"/>
        <w:ind w:firstLine="480"/>
        <w:spacing w:line="440" w:lineRule="exact"/>
        <w:rPr>
          <w:i/>
          <w:sz w:val="24"/>
          <w:szCs w:val="24"/>
        </w:rPr>
      </w:pPr>
      <w:r>
        <w:rPr>
          <w:sz w:val="24"/>
          <w:szCs w:val="24"/>
        </w:rPr>
        <w:t xml:space="preserve">2.</w:t>
      </w:r>
      <w:r>
        <w:rPr>
          <w:sz w:val="24"/>
          <w:szCs w:val="24"/>
          <w:u w:val="single"/>
        </w:rPr>
        <w:t xml:space="preserve">      </w:t>
      </w:r>
      <w:r>
        <w:rPr>
          <w:sz w:val="24"/>
          <w:szCs w:val="24"/>
        </w:rPr>
        <w:t xml:space="preserve">（标的名称）属于</w:t>
      </w:r>
      <w:r>
        <w:rPr>
          <w:sz w:val="24"/>
          <w:szCs w:val="24"/>
          <w:u w:val="single"/>
        </w:rPr>
        <w:t xml:space="preserve">     </w:t>
      </w:r>
      <w:r>
        <w:rPr>
          <w:sz w:val="24"/>
          <w:szCs w:val="24"/>
        </w:rPr>
        <w:t xml:space="preserve">行业（磋商文件中明确的所属行业）；承接企业为</w:t>
      </w:r>
      <w:r>
        <w:rPr>
          <w:sz w:val="24"/>
          <w:szCs w:val="24"/>
          <w:u w:val="single"/>
        </w:rPr>
        <w:t xml:space="preserve">      </w:t>
      </w:r>
      <w:r>
        <w:rPr>
          <w:sz w:val="24"/>
          <w:szCs w:val="24"/>
        </w:rPr>
        <w:t xml:space="preserve">（企业名称），从业人员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rFonts w:ascii="Wingdings" w:hAnsi="Wingdings" w:eastAsia="Wingdings" w:cs="Wingdings"/>
          <w:sz w:val="24"/>
          <w:szCs w:val="24"/>
        </w:rPr>
        <w:t xml:space="preserve">¨</w:t>
      </w:r>
      <w:r>
        <w:rPr>
          <w:sz w:val="24"/>
          <w:szCs w:val="24"/>
        </w:rPr>
        <w:t xml:space="preserve">中型企业 </w:t>
      </w:r>
      <w:r>
        <w:rPr>
          <w:rFonts w:ascii="Wingdings" w:hAnsi="Wingdings" w:eastAsia="Wingdings" w:cs="Wingdings"/>
          <w:sz w:val="24"/>
          <w:szCs w:val="24"/>
        </w:rPr>
        <w:t xml:space="preserve">¨</w:t>
      </w:r>
      <w:r>
        <w:rPr>
          <w:sz w:val="24"/>
          <w:szCs w:val="24"/>
        </w:rPr>
        <w:t xml:space="preserve">小型企业 </w:t>
      </w:r>
      <w:r>
        <w:rPr>
          <w:rFonts w:ascii="Wingdings" w:hAnsi="Wingdings" w:eastAsia="Wingdings" w:cs="Wingdings"/>
          <w:sz w:val="24"/>
          <w:szCs w:val="24"/>
        </w:rPr>
        <w:t xml:space="preserve">¨</w:t>
      </w:r>
      <w:r>
        <w:rPr>
          <w:sz w:val="24"/>
          <w:szCs w:val="24"/>
        </w:rPr>
        <w:t xml:space="preserve">微型企业。</w:t>
      </w:r>
      <w:r>
        <w:rPr>
          <w:i/>
          <w:sz w:val="24"/>
          <w:szCs w:val="24"/>
        </w:rPr>
      </w:r>
      <w:r/>
    </w:p>
    <w:p>
      <w:pPr>
        <w:pStyle w:val="666"/>
        <w:ind w:firstLine="360"/>
        <w:spacing w:line="440" w:lineRule="exact"/>
        <w:rPr>
          <w:sz w:val="24"/>
          <w:szCs w:val="24"/>
        </w:rPr>
      </w:pPr>
      <w:r>
        <w:rPr>
          <w:sz w:val="24"/>
          <w:szCs w:val="24"/>
        </w:rPr>
        <w:t xml:space="preserve">……</w:t>
      </w:r>
      <w:r/>
    </w:p>
    <w:p>
      <w:pPr>
        <w:pStyle w:val="666"/>
        <w:ind w:firstLine="480"/>
        <w:spacing w:line="440" w:lineRule="exact"/>
        <w:rPr>
          <w:sz w:val="24"/>
          <w:szCs w:val="24"/>
        </w:rPr>
      </w:pPr>
      <w:r>
        <w:rPr>
          <w:sz w:val="24"/>
          <w:szCs w:val="24"/>
        </w:rPr>
        <w:t xml:space="preserve">以上企业，不属于大企业的分支机构，不存在控股股东为大企业的情形，也不存在与大企业的负责人为同一人的情形。</w:t>
      </w:r>
      <w:r/>
    </w:p>
    <w:p>
      <w:pPr>
        <w:pStyle w:val="666"/>
        <w:ind w:firstLine="480"/>
        <w:spacing w:line="440" w:lineRule="exact"/>
        <w:rPr>
          <w:sz w:val="24"/>
          <w:szCs w:val="24"/>
        </w:rPr>
      </w:pPr>
      <w:r>
        <w:rPr>
          <w:sz w:val="24"/>
          <w:szCs w:val="24"/>
        </w:rPr>
        <w:t xml:space="preserve">本企业对上述声明内容的真实性负责，如有虚假，将依法承担相应责任。</w:t>
      </w:r>
      <w:r/>
    </w:p>
    <w:p>
      <w:pPr>
        <w:pStyle w:val="666"/>
        <w:spacing w:line="440" w:lineRule="exact"/>
        <w:rPr>
          <w:rFonts w:hint="eastAsia"/>
        </w:rPr>
      </w:pPr>
      <w:r>
        <w:rPr>
          <w:rFonts w:hint="eastAsia"/>
        </w:rPr>
      </w:r>
      <w:r/>
    </w:p>
    <w:p>
      <w:pPr>
        <w:pStyle w:val="666"/>
        <w:ind w:right="180" w:firstLine="360"/>
        <w:spacing w:line="440" w:lineRule="exact"/>
        <w:tabs>
          <w:tab w:val="left" w:pos="3686" w:leader="none"/>
        </w:tabs>
        <w:rPr>
          <w:sz w:val="24"/>
          <w:szCs w:val="24"/>
        </w:rPr>
      </w:pPr>
      <w:r>
        <w:rPr>
          <w:sz w:val="24"/>
          <w:szCs w:val="24"/>
        </w:rPr>
        <w:t xml:space="preserve">企业名称：（加盖电子公章）</w:t>
      </w:r>
      <w:r/>
    </w:p>
    <w:p>
      <w:pPr>
        <w:pStyle w:val="666"/>
        <w:ind w:right="180" w:firstLine="360"/>
        <w:spacing w:line="440" w:lineRule="exact"/>
        <w:tabs>
          <w:tab w:val="left" w:pos="3686" w:leader="none"/>
        </w:tabs>
        <w:rPr>
          <w:sz w:val="24"/>
          <w:szCs w:val="24"/>
        </w:rPr>
      </w:pPr>
      <w:r>
        <w:rPr>
          <w:sz w:val="24"/>
          <w:szCs w:val="24"/>
        </w:rPr>
        <w:t xml:space="preserve">日    期：</w:t>
      </w:r>
      <w:r/>
    </w:p>
    <w:p>
      <w:pPr>
        <w:pStyle w:val="679"/>
        <w:ind w:firstLine="0"/>
        <w:spacing w:line="440" w:lineRule="exact"/>
      </w:pPr>
      <w:r/>
      <w:r/>
    </w:p>
    <w:p>
      <w:pPr>
        <w:pStyle w:val="666"/>
        <w:spacing w:line="480" w:lineRule="exact"/>
        <w:rPr>
          <w:rFonts w:hint="eastAsia"/>
          <w:sz w:val="24"/>
          <w:szCs w:val="28"/>
        </w:rPr>
      </w:pPr>
      <w:r>
        <w:rPr>
          <w:sz w:val="24"/>
          <w:szCs w:val="28"/>
        </w:rPr>
        <w:t xml:space="preserve">备注：</w:t>
      </w:r>
      <w:r>
        <w:rPr>
          <w:rFonts w:hint="eastAsia"/>
          <w:sz w:val="24"/>
          <w:szCs w:val="28"/>
        </w:rPr>
      </w:r>
      <w:r/>
    </w:p>
    <w:p>
      <w:pPr>
        <w:pStyle w:val="666"/>
        <w:ind w:firstLine="480"/>
        <w:spacing w:line="480" w:lineRule="exact"/>
        <w:rPr>
          <w:sz w:val="24"/>
          <w:szCs w:val="24"/>
        </w:rPr>
      </w:pPr>
      <w:r>
        <w:rPr>
          <w:sz w:val="24"/>
          <w:szCs w:val="24"/>
        </w:rPr>
        <w:t xml:space="preserve">1</w:t>
      </w:r>
      <w:r>
        <w:rPr>
          <w:sz w:val="24"/>
          <w:szCs w:val="24"/>
        </w:rPr>
        <w:t xml:space="preserve">.从业人员、营业收入、资产总额填报上一年度数据，无上一年度数据的新成立企业可不填报。</w:t>
      </w:r>
      <w:r/>
    </w:p>
    <w:p>
      <w:pPr>
        <w:pStyle w:val="666"/>
        <w:ind w:firstLine="482"/>
        <w:spacing w:line="480" w:lineRule="exact"/>
        <w:rPr>
          <w:b/>
          <w:bCs/>
          <w:sz w:val="24"/>
          <w:szCs w:val="24"/>
        </w:rPr>
      </w:pPr>
      <w:r>
        <w:rPr>
          <w:b/>
          <w:bCs/>
          <w:sz w:val="24"/>
          <w:szCs w:val="24"/>
        </w:rPr>
        <w:t xml:space="preserve">2.服务采购项目中，服务全部由符合政策的中小企业承接，享受相应的中小企业扶持政策，不对其中涉及的货物的制造商、工程的承建商作出要求。磋商文件第四章采</w:t>
      </w:r>
      <w:r>
        <w:rPr>
          <w:rFonts w:ascii="宋体" w:hAnsi="宋体"/>
          <w:b/>
          <w:bCs/>
          <w:sz w:val="24"/>
          <w:szCs w:val="24"/>
        </w:rPr>
        <w:t xml:space="preserve">购需求“项目清单”中的“服务”产品需在此声明函中的“标的名称”中</w:t>
      </w:r>
      <w:r>
        <w:rPr>
          <w:b/>
          <w:bCs/>
          <w:sz w:val="24"/>
          <w:szCs w:val="24"/>
        </w:rPr>
        <w:t xml:space="preserve">全部列明，并填写承接企业的具体情况。</w:t>
      </w:r>
      <w:r/>
    </w:p>
    <w:p>
      <w:pPr>
        <w:pStyle w:val="666"/>
        <w:spacing w:line="360" w:lineRule="auto"/>
        <w:rPr>
          <w:rFonts w:hint="eastAsia"/>
          <w:b/>
          <w:bCs/>
          <w:sz w:val="24"/>
          <w:szCs w:val="24"/>
        </w:rPr>
        <w:outlineLvl w:val="1"/>
      </w:pPr>
      <w:r>
        <w:rPr>
          <w:rFonts w:ascii="黑体" w:hAnsi="黑体" w:eastAsia="黑体"/>
          <w:b/>
          <w:sz w:val="32"/>
          <w:szCs w:val="32"/>
        </w:rPr>
        <w:br w:type="page" w:clear="all"/>
      </w:r>
      <w:r>
        <w:rPr>
          <w:rFonts w:hint="eastAsia" w:ascii="宋体" w:hAnsi="宋体"/>
          <w:b/>
          <w:bCs/>
          <w:sz w:val="28"/>
          <w:szCs w:val="32"/>
        </w:rPr>
        <w:t xml:space="preserve">九、残疾人福利性单位声明函</w:t>
      </w:r>
      <w:r>
        <w:rPr>
          <w:rFonts w:hint="eastAsia"/>
          <w:b/>
          <w:bCs/>
          <w:sz w:val="24"/>
          <w:szCs w:val="24"/>
        </w:rPr>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残疾人福利性单位声明函</w:t>
      </w:r>
      <w:r/>
    </w:p>
    <w:p>
      <w:pPr>
        <w:pStyle w:val="666"/>
        <w:contextualSpacing/>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666"/>
        <w:contextualSpacing/>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666"/>
        <w:contextualSpacing/>
        <w:spacing w:line="360" w:lineRule="auto"/>
        <w:rPr>
          <w:rFonts w:hint="eastAsia"/>
        </w:rPr>
      </w:pPr>
      <w:r>
        <w:rPr>
          <w:rFonts w:hint="eastAsia"/>
        </w:rPr>
      </w:r>
      <w:r/>
    </w:p>
    <w:p>
      <w:pPr>
        <w:pStyle w:val="666"/>
        <w:contextualSpacing/>
        <w:ind w:right="180" w:firstLine="5810"/>
        <w:spacing w:line="360" w:lineRule="auto"/>
        <w:rPr>
          <w:rFonts w:hint="eastAsia" w:ascii="宋体" w:hAnsi="宋体"/>
          <w:sz w:val="24"/>
          <w:szCs w:val="24"/>
        </w:rPr>
      </w:pPr>
      <w:r>
        <w:rPr>
          <w:rFonts w:hint="eastAsia" w:ascii="宋体" w:hAnsi="宋体"/>
          <w:sz w:val="24"/>
          <w:szCs w:val="24"/>
        </w:rPr>
        <w:t xml:space="preserve">企业名称：（加盖电子公章）</w:t>
      </w:r>
      <w:r/>
    </w:p>
    <w:p>
      <w:pPr>
        <w:pStyle w:val="666"/>
        <w:contextualSpacing/>
        <w:ind w:firstLine="5810"/>
        <w:spacing w:line="360" w:lineRule="auto"/>
        <w:rPr>
          <w:color w:val="000000"/>
          <w:sz w:val="24"/>
          <w:szCs w:val="24"/>
        </w:rPr>
      </w:pPr>
      <w:r>
        <w:rPr>
          <w:rFonts w:hint="eastAsia"/>
          <w:color w:val="000000"/>
          <w:sz w:val="24"/>
          <w:szCs w:val="24"/>
        </w:rPr>
        <w:t xml:space="preserve">日    期：</w:t>
      </w:r>
      <w:r>
        <w:rPr>
          <w:color w:val="000000"/>
          <w:sz w:val="24"/>
          <w:szCs w:val="24"/>
        </w:rPr>
      </w:r>
      <w:r/>
    </w:p>
    <w:p>
      <w:pPr>
        <w:pStyle w:val="679"/>
        <w:ind w:firstLine="0"/>
        <w:rPr>
          <w:rFonts w:hint="eastAsia"/>
        </w:rPr>
      </w:pPr>
      <w:r>
        <w:rPr>
          <w:rFonts w:hint="eastAsia"/>
        </w:rPr>
      </w:r>
      <w:r/>
    </w:p>
    <w:p>
      <w:pPr>
        <w:pStyle w:val="666"/>
        <w:jc w:val="left"/>
        <w:spacing w:line="360" w:lineRule="auto"/>
        <w:rPr>
          <w:rFonts w:hint="eastAsia" w:ascii="黑体" w:hAnsi="黑体" w:eastAsia="黑体"/>
          <w:sz w:val="32"/>
          <w:szCs w:val="32"/>
        </w:rPr>
        <w:sectPr>
          <w:footnotePr/>
          <w:endnotePr/>
          <w:type w:val="nextPage"/>
          <w:pgSz w:w="11906" w:h="16838" w:orient="portrait"/>
          <w:pgMar w:top="1440" w:right="1077" w:bottom="1440" w:left="1077" w:header="851" w:footer="907" w:gutter="0"/>
          <w:cols w:num="1" w:sep="0" w:space="720" w:equalWidth="1"/>
          <w:docGrid w:linePitch="360"/>
          <w:titlePg/>
        </w:sectPr>
      </w:pPr>
      <w:r>
        <w:rPr>
          <w:rFonts w:hint="eastAsia" w:ascii="黑体" w:hAnsi="黑体" w:eastAsia="黑体"/>
          <w:sz w:val="32"/>
          <w:szCs w:val="32"/>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十、联合体协议</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联合体协议</w:t>
      </w:r>
      <w:r/>
    </w:p>
    <w:p>
      <w:pPr>
        <w:pStyle w:val="666"/>
        <w:contextualSpacing/>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66"/>
        <w:contextualSpacing/>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w:t>
      </w:r>
      <w:r>
        <w:rPr>
          <w:rFonts w:hint="eastAsia" w:ascii="宋体" w:hAnsi="宋体"/>
          <w:sz w:val="24"/>
          <w:szCs w:val="24"/>
          <w:u w:val="single"/>
        </w:rPr>
        <w:t xml:space="preserve">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66"/>
        <w:contextualSpacing/>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66"/>
        <w:contextualSpacing/>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666"/>
        <w:contextualSpacing/>
        <w:ind w:firstLine="645"/>
        <w:spacing w:line="360" w:lineRule="auto"/>
        <w:rPr>
          <w:rFonts w:hint="eastAsia" w:ascii="宋体" w:hAnsi="宋体"/>
          <w:sz w:val="24"/>
        </w:rPr>
      </w:pPr>
      <w:r>
        <w:rPr>
          <w:rFonts w:hint="eastAsia" w:ascii="宋体" w:hAnsi="宋体"/>
          <w:sz w:val="24"/>
        </w:rPr>
      </w:r>
      <w:r/>
    </w:p>
    <w:p>
      <w:pPr>
        <w:pStyle w:val="666"/>
        <w:contextualSpacing/>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666"/>
        <w:contextualSpacing/>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r>
      <w:r/>
    </w:p>
    <w:p>
      <w:pPr>
        <w:pStyle w:val="666"/>
        <w:contextualSpacing/>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66"/>
        <w:contextualSpacing/>
        <w:ind w:firstLine="480"/>
        <w:spacing w:line="360" w:lineRule="auto"/>
        <w:rPr>
          <w:rFonts w:hint="eastAsia" w:ascii="宋体" w:hAnsi="宋体"/>
          <w:sz w:val="24"/>
        </w:rPr>
      </w:pPr>
      <w:r>
        <w:rPr>
          <w:rFonts w:hint="eastAsia" w:ascii="宋体" w:hAnsi="宋体"/>
          <w:sz w:val="24"/>
        </w:rPr>
      </w:r>
      <w:r/>
    </w:p>
    <w:p>
      <w:pPr>
        <w:pStyle w:val="666"/>
        <w:spacing w:line="360" w:lineRule="auto"/>
        <w:rPr>
          <w:sz w:val="24"/>
        </w:rPr>
      </w:pPr>
      <w:r>
        <w:rPr>
          <w:sz w:val="24"/>
        </w:rPr>
        <w:t xml:space="preserve">备注：</w:t>
      </w:r>
      <w:r/>
    </w:p>
    <w:p>
      <w:pPr>
        <w:pStyle w:val="666"/>
        <w:ind w:firstLine="480"/>
        <w:spacing w:line="360" w:lineRule="auto"/>
        <w:rPr>
          <w:sz w:val="24"/>
        </w:rPr>
      </w:pPr>
      <w:r>
        <w:rPr>
          <w:sz w:val="24"/>
        </w:rPr>
        <w:t xml:space="preserve">1.</w:t>
      </w:r>
      <w:r>
        <w:rPr>
          <w:rFonts w:hint="eastAsia"/>
          <w:sz w:val="24"/>
        </w:rPr>
        <w:t xml:space="preserve"> </w:t>
      </w:r>
      <w:r>
        <w:rPr>
          <w:sz w:val="24"/>
        </w:rPr>
        <w:t xml:space="preserve">牵头单位必须为联合体成员。</w:t>
      </w:r>
      <w:r/>
    </w:p>
    <w:p>
      <w:pPr>
        <w:pStyle w:val="666"/>
        <w:ind w:firstLine="480"/>
        <w:spacing w:line="360" w:lineRule="auto"/>
        <w:rPr>
          <w:b/>
          <w:bCs/>
          <w:sz w:val="24"/>
        </w:rPr>
      </w:pPr>
      <w:r>
        <w:rPr>
          <w:sz w:val="24"/>
          <w:szCs w:val="24"/>
        </w:rPr>
        <w:t xml:space="preserve">2.</w:t>
      </w:r>
      <w:r>
        <w:rPr>
          <w:rFonts w:hint="eastAsia"/>
          <w:sz w:val="24"/>
          <w:szCs w:val="24"/>
        </w:rPr>
        <w:t xml:space="preserve"> </w:t>
      </w:r>
      <w:r>
        <w:rPr>
          <w:b/>
          <w:bCs/>
          <w:sz w:val="24"/>
        </w:rPr>
        <w:t xml:space="preserve">除另有说明外，本磋商文件要求加盖电子公章之处，加盖牵头单位的电子公章即可。</w:t>
      </w:r>
      <w:r/>
    </w:p>
    <w:p>
      <w:pPr>
        <w:pStyle w:val="746"/>
        <w:ind w:left="0"/>
        <w:jc w:val="center"/>
        <w:rPr>
          <w:rFonts w:eastAsia="等线"/>
        </w:rPr>
        <w:sectPr>
          <w:footnotePr/>
          <w:endnotePr/>
          <w:type w:val="nextPage"/>
          <w:pgSz w:w="11906" w:h="16838" w:orient="portrait"/>
          <w:pgMar w:top="1440" w:right="1077" w:bottom="1440" w:left="1077" w:header="851" w:footer="907" w:gutter="0"/>
          <w:cols w:num="1" w:sep="0" w:space="720" w:equalWidth="1"/>
          <w:docGrid w:linePitch="360"/>
          <w:titlePg/>
        </w:sectPr>
      </w:pPr>
      <w:r>
        <w:rPr>
          <w:rFonts w:eastAsia="等线"/>
        </w:rPr>
      </w:r>
      <w:r/>
    </w:p>
    <w:p>
      <w:pPr>
        <w:pStyle w:val="666"/>
        <w:spacing w:line="360" w:lineRule="auto"/>
        <w:rPr>
          <w:rFonts w:hint="eastAsia" w:ascii="宋体" w:hAnsi="宋体"/>
          <w:b/>
          <w:bCs/>
          <w:sz w:val="28"/>
          <w:szCs w:val="32"/>
        </w:rPr>
        <w:outlineLvl w:val="1"/>
      </w:pPr>
      <w:r>
        <w:rPr>
          <w:rFonts w:hint="eastAsia" w:ascii="宋体" w:hAnsi="宋体"/>
          <w:b/>
          <w:bCs/>
          <w:sz w:val="28"/>
          <w:szCs w:val="32"/>
        </w:rPr>
        <w:t xml:space="preserve">十一、关于符合本国产品标准的声明函</w:t>
      </w:r>
      <w:r/>
    </w:p>
    <w:p>
      <w:pPr>
        <w:pStyle w:val="666"/>
        <w:jc w:val="center"/>
        <w:spacing w:line="360" w:lineRule="auto"/>
        <w:rPr>
          <w:rFonts w:hint="eastAsia" w:ascii="宋体" w:hAnsi="宋体" w:cs="方正小标宋简体"/>
          <w:b/>
          <w:bCs/>
          <w:color w:val="000000"/>
          <w:sz w:val="32"/>
          <w:szCs w:val="32"/>
          <w:lang w:val="zh-CN"/>
        </w:rPr>
      </w:pPr>
      <w:r>
        <w:rPr>
          <w:rFonts w:hint="eastAsia" w:ascii="宋体" w:hAnsi="宋体" w:cs="方正小标宋简体"/>
          <w:b/>
          <w:bCs/>
          <w:color w:val="000000"/>
          <w:sz w:val="32"/>
          <w:szCs w:val="32"/>
          <w:lang w:val="zh-CN"/>
        </w:rPr>
        <w:t xml:space="preserve">关于符合本国产品标准的声明函（采购包号：**）</w:t>
      </w:r>
      <w:r>
        <w:rPr>
          <w:rFonts w:hint="eastAsia" w:ascii="宋体" w:hAnsi="宋体" w:cs="方正小标宋简体"/>
          <w:b/>
          <w:bCs/>
          <w:color w:val="000000"/>
          <w:sz w:val="32"/>
          <w:szCs w:val="32"/>
          <w:lang w:val="zh-CN"/>
        </w:rPr>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1.</w:t>
      </w:r>
      <w:r>
        <w:rPr>
          <w:rStyle w:val="743"/>
          <w:rFonts w:hint="eastAsia"/>
          <w:i w:val="0"/>
          <w:u w:val="single"/>
          <w:shd w:val="clear" w:color="auto" w:fill="ffffff"/>
        </w:rPr>
        <w:t xml:space="preserve">（产品名称1）</w:t>
      </w:r>
      <w:r>
        <w:rPr>
          <w:rStyle w:val="74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43"/>
          <w:rFonts w:hint="eastAsia"/>
          <w:i w:val="0"/>
          <w:u w:val="single"/>
          <w:shd w:val="clear" w:color="auto" w:fill="ffffff"/>
        </w:rPr>
        <w:t xml:space="preserve">（厂名）</w:t>
      </w:r>
      <w:r>
        <w:rPr>
          <w:rStyle w:val="743"/>
          <w:rFonts w:hint="eastAsia"/>
          <w:i w:val="0"/>
          <w:shd w:val="clear" w:color="auto" w:fill="ffffff"/>
          <w:vertAlign w:val="superscript"/>
        </w:rPr>
        <w:t xml:space="preserve">2</w:t>
      </w:r>
      <w:r>
        <w:rPr>
          <w:rFonts w:hint="eastAsia"/>
          <w:shd w:val="clear" w:color="auto" w:fill="ffffff"/>
        </w:rPr>
        <w:t xml:space="preserve">，厂址为</w:t>
      </w:r>
      <w:r>
        <w:rPr>
          <w:rStyle w:val="743"/>
          <w:rFonts w:hint="eastAsia"/>
          <w:i w:val="0"/>
          <w:u w:val="single"/>
          <w:shd w:val="clear" w:color="auto" w:fill="ffffff"/>
        </w:rPr>
        <w:t xml:space="preserve">（生产厂址）</w:t>
      </w:r>
      <w:r>
        <w:rPr>
          <w:rFonts w:hint="eastAsia"/>
          <w:shd w:val="clear" w:color="auto" w:fill="ffffff"/>
        </w:rPr>
        <w:t xml:space="preserve">。</w:t>
      </w:r>
      <w:r>
        <w:rPr>
          <w:rStyle w:val="743"/>
          <w:rFonts w:hint="eastAsia"/>
          <w:u w:val="single"/>
          <w:shd w:val="clear" w:color="auto" w:fill="ffffff"/>
        </w:rPr>
        <w:t xml:space="preserve">（产品名称1）</w:t>
      </w:r>
      <w:r>
        <w:rPr>
          <w:rFonts w:hint="eastAsia"/>
          <w:shd w:val="clear" w:color="auto" w:fill="ffffff"/>
        </w:rPr>
        <w:t xml:space="preserve">的中国境内生产的组件成本占比≥</w:t>
      </w:r>
      <w:r>
        <w:rPr>
          <w:rStyle w:val="743"/>
          <w:rFonts w:hint="eastAsia"/>
          <w:u w:val="single"/>
          <w:shd w:val="clear" w:color="auto" w:fill="ffffff"/>
        </w:rPr>
        <w:t xml:space="preserve">（规定比例）</w:t>
      </w:r>
      <w:r>
        <w:rPr>
          <w:rStyle w:val="743"/>
          <w:rFonts w:hint="eastAsia"/>
          <w:i w:val="0"/>
          <w:shd w:val="clear" w:color="auto" w:fill="ffffff"/>
          <w:vertAlign w:val="superscript"/>
        </w:rPr>
        <w:t xml:space="preserve">3</w:t>
      </w:r>
      <w:r>
        <w:rPr>
          <w:rFonts w:hint="eastAsia"/>
          <w:shd w:val="clear" w:color="auto" w:fill="ffffff"/>
        </w:rPr>
        <w:t xml:space="preserve">。</w:t>
      </w:r>
      <w:r>
        <w:rPr>
          <w:rStyle w:val="743"/>
          <w:rFonts w:hint="eastAsia"/>
          <w:u w:val="single"/>
          <w:shd w:val="clear" w:color="auto" w:fill="ffffff"/>
        </w:rPr>
        <w:t xml:space="preserve">（产品名称1）</w:t>
      </w:r>
      <w:r>
        <w:rPr>
          <w:rFonts w:hint="eastAsia"/>
          <w:shd w:val="clear" w:color="auto" w:fill="ffffff"/>
        </w:rPr>
        <w:t xml:space="preserve">的</w:t>
      </w:r>
      <w:r>
        <w:rPr>
          <w:rStyle w:val="743"/>
          <w:rFonts w:hint="eastAsia"/>
          <w:u w:val="single"/>
          <w:shd w:val="clear" w:color="auto" w:fill="ffffff"/>
        </w:rPr>
        <w:t xml:space="preserve">（关键组件）</w:t>
      </w:r>
      <w:r>
        <w:rPr>
          <w:rStyle w:val="743"/>
          <w:rFonts w:hint="eastAsia"/>
          <w:i w:val="0"/>
          <w:shd w:val="clear" w:color="auto" w:fill="ffffff"/>
          <w:vertAlign w:val="superscript"/>
        </w:rPr>
        <w:t xml:space="preserve">4</w:t>
      </w:r>
      <w:r>
        <w:rPr>
          <w:rFonts w:hint="eastAsia"/>
          <w:shd w:val="clear" w:color="auto" w:fill="ffffff"/>
        </w:rPr>
        <w:t xml:space="preserve">在中国境内生产。</w:t>
      </w:r>
      <w:r>
        <w:rPr>
          <w:rStyle w:val="743"/>
          <w:rFonts w:hint="eastAsia"/>
          <w:u w:val="single"/>
          <w:shd w:val="clear" w:color="auto" w:fill="ffffff"/>
        </w:rPr>
        <w:t xml:space="preserve">（产品名称1）</w:t>
      </w:r>
      <w:r>
        <w:rPr>
          <w:rFonts w:hint="eastAsia"/>
          <w:shd w:val="clear" w:color="auto" w:fill="ffffff"/>
        </w:rPr>
        <w:t xml:space="preserve">的</w:t>
      </w:r>
      <w:r>
        <w:rPr>
          <w:rStyle w:val="743"/>
          <w:rFonts w:hint="eastAsia"/>
          <w:u w:val="single"/>
          <w:shd w:val="clear" w:color="auto" w:fill="ffffff"/>
        </w:rPr>
        <w:t xml:space="preserve">（关键工序）</w:t>
      </w:r>
      <w:r>
        <w:rPr>
          <w:rStyle w:val="743"/>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2.</w:t>
      </w:r>
      <w:r>
        <w:rPr>
          <w:rStyle w:val="743"/>
          <w:rFonts w:hint="eastAsia"/>
          <w:i w:val="0"/>
          <w:u w:val="single"/>
          <w:shd w:val="clear" w:color="auto" w:fill="ffffff"/>
        </w:rPr>
        <w:t xml:space="preserve">（产品名称2）</w:t>
      </w:r>
      <w:r>
        <w:rPr>
          <w:rFonts w:hint="eastAsia"/>
          <w:shd w:val="clear" w:color="auto" w:fill="ffffff"/>
        </w:rPr>
        <w:t xml:space="preserve">，生产厂为</w:t>
      </w:r>
      <w:r>
        <w:rPr>
          <w:rStyle w:val="743"/>
          <w:rFonts w:hint="eastAsia"/>
          <w:i w:val="0"/>
          <w:u w:val="single"/>
          <w:shd w:val="clear" w:color="auto" w:fill="ffffff"/>
        </w:rPr>
        <w:t xml:space="preserve">（厂名）</w:t>
      </w:r>
      <w:r>
        <w:rPr>
          <w:rFonts w:hint="eastAsia"/>
          <w:shd w:val="clear" w:color="auto" w:fill="ffffff"/>
        </w:rPr>
        <w:t xml:space="preserve">，厂址为</w:t>
      </w:r>
      <w:r>
        <w:rPr>
          <w:rStyle w:val="743"/>
          <w:rFonts w:hint="eastAsia"/>
          <w:i w:val="0"/>
          <w:u w:val="single"/>
          <w:shd w:val="clear" w:color="auto" w:fill="ffffff"/>
        </w:rPr>
        <w:t xml:space="preserve">（生产厂址）</w:t>
      </w:r>
      <w:r>
        <w:rPr>
          <w:rFonts w:hint="eastAsia"/>
          <w:shd w:val="clear" w:color="auto" w:fill="ffffff"/>
        </w:rPr>
        <w:t xml:space="preserve">。</w:t>
      </w:r>
      <w:r>
        <w:rPr>
          <w:rStyle w:val="743"/>
          <w:rFonts w:hint="eastAsia"/>
          <w:u w:val="single"/>
          <w:shd w:val="clear" w:color="auto" w:fill="ffffff"/>
        </w:rPr>
        <w:t xml:space="preserve">（产品名称2）</w:t>
      </w:r>
      <w:r>
        <w:rPr>
          <w:rFonts w:hint="eastAsia"/>
          <w:shd w:val="clear" w:color="auto" w:fill="ffffff"/>
        </w:rPr>
        <w:t xml:space="preserve">的中国境内生产的组件成本占比≥</w:t>
      </w:r>
      <w:r>
        <w:rPr>
          <w:rStyle w:val="743"/>
          <w:rFonts w:hint="eastAsia"/>
          <w:u w:val="single"/>
          <w:shd w:val="clear" w:color="auto" w:fill="ffffff"/>
        </w:rPr>
        <w:t xml:space="preserve">（规定比例）</w:t>
      </w:r>
      <w:r>
        <w:rPr>
          <w:rFonts w:hint="eastAsia"/>
          <w:shd w:val="clear" w:color="auto" w:fill="ffffff"/>
        </w:rPr>
        <w:t xml:space="preserve">。</w:t>
      </w:r>
      <w:r>
        <w:rPr>
          <w:rStyle w:val="743"/>
          <w:rFonts w:hint="eastAsia"/>
          <w:u w:val="single"/>
          <w:shd w:val="clear" w:color="auto" w:fill="ffffff"/>
        </w:rPr>
        <w:t xml:space="preserve">（产品名称2）</w:t>
      </w:r>
      <w:r>
        <w:rPr>
          <w:rFonts w:hint="eastAsia"/>
          <w:shd w:val="clear" w:color="auto" w:fill="ffffff"/>
        </w:rPr>
        <w:t xml:space="preserve">的</w:t>
      </w:r>
      <w:r>
        <w:rPr>
          <w:rStyle w:val="743"/>
          <w:rFonts w:hint="eastAsia"/>
          <w:u w:val="single"/>
          <w:shd w:val="clear" w:color="auto" w:fill="ffffff"/>
        </w:rPr>
        <w:t xml:space="preserve">（关键组件）</w:t>
      </w:r>
      <w:r>
        <w:rPr>
          <w:rFonts w:hint="eastAsia"/>
          <w:shd w:val="clear" w:color="auto" w:fill="ffffff"/>
        </w:rPr>
        <w:t xml:space="preserve">在中国境内生产。</w:t>
      </w:r>
      <w:r>
        <w:rPr>
          <w:rStyle w:val="743"/>
          <w:rFonts w:hint="eastAsia"/>
          <w:u w:val="single"/>
          <w:shd w:val="clear" w:color="auto" w:fill="ffffff"/>
        </w:rPr>
        <w:t xml:space="preserve">（产品名称2）</w:t>
      </w:r>
      <w:r>
        <w:rPr>
          <w:rFonts w:hint="eastAsia"/>
          <w:shd w:val="clear" w:color="auto" w:fill="ffffff"/>
        </w:rPr>
        <w:t xml:space="preserve">的</w:t>
      </w:r>
      <w:r>
        <w:rPr>
          <w:rStyle w:val="743"/>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733"/>
        <w:ind w:firstLine="480"/>
        <w:spacing w:before="0" w:beforeAutospacing="0" w:after="0"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33"/>
        <w:ind w:firstLine="480"/>
        <w:spacing w:before="0" w:beforeAutospacing="0" w:after="0"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33"/>
        <w:ind w:firstLine="480"/>
        <w:jc w:val="right"/>
        <w:spacing w:before="0" w:beforeAutospacing="0" w:after="0" w:afterAutospacing="0" w:line="360" w:lineRule="auto"/>
        <w:shd w:val="clear" w:color="auto" w:fill="ffffff"/>
        <w:rPr>
          <w:rFonts w:hint="eastAsia"/>
        </w:rPr>
      </w:pPr>
      <w:r>
        <w:rPr>
          <w:rFonts w:hint="eastAsia"/>
          <w:shd w:val="clear" w:color="auto" w:fill="ffffff"/>
        </w:rPr>
        <w:t xml:space="preserve">公司（单位）名称（盖章）：</w:t>
      </w:r>
      <w:r>
        <w:rPr>
          <w:rFonts w:hint="eastAsia"/>
        </w:rPr>
      </w:r>
      <w:r/>
    </w:p>
    <w:p>
      <w:pPr>
        <w:pStyle w:val="733"/>
        <w:ind w:firstLine="480"/>
        <w:jc w:val="right"/>
        <w:spacing w:before="0" w:beforeAutospacing="0" w:after="0" w:afterAutospacing="0" w:line="360" w:lineRule="auto"/>
        <w:shd w:val="clear" w:color="auto" w:fill="ffffff"/>
        <w:rPr>
          <w:rFonts w:hint="eastAsia"/>
          <w:sz w:val="28"/>
          <w:szCs w:val="28"/>
        </w:rPr>
      </w:pPr>
      <w:r>
        <w:rPr>
          <w:rFonts w:hint="eastAsia"/>
          <w:shd w:val="clear" w:color="auto" w:fill="ffffff"/>
        </w:rPr>
        <w:t xml:space="preserve">日期：　     年　  月　  日</w:t>
      </w:r>
      <w:r>
        <w:rPr>
          <w:rFonts w:hint="eastAsia"/>
          <w:sz w:val="28"/>
          <w:szCs w:val="28"/>
        </w:rPr>
      </w:r>
      <w:r/>
    </w:p>
    <w:p>
      <w:pPr>
        <w:pStyle w:val="73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33"/>
        <w:spacing w:before="0" w:beforeAutospacing="0" w:after="0" w:afterAutospacing="0" w:line="360" w:lineRule="auto"/>
        <w:shd w:val="clear" w:color="auto" w:fill="ffffff"/>
        <w:rPr>
          <w:rFonts w:ascii="Times New Roman" w:hAnsi="Times New Roman" w:cs="Times New Roman"/>
        </w:rPr>
      </w:pPr>
      <w:r>
        <w:rPr>
          <w:rFonts w:ascii="Times New Roman" w:hAnsi="Times New Roman" w:cs="Times New Roman"/>
          <w:shd w:val="clear" w:color="auto" w:fill="ffffff"/>
        </w:rPr>
        <w:t xml:space="preserve">1.</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产品如有型号，请</w:t>
      </w:r>
      <w:r>
        <w:rPr>
          <w:rFonts w:cs="Times New Roman"/>
          <w:shd w:val="clear" w:color="auto" w:fill="ffffff"/>
        </w:rPr>
        <w:t xml:space="preserve">在“产品名称”栏一并填写。</w:t>
      </w:r>
      <w:r>
        <w:rPr>
          <w:rFonts w:ascii="Times New Roman" w:hAnsi="Times New Roman" w:cs="Times New Roman"/>
        </w:rPr>
      </w:r>
      <w:r/>
    </w:p>
    <w:p>
      <w:pPr>
        <w:pStyle w:val="733"/>
        <w:spacing w:before="0" w:beforeAutospacing="0" w:after="0" w:afterAutospacing="0" w:line="360" w:lineRule="auto"/>
        <w:shd w:val="clear" w:color="auto" w:fill="ffffff"/>
        <w:rPr>
          <w:rFonts w:ascii="Times New Roman" w:hAnsi="Times New Roman" w:cs="Times New Roman"/>
        </w:rPr>
      </w:pPr>
      <w:r>
        <w:rPr>
          <w:rFonts w:ascii="Times New Roman" w:hAnsi="Times New Roman" w:cs="Times New Roman"/>
          <w:shd w:val="clear" w:color="auto" w:fill="ffffff"/>
        </w:rPr>
        <w:t xml:space="preserve">2.</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生产厂名与厂址应与生产厂营业执照载明的相关信息保持一致。</w:t>
      </w:r>
      <w:r>
        <w:rPr>
          <w:rFonts w:ascii="Times New Roman" w:hAnsi="Times New Roman" w:cs="Times New Roman"/>
        </w:rPr>
      </w:r>
      <w:r/>
    </w:p>
    <w:p>
      <w:pPr>
        <w:pStyle w:val="733"/>
        <w:spacing w:before="0" w:beforeAutospacing="0" w:after="0" w:afterAutospacing="0" w:line="360" w:lineRule="auto"/>
        <w:shd w:val="clear" w:color="auto" w:fill="ffffff"/>
        <w:rPr>
          <w:rFonts w:ascii="Times New Roman" w:hAnsi="Times New Roman" w:cs="Times New Roman"/>
        </w:rPr>
      </w:pPr>
      <w:r>
        <w:rPr>
          <w:rFonts w:ascii="Times New Roman" w:hAnsi="Times New Roman" w:cs="Times New Roman"/>
          <w:shd w:val="clear" w:color="auto" w:fill="ffffff"/>
        </w:rPr>
        <w:t xml:space="preserve">3.</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该产品的中国境内生产的组件成本占比相关要求实</w:t>
      </w:r>
      <w:r>
        <w:rPr>
          <w:rFonts w:cs="Times New Roman"/>
          <w:shd w:val="clear" w:color="auto" w:fill="ffffff"/>
        </w:rPr>
        <w:t xml:space="preserve">施前，“规定比例”栏可不</w:t>
      </w:r>
      <w:r>
        <w:rPr>
          <w:rFonts w:ascii="Times New Roman" w:hAnsi="Times New Roman" w:cs="Times New Roman"/>
          <w:shd w:val="clear" w:color="auto" w:fill="ffffff"/>
        </w:rPr>
        <w:t xml:space="preserve">填。</w:t>
      </w:r>
      <w:r>
        <w:rPr>
          <w:rFonts w:ascii="Times New Roman" w:hAnsi="Times New Roman" w:cs="Times New Roman"/>
        </w:rPr>
      </w:r>
      <w:r/>
    </w:p>
    <w:p>
      <w:pPr>
        <w:pStyle w:val="733"/>
        <w:spacing w:before="0" w:beforeAutospacing="0" w:after="0" w:afterAutospacing="0" w:line="360" w:lineRule="auto"/>
        <w:shd w:val="clear" w:color="auto" w:fill="ffffff"/>
        <w:rPr>
          <w:rFonts w:ascii="Times New Roman" w:hAnsi="Times New Roman" w:cs="Times New Roman"/>
          <w:shd w:val="clear" w:color="auto" w:fill="ffffff"/>
        </w:rPr>
      </w:pPr>
      <w:r>
        <w:rPr>
          <w:rFonts w:ascii="Times New Roman" w:hAnsi="Times New Roman" w:cs="Times New Roman"/>
          <w:shd w:val="clear" w:color="auto" w:fill="ffffff"/>
        </w:rPr>
        <w:t xml:space="preserve">4.</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该产品的关键组件要求实施</w:t>
      </w:r>
      <w:r>
        <w:rPr>
          <w:rFonts w:cs="Times New Roman"/>
          <w:shd w:val="clear" w:color="auto" w:fill="ffffff"/>
        </w:rPr>
        <w:t xml:space="preserve">前，“</w:t>
      </w:r>
      <w:r>
        <w:rPr>
          <w:rFonts w:cs="Times New Roman"/>
          <w:shd w:val="clear" w:color="auto" w:fill="ffffff"/>
        </w:rPr>
        <w:t xml:space="preserve">关键组件”栏可不</w:t>
      </w:r>
      <w:r>
        <w:rPr>
          <w:rFonts w:ascii="Times New Roman" w:hAnsi="Times New Roman" w:cs="Times New Roman"/>
          <w:shd w:val="clear" w:color="auto" w:fill="ffffff"/>
        </w:rPr>
        <w:t xml:space="preserve">填。</w:t>
      </w:r>
      <w:r/>
    </w:p>
    <w:p>
      <w:pPr>
        <w:pStyle w:val="733"/>
        <w:spacing w:before="0" w:beforeAutospacing="0" w:after="0" w:afterAutospacing="0" w:line="360" w:lineRule="auto"/>
        <w:shd w:val="clear" w:color="auto" w:fill="ffffff"/>
        <w:rPr>
          <w:rFonts w:ascii="Times New Roman" w:hAnsi="Times New Roman" w:cs="Times New Roman"/>
          <w:shd w:val="clear" w:color="auto" w:fill="ffffff"/>
        </w:rPr>
      </w:pPr>
      <w:r>
        <w:rPr>
          <w:rFonts w:ascii="Times New Roman" w:hAnsi="Times New Roman" w:cs="Times New Roman"/>
          <w:shd w:val="clear" w:color="auto" w:fill="ffffff"/>
        </w:rPr>
        <w:t xml:space="preserve">5.</w:t>
      </w:r>
      <w:r>
        <w:rPr>
          <w:rFonts w:hint="eastAsia" w:ascii="Times New Roman" w:hAnsi="Times New Roman" w:cs="Times New Roman"/>
          <w:shd w:val="clear" w:color="auto" w:fill="ffffff"/>
        </w:rPr>
        <w:t xml:space="preserve"> </w:t>
      </w:r>
      <w:r>
        <w:rPr>
          <w:rFonts w:ascii="Times New Roman" w:hAnsi="Times New Roman" w:cs="Times New Roman"/>
          <w:shd w:val="clear" w:color="auto" w:fill="ffffff"/>
        </w:rPr>
        <w:t xml:space="preserve">该产品的关键工序要求实施</w:t>
      </w:r>
      <w:r>
        <w:rPr>
          <w:rFonts w:cs="Times New Roman"/>
          <w:shd w:val="clear" w:color="auto" w:fill="ffffff"/>
        </w:rPr>
        <w:t xml:space="preserve">前，“关键工序”栏可不</w:t>
      </w:r>
      <w:r>
        <w:rPr>
          <w:rFonts w:ascii="Times New Roman" w:hAnsi="Times New Roman" w:cs="Times New Roman"/>
          <w:shd w:val="clear" w:color="auto" w:fill="ffffff"/>
        </w:rPr>
        <w:t xml:space="preserve">填。</w:t>
      </w:r>
      <w:bookmarkStart w:id="100" w:name="OLE_LINK8"/>
      <w:r>
        <w:rPr>
          <w:rFonts w:ascii="Times New Roman" w:hAnsi="Times New Roman" w:cs="Times New Roman"/>
          <w:shd w:val="clear" w:color="auto" w:fill="ffffff"/>
        </w:rPr>
      </w:r>
      <w:r/>
    </w:p>
    <w:p>
      <w:pPr>
        <w:pStyle w:val="746"/>
        <w:ind w:left="0"/>
        <w:jc w:val="center"/>
        <w:rPr>
          <w:rFonts w:eastAsia="等线"/>
          <w:lang w:val="en-US"/>
        </w:rPr>
      </w:pPr>
      <w:r/>
      <w:bookmarkEnd w:id="100"/>
      <w:r>
        <w:rPr>
          <w:rFonts w:eastAsia="等线"/>
          <w:lang w:val="en-US"/>
        </w:rPr>
      </w:r>
      <w:r/>
    </w:p>
    <w:p>
      <w:pPr>
        <w:pStyle w:val="746"/>
        <w:ind w:left="0"/>
        <w:jc w:val="center"/>
        <w:rPr>
          <w:rFonts w:eastAsia="等线"/>
        </w:rPr>
        <w:sectPr>
          <w:footnotePr/>
          <w:endnotePr/>
          <w:type w:val="nextPage"/>
          <w:pgSz w:w="11906" w:h="16838" w:orient="portrait"/>
          <w:pgMar w:top="1440" w:right="1077" w:bottom="1440" w:left="1077" w:header="851" w:footer="907" w:gutter="0"/>
          <w:cols w:num="1" w:sep="0" w:space="720" w:equalWidth="1"/>
          <w:docGrid w:linePitch="360"/>
          <w:titlePg/>
        </w:sectPr>
      </w:pPr>
      <w:r>
        <w:rPr>
          <w:rFonts w:eastAsia="等线"/>
        </w:rPr>
      </w:r>
      <w:r/>
    </w:p>
    <w:p>
      <w:pPr>
        <w:pStyle w:val="666"/>
        <w:spacing w:line="360" w:lineRule="auto"/>
        <w:rPr>
          <w:rFonts w:ascii="宋体" w:hAnsi="宋体"/>
          <w:b/>
          <w:bCs/>
          <w:sz w:val="28"/>
          <w:szCs w:val="32"/>
        </w:rPr>
        <w:outlineLvl w:val="1"/>
      </w:pPr>
      <w:r>
        <w:rPr>
          <w:rFonts w:hint="eastAsia" w:ascii="宋体" w:hAnsi="宋体"/>
          <w:b/>
          <w:bCs/>
          <w:sz w:val="28"/>
          <w:szCs w:val="32"/>
        </w:rPr>
        <w:t xml:space="preserve">十二、分包情况说明及分包意向协议</w:t>
      </w:r>
      <w:r>
        <w:rPr>
          <w:rFonts w:ascii="宋体" w:hAnsi="宋体"/>
          <w:b/>
          <w:bCs/>
          <w:sz w:val="28"/>
          <w:szCs w:val="32"/>
        </w:rPr>
      </w:r>
      <w:r/>
    </w:p>
    <w:p>
      <w:pPr>
        <w:pStyle w:val="666"/>
        <w:jc w:val="center"/>
        <w:spacing w:line="360" w:lineRule="auto"/>
        <w:rPr>
          <w:rFonts w:ascii="宋体" w:hAnsi="宋体" w:cs="方正小标宋简体"/>
          <w:b/>
          <w:bCs/>
          <w:color w:val="000000"/>
          <w:sz w:val="32"/>
          <w:szCs w:val="32"/>
          <w:lang w:val="zh-CN"/>
        </w:rPr>
      </w:pPr>
      <w:r>
        <w:rPr>
          <w:rFonts w:ascii="宋体" w:hAnsi="宋体" w:cs="方正小标宋简体"/>
          <w:b/>
          <w:bCs/>
          <w:color w:val="000000"/>
          <w:sz w:val="32"/>
          <w:szCs w:val="32"/>
          <w:lang w:val="zh-CN"/>
        </w:rPr>
        <w:t xml:space="preserve">分包情况说明</w:t>
      </w:r>
      <w:r/>
    </w:p>
    <w:p>
      <w:pPr>
        <w:pStyle w:val="666"/>
        <w:jc w:val="left"/>
        <w:widowControl/>
      </w:pPr>
      <w:r>
        <w:rPr>
          <w:rFonts w:hint="eastAsia" w:ascii="宋体" w:hAnsi="宋体" w:cs="宋体"/>
          <w:color w:val="000000"/>
          <w:sz w:val="24"/>
          <w:szCs w:val="24"/>
          <w:lang w:bidi="ar"/>
        </w:rPr>
        <w:t xml:space="preserve">致：</w:t>
      </w:r>
      <w:r>
        <w:rPr>
          <w:rFonts w:hint="eastAsia"/>
          <w:color w:val="000000"/>
          <w:sz w:val="24"/>
          <w:szCs w:val="24"/>
          <w:u w:val="single"/>
          <w:lang w:bidi="ar"/>
        </w:rPr>
        <w:t xml:space="preserve">                </w:t>
      </w:r>
      <w:r>
        <w:rPr>
          <w:rFonts w:ascii="宋体" w:hAnsi="宋体" w:cs="宋体"/>
          <w:b/>
          <w:bCs/>
          <w:color w:val="000000"/>
          <w:sz w:val="24"/>
          <w:szCs w:val="24"/>
          <w:lang w:bidi="ar"/>
        </w:rPr>
        <w:t xml:space="preserve">（采购人名称）</w:t>
      </w:r>
      <w:r/>
    </w:p>
    <w:p>
      <w:pPr>
        <w:pStyle w:val="666"/>
        <w:ind w:firstLine="480"/>
        <w:jc w:val="left"/>
        <w:widowControl/>
      </w:pPr>
      <w:r>
        <w:rPr>
          <w:rFonts w:hint="eastAsia" w:ascii="宋体" w:hAnsi="宋体" w:cs="宋体"/>
          <w:color w:val="000000"/>
          <w:sz w:val="24"/>
          <w:szCs w:val="24"/>
          <w:lang w:bidi="ar"/>
        </w:rPr>
        <w:t xml:space="preserve">我单位参加项目编号为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项目（项目名称）中</w:t>
      </w:r>
      <w:r>
        <w:rPr>
          <w:color w:val="000000"/>
          <w:sz w:val="24"/>
          <w:szCs w:val="24"/>
          <w:lang w:bidi="ar"/>
        </w:rPr>
        <w:t xml:space="preserve">___</w:t>
      </w:r>
      <w:r>
        <w:rPr>
          <w:rFonts w:hint="eastAsia" w:ascii="宋体" w:hAnsi="宋体" w:cs="宋体"/>
          <w:color w:val="000000"/>
          <w:sz w:val="24"/>
          <w:szCs w:val="24"/>
          <w:lang w:bidi="ar"/>
        </w:rPr>
        <w:t xml:space="preserve">（采购包号）的磋商。拟在成交后将以下非主体、非关键内容进行分包，我单位承诺一旦在该项目中获得采购合同，将按下表所列情况进行分包，同时承诺分包承担主体不再次分包。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666"/>
              <w:jc w:val="center"/>
              <w:widowControl/>
              <w:rPr>
                <w:rFonts w:hint="eastAsia"/>
              </w:rPr>
            </w:pPr>
            <w:r>
              <w:rPr>
                <w:rFonts w:hint="eastAsia"/>
              </w:rPr>
              <w:t xml:space="preserve">序号</w:t>
            </w:r>
            <w:r/>
          </w:p>
        </w:tc>
        <w:tc>
          <w:tcPr>
            <w:tcW w:w="1543" w:type="dxa"/>
            <w:vAlign w:val="center"/>
            <w:textDirection w:val="lrTb"/>
            <w:noWrap w:val="false"/>
          </w:tcPr>
          <w:p>
            <w:pPr>
              <w:pStyle w:val="666"/>
              <w:jc w:val="center"/>
              <w:widowControl/>
            </w:pPr>
            <w:r>
              <w:rPr>
                <w:rFonts w:hint="eastAsia"/>
              </w:rPr>
              <w:t xml:space="preserve">分包承担主体名称</w:t>
            </w:r>
            <w:r/>
          </w:p>
        </w:tc>
        <w:tc>
          <w:tcPr>
            <w:tcW w:w="1543" w:type="dxa"/>
            <w:vAlign w:val="center"/>
            <w:textDirection w:val="lrTb"/>
            <w:noWrap w:val="false"/>
          </w:tcPr>
          <w:p>
            <w:pPr>
              <w:pStyle w:val="666"/>
              <w:jc w:val="center"/>
              <w:widowControl/>
            </w:pPr>
            <w:r>
              <w:rPr>
                <w:rFonts w:hint="eastAsia"/>
              </w:rPr>
              <w:t xml:space="preserve">分包承担主体类型（大型、中型、小型、微型）</w:t>
            </w:r>
            <w:r/>
          </w:p>
        </w:tc>
        <w:tc>
          <w:tcPr>
            <w:tcW w:w="1596" w:type="dxa"/>
            <w:vAlign w:val="center"/>
            <w:textDirection w:val="lrTb"/>
            <w:noWrap w:val="false"/>
          </w:tcPr>
          <w:p>
            <w:pPr>
              <w:pStyle w:val="666"/>
              <w:jc w:val="center"/>
              <w:widowControl/>
            </w:pPr>
            <w:r>
              <w:rPr>
                <w:rFonts w:hint="eastAsia"/>
              </w:rPr>
              <w:t xml:space="preserve">分包承担主体资质</w:t>
            </w:r>
            <w:r/>
          </w:p>
        </w:tc>
        <w:tc>
          <w:tcPr>
            <w:tcW w:w="1811" w:type="dxa"/>
            <w:vAlign w:val="center"/>
            <w:textDirection w:val="lrTb"/>
            <w:noWrap w:val="false"/>
          </w:tcPr>
          <w:p>
            <w:pPr>
              <w:pStyle w:val="666"/>
              <w:jc w:val="center"/>
              <w:widowControl/>
            </w:pPr>
            <w:r>
              <w:rPr>
                <w:rFonts w:hint="eastAsia"/>
              </w:rPr>
              <w:t xml:space="preserve">分包标的内容</w:t>
            </w:r>
            <w:r/>
          </w:p>
        </w:tc>
        <w:tc>
          <w:tcPr>
            <w:tcW w:w="1586" w:type="dxa"/>
            <w:vAlign w:val="center"/>
            <w:textDirection w:val="lrTb"/>
            <w:noWrap w:val="false"/>
          </w:tcPr>
          <w:p>
            <w:pPr>
              <w:pStyle w:val="666"/>
              <w:jc w:val="center"/>
              <w:widowControl/>
            </w:pPr>
            <w:r>
              <w:rPr>
                <w:rFonts w:hint="eastAsia"/>
              </w:rPr>
              <w:t xml:space="preserve">分包合同金额（元）</w:t>
            </w:r>
            <w:r/>
          </w:p>
        </w:tc>
        <w:tc>
          <w:tcPr>
            <w:tcW w:w="1287" w:type="dxa"/>
            <w:vAlign w:val="center"/>
            <w:textDirection w:val="lrTb"/>
            <w:noWrap w:val="false"/>
          </w:tcPr>
          <w:p>
            <w:pPr>
              <w:pStyle w:val="666"/>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666"/>
              <w:jc w:val="center"/>
              <w:widowControl/>
              <w:rPr>
                <w:rFonts w:hint="eastAsia"/>
              </w:rPr>
            </w:pPr>
            <w:r>
              <w:rPr>
                <w:rFonts w:hint="eastAsia"/>
              </w:rPr>
              <w:t xml:space="preserve">1</w:t>
            </w:r>
            <w:r/>
          </w:p>
        </w:tc>
        <w:tc>
          <w:tcPr>
            <w:tcW w:w="1543" w:type="dxa"/>
            <w:vAlign w:val="center"/>
            <w:textDirection w:val="lrTb"/>
            <w:noWrap w:val="false"/>
          </w:tcPr>
          <w:p>
            <w:pPr>
              <w:pStyle w:val="666"/>
              <w:jc w:val="center"/>
              <w:widowControl/>
            </w:pPr>
            <w:r/>
            <w:r/>
          </w:p>
        </w:tc>
        <w:tc>
          <w:tcPr>
            <w:tcW w:w="1543" w:type="dxa"/>
            <w:vAlign w:val="center"/>
            <w:textDirection w:val="lrTb"/>
            <w:noWrap w:val="false"/>
          </w:tcPr>
          <w:p>
            <w:pPr>
              <w:pStyle w:val="666"/>
              <w:jc w:val="center"/>
              <w:widowControl/>
            </w:pPr>
            <w:r/>
            <w:r/>
          </w:p>
        </w:tc>
        <w:tc>
          <w:tcPr>
            <w:tcW w:w="1596" w:type="dxa"/>
            <w:vAlign w:val="center"/>
            <w:textDirection w:val="lrTb"/>
            <w:noWrap w:val="false"/>
          </w:tcPr>
          <w:p>
            <w:pPr>
              <w:pStyle w:val="666"/>
              <w:jc w:val="center"/>
              <w:widowControl/>
            </w:pPr>
            <w:r/>
            <w:r/>
          </w:p>
        </w:tc>
        <w:tc>
          <w:tcPr>
            <w:tcW w:w="1811" w:type="dxa"/>
            <w:vAlign w:val="center"/>
            <w:textDirection w:val="lrTb"/>
            <w:noWrap w:val="false"/>
          </w:tcPr>
          <w:p>
            <w:pPr>
              <w:pStyle w:val="666"/>
              <w:jc w:val="center"/>
              <w:widowControl/>
            </w:pPr>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r>
        <w:trPr>
          <w:trHeight w:val="488"/>
        </w:trPr>
        <w:tc>
          <w:tcPr>
            <w:tcW w:w="596" w:type="dxa"/>
            <w:vAlign w:val="center"/>
            <w:textDirection w:val="lrTb"/>
            <w:noWrap w:val="false"/>
          </w:tcPr>
          <w:p>
            <w:pPr>
              <w:pStyle w:val="666"/>
              <w:jc w:val="center"/>
              <w:widowControl/>
              <w:rPr>
                <w:rFonts w:hint="eastAsia"/>
              </w:rPr>
            </w:pPr>
            <w:r>
              <w:rPr>
                <w:rFonts w:hint="eastAsia"/>
              </w:rPr>
              <w:t xml:space="preserve">2</w:t>
            </w:r>
            <w:r/>
          </w:p>
        </w:tc>
        <w:tc>
          <w:tcPr>
            <w:tcW w:w="1543" w:type="dxa"/>
            <w:vAlign w:val="center"/>
            <w:textDirection w:val="lrTb"/>
            <w:noWrap w:val="false"/>
          </w:tcPr>
          <w:p>
            <w:pPr>
              <w:pStyle w:val="666"/>
              <w:jc w:val="center"/>
              <w:widowControl/>
            </w:pPr>
            <w:r/>
            <w:r/>
          </w:p>
        </w:tc>
        <w:tc>
          <w:tcPr>
            <w:tcW w:w="1543" w:type="dxa"/>
            <w:vAlign w:val="center"/>
            <w:textDirection w:val="lrTb"/>
            <w:noWrap w:val="false"/>
          </w:tcPr>
          <w:p>
            <w:pPr>
              <w:pStyle w:val="666"/>
              <w:jc w:val="center"/>
              <w:widowControl/>
            </w:pPr>
            <w:r/>
            <w:r/>
          </w:p>
        </w:tc>
        <w:tc>
          <w:tcPr>
            <w:tcW w:w="1596" w:type="dxa"/>
            <w:vAlign w:val="center"/>
            <w:textDirection w:val="lrTb"/>
            <w:noWrap w:val="false"/>
          </w:tcPr>
          <w:p>
            <w:pPr>
              <w:pStyle w:val="666"/>
              <w:jc w:val="center"/>
              <w:widowControl/>
            </w:pPr>
            <w:r/>
            <w:r/>
          </w:p>
        </w:tc>
        <w:tc>
          <w:tcPr>
            <w:tcW w:w="1811" w:type="dxa"/>
            <w:vAlign w:val="center"/>
            <w:textDirection w:val="lrTb"/>
            <w:noWrap w:val="false"/>
          </w:tcPr>
          <w:p>
            <w:pPr>
              <w:pStyle w:val="666"/>
              <w:jc w:val="center"/>
              <w:widowControl/>
            </w:pPr>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r>
        <w:trPr>
          <w:trHeight w:val="456"/>
        </w:trPr>
        <w:tc>
          <w:tcPr>
            <w:tcW w:w="596" w:type="dxa"/>
            <w:vAlign w:val="center"/>
            <w:textDirection w:val="lrTb"/>
            <w:noWrap w:val="false"/>
          </w:tcPr>
          <w:p>
            <w:pPr>
              <w:pStyle w:val="666"/>
              <w:jc w:val="center"/>
              <w:widowControl/>
            </w:pPr>
            <w:r>
              <w:rPr>
                <w:rFonts w:hint="eastAsia"/>
              </w:rPr>
              <w:t xml:space="preserve">...</w:t>
            </w:r>
            <w:r/>
          </w:p>
        </w:tc>
        <w:tc>
          <w:tcPr>
            <w:tcW w:w="1543" w:type="dxa"/>
            <w:vAlign w:val="center"/>
            <w:textDirection w:val="lrTb"/>
            <w:noWrap w:val="false"/>
          </w:tcPr>
          <w:p>
            <w:pPr>
              <w:pStyle w:val="666"/>
              <w:jc w:val="center"/>
              <w:widowControl/>
            </w:pPr>
            <w:r/>
            <w:r/>
          </w:p>
        </w:tc>
        <w:tc>
          <w:tcPr>
            <w:tcW w:w="1543" w:type="dxa"/>
            <w:vAlign w:val="center"/>
            <w:textDirection w:val="lrTb"/>
            <w:noWrap w:val="false"/>
          </w:tcPr>
          <w:p>
            <w:pPr>
              <w:pStyle w:val="666"/>
              <w:jc w:val="center"/>
              <w:widowControl/>
            </w:pPr>
            <w:r/>
            <w:r/>
          </w:p>
        </w:tc>
        <w:tc>
          <w:tcPr>
            <w:tcW w:w="1596" w:type="dxa"/>
            <w:vAlign w:val="center"/>
            <w:textDirection w:val="lrTb"/>
            <w:noWrap w:val="false"/>
          </w:tcPr>
          <w:p>
            <w:pPr>
              <w:pStyle w:val="666"/>
              <w:jc w:val="center"/>
              <w:widowControl/>
            </w:pPr>
            <w:r/>
            <w:r/>
          </w:p>
        </w:tc>
        <w:tc>
          <w:tcPr>
            <w:tcW w:w="1811" w:type="dxa"/>
            <w:vAlign w:val="center"/>
            <w:textDirection w:val="lrTb"/>
            <w:noWrap w:val="false"/>
          </w:tcPr>
          <w:p>
            <w:pPr>
              <w:pStyle w:val="666"/>
              <w:jc w:val="center"/>
              <w:widowControl/>
            </w:pPr>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r>
        <w:trPr>
          <w:trHeight w:val="475"/>
        </w:trPr>
        <w:tc>
          <w:tcPr>
            <w:gridSpan w:val="5"/>
            <w:tcW w:w="7089" w:type="dxa"/>
            <w:vAlign w:val="center"/>
            <w:textDirection w:val="lrTb"/>
            <w:noWrap w:val="false"/>
          </w:tcPr>
          <w:p>
            <w:pPr>
              <w:pStyle w:val="666"/>
              <w:jc w:val="center"/>
              <w:widowControl/>
              <w:rPr>
                <w:rFonts w:hint="eastAsia"/>
              </w:rPr>
            </w:pPr>
            <w:r>
              <w:rPr>
                <w:rFonts w:hint="eastAsia"/>
              </w:rPr>
              <w:t xml:space="preserve">合计</w:t>
            </w:r>
            <w:r/>
          </w:p>
        </w:tc>
        <w:tc>
          <w:tcPr>
            <w:tcW w:w="1586" w:type="dxa"/>
            <w:vAlign w:val="center"/>
            <w:textDirection w:val="lrTb"/>
            <w:noWrap w:val="false"/>
          </w:tcPr>
          <w:p>
            <w:pPr>
              <w:pStyle w:val="666"/>
              <w:jc w:val="center"/>
              <w:widowControl/>
            </w:pPr>
            <w:r/>
            <w:r/>
          </w:p>
        </w:tc>
        <w:tc>
          <w:tcPr>
            <w:tcW w:w="1287" w:type="dxa"/>
            <w:vAlign w:val="center"/>
            <w:textDirection w:val="lrTb"/>
            <w:noWrap w:val="false"/>
          </w:tcPr>
          <w:p>
            <w:pPr>
              <w:pStyle w:val="666"/>
              <w:jc w:val="center"/>
              <w:widowControl/>
            </w:pPr>
            <w:r/>
            <w:r/>
          </w:p>
        </w:tc>
      </w:tr>
    </w:tbl>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pPr>
      <w:r>
        <w:rPr>
          <w:rFonts w:hint="eastAsia" w:ascii="宋体" w:hAnsi="宋体" w:cs="宋体"/>
          <w:color w:val="000000"/>
          <w:sz w:val="24"/>
          <w:szCs w:val="24"/>
          <w:lang w:bidi="ar"/>
        </w:rPr>
        <w:t xml:space="preserve">供应商名称（加盖公章）：</w:t>
      </w:r>
      <w:r>
        <w:rPr>
          <w:color w:val="000000"/>
          <w:sz w:val="24"/>
          <w:szCs w:val="24"/>
          <w:lang w:bidi="ar"/>
        </w:rPr>
        <w:t xml:space="preserve">______ </w:t>
      </w:r>
      <w:r/>
    </w:p>
    <w:p>
      <w:pPr>
        <w:pStyle w:val="666"/>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pStyle w:val="666"/>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66"/>
        <w:jc w:val="left"/>
        <w:spacing w:line="360" w:lineRule="auto"/>
        <w:widowControl/>
      </w:pPr>
      <w:r>
        <w:rPr>
          <w:rFonts w:hint="eastAsia" w:ascii="宋体" w:hAnsi="宋体" w:cs="宋体"/>
          <w:color w:val="000000"/>
          <w:sz w:val="24"/>
          <w:szCs w:val="24"/>
          <w:lang w:bidi="ar"/>
        </w:rPr>
        <w:t xml:space="preserve">注：</w:t>
      </w:r>
      <w:r/>
    </w:p>
    <w:p>
      <w:pPr>
        <w:pStyle w:val="666"/>
        <w:ind w:firstLine="480"/>
        <w:jc w:val="left"/>
        <w:spacing w:line="360" w:lineRule="auto"/>
        <w:widowControl/>
      </w:pPr>
      <w:r>
        <w:rPr>
          <w:color w:val="000000"/>
          <w:sz w:val="24"/>
          <w:szCs w:val="24"/>
          <w:lang w:bidi="ar"/>
        </w:rPr>
        <w:t xml:space="preserve">1.</w:t>
      </w:r>
      <w:r>
        <w:rPr>
          <w:rFonts w:hint="eastAsia"/>
          <w:color w:val="000000"/>
          <w:sz w:val="24"/>
          <w:szCs w:val="24"/>
          <w:lang w:bidi="ar"/>
        </w:rPr>
        <w:t xml:space="preserve"> </w:t>
      </w:r>
      <w:r>
        <w:rPr>
          <w:rFonts w:hint="eastAsia" w:ascii="宋体" w:hAnsi="宋体" w:cs="宋体"/>
          <w:color w:val="000000"/>
          <w:sz w:val="24"/>
          <w:szCs w:val="24"/>
          <w:lang w:bidi="ar"/>
        </w:rPr>
        <w:t xml:space="preserve">如本项目（包）允许分包，且供应商拟在成交后进行分包的，必须在响应文件中提供分包情况说明。</w:t>
      </w:r>
      <w:r/>
    </w:p>
    <w:p>
      <w:pPr>
        <w:pStyle w:val="666"/>
        <w:ind w:firstLine="480"/>
        <w:jc w:val="left"/>
        <w:spacing w:line="360" w:lineRule="auto"/>
        <w:widowControl/>
        <w:rPr>
          <w:rFonts w:hint="eastAsia"/>
        </w:rPr>
      </w:pPr>
      <w:r>
        <w:rPr>
          <w:color w:val="000000"/>
          <w:sz w:val="24"/>
          <w:szCs w:val="24"/>
          <w:lang w:bidi="ar"/>
        </w:rPr>
        <w:t xml:space="preserve">2.</w:t>
      </w:r>
      <w:r>
        <w:rPr>
          <w:rFonts w:hint="eastAsia"/>
          <w:color w:val="000000"/>
          <w:sz w:val="24"/>
          <w:szCs w:val="24"/>
          <w:lang w:bidi="ar"/>
        </w:rPr>
        <w:t xml:space="preserve"> </w:t>
      </w:r>
      <w:r>
        <w:rPr>
          <w:rFonts w:hint="eastAsia" w:ascii="宋体" w:hAnsi="宋体" w:cs="宋体"/>
          <w:color w:val="000000"/>
          <w:sz w:val="24"/>
          <w:szCs w:val="24"/>
          <w:lang w:bidi="ar"/>
        </w:rPr>
        <w:t xml:space="preserve">如本磋商文件载明本项目分包承担主体应具备的相应资质条件，则供应商须在本表中列明分包承担主体的资质等级，并提供资质证书。</w:t>
      </w:r>
      <w:r>
        <w:rPr>
          <w:rFonts w:hint="eastAsia"/>
        </w:rPr>
      </w:r>
      <w:r/>
    </w:p>
    <w:p>
      <w:pPr>
        <w:pStyle w:val="666"/>
        <w:jc w:val="center"/>
        <w:spacing w:line="360" w:lineRule="auto"/>
        <w:widowControl/>
      </w:pPr>
      <w:r>
        <w:rPr>
          <w:rFonts w:hint="eastAsia" w:ascii="方正小标宋简体" w:hAnsi="方正小标宋简体" w:eastAsia="方正小标宋简体" w:cs="方正小标宋简体"/>
          <w:sz w:val="32"/>
          <w:szCs w:val="32"/>
        </w:rPr>
        <w:br w:type="page" w:clear="all"/>
        <w:t xml:space="preserve">分包意向协议</w:t>
      </w:r>
      <w:r/>
    </w:p>
    <w:p>
      <w:pPr>
        <w:pStyle w:val="666"/>
        <w:ind w:firstLine="480"/>
        <w:jc w:val="left"/>
        <w:widowControl/>
      </w:pPr>
      <w:r>
        <w:rPr>
          <w:rFonts w:hint="eastAsia" w:ascii="宋体" w:hAnsi="宋体" w:cs="宋体"/>
          <w:color w:val="000000"/>
          <w:sz w:val="24"/>
          <w:szCs w:val="24"/>
          <w:lang w:bidi="ar"/>
        </w:rPr>
        <w:t xml:space="preserve">甲方（供应商）：</w:t>
      </w:r>
      <w:r>
        <w:rPr>
          <w:color w:val="000000"/>
          <w:sz w:val="24"/>
          <w:szCs w:val="24"/>
          <w:lang w:bidi="ar"/>
        </w:rPr>
        <w:t xml:space="preserve">________</w:t>
      </w:r>
      <w:r/>
    </w:p>
    <w:p>
      <w:pPr>
        <w:pStyle w:val="666"/>
        <w:ind w:firstLine="480"/>
        <w:jc w:val="left"/>
        <w:widowControl/>
      </w:pPr>
      <w:r>
        <w:rPr>
          <w:rFonts w:hint="eastAsia" w:ascii="宋体" w:hAnsi="宋体" w:cs="宋体"/>
          <w:color w:val="000000"/>
          <w:sz w:val="24"/>
          <w:szCs w:val="24"/>
          <w:lang w:bidi="ar"/>
        </w:rPr>
        <w:t xml:space="preserve">乙方（分包承担主体）：</w:t>
      </w:r>
      <w:r>
        <w:rPr>
          <w:color w:val="000000"/>
          <w:sz w:val="24"/>
          <w:szCs w:val="24"/>
          <w:lang w:bidi="ar"/>
        </w:rPr>
        <w:t xml:space="preserve">________</w:t>
      </w:r>
      <w:r/>
    </w:p>
    <w:p>
      <w:pPr>
        <w:pStyle w:val="666"/>
        <w:ind w:firstLine="480"/>
        <w:jc w:val="left"/>
        <w:widowControl/>
      </w:pPr>
      <w:r>
        <w:rPr>
          <w:rFonts w:hint="eastAsia" w:ascii="宋体" w:hAnsi="宋体" w:cs="宋体"/>
          <w:color w:val="000000"/>
          <w:sz w:val="24"/>
          <w:szCs w:val="24"/>
          <w:lang w:bidi="ar"/>
        </w:rPr>
        <w:t xml:space="preserve">甲方承诺，一旦在项目编号为</w:t>
      </w:r>
      <w:r>
        <w:rPr>
          <w:color w:val="000000"/>
          <w:sz w:val="24"/>
          <w:szCs w:val="24"/>
          <w:lang w:bidi="ar"/>
        </w:rPr>
        <w:t xml:space="preserve">_______</w:t>
      </w:r>
      <w:r>
        <w:rPr>
          <w:rFonts w:hint="eastAsia" w:ascii="宋体" w:hAnsi="宋体" w:cs="宋体"/>
          <w:color w:val="000000"/>
          <w:sz w:val="24"/>
          <w:szCs w:val="24"/>
          <w:lang w:bidi="ar"/>
        </w:rPr>
        <w:t xml:space="preserve">的</w:t>
      </w:r>
      <w:r>
        <w:rPr>
          <w:color w:val="000000"/>
          <w:sz w:val="24"/>
          <w:szCs w:val="24"/>
          <w:lang w:bidi="ar"/>
        </w:rPr>
        <w:t xml:space="preserve">_________</w:t>
      </w:r>
      <w:r>
        <w:rPr>
          <w:rFonts w:hint="eastAsia" w:ascii="宋体" w:hAnsi="宋体" w:cs="宋体"/>
          <w:color w:val="000000"/>
          <w:sz w:val="24"/>
          <w:szCs w:val="24"/>
          <w:lang w:bidi="ar"/>
        </w:rPr>
        <w:t xml:space="preserve">项目（项目名称）</w:t>
      </w:r>
      <w:r>
        <w:rPr>
          <w:color w:val="000000"/>
          <w:sz w:val="24"/>
          <w:szCs w:val="24"/>
          <w:lang w:bidi="ar"/>
        </w:rPr>
        <w:t xml:space="preserve">___</w:t>
      </w:r>
      <w:r>
        <w:rPr>
          <w:rFonts w:hint="eastAsia" w:ascii="宋体" w:hAnsi="宋体" w:cs="宋体"/>
          <w:color w:val="000000"/>
          <w:sz w:val="24"/>
          <w:szCs w:val="24"/>
          <w:lang w:bidi="ar"/>
        </w:rPr>
        <w:t xml:space="preserve">（采购包号）中获得采购合同，将按照下述约定将合同项下部分内容分包给乙方：</w:t>
      </w:r>
      <w:r/>
    </w:p>
    <w:p>
      <w:pPr>
        <w:pStyle w:val="666"/>
        <w:ind w:firstLine="480"/>
        <w:jc w:val="left"/>
        <w:widowControl/>
      </w:pPr>
      <w:r>
        <w:rPr>
          <w:color w:val="000000"/>
          <w:sz w:val="24"/>
          <w:szCs w:val="24"/>
          <w:lang w:bidi="ar"/>
        </w:rPr>
        <w:t xml:space="preserve">1.</w:t>
      </w:r>
      <w:r>
        <w:rPr>
          <w:rFonts w:hint="eastAsia" w:ascii="宋体" w:hAnsi="宋体" w:cs="宋体"/>
          <w:color w:val="000000"/>
          <w:sz w:val="24"/>
          <w:szCs w:val="24"/>
          <w:lang w:bidi="ar"/>
        </w:rPr>
        <w:t xml:space="preserve">分包内容：</w:t>
      </w:r>
      <w:r>
        <w:rPr>
          <w:color w:val="000000"/>
          <w:sz w:val="24"/>
          <w:szCs w:val="24"/>
          <w:lang w:bidi="ar"/>
        </w:rPr>
        <w:t xml:space="preserve">_____</w:t>
      </w:r>
      <w:r>
        <w:rPr>
          <w:rFonts w:hint="eastAsia" w:ascii="宋体" w:hAnsi="宋体" w:cs="宋体"/>
          <w:color w:val="000000"/>
          <w:sz w:val="24"/>
          <w:szCs w:val="24"/>
          <w:lang w:bidi="ar"/>
        </w:rPr>
        <w:t xml:space="preserve">。</w:t>
      </w:r>
      <w:r/>
    </w:p>
    <w:p>
      <w:pPr>
        <w:pStyle w:val="666"/>
        <w:ind w:firstLine="480"/>
        <w:jc w:val="left"/>
        <w:widowControl/>
      </w:pPr>
      <w:r>
        <w:rPr>
          <w:color w:val="000000"/>
          <w:sz w:val="24"/>
          <w:szCs w:val="24"/>
          <w:lang w:bidi="ar"/>
        </w:rPr>
        <w:t xml:space="preserve">2.</w:t>
      </w:r>
      <w:r>
        <w:rPr>
          <w:rFonts w:hint="eastAsia" w:ascii="宋体" w:hAnsi="宋体" w:cs="宋体"/>
          <w:color w:val="000000"/>
          <w:sz w:val="24"/>
          <w:szCs w:val="24"/>
          <w:lang w:bidi="ar"/>
        </w:rPr>
        <w:t xml:space="preserve">分包金额：</w:t>
      </w:r>
      <w:r>
        <w:rPr>
          <w:color w:val="000000"/>
          <w:sz w:val="24"/>
          <w:szCs w:val="24"/>
          <w:lang w:bidi="ar"/>
        </w:rPr>
        <w:t xml:space="preserve">_____</w:t>
      </w:r>
      <w:r>
        <w:rPr>
          <w:rFonts w:hint="eastAsia" w:ascii="宋体" w:hAnsi="宋体" w:cs="宋体"/>
          <w:color w:val="000000"/>
          <w:sz w:val="24"/>
          <w:szCs w:val="24"/>
          <w:lang w:bidi="ar"/>
        </w:rPr>
        <w:t xml:space="preserve">，该金额占该采购包合同金额的比例为</w:t>
      </w:r>
      <w:r>
        <w:rPr>
          <w:color w:val="000000"/>
          <w:sz w:val="24"/>
          <w:szCs w:val="24"/>
          <w:lang w:bidi="ar"/>
        </w:rPr>
        <w:t xml:space="preserve">___%</w:t>
      </w:r>
      <w:r>
        <w:rPr>
          <w:rFonts w:hint="eastAsia" w:ascii="宋体" w:hAnsi="宋体" w:cs="宋体"/>
          <w:color w:val="000000"/>
          <w:sz w:val="24"/>
          <w:szCs w:val="24"/>
          <w:lang w:bidi="ar"/>
        </w:rPr>
        <w:t xml:space="preserve">。</w:t>
      </w:r>
      <w:r/>
    </w:p>
    <w:p>
      <w:pPr>
        <w:pStyle w:val="666"/>
        <w:ind w:firstLine="480"/>
        <w:jc w:val="left"/>
        <w:widowControl/>
      </w:pPr>
      <w:r>
        <w:rPr>
          <w:rFonts w:hint="eastAsia" w:ascii="宋体" w:hAnsi="宋体" w:cs="宋体"/>
          <w:color w:val="000000"/>
          <w:sz w:val="24"/>
          <w:szCs w:val="24"/>
          <w:lang w:bidi="ar"/>
        </w:rPr>
        <w:t xml:space="preserve">乙方承诺将在上述情况下与甲方签订分包合同。</w:t>
      </w:r>
      <w:r/>
    </w:p>
    <w:p>
      <w:pPr>
        <w:pStyle w:val="666"/>
        <w:ind w:firstLine="480"/>
        <w:jc w:val="left"/>
        <w:widowControl/>
      </w:pPr>
      <w:r>
        <w:rPr>
          <w:rFonts w:hint="eastAsia" w:ascii="宋体" w:hAnsi="宋体" w:cs="宋体"/>
          <w:color w:val="000000"/>
          <w:sz w:val="24"/>
          <w:szCs w:val="24"/>
          <w:lang w:bidi="ar"/>
        </w:rPr>
        <w:t xml:space="preserve">本协议自各方盖章之日起生效，如甲方未在该项目（采购包）成交，本协议自动终止。</w:t>
      </w:r>
      <w:r/>
    </w:p>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right"/>
        <w:widowControl/>
      </w:pPr>
      <w:r>
        <w:rPr>
          <w:rFonts w:hint="eastAsia" w:ascii="宋体" w:hAnsi="宋体" w:cs="宋体"/>
          <w:color w:val="000000"/>
          <w:sz w:val="24"/>
          <w:szCs w:val="24"/>
          <w:lang w:bidi="ar"/>
        </w:rPr>
        <w:t xml:space="preserve">甲方（盖章）：</w:t>
      </w:r>
      <w:r>
        <w:rPr>
          <w:color w:val="000000"/>
          <w:sz w:val="24"/>
          <w:szCs w:val="24"/>
          <w:lang w:bidi="ar"/>
        </w:rPr>
        <w:t xml:space="preserve">_________</w:t>
      </w:r>
      <w:r/>
    </w:p>
    <w:p>
      <w:pPr>
        <w:pStyle w:val="666"/>
        <w:ind w:firstLine="480"/>
        <w:jc w:val="right"/>
        <w:widowControl/>
      </w:pPr>
      <w:r>
        <w:rPr>
          <w:rFonts w:hint="eastAsia" w:ascii="宋体" w:hAnsi="宋体" w:cs="宋体"/>
          <w:color w:val="000000"/>
          <w:sz w:val="24"/>
          <w:szCs w:val="24"/>
          <w:lang w:bidi="ar"/>
        </w:rPr>
        <w:t xml:space="preserve">乙方（盖章）：</w:t>
      </w:r>
      <w:r>
        <w:rPr>
          <w:color w:val="000000"/>
          <w:sz w:val="24"/>
          <w:szCs w:val="24"/>
          <w:lang w:bidi="ar"/>
        </w:rPr>
        <w:t xml:space="preserve">_________</w:t>
      </w:r>
      <w:r/>
    </w:p>
    <w:p>
      <w:pPr>
        <w:pStyle w:val="666"/>
        <w:ind w:firstLine="480"/>
        <w:jc w:val="right"/>
        <w:widowControl/>
      </w:pPr>
      <w:r>
        <w:rPr>
          <w:rFonts w:hint="eastAsia" w:ascii="宋体" w:hAnsi="宋体" w:cs="宋体"/>
          <w:color w:val="000000"/>
          <w:sz w:val="24"/>
          <w:szCs w:val="24"/>
          <w:lang w:bidi="ar"/>
        </w:rPr>
        <w:t xml:space="preserve">日期：</w:t>
      </w:r>
      <w:r>
        <w:rPr>
          <w:color w:val="000000"/>
          <w:sz w:val="24"/>
          <w:szCs w:val="24"/>
          <w:lang w:bidi="ar"/>
        </w:rPr>
        <w:t xml:space="preserve">_____</w:t>
      </w:r>
      <w:r>
        <w:rPr>
          <w:rFonts w:hint="eastAsia" w:ascii="宋体" w:hAnsi="宋体" w:cs="宋体"/>
          <w:color w:val="000000"/>
          <w:sz w:val="24"/>
          <w:szCs w:val="24"/>
          <w:lang w:bidi="ar"/>
        </w:rPr>
        <w:t xml:space="preserve">年</w:t>
      </w:r>
      <w:r>
        <w:rPr>
          <w:color w:val="000000"/>
          <w:sz w:val="24"/>
          <w:szCs w:val="24"/>
          <w:lang w:bidi="ar"/>
        </w:rPr>
        <w:t xml:space="preserve">___</w:t>
      </w:r>
      <w:r>
        <w:rPr>
          <w:rFonts w:hint="eastAsia" w:ascii="宋体" w:hAnsi="宋体" w:cs="宋体"/>
          <w:color w:val="000000"/>
          <w:sz w:val="24"/>
          <w:szCs w:val="24"/>
          <w:lang w:bidi="ar"/>
        </w:rPr>
        <w:t xml:space="preserve">月</w:t>
      </w:r>
      <w:r>
        <w:rPr>
          <w:color w:val="000000"/>
          <w:sz w:val="24"/>
          <w:szCs w:val="24"/>
          <w:lang w:bidi="ar"/>
        </w:rPr>
        <w:t xml:space="preserve">___</w:t>
      </w:r>
      <w:r>
        <w:rPr>
          <w:rFonts w:hint="eastAsia" w:ascii="宋体" w:hAnsi="宋体" w:cs="宋体"/>
          <w:color w:val="000000"/>
          <w:sz w:val="24"/>
          <w:szCs w:val="24"/>
          <w:lang w:bidi="ar"/>
        </w:rPr>
        <w:t xml:space="preserve">日</w:t>
      </w:r>
      <w:r/>
    </w:p>
    <w:p>
      <w:pPr>
        <w:pStyle w:val="666"/>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ind w:firstLine="480"/>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pStyle w:val="666"/>
        <w:jc w:val="left"/>
        <w:widowControl/>
      </w:pPr>
      <w:r>
        <w:rPr>
          <w:rFonts w:hint="eastAsia" w:ascii="宋体" w:hAnsi="宋体" w:cs="宋体"/>
          <w:color w:val="000000"/>
          <w:sz w:val="24"/>
          <w:szCs w:val="24"/>
          <w:lang w:bidi="ar"/>
        </w:rPr>
        <w:t xml:space="preserve">注：</w:t>
      </w:r>
      <w:r/>
    </w:p>
    <w:p>
      <w:pPr>
        <w:pStyle w:val="666"/>
        <w:ind w:firstLine="480"/>
        <w:jc w:val="left"/>
        <w:widowControl/>
      </w:pPr>
      <w:r>
        <w:rPr>
          <w:color w:val="000000"/>
          <w:sz w:val="24"/>
          <w:szCs w:val="24"/>
          <w:lang w:bidi="ar"/>
        </w:rPr>
        <w:t xml:space="preserve">1. 如本项目（</w:t>
      </w:r>
      <w:r>
        <w:rPr>
          <w:rFonts w:hint="eastAsia"/>
          <w:color w:val="000000"/>
          <w:sz w:val="24"/>
          <w:szCs w:val="24"/>
          <w:lang w:bidi="ar"/>
        </w:rPr>
        <w:t xml:space="preserve">采购</w:t>
      </w:r>
      <w:r>
        <w:rPr>
          <w:color w:val="000000"/>
          <w:sz w:val="24"/>
          <w:szCs w:val="24"/>
          <w:lang w:bidi="ar"/>
        </w:rPr>
        <w:t xml:space="preserve">包）允许分包，且</w:t>
      </w:r>
      <w:r>
        <w:rPr>
          <w:rFonts w:hint="eastAsia"/>
          <w:color w:val="000000"/>
          <w:sz w:val="24"/>
          <w:szCs w:val="24"/>
          <w:lang w:bidi="ar"/>
        </w:rPr>
        <w:t xml:space="preserve">供应商</w:t>
      </w:r>
      <w:r>
        <w:rPr>
          <w:color w:val="000000"/>
          <w:sz w:val="24"/>
          <w:szCs w:val="24"/>
          <w:lang w:bidi="ar"/>
        </w:rPr>
        <w:t xml:space="preserve">拟</w:t>
      </w:r>
      <w:r>
        <w:rPr>
          <w:rFonts w:hint="eastAsia"/>
          <w:color w:val="000000"/>
          <w:sz w:val="24"/>
          <w:szCs w:val="24"/>
          <w:lang w:bidi="ar"/>
        </w:rPr>
        <w:t xml:space="preserve">在成交后</w:t>
      </w:r>
      <w:r>
        <w:rPr>
          <w:color w:val="000000"/>
          <w:sz w:val="24"/>
          <w:szCs w:val="24"/>
          <w:lang w:bidi="ar"/>
        </w:rPr>
        <w:t xml:space="preserve">进行分包</w:t>
      </w:r>
      <w:r>
        <w:rPr>
          <w:rFonts w:hint="eastAsia"/>
          <w:color w:val="000000"/>
          <w:sz w:val="24"/>
          <w:szCs w:val="24"/>
          <w:lang w:bidi="ar"/>
        </w:rPr>
        <w:t xml:space="preserve">的</w:t>
      </w:r>
      <w:r>
        <w:rPr>
          <w:color w:val="000000"/>
          <w:sz w:val="24"/>
          <w:szCs w:val="24"/>
          <w:lang w:bidi="ar"/>
        </w:rPr>
        <w:t xml:space="preserve">，必须</w:t>
      </w:r>
      <w:r>
        <w:rPr>
          <w:rFonts w:hint="eastAsia"/>
          <w:color w:val="000000"/>
          <w:sz w:val="24"/>
          <w:szCs w:val="24"/>
          <w:lang w:bidi="ar"/>
        </w:rPr>
        <w:t xml:space="preserve">在响应文件中</w:t>
      </w:r>
      <w:r>
        <w:rPr>
          <w:color w:val="000000"/>
          <w:sz w:val="24"/>
          <w:szCs w:val="24"/>
          <w:lang w:bidi="ar"/>
        </w:rPr>
        <w:t xml:space="preserve">提供</w:t>
      </w:r>
      <w:r>
        <w:rPr>
          <w:rFonts w:hint="eastAsia"/>
          <w:color w:val="000000"/>
          <w:sz w:val="24"/>
          <w:szCs w:val="24"/>
          <w:lang w:bidi="ar"/>
        </w:rPr>
        <w:t xml:space="preserve">本协议</w:t>
      </w:r>
      <w:r>
        <w:rPr>
          <w:rFonts w:hint="eastAsia" w:ascii="宋体" w:hAnsi="宋体" w:cs="宋体"/>
          <w:color w:val="000000"/>
          <w:sz w:val="24"/>
          <w:szCs w:val="24"/>
          <w:lang w:bidi="ar"/>
        </w:rPr>
        <w:t xml:space="preserve">。</w:t>
      </w:r>
      <w:r/>
    </w:p>
    <w:p>
      <w:pPr>
        <w:pStyle w:val="666"/>
        <w:ind w:firstLine="480"/>
        <w:jc w:val="left"/>
        <w:widowControl/>
      </w:pPr>
      <w:r>
        <w:rPr>
          <w:color w:val="000000"/>
          <w:sz w:val="24"/>
          <w:szCs w:val="24"/>
          <w:lang w:bidi="ar"/>
        </w:rPr>
        <w:t xml:space="preserve">2. </w:t>
      </w:r>
      <w:r>
        <w:rPr>
          <w:rFonts w:hint="eastAsia" w:ascii="宋体" w:hAnsi="宋体" w:cs="宋体"/>
          <w:color w:val="000000"/>
          <w:sz w:val="24"/>
          <w:szCs w:val="24"/>
          <w:lang w:bidi="ar"/>
        </w:rPr>
        <w:t xml:space="preserve">供应商满足《政府采购促进中小企业发展管理办法》（财库〔</w:t>
      </w:r>
      <w:r>
        <w:rPr>
          <w:color w:val="000000"/>
          <w:sz w:val="24"/>
          <w:szCs w:val="24"/>
          <w:lang w:bidi="ar"/>
        </w:rPr>
        <w:t xml:space="preserve">2020</w:t>
      </w:r>
      <w:r>
        <w:rPr>
          <w:rFonts w:hint="eastAsia" w:ascii="宋体" w:hAnsi="宋体" w:cs="宋体"/>
          <w:color w:val="000000"/>
          <w:sz w:val="24"/>
          <w:szCs w:val="24"/>
          <w:lang w:bidi="ar"/>
        </w:rPr>
        <w:t xml:space="preserve">〕</w:t>
      </w:r>
      <w:r>
        <w:rPr>
          <w:color w:val="000000"/>
          <w:sz w:val="24"/>
          <w:szCs w:val="24"/>
          <w:lang w:bidi="ar"/>
        </w:rPr>
        <w:t xml:space="preserve">46 </w:t>
      </w:r>
      <w:r>
        <w:rPr>
          <w:rFonts w:hint="eastAsia" w:ascii="宋体" w:hAnsi="宋体" w:cs="宋体"/>
          <w:color w:val="000000"/>
          <w:sz w:val="24"/>
          <w:szCs w:val="24"/>
          <w:lang w:bidi="ar"/>
        </w:rPr>
        <w:t xml:space="preserve">号）第九条有关规定，拟享受中小企业政策优惠措施的，仍需提供本协议，否则不予认可；</w:t>
      </w:r>
      <w:r/>
    </w:p>
    <w:p>
      <w:pPr>
        <w:pStyle w:val="666"/>
        <w:ind w:firstLine="480"/>
        <w:jc w:val="left"/>
        <w:widowControl/>
      </w:pPr>
      <w:r>
        <w:rPr>
          <w:color w:val="000000"/>
          <w:sz w:val="24"/>
          <w:szCs w:val="24"/>
          <w:lang w:bidi="ar"/>
        </w:rPr>
        <w:t xml:space="preserve">3. </w:t>
      </w:r>
      <w:r>
        <w:rPr>
          <w:rFonts w:hint="eastAsia" w:ascii="宋体" w:hAnsi="宋体" w:cs="宋体"/>
          <w:color w:val="000000"/>
          <w:sz w:val="24"/>
          <w:szCs w:val="24"/>
          <w:lang w:bidi="ar"/>
        </w:rPr>
        <w:t xml:space="preserve">供应商须按分包情况说明与所有拟分包承担主体分别签订《分包意向协议》，并在响应文件中提交。</w:t>
      </w:r>
      <w:r/>
    </w:p>
    <w:p>
      <w:pPr>
        <w:pStyle w:val="746"/>
        <w:ind w:left="0"/>
        <w:jc w:val="center"/>
        <w:rPr>
          <w:rFonts w:eastAsia="等线"/>
          <w:lang w:val="en-US"/>
        </w:rPr>
      </w:pPr>
      <w:r>
        <w:rPr>
          <w:rFonts w:eastAsia="等线"/>
          <w:lang w:val="en-US"/>
        </w:rPr>
      </w:r>
      <w:r/>
    </w:p>
    <w:p>
      <w:pPr>
        <w:pStyle w:val="746"/>
        <w:ind w:left="0"/>
        <w:jc w:val="center"/>
        <w:rPr>
          <w:rFonts w:hint="eastAsia" w:ascii="宋体" w:hAnsi="宋体" w:eastAsia="宋体" w:cs="方正小标宋简体"/>
          <w:b/>
          <w:bCs/>
          <w:sz w:val="32"/>
          <w:szCs w:val="32"/>
        </w:rPr>
      </w:pPr>
      <w:r>
        <w:rPr>
          <w:rFonts w:eastAsia="等线"/>
        </w:rPr>
        <w:br w:type="page" w:clear="all"/>
      </w:r>
      <w:r>
        <w:rPr>
          <w:rFonts w:hint="eastAsia" w:ascii="宋体" w:hAnsi="宋体" w:eastAsia="宋体" w:cs="方正小标宋简体"/>
          <w:b/>
          <w:bCs/>
          <w:sz w:val="32"/>
          <w:szCs w:val="32"/>
        </w:rPr>
        <w:t xml:space="preserve">质疑函范本</w:t>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66"/>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66"/>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666"/>
        <w:spacing w:line="360" w:lineRule="auto"/>
        <w:rPr>
          <w:rFonts w:ascii="宋体" w:hAnsi="宋体" w:cs="仿宋"/>
          <w:sz w:val="24"/>
          <w:szCs w:val="24"/>
          <w:u w:val="single"/>
        </w:rPr>
      </w:pPr>
      <w:r>
        <w:rPr>
          <w:rFonts w:hint="eastAsia" w:ascii="宋体" w:hAnsi="宋体" w:cs="仿宋"/>
          <w:sz w:val="24"/>
          <w:szCs w:val="24"/>
        </w:rPr>
        <w:t xml:space="preserve">质疑事项</w:t>
      </w:r>
      <w:r>
        <w:rPr>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u w:val="single"/>
        </w:rPr>
      </w:pPr>
      <w:r>
        <w:rPr>
          <w:rFonts w:hint="eastAsia" w:ascii="宋体" w:hAnsi="宋体" w:cs="仿宋"/>
          <w:sz w:val="24"/>
          <w:szCs w:val="24"/>
        </w:rPr>
        <w:t xml:space="preserve">质疑事项</w:t>
      </w:r>
      <w:r>
        <w:rPr>
          <w:sz w:val="24"/>
          <w:szCs w:val="24"/>
        </w:rPr>
        <w:t xml:space="preserve">2</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66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6"/>
        <w:spacing w:before="145" w:after="145"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6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6"/>
        <w:rPr>
          <w:rFonts w:hint="eastAsia" w:ascii="宋体" w:hAnsi="宋体"/>
          <w:sz w:val="24"/>
          <w:szCs w:val="24"/>
        </w:rPr>
      </w:pPr>
      <w:r>
        <w:rPr>
          <w:rFonts w:hint="eastAsia" w:ascii="宋体" w:hAnsi="宋体"/>
          <w:sz w:val="24"/>
          <w:szCs w:val="24"/>
        </w:rPr>
      </w:r>
      <w:r/>
    </w:p>
    <w:p>
      <w:pPr>
        <w:pStyle w:val="666"/>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6"/>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666"/>
        <w:spacing w:line="360" w:lineRule="auto"/>
        <w:rPr>
          <w:rFonts w:hint="eastAsia"/>
        </w:rPr>
      </w:pPr>
      <w:r>
        <w:rPr>
          <w:rFonts w:hint="eastAsia"/>
        </w:rPr>
      </w:r>
      <w:r/>
    </w:p>
    <w:p>
      <w:pPr>
        <w:pStyle w:val="666"/>
        <w:spacing w:line="360" w:lineRule="auto"/>
        <w:rPr>
          <w:b/>
          <w:sz w:val="24"/>
          <w:szCs w:val="24"/>
        </w:rPr>
      </w:pPr>
      <w:r>
        <w:rPr>
          <w:b/>
          <w:sz w:val="24"/>
          <w:szCs w:val="24"/>
        </w:rPr>
        <w:t xml:space="preserve">相关说明：</w:t>
      </w:r>
      <w:r/>
    </w:p>
    <w:p>
      <w:pPr>
        <w:pStyle w:val="666"/>
        <w:ind w:firstLine="480"/>
        <w:spacing w:line="360" w:lineRule="auto"/>
        <w:rPr>
          <w:sz w:val="24"/>
          <w:szCs w:val="24"/>
        </w:rPr>
      </w:pPr>
      <w:r>
        <w:rPr>
          <w:sz w:val="24"/>
          <w:szCs w:val="24"/>
        </w:rPr>
        <w:t xml:space="preserve">1. 供应商提出质疑，应提</w:t>
      </w:r>
      <w:r>
        <w:rPr>
          <w:sz w:val="24"/>
          <w:szCs w:val="24"/>
        </w:rPr>
        <w:t xml:space="preserve">交《质疑函》和必要的证明材料。</w:t>
      </w:r>
      <w:r/>
    </w:p>
    <w:p>
      <w:pPr>
        <w:pStyle w:val="666"/>
        <w:ind w:firstLine="480"/>
        <w:spacing w:line="360" w:lineRule="auto"/>
        <w:rPr>
          <w:sz w:val="24"/>
          <w:szCs w:val="24"/>
        </w:rPr>
      </w:pPr>
      <w:r>
        <w:rPr>
          <w:sz w:val="24"/>
          <w:szCs w:val="24"/>
        </w:rPr>
        <w:t xml:space="preserve">2. 由授权代表负责质疑事宜的，《质疑函》附件中应提交由质疑供应商法定代表人或主要负责人签署的《授权委托书》。</w:t>
      </w:r>
      <w:r/>
    </w:p>
    <w:p>
      <w:pPr>
        <w:pStyle w:val="666"/>
        <w:ind w:firstLine="480"/>
        <w:spacing w:line="360" w:lineRule="auto"/>
        <w:rPr>
          <w:sz w:val="24"/>
          <w:szCs w:val="24"/>
        </w:rPr>
      </w:pPr>
      <w:r>
        <w:rPr>
          <w:sz w:val="24"/>
          <w:szCs w:val="24"/>
        </w:rPr>
        <w:t xml:space="preserve">3. 质疑供应商针对项目的某一采购包进行质疑的，《质疑函》中应明确采购包号。</w:t>
      </w:r>
      <w:r/>
    </w:p>
    <w:p>
      <w:pPr>
        <w:pStyle w:val="666"/>
        <w:ind w:firstLine="480"/>
        <w:spacing w:line="360" w:lineRule="auto"/>
        <w:rPr>
          <w:sz w:val="24"/>
          <w:szCs w:val="24"/>
        </w:rPr>
      </w:pPr>
      <w:r>
        <w:rPr>
          <w:sz w:val="24"/>
          <w:szCs w:val="24"/>
        </w:rPr>
        <w:t xml:space="preserve">4. 《质疑函》的质疑事项应具体、明确，并有必要的事实依据和法律依据。</w:t>
      </w:r>
      <w:r/>
    </w:p>
    <w:p>
      <w:pPr>
        <w:pStyle w:val="666"/>
        <w:ind w:firstLine="480"/>
        <w:spacing w:line="360" w:lineRule="auto"/>
        <w:rPr>
          <w:sz w:val="24"/>
          <w:szCs w:val="24"/>
        </w:rPr>
      </w:pPr>
      <w:r>
        <w:rPr>
          <w:sz w:val="24"/>
          <w:szCs w:val="24"/>
        </w:rPr>
        <w:t xml:space="preserve">5. 《质疑函》的质疑请求应与质疑事项相关。</w:t>
      </w:r>
      <w:r/>
    </w:p>
    <w:p>
      <w:pPr>
        <w:pStyle w:val="666"/>
        <w:ind w:firstLine="480"/>
        <w:spacing w:line="360" w:lineRule="auto"/>
        <w:rPr>
          <w:sz w:val="24"/>
          <w:szCs w:val="24"/>
        </w:rPr>
      </w:pPr>
      <w:r>
        <w:rPr>
          <w:sz w:val="24"/>
          <w:szCs w:val="24"/>
        </w:rPr>
        <w:t xml:space="preserve">6. 质疑供应商为自然人的</w:t>
      </w:r>
      <w:r>
        <w:rPr>
          <w:rFonts w:hint="eastAsia"/>
          <w:sz w:val="24"/>
          <w:szCs w:val="24"/>
        </w:rPr>
        <w:t xml:space="preserve">，</w:t>
      </w:r>
      <w:r>
        <w:rPr>
          <w:sz w:val="24"/>
          <w:szCs w:val="24"/>
        </w:rPr>
        <w:t xml:space="preserve">《质疑函》应由本人签字；质疑供应商为法人或者其他组织的，《质疑函》应由法定代表人、主要负责人，或者其授权代表签字或者签章，并加盖公章。</w:t>
      </w:r>
      <w:r/>
    </w:p>
    <w:p>
      <w:pPr>
        <w:pStyle w:val="666"/>
        <w:ind w:firstLine="480"/>
        <w:spacing w:line="360" w:lineRule="auto"/>
        <w:rPr>
          <w:sz w:val="24"/>
          <w:szCs w:val="24"/>
        </w:rPr>
      </w:pPr>
      <w:r>
        <w:rPr>
          <w:sz w:val="24"/>
          <w:szCs w:val="24"/>
        </w:rPr>
        <w:t xml:space="preserve">7. 质疑供应商为联合体的，则《质疑函》中要求加盖公章之处，联合体各方均须按要求加盖公章。</w:t>
      </w:r>
      <w:r/>
    </w:p>
    <w:sectPr>
      <w:footnotePr/>
      <w:endnotePr/>
      <w:type w:val="nextPage"/>
      <w:pgSz w:w="11906" w:h="16838" w:orient="portrait"/>
      <w:pgMar w:top="1440" w:right="1077" w:bottom="1440" w:left="107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Symbol">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sz w:val="21"/>
        <w:szCs w:val="21"/>
      </w:rPr>
    </w:pPr>
    <w:r>
      <w:rPr>
        <w:sz w:val="21"/>
        <w:szCs w:val="21"/>
      </w:rPr>
      <w:t xml:space="preserve">第 </w:t>
    </w: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 xml:space="preserve">1</w:t>
    </w:r>
    <w:r>
      <w:rPr>
        <w:sz w:val="21"/>
        <w:szCs w:val="21"/>
      </w:rPr>
      <w:fldChar w:fldCharType="end"/>
    </w:r>
    <w:r>
      <w:rPr>
        <w:sz w:val="21"/>
        <w:szCs w:val="21"/>
        <w:lang w:val="zh-CN"/>
      </w:rPr>
      <w:t xml:space="preserve"> 页 共 </w:t>
    </w:r>
    <w:r>
      <w:rPr>
        <w:sz w:val="21"/>
        <w:szCs w:val="21"/>
      </w:rPr>
      <w:fldChar w:fldCharType="begin"/>
    </w:r>
    <w:r>
      <w:rPr>
        <w:sz w:val="21"/>
        <w:szCs w:val="21"/>
      </w:rPr>
      <w:instrText xml:space="preserve">NUMPAGES  \* Arabic  \* MERGEFORMAT</w:instrText>
    </w:r>
    <w:r>
      <w:rPr>
        <w:sz w:val="21"/>
        <w:szCs w:val="21"/>
      </w:rPr>
      <w:fldChar w:fldCharType="separate"/>
    </w:r>
    <w:r>
      <w:rPr>
        <w:sz w:val="21"/>
        <w:szCs w:val="21"/>
        <w:lang w:val="zh-CN"/>
      </w:rPr>
      <w:t xml:space="preserve">2</w:t>
    </w:r>
    <w:r>
      <w:rPr>
        <w:sz w:val="21"/>
        <w:szCs w:val="21"/>
      </w:rPr>
      <w:fldChar w:fldCharType="end"/>
    </w:r>
    <w:r>
      <w:rPr>
        <w:sz w:val="21"/>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rPr>
        <w:rStyle w:val="741"/>
      </w:rPr>
    </w:r>
    <w:r/>
  </w:p>
  <w:p>
    <w:pPr>
      <w:pStyle w:val="7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center"/>
      <w:rPr>
        <w:sz w:val="21"/>
        <w:szCs w:val="21"/>
      </w:rPr>
    </w:pPr>
    <w:r>
      <w:rPr>
        <w:sz w:val="21"/>
        <w:szCs w:val="21"/>
        <w:lang w:val="zh-CN"/>
      </w:rPr>
      <w:t xml:space="preserve">第 </w:t>
    </w: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 xml:space="preserve">1</w:t>
    </w:r>
    <w:r>
      <w:rPr>
        <w:sz w:val="21"/>
        <w:szCs w:val="21"/>
      </w:rPr>
      <w:fldChar w:fldCharType="end"/>
    </w:r>
    <w:r>
      <w:rPr>
        <w:sz w:val="21"/>
        <w:szCs w:val="21"/>
        <w:lang w:val="zh-CN"/>
      </w:rPr>
      <w:t xml:space="preserve"> 页 共 </w:t>
    </w:r>
    <w:r>
      <w:rPr>
        <w:sz w:val="21"/>
        <w:szCs w:val="21"/>
      </w:rPr>
      <w:fldChar w:fldCharType="begin"/>
    </w:r>
    <w:r>
      <w:rPr>
        <w:sz w:val="21"/>
        <w:szCs w:val="21"/>
      </w:rPr>
      <w:instrText xml:space="preserve">NUMPAGES  \* Arabic  \* MERGEFORMAT</w:instrText>
    </w:r>
    <w:r>
      <w:rPr>
        <w:sz w:val="21"/>
        <w:szCs w:val="21"/>
      </w:rPr>
      <w:fldChar w:fldCharType="separate"/>
    </w:r>
    <w:r>
      <w:rPr>
        <w:sz w:val="21"/>
        <w:szCs w:val="21"/>
        <w:lang w:val="zh-CN"/>
      </w:rPr>
      <w:t xml:space="preserve">2</w:t>
    </w:r>
    <w:r>
      <w:rPr>
        <w:sz w:val="21"/>
        <w:szCs w:val="21"/>
      </w:rPr>
      <w:fldChar w:fldCharType="end"/>
    </w:r>
    <w:r>
      <w:rPr>
        <w:sz w:val="21"/>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49"/>
      <w:isLgl w:val="false"/>
      <w:suff w:val="tab"/>
      <w:lvlText w:val="附录%1."/>
      <w:lvlJc w:val="left"/>
      <w:pPr>
        <w:pStyle w:val="6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66"/>
      <w:isLgl w:val="false"/>
      <w:suff w:val="tab"/>
      <w:lvlText w:val="%1."/>
      <w:lvlJc w:val="left"/>
      <w:pPr>
        <w:pStyle w:val="666"/>
        <w:ind w:left="709" w:hanging="709"/>
        <w:tabs>
          <w:tab w:val="num" w:pos="709" w:leader="none"/>
        </w:tabs>
      </w:pPr>
      <w:rPr>
        <w:rFonts w:hint="eastAsia"/>
      </w:rPr>
    </w:lvl>
    <w:lvl w:ilvl="1">
      <w:start w:val="1"/>
      <w:numFmt w:val="decimal"/>
      <w:isLgl w:val="false"/>
      <w:suff w:val="tab"/>
      <w:lvlText w:val="%1.%2"/>
      <w:lvlJc w:val="left"/>
      <w:pPr>
        <w:pStyle w:val="666"/>
        <w:ind w:left="709" w:hanging="709"/>
        <w:tabs>
          <w:tab w:val="num" w:pos="709" w:leader="none"/>
        </w:tabs>
      </w:pPr>
      <w:rPr>
        <w:rFonts w:hint="eastAsia"/>
      </w:rPr>
    </w:lvl>
    <w:lvl w:ilvl="2">
      <w:start w:val="1"/>
      <w:numFmt w:val="decimal"/>
      <w:isLgl w:val="false"/>
      <w:suff w:val="tab"/>
      <w:lvlText w:val="%1.%2.%3."/>
      <w:lvlJc w:val="left"/>
      <w:pPr>
        <w:pStyle w:val="666"/>
        <w:ind w:left="425" w:hanging="425"/>
        <w:tabs>
          <w:tab w:val="num" w:pos="425" w:leader="none"/>
        </w:tabs>
      </w:pPr>
      <w:rPr>
        <w:rFonts w:hint="eastAsia"/>
      </w:rPr>
    </w:lvl>
    <w:lvl w:ilvl="3">
      <w:start w:val="1"/>
      <w:numFmt w:val="decimal"/>
      <w:isLgl w:val="false"/>
      <w:suff w:val="tab"/>
      <w:lvlText w:val="%1.%2.%3.%4."/>
      <w:lvlJc w:val="left"/>
      <w:pPr>
        <w:pStyle w:val="666"/>
        <w:ind w:left="851" w:hanging="851"/>
        <w:tabs>
          <w:tab w:val="num" w:pos="851" w:leader="none"/>
        </w:tabs>
      </w:pPr>
      <w:rPr>
        <w:rFonts w:hint="eastAsia"/>
      </w:rPr>
    </w:lvl>
    <w:lvl w:ilvl="4">
      <w:start w:val="1"/>
      <w:numFmt w:val="decimal"/>
      <w:isLgl w:val="false"/>
      <w:suff w:val="tab"/>
      <w:lvlText w:val="%1.%2.%3.%4.%5."/>
      <w:lvlJc w:val="left"/>
      <w:pPr>
        <w:pStyle w:val="666"/>
        <w:ind w:left="992" w:hanging="992"/>
        <w:tabs>
          <w:tab w:val="num" w:pos="992" w:leader="none"/>
        </w:tabs>
      </w:pPr>
      <w:rPr>
        <w:rFonts w:hint="eastAsia"/>
      </w:rPr>
    </w:lvl>
    <w:lvl w:ilvl="5">
      <w:start w:val="1"/>
      <w:numFmt w:val="decimal"/>
      <w:isLgl w:val="false"/>
      <w:suff w:val="tab"/>
      <w:lvlText w:val="%1.%2.%3.%4.%5.%6."/>
      <w:lvlJc w:val="left"/>
      <w:pPr>
        <w:pStyle w:val="666"/>
        <w:ind w:left="1134" w:hanging="1134"/>
        <w:tabs>
          <w:tab w:val="num" w:pos="1134" w:leader="none"/>
        </w:tabs>
      </w:pPr>
      <w:rPr>
        <w:rFonts w:hint="eastAsia"/>
      </w:rPr>
    </w:lvl>
    <w:lvl w:ilvl="6">
      <w:start w:val="1"/>
      <w:numFmt w:val="decimal"/>
      <w:isLgl w:val="false"/>
      <w:suff w:val="tab"/>
      <w:lvlText w:val="%1.%2.%3.%4.%5.%6.%7."/>
      <w:lvlJc w:val="left"/>
      <w:pPr>
        <w:pStyle w:val="666"/>
        <w:ind w:left="1276" w:hanging="1276"/>
        <w:tabs>
          <w:tab w:val="num" w:pos="1276" w:leader="none"/>
        </w:tabs>
      </w:pPr>
      <w:rPr>
        <w:rFonts w:hint="eastAsia"/>
      </w:rPr>
    </w:lvl>
    <w:lvl w:ilvl="7">
      <w:start w:val="1"/>
      <w:numFmt w:val="decimal"/>
      <w:isLgl w:val="false"/>
      <w:suff w:val="tab"/>
      <w:lvlText w:val="%1.%2.%3.%4.%5.%6.%7.%8."/>
      <w:lvlJc w:val="left"/>
      <w:pPr>
        <w:pStyle w:val="666"/>
        <w:ind w:left="1418" w:hanging="1418"/>
        <w:tabs>
          <w:tab w:val="num" w:pos="1418" w:leader="none"/>
        </w:tabs>
      </w:pPr>
      <w:rPr>
        <w:rFonts w:hint="eastAsia"/>
      </w:rPr>
    </w:lvl>
    <w:lvl w:ilvl="8">
      <w:start w:val="1"/>
      <w:numFmt w:val="decimal"/>
      <w:isLgl w:val="false"/>
      <w:suff w:val="tab"/>
      <w:lvlText w:val="%1.%2.%3.%4.%5.%6.%7.%8.%9."/>
      <w:lvlJc w:val="left"/>
      <w:pPr>
        <w:pStyle w:val="666"/>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66"/>
        <w:ind w:left="0" w:firstLine="0"/>
      </w:pPr>
      <w:rPr>
        <w:rFonts w:hint="eastAsia"/>
      </w:rPr>
    </w:lvl>
    <w:lvl w:ilvl="1">
      <w:start w:val="1"/>
      <w:numFmt w:val="decimal"/>
      <w:isLgl w:val="false"/>
      <w:suff w:val="nothing"/>
      <w:lvlText w:val="%2、"/>
      <w:lvlJc w:val="left"/>
      <w:pPr>
        <w:pStyle w:val="666"/>
        <w:ind w:left="0" w:firstLine="0"/>
      </w:pPr>
      <w:rPr>
        <w:rFonts w:hint="eastAsia"/>
      </w:rPr>
    </w:lvl>
    <w:lvl w:ilvl="2">
      <w:start w:val="1"/>
      <w:numFmt w:val="decimal"/>
      <w:isLgl w:val="false"/>
      <w:suff w:val="nothing"/>
      <w:lvlText w:val="%2.%3 "/>
      <w:lvlJc w:val="left"/>
      <w:pPr>
        <w:pStyle w:val="666"/>
        <w:ind w:left="0" w:firstLine="0"/>
      </w:pPr>
      <w:rPr>
        <w:rFonts w:hint="eastAsia"/>
      </w:rPr>
    </w:lvl>
    <w:lvl w:ilvl="3">
      <w:start w:val="1"/>
      <w:numFmt w:val="decimal"/>
      <w:isLgl w:val="false"/>
      <w:suff w:val="nothing"/>
      <w:lvlText w:val="%2.%3.%4 "/>
      <w:lvlJc w:val="left"/>
      <w:pPr>
        <w:pStyle w:val="666"/>
        <w:ind w:left="0" w:firstLine="0"/>
      </w:pPr>
      <w:rPr>
        <w:rFonts w:hint="eastAsia"/>
      </w:rPr>
    </w:lvl>
    <w:lvl w:ilvl="4">
      <w:start w:val="1"/>
      <w:numFmt w:val="decimal"/>
      <w:isLgl w:val="false"/>
      <w:suff w:val="nothing"/>
      <w:lvlText w:val="%2.%3.%4.%5 "/>
      <w:lvlJc w:val="left"/>
      <w:pPr>
        <w:pStyle w:val="666"/>
        <w:ind w:left="0" w:firstLine="0"/>
      </w:pPr>
      <w:rPr>
        <w:rFonts w:hint="eastAsia"/>
      </w:rPr>
    </w:lvl>
    <w:lvl w:ilvl="5">
      <w:start w:val="1"/>
      <w:numFmt w:val="decimal"/>
      <w:pStyle w:val="672"/>
      <w:isLgl w:val="false"/>
      <w:suff w:val="nothing"/>
      <w:lvlText w:val=""/>
      <w:lvlJc w:val="left"/>
      <w:pPr>
        <w:pStyle w:val="666"/>
        <w:ind w:left="0" w:firstLine="0"/>
      </w:pPr>
      <w:rPr>
        <w:rFonts w:hint="eastAsia"/>
      </w:rPr>
    </w:lvl>
    <w:lvl w:ilvl="6">
      <w:start w:val="1"/>
      <w:numFmt w:val="decimal"/>
      <w:pStyle w:val="673"/>
      <w:isLgl w:val="false"/>
      <w:suff w:val="nothing"/>
      <w:lvlText w:val=""/>
      <w:lvlJc w:val="left"/>
      <w:pPr>
        <w:pStyle w:val="666"/>
        <w:ind w:left="0" w:firstLine="0"/>
      </w:pPr>
      <w:rPr>
        <w:rFonts w:hint="eastAsia"/>
      </w:rPr>
    </w:lvl>
    <w:lvl w:ilvl="7">
      <w:start w:val="1"/>
      <w:numFmt w:val="decimal"/>
      <w:pStyle w:val="674"/>
      <w:isLgl w:val="false"/>
      <w:suff w:val="nothing"/>
      <w:lvlText w:val=""/>
      <w:lvlJc w:val="left"/>
      <w:pPr>
        <w:pStyle w:val="666"/>
        <w:ind w:left="0" w:firstLine="0"/>
      </w:pPr>
      <w:rPr>
        <w:rFonts w:hint="eastAsia"/>
      </w:rPr>
    </w:lvl>
    <w:lvl w:ilvl="8">
      <w:start w:val="1"/>
      <w:numFmt w:val="decimal"/>
      <w:pStyle w:val="675"/>
      <w:isLgl w:val="false"/>
      <w:suff w:val="nothing"/>
      <w:lvlText w:val=""/>
      <w:lvlJc w:val="left"/>
      <w:pPr>
        <w:pStyle w:val="666"/>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6"/>
    <w:next w:val="66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6"/>
    <w:next w:val="66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6"/>
    <w:next w:val="66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6"/>
    <w:next w:val="66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6"/>
    <w:next w:val="66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6"/>
    <w:next w:val="66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6"/>
    <w:next w:val="66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6"/>
    <w:next w:val="66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6"/>
    <w:next w:val="66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6"/>
    <w:next w:val="66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6"/>
    <w:next w:val="66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6"/>
    <w:next w:val="666"/>
    <w:link w:val="38"/>
    <w:uiPriority w:val="29"/>
    <w:qFormat/>
    <w:pPr>
      <w:ind w:left="720" w:right="720"/>
    </w:pPr>
    <w:rPr>
      <w:i/>
    </w:rPr>
  </w:style>
  <w:style w:type="character" w:styleId="38">
    <w:name w:val="Quote Char"/>
    <w:link w:val="37"/>
    <w:uiPriority w:val="29"/>
    <w:rPr>
      <w:i/>
    </w:rPr>
  </w:style>
  <w:style w:type="paragraph" w:styleId="39">
    <w:name w:val="Intense Quote"/>
    <w:basedOn w:val="666"/>
    <w:next w:val="6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6"/>
    <w:next w:val="66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6"/>
    <w:next w:val="666"/>
    <w:uiPriority w:val="99"/>
    <w:unhideWhenUsed/>
    <w:pPr>
      <w:spacing w:after="0" w:afterAutospacing="0"/>
    </w:pPr>
  </w:style>
  <w:style w:type="paragraph" w:styleId="666" w:default="1">
    <w:name w:val="Normal"/>
    <w:next w:val="679"/>
    <w:link w:val="666"/>
    <w:qFormat/>
    <w:pPr>
      <w:jc w:val="both"/>
      <w:widowControl w:val="off"/>
    </w:pPr>
    <w:rPr>
      <w:sz w:val="21"/>
      <w:szCs w:val="22"/>
      <w:lang w:val="en-US" w:eastAsia="zh-CN" w:bidi="ar-SA"/>
    </w:rPr>
  </w:style>
  <w:style w:type="paragraph" w:styleId="667">
    <w:name w:val="标题 1"/>
    <w:basedOn w:val="666"/>
    <w:next w:val="666"/>
    <w:link w:val="684"/>
    <w:qFormat/>
    <w:pPr>
      <w:jc w:val="center"/>
      <w:keepNext/>
      <w:outlineLvl w:val="0"/>
    </w:pPr>
    <w:rPr>
      <w:rFonts w:ascii="楷体_GB2312" w:hAnsi="Times New Roman" w:eastAsia="楷体_GB2312" w:cs="Times New Roman"/>
      <w:sz w:val="28"/>
      <w:szCs w:val="28"/>
    </w:rPr>
  </w:style>
  <w:style w:type="paragraph" w:styleId="668">
    <w:name w:val="标题 2"/>
    <w:basedOn w:val="666"/>
    <w:next w:val="686"/>
    <w:link w:val="685"/>
    <w:qFormat/>
    <w:pPr>
      <w:jc w:val="center"/>
      <w:keepLines/>
      <w:keepNext/>
      <w:spacing w:before="260" w:after="260" w:line="416" w:lineRule="auto"/>
      <w:outlineLvl w:val="1"/>
    </w:pPr>
    <w:rPr>
      <w:rFonts w:ascii="Arial" w:hAnsi="Arial" w:eastAsia="幼圆" w:cs="Arial"/>
      <w:b/>
      <w:bCs/>
      <w:sz w:val="44"/>
      <w:szCs w:val="44"/>
    </w:rPr>
  </w:style>
  <w:style w:type="paragraph" w:styleId="669">
    <w:name w:val="标题 3"/>
    <w:basedOn w:val="666"/>
    <w:next w:val="686"/>
    <w:link w:val="6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670">
    <w:name w:val="标题 4"/>
    <w:basedOn w:val="666"/>
    <w:next w:val="686"/>
    <w:link w:val="689"/>
    <w:qFormat/>
    <w:pPr>
      <w:keepLines/>
      <w:keepNext/>
      <w:spacing w:before="280" w:after="290" w:line="376" w:lineRule="auto"/>
      <w:outlineLvl w:val="3"/>
    </w:pPr>
    <w:rPr>
      <w:rFonts w:ascii="Arial" w:hAnsi="Arial" w:eastAsia="黑体" w:cs="Arial"/>
      <w:b/>
      <w:bCs/>
      <w:sz w:val="28"/>
      <w:szCs w:val="28"/>
    </w:rPr>
  </w:style>
  <w:style w:type="paragraph" w:styleId="671">
    <w:name w:val="标题 5"/>
    <w:basedOn w:val="666"/>
    <w:next w:val="686"/>
    <w:link w:val="690"/>
    <w:qFormat/>
    <w:pPr>
      <w:keepNext/>
      <w:outlineLvl w:val="4"/>
    </w:pPr>
    <w:rPr>
      <w:rFonts w:ascii="宋体" w:hAnsi="Times New Roman" w:eastAsia="宋体" w:cs="Times New Roman"/>
      <w:color w:val="000000"/>
      <w:sz w:val="28"/>
      <w:szCs w:val="28"/>
    </w:rPr>
  </w:style>
  <w:style w:type="paragraph" w:styleId="672">
    <w:name w:val="标题 6"/>
    <w:basedOn w:val="666"/>
    <w:next w:val="666"/>
    <w:link w:val="6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73">
    <w:name w:val="标题 7"/>
    <w:basedOn w:val="666"/>
    <w:next w:val="666"/>
    <w:link w:val="6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74">
    <w:name w:val="标题 8"/>
    <w:basedOn w:val="666"/>
    <w:next w:val="666"/>
    <w:link w:val="6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75">
    <w:name w:val="标题 9"/>
    <w:basedOn w:val="666"/>
    <w:next w:val="666"/>
    <w:link w:val="694"/>
    <w:qFormat/>
    <w:pPr>
      <w:numPr>
        <w:ilvl w:val="8"/>
        <w:numId w:val="1"/>
      </w:numPr>
      <w:keepLines/>
      <w:keepNext/>
      <w:spacing w:before="240" w:after="64" w:line="320" w:lineRule="auto"/>
      <w:outlineLvl w:val="8"/>
    </w:pPr>
    <w:rPr>
      <w:rFonts w:ascii="Arial" w:hAnsi="Arial" w:eastAsia="黑体" w:cs="Times New Roman"/>
      <w:szCs w:val="21"/>
    </w:rPr>
  </w:style>
  <w:style w:type="character" w:styleId="676">
    <w:name w:val="默认段落字体"/>
    <w:next w:val="676"/>
    <w:link w:val="666"/>
    <w:uiPriority w:val="1"/>
    <w:unhideWhenUsed/>
  </w:style>
  <w:style w:type="table" w:styleId="677">
    <w:name w:val="普通表格"/>
    <w:next w:val="677"/>
    <w:link w:val="666"/>
    <w:uiPriority w:val="99"/>
    <w:unhideWhenUsed/>
    <w:tblPr/>
  </w:style>
  <w:style w:type="numbering" w:styleId="678">
    <w:name w:val="无列表"/>
    <w:next w:val="678"/>
    <w:link w:val="666"/>
    <w:uiPriority w:val="99"/>
    <w:semiHidden/>
    <w:unhideWhenUsed/>
  </w:style>
  <w:style w:type="paragraph" w:styleId="679">
    <w:name w:val="正文文本首行缩进 2"/>
    <w:basedOn w:val="680"/>
    <w:next w:val="666"/>
    <w:link w:val="683"/>
    <w:pPr>
      <w:ind w:left="0" w:firstLine="420"/>
      <w:spacing w:after="0" w:line="360" w:lineRule="auto"/>
    </w:pPr>
    <w:rPr>
      <w:rFonts w:ascii="宋体" w:hAnsi="宋体" w:eastAsia="宋体" w:cs="Times New Roman"/>
      <w:szCs w:val="20"/>
    </w:rPr>
  </w:style>
  <w:style w:type="paragraph" w:styleId="680">
    <w:name w:val="正文文本缩进"/>
    <w:basedOn w:val="666"/>
    <w:next w:val="682"/>
    <w:link w:val="681"/>
    <w:unhideWhenUsed/>
    <w:pPr>
      <w:ind w:left="420"/>
      <w:spacing w:after="120"/>
    </w:pPr>
  </w:style>
  <w:style w:type="character" w:styleId="681">
    <w:name w:val="正文文本缩进 字符"/>
    <w:next w:val="681"/>
    <w:link w:val="680"/>
    <w:uiPriority w:val="99"/>
    <w:semiHidden/>
  </w:style>
  <w:style w:type="paragraph" w:styleId="682">
    <w:name w:val="寄信人地址"/>
    <w:basedOn w:val="666"/>
    <w:next w:val="682"/>
    <w:link w:val="666"/>
    <w:qFormat/>
    <w:rPr>
      <w:rFonts w:ascii="Arial" w:hAnsi="Arial" w:eastAsia="宋体" w:cs="宋体"/>
    </w:rPr>
  </w:style>
  <w:style w:type="character" w:styleId="683">
    <w:name w:val="正文文本首行缩进 2 字符"/>
    <w:next w:val="683"/>
    <w:link w:val="679"/>
    <w:rPr>
      <w:rFonts w:ascii="宋体" w:hAnsi="宋体" w:eastAsia="宋体" w:cs="Times New Roman"/>
      <w:szCs w:val="20"/>
    </w:rPr>
  </w:style>
  <w:style w:type="character" w:styleId="684">
    <w:name w:val="标题 1 字符"/>
    <w:next w:val="684"/>
    <w:link w:val="667"/>
    <w:rPr>
      <w:rFonts w:ascii="楷体_GB2312" w:hAnsi="Times New Roman" w:eastAsia="楷体_GB2312" w:cs="Times New Roman"/>
      <w:sz w:val="28"/>
      <w:szCs w:val="28"/>
    </w:rPr>
  </w:style>
  <w:style w:type="character" w:styleId="685">
    <w:name w:val="标题 2 字符"/>
    <w:next w:val="685"/>
    <w:link w:val="668"/>
    <w:rPr>
      <w:rFonts w:ascii="Arial" w:hAnsi="Arial" w:eastAsia="幼圆" w:cs="Arial"/>
      <w:b/>
      <w:bCs/>
      <w:sz w:val="44"/>
      <w:szCs w:val="44"/>
    </w:rPr>
  </w:style>
  <w:style w:type="paragraph" w:styleId="686">
    <w:name w:val="正文缩进"/>
    <w:basedOn w:val="666"/>
    <w:next w:val="686"/>
    <w:link w:val="687"/>
    <w:pPr>
      <w:ind w:firstLine="420"/>
    </w:pPr>
    <w:rPr>
      <w:szCs w:val="21"/>
    </w:rPr>
  </w:style>
  <w:style w:type="character" w:styleId="687">
    <w:name w:val="正文缩进 字符"/>
    <w:next w:val="687"/>
    <w:link w:val="686"/>
    <w:rPr>
      <w:szCs w:val="21"/>
    </w:rPr>
  </w:style>
  <w:style w:type="character" w:styleId="688">
    <w:name w:val="标题 3 字符"/>
    <w:next w:val="688"/>
    <w:link w:val="669"/>
    <w:rPr>
      <w:rFonts w:ascii="Times New Roman" w:hAnsi="Times New Roman" w:eastAsia="宋体" w:cs="Times New Roman"/>
      <w:b/>
      <w:bCs/>
      <w:sz w:val="32"/>
      <w:szCs w:val="32"/>
    </w:rPr>
  </w:style>
  <w:style w:type="character" w:styleId="689">
    <w:name w:val="标题 4 字符"/>
    <w:next w:val="689"/>
    <w:link w:val="670"/>
    <w:rPr>
      <w:rFonts w:ascii="Arial" w:hAnsi="Arial" w:eastAsia="黑体" w:cs="Arial"/>
      <w:b/>
      <w:bCs/>
      <w:sz w:val="28"/>
      <w:szCs w:val="28"/>
    </w:rPr>
  </w:style>
  <w:style w:type="character" w:styleId="690">
    <w:name w:val="标题 5 字符"/>
    <w:next w:val="690"/>
    <w:link w:val="671"/>
    <w:rPr>
      <w:rFonts w:ascii="宋体" w:hAnsi="Times New Roman" w:eastAsia="宋体" w:cs="Times New Roman"/>
      <w:color w:val="000000"/>
      <w:sz w:val="28"/>
      <w:szCs w:val="28"/>
    </w:rPr>
  </w:style>
  <w:style w:type="character" w:styleId="691">
    <w:name w:val="标题 6 字符"/>
    <w:next w:val="691"/>
    <w:link w:val="672"/>
    <w:rPr>
      <w:rFonts w:ascii="Arial" w:hAnsi="Arial" w:eastAsia="黑体" w:cs="Times New Roman"/>
      <w:b/>
      <w:bCs/>
      <w:sz w:val="24"/>
      <w:szCs w:val="24"/>
    </w:rPr>
  </w:style>
  <w:style w:type="character" w:styleId="692">
    <w:name w:val="标题 7 字符"/>
    <w:next w:val="692"/>
    <w:link w:val="673"/>
    <w:rPr>
      <w:rFonts w:ascii="Times New Roman" w:hAnsi="Times New Roman" w:eastAsia="宋体" w:cs="Times New Roman"/>
      <w:b/>
      <w:bCs/>
      <w:sz w:val="24"/>
      <w:szCs w:val="24"/>
    </w:rPr>
  </w:style>
  <w:style w:type="character" w:styleId="693">
    <w:name w:val="标题 8 字符"/>
    <w:next w:val="693"/>
    <w:link w:val="674"/>
    <w:rPr>
      <w:rFonts w:ascii="Arial" w:hAnsi="Arial" w:eastAsia="黑体" w:cs="Times New Roman"/>
      <w:sz w:val="24"/>
      <w:szCs w:val="24"/>
    </w:rPr>
  </w:style>
  <w:style w:type="character" w:styleId="694">
    <w:name w:val="标题 9 字符"/>
    <w:next w:val="694"/>
    <w:link w:val="675"/>
    <w:rPr>
      <w:rFonts w:ascii="Arial" w:hAnsi="Arial" w:eastAsia="黑体" w:cs="Times New Roman"/>
      <w:szCs w:val="21"/>
    </w:rPr>
  </w:style>
  <w:style w:type="paragraph" w:styleId="695">
    <w:name w:val="列表 3"/>
    <w:basedOn w:val="666"/>
    <w:next w:val="695"/>
    <w:link w:val="666"/>
    <w:pPr>
      <w:ind w:left="100" w:hanging="200"/>
    </w:pPr>
    <w:rPr>
      <w:rFonts w:ascii="Times New Roman" w:hAnsi="Times New Roman" w:eastAsia="宋体" w:cs="Times New Roman"/>
      <w:szCs w:val="21"/>
    </w:rPr>
  </w:style>
  <w:style w:type="paragraph" w:styleId="696">
    <w:name w:val="toc 7"/>
    <w:basedOn w:val="666"/>
    <w:next w:val="666"/>
    <w:link w:val="666"/>
    <w:semiHidden/>
    <w:pPr>
      <w:ind w:left="1260"/>
      <w:jc w:val="left"/>
    </w:pPr>
    <w:rPr>
      <w:rFonts w:ascii="Times New Roman" w:hAnsi="Times New Roman" w:eastAsia="宋体" w:cs="Times New Roman"/>
      <w:szCs w:val="21"/>
    </w:rPr>
  </w:style>
  <w:style w:type="paragraph" w:styleId="697">
    <w:name w:val="文档结构图"/>
    <w:basedOn w:val="666"/>
    <w:next w:val="697"/>
    <w:link w:val="698"/>
    <w:semiHidden/>
    <w:pPr>
      <w:shd w:val="clear" w:color="auto" w:fill="000080"/>
    </w:pPr>
    <w:rPr>
      <w:rFonts w:ascii="Times New Roman" w:hAnsi="Times New Roman" w:eastAsia="宋体" w:cs="Times New Roman"/>
      <w:szCs w:val="21"/>
    </w:rPr>
  </w:style>
  <w:style w:type="character" w:styleId="698">
    <w:name w:val="文档结构图 字符"/>
    <w:next w:val="698"/>
    <w:link w:val="697"/>
    <w:semiHidden/>
    <w:rPr>
      <w:rFonts w:ascii="Times New Roman" w:hAnsi="Times New Roman" w:eastAsia="宋体" w:cs="Times New Roman"/>
      <w:szCs w:val="21"/>
      <w:shd w:val="clear" w:color="auto" w:fill="000080"/>
    </w:rPr>
  </w:style>
  <w:style w:type="paragraph" w:styleId="699">
    <w:name w:val="批注文字"/>
    <w:basedOn w:val="666"/>
    <w:next w:val="699"/>
    <w:link w:val="700"/>
    <w:unhideWhenUsed/>
    <w:qFormat/>
    <w:pPr>
      <w:jc w:val="left"/>
    </w:pPr>
  </w:style>
  <w:style w:type="character" w:styleId="700">
    <w:name w:val="批注文字 字符"/>
    <w:next w:val="700"/>
    <w:link w:val="699"/>
    <w:uiPriority w:val="99"/>
    <w:semiHidden/>
  </w:style>
  <w:style w:type="paragraph" w:styleId="701">
    <w:name w:val="正文文本 3"/>
    <w:basedOn w:val="666"/>
    <w:next w:val="701"/>
    <w:link w:val="702"/>
    <w:rPr>
      <w:rFonts w:ascii="仿宋_GB2312" w:hAnsi="Arial" w:eastAsia="仿宋_GB2312" w:cs="Times New Roman"/>
      <w:sz w:val="32"/>
      <w:szCs w:val="32"/>
    </w:rPr>
  </w:style>
  <w:style w:type="character" w:styleId="702">
    <w:name w:val="正文文本 3 字符"/>
    <w:next w:val="702"/>
    <w:link w:val="701"/>
    <w:rPr>
      <w:rFonts w:ascii="仿宋_GB2312" w:hAnsi="Arial" w:eastAsia="仿宋_GB2312" w:cs="Times New Roman"/>
      <w:sz w:val="32"/>
      <w:szCs w:val="32"/>
    </w:rPr>
  </w:style>
  <w:style w:type="paragraph" w:styleId="703">
    <w:name w:val="正文文本"/>
    <w:basedOn w:val="666"/>
    <w:next w:val="703"/>
    <w:link w:val="704"/>
    <w:rPr>
      <w:rFonts w:ascii="楷体_GB2312" w:hAnsi="Arial" w:eastAsia="楷体_GB2312" w:cs="Times New Roman"/>
      <w:sz w:val="28"/>
      <w:szCs w:val="28"/>
    </w:rPr>
  </w:style>
  <w:style w:type="character" w:styleId="704">
    <w:name w:val="正文文本 字符"/>
    <w:next w:val="704"/>
    <w:link w:val="703"/>
    <w:rPr>
      <w:rFonts w:ascii="楷体_GB2312" w:hAnsi="Arial" w:eastAsia="楷体_GB2312" w:cs="Times New Roman"/>
      <w:sz w:val="28"/>
      <w:szCs w:val="28"/>
    </w:rPr>
  </w:style>
  <w:style w:type="paragraph" w:styleId="705">
    <w:name w:val="列表 2"/>
    <w:basedOn w:val="666"/>
    <w:next w:val="705"/>
    <w:link w:val="666"/>
    <w:pPr>
      <w:ind w:left="100" w:hanging="200"/>
    </w:pPr>
    <w:rPr>
      <w:rFonts w:ascii="Times New Roman" w:hAnsi="Times New Roman" w:eastAsia="宋体" w:cs="Times New Roman"/>
      <w:szCs w:val="21"/>
    </w:rPr>
  </w:style>
  <w:style w:type="paragraph" w:styleId="706">
    <w:name w:val="索引 4"/>
    <w:basedOn w:val="666"/>
    <w:next w:val="666"/>
    <w:link w:val="666"/>
    <w:semiHidden/>
    <w:qFormat/>
    <w:pPr>
      <w:ind w:left="1260"/>
    </w:pPr>
    <w:rPr>
      <w:rFonts w:ascii="Calibri" w:hAnsi="Calibri" w:eastAsia="Calibri" w:cs="宋体"/>
      <w:sz w:val="20"/>
      <w:lang w:val="zh-CN"/>
    </w:rPr>
  </w:style>
  <w:style w:type="paragraph" w:styleId="707">
    <w:name w:val="toc 5"/>
    <w:basedOn w:val="666"/>
    <w:next w:val="666"/>
    <w:link w:val="666"/>
    <w:semiHidden/>
    <w:pPr>
      <w:ind w:left="840"/>
      <w:jc w:val="left"/>
    </w:pPr>
    <w:rPr>
      <w:rFonts w:ascii="Times New Roman" w:hAnsi="Times New Roman" w:eastAsia="宋体" w:cs="Times New Roman"/>
      <w:szCs w:val="21"/>
    </w:rPr>
  </w:style>
  <w:style w:type="paragraph" w:styleId="708">
    <w:name w:val="toc 3"/>
    <w:basedOn w:val="666"/>
    <w:next w:val="666"/>
    <w:link w:val="666"/>
    <w:semiHidden/>
    <w:pPr>
      <w:ind w:left="420"/>
      <w:jc w:val="left"/>
    </w:pPr>
    <w:rPr>
      <w:rFonts w:ascii="Times New Roman" w:hAnsi="Times New Roman" w:eastAsia="宋体" w:cs="Times New Roman"/>
      <w:i/>
      <w:iCs/>
      <w:szCs w:val="24"/>
    </w:rPr>
  </w:style>
  <w:style w:type="paragraph" w:styleId="709">
    <w:name w:val="纯文本"/>
    <w:basedOn w:val="666"/>
    <w:next w:val="709"/>
    <w:link w:val="710"/>
    <w:rPr>
      <w:rFonts w:ascii="宋体" w:hAnsi="Courier New" w:eastAsia="宋体" w:cs="Courier New"/>
      <w:szCs w:val="21"/>
    </w:rPr>
  </w:style>
  <w:style w:type="character" w:styleId="710">
    <w:name w:val="纯文本 字符"/>
    <w:next w:val="710"/>
    <w:link w:val="709"/>
    <w:rPr>
      <w:rFonts w:ascii="宋体" w:hAnsi="Courier New" w:eastAsia="宋体" w:cs="Courier New"/>
      <w:szCs w:val="21"/>
    </w:rPr>
  </w:style>
  <w:style w:type="paragraph" w:styleId="711">
    <w:name w:val="toc 8"/>
    <w:basedOn w:val="666"/>
    <w:next w:val="666"/>
    <w:link w:val="666"/>
    <w:semiHidden/>
    <w:pPr>
      <w:ind w:left="1470"/>
      <w:jc w:val="left"/>
    </w:pPr>
    <w:rPr>
      <w:rFonts w:ascii="Times New Roman" w:hAnsi="Times New Roman" w:eastAsia="宋体" w:cs="Times New Roman"/>
      <w:szCs w:val="21"/>
    </w:rPr>
  </w:style>
  <w:style w:type="paragraph" w:styleId="712">
    <w:name w:val="日期"/>
    <w:basedOn w:val="666"/>
    <w:next w:val="666"/>
    <w:link w:val="713"/>
    <w:rPr>
      <w:rFonts w:ascii="Times New Roman" w:hAnsi="Times New Roman" w:eastAsia="宋体" w:cs="Times New Roman"/>
      <w:sz w:val="24"/>
      <w:szCs w:val="24"/>
    </w:rPr>
  </w:style>
  <w:style w:type="character" w:styleId="713">
    <w:name w:val="日期 字符"/>
    <w:next w:val="713"/>
    <w:link w:val="712"/>
    <w:rPr>
      <w:rFonts w:ascii="Times New Roman" w:hAnsi="Times New Roman" w:eastAsia="宋体" w:cs="Times New Roman"/>
      <w:sz w:val="24"/>
      <w:szCs w:val="24"/>
    </w:rPr>
  </w:style>
  <w:style w:type="paragraph" w:styleId="714">
    <w:name w:val="正文文本缩进 2"/>
    <w:basedOn w:val="666"/>
    <w:next w:val="714"/>
    <w:link w:val="715"/>
    <w:pPr>
      <w:ind w:left="630" w:firstLine="645"/>
    </w:pPr>
    <w:rPr>
      <w:rFonts w:ascii="Arial" w:hAnsi="Arial" w:eastAsia="仿宋_GB2312" w:cs="Arial"/>
      <w:sz w:val="32"/>
      <w:szCs w:val="32"/>
    </w:rPr>
  </w:style>
  <w:style w:type="character" w:styleId="715">
    <w:name w:val="正文文本缩进 2 字符"/>
    <w:next w:val="715"/>
    <w:link w:val="714"/>
    <w:rPr>
      <w:rFonts w:ascii="Arial" w:hAnsi="Arial" w:eastAsia="仿宋_GB2312" w:cs="Arial"/>
      <w:sz w:val="32"/>
      <w:szCs w:val="32"/>
    </w:rPr>
  </w:style>
  <w:style w:type="paragraph" w:styleId="716">
    <w:name w:val="批注框文本"/>
    <w:basedOn w:val="666"/>
    <w:next w:val="716"/>
    <w:link w:val="717"/>
    <w:semiHidden/>
    <w:rPr>
      <w:rFonts w:ascii="Times New Roman" w:hAnsi="Times New Roman" w:eastAsia="宋体" w:cs="Times New Roman"/>
      <w:sz w:val="18"/>
      <w:szCs w:val="18"/>
    </w:rPr>
  </w:style>
  <w:style w:type="character" w:styleId="717">
    <w:name w:val="批注框文本 字符"/>
    <w:next w:val="717"/>
    <w:link w:val="716"/>
    <w:semiHidden/>
    <w:rPr>
      <w:rFonts w:ascii="Times New Roman" w:hAnsi="Times New Roman" w:eastAsia="宋体" w:cs="Times New Roman"/>
      <w:sz w:val="18"/>
      <w:szCs w:val="18"/>
    </w:rPr>
  </w:style>
  <w:style w:type="paragraph" w:styleId="718">
    <w:name w:val="页脚"/>
    <w:basedOn w:val="666"/>
    <w:next w:val="718"/>
    <w:link w:val="71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19">
    <w:name w:val="页脚 字符"/>
    <w:next w:val="719"/>
    <w:link w:val="718"/>
    <w:uiPriority w:val="99"/>
    <w:rPr>
      <w:rFonts w:ascii="Times New Roman" w:hAnsi="Times New Roman" w:eastAsia="宋体" w:cs="Times New Roman"/>
      <w:sz w:val="18"/>
      <w:szCs w:val="18"/>
    </w:rPr>
  </w:style>
  <w:style w:type="paragraph" w:styleId="720">
    <w:name w:val="页眉"/>
    <w:basedOn w:val="666"/>
    <w:next w:val="720"/>
    <w:link w:val="721"/>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21">
    <w:name w:val="页眉 字符"/>
    <w:next w:val="721"/>
    <w:link w:val="720"/>
    <w:uiPriority w:val="99"/>
    <w:rPr>
      <w:rFonts w:ascii="Times New Roman" w:hAnsi="Times New Roman" w:eastAsia="宋体" w:cs="Times New Roman"/>
      <w:sz w:val="18"/>
      <w:szCs w:val="18"/>
    </w:rPr>
  </w:style>
  <w:style w:type="paragraph" w:styleId="722">
    <w:name w:val="toc 1"/>
    <w:basedOn w:val="666"/>
    <w:next w:val="666"/>
    <w:link w:val="666"/>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23">
    <w:name w:val="toc 4"/>
    <w:basedOn w:val="666"/>
    <w:next w:val="666"/>
    <w:link w:val="666"/>
    <w:semiHidden/>
    <w:pPr>
      <w:ind w:left="630"/>
      <w:jc w:val="left"/>
    </w:pPr>
    <w:rPr>
      <w:rFonts w:ascii="Times New Roman" w:hAnsi="Times New Roman" w:eastAsia="宋体" w:cs="Times New Roman"/>
      <w:szCs w:val="21"/>
    </w:rPr>
  </w:style>
  <w:style w:type="paragraph" w:styleId="724">
    <w:name w:val="列表"/>
    <w:basedOn w:val="666"/>
    <w:next w:val="724"/>
    <w:link w:val="666"/>
    <w:pPr>
      <w:ind w:left="200" w:hanging="200"/>
    </w:pPr>
    <w:rPr>
      <w:rFonts w:ascii="Times New Roman" w:hAnsi="Times New Roman" w:eastAsia="宋体" w:cs="Times New Roman"/>
      <w:szCs w:val="21"/>
    </w:rPr>
  </w:style>
  <w:style w:type="paragraph" w:styleId="725">
    <w:name w:val="toc 6"/>
    <w:basedOn w:val="666"/>
    <w:next w:val="666"/>
    <w:link w:val="666"/>
    <w:semiHidden/>
    <w:pPr>
      <w:ind w:left="1050"/>
      <w:jc w:val="left"/>
    </w:pPr>
    <w:rPr>
      <w:rFonts w:ascii="Times New Roman" w:hAnsi="Times New Roman" w:eastAsia="宋体" w:cs="Times New Roman"/>
      <w:szCs w:val="21"/>
    </w:rPr>
  </w:style>
  <w:style w:type="paragraph" w:styleId="726">
    <w:name w:val="正文文本缩进 3"/>
    <w:basedOn w:val="666"/>
    <w:next w:val="726"/>
    <w:link w:val="727"/>
    <w:pPr>
      <w:ind w:left="645" w:firstLine="645"/>
    </w:pPr>
    <w:rPr>
      <w:rFonts w:ascii="Arial" w:hAnsi="Arial" w:eastAsia="仿宋_GB2312" w:cs="Arial"/>
      <w:color w:val="ffff00"/>
      <w:sz w:val="32"/>
      <w:szCs w:val="32"/>
    </w:rPr>
  </w:style>
  <w:style w:type="character" w:styleId="727">
    <w:name w:val="正文文本缩进 3 字符"/>
    <w:next w:val="727"/>
    <w:link w:val="726"/>
    <w:rPr>
      <w:rFonts w:ascii="Arial" w:hAnsi="Arial" w:eastAsia="仿宋_GB2312" w:cs="Arial"/>
      <w:color w:val="ffff00"/>
      <w:sz w:val="32"/>
      <w:szCs w:val="32"/>
    </w:rPr>
  </w:style>
  <w:style w:type="paragraph" w:styleId="728">
    <w:name w:val="图表目录"/>
    <w:basedOn w:val="666"/>
    <w:next w:val="666"/>
    <w:link w:val="666"/>
    <w:semiHidden/>
    <w:pPr>
      <w:ind w:left="840" w:hanging="420"/>
    </w:pPr>
    <w:rPr>
      <w:rFonts w:ascii="Times New Roman" w:hAnsi="Times New Roman" w:eastAsia="宋体" w:cs="Times New Roman"/>
      <w:szCs w:val="21"/>
    </w:rPr>
  </w:style>
  <w:style w:type="paragraph" w:styleId="729">
    <w:name w:val="toc 2"/>
    <w:basedOn w:val="666"/>
    <w:next w:val="666"/>
    <w:link w:val="666"/>
    <w:semiHidden/>
    <w:pPr>
      <w:ind w:left="210"/>
      <w:jc w:val="left"/>
    </w:pPr>
    <w:rPr>
      <w:rFonts w:ascii="Times New Roman" w:hAnsi="Times New Roman" w:eastAsia="宋体" w:cs="Times New Roman"/>
      <w:smallCaps/>
      <w:szCs w:val="24"/>
    </w:rPr>
  </w:style>
  <w:style w:type="paragraph" w:styleId="730">
    <w:name w:val="toc 9"/>
    <w:basedOn w:val="666"/>
    <w:next w:val="666"/>
    <w:link w:val="666"/>
    <w:semiHidden/>
    <w:pPr>
      <w:ind w:left="1680"/>
      <w:jc w:val="left"/>
    </w:pPr>
    <w:rPr>
      <w:rFonts w:ascii="Times New Roman" w:hAnsi="Times New Roman" w:eastAsia="宋体" w:cs="Times New Roman"/>
      <w:szCs w:val="21"/>
    </w:rPr>
  </w:style>
  <w:style w:type="paragraph" w:styleId="731">
    <w:name w:val="正文文本 2"/>
    <w:basedOn w:val="666"/>
    <w:next w:val="731"/>
    <w:link w:val="732"/>
    <w:pPr>
      <w:jc w:val="center"/>
      <w:widowControl/>
    </w:pPr>
    <w:rPr>
      <w:rFonts w:ascii="楷体_GB2312" w:hAnsi="Times New Roman" w:eastAsia="楷体_GB2312" w:cs="Times New Roman"/>
      <w:sz w:val="28"/>
      <w:szCs w:val="28"/>
    </w:rPr>
  </w:style>
  <w:style w:type="character" w:styleId="732">
    <w:name w:val="正文文本 2 字符"/>
    <w:next w:val="732"/>
    <w:link w:val="731"/>
    <w:rPr>
      <w:rFonts w:ascii="楷体_GB2312" w:hAnsi="Times New Roman" w:eastAsia="楷体_GB2312" w:cs="Times New Roman"/>
      <w:sz w:val="28"/>
      <w:szCs w:val="28"/>
    </w:rPr>
  </w:style>
  <w:style w:type="paragraph" w:styleId="733">
    <w:name w:val="普通(网站)"/>
    <w:basedOn w:val="666"/>
    <w:next w:val="733"/>
    <w:link w:val="666"/>
    <w:uiPriority w:val="99"/>
    <w:qFormat/>
    <w:pPr>
      <w:jc w:val="left"/>
      <w:spacing w:before="100" w:beforeAutospacing="1" w:after="100" w:afterAutospacing="1"/>
      <w:widowControl/>
    </w:pPr>
    <w:rPr>
      <w:rFonts w:ascii="宋体" w:hAnsi="宋体" w:eastAsia="宋体" w:cs="宋体"/>
      <w:sz w:val="24"/>
      <w:szCs w:val="24"/>
    </w:rPr>
  </w:style>
  <w:style w:type="paragraph" w:styleId="734">
    <w:name w:val="索引 1"/>
    <w:basedOn w:val="666"/>
    <w:next w:val="666"/>
    <w:link w:val="666"/>
    <w:semiHidden/>
    <w:pPr>
      <w:spacing w:line="240" w:lineRule="atLeast"/>
    </w:pPr>
    <w:rPr>
      <w:rFonts w:ascii="Times New Roman" w:hAnsi="Times New Roman" w:eastAsia="宋体" w:cs="Times New Roman"/>
      <w:b/>
      <w:bCs/>
      <w:szCs w:val="21"/>
    </w:rPr>
  </w:style>
  <w:style w:type="paragraph" w:styleId="735">
    <w:name w:val="批注主题"/>
    <w:basedOn w:val="699"/>
    <w:next w:val="699"/>
    <w:link w:val="736"/>
    <w:semiHidden/>
    <w:rPr>
      <w:rFonts w:ascii="Times New Roman" w:hAnsi="Times New Roman" w:eastAsia="宋体" w:cs="Times New Roman"/>
      <w:b/>
      <w:bCs/>
      <w:szCs w:val="21"/>
    </w:rPr>
  </w:style>
  <w:style w:type="character" w:styleId="736">
    <w:name w:val="批注主题 字符"/>
    <w:next w:val="736"/>
    <w:link w:val="735"/>
    <w:semiHidden/>
    <w:rPr>
      <w:rFonts w:ascii="Times New Roman" w:hAnsi="Times New Roman" w:eastAsia="宋体" w:cs="Times New Roman"/>
      <w:b/>
      <w:bCs/>
      <w:szCs w:val="21"/>
    </w:rPr>
  </w:style>
  <w:style w:type="paragraph" w:styleId="737">
    <w:name w:val="正文文本首行缩进"/>
    <w:basedOn w:val="666"/>
    <w:next w:val="737"/>
    <w:link w:val="738"/>
    <w:pPr>
      <w:ind w:firstLine="200"/>
      <w:spacing w:line="360" w:lineRule="auto"/>
    </w:pPr>
    <w:rPr>
      <w:rFonts w:ascii="仿宋_GB2312" w:hAnsi="Times New Roman" w:eastAsia="仿宋_GB2312" w:cs="Times New Roman"/>
      <w:sz w:val="30"/>
      <w:szCs w:val="30"/>
    </w:rPr>
  </w:style>
  <w:style w:type="character" w:styleId="738">
    <w:name w:val="正文文本首行缩进 字符"/>
    <w:next w:val="738"/>
    <w:link w:val="737"/>
    <w:rPr>
      <w:rFonts w:ascii="仿宋_GB2312" w:hAnsi="Times New Roman" w:eastAsia="仿宋_GB2312" w:cs="Times New Roman"/>
      <w:sz w:val="30"/>
      <w:szCs w:val="30"/>
    </w:rPr>
  </w:style>
  <w:style w:type="table" w:styleId="739">
    <w:name w:val="网格型"/>
    <w:basedOn w:val="677"/>
    <w:next w:val="739"/>
    <w:link w:val="666"/>
    <w:qFormat/>
    <w:pPr>
      <w:jc w:val="both"/>
      <w:widowControl w:val="off"/>
    </w:pPr>
    <w:rPr>
      <w:rFonts w:ascii="Times New Roman" w:hAnsi="Times New Roman" w:eastAsia="宋体" w:cs="Times New Roman"/>
      <w:sz w:val="20"/>
      <w:szCs w:val="20"/>
    </w:rPr>
    <w:tblPr/>
  </w:style>
  <w:style w:type="character" w:styleId="740">
    <w:name w:val="要点"/>
    <w:next w:val="740"/>
    <w:link w:val="666"/>
    <w:qFormat/>
    <w:rPr>
      <w:b/>
      <w:bCs/>
    </w:rPr>
  </w:style>
  <w:style w:type="character" w:styleId="741">
    <w:name w:val="页码"/>
    <w:next w:val="741"/>
    <w:link w:val="666"/>
  </w:style>
  <w:style w:type="character" w:styleId="742">
    <w:name w:val="访问过的超链接"/>
    <w:next w:val="742"/>
    <w:link w:val="666"/>
    <w:rPr>
      <w:color w:val="800080"/>
      <w:u w:val="single"/>
    </w:rPr>
  </w:style>
  <w:style w:type="character" w:styleId="743">
    <w:name w:val="强调"/>
    <w:next w:val="743"/>
    <w:link w:val="666"/>
    <w:qFormat/>
    <w:rPr>
      <w:i/>
    </w:rPr>
  </w:style>
  <w:style w:type="character" w:styleId="744">
    <w:name w:val="超链接"/>
    <w:next w:val="744"/>
    <w:link w:val="666"/>
    <w:uiPriority w:val="99"/>
    <w:rPr>
      <w:color w:val="0000ff"/>
      <w:u w:val="single"/>
    </w:rPr>
  </w:style>
  <w:style w:type="character" w:styleId="745">
    <w:name w:val="批注引用"/>
    <w:next w:val="745"/>
    <w:link w:val="666"/>
    <w:semiHidden/>
    <w:rPr>
      <w:sz w:val="21"/>
      <w:szCs w:val="21"/>
    </w:rPr>
  </w:style>
  <w:style w:type="paragraph" w:styleId="746">
    <w:name w:val="索引 41"/>
    <w:basedOn w:val="666"/>
    <w:next w:val="666"/>
    <w:link w:val="666"/>
    <w:semiHidden/>
    <w:qFormat/>
    <w:pPr>
      <w:ind w:left="1260"/>
    </w:pPr>
    <w:rPr>
      <w:rFonts w:ascii="Calibri" w:hAnsi="Calibri" w:eastAsia="Calibri" w:cs="宋体"/>
      <w:sz w:val="20"/>
      <w:lang w:val="zh-CN"/>
    </w:rPr>
  </w:style>
  <w:style w:type="character" w:styleId="747">
    <w:name w:val="font5 Char"/>
    <w:next w:val="747"/>
    <w:link w:val="666"/>
    <w:rPr>
      <w:rFonts w:ascii="宋体" w:hAnsi="宋体" w:eastAsia="宋体"/>
      <w:sz w:val="28"/>
      <w:szCs w:val="28"/>
      <w:lang w:val="en-US" w:eastAsia="zh-CN" w:bidi="ar-SA"/>
    </w:rPr>
  </w:style>
  <w:style w:type="character" w:styleId="748">
    <w:name w:val="二级目录 Char"/>
    <w:next w:val="748"/>
    <w:link w:val="749"/>
    <w:rPr>
      <w:b/>
      <w:sz w:val="30"/>
      <w:szCs w:val="28"/>
    </w:rPr>
  </w:style>
  <w:style w:type="paragraph" w:styleId="749">
    <w:name w:val="二级目录"/>
    <w:next w:val="666"/>
    <w:link w:val="748"/>
    <w:pPr>
      <w:numPr>
        <w:ilvl w:val="0"/>
        <w:numId w:val="2"/>
      </w:numPr>
      <w:tabs>
        <w:tab w:val="left" w:pos="907" w:leader="none"/>
        <w:tab w:val="left" w:pos="1145" w:leader="none"/>
      </w:tabs>
      <w:outlineLvl w:val="1"/>
    </w:pPr>
    <w:rPr>
      <w:b/>
      <w:sz w:val="30"/>
      <w:szCs w:val="28"/>
      <w:lang w:val="en-US" w:eastAsia="zh-CN" w:bidi="ar-SA"/>
    </w:rPr>
  </w:style>
  <w:style w:type="character" w:styleId="750">
    <w:name w:val="列出段落 Char,Bullet List Char,numbered Char,FooterText Char,List Paragraph1 Char,Paragraphe de liste1 Char"/>
    <w:next w:val="750"/>
    <w:link w:val="751"/>
    <w:rPr>
      <w:rFonts w:ascii="Calibri" w:hAnsi="Calibri"/>
      <w:sz w:val="24"/>
      <w:szCs w:val="24"/>
      <w:lang w:eastAsia="en-US" w:bidi="en-US"/>
    </w:rPr>
  </w:style>
  <w:style w:type="paragraph" w:styleId="751">
    <w:name w:val="列出段落1"/>
    <w:basedOn w:val="666"/>
    <w:next w:val="751"/>
    <w:link w:val="750"/>
    <w:qFormat/>
    <w:pPr>
      <w:contextualSpacing/>
      <w:ind w:left="720"/>
      <w:jc w:val="left"/>
      <w:widowControl/>
    </w:pPr>
    <w:rPr>
      <w:rFonts w:ascii="Calibri" w:hAnsi="Calibri"/>
      <w:sz w:val="24"/>
      <w:szCs w:val="24"/>
      <w:lang w:eastAsia="en-US" w:bidi="en-US"/>
    </w:rPr>
  </w:style>
  <w:style w:type="paragraph" w:styleId="752">
    <w:name w:val="Body Text(ch)"/>
    <w:basedOn w:val="666"/>
    <w:next w:val="703"/>
    <w:link w:val="666"/>
    <w:pPr>
      <w:spacing w:after="120"/>
    </w:pPr>
    <w:rPr>
      <w:rFonts w:ascii="宋体" w:hAnsi="Arial" w:eastAsia="宋体" w:cs="Times New Roman"/>
      <w:bCs/>
      <w:iCs/>
      <w:szCs w:val="24"/>
    </w:rPr>
  </w:style>
  <w:style w:type="paragraph" w:styleId="753">
    <w:name w:val="xl27"/>
    <w:basedOn w:val="666"/>
    <w:next w:val="753"/>
    <w:link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4">
    <w:name w:val="xl26"/>
    <w:basedOn w:val="666"/>
    <w:next w:val="754"/>
    <w:link w:val="6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5">
    <w:name w:val="Char"/>
    <w:basedOn w:val="666"/>
    <w:next w:val="755"/>
    <w:link w:val="666"/>
    <w:pPr>
      <w:ind w:firstLine="200"/>
      <w:tabs>
        <w:tab w:val="left" w:pos="360" w:leader="none"/>
      </w:tabs>
    </w:pPr>
    <w:rPr>
      <w:rFonts w:ascii="Times New Roman" w:hAnsi="Times New Roman" w:eastAsia="宋体" w:cs="Times New Roman"/>
      <w:sz w:val="28"/>
      <w:szCs w:val="30"/>
    </w:rPr>
  </w:style>
  <w:style w:type="paragraph" w:styleId="756">
    <w:name w:val=" Char"/>
    <w:basedOn w:val="697"/>
    <w:next w:val="756"/>
    <w:link w:val="666"/>
    <w:rPr>
      <w:rFonts w:ascii="Tahoma" w:hAnsi="Tahoma"/>
      <w:sz w:val="24"/>
      <w:szCs w:val="24"/>
    </w:rPr>
  </w:style>
  <w:style w:type="paragraph" w:styleId="757">
    <w:name w:val="普通正文"/>
    <w:basedOn w:val="666"/>
    <w:next w:val="757"/>
    <w:link w:val="666"/>
    <w:pPr>
      <w:ind w:firstLine="480"/>
      <w:jc w:val="left"/>
      <w:spacing w:before="120" w:after="120" w:line="360" w:lineRule="auto"/>
    </w:pPr>
    <w:rPr>
      <w:rFonts w:ascii="Arial" w:hAnsi="Arial" w:eastAsia="宋体" w:cs="Times New Roman"/>
      <w:sz w:val="24"/>
      <w:szCs w:val="24"/>
    </w:rPr>
  </w:style>
  <w:style w:type="paragraph" w:styleId="758">
    <w:name w:val="table_lines"/>
    <w:basedOn w:val="666"/>
    <w:next w:val="758"/>
    <w:link w:val="666"/>
    <w:pPr>
      <w:jc w:val="left"/>
      <w:widowControl/>
    </w:pPr>
    <w:rPr>
      <w:rFonts w:ascii="Times New Roman" w:hAnsi="Times New Roman" w:eastAsia="宋体" w:cs="Times New Roman"/>
      <w:sz w:val="20"/>
      <w:szCs w:val="20"/>
      <w:lang w:val="de-DE" w:eastAsia="de-DE"/>
    </w:rPr>
  </w:style>
  <w:style w:type="paragraph" w:styleId="759">
    <w:name w:val="附录1"/>
    <w:next w:val="759"/>
    <w:link w:val="666"/>
    <w:pPr>
      <w:numPr>
        <w:ilvl w:val="0"/>
        <w:numId w:val="2"/>
      </w:numPr>
      <w:spacing w:before="240" w:line="600" w:lineRule="atLeast"/>
      <w:tabs>
        <w:tab w:val="left" w:pos="907" w:leader="none"/>
      </w:tabs>
    </w:pPr>
    <w:rPr>
      <w:b/>
      <w:i/>
      <w:sz w:val="28"/>
      <w:lang w:val="en-US" w:eastAsia="zh-CN" w:bidi="ar-SA"/>
    </w:rPr>
  </w:style>
  <w:style w:type="paragraph" w:styleId="760">
    <w:name w:val="font7"/>
    <w:basedOn w:val="666"/>
    <w:next w:val="760"/>
    <w:link w:val="666"/>
    <w:pPr>
      <w:jc w:val="left"/>
      <w:spacing w:before="100" w:beforeAutospacing="1" w:after="100" w:afterAutospacing="1"/>
      <w:widowControl/>
    </w:pPr>
    <w:rPr>
      <w:rFonts w:hint="eastAsia" w:ascii="宋体" w:hAnsi="宋体" w:eastAsia="宋体" w:cs="Times New Roman"/>
      <w:sz w:val="18"/>
      <w:szCs w:val="18"/>
    </w:rPr>
  </w:style>
  <w:style w:type="paragraph" w:styleId="761">
    <w:name w:val=" Char Char Char Char"/>
    <w:basedOn w:val="697"/>
    <w:next w:val="761"/>
    <w:link w:val="666"/>
    <w:pPr>
      <w:spacing w:line="360" w:lineRule="auto"/>
    </w:pPr>
    <w:rPr>
      <w:rFonts w:ascii="Tahoma" w:hAnsi="Tahoma"/>
      <w:sz w:val="24"/>
      <w:szCs w:val="24"/>
    </w:rPr>
  </w:style>
  <w:style w:type="paragraph" w:styleId="762">
    <w:name w:val="列表段落"/>
    <w:basedOn w:val="666"/>
    <w:next w:val="762"/>
    <w:link w:val="666"/>
    <w:qFormat/>
    <w:pPr>
      <w:contextualSpacing/>
      <w:ind w:left="720"/>
      <w:jc w:val="left"/>
      <w:widowControl/>
    </w:pPr>
    <w:rPr>
      <w:rFonts w:ascii="Calibri" w:hAnsi="Calibri" w:eastAsia="宋体" w:cs="Times New Roman"/>
      <w:sz w:val="24"/>
      <w:szCs w:val="24"/>
      <w:lang w:eastAsia="en-US" w:bidi="en-US"/>
    </w:rPr>
  </w:style>
  <w:style w:type="paragraph" w:styleId="763">
    <w:name w:val="4"/>
    <w:basedOn w:val="666"/>
    <w:next w:val="726"/>
    <w:link w:val="666"/>
    <w:pPr>
      <w:ind w:firstLine="420"/>
      <w:spacing w:line="360" w:lineRule="auto"/>
    </w:pPr>
    <w:rPr>
      <w:rFonts w:ascii="Times New Roman" w:hAnsi="Times New Roman" w:eastAsia="宋体" w:cs="Times New Roman"/>
      <w:color w:val="ff0000"/>
      <w:sz w:val="24"/>
      <w:szCs w:val="24"/>
    </w:rPr>
  </w:style>
  <w:style w:type="paragraph" w:styleId="764">
    <w:name w:val="普通 (Web)"/>
    <w:basedOn w:val="666"/>
    <w:next w:val="764"/>
    <w:link w:val="666"/>
    <w:pPr>
      <w:jc w:val="left"/>
      <w:spacing w:before="100" w:beforeAutospacing="1" w:after="100" w:afterAutospacing="1"/>
      <w:widowControl/>
    </w:pPr>
    <w:rPr>
      <w:rFonts w:ascii="宋体" w:hAnsi="宋体" w:eastAsia="宋体" w:cs="Times New Roman"/>
      <w:sz w:val="24"/>
      <w:szCs w:val="24"/>
    </w:rPr>
  </w:style>
  <w:style w:type="paragraph" w:styleId="765">
    <w:name w:val=" Char Char Char Char Char Char Char Char Char Char"/>
    <w:basedOn w:val="666"/>
    <w:next w:val="765"/>
    <w:link w:val="666"/>
    <w:pPr>
      <w:spacing w:line="360" w:lineRule="auto"/>
    </w:pPr>
    <w:rPr>
      <w:rFonts w:ascii="Times New Roman" w:hAnsi="Times New Roman" w:eastAsia="宋体" w:cs="Times New Roman"/>
      <w:sz w:val="24"/>
      <w:szCs w:val="20"/>
    </w:rPr>
  </w:style>
  <w:style w:type="paragraph" w:styleId="766">
    <w:name w:val="样式1"/>
    <w:basedOn w:val="666"/>
    <w:next w:val="766"/>
    <w:link w:val="666"/>
    <w:pPr>
      <w:numPr>
        <w:ilvl w:val="0"/>
        <w:numId w:val="3"/>
      </w:numPr>
      <w:tabs>
        <w:tab w:val="left" w:pos="709" w:leader="none"/>
      </w:tabs>
    </w:pPr>
    <w:rPr>
      <w:rFonts w:ascii="宋体" w:hAnsi="宋体" w:eastAsia="宋体" w:cs="Times New Roman"/>
      <w:szCs w:val="21"/>
    </w:rPr>
  </w:style>
  <w:style w:type="paragraph" w:styleId="767">
    <w:name w:val="font6"/>
    <w:basedOn w:val="666"/>
    <w:next w:val="767"/>
    <w:link w:val="666"/>
    <w:pPr>
      <w:jc w:val="left"/>
      <w:spacing w:before="100" w:beforeAutospacing="1" w:after="100" w:afterAutospacing="1"/>
      <w:widowControl/>
    </w:pPr>
    <w:rPr>
      <w:rFonts w:hint="eastAsia" w:ascii="宋体" w:hAnsi="宋体" w:eastAsia="宋体" w:cs="Times New Roman"/>
      <w:sz w:val="28"/>
      <w:szCs w:val="28"/>
      <w:u w:val="single"/>
    </w:rPr>
  </w:style>
  <w:style w:type="paragraph" w:styleId="768">
    <w:name w:val="xl25"/>
    <w:basedOn w:val="666"/>
    <w:next w:val="768"/>
    <w:link w:val="6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9">
    <w:name w:val="图标"/>
    <w:basedOn w:val="666"/>
    <w:next w:val="666"/>
    <w:link w:val="6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70">
    <w:name w:val="标题3"/>
    <w:basedOn w:val="666"/>
    <w:next w:val="666"/>
    <w:link w:val="666"/>
    <w:pPr>
      <w:ind w:firstLine="624"/>
      <w:spacing w:line="590" w:lineRule="atLeast"/>
    </w:pPr>
    <w:rPr>
      <w:rFonts w:ascii="方正黑体_GBK" w:hAnsi="Times New Roman" w:eastAsia="方正黑体_GBK" w:cs="Times New Roman"/>
      <w:sz w:val="32"/>
      <w:szCs w:val="32"/>
    </w:rPr>
  </w:style>
  <w:style w:type="paragraph" w:styleId="771">
    <w:name w:val="xl24"/>
    <w:basedOn w:val="666"/>
    <w:next w:val="771"/>
    <w:link w:val="6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2">
    <w:name w:val="xl29"/>
    <w:basedOn w:val="666"/>
    <w:next w:val="772"/>
    <w:link w:val="66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3">
    <w:name w:val="Char Char Char Char Char Char Char Char"/>
    <w:basedOn w:val="666"/>
    <w:next w:val="773"/>
    <w:link w:val="666"/>
    <w:pPr>
      <w:jc w:val="left"/>
      <w:spacing w:after="160" w:line="240" w:lineRule="exact"/>
      <w:widowControl/>
    </w:pPr>
    <w:rPr>
      <w:rFonts w:ascii="Verdana" w:hAnsi="Verdana" w:eastAsia="宋体" w:cs="Times New Roman"/>
      <w:sz w:val="20"/>
      <w:szCs w:val="20"/>
      <w:lang w:eastAsia="en-US"/>
    </w:rPr>
  </w:style>
  <w:style w:type="paragraph" w:styleId="774">
    <w:name w:val="xl28"/>
    <w:basedOn w:val="666"/>
    <w:next w:val="774"/>
    <w:link w:val="6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75">
    <w:name w:val=" Char Char Char Char Char Char Char Char"/>
    <w:basedOn w:val="666"/>
    <w:next w:val="775"/>
    <w:link w:val="666"/>
    <w:pPr>
      <w:jc w:val="left"/>
      <w:spacing w:after="160" w:line="240" w:lineRule="exact"/>
      <w:widowControl/>
    </w:pPr>
    <w:rPr>
      <w:rFonts w:ascii="Verdana" w:hAnsi="Verdana" w:eastAsia="宋体" w:cs="Times New Roman"/>
      <w:sz w:val="20"/>
      <w:szCs w:val="20"/>
      <w:lang w:eastAsia="en-US"/>
    </w:rPr>
  </w:style>
  <w:style w:type="paragraph" w:styleId="776">
    <w:name w:val="xl30"/>
    <w:basedOn w:val="666"/>
    <w:next w:val="776"/>
    <w:link w:val="666"/>
    <w:pPr>
      <w:jc w:val="center"/>
      <w:spacing w:before="100" w:beforeAutospacing="1" w:after="100" w:afterAutospacing="1"/>
      <w:widowControl/>
    </w:pPr>
    <w:rPr>
      <w:rFonts w:ascii="宋体" w:hAnsi="宋体" w:eastAsia="宋体" w:cs="Times New Roman"/>
      <w:b/>
      <w:bCs/>
      <w:sz w:val="36"/>
      <w:szCs w:val="36"/>
    </w:rPr>
  </w:style>
  <w:style w:type="paragraph" w:styleId="777">
    <w:name w:val="Char Char Char Char"/>
    <w:basedOn w:val="697"/>
    <w:next w:val="777"/>
    <w:link w:val="666"/>
    <w:pPr>
      <w:spacing w:line="360" w:lineRule="auto"/>
    </w:pPr>
    <w:rPr>
      <w:rFonts w:ascii="Tahoma" w:hAnsi="Tahoma"/>
      <w:sz w:val="24"/>
      <w:szCs w:val="24"/>
    </w:rPr>
  </w:style>
  <w:style w:type="paragraph" w:styleId="778">
    <w:name w:val="table_1stline"/>
    <w:basedOn w:val="666"/>
    <w:next w:val="778"/>
    <w:link w:val="666"/>
    <w:pPr>
      <w:jc w:val="left"/>
      <w:spacing w:before="120"/>
      <w:widowControl/>
    </w:pPr>
    <w:rPr>
      <w:rFonts w:ascii="Times New Roman" w:hAnsi="Times New Roman" w:eastAsia="宋体" w:cs="Times New Roman"/>
      <w:bCs/>
      <w:sz w:val="20"/>
      <w:szCs w:val="20"/>
      <w:lang w:val="de-DE" w:eastAsia="de-DE"/>
    </w:rPr>
  </w:style>
  <w:style w:type="paragraph" w:styleId="779">
    <w:name w:val="font5"/>
    <w:basedOn w:val="666"/>
    <w:next w:val="779"/>
    <w:link w:val="666"/>
    <w:pPr>
      <w:jc w:val="left"/>
      <w:spacing w:before="100" w:beforeAutospacing="1" w:after="100" w:afterAutospacing="1"/>
      <w:widowControl/>
    </w:pPr>
    <w:rPr>
      <w:rFonts w:hint="eastAsia" w:ascii="宋体" w:hAnsi="宋体" w:eastAsia="宋体" w:cs="Times New Roman"/>
      <w:sz w:val="28"/>
      <w:szCs w:val="28"/>
    </w:rPr>
  </w:style>
  <w:style w:type="paragraph" w:styleId="780">
    <w:name w:val="标题1"/>
    <w:basedOn w:val="666"/>
    <w:next w:val="666"/>
    <w:link w:val="66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81">
    <w:name w:val="修订"/>
    <w:next w:val="781"/>
    <w:link w:val="666"/>
    <w:uiPriority w:val="99"/>
    <w:semiHidden/>
    <w:rPr>
      <w:sz w:val="21"/>
      <w:szCs w:val="21"/>
      <w:lang w:val="en-US" w:eastAsia="zh-CN" w:bidi="ar-SA"/>
    </w:rPr>
  </w:style>
  <w:style w:type="paragraph" w:styleId="782">
    <w:name w:val="无间隔"/>
    <w:next w:val="782"/>
    <w:link w:val="666"/>
    <w:uiPriority w:val="99"/>
    <w:qFormat/>
    <w:pPr>
      <w:jc w:val="both"/>
      <w:widowControl w:val="off"/>
    </w:pPr>
    <w:rPr>
      <w:sz w:val="21"/>
      <w:szCs w:val="21"/>
      <w:lang w:val="en-US" w:eastAsia="zh-CN" w:bidi="ar-SA"/>
    </w:rPr>
  </w:style>
  <w:style w:type="table" w:styleId="783">
    <w:name w:val="Table Normal"/>
    <w:next w:val="783"/>
    <w:link w:val="666"/>
    <w:qFormat/>
    <w:rPr>
      <w:lang w:val="en-US" w:eastAsia="zh-CN" w:bidi="ar-SA"/>
    </w:rPr>
    <w:tblPr/>
  </w:style>
  <w:style w:type="paragraph" w:styleId="784">
    <w:name w:val="正文文本 211"/>
    <w:basedOn w:val="666"/>
    <w:next w:val="784"/>
    <w:link w:val="666"/>
    <w:uiPriority w:val="99"/>
    <w:qFormat/>
    <w:pPr>
      <w:jc w:val="center"/>
    </w:pPr>
    <w:rPr>
      <w:b/>
      <w:bCs/>
      <w:sz w:val="20"/>
      <w:szCs w:val="20"/>
    </w:rPr>
  </w:style>
  <w:style w:type="paragraph" w:styleId="785">
    <w:name w:val="正文文本1"/>
    <w:basedOn w:val="666"/>
    <w:next w:val="666"/>
    <w:link w:val="666"/>
    <w:semiHidden/>
    <w:qFormat/>
    <w:rPr>
      <w:rFonts w:ascii="Arial" w:hAnsi="Arial" w:eastAsia="Arial" w:cs="Arial"/>
      <w:sz w:val="21"/>
      <w:szCs w:val="21"/>
      <w:lang w:val="en-US" w:eastAsia="en-US" w:bidi="ar-SA"/>
    </w:rPr>
  </w:style>
  <w:style w:type="paragraph" w:styleId="786">
    <w:name w:val="正文文本12"/>
    <w:basedOn w:val="666"/>
    <w:next w:val="786"/>
    <w:link w:val="666"/>
    <w:uiPriority w:val="1"/>
    <w:qFormat/>
    <w:pPr>
      <w:ind w:left="120"/>
    </w:pPr>
    <w:rPr>
      <w:rFonts w:ascii="宋体" w:hAnsi="宋体" w:eastAsia="宋体" w:cs="宋体"/>
      <w:sz w:val="21"/>
      <w:szCs w:val="21"/>
      <w:lang w:val="zh-CN" w:eastAsia="zh-CN" w:bidi="zh-CN"/>
    </w:rPr>
  </w:style>
  <w:style w:type="paragraph" w:styleId="787">
    <w:name w:val="纯文本1"/>
    <w:basedOn w:val="666"/>
    <w:next w:val="787"/>
    <w:link w:val="666"/>
    <w:qFormat/>
    <w:rPr>
      <w:rFonts w:ascii="宋体" w:hAnsi="Courier New" w:cs="Courier New"/>
    </w:rPr>
  </w:style>
  <w:style w:type="table" w:styleId="788">
    <w:name w:val="网格型1"/>
    <w:basedOn w:val="789"/>
    <w:next w:val="788"/>
    <w:link w:val="666"/>
    <w:qFormat/>
    <w:pPr>
      <w:jc w:val="both"/>
      <w:widowControl w:val="off"/>
    </w:pPr>
    <w:tblPr/>
  </w:style>
  <w:style w:type="table" w:styleId="789">
    <w:name w:val="普通表格1"/>
    <w:next w:val="789"/>
    <w:link w:val="666"/>
    <w:uiPriority w:val="99"/>
    <w:unhideWhenUsed/>
    <w:qFormat/>
    <w:rPr>
      <w:lang w:val="en-US" w:eastAsia="zh-CN" w:bidi="ar-SA"/>
    </w:rPr>
    <w:tblPr/>
  </w:style>
  <w:style w:type="paragraph" w:styleId="790">
    <w:name w:val="正文文本缩进1"/>
    <w:basedOn w:val="666"/>
    <w:next w:val="791"/>
    <w:link w:val="666"/>
    <w:unhideWhenUsed/>
    <w:qFormat/>
    <w:pPr>
      <w:ind w:left="420"/>
      <w:spacing w:after="120"/>
    </w:pPr>
  </w:style>
  <w:style w:type="paragraph" w:styleId="791">
    <w:name w:val="正文首行缩进 21"/>
    <w:basedOn w:val="790"/>
    <w:next w:val="791"/>
    <w:link w:val="666"/>
    <w:qFormat/>
    <w:pPr>
      <w:ind w:left="0" w:firstLine="420"/>
      <w:spacing w:after="0" w:line="360" w:lineRule="auto"/>
    </w:pPr>
    <w:rPr>
      <w:rFonts w:ascii="宋体" w:hAnsi="宋体"/>
      <w:sz w:val="20"/>
      <w:szCs w:val="20"/>
      <w:lang w:val="en-US" w:eastAsia="en-US"/>
    </w:rPr>
  </w:style>
  <w:style w:type="paragraph" w:styleId="792">
    <w:name w:val="Default"/>
    <w:next w:val="792"/>
    <w:link w:val="666"/>
    <w:qFormat/>
    <w:pPr>
      <w:widowControl w:val="off"/>
    </w:pPr>
    <w:rPr>
      <w:rFonts w:ascii="宋体" w:cs="宋体"/>
      <w:color w:val="000000"/>
      <w:sz w:val="24"/>
      <w:szCs w:val="24"/>
      <w:lang w:val="en-US" w:eastAsia="zh-CN" w:bidi="ar-SA"/>
    </w:rPr>
  </w:style>
  <w:style w:type="paragraph" w:styleId="793">
    <w:name w:val="正文1"/>
    <w:basedOn w:val="666"/>
    <w:next w:val="793"/>
    <w:link w:val="666"/>
    <w:qFormat/>
    <w:pPr>
      <w:ind w:left="350"/>
    </w:pPr>
    <w:rPr>
      <w:sz w:val="20"/>
      <w:szCs w:val="24"/>
    </w:rPr>
  </w:style>
  <w:style w:type="character" w:styleId="8265" w:default="1">
    <w:name w:val="Default Paragraph Font"/>
    <w:uiPriority w:val="1"/>
    <w:semiHidden/>
    <w:unhideWhenUsed/>
  </w:style>
  <w:style w:type="numbering" w:styleId="8266" w:default="1">
    <w:name w:val="No List"/>
    <w:uiPriority w:val="99"/>
    <w:semiHidden/>
    <w:unhideWhenUsed/>
  </w:style>
  <w:style w:type="table" w:styleId="82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李潇然</cp:lastModifiedBy>
  <cp:revision>9</cp:revision>
  <dcterms:created xsi:type="dcterms:W3CDTF">2023-03-27T07:28:00Z</dcterms:created>
  <dcterms:modified xsi:type="dcterms:W3CDTF">2026-09-17T12:33:26Z</dcterms:modified>
  <cp:version>1048576</cp:version>
</cp:coreProperties>
</file>