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4"/>
        <w:ind w:firstLine="0"/>
        <w:spacing w:line="360" w:lineRule="auto"/>
        <w:rPr>
          <w:rFonts w:hint="eastAsia" w:eastAsia="黑体"/>
          <w:b/>
          <w:bCs/>
          <w:color w:val="000000"/>
          <w:sz w:val="84"/>
          <w:highlight w:val="none"/>
          <w:shd w:val="clear" w:color="ffffff" w:fill="d9d9d9"/>
        </w:rPr>
      </w:pPr>
      <w:r>
        <w:rPr>
          <w:rFonts w:hint="eastAsia" w:eastAsia="黑体"/>
          <w:b/>
          <w:bCs/>
          <w:color w:val="000000"/>
          <w:sz w:val="84"/>
          <w:highlight w:val="none"/>
          <w:shd w:val="clear" w:color="ffffff" w:fill="d9d9d9"/>
        </w:rPr>
      </w:r>
      <w:r/>
    </w:p>
    <w:p>
      <w:pPr>
        <w:pStyle w:val="1044"/>
        <w:ind w:firstLine="0"/>
        <w:jc w:val="center"/>
        <w:spacing w:line="360" w:lineRule="auto"/>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公开招标文件</w:t>
      </w:r>
      <w:r/>
    </w:p>
    <w:p>
      <w:pPr>
        <w:pStyle w:val="1044"/>
        <w:ind w:firstLine="0"/>
        <w:jc w:val="center"/>
        <w:spacing w:line="360" w:lineRule="auto"/>
        <w:rPr>
          <w:rFonts w:ascii="黑体" w:hAnsi="华文中宋" w:eastAsia="黑体"/>
          <w:bCs/>
          <w:color w:val="000000"/>
          <w:spacing w:val="20"/>
          <w:sz w:val="52"/>
          <w:szCs w:val="52"/>
          <w:highlight w:val="none"/>
        </w:rPr>
      </w:pPr>
      <w:r>
        <w:rPr>
          <w:rFonts w:ascii="黑体" w:hAnsi="华文中宋" w:eastAsia="黑体"/>
          <w:bCs/>
          <w:color w:val="000000"/>
          <w:spacing w:val="20"/>
          <w:sz w:val="52"/>
          <w:szCs w:val="52"/>
          <w:highlight w:val="none"/>
        </w:rPr>
      </w:r>
      <w:r/>
    </w:p>
    <w:p>
      <w:pPr>
        <w:pStyle w:val="1044"/>
        <w:ind w:firstLine="0"/>
        <w:jc w:val="center"/>
        <w:spacing w:line="360" w:lineRule="auto"/>
        <w:rPr>
          <w:rFonts w:hint="eastAsia" w:ascii="黑体" w:hAnsi="华文中宋" w:eastAsia="黑体"/>
          <w:bCs/>
          <w:color w:val="000000"/>
          <w:spacing w:val="20"/>
          <w:sz w:val="52"/>
          <w:szCs w:val="52"/>
          <w:highlight w:val="none"/>
          <w:shd w:val="clear" w:color="ffffff" w:fill="d9d9d9"/>
          <w:lang w:eastAsia="zh-CN"/>
        </w:rPr>
      </w:pPr>
      <w:r>
        <w:rPr>
          <w:rFonts w:hint="eastAsia" w:ascii="黑体" w:hAnsi="华文中宋" w:eastAsia="黑体"/>
          <w:bCs/>
          <w:color w:val="000000"/>
          <w:spacing w:val="20"/>
          <w:sz w:val="52"/>
          <w:szCs w:val="52"/>
          <w:highlight w:val="none"/>
          <w:shd w:val="clear" w:color="ffffff" w:fill="d9d9d9"/>
          <w:lang w:eastAsia="zh-CN"/>
        </w:rPr>
        <w:t xml:space="preserve">（</w:t>
      </w:r>
      <w:r>
        <w:rPr>
          <w:rFonts w:hint="eastAsia" w:ascii="黑体" w:hAnsi="华文中宋" w:eastAsia="黑体"/>
          <w:bCs/>
          <w:color w:val="000000"/>
          <w:spacing w:val="20"/>
          <w:sz w:val="52"/>
          <w:szCs w:val="52"/>
          <w:highlight w:val="none"/>
          <w:shd w:val="clear" w:color="ffffff" w:fill="d9d9d9"/>
          <w:lang w:val="en-US" w:eastAsia="zh-CN"/>
        </w:rPr>
        <w:t xml:space="preserve">暗标</w:t>
      </w:r>
      <w:r>
        <w:rPr>
          <w:rFonts w:hint="eastAsia" w:ascii="黑体" w:hAnsi="华文中宋" w:eastAsia="黑体"/>
          <w:bCs/>
          <w:color w:val="000000"/>
          <w:spacing w:val="20"/>
          <w:sz w:val="52"/>
          <w:szCs w:val="52"/>
          <w:highlight w:val="none"/>
          <w:shd w:val="clear" w:color="ffffff" w:fill="d9d9d9"/>
          <w:lang w:eastAsia="zh-CN"/>
        </w:rPr>
        <w:t xml:space="preserve">）</w:t>
      </w:r>
      <w:r/>
    </w:p>
    <w:p>
      <w:pPr>
        <w:pStyle w:val="1044"/>
        <w:ind w:firstLine="0"/>
        <w:jc w:val="center"/>
        <w:spacing w:line="360" w:lineRule="auto"/>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1044"/>
        <w:ind w:firstLine="0"/>
        <w:jc w:val="center"/>
        <w:spacing w:line="360" w:lineRule="auto"/>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jc w:val="left"/>
        <w:spacing w:line="360" w:lineRule="auto"/>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项目编号：JSZC-320211-JZCG-G2026-0017</w:t>
      </w:r>
      <w:r/>
    </w:p>
    <w:p>
      <w:pPr>
        <w:jc w:val="left"/>
        <w:spacing w:line="360" w:lineRule="auto"/>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项目名称：无锡市滨湖区2026年度政务信息化统一运维项目</w:t>
      </w:r>
      <w:r/>
    </w:p>
    <w:p>
      <w:pPr>
        <w:jc w:val="left"/>
        <w:spacing w:line="360" w:lineRule="auto"/>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人：无锡市滨湖区数据局</w:t>
      </w:r>
      <w:r/>
    </w:p>
    <w:p>
      <w:pPr>
        <w:jc w:val="center"/>
        <w:spacing w:line="360" w:lineRule="auto"/>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1044"/>
        <w:ind w:firstLine="0"/>
        <w:jc w:val="center"/>
        <w:spacing w:before="0" w:after="0" w:line="360" w:lineRule="auto"/>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044"/>
        <w:ind w:firstLine="0"/>
        <w:jc w:val="center"/>
        <w:spacing w:before="0" w:after="0" w:line="360" w:lineRule="auto"/>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044"/>
        <w:ind w:firstLine="0"/>
        <w:jc w:val="center"/>
        <w:spacing w:before="0" w:after="0" w:line="360" w:lineRule="auto"/>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044"/>
        <w:ind w:firstLine="0"/>
        <w:jc w:val="center"/>
        <w:spacing w:before="0" w:after="0" w:line="360" w:lineRule="auto"/>
        <w:rPr>
          <w:rFonts w:hint="eastAsia" w:ascii="宋体" w:hAnsi="宋体"/>
          <w:color w:val="000000"/>
          <w:sz w:val="32"/>
          <w:szCs w:val="32"/>
          <w:highlight w:val="none"/>
          <w:shd w:val="clear" w:color="ffffff" w:fill="d9d9d9"/>
        </w:rPr>
      </w:pPr>
      <w:r>
        <w:rPr>
          <w:rFonts w:hint="eastAsia" w:ascii="黑体" w:hAnsi="华文中宋" w:eastAsia="黑体"/>
          <w:bCs/>
          <w:color w:val="000000"/>
          <w:sz w:val="32"/>
          <w:szCs w:val="32"/>
          <w:highlight w:val="none"/>
        </w:rPr>
        <w:t xml:space="preserve">采购代理机构：无锡市</w:t>
      </w:r>
      <w:r>
        <w:rPr>
          <w:rFonts w:hint="eastAsia" w:ascii="黑体" w:hAnsi="华文中宋" w:eastAsia="黑体"/>
          <w:bCs/>
          <w:color w:val="000000"/>
          <w:sz w:val="32"/>
          <w:szCs w:val="32"/>
          <w:highlight w:val="none"/>
          <w:lang w:val="en-US" w:eastAsia="zh-CN"/>
        </w:rPr>
        <w:t xml:space="preserve">滨湖区</w:t>
      </w:r>
      <w:r>
        <w:rPr>
          <w:rFonts w:hint="eastAsia" w:ascii="黑体" w:hAnsi="华文中宋" w:eastAsia="黑体"/>
          <w:bCs/>
          <w:color w:val="000000"/>
          <w:sz w:val="32"/>
          <w:szCs w:val="32"/>
          <w:highlight w:val="none"/>
        </w:rPr>
        <w:t xml:space="preserve">公共资源交易中心</w:t>
      </w:r>
      <w:r/>
    </w:p>
    <w:p>
      <w:pPr>
        <w:pStyle w:val="1044"/>
        <w:ind w:firstLine="0"/>
        <w:jc w:val="center"/>
        <w:spacing w:line="360" w:lineRule="auto"/>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二〇二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eastAsia="zh-CN"/>
        </w:rPr>
        <w:t xml:space="preserve">八</w:t>
      </w:r>
      <w:r>
        <w:rPr>
          <w:rFonts w:hint="eastAsia" w:ascii="黑体" w:hAnsi="华文中宋" w:eastAsia="黑体"/>
          <w:bCs/>
          <w:color w:val="000000"/>
          <w:sz w:val="32"/>
          <w:szCs w:val="32"/>
          <w:highlight w:val="none"/>
        </w:rPr>
        <w:t xml:space="preserve">月</w:t>
      </w:r>
      <w:r/>
    </w:p>
    <w:p>
      <w:pPr>
        <w:pStyle w:val="1044"/>
        <w:ind w:firstLine="0"/>
        <w:jc w:val="center"/>
        <w:spacing w:line="360" w:lineRule="auto"/>
        <w:rPr>
          <w:rFonts w:hint="eastAsia" w:ascii="黑体" w:hAnsi="黑体" w:eastAsia="黑体"/>
          <w:color w:val="000000"/>
          <w:sz w:val="36"/>
          <w:szCs w:val="36"/>
          <w:highlight w:val="none"/>
        </w:rPr>
      </w:pPr>
      <w:r>
        <w:rPr>
          <w:rFonts w:ascii="黑体" w:hAnsi="华文中宋" w:eastAsia="黑体"/>
          <w:bCs/>
          <w:color w:val="000000"/>
          <w:sz w:val="44"/>
          <w:szCs w:val="44"/>
          <w:highlight w:val="none"/>
        </w:rPr>
        <w:br w:type="page" w:clear="all"/>
      </w:r>
      <w:bookmarkStart w:id="0" w:name="_Toc120614210"/>
      <w:r/>
      <w:bookmarkStart w:id="1" w:name="_Toc513029200"/>
      <w:r/>
      <w:bookmarkStart w:id="2" w:name="_Toc523127445"/>
      <w:r/>
      <w:bookmarkStart w:id="3" w:name="_Toc479757206"/>
      <w:r/>
      <w:bookmarkStart w:id="4" w:name="_Toc20823272"/>
      <w:r/>
      <w:bookmarkStart w:id="5" w:name="_Toc16938516"/>
      <w:r>
        <w:rPr>
          <w:rFonts w:hint="eastAsia" w:ascii="黑体" w:hAnsi="黑体" w:eastAsia="黑体"/>
          <w:color w:val="000000"/>
          <w:sz w:val="36"/>
          <w:szCs w:val="36"/>
          <w:highlight w:val="none"/>
        </w:rPr>
        <w:t xml:space="preserve">总  目  录</w:t>
      </w:r>
      <w:r/>
    </w:p>
    <w:p>
      <w:pPr>
        <w:jc w:val="center"/>
        <w:spacing w:line="360" w:lineRule="auto"/>
        <w:rPr>
          <w:rFonts w:hint="eastAsia" w:ascii="黑体" w:hAnsi="Arial" w:eastAsia="黑体"/>
          <w:color w:val="000000"/>
          <w:sz w:val="44"/>
          <w:highlight w:val="none"/>
        </w:rPr>
        <w:outlineLvl w:val="0"/>
      </w:pPr>
      <w:r>
        <w:rPr>
          <w:rFonts w:hint="eastAsia" w:ascii="黑体" w:hAnsi="Arial" w:eastAsia="黑体"/>
          <w:color w:val="000000"/>
          <w:sz w:val="44"/>
          <w:highlight w:val="none"/>
        </w:rPr>
      </w:r>
      <w:r/>
    </w:p>
    <w:p>
      <w:pPr>
        <w:numPr>
          <w:ilvl w:val="0"/>
          <w:numId w:val="4"/>
        </w:numPr>
        <w:spacing w:line="36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投标邀请</w:t>
      </w:r>
      <w:r/>
    </w:p>
    <w:p>
      <w:pPr>
        <w:numPr>
          <w:ilvl w:val="0"/>
          <w:numId w:val="4"/>
        </w:numPr>
        <w:spacing w:line="36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p>
    <w:p>
      <w:pPr>
        <w:numPr>
          <w:ilvl w:val="0"/>
          <w:numId w:val="4"/>
        </w:numPr>
        <w:spacing w:line="36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p>
    <w:p>
      <w:pPr>
        <w:numPr>
          <w:ilvl w:val="0"/>
          <w:numId w:val="4"/>
        </w:numPr>
        <w:spacing w:line="36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p>
    <w:p>
      <w:pPr>
        <w:numPr>
          <w:ilvl w:val="0"/>
          <w:numId w:val="4"/>
        </w:numPr>
        <w:spacing w:line="36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p>
    <w:p>
      <w:pPr>
        <w:numPr>
          <w:ilvl w:val="0"/>
          <w:numId w:val="4"/>
        </w:numPr>
        <w:spacing w:line="36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p>
    <w:p>
      <w:pPr>
        <w:jc w:val="center"/>
        <w:spacing w:line="360" w:lineRule="auto"/>
        <w:tabs>
          <w:tab w:val="left" w:pos="1440" w:leader="none"/>
        </w:tabs>
        <w:rPr>
          <w:rFonts w:hint="eastAsia" w:ascii="黑体" w:hAnsi="黑体" w:eastAsia="黑体"/>
          <w:color w:val="000000"/>
          <w:sz w:val="36"/>
          <w:szCs w:val="36"/>
          <w:highlight w:val="none"/>
        </w:rPr>
        <w:outlineLvl w:val="0"/>
      </w:pPr>
      <w:r>
        <w:rPr>
          <w:rFonts w:ascii="黑体" w:hAnsi="Showcard Gothic" w:eastAsia="黑体"/>
          <w:color w:val="000000"/>
          <w:sz w:val="30"/>
          <w:szCs w:val="30"/>
          <w:highlight w:val="none"/>
        </w:rPr>
        <w:br w:type="page" w:clear="all"/>
      </w:r>
      <w:r>
        <w:rPr>
          <w:rFonts w:hint="eastAsia" w:ascii="黑体" w:hAnsi="黑体" w:eastAsia="黑体"/>
          <w:color w:val="000000"/>
          <w:sz w:val="36"/>
          <w:szCs w:val="36"/>
          <w:highlight w:val="none"/>
        </w:rPr>
        <w:t xml:space="preserve">第一章  投标邀请</w:t>
      </w:r>
      <w:bookmarkEnd w:id="0"/>
      <w:r/>
      <w:r/>
    </w:p>
    <w:p>
      <w:pPr>
        <w:ind w:firstLine="480"/>
        <w:spacing w:line="360" w:lineRule="auto"/>
        <w:rPr>
          <w:rFonts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lang w:val="en-US" w:eastAsia="zh-CN"/>
        </w:rPr>
        <w:t xml:space="preserve">无锡市滨湖区数据局</w:t>
      </w:r>
      <w:r>
        <w:rPr>
          <w:rFonts w:hint="eastAsia" w:ascii="宋体" w:hAnsi="宋体"/>
          <w:color w:val="000000"/>
          <w:sz w:val="24"/>
          <w:szCs w:val="24"/>
          <w:highlight w:val="none"/>
        </w:rPr>
        <w:t xml:space="preserve">的委托，无锡市</w:t>
      </w:r>
      <w:r>
        <w:rPr>
          <w:rFonts w:hint="eastAsia" w:ascii="宋体" w:hAnsi="宋体"/>
          <w:color w:val="000000"/>
          <w:sz w:val="24"/>
          <w:szCs w:val="24"/>
          <w:highlight w:val="none"/>
          <w:lang w:val="en-US" w:eastAsia="zh-CN"/>
        </w:rPr>
        <w:t xml:space="preserve">滨湖区</w:t>
      </w:r>
      <w:r>
        <w:rPr>
          <w:rFonts w:hint="eastAsia" w:ascii="宋体" w:hAnsi="宋体"/>
          <w:color w:val="000000"/>
          <w:sz w:val="24"/>
          <w:szCs w:val="24"/>
          <w:highlight w:val="none"/>
        </w:rPr>
        <w:t xml:space="preserve">公共资源交易中心就</w:t>
      </w:r>
      <w:r>
        <w:rPr>
          <w:rFonts w:hint="eastAsia" w:ascii="宋体" w:hAnsi="宋体"/>
          <w:color w:val="000000"/>
          <w:sz w:val="24"/>
          <w:szCs w:val="24"/>
          <w:highlight w:val="none"/>
          <w:lang w:val="en-US" w:eastAsia="zh-CN"/>
        </w:rPr>
        <w:t xml:space="preserve">无锡市滨湖区2026年度政务信息化统一运维项目</w:t>
      </w:r>
      <w:r>
        <w:rPr>
          <w:rFonts w:hint="eastAsia" w:ascii="宋体" w:hAnsi="宋体"/>
          <w:color w:val="000000"/>
          <w:sz w:val="24"/>
          <w:szCs w:val="24"/>
          <w:highlight w:val="none"/>
        </w:rPr>
        <w:t xml:space="preserve">进行公开招标采购，欢迎符合条件的供应商投标。</w:t>
      </w:r>
      <w:r/>
    </w:p>
    <w:p>
      <w:pPr>
        <w:ind w:firstLine="480"/>
        <w:spacing w:line="360" w:lineRule="auto"/>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p>
    <w:p>
      <w:pPr>
        <w:ind w:firstLine="480"/>
        <w:spacing w:line="360" w:lineRule="auto"/>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lang w:val="en-US" w:eastAsia="zh-CN"/>
        </w:rPr>
        <w:t xml:space="preserve">无锡市滨湖区2026年度政务信息化统一运维项目</w:t>
      </w:r>
      <w:r>
        <w:rPr>
          <w:rFonts w:hint="eastAsia" w:ascii="宋体" w:hAnsi="宋体"/>
          <w:color w:val="000000"/>
          <w:sz w:val="24"/>
          <w:szCs w:val="24"/>
          <w:highlight w:val="none"/>
        </w:rPr>
        <w:t xml:space="preserve">的潜在投标人应在“江苏政府采购网”自行浏览招标文件，如有投标意向须在本招标文件有效获取期内通过登录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w:t>
      </w:r>
      <w:r>
        <w:rPr>
          <w:rFonts w:hint="eastAsia" w:ascii="宋体" w:hAnsi="宋体"/>
          <w:b/>
          <w:bCs/>
          <w:color w:val="0000ff"/>
          <w:sz w:val="24"/>
          <w:szCs w:val="24"/>
          <w:highlight w:val="none"/>
        </w:rPr>
        <w:t xml:space="preserve">202</w:t>
      </w:r>
      <w:r>
        <w:rPr>
          <w:rFonts w:hint="eastAsia" w:ascii="宋体" w:hAnsi="宋体"/>
          <w:b/>
          <w:bCs/>
          <w:color w:val="0000ff"/>
          <w:sz w:val="24"/>
          <w:szCs w:val="24"/>
          <w:highlight w:val="none"/>
          <w:lang w:val="en-US" w:eastAsia="zh-CN"/>
        </w:rPr>
        <w:t xml:space="preserve">6</w:t>
      </w:r>
      <w:r>
        <w:rPr>
          <w:rFonts w:hint="eastAsia" w:ascii="宋体" w:hAnsi="宋体"/>
          <w:b/>
          <w:bCs/>
          <w:color w:val="0000ff"/>
          <w:sz w:val="24"/>
          <w:szCs w:val="24"/>
          <w:highlight w:val="none"/>
        </w:rPr>
        <w:t xml:space="preserve">年</w:t>
      </w:r>
      <w:r>
        <w:rPr>
          <w:rFonts w:hint="eastAsia" w:ascii="宋体" w:hAnsi="宋体"/>
          <w:b/>
          <w:bCs/>
          <w:color w:val="0000ff"/>
          <w:sz w:val="24"/>
          <w:szCs w:val="24"/>
          <w:highlight w:val="none"/>
          <w:lang w:val="en-US" w:eastAsia="zh-CN"/>
        </w:rPr>
        <w:t xml:space="preserve">08</w:t>
      </w:r>
      <w:r>
        <w:rPr>
          <w:rFonts w:hint="eastAsia" w:ascii="宋体" w:hAnsi="宋体"/>
          <w:b/>
          <w:bCs/>
          <w:color w:val="0000ff"/>
          <w:sz w:val="24"/>
          <w:szCs w:val="24"/>
          <w:highlight w:val="none"/>
        </w:rPr>
        <w:t xml:space="preserve">月</w:t>
      </w:r>
      <w:r>
        <w:rPr>
          <w:rFonts w:hint="eastAsia" w:ascii="宋体" w:hAnsi="宋体"/>
          <w:b/>
          <w:bCs/>
          <w:color w:val="0000ff"/>
          <w:sz w:val="24"/>
          <w:szCs w:val="24"/>
          <w:highlight w:val="none"/>
          <w:lang w:val="en-US" w:eastAsia="zh-CN"/>
        </w:rPr>
        <w:t xml:space="preserve">31</w:t>
      </w:r>
      <w:r>
        <w:rPr>
          <w:rFonts w:hint="eastAsia" w:ascii="宋体" w:hAnsi="宋体"/>
          <w:b/>
          <w:bCs/>
          <w:color w:val="0000ff"/>
          <w:sz w:val="24"/>
          <w:szCs w:val="24"/>
          <w:highlight w:val="none"/>
        </w:rPr>
        <w:t xml:space="preserve">日</w:t>
      </w:r>
      <w:r>
        <w:rPr>
          <w:rFonts w:hint="eastAsia" w:ascii="宋体" w:hAnsi="宋体"/>
          <w:b/>
          <w:bCs/>
          <w:color w:val="000000"/>
          <w:sz w:val="24"/>
          <w:szCs w:val="24"/>
          <w:highlight w:val="none"/>
        </w:rPr>
        <w:t xml:space="preserve">09点30分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p>
    <w:p>
      <w:pPr>
        <w:pStyle w:val="959"/>
        <w:ind w:firstLine="452"/>
        <w:keepLines w:val="0"/>
        <w:keepNext w:val="0"/>
        <w:spacing w:before="0" w:after="0" w:line="360" w:lineRule="auto"/>
        <w:rPr>
          <w:color w:val="000000"/>
          <w:sz w:val="30"/>
          <w:szCs w:val="30"/>
          <w:highlight w:val="none"/>
        </w:rPr>
      </w:pPr>
      <w:r/>
      <w:bookmarkStart w:id="6" w:name="_Toc35393621"/>
      <w:r/>
      <w:bookmarkStart w:id="7" w:name="_Toc38985263"/>
      <w:r/>
      <w:bookmarkStart w:id="8" w:name="_Toc28359079"/>
      <w:r/>
      <w:bookmarkStart w:id="9" w:name="_Toc35393790"/>
      <w:r/>
      <w:bookmarkStart w:id="10" w:name="_Toc28359002"/>
      <w:r/>
      <w:bookmarkStart w:id="11" w:name="_Hlk24379207"/>
      <w:r>
        <w:rPr>
          <w:rFonts w:hint="eastAsia"/>
          <w:color w:val="000000"/>
          <w:sz w:val="30"/>
          <w:szCs w:val="30"/>
          <w:highlight w:val="none"/>
        </w:rPr>
        <w:t xml:space="preserve">一、项目基本情况</w:t>
      </w:r>
      <w:bookmarkEnd w:id="6"/>
      <w:r/>
      <w:bookmarkEnd w:id="7"/>
      <w:r/>
      <w:bookmarkEnd w:id="8"/>
      <w:r/>
      <w:bookmarkEnd w:id="9"/>
      <w:r/>
      <w:bookmarkEnd w:id="10"/>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1.项目编号：JSZC-320211-JZCG-G2026-0017</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2.项目名称：无锡市滨湖区2026年度政务信息化统一运维项目</w:t>
      </w:r>
      <w:bookmarkEnd w:id="11"/>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3.项目预算金额：</w:t>
      </w:r>
      <w:r>
        <w:rPr>
          <w:rFonts w:hint="eastAsia" w:ascii="宋体" w:hAnsi="宋体"/>
          <w:color w:val="000000"/>
          <w:sz w:val="24"/>
          <w:szCs w:val="24"/>
          <w:highlight w:val="none"/>
          <w:lang w:val="en-US" w:eastAsia="zh-CN"/>
        </w:rPr>
        <w:t xml:space="preserve">2244.13</w:t>
      </w:r>
      <w:r>
        <w:rPr>
          <w:rFonts w:hint="eastAsia" w:ascii="宋体" w:hAnsi="宋体"/>
          <w:color w:val="000000"/>
          <w:sz w:val="24"/>
          <w:szCs w:val="24"/>
          <w:highlight w:val="none"/>
        </w:rPr>
        <w:t xml:space="preserve">万元</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4.项目最高限价：</w:t>
      </w:r>
      <w:r>
        <w:rPr>
          <w:rFonts w:hint="eastAsia" w:ascii="宋体" w:hAnsi="宋体" w:eastAsia="宋体" w:cs="Times New Roman"/>
          <w:color w:val="000000"/>
          <w:sz w:val="24"/>
          <w:szCs w:val="24"/>
          <w:lang w:val="en-US" w:eastAsia="zh-CN" w:bidi="ar"/>
        </w:rPr>
        <w:t xml:space="preserve">1899.78</w:t>
      </w:r>
      <w:r>
        <w:rPr>
          <w:rFonts w:hint="eastAsia" w:ascii="宋体" w:hAnsi="宋体"/>
          <w:color w:val="000000"/>
          <w:sz w:val="24"/>
          <w:szCs w:val="24"/>
          <w:highlight w:val="none"/>
        </w:rPr>
        <w:t xml:space="preserve">万元</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5.采购方式：公开招标</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6.采购需求：</w:t>
      </w:r>
      <w:r>
        <w:rPr>
          <w:rFonts w:hint="eastAsia" w:ascii="宋体" w:hAnsi="宋体" w:cs="宋体"/>
          <w:color w:val="000000"/>
          <w:sz w:val="24"/>
          <w:szCs w:val="24"/>
          <w:highlight w:val="none"/>
        </w:rPr>
        <w:t xml:space="preserve">详见招标文件第四章《采购需求》</w:t>
      </w:r>
      <w:r/>
    </w:p>
    <w:p>
      <w:pPr>
        <w:ind w:firstLine="480"/>
        <w:spacing w:line="360" w:lineRule="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7.合同履行期限：</w:t>
      </w:r>
      <w:r>
        <w:rPr>
          <w:rFonts w:hint="eastAsia" w:ascii="宋体" w:hAnsi="宋体" w:cs="宋体"/>
          <w:color w:val="000000"/>
          <w:sz w:val="24"/>
          <w:szCs w:val="24"/>
          <w:highlight w:val="none"/>
        </w:rPr>
        <w:t xml:space="preserve">详见招标文件第四章《采购需求》</w:t>
      </w:r>
      <w:r/>
    </w:p>
    <w:p>
      <w:pPr>
        <w:ind w:firstLine="480"/>
        <w:spacing w:line="360" w:lineRule="auto"/>
        <w:rPr>
          <w:rFonts w:hint="eastAsia" w:cs="宋体" w:asciiTheme="minorEastAsia" w:hAnsiTheme="minorEastAsia"/>
          <w:sz w:val="24"/>
        </w:rPr>
      </w:pPr>
      <w:r/>
      <w:bookmarkStart w:id="12" w:name="_Toc38985264"/>
      <w:r/>
      <w:bookmarkStart w:id="13" w:name="_Toc28359003"/>
      <w:r/>
      <w:bookmarkStart w:id="14" w:name="_Toc35393791"/>
      <w:r/>
      <w:bookmarkStart w:id="15" w:name="_Toc35393622"/>
      <w:r/>
      <w:bookmarkStart w:id="16" w:name="_Toc28359080"/>
      <w:r>
        <w:rPr>
          <w:rFonts w:hint="eastAsia" w:ascii="宋体" w:hAnsi="宋体" w:cs="宋体"/>
          <w:color w:val="000000" w:themeColor="text1"/>
          <w:sz w:val="24"/>
          <w:szCs w:val="24"/>
          <w:highlight w:val="none"/>
        </w:rPr>
        <w:t xml:space="preserve">8.</w:t>
      </w:r>
      <w:r>
        <w:rPr>
          <w:rFonts w:hint="eastAsia" w:cs="宋体" w:asciiTheme="minorEastAsia" w:hAnsiTheme="minorEastAsia"/>
          <w:color w:val="000000" w:themeColor="text1"/>
          <w:sz w:val="24"/>
          <w:szCs w:val="24"/>
        </w:rPr>
        <w:t xml:space="preserve">本项目是否专门面向中小微企业：</w:t>
      </w:r>
      <w:r>
        <w:rPr>
          <w:rFonts w:hint="eastAsia" w:ascii="宋体" w:hAnsi="宋体" w:eastAsia="宋体" w:cs="宋体"/>
          <w:color w:val="000000"/>
          <w:sz w:val="24"/>
          <w:szCs w:val="24"/>
          <w:lang w:val="en-US" w:eastAsia="zh-CN" w:bidi="ar"/>
        </w:rPr>
        <w:t xml:space="preserve">否</w:t>
      </w:r>
      <w:r/>
    </w:p>
    <w:p>
      <w:pPr>
        <w:ind w:firstLine="480"/>
        <w:spacing w:line="360" w:lineRule="auto"/>
        <w:rPr>
          <w:rFonts w:hint="eastAsia" w:cs="宋体" w:asciiTheme="minorEastAsia" w:hAnsiTheme="minorEastAsia"/>
          <w:sz w:val="24"/>
        </w:rPr>
      </w:pPr>
      <w:r>
        <w:rPr>
          <w:rFonts w:hint="eastAsia" w:ascii="宋体" w:hAnsi="宋体" w:cs="宋体"/>
          <w:color w:val="000000" w:themeColor="text1"/>
          <w:sz w:val="24"/>
          <w:szCs w:val="24"/>
          <w:highlight w:val="none"/>
          <w:lang w:val="en-US" w:eastAsia="zh-CN"/>
        </w:rPr>
        <w:t xml:space="preserve">9.</w:t>
      </w:r>
      <w:r>
        <w:rPr>
          <w:rFonts w:hint="eastAsia" w:cs="宋体" w:asciiTheme="minorEastAsia" w:hAnsiTheme="minorEastAsia"/>
          <w:color w:val="000000" w:themeColor="text1"/>
          <w:sz w:val="24"/>
          <w:szCs w:val="24"/>
        </w:rPr>
        <w:t xml:space="preserve">本项目的所属行业：</w:t>
      </w:r>
      <w:r>
        <w:rPr>
          <w:rFonts w:hint="eastAsia" w:ascii="宋体" w:hAnsi="宋体" w:eastAsia="宋体" w:cs="宋体"/>
          <w:color w:val="000000"/>
          <w:sz w:val="24"/>
          <w:szCs w:val="24"/>
          <w:lang w:val="en-US" w:eastAsia="zh-CN" w:bidi="ar"/>
        </w:rPr>
        <w:t xml:space="preserve">软件和信息技术服务业</w:t>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w:t>
      </w:r>
      <w:r>
        <w:rPr>
          <w:rFonts w:hint="eastAsia" w:ascii="宋体" w:hAnsi="宋体" w:cs="宋体"/>
          <w:color w:val="000000" w:themeColor="text1"/>
          <w:sz w:val="24"/>
          <w:szCs w:val="24"/>
          <w:highlight w:val="none"/>
        </w:rPr>
        <w:t xml:space="preserve">本项目不接受联合体投标。</w:t>
      </w:r>
      <w:r/>
    </w:p>
    <w:p>
      <w:pPr>
        <w:pStyle w:val="959"/>
        <w:ind w:firstLine="452"/>
        <w:keepLines w:val="0"/>
        <w:keepNext w:val="0"/>
        <w:spacing w:before="0" w:after="0" w:line="360" w:lineRule="auto"/>
        <w:rPr>
          <w:color w:val="000000"/>
          <w:sz w:val="30"/>
          <w:szCs w:val="30"/>
          <w:highlight w:val="none"/>
        </w:rPr>
      </w:pPr>
      <w:r>
        <w:rPr>
          <w:rFonts w:hint="eastAsia"/>
          <w:color w:val="000000"/>
          <w:sz w:val="30"/>
          <w:szCs w:val="30"/>
          <w:highlight w:val="none"/>
        </w:rPr>
        <w:t xml:space="preserve">二、申请人的资格要求</w:t>
      </w:r>
      <w:bookmarkEnd w:id="12"/>
      <w:r/>
      <w:bookmarkEnd w:id="13"/>
      <w:r/>
      <w:bookmarkEnd w:id="14"/>
      <w:r/>
      <w:bookmarkEnd w:id="15"/>
      <w:r/>
      <w:bookmarkEnd w:id="16"/>
      <w:r/>
      <w:r/>
    </w:p>
    <w:p>
      <w:pPr>
        <w:ind w:firstLine="480"/>
        <w:spacing w:line="360" w:lineRule="auto"/>
        <w:rPr>
          <w:rFonts w:ascii="宋体" w:hAnsi="宋体"/>
          <w:color w:val="000000"/>
          <w:sz w:val="24"/>
          <w:szCs w:val="24"/>
          <w:highlight w:val="none"/>
        </w:rPr>
      </w:pPr>
      <w:r/>
      <w:bookmarkStart w:id="17" w:name="_Toc38985265"/>
      <w:r/>
      <w:bookmarkStart w:id="18" w:name="_Toc35393623"/>
      <w:r/>
      <w:bookmarkStart w:id="19" w:name="_Toc28359004"/>
      <w:r/>
      <w:bookmarkStart w:id="20" w:name="_Toc28359081"/>
      <w:r/>
      <w:bookmarkStart w:id="21" w:name="_Toc35393792"/>
      <w:r>
        <w:rPr>
          <w:rFonts w:hint="eastAsia" w:ascii="宋体" w:hAnsi="宋体"/>
          <w:color w:val="000000"/>
          <w:sz w:val="24"/>
          <w:szCs w:val="24"/>
          <w:highlight w:val="none"/>
        </w:rPr>
        <w:t xml:space="preserve">1.满足《中华人民共和国政府采购法》第二十二条规定；</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2.1中小企业政策：</w:t>
      </w:r>
      <w:r>
        <w:rPr>
          <w:rFonts w:hint="eastAsia" w:ascii="宋体" w:hAnsi="宋体" w:eastAsia="宋体" w:cs="Times New Roman"/>
          <w:color w:val="000000"/>
          <w:sz w:val="24"/>
          <w:szCs w:val="24"/>
          <w:lang w:val="en-US" w:eastAsia="zh-CN" w:bidi="ar"/>
        </w:rPr>
        <w:t xml:space="preserve">无</w:t>
      </w:r>
      <w:r>
        <w:rPr>
          <w:rFonts w:hint="eastAsia" w:ascii="宋体" w:hAnsi="宋体"/>
          <w:color w:val="000000"/>
          <w:sz w:val="24"/>
          <w:szCs w:val="24"/>
          <w:highlight w:val="none"/>
        </w:rPr>
        <w:t xml:space="preserve">；</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360" w:lineRule="auto"/>
        <w:rPr>
          <w:rFonts w:ascii="宋体" w:hAnsi="宋体" w:cs="宋体"/>
          <w:color w:val="000000"/>
          <w:sz w:val="24"/>
          <w:szCs w:val="24"/>
          <w:highlight w:val="none"/>
        </w:rPr>
      </w:pPr>
      <w:r>
        <w:rPr>
          <w:rFonts w:hint="eastAsia" w:ascii="宋体" w:hAnsi="宋体"/>
          <w:color w:val="000000"/>
          <w:sz w:val="24"/>
          <w:szCs w:val="24"/>
          <w:highlight w:val="none"/>
        </w:rPr>
        <w:t xml:space="preserve">3.本项目的特定资格要求：无。</w:t>
      </w:r>
      <w:r/>
    </w:p>
    <w:p>
      <w:pPr>
        <w:pStyle w:val="959"/>
        <w:ind w:firstLine="452"/>
        <w:keepLines w:val="0"/>
        <w:keepNext w:val="0"/>
        <w:spacing w:before="0" w:after="0" w:line="360" w:lineRule="auto"/>
        <w:rPr>
          <w:color w:val="000000"/>
          <w:sz w:val="30"/>
          <w:szCs w:val="30"/>
          <w:highlight w:val="none"/>
        </w:rPr>
      </w:pPr>
      <w:r>
        <w:rPr>
          <w:rFonts w:hint="eastAsia"/>
          <w:color w:val="000000"/>
          <w:sz w:val="30"/>
          <w:szCs w:val="30"/>
          <w:highlight w:val="none"/>
        </w:rPr>
        <w:t xml:space="preserve">三、获取招标文件</w:t>
      </w:r>
      <w:bookmarkEnd w:id="17"/>
      <w:r/>
      <w:bookmarkEnd w:id="18"/>
      <w:r/>
      <w:bookmarkEnd w:id="19"/>
      <w:r/>
      <w:bookmarkEnd w:id="20"/>
      <w:r/>
      <w:bookmarkEnd w:id="21"/>
      <w:r/>
      <w:r/>
    </w:p>
    <w:p>
      <w:pPr>
        <w:ind w:firstLine="540"/>
        <w:spacing w:line="360" w:lineRule="auto"/>
        <w:rPr>
          <w:rFonts w:hint="eastAsia" w:ascii="宋体" w:hAnsi="宋体"/>
          <w:color w:val="000000"/>
          <w:sz w:val="24"/>
          <w:szCs w:val="24"/>
          <w:highlight w:val="none"/>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color w:val="000000"/>
          <w:sz w:val="24"/>
          <w:szCs w:val="24"/>
          <w:highlight w:val="none"/>
        </w:rPr>
        <w:t xml:space="preserve">1.时间：</w:t>
      </w:r>
      <w:r>
        <w:rPr>
          <w:rFonts w:hint="eastAsia" w:ascii="宋体" w:hAnsi="宋体"/>
          <w:color w:val="000000"/>
          <w:sz w:val="24"/>
          <w:szCs w:val="24"/>
          <w:highlight w:val="none"/>
        </w:rPr>
        <w:t xml:space="preserve">本招标文件有效获取期限以本项目招标公告中规定的获取招标文件时间为准。</w:t>
      </w:r>
      <w:r/>
    </w:p>
    <w:p>
      <w:pPr>
        <w:ind w:firstLine="54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p>
    <w:p>
      <w:pPr>
        <w:ind w:firstLine="540"/>
        <w:spacing w:line="360" w:lineRule="auto"/>
        <w:rPr>
          <w:rStyle w:val="1033"/>
          <w:color w:val="000000"/>
          <w:highlight w:val="none"/>
        </w:rPr>
      </w:pPr>
      <w:r>
        <w:rPr>
          <w:rFonts w:hint="eastAsia" w:ascii="宋体" w:hAnsi="宋体"/>
          <w:bCs/>
          <w:color w:val="000000"/>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“江苏省政府采购（苏采云）平台”（http://jszfcg.jscz.gov.cn/jszc/login）获取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在招标文件有效获取期限内，从</w:t>
      </w:r>
      <w:r>
        <w:rPr>
          <w:rFonts w:ascii="宋体" w:hAnsi="宋体"/>
          <w:color w:val="000000"/>
          <w:sz w:val="24"/>
          <w:szCs w:val="24"/>
          <w:highlight w:val="none"/>
        </w:rPr>
        <w:t xml:space="preserve">“江苏省政府采购（苏采云）平台”获取的</w:t>
      </w:r>
      <w:r>
        <w:rPr>
          <w:rFonts w:hint="eastAsia" w:ascii="宋体" w:hAnsi="宋体"/>
          <w:bCs/>
          <w:color w:val="000000"/>
          <w:sz w:val="24"/>
          <w:szCs w:val="24"/>
          <w:highlight w:val="none"/>
        </w:rPr>
        <w:t xml:space="preserve">招标文件，视为依法获取的招标文件。</w:t>
      </w:r>
      <w:r/>
    </w:p>
    <w:p>
      <w:pPr>
        <w:ind w:firstLine="54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p>
    <w:p>
      <w:pPr>
        <w:pStyle w:val="959"/>
        <w:ind w:firstLine="452"/>
        <w:keepLines w:val="0"/>
        <w:keepNext w:val="0"/>
        <w:spacing w:before="0" w:after="0" w:line="360" w:lineRule="auto"/>
        <w:rPr>
          <w:color w:val="000000"/>
          <w:sz w:val="30"/>
          <w:szCs w:val="30"/>
          <w:highlight w:val="none"/>
        </w:rPr>
      </w:pPr>
      <w:r>
        <w:rPr>
          <w:rFonts w:hint="eastAsia"/>
          <w:color w:val="000000"/>
          <w:sz w:val="30"/>
          <w:szCs w:val="30"/>
          <w:highlight w:val="none"/>
        </w:rPr>
        <w:t xml:space="preserve">四、提交投标文件</w:t>
      </w:r>
      <w:bookmarkEnd w:id="22"/>
      <w:r/>
      <w:bookmarkEnd w:id="23"/>
      <w:r>
        <w:rPr>
          <w:rFonts w:hint="eastAsia"/>
          <w:color w:val="000000"/>
          <w:sz w:val="30"/>
          <w:szCs w:val="30"/>
          <w:highlight w:val="none"/>
        </w:rPr>
        <w:t xml:space="preserve">截止时间、开标时间和地点</w:t>
      </w:r>
      <w:bookmarkEnd w:id="24"/>
      <w:r/>
      <w:bookmarkEnd w:id="25"/>
      <w:r/>
      <w:bookmarkEnd w:id="26"/>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1.时间：</w:t>
      </w:r>
      <w:r>
        <w:rPr>
          <w:rFonts w:hint="eastAsia" w:ascii="宋体" w:hAnsi="宋体"/>
          <w:b/>
          <w:bCs w:val="0"/>
          <w:color w:val="0000ff"/>
          <w:sz w:val="24"/>
          <w:szCs w:val="24"/>
          <w:highlight w:val="none"/>
        </w:rPr>
        <w:t xml:space="preserve">202</w:t>
      </w:r>
      <w:r>
        <w:rPr>
          <w:rFonts w:hint="eastAsia" w:ascii="宋体" w:hAnsi="宋体"/>
          <w:b/>
          <w:bCs w:val="0"/>
          <w:color w:val="0000ff"/>
          <w:sz w:val="24"/>
          <w:szCs w:val="24"/>
          <w:highlight w:val="none"/>
          <w:lang w:val="en-US" w:eastAsia="zh-CN"/>
        </w:rPr>
        <w:t xml:space="preserve">6</w:t>
      </w:r>
      <w:r>
        <w:rPr>
          <w:rFonts w:hint="eastAsia" w:ascii="宋体" w:hAnsi="宋体"/>
          <w:b/>
          <w:bCs w:val="0"/>
          <w:color w:val="0000ff"/>
          <w:sz w:val="24"/>
          <w:szCs w:val="24"/>
          <w:highlight w:val="none"/>
        </w:rPr>
        <w:t xml:space="preserve">年</w:t>
      </w:r>
      <w:r>
        <w:rPr>
          <w:rFonts w:hint="eastAsia" w:ascii="宋体" w:hAnsi="宋体"/>
          <w:b/>
          <w:bCs w:val="0"/>
          <w:color w:val="0000ff"/>
          <w:sz w:val="24"/>
          <w:szCs w:val="24"/>
          <w:highlight w:val="none"/>
          <w:lang w:val="en-US" w:eastAsia="zh-CN"/>
        </w:rPr>
        <w:t xml:space="preserve">08</w:t>
      </w:r>
      <w:r>
        <w:rPr>
          <w:rFonts w:hint="eastAsia" w:ascii="宋体" w:hAnsi="宋体"/>
          <w:b/>
          <w:bCs w:val="0"/>
          <w:color w:val="0000ff"/>
          <w:sz w:val="24"/>
          <w:szCs w:val="24"/>
          <w:highlight w:val="none"/>
        </w:rPr>
        <w:t xml:space="preserve">月</w:t>
      </w:r>
      <w:r>
        <w:rPr>
          <w:rFonts w:hint="eastAsia" w:ascii="宋体" w:hAnsi="宋体"/>
          <w:b/>
          <w:bCs w:val="0"/>
          <w:color w:val="0000ff"/>
          <w:sz w:val="24"/>
          <w:szCs w:val="24"/>
          <w:highlight w:val="none"/>
          <w:lang w:val="en-US" w:eastAsia="zh-CN"/>
        </w:rPr>
        <w:t xml:space="preserve">31</w:t>
      </w:r>
      <w:r>
        <w:rPr>
          <w:rFonts w:hint="eastAsia" w:ascii="宋体" w:hAnsi="宋体"/>
          <w:b/>
          <w:bCs w:val="0"/>
          <w:color w:val="0000ff"/>
          <w:sz w:val="24"/>
          <w:szCs w:val="24"/>
          <w:highlight w:val="none"/>
        </w:rPr>
        <w:t xml:space="preserve">日</w:t>
      </w:r>
      <w:r>
        <w:rPr>
          <w:rFonts w:hint="eastAsia" w:ascii="宋体" w:hAnsi="宋体"/>
          <w:b/>
          <w:bCs w:val="0"/>
          <w:color w:val="000000"/>
          <w:sz w:val="24"/>
          <w:szCs w:val="24"/>
          <w:highlight w:val="none"/>
        </w:rPr>
        <w:t xml:space="preserve">09点30分</w:t>
      </w:r>
      <w:r>
        <w:rPr>
          <w:rFonts w:hint="eastAsia" w:ascii="宋体" w:hAnsi="宋体"/>
          <w:bCs/>
          <w:color w:val="000000"/>
          <w:sz w:val="24"/>
          <w:szCs w:val="24"/>
          <w:highlight w:val="none"/>
        </w:rPr>
        <w:t xml:space="preserve">（北京时间）</w:t>
      </w:r>
      <w:r/>
    </w:p>
    <w:p>
      <w:pPr>
        <w:ind w:firstLine="480"/>
        <w:spacing w:line="360" w:lineRule="auto"/>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p>
    <w:p>
      <w:pPr>
        <w:pStyle w:val="959"/>
        <w:ind w:firstLine="452"/>
        <w:keepLines w:val="0"/>
        <w:keepNext w:val="0"/>
        <w:spacing w:before="0" w:after="0" w:line="360" w:lineRule="auto"/>
        <w:rPr>
          <w:color w:val="000000"/>
          <w:sz w:val="30"/>
          <w:szCs w:val="30"/>
          <w:highlight w:val="none"/>
        </w:rPr>
      </w:pPr>
      <w:r/>
      <w:bookmarkStart w:id="27" w:name="_Toc35393625"/>
      <w:r/>
      <w:bookmarkStart w:id="28" w:name="_Toc35393794"/>
      <w:r/>
      <w:bookmarkStart w:id="29" w:name="_Toc28359084"/>
      <w:r/>
      <w:bookmarkStart w:id="30" w:name="_Toc38985267"/>
      <w:r/>
      <w:bookmarkStart w:id="31" w:name="_Toc28359007"/>
      <w:r>
        <w:rPr>
          <w:rFonts w:hint="eastAsia"/>
          <w:color w:val="000000"/>
          <w:sz w:val="30"/>
          <w:szCs w:val="30"/>
          <w:highlight w:val="none"/>
        </w:rPr>
        <w:t xml:space="preserve">五、公告期限</w:t>
      </w:r>
      <w:bookmarkEnd w:id="27"/>
      <w:r/>
      <w:bookmarkEnd w:id="28"/>
      <w:r/>
      <w:bookmarkEnd w:id="29"/>
      <w:r/>
      <w:bookmarkEnd w:id="30"/>
      <w:r/>
      <w:bookmarkEnd w:id="31"/>
      <w:r/>
      <w:r/>
    </w:p>
    <w:p>
      <w:pPr>
        <w:ind w:firstLine="480"/>
        <w:spacing w:line="360" w:lineRule="auto"/>
        <w:rPr>
          <w:rFonts w:ascii="宋体" w:hAnsi="宋体" w:cs="宋体"/>
          <w:color w:val="000000"/>
          <w:sz w:val="24"/>
          <w:szCs w:val="24"/>
          <w:highlight w:val="none"/>
        </w:rPr>
      </w:pPr>
      <w:r/>
      <w:bookmarkStart w:id="32" w:name="_Toc35393795"/>
      <w:r/>
      <w:bookmarkStart w:id="33" w:name="_Toc38985268"/>
      <w:r/>
      <w:bookmarkStart w:id="34" w:name="_Toc35393626"/>
      <w:r>
        <w:rPr>
          <w:rFonts w:hint="eastAsia" w:ascii="宋体" w:hAnsi="宋体" w:cs="宋体"/>
          <w:color w:val="000000"/>
          <w:sz w:val="24"/>
          <w:szCs w:val="24"/>
          <w:highlight w:val="none"/>
        </w:rPr>
        <w:t xml:space="preserve">（招标公告及招标文件公告期限）自本公告发布之日起5个工作日。</w:t>
      </w:r>
      <w:r/>
    </w:p>
    <w:p>
      <w:pPr>
        <w:pStyle w:val="959"/>
        <w:ind w:firstLine="452"/>
        <w:keepLines w:val="0"/>
        <w:keepNext w:val="0"/>
        <w:spacing w:before="0" w:after="0" w:line="360" w:lineRule="auto"/>
        <w:rPr>
          <w:color w:val="000000"/>
          <w:sz w:val="30"/>
          <w:szCs w:val="30"/>
          <w:highlight w:val="none"/>
        </w:rPr>
      </w:pPr>
      <w:r>
        <w:rPr>
          <w:rFonts w:hint="eastAsia"/>
          <w:color w:val="000000"/>
          <w:sz w:val="30"/>
          <w:szCs w:val="30"/>
          <w:highlight w:val="none"/>
        </w:rPr>
        <w:t xml:space="preserve">六、其他补充事宜</w:t>
      </w:r>
      <w:bookmarkEnd w:id="32"/>
      <w:r/>
      <w:bookmarkEnd w:id="33"/>
      <w:r/>
      <w:bookmarkEnd w:id="34"/>
      <w:r/>
      <w:r/>
    </w:p>
    <w:p>
      <w:pPr>
        <w:ind w:left="0" w:right="0" w:firstLine="480"/>
        <w:jc w:val="both"/>
        <w:keepLines w:val="0"/>
        <w:keepNext w:val="0"/>
        <w:spacing w:before="0" w:beforeAutospacing="0" w:after="0" w:afterAutospacing="0" w:line="360" w:lineRule="auto"/>
        <w:widowControl w:val="off"/>
        <w:rPr>
          <w:rFonts w:hAnsi="宋体"/>
          <w:color w:val="000000"/>
          <w:sz w:val="24"/>
          <w:szCs w:val="24"/>
          <w:lang w:val="en-US"/>
        </w:rPr>
        <w:suppressLineNumbers w:val="0"/>
      </w:pPr>
      <w:r/>
      <w:bookmarkStart w:id="35" w:name="_Toc28359008"/>
      <w:r/>
      <w:bookmarkStart w:id="36" w:name="_Toc38985269"/>
      <w:r/>
      <w:bookmarkStart w:id="37" w:name="_Toc35393796"/>
      <w:r/>
      <w:bookmarkStart w:id="38" w:name="_Toc35393627"/>
      <w:r/>
      <w:bookmarkStart w:id="39" w:name="_Toc28359085"/>
      <w:r>
        <w:rPr>
          <w:rFonts w:hint="eastAsia" w:ascii="宋体" w:hAnsi="宋体" w:eastAsia="宋体" w:cs="宋体"/>
          <w:color w:val="000000"/>
          <w:sz w:val="24"/>
          <w:szCs w:val="24"/>
          <w:lang w:val="en-US" w:eastAsia="zh-CN" w:bidi="ar"/>
        </w:rPr>
        <w:t xml:space="preserve">1.</w:t>
      </w:r>
      <w:r>
        <w:rPr>
          <w:rFonts w:hint="default" w:ascii="Times New Roman" w:hAnsi="宋体" w:eastAsia="宋体" w:cs="Times New Roman"/>
          <w:color w:val="000000"/>
          <w:sz w:val="24"/>
          <w:szCs w:val="24"/>
          <w:lang w:val="en-US" w:eastAsia="zh-CN" w:bidi="ar"/>
        </w:rPr>
        <w:t xml:space="preserve"> </w:t>
      </w:r>
      <w:r>
        <w:rPr>
          <w:rFonts w:hint="eastAsia" w:ascii="Times New Roman" w:hAnsi="宋体" w:eastAsia="宋体" w:cs="宋体"/>
          <w:color w:val="000000"/>
          <w:sz w:val="24"/>
          <w:szCs w:val="24"/>
          <w:lang w:val="en-US" w:eastAsia="zh-CN" w:bidi="ar"/>
        </w:rPr>
        <w:t xml:space="preserve">项目运维周期</w:t>
      </w:r>
      <w:r>
        <w:rPr>
          <w:rFonts w:hint="default" w:ascii="Times New Roman" w:hAnsi="宋体" w:eastAsia="宋体" w:cs="Times New Roman"/>
          <w:color w:val="000000"/>
          <w:sz w:val="24"/>
          <w:szCs w:val="24"/>
          <w:lang w:val="en-US" w:eastAsia="zh-CN" w:bidi="ar"/>
        </w:rPr>
        <w:t xml:space="preserve">1</w:t>
      </w:r>
      <w:r>
        <w:rPr>
          <w:rFonts w:hint="eastAsia" w:ascii="Times New Roman" w:hAnsi="宋体" w:eastAsia="宋体" w:cs="宋体"/>
          <w:color w:val="000000"/>
          <w:sz w:val="24"/>
          <w:szCs w:val="24"/>
          <w:lang w:val="en-US" w:eastAsia="zh-CN" w:bidi="ar"/>
        </w:rPr>
        <w:t xml:space="preserve">年，自合同签订之日起算；</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rPr>
        <w:suppressLineNumbers w:val="0"/>
      </w:pPr>
      <w:r>
        <w:rPr>
          <w:rFonts w:hint="default" w:ascii="Times New Roman" w:hAnsi="宋体" w:eastAsia="宋体" w:cs="Times New Roman"/>
          <w:color w:val="000000"/>
          <w:sz w:val="24"/>
          <w:szCs w:val="24"/>
          <w:lang w:val="en-US" w:eastAsia="zh-CN" w:bidi="ar"/>
        </w:rPr>
        <w:t xml:space="preserve">2.</w:t>
      </w:r>
      <w:r>
        <w:rPr>
          <w:rFonts w:hint="default" w:ascii="Times New Roman" w:hAnsi="宋体" w:eastAsia="宋体" w:cs="宋体"/>
          <w:bCs/>
          <w:sz w:val="24"/>
          <w:szCs w:val="21"/>
          <w:lang w:val="en-US" w:eastAsia="zh-CN" w:bidi="ar"/>
        </w:rPr>
        <w:t xml:space="preserve"> </w:t>
      </w:r>
      <w:r>
        <w:rPr>
          <w:rFonts w:hint="eastAsia" w:ascii="Times New Roman" w:hAnsi="宋体" w:eastAsia="宋体" w:cs="宋体"/>
          <w:bCs/>
          <w:sz w:val="24"/>
          <w:szCs w:val="21"/>
          <w:lang w:val="en-US" w:eastAsia="zh-CN" w:bidi="ar"/>
        </w:rPr>
        <w:t xml:space="preserve">项目如发生特殊情况，子项目运维期限发生变化或停止运维，所产生的运维费用按实际运维周期结算。</w:t>
      </w:r>
      <w:r/>
    </w:p>
    <w:p>
      <w:pPr>
        <w:pStyle w:val="959"/>
        <w:ind w:firstLine="452"/>
        <w:keepLines w:val="0"/>
        <w:keepNext w:val="0"/>
        <w:spacing w:before="0" w:after="0" w:line="360" w:lineRule="auto"/>
        <w:rPr>
          <w:color w:val="000000"/>
          <w:sz w:val="30"/>
          <w:szCs w:val="30"/>
          <w:highlight w:val="none"/>
        </w:rPr>
      </w:pPr>
      <w:r>
        <w:rPr>
          <w:rFonts w:hint="eastAsia"/>
          <w:color w:val="000000"/>
          <w:sz w:val="30"/>
          <w:szCs w:val="30"/>
          <w:highlight w:val="none"/>
        </w:rPr>
        <w:t xml:space="preserve">七、本项目联系方式</w:t>
      </w:r>
      <w:bookmarkEnd w:id="35"/>
      <w:r/>
      <w:bookmarkEnd w:id="36"/>
      <w:r/>
      <w:bookmarkEnd w:id="37"/>
      <w:r/>
      <w:bookmarkEnd w:id="38"/>
      <w:r/>
      <w:bookmarkEnd w:id="39"/>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1.集中采购机构：</w:t>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名称：无锡市滨湖区公共资源交易中心</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项目联系人：</w:t>
      </w:r>
      <w:r>
        <w:rPr>
          <w:rFonts w:hint="eastAsia" w:cs="宋体" w:asciiTheme="minorEastAsia" w:hAnsiTheme="minorEastAsia"/>
          <w:color w:val="000000" w:themeColor="text1"/>
          <w:sz w:val="24"/>
          <w:szCs w:val="24"/>
          <w:lang w:eastAsia="zh-CN"/>
        </w:rPr>
        <w:t xml:space="preserve">曹宝柱</w:t>
      </w:r>
      <w:r>
        <w:rPr>
          <w:rFonts w:hint="eastAsia" w:cs="宋体" w:asciiTheme="minorEastAsia" w:hAnsiTheme="minorEastAsia"/>
          <w:color w:val="000000" w:themeColor="text1"/>
          <w:sz w:val="24"/>
          <w:szCs w:val="24"/>
        </w:rPr>
        <w:t xml:space="preserve">  徐鹏飞 </w:t>
      </w:r>
      <w:r/>
    </w:p>
    <w:p>
      <w:pPr>
        <w:ind w:firstLine="480"/>
        <w:jc w:val="left"/>
        <w:spacing w:line="360" w:lineRule="auto"/>
        <w:shd w:val="clear" w:color="auto" w:fill="ffffff"/>
        <w:widowControl/>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电话：0510-811735</w:t>
      </w:r>
      <w:r>
        <w:rPr>
          <w:rFonts w:hint="eastAsia" w:cs="宋体" w:asciiTheme="minorEastAsia" w:hAnsiTheme="minorEastAsia"/>
          <w:color w:val="000000" w:themeColor="text1"/>
          <w:sz w:val="24"/>
          <w:szCs w:val="24"/>
          <w:lang w:val="en-US" w:eastAsia="zh-CN"/>
        </w:rPr>
        <w:t xml:space="preserve">50</w:t>
      </w:r>
      <w:r>
        <w:rPr>
          <w:rFonts w:hint="eastAsia" w:cs="宋体" w:asciiTheme="minorEastAsia" w:hAnsiTheme="minorEastAsia"/>
          <w:color w:val="000000" w:themeColor="text1"/>
          <w:sz w:val="24"/>
          <w:szCs w:val="24"/>
        </w:rPr>
        <w:t xml:space="preserve">             </w:t>
      </w:r>
      <w:r/>
    </w:p>
    <w:p>
      <w:pPr>
        <w:ind w:firstLine="480"/>
        <w:jc w:val="left"/>
        <w:spacing w:line="360" w:lineRule="auto"/>
        <w:shd w:val="clear" w:color="auto" w:fill="ffffff"/>
        <w:widowControl/>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地址： 无锡市滨湖区隐秀路152号   </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2.采购人：</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名称：</w:t>
      </w:r>
      <w:r>
        <w:rPr>
          <w:rFonts w:hint="eastAsia" w:ascii="宋体" w:hAnsi="宋体" w:eastAsia="宋体" w:cs="宋体"/>
          <w:color w:val="000000"/>
          <w:sz w:val="24"/>
          <w:szCs w:val="24"/>
          <w:lang w:val="en-US" w:eastAsia="zh-CN" w:bidi="ar"/>
        </w:rPr>
        <w:t xml:space="preserve">无锡市滨湖区数据局</w:t>
      </w:r>
      <w:r/>
    </w:p>
    <w:p>
      <w:pPr>
        <w:ind w:left="0" w:right="0" w:firstLine="480"/>
        <w:jc w:val="left"/>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shd w:val="clear" w:color="auto" w:fill="ffffff"/>
          <w:lang w:val="en-US"/>
        </w:rPr>
        <w:suppressLineNumbers w:val="0"/>
      </w:pPr>
      <w:r>
        <w:rPr>
          <w:rFonts w:hint="eastAsia" w:cs="宋体" w:asciiTheme="minorEastAsia" w:hAnsiTheme="minorEastAsia"/>
          <w:color w:val="000000" w:themeColor="text1"/>
          <w:sz w:val="24"/>
          <w:szCs w:val="24"/>
          <w:lang w:eastAsia="zh-CN"/>
        </w:rPr>
        <w:t xml:space="preserve">项目咨询</w:t>
      </w:r>
      <w:r>
        <w:rPr>
          <w:rFonts w:hint="eastAsia" w:cs="宋体" w:asciiTheme="minorEastAsia" w:hAnsiTheme="minorEastAsia"/>
          <w:color w:val="000000" w:themeColor="text1"/>
          <w:sz w:val="24"/>
          <w:szCs w:val="24"/>
        </w:rPr>
        <w:t xml:space="preserve">联系人：朱陵峰</w:t>
      </w:r>
      <w:r>
        <w:rPr>
          <w:rFonts w:hint="eastAsia" w:cs="宋体" w:asciiTheme="minorEastAsia" w:hAnsiTheme="minorEastAsia"/>
          <w:color w:val="000000" w:themeColor="text1"/>
          <w:sz w:val="24"/>
          <w:szCs w:val="24"/>
          <w:lang w:eastAsia="zh-CN"/>
        </w:rPr>
        <w:t xml:space="preserve">；</w:t>
      </w:r>
      <w:r>
        <w:rPr>
          <w:rFonts w:hint="eastAsia" w:cs="宋体" w:asciiTheme="minorEastAsia" w:hAnsiTheme="minorEastAsia"/>
          <w:color w:val="000000" w:themeColor="text1"/>
          <w:sz w:val="24"/>
          <w:szCs w:val="24"/>
        </w:rPr>
        <w:t xml:space="preserve">电话</w:t>
      </w:r>
      <w:r>
        <w:rPr>
          <w:rFonts w:hint="eastAsia" w:cs="宋体" w:asciiTheme="minorEastAsia" w:hAnsiTheme="minorEastAsia"/>
          <w:color w:val="000000" w:themeColor="text1"/>
          <w:sz w:val="24"/>
          <w:szCs w:val="24"/>
          <w:lang w:eastAsia="zh-CN"/>
        </w:rPr>
        <w:t xml:space="preserve">：</w:t>
      </w:r>
      <w:r>
        <w:rPr>
          <w:rFonts w:hint="eastAsia" w:ascii="宋体" w:hAnsi="宋体" w:eastAsia="宋体" w:cs="宋体"/>
          <w:color w:val="000000"/>
          <w:sz w:val="24"/>
          <w:szCs w:val="24"/>
          <w:shd w:val="clear" w:color="auto" w:fill="ffffff"/>
          <w:lang w:val="en-US" w:eastAsia="zh-CN" w:bidi="ar"/>
        </w:rPr>
        <w:t xml:space="preserve">0510-81175017</w:t>
      </w:r>
      <w:r/>
    </w:p>
    <w:p>
      <w:pPr>
        <w:ind w:firstLine="480"/>
        <w:jc w:val="left"/>
        <w:spacing w:line="360" w:lineRule="auto"/>
        <w:shd w:val="clear" w:color="auto" w:fill="ffffff"/>
        <w:widowControl/>
        <w:rPr>
          <w:rFonts w:hint="eastAsia" w:eastAsia="宋体" w:cs="宋体" w:asciiTheme="minorEastAsia" w:hAnsiTheme="minorEastAsia"/>
          <w:color w:val="000000" w:themeColor="text1"/>
          <w:sz w:val="24"/>
          <w:szCs w:val="24"/>
          <w:lang w:eastAsia="zh-CN"/>
        </w:rPr>
      </w:pPr>
      <w:r>
        <w:rPr>
          <w:rFonts w:hint="eastAsia" w:cs="宋体" w:asciiTheme="minorEastAsia" w:hAnsiTheme="minorEastAsia"/>
          <w:color w:val="000000" w:themeColor="text1"/>
          <w:sz w:val="24"/>
          <w:szCs w:val="24"/>
          <w:lang w:eastAsia="zh-CN"/>
        </w:rPr>
        <w:t xml:space="preserve">质疑受理联系人：</w:t>
      </w:r>
      <w:r>
        <w:rPr>
          <w:rFonts w:hint="eastAsia" w:cs="宋体" w:asciiTheme="minorEastAsia" w:hAnsiTheme="minorEastAsia"/>
          <w:color w:val="000000" w:themeColor="text1"/>
          <w:sz w:val="24"/>
          <w:szCs w:val="24"/>
        </w:rPr>
        <w:t xml:space="preserve">朱陵峰</w:t>
      </w:r>
      <w:r>
        <w:rPr>
          <w:rFonts w:hint="eastAsia" w:cs="宋体" w:asciiTheme="minorEastAsia" w:hAnsiTheme="minorEastAsia"/>
          <w:color w:val="000000" w:themeColor="text1"/>
          <w:sz w:val="24"/>
          <w:szCs w:val="24"/>
          <w:lang w:eastAsia="zh-CN"/>
        </w:rPr>
        <w:t xml:space="preserve">；</w:t>
      </w:r>
      <w:r>
        <w:rPr>
          <w:rFonts w:hint="eastAsia" w:cs="宋体" w:asciiTheme="minorEastAsia" w:hAnsiTheme="minorEastAsia"/>
          <w:color w:val="000000" w:themeColor="text1"/>
          <w:sz w:val="24"/>
          <w:szCs w:val="24"/>
        </w:rPr>
        <w:t xml:space="preserve">电话</w:t>
      </w:r>
      <w:r>
        <w:rPr>
          <w:rFonts w:hint="eastAsia" w:cs="宋体" w:asciiTheme="minorEastAsia" w:hAnsiTheme="minorEastAsia"/>
          <w:color w:val="000000" w:themeColor="text1"/>
          <w:sz w:val="24"/>
          <w:szCs w:val="24"/>
          <w:lang w:eastAsia="zh-CN"/>
        </w:rPr>
        <w:t xml:space="preserve">：</w:t>
      </w:r>
      <w:r>
        <w:rPr>
          <w:rFonts w:hint="eastAsia" w:ascii="宋体" w:hAnsi="宋体" w:eastAsia="宋体" w:cs="宋体"/>
          <w:color w:val="000000"/>
          <w:sz w:val="24"/>
          <w:szCs w:val="24"/>
          <w:shd w:val="clear" w:color="auto" w:fill="ffffff"/>
          <w:lang w:val="en-US" w:eastAsia="zh-CN" w:bidi="ar"/>
        </w:rPr>
        <w:t xml:space="preserve">0510-81175017</w:t>
      </w:r>
      <w:r/>
    </w:p>
    <w:p>
      <w:pPr>
        <w:ind w:firstLine="480"/>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color w:val="000000" w:themeColor="text1"/>
          <w:sz w:val="24"/>
          <w:szCs w:val="24"/>
        </w:rPr>
        <w:t xml:space="preserve">联系地址：</w:t>
      </w:r>
      <w:r>
        <w:rPr>
          <w:rFonts w:hint="eastAsia" w:cs="宋体" w:asciiTheme="minorEastAsia" w:hAnsiTheme="minorEastAsia"/>
          <w:color w:val="000000" w:themeColor="text1"/>
          <w:sz w:val="24"/>
          <w:szCs w:val="24"/>
        </w:rPr>
        <w:t xml:space="preserve">江苏省无锡市滨湖区金城西路500号-1</w:t>
      </w:r>
      <w:r>
        <w:rPr>
          <w:rFonts w:hint="eastAsia" w:cs="宋体" w:asciiTheme="minorEastAsia" w:hAnsiTheme="minorEastAsia"/>
          <w:color w:val="000000" w:themeColor="text1"/>
          <w:sz w:val="24"/>
          <w:szCs w:val="24"/>
        </w:rPr>
      </w:r>
      <w:r/>
    </w:p>
    <w:p>
      <w:pPr>
        <w:pStyle w:val="959"/>
        <w:ind w:firstLine="452"/>
        <w:keepLines w:val="0"/>
        <w:keepNext w:val="0"/>
        <w:spacing w:before="0" w:after="0" w:line="360" w:lineRule="auto"/>
        <w:rPr>
          <w:color w:val="000000"/>
          <w:sz w:val="30"/>
          <w:szCs w:val="30"/>
          <w:highlight w:val="none"/>
        </w:rPr>
      </w:pPr>
      <w:r>
        <w:rPr>
          <w:rFonts w:hint="eastAsia"/>
          <w:color w:val="000000"/>
          <w:sz w:val="30"/>
          <w:szCs w:val="30"/>
          <w:highlight w:val="none"/>
        </w:rPr>
        <w:t xml:space="preserve">八、其他</w:t>
      </w:r>
      <w:r/>
    </w:p>
    <w:p>
      <w:pPr>
        <w:ind w:firstLine="480"/>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p>
    <w:p>
      <w:pPr>
        <w:ind w:firstLine="480"/>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p>
    <w:p>
      <w:pPr>
        <w:ind w:firstLine="480"/>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p>
    <w:p>
      <w:pPr>
        <w:ind w:firstLine="480"/>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HYPERLINK "http://cz.wuxi.gov.cn/doc/2023/10/11/4080287.shtml" \t "_blank" \o "\“苏采云\”系统供应商操作手册"</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w:t>
      </w:r>
      <w:r/>
    </w:p>
    <w:p>
      <w:pPr>
        <w:ind w:firstLine="480"/>
        <w:spacing w:line="360" w:lineRule="auto"/>
        <w:shd w:val="clear" w:color="auto" w:fill="ffffff"/>
        <w:widowControl/>
        <w:rPr>
          <w:rFonts w:ascii="宋体" w:hAnsi="宋体"/>
          <w:color w:val="000000"/>
          <w:sz w:val="24"/>
          <w:szCs w:val="24"/>
          <w:highlight w:val="none"/>
        </w:rPr>
      </w:pPr>
      <w:r>
        <w:rPr>
          <w:rFonts w:ascii="宋体" w:hAnsi="宋体"/>
          <w:bCs/>
          <w:color w:val="000000"/>
          <w:sz w:val="24"/>
          <w:szCs w:val="24"/>
          <w:highlight w:val="none"/>
        </w:rPr>
        <w:t xml:space="preserve">技术支持QQ：孙先生：442456465；王先生：1476328133</w:t>
      </w:r>
      <w:r>
        <w:rPr>
          <w:rFonts w:hint="eastAsia" w:ascii="宋体" w:hAnsi="宋体"/>
          <w:bCs/>
          <w:color w:val="000000"/>
          <w:sz w:val="24"/>
          <w:szCs w:val="24"/>
          <w:highlight w:val="none"/>
        </w:rPr>
        <w:t xml:space="preserve">。</w:t>
      </w:r>
      <w:r/>
    </w:p>
    <w:p>
      <w:pPr>
        <w:ind w:firstLine="480"/>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（二）完成项目参与，获取招标文件</w:t>
      </w:r>
      <w:r/>
    </w:p>
    <w:p>
      <w:pPr>
        <w:ind w:firstLine="480"/>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文件，如确定参加本次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bCs/>
          <w:color w:val="000000"/>
          <w:sz w:val="24"/>
          <w:szCs w:val="24"/>
          <w:highlight w:val="none"/>
        </w:rPr>
        <w:t xml:space="preserve">招标文件提供期限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p>
    <w:p>
      <w:pPr>
        <w:ind w:firstLine="480"/>
        <w:spacing w:line="360" w:lineRule="auto"/>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w:t>
      </w:r>
      <w:r>
        <w:rPr>
          <w:rFonts w:hint="eastAsia" w:ascii="宋体" w:hAnsi="宋体"/>
          <w:bCs/>
          <w:color w:val="000000"/>
          <w:sz w:val="24"/>
          <w:szCs w:val="24"/>
          <w:highlight w:val="none"/>
          <w:lang w:eastAsia="zh-CN"/>
        </w:rPr>
        <w:t xml:space="preserve">无锡市滨湖区公共资源交易中心</w:t>
      </w:r>
      <w:r>
        <w:rPr>
          <w:rFonts w:hint="eastAsia" w:ascii="宋体" w:hAnsi="宋体"/>
          <w:bCs/>
          <w:color w:val="000000"/>
          <w:sz w:val="24"/>
          <w:szCs w:val="24"/>
          <w:highlight w:val="none"/>
        </w:rPr>
        <w:t xml:space="preserve">在“江苏政府采购网”发布的更正公告。</w:t>
      </w:r>
      <w:r/>
    </w:p>
    <w:p>
      <w:pPr>
        <w:ind w:firstLine="480"/>
        <w:spacing w:line="360" w:lineRule="auto"/>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（四）本次采购不收取投标保证金。</w:t>
      </w:r>
      <w:r/>
    </w:p>
    <w:p>
      <w:pPr>
        <w:ind w:firstLine="480"/>
        <w:spacing w:line="360" w:lineRule="auto"/>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p>
    <w:p>
      <w:pPr>
        <w:jc w:val="center"/>
        <w:spacing w:line="360" w:lineRule="auto"/>
        <w:tabs>
          <w:tab w:val="left" w:pos="1440" w:leader="none"/>
        </w:tabs>
        <w:rPr>
          <w:rFonts w:hint="eastAsia" w:ascii="黑体" w:hAnsi="黑体" w:eastAsia="黑体"/>
          <w:color w:val="000000"/>
          <w:sz w:val="36"/>
          <w:szCs w:val="36"/>
          <w:highlight w:val="none"/>
        </w:rPr>
        <w:outlineLvl w:val="0"/>
      </w:pPr>
      <w:r>
        <w:rPr>
          <w:rFonts w:ascii="宋体" w:hAnsi="宋体"/>
          <w:bCs/>
          <w:color w:val="000000"/>
          <w:sz w:val="24"/>
          <w:szCs w:val="24"/>
          <w:highlight w:val="none"/>
          <w:shd w:val="clear" w:color="ffffff" w:fill="d9d9d9"/>
        </w:rPr>
        <w:br w:type="page" w:clear="all"/>
      </w:r>
      <w:bookmarkStart w:id="40" w:name="_Toc120614211"/>
      <w:r>
        <w:rPr>
          <w:rFonts w:hint="eastAsia" w:ascii="黑体" w:hAnsi="黑体" w:eastAsia="黑体"/>
          <w:color w:val="000000"/>
          <w:sz w:val="36"/>
          <w:szCs w:val="36"/>
          <w:highlight w:val="none"/>
        </w:rPr>
        <w:t xml:space="preserve">第二章  </w:t>
      </w:r>
      <w:bookmarkEnd w:id="1"/>
      <w:r/>
      <w:bookmarkEnd w:id="2"/>
      <w:r/>
      <w:bookmarkEnd w:id="3"/>
      <w:r/>
      <w:bookmarkEnd w:id="4"/>
      <w:r/>
      <w:bookmarkEnd w:id="5"/>
      <w:r/>
      <w:bookmarkEnd w:id="40"/>
      <w:r/>
      <w:bookmarkStart w:id="41" w:name="_Toc20823274"/>
      <w:r/>
      <w:bookmarkStart w:id="42" w:name="_Toc16938518"/>
      <w:r/>
      <w:bookmarkStart w:id="43" w:name="_Toc513029202"/>
      <w:r/>
      <w:bookmarkStart w:id="44" w:name="_Toc120614213"/>
      <w:r>
        <w:rPr>
          <w:rFonts w:hint="eastAsia" w:ascii="黑体" w:hAnsi="黑体" w:eastAsia="黑体"/>
          <w:color w:val="000000"/>
          <w:sz w:val="36"/>
          <w:szCs w:val="36"/>
          <w:highlight w:val="none"/>
        </w:rPr>
        <w:t xml:space="preserve">投标人须知</w:t>
      </w:r>
      <w:bookmarkEnd w:id="41"/>
      <w:r/>
      <w:bookmarkEnd w:id="42"/>
      <w:r/>
      <w:bookmarkEnd w:id="43"/>
      <w:r/>
      <w:bookmarkEnd w:id="44"/>
      <w:r/>
      <w:r/>
    </w:p>
    <w:p>
      <w:pPr>
        <w:pStyle w:val="959"/>
        <w:ind w:firstLine="452"/>
        <w:keepLines w:val="0"/>
        <w:keepNext w:val="0"/>
        <w:spacing w:before="0" w:after="0" w:line="360" w:lineRule="auto"/>
        <w:rPr>
          <w:rFonts w:hint="eastAsia"/>
          <w:color w:val="000000"/>
          <w:sz w:val="30"/>
          <w:szCs w:val="30"/>
          <w:highlight w:val="none"/>
        </w:rPr>
      </w:pPr>
      <w:r/>
      <w:bookmarkStart w:id="45" w:name="_Toc513029203"/>
      <w:r/>
      <w:bookmarkStart w:id="46" w:name="_Toc120614214"/>
      <w:r/>
      <w:bookmarkStart w:id="47" w:name="_Toc20823275"/>
      <w:r/>
      <w:bookmarkStart w:id="48" w:name="_Toc16938519"/>
      <w:r>
        <w:rPr>
          <w:rFonts w:hint="eastAsia"/>
          <w:color w:val="000000"/>
          <w:sz w:val="30"/>
          <w:szCs w:val="30"/>
          <w:highlight w:val="none"/>
        </w:rPr>
        <w:t xml:space="preserve">一、总则</w:t>
      </w:r>
      <w:bookmarkEnd w:id="45"/>
      <w:r/>
      <w:bookmarkEnd w:id="46"/>
      <w:r/>
      <w:bookmarkEnd w:id="47"/>
      <w:r/>
      <w:bookmarkEnd w:id="48"/>
      <w:r/>
      <w:r/>
    </w:p>
    <w:p>
      <w:pPr>
        <w:pStyle w:val="960"/>
        <w:ind w:firstLine="422"/>
        <w:keepLines w:val="0"/>
        <w:keepNext w:val="0"/>
        <w:spacing w:before="0" w:after="0" w:line="360" w:lineRule="auto"/>
        <w:rPr>
          <w:rFonts w:hint="eastAsia" w:ascii="宋体" w:hAnsi="宋体" w:eastAsia="宋体"/>
          <w:bCs w:val="0"/>
          <w:color w:val="000000"/>
          <w:highlight w:val="none"/>
        </w:rPr>
      </w:pPr>
      <w:r/>
      <w:bookmarkStart w:id="49" w:name="_Hlt16619475"/>
      <w:r/>
      <w:bookmarkEnd w:id="49"/>
      <w:r/>
      <w:bookmarkStart w:id="50" w:name="_Toc20823276"/>
      <w:r/>
      <w:bookmarkStart w:id="51" w:name="_Toc513029204"/>
      <w:r/>
      <w:bookmarkStart w:id="52" w:name="_Toc16938520"/>
      <w:r>
        <w:rPr>
          <w:rFonts w:hint="eastAsia" w:ascii="宋体" w:hAnsi="宋体" w:eastAsia="宋体"/>
          <w:bCs w:val="0"/>
          <w:color w:val="000000"/>
          <w:highlight w:val="none"/>
        </w:rPr>
        <w:t xml:space="preserve">1.招标方式</w:t>
      </w:r>
      <w:bookmarkEnd w:id="50"/>
      <w:r/>
      <w:bookmarkEnd w:id="51"/>
      <w:r/>
      <w:bookmarkEnd w:id="52"/>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1.1本次招标采取公开招标方式，本招标文件仅适用于招标公告中所述项目。</w:t>
      </w:r>
      <w:r/>
    </w:p>
    <w:p>
      <w:pPr>
        <w:pStyle w:val="960"/>
        <w:ind w:firstLine="422"/>
        <w:keepLines w:val="0"/>
        <w:keepNext w:val="0"/>
        <w:spacing w:before="0" w:after="0" w:line="360" w:lineRule="auto"/>
        <w:rPr>
          <w:rFonts w:hint="eastAsia" w:ascii="宋体" w:hAnsi="宋体" w:eastAsia="宋体"/>
          <w:bCs w:val="0"/>
          <w:color w:val="000000"/>
          <w:highlight w:val="none"/>
        </w:rPr>
      </w:pPr>
      <w:r/>
      <w:bookmarkStart w:id="53" w:name="_Toc20823277"/>
      <w:r/>
      <w:bookmarkStart w:id="54" w:name="_Toc513029205"/>
      <w:r/>
      <w:bookmarkStart w:id="55" w:name="_Toc16938521"/>
      <w:r>
        <w:rPr>
          <w:rFonts w:hint="eastAsia" w:ascii="宋体" w:hAnsi="宋体" w:eastAsia="宋体"/>
          <w:bCs w:val="0"/>
          <w:color w:val="000000"/>
          <w:highlight w:val="none"/>
        </w:rPr>
        <w:t xml:space="preserve">2.</w:t>
      </w:r>
      <w:bookmarkEnd w:id="53"/>
      <w:r/>
      <w:bookmarkEnd w:id="54"/>
      <w:r/>
      <w:bookmarkEnd w:id="55"/>
      <w:r>
        <w:rPr>
          <w:rFonts w:hint="eastAsia" w:ascii="宋体" w:hAnsi="宋体" w:eastAsia="宋体"/>
          <w:bCs w:val="0"/>
          <w:color w:val="000000"/>
          <w:highlight w:val="none"/>
        </w:rPr>
        <w:t xml:space="preserve">采购人、采购代理机构、投标人、联合体</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60"/>
        <w:ind w:firstLine="422"/>
        <w:keepLines w:val="0"/>
        <w:keepNext w:val="0"/>
        <w:spacing w:before="0" w:after="0" w:line="360" w:lineRule="auto"/>
        <w:rPr>
          <w:rFonts w:hint="eastAsia" w:ascii="宋体" w:hAnsi="宋体" w:eastAsia="宋体"/>
          <w:bCs w:val="0"/>
          <w:color w:val="000000"/>
          <w:highlight w:val="none"/>
        </w:rPr>
      </w:pPr>
      <w:r/>
      <w:bookmarkStart w:id="56" w:name="_Toc20823278"/>
      <w:r/>
      <w:bookmarkStart w:id="57" w:name="_Toc513029206"/>
      <w:r/>
      <w:bookmarkStart w:id="58" w:name="_Toc16938522"/>
      <w:r>
        <w:rPr>
          <w:rFonts w:hint="eastAsia" w:ascii="宋体" w:hAnsi="宋体" w:eastAsia="宋体"/>
          <w:bCs w:val="0"/>
          <w:color w:val="000000"/>
          <w:highlight w:val="none"/>
        </w:rPr>
        <w:t xml:space="preserve">3.适用法律</w:t>
      </w:r>
      <w:bookmarkEnd w:id="56"/>
      <w:r/>
      <w:bookmarkEnd w:id="57"/>
      <w:r/>
      <w:bookmarkEnd w:id="58"/>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3.1本次招标及由此产生的合同受中华人民共和国法律的制约和保护。</w:t>
      </w:r>
      <w:r/>
    </w:p>
    <w:p>
      <w:pPr>
        <w:pStyle w:val="960"/>
        <w:ind w:firstLine="422"/>
        <w:keepLines w:val="0"/>
        <w:keepNext w:val="0"/>
        <w:spacing w:before="0" w:after="0" w:line="360" w:lineRule="auto"/>
        <w:rPr>
          <w:rFonts w:hint="eastAsia" w:ascii="宋体" w:hAnsi="宋体" w:eastAsia="宋体"/>
          <w:bCs w:val="0"/>
          <w:color w:val="000000"/>
          <w:highlight w:val="none"/>
        </w:rPr>
      </w:pPr>
      <w:r/>
      <w:bookmarkStart w:id="59" w:name="_Toc20823279"/>
      <w:r/>
      <w:bookmarkStart w:id="60" w:name="_Toc462564067"/>
      <w:r/>
      <w:bookmarkStart w:id="61" w:name="_Toc16938523"/>
      <w:r/>
      <w:bookmarkStart w:id="62" w:name="_Toc513029207"/>
      <w:r>
        <w:rPr>
          <w:rFonts w:hint="eastAsia" w:ascii="宋体" w:hAnsi="宋体" w:eastAsia="宋体"/>
          <w:bCs w:val="0"/>
          <w:color w:val="000000"/>
          <w:highlight w:val="none"/>
        </w:rPr>
        <w:t xml:space="preserve">4.投标费用</w:t>
      </w:r>
      <w:bookmarkEnd w:id="59"/>
      <w:r/>
      <w:bookmarkEnd w:id="60"/>
      <w:r/>
      <w:bookmarkEnd w:id="61"/>
      <w:r/>
      <w:bookmarkEnd w:id="62"/>
      <w:r/>
      <w:r/>
    </w:p>
    <w:p>
      <w:pPr>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投标人应自行承担所有与参加投标有关的费用，无论投标过程中的做法和结果如何，</w:t>
      </w:r>
      <w:r>
        <w:rPr>
          <w:rFonts w:hint="eastAsia" w:ascii="宋体" w:hAnsi="宋体"/>
          <w:color w:val="000000"/>
          <w:sz w:val="24"/>
          <w:highlight w:val="none"/>
          <w:lang w:eastAsia="zh-CN"/>
        </w:rPr>
        <w:t xml:space="preserve">无锡市滨湖区公共资源交易中心</w:t>
      </w:r>
      <w:r>
        <w:rPr>
          <w:rFonts w:hint="eastAsia" w:ascii="宋体" w:hAnsi="宋体"/>
          <w:color w:val="000000"/>
          <w:sz w:val="24"/>
          <w:highlight w:val="none"/>
        </w:rPr>
        <w:t xml:space="preserve">（以下简称交易中心）在任何情况下均无义务和责任承担这些费用。</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4.2本次招标标书工本费、中标服务费、招标文件均免费。</w:t>
      </w:r>
      <w:r/>
    </w:p>
    <w:p>
      <w:pPr>
        <w:pStyle w:val="960"/>
        <w:ind w:firstLine="422"/>
        <w:keepLines w:val="0"/>
        <w:keepNext w:val="0"/>
        <w:spacing w:before="0" w:after="0" w:line="360" w:lineRule="auto"/>
        <w:rPr>
          <w:rFonts w:hint="eastAsia" w:ascii="宋体" w:hAnsi="宋体" w:eastAsia="宋体"/>
          <w:bCs w:val="0"/>
          <w:color w:val="000000"/>
          <w:highlight w:val="none"/>
        </w:rPr>
      </w:pPr>
      <w:r>
        <w:rPr>
          <w:rFonts w:hint="eastAsia" w:ascii="宋体" w:hAnsi="宋体" w:eastAsia="宋体"/>
          <w:bCs w:val="0"/>
          <w:color w:val="000000"/>
          <w:highlight w:val="none"/>
        </w:rPr>
        <w:t xml:space="preserve">5.招标文件的约束力</w:t>
      </w:r>
      <w:r/>
    </w:p>
    <w:p>
      <w:pPr>
        <w:ind w:firstLine="480"/>
        <w:spacing w:line="360" w:lineRule="auto"/>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p>
    <w:p>
      <w:pPr>
        <w:pStyle w:val="959"/>
        <w:ind w:firstLine="452"/>
        <w:keepLines w:val="0"/>
        <w:keepNext w:val="0"/>
        <w:spacing w:before="0" w:after="0" w:line="360" w:lineRule="auto"/>
        <w:rPr>
          <w:rFonts w:hint="eastAsia"/>
          <w:color w:val="000000"/>
          <w:sz w:val="30"/>
          <w:szCs w:val="30"/>
          <w:highlight w:val="none"/>
        </w:rPr>
      </w:pPr>
      <w:r/>
      <w:bookmarkStart w:id="63" w:name="_Toc16938525"/>
      <w:r/>
      <w:bookmarkStart w:id="64" w:name="_Toc20823281"/>
      <w:r/>
      <w:bookmarkStart w:id="65" w:name="_Toc120614215"/>
      <w:r/>
      <w:bookmarkStart w:id="66" w:name="_Toc513029209"/>
      <w:r>
        <w:rPr>
          <w:rFonts w:hint="eastAsia"/>
          <w:color w:val="000000"/>
          <w:sz w:val="30"/>
          <w:szCs w:val="30"/>
          <w:highlight w:val="none"/>
        </w:rPr>
        <w:t xml:space="preserve">二、招标文件</w:t>
      </w:r>
      <w:bookmarkEnd w:id="63"/>
      <w:r/>
      <w:bookmarkEnd w:id="64"/>
      <w:r/>
      <w:bookmarkEnd w:id="65"/>
      <w:r/>
      <w:bookmarkEnd w:id="66"/>
      <w:r/>
      <w:r/>
    </w:p>
    <w:p>
      <w:pPr>
        <w:pStyle w:val="960"/>
        <w:ind w:firstLine="422"/>
        <w:keepLines w:val="0"/>
        <w:keepNext w:val="0"/>
        <w:spacing w:before="0" w:after="0" w:line="360" w:lineRule="auto"/>
        <w:rPr>
          <w:rFonts w:hint="eastAsia" w:ascii="宋体" w:hAnsi="宋体" w:eastAsia="宋体"/>
          <w:bCs w:val="0"/>
          <w:color w:val="000000"/>
          <w:highlight w:val="none"/>
        </w:rPr>
      </w:pPr>
      <w:r/>
      <w:bookmarkStart w:id="67" w:name="_Toc20823282"/>
      <w:r/>
      <w:bookmarkStart w:id="68" w:name="_Toc513029210"/>
      <w:r/>
      <w:bookmarkStart w:id="69" w:name="_Toc16938526"/>
      <w:r>
        <w:rPr>
          <w:rFonts w:hint="eastAsia" w:ascii="宋体" w:hAnsi="宋体" w:eastAsia="宋体"/>
          <w:bCs w:val="0"/>
          <w:color w:val="000000"/>
          <w:highlight w:val="none"/>
        </w:rPr>
        <w:t xml:space="preserve">6.招标文件构成</w:t>
      </w:r>
      <w:bookmarkEnd w:id="67"/>
      <w:r/>
      <w:bookmarkEnd w:id="68"/>
      <w:r/>
      <w:bookmarkEnd w:id="69"/>
      <w:r/>
      <w:r/>
    </w:p>
    <w:p>
      <w:pPr>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招标文件由以下部分组成：</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p>
    <w:p>
      <w:pPr>
        <w:ind w:firstLine="480"/>
        <w:spacing w:line="360" w:lineRule="auto"/>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（6）投标文件内容与格式</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请仔细检查招标文件是否齐全，如有缺漏请立即与交易中心联系解决。</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60"/>
        <w:ind w:firstLine="422"/>
        <w:keepLines w:val="0"/>
        <w:keepNext w:val="0"/>
        <w:spacing w:before="0" w:after="0" w:line="360" w:lineRule="auto"/>
        <w:rPr>
          <w:rFonts w:hint="eastAsia" w:ascii="宋体" w:hAnsi="宋体" w:eastAsia="宋体"/>
          <w:bCs w:val="0"/>
          <w:color w:val="000000"/>
          <w:highlight w:val="none"/>
        </w:rPr>
      </w:pPr>
      <w:r/>
      <w:bookmarkStart w:id="70" w:name="_Toc462564070"/>
      <w:r/>
      <w:bookmarkStart w:id="71" w:name="_Toc513029211"/>
      <w:r/>
      <w:bookmarkStart w:id="72" w:name="_Toc20823283"/>
      <w:r/>
      <w:bookmarkStart w:id="73" w:name="_Toc16938527"/>
      <w:r>
        <w:rPr>
          <w:rFonts w:hint="eastAsia" w:ascii="宋体" w:hAnsi="宋体" w:eastAsia="宋体"/>
          <w:bCs w:val="0"/>
          <w:color w:val="000000"/>
          <w:highlight w:val="none"/>
        </w:rPr>
        <w:t xml:space="preserve">7.招标文件的澄清</w:t>
      </w:r>
      <w:bookmarkEnd w:id="70"/>
      <w:r/>
      <w:bookmarkEnd w:id="71"/>
      <w:r/>
      <w:bookmarkEnd w:id="72"/>
      <w:r/>
      <w:bookmarkEnd w:id="73"/>
      <w:r/>
      <w:r/>
    </w:p>
    <w:p>
      <w:pPr>
        <w:ind w:firstLine="480"/>
        <w:spacing w:line="360" w:lineRule="auto"/>
        <w:rPr>
          <w:rFonts w:hint="eastAsia" w:ascii="宋体" w:hAnsi="宋体"/>
          <w:bCs/>
          <w:i/>
          <w:color w:val="000000"/>
          <w:sz w:val="24"/>
          <w:highlight w:val="none"/>
        </w:rPr>
      </w:pPr>
      <w:r>
        <w:rPr>
          <w:rFonts w:hint="eastAsia" w:ascii="宋体" w:hAnsi="宋体"/>
          <w:bCs/>
          <w:color w:val="000000"/>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960"/>
        <w:ind w:firstLine="422"/>
        <w:keepLines w:val="0"/>
        <w:keepNext w:val="0"/>
        <w:spacing w:before="0" w:after="0" w:line="360" w:lineRule="auto"/>
        <w:rPr>
          <w:rFonts w:hint="eastAsia" w:ascii="宋体" w:hAnsi="宋体" w:eastAsia="宋体"/>
          <w:bCs w:val="0"/>
          <w:color w:val="000000"/>
          <w:highlight w:val="none"/>
        </w:rPr>
      </w:pPr>
      <w:r/>
      <w:bookmarkStart w:id="74" w:name="_Toc20823284"/>
      <w:r/>
      <w:bookmarkStart w:id="75" w:name="_Toc16938528"/>
      <w:r/>
      <w:bookmarkStart w:id="76" w:name="_Toc513029212"/>
      <w:r/>
      <w:bookmarkStart w:id="77" w:name="_Toc462564071"/>
      <w:r>
        <w:rPr>
          <w:rFonts w:hint="eastAsia" w:ascii="宋体" w:hAnsi="宋体" w:eastAsia="宋体"/>
          <w:bCs w:val="0"/>
          <w:color w:val="000000"/>
          <w:highlight w:val="none"/>
        </w:rPr>
        <w:t xml:space="preserve">8.招标文件的修改</w:t>
      </w:r>
      <w:bookmarkEnd w:id="74"/>
      <w:r/>
      <w:bookmarkEnd w:id="75"/>
      <w:r/>
      <w:bookmarkEnd w:id="76"/>
      <w:r/>
      <w:bookmarkEnd w:id="77"/>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8.1交易中心可在投标截止时间十五日前对招标文件进行必要的澄清或者修改，不足十五日的，将顺延提交投标文件的截止时间和开标日期。</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8.2</w:t>
      </w:r>
      <w:r>
        <w:rPr>
          <w:rFonts w:hint="eastAsia" w:ascii="宋体" w:hAnsi="宋体"/>
          <w:bCs/>
          <w:color w:val="000000"/>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或未</w:t>
      </w:r>
      <w:r>
        <w:rPr>
          <w:rFonts w:hint="eastAsia" w:ascii="宋体" w:hAnsi="宋体"/>
          <w:color w:val="000000"/>
          <w:sz w:val="24"/>
          <w:szCs w:val="24"/>
          <w:highlight w:val="none"/>
          <w:lang w:eastAsia="zh-CN"/>
        </w:rPr>
        <w:t xml:space="preserve">全面</w:t>
      </w:r>
      <w:r>
        <w:rPr>
          <w:rFonts w:hint="eastAsia" w:ascii="宋体" w:hAnsi="宋体"/>
          <w:bCs/>
          <w:color w:val="000000"/>
          <w:sz w:val="24"/>
          <w:szCs w:val="24"/>
          <w:highlight w:val="none"/>
        </w:rPr>
        <w:t xml:space="preserve">关注更正公告导致其提交的投标材料不符合本项目相关招标要求，而造成的损失及风险（包括但不限于未中标）由投标人自行承担。</w:t>
      </w:r>
      <w:r/>
    </w:p>
    <w:p>
      <w:pPr>
        <w:pStyle w:val="959"/>
        <w:ind w:firstLine="452"/>
        <w:keepLines w:val="0"/>
        <w:keepNext w:val="0"/>
        <w:spacing w:before="0" w:after="0" w:line="360" w:lineRule="auto"/>
        <w:rPr>
          <w:rFonts w:hint="eastAsia"/>
          <w:color w:val="000000"/>
          <w:sz w:val="30"/>
          <w:szCs w:val="30"/>
          <w:highlight w:val="none"/>
        </w:rPr>
      </w:pPr>
      <w:r/>
      <w:bookmarkStart w:id="78" w:name="_Toc16938529"/>
      <w:r/>
      <w:bookmarkStart w:id="79" w:name="_Toc20823285"/>
      <w:r/>
      <w:bookmarkStart w:id="80" w:name="_Toc513029213"/>
      <w:r/>
      <w:bookmarkStart w:id="81" w:name="_Toc462564072"/>
      <w:r/>
      <w:bookmarkStart w:id="82" w:name="_Toc120614216"/>
      <w:r>
        <w:rPr>
          <w:rFonts w:hint="eastAsia"/>
          <w:color w:val="000000"/>
          <w:sz w:val="30"/>
          <w:szCs w:val="30"/>
          <w:highlight w:val="none"/>
        </w:rPr>
        <w:t xml:space="preserve">三、投标文件的编制</w:t>
      </w:r>
      <w:bookmarkEnd w:id="78"/>
      <w:r/>
      <w:bookmarkEnd w:id="79"/>
      <w:r/>
      <w:bookmarkEnd w:id="80"/>
      <w:r/>
      <w:bookmarkEnd w:id="81"/>
      <w:r/>
      <w:bookmarkEnd w:id="82"/>
      <w:r/>
      <w:r/>
    </w:p>
    <w:p>
      <w:pPr>
        <w:pStyle w:val="960"/>
        <w:ind w:firstLine="422"/>
        <w:keepLines w:val="0"/>
        <w:keepNext w:val="0"/>
        <w:spacing w:before="0" w:after="0" w:line="360" w:lineRule="auto"/>
        <w:rPr>
          <w:rFonts w:hint="eastAsia" w:ascii="宋体" w:hAnsi="宋体" w:eastAsia="宋体"/>
          <w:bCs w:val="0"/>
          <w:color w:val="000000"/>
          <w:highlight w:val="none"/>
        </w:rPr>
      </w:pPr>
      <w:r/>
      <w:bookmarkStart w:id="83" w:name="_Toc16938530"/>
      <w:r/>
      <w:bookmarkStart w:id="84" w:name="_Toc462564073"/>
      <w:r/>
      <w:bookmarkStart w:id="85" w:name="_Toc20823286"/>
      <w:r/>
      <w:bookmarkStart w:id="86" w:name="_Toc513029214"/>
      <w:r>
        <w:rPr>
          <w:rFonts w:hint="eastAsia" w:ascii="宋体" w:hAnsi="宋体" w:eastAsia="宋体"/>
          <w:bCs w:val="0"/>
          <w:color w:val="000000"/>
          <w:highlight w:val="none"/>
        </w:rPr>
        <w:t xml:space="preserve">9.投标文件的语言及度量衡单位</w:t>
      </w:r>
      <w:bookmarkEnd w:id="83"/>
      <w:r/>
      <w:bookmarkEnd w:id="84"/>
      <w:r/>
      <w:bookmarkEnd w:id="85"/>
      <w:r/>
      <w:bookmarkEnd w:id="86"/>
      <w:r/>
      <w:r/>
    </w:p>
    <w:p>
      <w:pPr>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投标人提交的投标文件以及投标人与交易中心就有关投标的所有来往通知、函件和文件均应使用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p>
    <w:p>
      <w:pPr>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除技术性能另有规定外，投标文件所使用的度量衡单位，均须采用国家法定计量单位。</w:t>
      </w:r>
      <w:r/>
    </w:p>
    <w:p>
      <w:pPr>
        <w:pStyle w:val="960"/>
        <w:ind w:firstLine="422"/>
        <w:keepLines w:val="0"/>
        <w:keepNext w:val="0"/>
        <w:spacing w:before="0" w:after="0" w:line="360" w:lineRule="auto"/>
        <w:rPr>
          <w:rFonts w:hint="eastAsia" w:ascii="宋体" w:hAnsi="宋体" w:eastAsia="宋体"/>
          <w:bCs w:val="0"/>
          <w:color w:val="000000"/>
          <w:highlight w:val="none"/>
        </w:rPr>
      </w:pPr>
      <w:r/>
      <w:bookmarkStart w:id="87" w:name="_Toc462564074"/>
      <w:r/>
      <w:bookmarkStart w:id="88" w:name="_Toc16938531"/>
      <w:r/>
      <w:bookmarkStart w:id="89" w:name="_Toc20823287"/>
      <w:r/>
      <w:bookmarkStart w:id="90" w:name="_Toc513029215"/>
      <w:r>
        <w:rPr>
          <w:rFonts w:hint="eastAsia" w:ascii="宋体" w:hAnsi="宋体" w:eastAsia="宋体"/>
          <w:bCs w:val="0"/>
          <w:color w:val="000000"/>
          <w:highlight w:val="none"/>
        </w:rPr>
        <w:t xml:space="preserve">10.投标文件构成</w:t>
      </w:r>
      <w:bookmarkEnd w:id="87"/>
      <w:r/>
      <w:bookmarkEnd w:id="88"/>
      <w:r/>
      <w:bookmarkEnd w:id="89"/>
      <w:r/>
      <w:bookmarkEnd w:id="90"/>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10.2投标人所须提供的相关证明文件和要求以及投标文件的部分格式要求，详见第六章《投标文件内容与格式》。</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10.3如标书制作工具中格式和内容与招标文件不一致的，请以招标文件为准。</w:t>
      </w:r>
      <w:r/>
    </w:p>
    <w:p>
      <w:pPr>
        <w:ind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rPr>
        <w:t xml:space="preserve">不得有体现投标人身份的内容是指：</w:t>
      </w:r>
      <w:r/>
    </w:p>
    <w:p>
      <w:p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10.4.1技术部分不得出现能够体现投标人身份、名称的相关描述、材料、文件等内容；</w:t>
      </w:r>
      <w:r/>
    </w:p>
    <w:p>
      <w:p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10.4.2技术部分不得更改，不得在其中涂改、标注或做任何可以辨认投标人及所属人员身份的名称、印章、商标等标记；</w:t>
      </w:r>
      <w:r/>
    </w:p>
    <w:p>
      <w:p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10.4.3技术部分应当版面整洁、字迹清楚、不许批注或进行底纹、阴影、水印等特殊设置，不得采用任何不符合常规、有别于其他投标人的特殊做法；</w:t>
      </w:r>
      <w:r/>
    </w:p>
    <w:p>
      <w:p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10.4.4不得有其他体现投标人身份的内容。</w:t>
      </w:r>
      <w:r/>
    </w:p>
    <w:p>
      <w:pPr>
        <w:ind w:firstLine="361"/>
        <w:spacing w:line="360" w:lineRule="auto"/>
        <w:rPr>
          <w:rFonts w:hint="eastAsia" w:ascii="宋体" w:hAnsi="宋体" w:eastAsia="宋体" w:cs="宋体"/>
          <w:sz w:val="24"/>
          <w:highlight w:val="none"/>
        </w:rPr>
      </w:pPr>
      <w:r>
        <w:rPr>
          <w:rFonts w:hint="eastAsia" w:ascii="宋体" w:hAnsi="宋体" w:eastAsia="宋体" w:cs="宋体"/>
          <w:b/>
          <w:sz w:val="24"/>
          <w:szCs w:val="24"/>
          <w:highlight w:val="none"/>
        </w:rPr>
        <w:t xml:space="preserve">10.5排版要求：使用PDF文件形式，A4纸大小，字体为黑色、小四号宋体，不得出现手写，不得设置页眉，页脚只准出现页码，采用小5号阿拉伯数字格式，设在页脚对中位置，页码应当连续，不得有空白页；如有表格，表格中字体用宋体字，字号不作限制。如有图片要为彩色，图片不得出现能显示企业特征或其他提示性的标记或标识。</w:t>
      </w:r>
      <w:r/>
    </w:p>
    <w:p>
      <w:pPr>
        <w:pStyle w:val="960"/>
        <w:ind w:firstLine="422"/>
        <w:keepLines w:val="0"/>
        <w:keepNext w:val="0"/>
        <w:spacing w:before="0" w:after="0" w:line="360" w:lineRule="auto"/>
        <w:rPr>
          <w:rFonts w:hint="eastAsia" w:ascii="宋体" w:hAnsi="宋体" w:eastAsia="宋体"/>
          <w:bCs w:val="0"/>
          <w:color w:val="000000"/>
          <w:highlight w:val="none"/>
        </w:rPr>
      </w:pPr>
      <w:r/>
      <w:bookmarkStart w:id="91" w:name="_Hlt26670360"/>
      <w:r/>
      <w:bookmarkEnd w:id="91"/>
      <w:r/>
      <w:bookmarkStart w:id="92" w:name="_Hlt26668975"/>
      <w:r/>
      <w:bookmarkEnd w:id="92"/>
      <w:r/>
      <w:bookmarkStart w:id="93" w:name="_Hlt26954838"/>
      <w:r/>
      <w:bookmarkEnd w:id="93"/>
      <w:r/>
      <w:bookmarkStart w:id="94" w:name="_Toc513029219"/>
      <w:r/>
      <w:bookmarkStart w:id="95" w:name="_Toc49090509"/>
      <w:r/>
      <w:bookmarkStart w:id="96" w:name="_Toc14577357"/>
      <w:r/>
      <w:bookmarkStart w:id="97" w:name="_Toc49090507"/>
      <w:r/>
      <w:bookmarkStart w:id="98" w:name="_Toc513029216"/>
      <w:r/>
      <w:bookmarkStart w:id="99" w:name="_Toc14577354"/>
      <w:r>
        <w:rPr>
          <w:rFonts w:hint="eastAsia" w:ascii="宋体" w:hAnsi="宋体" w:eastAsia="宋体"/>
          <w:bCs w:val="0"/>
          <w:color w:val="000000"/>
          <w:highlight w:val="none"/>
        </w:rPr>
        <w:t xml:space="preserve">11.证明投标人及投标标的符合招标文件规定的文件</w:t>
      </w:r>
      <w:bookmarkEnd w:id="94"/>
      <w:r/>
      <w:bookmarkEnd w:id="95"/>
      <w:r/>
      <w:bookmarkEnd w:id="96"/>
      <w:r/>
      <w:bookmarkEnd w:id="97"/>
      <w:r/>
      <w:bookmarkEnd w:id="98"/>
      <w:r/>
      <w:bookmarkEnd w:id="99"/>
      <w:r/>
      <w:r/>
    </w:p>
    <w:p>
      <w:pPr>
        <w:ind w:firstLine="480"/>
        <w:spacing w:line="360" w:lineRule="auto"/>
        <w:rPr>
          <w:rFonts w:hint="eastAsia" w:ascii="宋体" w:hAnsi="宋体"/>
          <w:bCs/>
          <w:color w:val="000000"/>
          <w:sz w:val="24"/>
          <w:highlight w:val="none"/>
        </w:rPr>
      </w:pPr>
      <w:r/>
      <w:bookmarkStart w:id="100" w:name="_Toc14577355"/>
      <w:r/>
      <w:bookmarkStart w:id="101" w:name="_Toc49090508"/>
      <w:r>
        <w:rPr>
          <w:rFonts w:hint="eastAsia" w:ascii="宋体" w:hAnsi="宋体"/>
          <w:bCs/>
          <w:color w:val="000000"/>
          <w:sz w:val="24"/>
          <w:highlight w:val="none"/>
        </w:rPr>
        <w:t xml:space="preserve">11.1投标人应按照法律法规、规章和规范性文件以及招标文件要求提交证明文件，证明其投标标的符合招标文件规定。</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p>
    <w:p>
      <w:pPr>
        <w:pStyle w:val="960"/>
        <w:ind w:firstLine="422"/>
        <w:keepLines w:val="0"/>
        <w:keepNext w:val="0"/>
        <w:spacing w:before="0" w:after="0" w:line="360" w:lineRule="auto"/>
        <w:rPr>
          <w:rFonts w:hint="eastAsia" w:ascii="宋体" w:hAnsi="宋体" w:eastAsia="宋体"/>
          <w:bCs w:val="0"/>
          <w:color w:val="000000"/>
          <w:highlight w:val="none"/>
        </w:rPr>
      </w:pPr>
      <w:r/>
      <w:bookmarkStart w:id="102" w:name="_Toc14577359"/>
      <w:r/>
      <w:bookmarkStart w:id="103" w:name="_Toc49090510"/>
      <w:r>
        <w:rPr>
          <w:rFonts w:hint="eastAsia" w:ascii="宋体" w:hAnsi="宋体" w:eastAsia="宋体"/>
          <w:bCs w:val="0"/>
          <w:color w:val="000000"/>
          <w:highlight w:val="none"/>
        </w:rPr>
        <w:t xml:space="preserve">12.投标函、承诺书和开标一览表</w:t>
      </w:r>
      <w:r/>
    </w:p>
    <w:p>
      <w:pPr>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360" w:lineRule="auto"/>
        <w:rPr>
          <w:rFonts w:hint="eastAsia" w:ascii="宋体" w:hAnsi="宋体"/>
          <w:bCs/>
          <w:color w:val="000000"/>
          <w:sz w:val="24"/>
          <w:highlight w:val="none"/>
        </w:rPr>
      </w:pPr>
      <w:r>
        <w:rPr>
          <w:rFonts w:hint="eastAsia" w:ascii="宋体" w:hAnsi="宋体"/>
          <w:color w:val="000000"/>
          <w:sz w:val="24"/>
          <w:highlight w:val="none"/>
        </w:rPr>
        <w:t xml:space="preserve">12.2对于采用货币报价的项目，开标一览表中的投标总报价应与分项报价表的总额一致，如不一致，不作为无效投标处理，但评标时按开标一览表中价格为准。</w:t>
      </w:r>
      <w:bookmarkEnd w:id="102"/>
      <w:r/>
      <w:bookmarkEnd w:id="103"/>
      <w:r/>
      <w:r/>
    </w:p>
    <w:p>
      <w:pPr>
        <w:pStyle w:val="960"/>
        <w:ind w:firstLine="422"/>
        <w:keepLines w:val="0"/>
        <w:keepNext w:val="0"/>
        <w:spacing w:before="0" w:after="0" w:line="360" w:lineRule="auto"/>
        <w:rPr>
          <w:rFonts w:hint="eastAsia" w:ascii="宋体" w:hAnsi="宋体" w:eastAsia="宋体"/>
          <w:bCs w:val="0"/>
          <w:color w:val="000000"/>
          <w:highlight w:val="none"/>
        </w:rPr>
      </w:pPr>
      <w:r>
        <w:rPr>
          <w:rFonts w:hint="eastAsia" w:ascii="宋体" w:hAnsi="宋体" w:eastAsia="宋体"/>
          <w:bCs w:val="0"/>
          <w:color w:val="000000"/>
          <w:highlight w:val="none"/>
        </w:rPr>
        <w:t xml:space="preserve">13.</w:t>
      </w:r>
      <w:bookmarkEnd w:id="100"/>
      <w:r/>
      <w:bookmarkEnd w:id="101"/>
      <w:r>
        <w:rPr>
          <w:rFonts w:hint="eastAsia" w:ascii="宋体" w:hAnsi="宋体" w:eastAsia="宋体"/>
          <w:bCs w:val="0"/>
          <w:color w:val="000000"/>
          <w:highlight w:val="none"/>
        </w:rPr>
        <w:t xml:space="preserve">分项报价表</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投</w:t>
      </w:r>
      <w:bookmarkStart w:id="104" w:name="_Hlt26954840"/>
      <w:r/>
      <w:bookmarkEnd w:id="104"/>
      <w:r>
        <w:rPr>
          <w:rFonts w:hint="eastAsia" w:ascii="宋体" w:hAnsi="宋体"/>
          <w:color w:val="000000"/>
          <w:sz w:val="24"/>
          <w:highlight w:val="none"/>
        </w:rPr>
        <w:t xml:space="preserve">标人应按照招标文件规定格式填报</w:t>
      </w:r>
      <w:bookmarkStart w:id="105" w:name="_Hlt26670399"/>
      <w:r/>
      <w:bookmarkEnd w:id="105"/>
      <w:r>
        <w:rPr>
          <w:rFonts w:hint="eastAsia" w:ascii="宋体" w:hAnsi="宋体"/>
          <w:color w:val="000000"/>
          <w:sz w:val="24"/>
          <w:highlight w:val="none"/>
        </w:rPr>
        <w:t xml:space="preserve">分项报价表。</w:t>
      </w:r>
      <w:r/>
    </w:p>
    <w:p>
      <w:pPr>
        <w:ind w:firstLine="480"/>
        <w:spacing w:line="360" w:lineRule="auto"/>
        <w:rPr>
          <w:rFonts w:hint="eastAsia" w:ascii="宋体" w:hAnsi="宋体"/>
          <w:bCs/>
          <w:color w:val="000000"/>
          <w:sz w:val="24"/>
          <w:highlight w:val="none"/>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p>
    <w:p>
      <w:pPr>
        <w:pStyle w:val="960"/>
        <w:ind w:firstLine="422"/>
        <w:keepLines w:val="0"/>
        <w:keepNext w:val="0"/>
        <w:spacing w:before="0" w:after="0" w:line="360" w:lineRule="auto"/>
        <w:rPr>
          <w:rFonts w:hint="eastAsia" w:ascii="宋体" w:hAnsi="宋体" w:eastAsia="宋体"/>
          <w:bCs w:val="0"/>
          <w:color w:val="000000"/>
          <w:highlight w:val="none"/>
        </w:rPr>
      </w:pPr>
      <w:r/>
      <w:bookmarkStart w:id="106" w:name="_Hlt26954842"/>
      <w:r/>
      <w:bookmarkEnd w:id="106"/>
      <w:r/>
      <w:bookmarkStart w:id="107" w:name="_Hlt26670425"/>
      <w:r/>
      <w:bookmarkEnd w:id="107"/>
      <w:r/>
      <w:bookmarkStart w:id="108" w:name="_Hlt26670482"/>
      <w:r/>
      <w:bookmarkEnd w:id="108"/>
      <w:r/>
      <w:bookmarkStart w:id="109" w:name="_Hlt26954846"/>
      <w:r/>
      <w:bookmarkEnd w:id="109"/>
      <w:r/>
      <w:bookmarkStart w:id="110" w:name="_Hlt26670403"/>
      <w:r/>
      <w:bookmarkEnd w:id="110"/>
      <w:r/>
      <w:bookmarkStart w:id="111" w:name="_Hlt26954848"/>
      <w:r/>
      <w:bookmarkEnd w:id="111"/>
      <w:r/>
      <w:bookmarkStart w:id="112" w:name="_Hlt26954844"/>
      <w:r/>
      <w:bookmarkEnd w:id="112"/>
      <w:r/>
      <w:bookmarkStart w:id="113" w:name="_Hlt26668983"/>
      <w:r/>
      <w:bookmarkEnd w:id="113"/>
      <w:r/>
      <w:bookmarkStart w:id="114" w:name="_Hlt26670486"/>
      <w:r/>
      <w:bookmarkEnd w:id="114"/>
      <w:r/>
      <w:bookmarkStart w:id="115" w:name="_Hlt26954731"/>
      <w:r/>
      <w:bookmarkEnd w:id="115"/>
      <w:r>
        <w:rPr>
          <w:rFonts w:hint="eastAsia" w:ascii="宋体" w:hAnsi="宋体" w:eastAsia="宋体"/>
          <w:bCs w:val="0"/>
          <w:color w:val="000000"/>
          <w:highlight w:val="none"/>
        </w:rPr>
        <w:t xml:space="preserve">14.投标偏离表</w:t>
      </w:r>
      <w:r/>
    </w:p>
    <w:p>
      <w:pPr>
        <w:ind w:firstLine="480"/>
        <w:spacing w:line="360" w:lineRule="auto"/>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投标人可在投标文件中提供认为需要的其他技术文件或说明。</w:t>
      </w:r>
      <w:r/>
    </w:p>
    <w:p>
      <w:pPr>
        <w:pStyle w:val="960"/>
        <w:ind w:firstLine="422"/>
        <w:keepLines w:val="0"/>
        <w:keepNext w:val="0"/>
        <w:spacing w:before="0" w:after="0" w:line="360" w:lineRule="auto"/>
        <w:rPr>
          <w:rFonts w:hint="eastAsia" w:ascii="宋体" w:hAnsi="宋体" w:eastAsia="宋体"/>
          <w:bCs w:val="0"/>
          <w:color w:val="000000"/>
          <w:highlight w:val="none"/>
        </w:rPr>
      </w:pPr>
      <w:r/>
      <w:bookmarkStart w:id="116" w:name="_Hlt26954850"/>
      <w:r/>
      <w:bookmarkEnd w:id="116"/>
      <w:r/>
      <w:bookmarkStart w:id="117" w:name="_Hlt26954734"/>
      <w:r/>
      <w:bookmarkEnd w:id="117"/>
      <w:r/>
      <w:bookmarkStart w:id="118" w:name="_Hlt26670489"/>
      <w:r/>
      <w:bookmarkEnd w:id="118"/>
      <w:r/>
      <w:bookmarkStart w:id="119" w:name="_Toc49090511"/>
      <w:r/>
      <w:bookmarkStart w:id="120" w:name="_Toc14577360"/>
      <w:r>
        <w:rPr>
          <w:rFonts w:hint="eastAsia" w:ascii="宋体" w:hAnsi="宋体" w:eastAsia="宋体"/>
          <w:bCs w:val="0"/>
          <w:color w:val="000000"/>
          <w:highlight w:val="none"/>
        </w:rPr>
        <w:t xml:space="preserve">15.投标有效期</w:t>
      </w:r>
      <w:bookmarkEnd w:id="119"/>
      <w:r/>
      <w:bookmarkEnd w:id="120"/>
      <w:r/>
      <w:r/>
    </w:p>
    <w:p>
      <w:pPr>
        <w:ind w:firstLine="480"/>
        <w:spacing w:line="360" w:lineRule="auto"/>
        <w:rPr>
          <w:rFonts w:hint="eastAsia"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投标有效期为招标文件规定的开标之日后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p>
    <w:p>
      <w:pPr>
        <w:pStyle w:val="960"/>
        <w:ind w:firstLine="422"/>
        <w:keepLines w:val="0"/>
        <w:keepNext w:val="0"/>
        <w:spacing w:before="0" w:after="0" w:line="360" w:lineRule="auto"/>
        <w:rPr>
          <w:rFonts w:hint="eastAsia" w:ascii="宋体" w:hAnsi="宋体" w:eastAsia="宋体"/>
          <w:bCs w:val="0"/>
          <w:color w:val="000000"/>
          <w:highlight w:val="none"/>
        </w:rPr>
      </w:pPr>
      <w:r>
        <w:rPr>
          <w:rFonts w:hint="eastAsia" w:ascii="宋体" w:hAnsi="宋体" w:eastAsia="宋体"/>
          <w:bCs w:val="0"/>
          <w:color w:val="000000"/>
          <w:highlight w:val="none"/>
        </w:rPr>
        <w:t xml:space="preserve">16.投标有效期的延长</w:t>
      </w:r>
      <w:r/>
    </w:p>
    <w:p>
      <w:pPr>
        <w:ind w:firstLine="480"/>
        <w:spacing w:line="360" w:lineRule="auto"/>
        <w:rPr>
          <w:rFonts w:hint="eastAsia"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p>
    <w:p>
      <w:pPr>
        <w:pStyle w:val="959"/>
        <w:ind w:firstLine="452"/>
        <w:keepLines w:val="0"/>
        <w:keepNext w:val="0"/>
        <w:spacing w:before="0" w:after="0" w:line="360" w:lineRule="auto"/>
        <w:rPr>
          <w:rFonts w:hint="eastAsia"/>
          <w:color w:val="000000"/>
          <w:sz w:val="30"/>
          <w:szCs w:val="30"/>
          <w:highlight w:val="none"/>
        </w:rPr>
      </w:pPr>
      <w:r/>
      <w:bookmarkStart w:id="121" w:name="_Hlt26954739"/>
      <w:r/>
      <w:bookmarkEnd w:id="121"/>
      <w:r/>
      <w:bookmarkStart w:id="122" w:name="_Hlt26954852"/>
      <w:r/>
      <w:bookmarkEnd w:id="122"/>
      <w:r/>
      <w:bookmarkStart w:id="123" w:name="_Toc513029224"/>
      <w:r/>
      <w:bookmarkStart w:id="124" w:name="_Toc120614217"/>
      <w:r/>
      <w:bookmarkStart w:id="125" w:name="_Toc20823296"/>
      <w:r/>
      <w:bookmarkStart w:id="126" w:name="_Toc16938540"/>
      <w:r>
        <w:rPr>
          <w:rFonts w:hint="eastAsia"/>
          <w:color w:val="000000"/>
          <w:sz w:val="30"/>
          <w:szCs w:val="30"/>
          <w:highlight w:val="none"/>
        </w:rPr>
        <w:t xml:space="preserve">四、投标文件的递交</w:t>
      </w:r>
      <w:bookmarkEnd w:id="123"/>
      <w:r/>
      <w:bookmarkEnd w:id="124"/>
      <w:r/>
      <w:bookmarkEnd w:id="125"/>
      <w:r/>
      <w:bookmarkEnd w:id="126"/>
      <w:r/>
      <w:r/>
    </w:p>
    <w:p>
      <w:pPr>
        <w:pStyle w:val="960"/>
        <w:ind w:firstLine="422"/>
        <w:keepLines w:val="0"/>
        <w:keepNext w:val="0"/>
        <w:spacing w:before="0" w:after="0" w:line="360" w:lineRule="auto"/>
        <w:rPr>
          <w:rFonts w:hint="eastAsia" w:ascii="宋体" w:hAnsi="宋体" w:eastAsia="宋体"/>
          <w:bCs w:val="0"/>
          <w:color w:val="000000"/>
          <w:highlight w:val="none"/>
        </w:rPr>
      </w:pPr>
      <w:r/>
      <w:bookmarkStart w:id="127" w:name="_Toc20823297"/>
      <w:r/>
      <w:bookmarkStart w:id="128" w:name="_Toc16938541"/>
      <w:r/>
      <w:bookmarkStart w:id="129" w:name="_Toc513029225"/>
      <w:r/>
      <w:bookmarkStart w:id="130" w:name="_Toc462564084"/>
      <w:r>
        <w:rPr>
          <w:rFonts w:hint="eastAsia" w:ascii="宋体" w:hAnsi="宋体" w:eastAsia="宋体"/>
          <w:bCs w:val="0"/>
          <w:color w:val="000000"/>
          <w:highlight w:val="none"/>
        </w:rPr>
        <w:t xml:space="preserve">17.投标文件</w:t>
      </w:r>
      <w:bookmarkEnd w:id="127"/>
      <w:r/>
      <w:bookmarkEnd w:id="128"/>
      <w:r/>
      <w:bookmarkEnd w:id="129"/>
      <w:r/>
      <w:bookmarkEnd w:id="130"/>
      <w:r>
        <w:rPr>
          <w:rFonts w:hint="eastAsia" w:ascii="宋体" w:hAnsi="宋体" w:eastAsia="宋体"/>
          <w:bCs w:val="0"/>
          <w:color w:val="000000"/>
          <w:highlight w:val="none"/>
        </w:rPr>
        <w:t xml:space="preserve">的递交</w:t>
      </w:r>
      <w:r/>
    </w:p>
    <w:p>
      <w:pPr>
        <w:ind w:firstLine="480"/>
        <w:spacing w:line="360" w:lineRule="auto"/>
        <w:rPr>
          <w:rFonts w:hint="eastAsia"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电子投标文件的递交</w:t>
      </w:r>
      <w:r/>
    </w:p>
    <w:p>
      <w:pPr>
        <w:pStyle w:val="1069"/>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131" w:name="_Toc513029226"/>
      <w:r/>
      <w:bookmarkStart w:id="132" w:name="_Toc20823298"/>
      <w:r/>
      <w:bookmarkStart w:id="133" w:name="_Toc16938542"/>
      <w:r/>
      <w:r/>
    </w:p>
    <w:p>
      <w:pPr>
        <w:pStyle w:val="960"/>
        <w:ind w:firstLine="422"/>
        <w:keepLines w:val="0"/>
        <w:keepNext w:val="0"/>
        <w:spacing w:before="0" w:after="0" w:line="360" w:lineRule="auto"/>
        <w:rPr>
          <w:rFonts w:hint="eastAsia" w:ascii="宋体" w:hAnsi="宋体" w:eastAsia="宋体"/>
          <w:bCs w:val="0"/>
          <w:color w:val="000000"/>
          <w:highlight w:val="none"/>
        </w:rPr>
      </w:pPr>
      <w:r>
        <w:rPr>
          <w:rFonts w:hint="eastAsia" w:ascii="宋体" w:hAnsi="宋体" w:eastAsia="宋体"/>
          <w:bCs w:val="0"/>
          <w:color w:val="000000"/>
          <w:highlight w:val="none"/>
        </w:rPr>
        <w:t xml:space="preserve">18.投标截止</w:t>
      </w:r>
      <w:bookmarkEnd w:id="131"/>
      <w:r/>
      <w:bookmarkEnd w:id="132"/>
      <w:r/>
      <w:bookmarkEnd w:id="133"/>
      <w:r>
        <w:rPr>
          <w:rFonts w:hint="eastAsia" w:ascii="宋体" w:hAnsi="宋体" w:eastAsia="宋体"/>
          <w:bCs w:val="0"/>
          <w:color w:val="000000"/>
          <w:highlight w:val="none"/>
        </w:rPr>
        <w:t xml:space="preserve">时间</w:t>
      </w:r>
      <w:r/>
    </w:p>
    <w:p>
      <w:pPr>
        <w:ind w:firstLine="480"/>
        <w:spacing w:line="360" w:lineRule="auto"/>
        <w:rPr>
          <w:rFonts w:hint="eastAsia"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投标人上传电子投标文件的时间不得迟于招标公告中规定的投标截止时间。</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投标人应充分考虑网络环境、网络带宽等风险因素，如因投标人自身原因造成的电子投标文件上传不成功的视作投标人未按照招标文件要求上传电子投标文件，</w:t>
      </w:r>
      <w:r>
        <w:rPr>
          <w:rFonts w:hint="eastAsia" w:ascii="宋体" w:hAnsi="宋体"/>
          <w:bCs/>
          <w:color w:val="000000"/>
          <w:sz w:val="24"/>
          <w:highlight w:val="none"/>
          <w:lang w:eastAsia="zh-CN"/>
        </w:rPr>
        <w:t xml:space="preserve">作</w:t>
      </w:r>
      <w:r>
        <w:rPr>
          <w:rFonts w:hint="eastAsia" w:ascii="宋体" w:hAnsi="宋体"/>
          <w:bCs/>
          <w:color w:val="000000"/>
          <w:sz w:val="24"/>
          <w:highlight w:val="none"/>
        </w:rPr>
        <w:t xml:space="preserve">无效投标处理。</w:t>
      </w:r>
      <w:r/>
    </w:p>
    <w:p>
      <w:pPr>
        <w:ind w:firstLine="480"/>
        <w:spacing w:line="360" w:lineRule="auto"/>
        <w:rPr>
          <w:rFonts w:hint="eastAsia"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bCs/>
          <w:color w:val="000000"/>
          <w:sz w:val="24"/>
          <w:highlight w:val="none"/>
        </w:rPr>
        <w:t xml:space="preserve">交易中心可以按照规定，通过更正公告修改投标截止时间，投标人的所有权利和义务以及投标人受制的截止时间均应以延长后新的截止时间为准。</w:t>
      </w:r>
      <w:r/>
    </w:p>
    <w:p>
      <w:pPr>
        <w:pStyle w:val="960"/>
        <w:ind w:firstLine="422"/>
        <w:keepLines w:val="0"/>
        <w:keepNext w:val="0"/>
        <w:spacing w:before="0" w:after="0" w:line="360" w:lineRule="auto"/>
        <w:rPr>
          <w:rFonts w:hint="eastAsia" w:ascii="宋体" w:hAnsi="宋体" w:eastAsia="宋体"/>
          <w:bCs w:val="0"/>
          <w:color w:val="000000"/>
          <w:highlight w:val="none"/>
        </w:rPr>
      </w:pPr>
      <w:r/>
      <w:bookmarkStart w:id="134" w:name="_Toc20823299"/>
      <w:r/>
      <w:bookmarkStart w:id="135" w:name="_Toc513029227"/>
      <w:r/>
      <w:bookmarkStart w:id="136" w:name="_Toc16938543"/>
      <w:r>
        <w:rPr>
          <w:rFonts w:hint="eastAsia" w:ascii="宋体" w:hAnsi="宋体" w:eastAsia="宋体"/>
          <w:bCs w:val="0"/>
          <w:color w:val="000000"/>
          <w:highlight w:val="none"/>
        </w:rPr>
        <w:t xml:space="preserve">19.投标文件</w:t>
      </w:r>
      <w:bookmarkEnd w:id="134"/>
      <w:r/>
      <w:bookmarkEnd w:id="135"/>
      <w:r/>
      <w:bookmarkEnd w:id="136"/>
      <w:r>
        <w:rPr>
          <w:rFonts w:hint="eastAsia" w:ascii="宋体" w:hAnsi="宋体" w:eastAsia="宋体"/>
          <w:bCs w:val="0"/>
          <w:color w:val="000000"/>
          <w:highlight w:val="none"/>
        </w:rPr>
        <w:t xml:space="preserve">的拒收</w:t>
      </w:r>
      <w:r/>
    </w:p>
    <w:p>
      <w:pPr>
        <w:ind w:firstLine="480"/>
        <w:spacing w:line="360" w:lineRule="auto"/>
        <w:rPr>
          <w:rFonts w:hint="eastAsia"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bCs/>
          <w:color w:val="000000"/>
          <w:sz w:val="24"/>
          <w:highlight w:val="none"/>
        </w:rPr>
        <w:t xml:space="preserve">交易中心拒绝接收在其规定的投标截止时间后上传的任何投标文件。</w:t>
      </w:r>
      <w:r/>
    </w:p>
    <w:p>
      <w:pPr>
        <w:pStyle w:val="960"/>
        <w:ind w:firstLine="422"/>
        <w:keepLines w:val="0"/>
        <w:keepNext w:val="0"/>
        <w:spacing w:before="0" w:after="0" w:line="360" w:lineRule="auto"/>
        <w:rPr>
          <w:rFonts w:hint="eastAsia" w:ascii="宋体" w:hAnsi="宋体" w:eastAsia="宋体"/>
          <w:bCs w:val="0"/>
          <w:color w:val="000000"/>
          <w:highlight w:val="none"/>
        </w:rPr>
      </w:pPr>
      <w:r/>
      <w:bookmarkStart w:id="137" w:name="_Toc20823300"/>
      <w:r/>
      <w:bookmarkStart w:id="138" w:name="_Toc16938544"/>
      <w:r/>
      <w:bookmarkStart w:id="139" w:name="_Toc513029228"/>
      <w:r>
        <w:rPr>
          <w:rFonts w:hint="eastAsia" w:ascii="宋体" w:hAnsi="宋体" w:eastAsia="宋体"/>
          <w:bCs w:val="0"/>
          <w:color w:val="000000"/>
          <w:highlight w:val="none"/>
        </w:rPr>
        <w:t xml:space="preserve">20.投标文件的撤回和修改</w:t>
      </w:r>
      <w:bookmarkEnd w:id="137"/>
      <w:r/>
      <w:bookmarkEnd w:id="138"/>
      <w:r/>
      <w:bookmarkEnd w:id="139"/>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20.1投标文件的撤回</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21.1.1电子投标文件的撤回</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投标人可在投标截止时间前，撤回其电子投标文件，具体操作方法见《操作手册》。</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21.1.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投标人撤回电子投标文件，则认为其不再参与本项目投标活动。</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20.2投标文件的修改</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20.2.1投标人可在投标截止时间前，对其电子投标文件进行修改，具体操作方法见《操作手册》。</w:t>
      </w:r>
      <w:r/>
    </w:p>
    <w:p>
      <w:pPr>
        <w:ind w:firstLine="480"/>
        <w:spacing w:line="360" w:lineRule="auto"/>
        <w:rPr>
          <w:rFonts w:hint="eastAsia" w:ascii="宋体" w:hAnsi="宋体"/>
          <w:bCs/>
          <w:color w:val="000000"/>
          <w:sz w:val="24"/>
          <w:highlight w:val="none"/>
        </w:rPr>
      </w:pPr>
      <w:r>
        <w:rPr>
          <w:rFonts w:hint="eastAsia" w:ascii="宋体" w:hAnsi="宋体"/>
          <w:color w:val="000000"/>
          <w:sz w:val="24"/>
          <w:highlight w:val="none"/>
        </w:rPr>
        <w:t xml:space="preserve">20.2.2</w:t>
      </w:r>
      <w:r>
        <w:rPr>
          <w:rFonts w:hint="eastAsia" w:ascii="宋体" w:hAnsi="宋体"/>
          <w:bCs/>
          <w:color w:val="000000"/>
          <w:sz w:val="24"/>
          <w:highlight w:val="none"/>
        </w:rPr>
        <w:t xml:space="preserve">在投标截止时间之后，投标人不得对其电子投标文件作任何修改。</w:t>
      </w:r>
      <w:r/>
    </w:p>
    <w:p>
      <w:pPr>
        <w:ind w:firstLine="480"/>
        <w:spacing w:line="360" w:lineRule="auto"/>
        <w:rPr>
          <w:rFonts w:hint="eastAsia" w:ascii="宋体" w:hAnsi="宋体"/>
          <w:bCs/>
          <w:color w:val="000000"/>
          <w:sz w:val="24"/>
          <w:highlight w:val="none"/>
        </w:rPr>
      </w:pPr>
      <w:r>
        <w:rPr>
          <w:rFonts w:hint="eastAsia" w:ascii="宋体" w:hAnsi="宋体"/>
          <w:color w:val="000000"/>
          <w:sz w:val="24"/>
          <w:highlight w:val="none"/>
        </w:rPr>
        <w:t xml:space="preserve">20.3</w:t>
      </w:r>
      <w:r>
        <w:rPr>
          <w:rFonts w:hint="eastAsia" w:ascii="宋体" w:hAnsi="宋体"/>
          <w:bCs/>
          <w:color w:val="000000"/>
          <w:sz w:val="24"/>
          <w:highlight w:val="none"/>
        </w:rPr>
        <w:t xml:space="preserve">在投标截止时间至招标文件中规定的投标有效期满之间的这段时间内，投标人不得撤回其投标。</w:t>
      </w:r>
      <w:r/>
    </w:p>
    <w:p>
      <w:pPr>
        <w:pStyle w:val="959"/>
        <w:ind w:firstLine="452"/>
        <w:keepLines w:val="0"/>
        <w:keepNext w:val="0"/>
        <w:spacing w:before="0" w:after="0" w:line="360" w:lineRule="auto"/>
        <w:rPr>
          <w:rFonts w:hint="eastAsia"/>
          <w:color w:val="000000"/>
          <w:sz w:val="30"/>
          <w:szCs w:val="30"/>
          <w:highlight w:val="none"/>
        </w:rPr>
      </w:pPr>
      <w:r/>
      <w:bookmarkStart w:id="140" w:name="_Toc513029229"/>
      <w:r/>
      <w:bookmarkStart w:id="141" w:name="_Toc16938545"/>
      <w:r/>
      <w:bookmarkStart w:id="142" w:name="_Toc120614218"/>
      <w:r/>
      <w:bookmarkStart w:id="143" w:name="_Toc20823301"/>
      <w:r>
        <w:rPr>
          <w:rFonts w:hint="eastAsia"/>
          <w:color w:val="000000"/>
          <w:sz w:val="30"/>
          <w:szCs w:val="30"/>
          <w:highlight w:val="none"/>
        </w:rPr>
        <w:t xml:space="preserve">五、开标与评标</w:t>
      </w:r>
      <w:bookmarkEnd w:id="140"/>
      <w:r/>
      <w:bookmarkEnd w:id="141"/>
      <w:r/>
      <w:bookmarkEnd w:id="142"/>
      <w:r/>
      <w:bookmarkEnd w:id="143"/>
      <w:r/>
      <w:r/>
    </w:p>
    <w:p>
      <w:pPr>
        <w:pStyle w:val="960"/>
        <w:ind w:firstLine="422"/>
        <w:keepLines w:val="0"/>
        <w:keepNext w:val="0"/>
        <w:spacing w:before="0" w:after="0" w:line="360" w:lineRule="auto"/>
        <w:rPr>
          <w:rFonts w:hint="eastAsia" w:ascii="宋体" w:hAnsi="宋体" w:eastAsia="宋体"/>
          <w:bCs w:val="0"/>
          <w:color w:val="000000"/>
          <w:highlight w:val="none"/>
        </w:rPr>
      </w:pPr>
      <w:r/>
      <w:bookmarkStart w:id="144" w:name="_Toc16938546"/>
      <w:r/>
      <w:bookmarkStart w:id="145" w:name="_Toc20823302"/>
      <w:r/>
      <w:bookmarkStart w:id="146" w:name="_Toc513029230"/>
      <w:r>
        <w:rPr>
          <w:rFonts w:hint="eastAsia" w:ascii="宋体" w:hAnsi="宋体" w:eastAsia="宋体"/>
          <w:bCs w:val="0"/>
          <w:color w:val="000000"/>
          <w:highlight w:val="none"/>
        </w:rPr>
        <w:t xml:space="preserve">21.开标</w:t>
      </w:r>
      <w:bookmarkEnd w:id="144"/>
      <w:r/>
      <w:bookmarkEnd w:id="145"/>
      <w:r/>
      <w:bookmarkEnd w:id="146"/>
      <w:r/>
      <w:r/>
    </w:p>
    <w:p>
      <w:pPr>
        <w:ind w:firstLine="480"/>
        <w:spacing w:line="360" w:lineRule="auto"/>
        <w:rPr>
          <w:rFonts w:hint="eastAsia"/>
          <w:color w:val="000000"/>
          <w:highlight w:val="none"/>
        </w:rPr>
      </w:pPr>
      <w:r>
        <w:rPr>
          <w:rFonts w:hint="eastAsia" w:ascii="宋体" w:hAnsi="宋体"/>
          <w:color w:val="000000"/>
          <w:sz w:val="24"/>
          <w:highlight w:val="none"/>
        </w:rPr>
        <w:t xml:space="preserve">21.1</w:t>
      </w:r>
      <w:r>
        <w:rPr>
          <w:rFonts w:hint="eastAsia" w:ascii="宋体" w:hAnsi="宋体"/>
          <w:bCs/>
          <w:color w:val="000000"/>
          <w:sz w:val="24"/>
          <w:highlight w:val="none"/>
        </w:rPr>
        <w:t xml:space="preserve">交易中心将在招标公告中规定的时间和地点组织公开开标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规定的时间内对投标文件进行解密。</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21.2开标仪式由交易中心组织。</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将自动对</w:t>
      </w:r>
      <w:r>
        <w:rPr>
          <w:rFonts w:ascii="宋体" w:hAnsi="宋体"/>
          <w:color w:val="000000"/>
          <w:sz w:val="24"/>
          <w:highlight w:val="none"/>
        </w:rPr>
        <w:t xml:space="preserve">项目进行开标，并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21.3投标人在开标过程中涉及的投标文件解密、开标结果确认等工作，应按照《操作手册》规定执行。</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21.4投标人如果对开标过程和开标记录有疑义，应当根据《操作手册》规定提出，如</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中《开标记录表》宣布后5分钟内未提出的，视同认可开标结果。</w:t>
      </w:r>
      <w:r/>
    </w:p>
    <w:p>
      <w:pPr>
        <w:pStyle w:val="960"/>
        <w:ind w:firstLine="422"/>
        <w:keepLines w:val="0"/>
        <w:keepNext w:val="0"/>
        <w:spacing w:before="0" w:after="0" w:line="360" w:lineRule="auto"/>
        <w:rPr>
          <w:rFonts w:hint="eastAsia" w:ascii="宋体" w:hAnsi="宋体" w:eastAsia="宋体"/>
          <w:bCs w:val="0"/>
          <w:color w:val="000000"/>
          <w:highlight w:val="none"/>
        </w:rPr>
      </w:pPr>
      <w:r/>
      <w:bookmarkStart w:id="147" w:name="_Toc16938547"/>
      <w:r/>
      <w:bookmarkStart w:id="148" w:name="_Toc20823303"/>
      <w:r/>
      <w:bookmarkStart w:id="149" w:name="_Toc513029231"/>
      <w:r>
        <w:rPr>
          <w:rFonts w:hint="eastAsia" w:ascii="宋体" w:hAnsi="宋体" w:eastAsia="宋体"/>
          <w:bCs w:val="0"/>
          <w:color w:val="000000"/>
          <w:highlight w:val="none"/>
        </w:rPr>
        <w:t xml:space="preserve">22.评标委员会</w:t>
      </w:r>
      <w:r/>
    </w:p>
    <w:p>
      <w:pPr>
        <w:ind w:firstLine="480"/>
        <w:spacing w:line="360" w:lineRule="auto"/>
        <w:rPr>
          <w:rFonts w:hint="eastAsia" w:ascii="宋体" w:hAnsi="宋体"/>
          <w:b/>
          <w:color w:val="000000"/>
          <w:sz w:val="24"/>
          <w:szCs w:val="24"/>
          <w:highlight w:val="none"/>
        </w:rPr>
      </w:pPr>
      <w:r>
        <w:rPr>
          <w:rFonts w:hint="eastAsia" w:ascii="宋体" w:hAnsi="宋体"/>
          <w:color w:val="000000"/>
          <w:sz w:val="24"/>
          <w:szCs w:val="24"/>
          <w:highlight w:val="none"/>
        </w:rPr>
        <w:t xml:space="preserve">22.1开标后，交易中心将立即组织评标委员会（以下简称评委会）进行评标。</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22.2评委会依法组建，且人员构成符合政府采购有关规定。</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22.3评委会独立工作，负责对招标</w:t>
      </w:r>
      <w:r>
        <w:rPr>
          <w:rFonts w:hint="eastAsia" w:ascii="宋体" w:hAnsi="宋体"/>
          <w:color w:val="000000"/>
          <w:sz w:val="24"/>
          <w:highlight w:val="none"/>
        </w:rPr>
        <w:t xml:space="preserve">文件进行审核，确认其不存在歧视性、排他性等不合理条款后，开始</w:t>
      </w:r>
      <w:r>
        <w:rPr>
          <w:rFonts w:hint="eastAsia" w:ascii="宋体" w:hAnsi="宋体"/>
          <w:color w:val="000000"/>
          <w:sz w:val="24"/>
          <w:szCs w:val="24"/>
          <w:highlight w:val="none"/>
        </w:rPr>
        <w:t xml:space="preserve">负责评审所有投标文件并确定中标候选人。</w:t>
      </w:r>
      <w:r/>
    </w:p>
    <w:p>
      <w:pPr>
        <w:pStyle w:val="960"/>
        <w:ind w:firstLine="422"/>
        <w:keepLines w:val="0"/>
        <w:keepNext w:val="0"/>
        <w:spacing w:before="0" w:after="0" w:line="360" w:lineRule="auto"/>
        <w:rPr>
          <w:rFonts w:hint="eastAsia" w:ascii="宋体" w:hAnsi="宋体" w:eastAsia="宋体"/>
          <w:bCs w:val="0"/>
          <w:color w:val="000000"/>
          <w:highlight w:val="none"/>
        </w:rPr>
      </w:pPr>
      <w:r>
        <w:rPr>
          <w:rFonts w:hint="eastAsia" w:ascii="宋体" w:hAnsi="宋体" w:eastAsia="宋体"/>
          <w:bCs w:val="0"/>
          <w:color w:val="000000"/>
          <w:highlight w:val="none"/>
        </w:rPr>
        <w:t xml:space="preserve">23.评标过程的保密与公正</w:t>
      </w:r>
      <w:bookmarkEnd w:id="147"/>
      <w:r/>
      <w:bookmarkEnd w:id="148"/>
      <w:r/>
      <w:bookmarkEnd w:id="149"/>
      <w:r/>
      <w:r/>
    </w:p>
    <w:p>
      <w:pPr>
        <w:ind w:firstLine="480"/>
        <w:spacing w:line="360" w:lineRule="auto"/>
        <w:rPr>
          <w:rFonts w:hint="eastAsia" w:ascii="宋体" w:hAnsi="宋体"/>
          <w:bCs/>
          <w:color w:val="000000"/>
          <w:sz w:val="24"/>
          <w:highlight w:val="none"/>
        </w:rPr>
      </w:pPr>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凡是与审查、澄清、评价和比较投标的有关资料以及授标建议等，采购人、评委、交易中心均不得向投标人或与评标无关的其他人员透露。</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交易中心和评标委员会不向未中标的投标人解释未中标原因，也不公布评标过程中的相关细节。</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23.4采用综合评分法的项目，未中标的投标人可于中标结果公告发布后通过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p>
    <w:p>
      <w:pPr>
        <w:pStyle w:val="960"/>
        <w:ind w:firstLine="422"/>
        <w:keepLines w:val="0"/>
        <w:keepNext w:val="0"/>
        <w:spacing w:before="0" w:after="0" w:line="360" w:lineRule="auto"/>
        <w:rPr>
          <w:rFonts w:hint="eastAsia" w:ascii="宋体" w:hAnsi="宋体" w:eastAsia="宋体"/>
          <w:bCs w:val="0"/>
          <w:color w:val="000000"/>
          <w:highlight w:val="none"/>
        </w:rPr>
      </w:pPr>
      <w:r/>
      <w:bookmarkStart w:id="150" w:name="_Toc513029232"/>
      <w:r/>
      <w:bookmarkStart w:id="151" w:name="_Toc16938548"/>
      <w:r/>
      <w:bookmarkStart w:id="152" w:name="_Toc20823304"/>
      <w:r>
        <w:rPr>
          <w:rFonts w:hint="eastAsia" w:ascii="宋体" w:hAnsi="宋体" w:eastAsia="宋体"/>
          <w:bCs w:val="0"/>
          <w:color w:val="000000"/>
          <w:highlight w:val="none"/>
        </w:rPr>
        <w:t xml:space="preserve">24.投标文件的澄清</w:t>
      </w:r>
      <w:bookmarkEnd w:id="150"/>
      <w:r/>
      <w:bookmarkEnd w:id="151"/>
      <w:r/>
      <w:bookmarkEnd w:id="152"/>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24.3接到评委会澄清、说明和补正要求的投标人如未按规定及时做出澄清、说明和补正，其风险由投标人自行承担。</w:t>
      </w:r>
      <w:r/>
    </w:p>
    <w:p>
      <w:pPr>
        <w:pStyle w:val="783"/>
        <w:ind w:firstLine="482"/>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24.4请投标人实时关注评标过程，一旦发现有询标函，请按时回复，因此项目设置暗标，询标时无法通过系统以外途径通知投标单位，请投标人密切关注评标过程，因投标人未尽注意义务，而造成的损失及风险（包括但不限于未中标）由投标人自行承担。</w:t>
      </w:r>
      <w:r/>
    </w:p>
    <w:p>
      <w:pPr>
        <w:pStyle w:val="960"/>
        <w:ind w:firstLine="422"/>
        <w:keepLines w:val="0"/>
        <w:keepNext w:val="0"/>
        <w:spacing w:before="0" w:after="0" w:line="360" w:lineRule="auto"/>
        <w:rPr>
          <w:rFonts w:hint="eastAsia" w:ascii="宋体" w:hAnsi="宋体" w:eastAsia="宋体"/>
          <w:bCs w:val="0"/>
          <w:color w:val="000000"/>
          <w:highlight w:val="none"/>
        </w:rPr>
      </w:pPr>
      <w:r/>
      <w:bookmarkStart w:id="153" w:name="_Toc20823305"/>
      <w:r/>
      <w:bookmarkStart w:id="154" w:name="_Toc513029233"/>
      <w:r/>
      <w:bookmarkStart w:id="155" w:name="_Toc16938549"/>
      <w:r>
        <w:rPr>
          <w:rFonts w:hint="eastAsia" w:ascii="宋体" w:hAnsi="宋体" w:eastAsia="宋体"/>
          <w:bCs w:val="0"/>
          <w:color w:val="000000"/>
          <w:highlight w:val="none"/>
        </w:rPr>
        <w:t xml:space="preserve">25.对投标文件的初审</w:t>
      </w:r>
      <w:bookmarkEnd w:id="153"/>
      <w:r/>
      <w:bookmarkEnd w:id="154"/>
      <w:r/>
      <w:bookmarkEnd w:id="155"/>
      <w:r/>
      <w:r/>
    </w:p>
    <w:p>
      <w:pPr>
        <w:ind w:firstLine="480"/>
        <w:spacing w:line="360" w:lineRule="auto"/>
        <w:rPr>
          <w:rFonts w:hint="eastAsia"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25.1.1资格审查：依据法律法规和招标文件的规定，由采购人对投标文件中的资格证明文件进行审查。</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采购人在进行资格审查的同时，将</w:t>
      </w:r>
      <w:r>
        <w:rPr>
          <w:rFonts w:hint="eastAsia" w:ascii="宋体" w:hAnsi="宋体" w:cs="宋体"/>
          <w:bCs/>
          <w:color w:val="000000"/>
          <w:sz w:val="24"/>
          <w:szCs w:val="24"/>
          <w:highlight w:val="none"/>
        </w:rPr>
        <w:t xml:space="preserve">通过“信用中国”网站（</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HYPERLINK "http://www.creditchina.gov.cn"</w:instrText>
      </w:r>
      <w:r>
        <w:rPr>
          <w:rFonts w:hint="eastAsia" w:ascii="宋体" w:hAnsi="宋体" w:cs="宋体"/>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color w:val="000000"/>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中国政府采购网（www.ccgp.gov.cn）</w:t>
      </w:r>
      <w:r>
        <w:rPr>
          <w:rFonts w:hint="eastAsia" w:ascii="宋体" w:hAnsi="宋体" w:cs="宋体"/>
          <w:bCs/>
          <w:color w:val="000000"/>
          <w:sz w:val="24"/>
          <w:szCs w:val="24"/>
          <w:highlight w:val="none"/>
        </w:rPr>
        <w:t xml:space="preserve">查询投标供应商在投标截止时间之前，是否被列入</w:t>
      </w:r>
      <w:r>
        <w:rPr>
          <w:rFonts w:hint="eastAsia" w:ascii="宋体" w:hAnsi="宋体" w:cs="宋体"/>
          <w:color w:val="000000"/>
          <w:sz w:val="24"/>
          <w:szCs w:val="24"/>
          <w:highlight w:val="none"/>
        </w:rPr>
        <w:t xml:space="preserve">失信被执行人、重大税收违法案件当事人名单、政府采购严重违法失信行为记录名单，</w:t>
      </w:r>
      <w:r>
        <w:rPr>
          <w:rFonts w:hint="eastAsia" w:ascii="宋体" w:hAnsi="宋体" w:cs="宋体"/>
          <w:bCs/>
          <w:color w:val="000000"/>
          <w:sz w:val="24"/>
          <w:highlight w:val="none"/>
        </w:rPr>
        <w:t xml:space="preserve">以确定投标供应商是否具备投标资格。</w:t>
      </w:r>
      <w:r>
        <w:rPr>
          <w:rFonts w:hint="eastAsia" w:ascii="宋体" w:hAnsi="宋体" w:cs="宋体"/>
          <w:color w:val="000000"/>
          <w:sz w:val="24"/>
          <w:szCs w:val="24"/>
          <w:highlight w:val="none"/>
        </w:rPr>
        <w:t xml:space="preserve">查询结果留存并归档。</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3未通过资格审查或符合性审查的投标人，将在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.3如果投标文件实质上没有响应招标文件的要求，评委会将予以拒绝，其投标文件无效，投标人不得通过修改或撤销</w:t>
      </w:r>
      <w:r>
        <w:rPr>
          <w:rFonts w:hint="eastAsia" w:ascii="宋体" w:hAnsi="宋体"/>
          <w:color w:val="000000"/>
          <w:sz w:val="24"/>
          <w:highlight w:val="none"/>
          <w:lang w:eastAsia="zh-CN"/>
        </w:rPr>
        <w:t xml:space="preserve">不符</w:t>
      </w:r>
      <w:r>
        <w:rPr>
          <w:rFonts w:hint="eastAsia" w:ascii="宋体" w:hAnsi="宋体"/>
          <w:color w:val="000000"/>
          <w:sz w:val="24"/>
          <w:highlight w:val="none"/>
        </w:rPr>
        <w:t xml:space="preserve">合要求的偏离或保留而使其投标成为实质性响应的投标。</w:t>
      </w:r>
      <w:r/>
    </w:p>
    <w:p>
      <w:pPr>
        <w:ind w:firstLine="480"/>
        <w:spacing w:line="360" w:lineRule="auto"/>
        <w:rPr>
          <w:rFonts w:hint="eastAsia"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（1）投标文件中开标一览表内容与投标文件中相应内容不一致的，以开标一览表为准。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p>
    <w:p>
      <w:pPr>
        <w:ind w:firstLine="420"/>
        <w:spacing w:line="360" w:lineRule="auto"/>
        <w:rPr>
          <w:rFonts w:hint="eastAsia" w:ascii="宋体" w:hAnsi="宋体"/>
          <w:color w:val="000000"/>
          <w:sz w:val="24"/>
          <w:highlight w:val="none"/>
        </w:rPr>
      </w:pPr>
      <w:r/>
      <w:bookmarkStart w:id="156" w:name="_Toc16938550"/>
      <w:r/>
      <w:bookmarkStart w:id="157" w:name="_Toc513029234"/>
      <w:r/>
      <w:bookmarkStart w:id="158" w:name="_Toc20823306"/>
      <w:r>
        <w:rPr>
          <w:rFonts w:hint="eastAsia" w:ascii="宋体" w:hAnsi="宋体"/>
          <w:color w:val="000000"/>
          <w:sz w:val="24"/>
          <w:highlight w:val="none"/>
        </w:rPr>
        <w:t xml:space="preserve">25.6投标人在开、评标全过程中应保持通讯畅通，及时登录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p>
    <w:p>
      <w:pPr>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财政部门在投诉处理、监督检查中发现评审委员会未按规定对异常低价开展审查的，依法予以纠正并追究评审专家的法律责任。</w:t>
      </w:r>
      <w:r/>
    </w:p>
    <w:p>
      <w:pPr>
        <w:pStyle w:val="960"/>
        <w:ind w:firstLine="422"/>
        <w:keepLines w:val="0"/>
        <w:keepNext w:val="0"/>
        <w:spacing w:before="0" w:after="0" w:line="360" w:lineRule="auto"/>
        <w:rPr>
          <w:rFonts w:hint="eastAsia" w:ascii="宋体" w:hAnsi="宋体" w:eastAsia="宋体"/>
          <w:bCs w:val="0"/>
          <w:color w:val="000000"/>
          <w:highlight w:val="none"/>
        </w:rPr>
      </w:pPr>
      <w:r>
        <w:rPr>
          <w:rFonts w:hint="eastAsia" w:ascii="宋体" w:hAnsi="宋体" w:eastAsia="宋体"/>
          <w:bCs w:val="0"/>
          <w:color w:val="000000"/>
          <w:highlight w:val="none"/>
        </w:rPr>
        <w:t xml:space="preserve">26</w:t>
      </w:r>
      <w:bookmarkEnd w:id="156"/>
      <w:r/>
      <w:bookmarkEnd w:id="157"/>
      <w:r/>
      <w:bookmarkEnd w:id="158"/>
      <w:r>
        <w:rPr>
          <w:rFonts w:hint="eastAsia" w:ascii="宋体" w:hAnsi="宋体" w:eastAsia="宋体"/>
          <w:bCs w:val="0"/>
          <w:color w:val="000000"/>
          <w:highlight w:val="none"/>
        </w:rPr>
        <w:t xml:space="preserve">.无效投标条款和废标条款</w:t>
      </w:r>
      <w:r/>
    </w:p>
    <w:p>
      <w:pPr>
        <w:ind w:left="479"/>
        <w:spacing w:line="360" w:lineRule="auto"/>
        <w:rPr>
          <w:rFonts w:hint="eastAsia" w:ascii="宋体" w:hAnsi="宋体"/>
          <w:bCs/>
          <w:color w:val="000000"/>
          <w:sz w:val="24"/>
          <w:highlight w:val="none"/>
        </w:rPr>
      </w:pPr>
      <w:r/>
      <w:bookmarkStart w:id="159" w:name="_Toc16938551"/>
      <w:r/>
      <w:bookmarkStart w:id="160" w:name="_Toc513029235"/>
      <w:r/>
      <w:bookmarkStart w:id="161" w:name="_Toc20823307"/>
      <w:r>
        <w:rPr>
          <w:rFonts w:hint="eastAsia" w:ascii="宋体" w:hAnsi="宋体"/>
          <w:bCs/>
          <w:color w:val="000000"/>
          <w:sz w:val="24"/>
          <w:highlight w:val="none"/>
        </w:rPr>
        <w:t xml:space="preserve">26.1无效投标条款</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26.1.2投标人在“苏采云”系统规定的时间内未成功解密电子投标文件的。</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投标人未按照招标文件要求上传电子投标文件、</w:t>
      </w:r>
      <w:r>
        <w:rPr>
          <w:rFonts w:hint="eastAsia" w:ascii="宋体" w:hAnsi="宋体"/>
          <w:bCs/>
          <w:color w:val="000000"/>
          <w:sz w:val="24"/>
          <w:szCs w:val="24"/>
          <w:highlight w:val="none"/>
        </w:rPr>
        <w:t xml:space="preserve">电子投标文件未按规定期限投标的，纸质投标文件（如有）未按规定的期限、地点送达的。</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电子投标文件未按招标文件要求签章的。</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26.1.5投标人的被授权代表无授权委托书或授权委托日期晚于投标截止日期的。</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26.1.6投标人不具备招标文件中规定的资格要求或未按招标文件规定的要求提供资格证明文件的。</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同一投标人提交两种（含两种）以上不同的投标报价的。</w:t>
      </w:r>
      <w:r/>
    </w:p>
    <w:p>
      <w:pPr>
        <w:ind w:firstLine="480"/>
        <w:spacing w:line="360" w:lineRule="auto"/>
        <w:rPr>
          <w:rFonts w:hint="eastAsia" w:ascii="宋体" w:hAnsi="宋体"/>
          <w:bCs/>
          <w:color w:val="000000"/>
          <w:sz w:val="24"/>
          <w:szCs w:val="24"/>
          <w:highlight w:val="none"/>
        </w:rPr>
      </w:pPr>
      <w:r>
        <w:rPr>
          <w:rFonts w:hint="eastAsia" w:ascii="宋体" w:hAnsi="宋体"/>
          <w:color w:val="000000"/>
          <w:sz w:val="24"/>
          <w:szCs w:val="24"/>
          <w:highlight w:val="none"/>
        </w:rPr>
        <w:t xml:space="preserve">26.1.8投标人被“信用中国”网站（</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HYPERLINK "http://www.creditchina.gov.cn" </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www.creditchina.gov.cn</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26.1.9投标文件未按招标文件规定的内容和要求填写的。</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项目（采购包、标项、标段）投标总价超过本项目（本采购包、本标项、本标段）预算或最高限价的。</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26.1.11未通过符合性审查的。</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26.1.12投标文件含有采购人不能接受的附加条件的。</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26.1.13电子投标文件图片、字迹模糊不清、无法辨认导致无法评审的。</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26.1.14投标文件中有招标文件未允许提供的选择性内容。</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不同投标人委托同一单位或者个人办理投标事宜的。</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不同投标人的单位负责人为同一人或者存在直接控股、管理关系的。</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26.1.21</w:t>
      </w:r>
      <w:r>
        <w:rPr>
          <w:rFonts w:hint="eastAsia" w:ascii="宋体" w:hAnsi="宋体"/>
          <w:bCs/>
          <w:color w:val="000000"/>
          <w:sz w:val="24"/>
          <w:szCs w:val="24"/>
          <w:highlight w:val="none"/>
        </w:rPr>
        <w:t xml:space="preserve">除单一来源采购项目外，为采购项目提供整体设计、规范编制或者项目管理、监理、检测等服务的。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26.1.22评标委员会按照本招标文件规定对投标人进行异常低价投标（响应）审查后，认为投标人不能证明其报价合理性的。</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26.1.23投标文件内容不全或不符合招标文件中规定的其他实质性要求和条件的。</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26.1.24投标系统中不同投标人的MAC地址一致或标书制作工具客户端标识码一致的。</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26.1.25其他法律、法规及本招标文件规定的属无效投标的情形。</w:t>
      </w:r>
      <w:r/>
    </w:p>
    <w:p>
      <w:pPr>
        <w:ind w:left="479"/>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26.2废标条款</w:t>
      </w:r>
      <w:r/>
    </w:p>
    <w:p>
      <w:pPr>
        <w:ind w:left="479"/>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26.2.1符合专业条件的供应商或者对招标文件作实质响应的供应商不足三家的。26.2.2出现影响采购公正的违法、违规行为的。</w:t>
      </w:r>
      <w:r/>
    </w:p>
    <w:p>
      <w:pPr>
        <w:ind w:left="479"/>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26.2.3因重大变故，采购任务取消的。</w:t>
      </w:r>
      <w:r/>
    </w:p>
    <w:p>
      <w:pPr>
        <w:ind w:left="479"/>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26.2.4评标委员会认定招标文件存在歧义、重大缺陷导致评审工作无法进行。</w:t>
      </w:r>
      <w:r/>
    </w:p>
    <w:p>
      <w:pPr>
        <w:ind w:left="479"/>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26.2.5 因</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highlight w:val="none"/>
        </w:rPr>
        <w:t xml:space="preserve">故障原因造成开标不成功</w:t>
      </w:r>
      <w:r>
        <w:rPr>
          <w:rFonts w:hint="eastAsia" w:ascii="宋体" w:hAnsi="宋体"/>
          <w:bCs/>
          <w:color w:val="000000" w:themeColor="text1"/>
          <w:sz w:val="24"/>
          <w:highlight w:val="none"/>
        </w:rPr>
        <w:t xml:space="preserve">的。</w:t>
      </w:r>
      <w:r/>
    </w:p>
    <w:p>
      <w:pPr>
        <w:ind w:left="479"/>
        <w:spacing w:line="360" w:lineRule="auto"/>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26.2.6投标人的报价均超过采购预算，采购人不能支付的。</w:t>
      </w:r>
      <w:r/>
    </w:p>
    <w:p>
      <w:pPr>
        <w:ind w:left="479"/>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 投标截止时间结束后参加投标的供应商不足三家的处理：</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26.3.1如出现投标截止时间结束后参加投标的供应商或者在评标期间对招标文件做出实质响应的供应商不足三家情况，按政府采购相关规定执行。</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26.4技术标（暗标）中出现该报价供应商单位名称、简称、人员姓名、Logo、商标、电话号码等任何标识标记及其他暗示性标志的；</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26.5商务标（明标）和技术标（暗标），其中某一标被本项目评委确认为无效响应文件的；</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26.6暗标未按要求编制，编制粗糙、缺漏项、格式混乱、条理不清的；</w:t>
      </w:r>
      <w:r/>
    </w:p>
    <w:p>
      <w:pPr>
        <w:pStyle w:val="959"/>
        <w:ind w:firstLine="452"/>
        <w:keepLines w:val="0"/>
        <w:keepNext w:val="0"/>
        <w:spacing w:before="0" w:after="0" w:line="360" w:lineRule="auto"/>
        <w:rPr>
          <w:rFonts w:hint="eastAsia"/>
          <w:color w:val="000000"/>
          <w:sz w:val="30"/>
          <w:szCs w:val="30"/>
          <w:highlight w:val="none"/>
        </w:rPr>
      </w:pPr>
      <w:r/>
      <w:bookmarkStart w:id="162" w:name="_Toc120614219"/>
      <w:r>
        <w:rPr>
          <w:rFonts w:hint="eastAsia"/>
          <w:color w:val="000000"/>
          <w:sz w:val="30"/>
          <w:szCs w:val="30"/>
          <w:highlight w:val="none"/>
        </w:rPr>
        <w:t xml:space="preserve">六、</w:t>
      </w:r>
      <w:bookmarkEnd w:id="159"/>
      <w:r/>
      <w:bookmarkEnd w:id="160"/>
      <w:r/>
      <w:bookmarkEnd w:id="161"/>
      <w:r>
        <w:rPr>
          <w:rFonts w:hint="eastAsia"/>
          <w:color w:val="000000"/>
          <w:sz w:val="30"/>
          <w:szCs w:val="30"/>
          <w:highlight w:val="none"/>
        </w:rPr>
        <w:t xml:space="preserve">定标</w:t>
      </w:r>
      <w:bookmarkEnd w:id="162"/>
      <w:r/>
      <w:r/>
    </w:p>
    <w:p>
      <w:pPr>
        <w:pStyle w:val="960"/>
        <w:ind w:firstLine="422"/>
        <w:keepLines w:val="0"/>
        <w:keepNext w:val="0"/>
        <w:spacing w:before="0" w:after="0" w:line="360" w:lineRule="auto"/>
        <w:rPr>
          <w:rFonts w:hint="eastAsia" w:ascii="宋体" w:hAnsi="宋体" w:eastAsia="宋体"/>
          <w:bCs w:val="0"/>
          <w:color w:val="000000"/>
          <w:highlight w:val="none"/>
        </w:rPr>
      </w:pPr>
      <w:r/>
      <w:bookmarkStart w:id="163" w:name="_Toc513029238"/>
      <w:r/>
      <w:bookmarkStart w:id="164" w:name="_Toc16938554"/>
      <w:r/>
      <w:bookmarkStart w:id="165" w:name="_Toc20823310"/>
      <w:r>
        <w:rPr>
          <w:rFonts w:hint="eastAsia" w:ascii="宋体" w:hAnsi="宋体" w:eastAsia="宋体"/>
          <w:bCs w:val="0"/>
          <w:color w:val="000000"/>
          <w:highlight w:val="none"/>
        </w:rPr>
        <w:t xml:space="preserve">27</w:t>
      </w:r>
      <w:bookmarkEnd w:id="163"/>
      <w:r>
        <w:rPr>
          <w:rFonts w:hint="eastAsia" w:ascii="宋体" w:hAnsi="宋体" w:eastAsia="宋体"/>
          <w:bCs w:val="0"/>
          <w:color w:val="000000"/>
          <w:highlight w:val="none"/>
          <w:lang w:eastAsia="zh-CN"/>
        </w:rPr>
        <w:t xml:space="preserve">.</w:t>
      </w:r>
      <w:r>
        <w:rPr>
          <w:rFonts w:hint="eastAsia" w:ascii="宋体" w:hAnsi="宋体" w:eastAsia="宋体"/>
          <w:bCs w:val="0"/>
          <w:color w:val="000000"/>
          <w:highlight w:val="none"/>
        </w:rPr>
        <w:t xml:space="preserve">确定</w:t>
      </w:r>
      <w:bookmarkEnd w:id="164"/>
      <w:r/>
      <w:bookmarkEnd w:id="165"/>
      <w:r>
        <w:rPr>
          <w:rFonts w:hint="eastAsia" w:ascii="宋体" w:hAnsi="宋体" w:eastAsia="宋体"/>
          <w:bCs w:val="0"/>
          <w:color w:val="000000"/>
          <w:highlight w:val="none"/>
        </w:rPr>
        <w:t xml:space="preserve">中标单位</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360" w:lineRule="auto"/>
        <w:rPr>
          <w:rFonts w:hint="eastAsia"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color w:val="000000"/>
          <w:sz w:val="24"/>
          <w:szCs w:val="24"/>
          <w:highlight w:val="none"/>
        </w:rPr>
        <w:t xml:space="preserve">交易中心将在“江苏政府采购网”发布中标公告，公告期限为1个工作日。</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27.4中标无效的确认</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若有充分证据证明，中标人出现下列情况之一的，一经查实，将被取消中标资格：</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27.4.2向采购人、交易中心行贿或者提供其他不正当利益的。</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27.4.3属于本文件规定的无效投标文件条件的，但在评标过程中又未被评委会发现的。</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p>
    <w:p>
      <w:pPr>
        <w:ind w:firstLine="480"/>
        <w:spacing w:line="360" w:lineRule="auto"/>
        <w:rPr>
          <w:rFonts w:hint="eastAsia" w:ascii="宋体" w:hAnsi="宋体"/>
          <w:color w:val="000000"/>
          <w:sz w:val="24"/>
          <w:szCs w:val="24"/>
          <w:highlight w:val="none"/>
        </w:rPr>
      </w:pPr>
      <w:r/>
      <w:bookmarkStart w:id="166" w:name="_Toc200451960"/>
      <w:r>
        <w:rPr>
          <w:rFonts w:hint="eastAsia" w:ascii="宋体" w:hAnsi="宋体"/>
          <w:color w:val="000000"/>
          <w:sz w:val="24"/>
          <w:szCs w:val="24"/>
          <w:highlight w:val="none"/>
        </w:rPr>
        <w:t xml:space="preserve">27.4.6</w:t>
      </w:r>
      <w:r>
        <w:rPr>
          <w:rFonts w:hint="eastAsia" w:ascii="宋体" w:hAnsi="宋体"/>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27.4.7</w:t>
      </w:r>
      <w:r>
        <w:rPr>
          <w:rFonts w:hint="eastAsia" w:ascii="宋体" w:hAnsi="宋体"/>
          <w:bCs/>
          <w:color w:val="000000"/>
          <w:sz w:val="24"/>
          <w:szCs w:val="24"/>
          <w:highlight w:val="none"/>
        </w:rPr>
        <w:t xml:space="preserve">拒绝有关部门监督检查或者提供虚假情况的。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p>
    <w:p>
      <w:pPr>
        <w:pStyle w:val="960"/>
        <w:ind w:firstLine="422"/>
        <w:keepLines w:val="0"/>
        <w:keepNext w:val="0"/>
        <w:spacing w:before="0" w:after="0" w:line="360" w:lineRule="auto"/>
        <w:rPr>
          <w:rFonts w:hint="eastAsia" w:ascii="宋体" w:hAnsi="宋体" w:eastAsia="宋体"/>
          <w:bCs w:val="0"/>
          <w:color w:val="000000"/>
          <w:highlight w:val="none"/>
        </w:rPr>
      </w:pPr>
      <w:r>
        <w:rPr>
          <w:rFonts w:hint="eastAsia" w:ascii="宋体" w:hAnsi="宋体" w:eastAsia="宋体"/>
          <w:bCs w:val="0"/>
          <w:color w:val="000000"/>
          <w:highlight w:val="none"/>
        </w:rPr>
        <w:t xml:space="preserve">28.质疑处理</w:t>
      </w:r>
      <w:bookmarkEnd w:id="166"/>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28.1 提出质疑的供应商应当是参与所</w:t>
      </w:r>
      <w:r>
        <w:rPr>
          <w:rFonts w:hint="eastAsia" w:ascii="宋体" w:hAnsi="宋体"/>
          <w:color w:val="000000"/>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28.2.1</w:t>
      </w:r>
      <w:r>
        <w:rPr>
          <w:rFonts w:ascii="宋体" w:hAnsi="宋体"/>
          <w:color w:val="000000"/>
          <w:sz w:val="24"/>
          <w:szCs w:val="24"/>
          <w:highlight w:val="none"/>
        </w:rPr>
        <w:t xml:space="preserve">对可以质疑的采购文件提出质疑的，为收到采购文件之日或者采购文件公告期限届满之日；</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28.2.2</w:t>
      </w:r>
      <w:r>
        <w:rPr>
          <w:rFonts w:ascii="宋体" w:hAnsi="宋体"/>
          <w:color w:val="000000"/>
          <w:sz w:val="24"/>
          <w:szCs w:val="24"/>
          <w:highlight w:val="none"/>
        </w:rPr>
        <w:t xml:space="preserve">对采购过程提出质疑的，为各采购程序环节结束之日；</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28.2.3</w:t>
      </w:r>
      <w:r>
        <w:rPr>
          <w:rFonts w:ascii="宋体" w:hAnsi="宋体"/>
          <w:color w:val="000000"/>
          <w:sz w:val="24"/>
          <w:szCs w:val="24"/>
          <w:highlight w:val="none"/>
        </w:rPr>
        <w:t xml:space="preserve">对中标或者成交结果提出质疑的，为中标或者成交结果公告期限届满之日。</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28.3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hint="eastAsia"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采购人、交易中心联系人、联系方式、通信地址见招标文件第一章。</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28.5.4未参加投标活动的供应商或在投标活动中自身权益未受到损害的供应商所提出的质疑。</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p>
    <w:p>
      <w:pPr>
        <w:ind w:firstLine="468"/>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28.6供应商提出书面质疑必须有理、有据，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一经查实，交易中心有权依据政府采购的有关规定，报请政府采购监管部门对该供应商进行相应的行政处罚和记录该供应商的失信信息。</w:t>
      </w:r>
      <w:r/>
    </w:p>
    <w:p>
      <w:pPr>
        <w:pStyle w:val="960"/>
        <w:ind w:firstLine="422"/>
        <w:keepLines w:val="0"/>
        <w:keepNext w:val="0"/>
        <w:spacing w:before="0" w:after="0" w:line="360" w:lineRule="auto"/>
        <w:rPr>
          <w:rFonts w:hint="eastAsia" w:ascii="宋体" w:hAnsi="宋体" w:eastAsia="宋体"/>
          <w:bCs w:val="0"/>
          <w:color w:val="000000"/>
          <w:highlight w:val="none"/>
        </w:rPr>
      </w:pPr>
      <w:r>
        <w:rPr>
          <w:rFonts w:hint="eastAsia" w:ascii="宋体" w:hAnsi="宋体" w:eastAsia="宋体"/>
          <w:bCs w:val="0"/>
          <w:color w:val="000000"/>
          <w:highlight w:val="none"/>
        </w:rPr>
        <w:t xml:space="preserve">29.中标通知书</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及时下载中标通知书。因系统存储空间有限，自中标结果公告届满之日起30日后，</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不再保证提供下载中标通知书服务，因未及时下载而造成的不利后果由中标人自行承担。</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59"/>
        <w:ind w:firstLine="452"/>
        <w:keepLines w:val="0"/>
        <w:keepNext w:val="0"/>
        <w:spacing w:before="0" w:after="0" w:line="360" w:lineRule="auto"/>
        <w:rPr>
          <w:rFonts w:hint="eastAsia"/>
          <w:color w:val="000000"/>
          <w:sz w:val="30"/>
          <w:szCs w:val="30"/>
          <w:highlight w:val="none"/>
        </w:rPr>
      </w:pPr>
      <w:r/>
      <w:bookmarkStart w:id="167" w:name="_Toc120614220"/>
      <w:r/>
      <w:bookmarkStart w:id="168" w:name="_Toc16938552"/>
      <w:r/>
      <w:bookmarkStart w:id="169" w:name="_Toc20823308"/>
      <w:r/>
      <w:bookmarkStart w:id="170" w:name="_Toc513029236"/>
      <w:r>
        <w:rPr>
          <w:rFonts w:hint="eastAsia"/>
          <w:color w:val="000000"/>
          <w:sz w:val="30"/>
          <w:szCs w:val="30"/>
          <w:highlight w:val="none"/>
        </w:rPr>
        <w:t xml:space="preserve">七、授予合同</w:t>
      </w:r>
      <w:bookmarkEnd w:id="167"/>
      <w:r/>
      <w:bookmarkEnd w:id="168"/>
      <w:r/>
      <w:bookmarkEnd w:id="169"/>
      <w:r/>
      <w:bookmarkEnd w:id="170"/>
      <w:r/>
      <w:r/>
    </w:p>
    <w:p>
      <w:pPr>
        <w:pStyle w:val="960"/>
        <w:ind w:firstLine="422"/>
        <w:keepLines w:val="0"/>
        <w:keepNext w:val="0"/>
        <w:spacing w:before="0" w:after="0" w:line="360" w:lineRule="auto"/>
        <w:rPr>
          <w:rFonts w:hint="eastAsia" w:ascii="宋体" w:hAnsi="宋体" w:eastAsia="宋体"/>
          <w:bCs w:val="0"/>
          <w:color w:val="000000"/>
          <w:highlight w:val="none"/>
        </w:rPr>
      </w:pPr>
      <w:r/>
      <w:bookmarkStart w:id="171" w:name="_Toc16938553"/>
      <w:r/>
      <w:bookmarkStart w:id="172" w:name="_Toc20823309"/>
      <w:r/>
      <w:bookmarkStart w:id="173" w:name="_Toc513029237"/>
      <w:r>
        <w:rPr>
          <w:rFonts w:hint="eastAsia" w:ascii="宋体" w:hAnsi="宋体" w:eastAsia="宋体"/>
          <w:bCs w:val="0"/>
          <w:color w:val="000000"/>
          <w:highlight w:val="none"/>
        </w:rPr>
        <w:t xml:space="preserve">30.签订合同</w:t>
      </w:r>
      <w:r/>
    </w:p>
    <w:p>
      <w:pPr>
        <w:ind w:firstLine="480"/>
        <w:spacing w:line="360" w:lineRule="auto"/>
        <w:rPr>
          <w:rFonts w:hint="eastAsia" w:ascii="宋体" w:hAnsi="宋体"/>
          <w:color w:val="000000"/>
          <w:sz w:val="24"/>
          <w:szCs w:val="24"/>
          <w:highlight w:val="none"/>
        </w:rPr>
      </w:pPr>
      <w:r>
        <w:rPr>
          <w:rFonts w:hint="eastAsia" w:ascii="宋体" w:hAnsi="宋体"/>
          <w:bCs/>
          <w:color w:val="000000"/>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highlight w:val="none"/>
        </w:rPr>
        <w:t xml:space="preserve">招标文件、中标人的投标文件及招标过程中有关澄清、承诺文件均应作为合同附件。</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30.2中标人非因不可抗力未履行招、投标文件和合同规定的义务，一经查实，交易中心将根据具体情况提请政府采购管理部门作出相应处理。</w:t>
      </w:r>
      <w:r/>
    </w:p>
    <w:p>
      <w:pPr>
        <w:ind w:firstLine="480"/>
        <w:spacing w:line="360" w:lineRule="auto"/>
        <w:rPr>
          <w:rFonts w:hint="eastAsia" w:ascii="宋体" w:hAnsi="宋体"/>
          <w:bCs/>
          <w:color w:val="000000"/>
          <w:sz w:val="24"/>
          <w:szCs w:val="24"/>
          <w:highlight w:val="none"/>
        </w:rPr>
      </w:pPr>
      <w:r>
        <w:rPr>
          <w:rFonts w:hint="eastAsia" w:ascii="宋体" w:hAnsi="宋体"/>
          <w:color w:val="000000"/>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60"/>
        <w:ind w:firstLine="422"/>
        <w:keepLines w:val="0"/>
        <w:keepNext w:val="0"/>
        <w:spacing w:before="0" w:after="0" w:line="360" w:lineRule="auto"/>
        <w:rPr>
          <w:rFonts w:hint="eastAsia" w:ascii="宋体" w:hAnsi="宋体" w:eastAsia="宋体"/>
          <w:bCs w:val="0"/>
          <w:color w:val="000000"/>
          <w:highlight w:val="none"/>
        </w:rPr>
      </w:pPr>
      <w:r>
        <w:rPr>
          <w:rFonts w:hint="eastAsia" w:ascii="宋体" w:hAnsi="宋体" w:eastAsia="宋体"/>
          <w:bCs w:val="0"/>
          <w:color w:val="000000"/>
          <w:highlight w:val="none"/>
        </w:rPr>
        <w:t xml:space="preserve">31.服务（包含与服务相关的货物）的追加</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1"/>
      <w:r/>
      <w:bookmarkEnd w:id="172"/>
      <w:r/>
      <w:bookmarkEnd w:id="173"/>
      <w:r/>
      <w:r/>
    </w:p>
    <w:p>
      <w:pPr>
        <w:numPr>
          <w:ilvl w:val="0"/>
          <w:numId w:val="5"/>
        </w:numPr>
        <w:jc w:val="center"/>
        <w:spacing w:line="360" w:lineRule="auto"/>
        <w:tabs>
          <w:tab w:val="left" w:pos="1440" w:leader="none"/>
        </w:tabs>
        <w:rPr>
          <w:rFonts w:hint="eastAsia" w:ascii="黑体" w:hAnsi="黑体" w:eastAsia="黑体"/>
          <w:color w:val="000000"/>
          <w:sz w:val="36"/>
          <w:szCs w:val="36"/>
          <w:highlight w:val="none"/>
        </w:rPr>
        <w:outlineLvl w:val="0"/>
      </w:pPr>
      <w:r/>
      <w:bookmarkStart w:id="174" w:name="_Toc120614221"/>
      <w:r/>
      <w:bookmarkStart w:id="175" w:name="_Toc513029242"/>
      <w:r/>
      <w:bookmarkStart w:id="176" w:name="_Toc16938558"/>
      <w:r/>
      <w:bookmarkStart w:id="177" w:name="_Toc479757207"/>
      <w:r/>
      <w:bookmarkStart w:id="178" w:name="_Toc20823314"/>
      <w:r>
        <w:rPr>
          <w:rFonts w:ascii="宋体" w:hAnsi="宋体"/>
          <w:bCs/>
          <w:color w:val="000000"/>
          <w:sz w:val="24"/>
          <w:highlight w:val="none"/>
          <w:shd w:val="clear" w:color="ffffff" w:fill="d9d9d9"/>
        </w:rPr>
        <w:br w:type="page" w:clear="all"/>
      </w:r>
      <w:r>
        <w:rPr>
          <w:rFonts w:hint="eastAsia" w:ascii="黑体" w:hAnsi="黑体" w:eastAsia="黑体"/>
          <w:color w:val="000000"/>
          <w:sz w:val="36"/>
          <w:szCs w:val="36"/>
          <w:highlight w:val="none"/>
        </w:rPr>
        <w:t xml:space="preserve"> 合同</w:t>
      </w:r>
      <w:bookmarkEnd w:id="174"/>
      <w:r/>
      <w:bookmarkEnd w:id="175"/>
      <w:r/>
      <w:bookmarkEnd w:id="176"/>
      <w:r/>
      <w:bookmarkEnd w:id="177"/>
      <w:r/>
      <w:bookmarkEnd w:id="178"/>
      <w:r>
        <w:rPr>
          <w:rFonts w:hint="eastAsia" w:ascii="黑体" w:hAnsi="黑体" w:eastAsia="黑体"/>
          <w:color w:val="000000"/>
          <w:sz w:val="36"/>
          <w:szCs w:val="36"/>
          <w:highlight w:val="none"/>
        </w:rPr>
        <w:t xml:space="preserve">文本</w:t>
      </w:r>
      <w:r/>
    </w:p>
    <w:p>
      <w:pPr>
        <w:numPr>
          <w:ilvl w:val="0"/>
          <w:numId w:val="0"/>
        </w:numPr>
        <w:ind w:firstLine="480"/>
        <w:jc w:val="both"/>
        <w:spacing w:line="360" w:lineRule="auto"/>
        <w:tabs>
          <w:tab w:val="left" w:pos="1440" w:leader="none"/>
        </w:tabs>
        <w:rPr>
          <w:rFonts w:hint="eastAsia" w:ascii="宋体" w:hAnsi="宋体" w:eastAsia="宋体" w:cs="宋体"/>
          <w:bCs/>
          <w:color w:val="000000"/>
          <w:sz w:val="24"/>
          <w:szCs w:val="21"/>
          <w:lang w:val="en-US"/>
        </w:rPr>
        <w:outlineLvl w:val="0"/>
      </w:pPr>
      <w:r>
        <w:rPr>
          <w:rFonts w:hint="eastAsia" w:ascii="宋体" w:hAnsi="宋体" w:eastAsia="宋体" w:cs="宋体"/>
          <w:bCs/>
          <w:color w:val="000000"/>
          <w:sz w:val="24"/>
          <w:szCs w:val="21"/>
          <w:lang w:val="en-US" w:eastAsia="zh-CN" w:bidi="ar"/>
        </w:rPr>
        <w:t xml:space="preserve">以下为中标后签订本项目合同的通用条款，中标人不得提出实质性的修改。</w:t>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30"/>
          <w:szCs w:val="20"/>
          <w:lang w:val="en-US"/>
        </w:rPr>
        <w:outlineLvl w:val="0"/>
        <w:suppressLineNumbers w:val="0"/>
      </w:pPr>
      <w:r>
        <w:rPr>
          <w:rFonts w:hint="eastAsia" w:ascii="宋体" w:hAnsi="宋体" w:eastAsia="宋体" w:cs="宋体"/>
          <w:b/>
          <w:bCs w:val="0"/>
          <w:color w:val="000000"/>
          <w:sz w:val="30"/>
          <w:szCs w:val="21"/>
          <w:lang w:val="en-US" w:eastAsia="zh-CN" w:bidi="ar"/>
        </w:rPr>
        <w:t xml:space="preserve">江苏省政府采购合同（服务）（合同编号）</w:t>
      </w:r>
      <w:r/>
    </w:p>
    <w:p>
      <w:pPr>
        <w:pStyle w:val="799"/>
        <w:ind w:left="0" w:right="0"/>
        <w:jc w:val="left"/>
        <w:keepLines w:val="0"/>
        <w:keepNext w:val="0"/>
        <w:spacing w:before="0" w:beforeAutospacing="0" w:after="0" w:afterAutospacing="0" w:line="360" w:lineRule="auto"/>
        <w:widowControl w:val="off"/>
        <w:rPr>
          <w:rFonts w:hAnsi="宋体"/>
          <w:color w:val="000000"/>
          <w:sz w:val="24"/>
          <w:szCs w:val="24"/>
          <w:lang w:val="en-US"/>
        </w:rPr>
        <w:suppressLineNumbers w:val="0"/>
      </w:pPr>
      <w:r>
        <w:rPr>
          <w:rFonts w:hint="eastAsia" w:ascii="宋体" w:hAnsi="宋体" w:eastAsia="宋体" w:cs="Times New Roman"/>
          <w:color w:val="000000"/>
          <w:sz w:val="24"/>
          <w:szCs w:val="24"/>
          <w:lang w:val="en-US" w:eastAsia="zh-CN" w:bidi="ar"/>
        </w:rPr>
        <w:t xml:space="preserve">项目名称：无锡市滨湖区2026年度政务信息化统一运维项目                                     项目编号：</w:t>
      </w:r>
      <w:r/>
    </w:p>
    <w:p>
      <w:pPr>
        <w:pStyle w:val="799"/>
        <w:ind w:left="0" w:right="0"/>
        <w:jc w:val="both"/>
        <w:keepLines w:val="0"/>
        <w:keepNext w:val="0"/>
        <w:spacing w:before="0" w:beforeAutospacing="0" w:after="0" w:afterAutospacing="0" w:line="360" w:lineRule="auto"/>
        <w:widowControl w:val="off"/>
        <w:rPr>
          <w:rFonts w:hAnsi="宋体"/>
          <w:color w:val="000000"/>
          <w:sz w:val="24"/>
          <w:szCs w:val="24"/>
          <w:lang w:val="en-US"/>
        </w:rPr>
        <w:suppressLineNumbers w:val="0"/>
      </w:pPr>
      <w:r>
        <w:rPr>
          <w:rFonts w:hint="eastAsia" w:ascii="宋体" w:hAnsi="宋体" w:eastAsia="宋体" w:cs="Times New Roman"/>
          <w:color w:val="000000"/>
          <w:sz w:val="24"/>
          <w:szCs w:val="24"/>
          <w:lang w:val="en-US" w:eastAsia="zh-CN" w:bidi="ar"/>
        </w:rPr>
        <w:t xml:space="preserve">甲方：（买方、需方、采购人）_</w:t>
      </w:r>
      <w:r>
        <w:rPr>
          <w:rFonts w:hint="eastAsia" w:ascii="宋体" w:hAnsi="宋体" w:eastAsia="宋体" w:cs="Times New Roman"/>
          <w:color w:val="000000"/>
          <w:sz w:val="24"/>
          <w:szCs w:val="24"/>
          <w:u w:val="single"/>
          <w:lang w:val="en-US" w:eastAsia="zh-CN" w:bidi="ar"/>
        </w:rPr>
        <w:t xml:space="preserve">无锡市滨湖区数据局</w:t>
      </w:r>
      <w:r>
        <w:rPr>
          <w:rFonts w:hint="eastAsia" w:ascii="宋体" w:hAnsi="宋体" w:eastAsia="宋体" w:cs="Times New Roman"/>
          <w:color w:val="000000"/>
          <w:sz w:val="24"/>
          <w:szCs w:val="24"/>
          <w:lang w:val="en-US" w:eastAsia="zh-CN" w:bidi="ar"/>
        </w:rPr>
        <w:t xml:space="preserve">________</w:t>
      </w:r>
      <w:r/>
    </w:p>
    <w:p>
      <w:pPr>
        <w:pStyle w:val="799"/>
        <w:ind w:left="0" w:right="0"/>
        <w:jc w:val="both"/>
        <w:keepLines w:val="0"/>
        <w:keepNext w:val="0"/>
        <w:spacing w:before="0" w:beforeAutospacing="0" w:after="0" w:afterAutospacing="0" w:line="360" w:lineRule="auto"/>
        <w:widowControl w:val="off"/>
        <w:rPr>
          <w:rFonts w:hAnsi="宋体"/>
          <w:color w:val="000000"/>
          <w:sz w:val="24"/>
          <w:szCs w:val="24"/>
          <w:lang w:val="en-US"/>
        </w:rPr>
        <w:suppressLineNumbers w:val="0"/>
      </w:pPr>
      <w:r>
        <w:rPr>
          <w:rFonts w:hint="eastAsia" w:ascii="宋体" w:hAnsi="宋体" w:eastAsia="宋体" w:cs="Times New Roman"/>
          <w:color w:val="000000"/>
          <w:sz w:val="24"/>
          <w:szCs w:val="24"/>
          <w:lang w:val="en-US" w:eastAsia="zh-CN" w:bidi="ar"/>
        </w:rPr>
        <w:t xml:space="preserve">乙方：（卖方、供方、供应商）_________</w:t>
      </w:r>
      <w:r/>
    </w:p>
    <w:p>
      <w:pPr>
        <w:pStyle w:val="799"/>
        <w:ind w:left="0" w:right="0" w:firstLine="480"/>
        <w:jc w:val="both"/>
        <w:keepLines w:val="0"/>
        <w:keepNext w:val="0"/>
        <w:spacing w:before="0" w:beforeAutospacing="0" w:after="0" w:afterAutospacing="0" w:line="360" w:lineRule="auto"/>
        <w:widowControl w:val="off"/>
        <w:rPr>
          <w:rFonts w:hAnsi="宋体"/>
          <w:b/>
          <w:bCs w:val="0"/>
          <w:color w:val="000000"/>
          <w:sz w:val="24"/>
          <w:szCs w:val="24"/>
          <w:lang w:val="en-US"/>
        </w:rPr>
        <w:suppressLineNumbers w:val="0"/>
      </w:pPr>
      <w:r>
        <w:rPr>
          <w:rFonts w:hint="eastAsia" w:ascii="宋体" w:hAnsi="宋体" w:eastAsia="宋体" w:cs="Times New Roman"/>
          <w:color w:val="000000"/>
          <w:sz w:val="24"/>
          <w:szCs w:val="24"/>
          <w:lang w:val="en-US" w:eastAsia="zh-CN" w:bidi="ar"/>
        </w:rPr>
        <w:t xml:space="preserve">甲、乙双方根据无锡市滨湖区公共资源交易中心</w:t>
      </w:r>
      <w:r>
        <w:rPr>
          <w:rFonts w:hint="eastAsia" w:ascii="宋体" w:hAnsi="宋体" w:eastAsia="宋体" w:cs="Times New Roman"/>
          <w:color w:val="000000"/>
          <w:sz w:val="24"/>
          <w:szCs w:val="24"/>
          <w:u w:val="single"/>
          <w:lang w:val="en-US" w:eastAsia="zh-CN" w:bidi="ar"/>
        </w:rPr>
        <w:t xml:space="preserve"> 无锡市滨湖区2026年度政务信息化统一运维   </w:t>
      </w:r>
      <w:r>
        <w:rPr>
          <w:rFonts w:hint="eastAsia" w:ascii="宋体" w:hAnsi="宋体" w:eastAsia="宋体" w:cs="Times New Roman"/>
          <w:color w:val="000000"/>
          <w:sz w:val="24"/>
          <w:szCs w:val="24"/>
          <w:lang w:val="en-US" w:eastAsia="zh-CN" w:bidi="ar"/>
        </w:rPr>
        <w:t xml:space="preserve">项目公开招标的结果，签署本合同。</w:t>
      </w:r>
      <w:r/>
    </w:p>
    <w:p>
      <w:pPr>
        <w:pStyle w:val="799"/>
        <w:ind w:left="0" w:right="0" w:firstLine="482"/>
        <w:jc w:val="both"/>
        <w:keepLines w:val="0"/>
        <w:keepNext w:val="0"/>
        <w:spacing w:before="0" w:beforeAutospacing="0" w:after="0" w:afterAutospacing="0" w:line="360" w:lineRule="auto"/>
        <w:widowControl w:val="off"/>
        <w:rPr>
          <w:rFonts w:hAnsi="宋体"/>
          <w:b/>
          <w:bCs w:val="0"/>
          <w:color w:val="000000"/>
          <w:sz w:val="24"/>
          <w:szCs w:val="24"/>
          <w:lang w:val="en-US"/>
        </w:rPr>
        <w:suppressLineNumbers w:val="0"/>
      </w:pPr>
      <w:r>
        <w:rPr>
          <w:rFonts w:hint="eastAsia" w:ascii="宋体" w:hAnsi="宋体" w:eastAsia="宋体" w:cs="Times New Roman"/>
          <w:b/>
          <w:bCs w:val="0"/>
          <w:color w:val="000000"/>
          <w:sz w:val="24"/>
          <w:szCs w:val="24"/>
          <w:lang w:val="en-US" w:eastAsia="zh-CN" w:bidi="ar"/>
        </w:rPr>
        <w:t xml:space="preserve">一、合同内容</w:t>
      </w:r>
      <w:r/>
    </w:p>
    <w:p>
      <w:pPr>
        <w:pStyle w:val="799"/>
        <w:ind w:left="0" w:right="0" w:firstLine="480"/>
        <w:jc w:val="both"/>
        <w:keepLines w:val="0"/>
        <w:keepNext w:val="0"/>
        <w:spacing w:before="0" w:beforeAutospacing="0" w:after="0" w:afterAutospacing="0" w:line="360" w:lineRule="auto"/>
        <w:widowControl w:val="off"/>
        <w:rPr>
          <w:rFonts w:hAnsi="宋体"/>
          <w:color w:val="000000"/>
          <w:sz w:val="24"/>
          <w:szCs w:val="24"/>
          <w:lang w:val="en-US"/>
        </w:rPr>
        <w:suppressLineNumbers w:val="0"/>
      </w:pPr>
      <w:r>
        <w:rPr>
          <w:rFonts w:hint="eastAsia" w:ascii="宋体" w:hAnsi="宋体" w:eastAsia="宋体" w:cs="Times New Roman"/>
          <w:color w:val="000000"/>
          <w:sz w:val="24"/>
          <w:szCs w:val="24"/>
          <w:lang w:val="en-US" w:eastAsia="zh-CN" w:bidi="ar"/>
        </w:rPr>
        <w:t xml:space="preserve">1.1 标的名称：运维服务</w:t>
      </w:r>
      <w:r/>
    </w:p>
    <w:p>
      <w:pPr>
        <w:pStyle w:val="799"/>
        <w:ind w:left="0" w:right="0" w:firstLine="480"/>
        <w:jc w:val="both"/>
        <w:keepLines w:val="0"/>
        <w:keepNext w:val="0"/>
        <w:spacing w:before="0" w:beforeAutospacing="0" w:after="0" w:afterAutospacing="0" w:line="360" w:lineRule="auto"/>
        <w:widowControl w:val="off"/>
        <w:rPr>
          <w:rFonts w:hAnsi="宋体"/>
          <w:color w:val="000000"/>
          <w:sz w:val="24"/>
          <w:szCs w:val="24"/>
          <w:lang w:val="en-US"/>
        </w:rPr>
        <w:suppressLineNumbers w:val="0"/>
      </w:pPr>
      <w:r>
        <w:rPr>
          <w:rFonts w:hint="eastAsia" w:ascii="宋体" w:hAnsi="宋体" w:eastAsia="宋体" w:cs="Times New Roman"/>
          <w:color w:val="000000"/>
          <w:sz w:val="24"/>
          <w:szCs w:val="24"/>
          <w:lang w:val="en-US" w:eastAsia="zh-CN" w:bidi="ar"/>
        </w:rPr>
        <w:t xml:space="preserve">1.2标的质量：符合相关标准与法律法规</w:t>
      </w:r>
      <w:r/>
    </w:p>
    <w:p>
      <w:pPr>
        <w:pStyle w:val="799"/>
        <w:ind w:left="0" w:right="0" w:firstLine="480"/>
        <w:jc w:val="both"/>
        <w:keepLines w:val="0"/>
        <w:keepNext w:val="0"/>
        <w:spacing w:before="0" w:beforeAutospacing="0" w:after="0" w:afterAutospacing="0" w:line="360" w:lineRule="auto"/>
        <w:widowControl w:val="off"/>
        <w:rPr>
          <w:rFonts w:hAnsi="宋体"/>
          <w:color w:val="000000"/>
          <w:sz w:val="24"/>
          <w:szCs w:val="24"/>
          <w:lang w:val="en-US"/>
        </w:rPr>
        <w:suppressLineNumbers w:val="0"/>
      </w:pPr>
      <w:r>
        <w:rPr>
          <w:rFonts w:hint="eastAsia" w:ascii="宋体" w:hAnsi="宋体" w:eastAsia="宋体" w:cs="Times New Roman"/>
          <w:color w:val="000000"/>
          <w:sz w:val="24"/>
          <w:szCs w:val="24"/>
          <w:lang w:val="en-US" w:eastAsia="zh-CN" w:bidi="ar"/>
        </w:rPr>
        <w:t xml:space="preserve">1.3 履行时间（期限）：周期1年，自合同签订之日起算</w:t>
      </w:r>
      <w:r/>
    </w:p>
    <w:p>
      <w:pPr>
        <w:pStyle w:val="799"/>
        <w:ind w:left="0" w:right="0" w:firstLine="480"/>
        <w:jc w:val="both"/>
        <w:keepLines w:val="0"/>
        <w:keepNext w:val="0"/>
        <w:spacing w:before="0" w:beforeAutospacing="0" w:after="0" w:afterAutospacing="0" w:line="360" w:lineRule="auto"/>
        <w:widowControl w:val="off"/>
        <w:rPr>
          <w:rFonts w:hAnsi="宋体"/>
          <w:color w:val="000000"/>
          <w:sz w:val="24"/>
          <w:szCs w:val="24"/>
          <w:lang w:val="en-US"/>
        </w:rPr>
        <w:suppressLineNumbers w:val="0"/>
      </w:pPr>
      <w:r>
        <w:rPr>
          <w:rFonts w:hint="eastAsia" w:ascii="宋体" w:hAnsi="宋体" w:eastAsia="宋体" w:cs="Times New Roman"/>
          <w:color w:val="000000"/>
          <w:sz w:val="24"/>
          <w:szCs w:val="24"/>
          <w:lang w:val="en-US" w:eastAsia="zh-CN" w:bidi="ar"/>
        </w:rPr>
        <w:t xml:space="preserve">1.4 履行地点：甲方指定地点</w:t>
      </w:r>
      <w:r/>
    </w:p>
    <w:p>
      <w:pPr>
        <w:pStyle w:val="799"/>
        <w:ind w:left="0" w:right="0" w:firstLine="482"/>
        <w:jc w:val="both"/>
        <w:keepLines w:val="0"/>
        <w:keepNext w:val="0"/>
        <w:spacing w:before="0" w:beforeAutospacing="0" w:after="0" w:afterAutospacing="0" w:line="360" w:lineRule="auto"/>
        <w:widowControl w:val="off"/>
        <w:rPr>
          <w:rFonts w:hAnsi="宋体"/>
          <w:b/>
          <w:bCs w:val="0"/>
          <w:color w:val="000000"/>
          <w:sz w:val="24"/>
          <w:szCs w:val="24"/>
          <w:lang w:val="en-US"/>
        </w:rPr>
        <w:suppressLineNumbers w:val="0"/>
      </w:pPr>
      <w:r>
        <w:rPr>
          <w:rFonts w:hint="eastAsia" w:ascii="宋体" w:hAnsi="宋体" w:eastAsia="宋体" w:cs="Times New Roman"/>
          <w:b/>
          <w:bCs w:val="0"/>
          <w:color w:val="000000"/>
          <w:sz w:val="24"/>
          <w:szCs w:val="24"/>
          <w:lang w:val="en-US" w:eastAsia="zh-CN" w:bidi="ar"/>
        </w:rPr>
        <w:t xml:space="preserve">二、合同金额</w:t>
      </w:r>
      <w:r/>
    </w:p>
    <w:p>
      <w:pPr>
        <w:pStyle w:val="799"/>
        <w:ind w:left="0" w:right="0" w:firstLine="480"/>
        <w:jc w:val="both"/>
        <w:keepLines w:val="0"/>
        <w:keepNext w:val="0"/>
        <w:spacing w:before="0" w:beforeAutospacing="0" w:after="0" w:afterAutospacing="0" w:line="360" w:lineRule="auto"/>
        <w:widowControl w:val="off"/>
        <w:rPr>
          <w:rFonts w:hAnsi="宋体"/>
          <w:color w:val="000000"/>
          <w:sz w:val="24"/>
          <w:szCs w:val="24"/>
          <w:lang w:val="en-US"/>
        </w:rPr>
        <w:suppressLineNumbers w:val="0"/>
      </w:pPr>
      <w:r>
        <w:rPr>
          <w:rFonts w:hint="eastAsia" w:ascii="宋体" w:hAnsi="宋体" w:eastAsia="宋体" w:cs="Times New Roman"/>
          <w:color w:val="000000"/>
          <w:sz w:val="24"/>
          <w:szCs w:val="24"/>
          <w:lang w:val="en-US" w:eastAsia="zh-CN" w:bidi="ar"/>
        </w:rPr>
        <w:t xml:space="preserve">2.1 本合同金额为（大写）： ____________圆（______元）人民币或其他币种。</w:t>
      </w:r>
      <w:r/>
    </w:p>
    <w:p>
      <w:pPr>
        <w:pStyle w:val="799"/>
        <w:ind w:left="0" w:right="0" w:firstLine="482"/>
        <w:jc w:val="both"/>
        <w:keepLines w:val="0"/>
        <w:keepNext w:val="0"/>
        <w:spacing w:before="0" w:beforeAutospacing="0" w:after="0" w:afterAutospacing="0" w:line="360" w:lineRule="auto"/>
        <w:widowControl w:val="off"/>
        <w:rPr>
          <w:rFonts w:hAnsi="宋体"/>
          <w:b/>
          <w:bCs w:val="0"/>
          <w:color w:val="000000"/>
          <w:sz w:val="24"/>
          <w:szCs w:val="24"/>
          <w:lang w:val="en-US"/>
        </w:rPr>
        <w:suppressLineNumbers w:val="0"/>
      </w:pPr>
      <w:r>
        <w:rPr>
          <w:rFonts w:hint="eastAsia" w:ascii="宋体" w:hAnsi="宋体" w:eastAsia="宋体" w:cs="Times New Roman"/>
          <w:b/>
          <w:bCs w:val="0"/>
          <w:color w:val="000000"/>
          <w:sz w:val="24"/>
          <w:szCs w:val="24"/>
          <w:lang w:val="en-US" w:eastAsia="zh-CN" w:bidi="ar"/>
        </w:rPr>
        <w:t xml:space="preserve">三、技术资料</w:t>
      </w:r>
      <w:r/>
    </w:p>
    <w:p>
      <w:pPr>
        <w:pStyle w:val="799"/>
        <w:ind w:left="0" w:right="0" w:firstLine="480"/>
        <w:jc w:val="both"/>
        <w:keepLines w:val="0"/>
        <w:keepNext w:val="0"/>
        <w:spacing w:before="0" w:beforeAutospacing="0" w:after="0" w:afterAutospacing="0" w:line="360" w:lineRule="auto"/>
        <w:widowControl w:val="off"/>
        <w:rPr>
          <w:rFonts w:hAnsi="宋体"/>
          <w:color w:val="000000"/>
          <w:sz w:val="24"/>
          <w:szCs w:val="24"/>
          <w:lang w:val="en-US"/>
        </w:rPr>
        <w:suppressLineNumbers w:val="0"/>
      </w:pPr>
      <w:r>
        <w:rPr>
          <w:rFonts w:hint="eastAsia" w:ascii="宋体" w:hAnsi="宋体" w:eastAsia="宋体" w:cs="Times New Roman"/>
          <w:color w:val="000000"/>
          <w:sz w:val="24"/>
          <w:szCs w:val="24"/>
          <w:lang w:val="en-US" w:eastAsia="zh-CN" w:bidi="ar"/>
        </w:rPr>
        <w:t xml:space="preserve">3.1乙方应按招标文件规定的时间向甲方提供服务（包含与服务相关的货物）的有关技术资料。</w:t>
      </w:r>
      <w:r/>
    </w:p>
    <w:p>
      <w:pPr>
        <w:pStyle w:val="799"/>
        <w:ind w:left="0" w:right="0" w:firstLine="480"/>
        <w:jc w:val="both"/>
        <w:keepLines w:val="0"/>
        <w:keepNext w:val="0"/>
        <w:spacing w:before="0" w:beforeAutospacing="0" w:after="0" w:afterAutospacing="0" w:line="360" w:lineRule="auto"/>
        <w:widowControl w:val="off"/>
        <w:rPr>
          <w:rFonts w:hAnsi="宋体"/>
          <w:color w:val="000000"/>
          <w:sz w:val="24"/>
          <w:szCs w:val="24"/>
          <w:lang w:val="en-US"/>
        </w:rPr>
        <w:suppressLineNumbers w:val="0"/>
      </w:pPr>
      <w:r>
        <w:rPr>
          <w:rFonts w:hint="eastAsia" w:ascii="宋体" w:hAnsi="宋体" w:eastAsia="宋体" w:cs="Times New Roman"/>
          <w:color w:val="000000"/>
          <w:sz w:val="24"/>
          <w:szCs w:val="24"/>
          <w:lang w:val="en-US" w:eastAsia="zh-CN" w:bidi="ar"/>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99"/>
        <w:ind w:left="0" w:right="0" w:firstLine="482"/>
        <w:jc w:val="both"/>
        <w:keepLines w:val="0"/>
        <w:keepNext w:val="0"/>
        <w:spacing w:before="0" w:beforeAutospacing="0" w:after="0" w:afterAutospacing="0" w:line="360" w:lineRule="auto"/>
        <w:widowControl w:val="off"/>
        <w:rPr>
          <w:rFonts w:hAnsi="宋体"/>
          <w:b/>
          <w:bCs w:val="0"/>
          <w:color w:val="000000"/>
          <w:sz w:val="24"/>
          <w:szCs w:val="24"/>
          <w:lang w:val="en-US"/>
        </w:rPr>
        <w:suppressLineNumbers w:val="0"/>
      </w:pPr>
      <w:r>
        <w:rPr>
          <w:rFonts w:hint="eastAsia" w:ascii="宋体" w:hAnsi="宋体" w:eastAsia="宋体" w:cs="Times New Roman"/>
          <w:b/>
          <w:bCs w:val="0"/>
          <w:color w:val="000000"/>
          <w:sz w:val="24"/>
          <w:szCs w:val="24"/>
          <w:lang w:val="en-US" w:eastAsia="zh-CN" w:bidi="ar"/>
        </w:rPr>
        <w:t xml:space="preserve">四、知识产权</w:t>
      </w:r>
      <w:r/>
    </w:p>
    <w:p>
      <w:pPr>
        <w:pStyle w:val="799"/>
        <w:ind w:left="0" w:right="0" w:firstLine="480"/>
        <w:jc w:val="both"/>
        <w:keepLines w:val="0"/>
        <w:keepNext w:val="0"/>
        <w:spacing w:before="0" w:beforeAutospacing="0" w:after="0" w:afterAutospacing="0" w:line="360" w:lineRule="auto"/>
        <w:widowControl w:val="off"/>
        <w:rPr>
          <w:rFonts w:hAnsi="宋体"/>
          <w:color w:val="000000"/>
          <w:sz w:val="24"/>
          <w:szCs w:val="24"/>
          <w:lang w:val="en-US"/>
        </w:rPr>
        <w:suppressLineNumbers w:val="0"/>
      </w:pPr>
      <w:r>
        <w:rPr>
          <w:rFonts w:hint="eastAsia" w:ascii="宋体" w:hAnsi="宋体" w:eastAsia="宋体" w:cs="Times New Roman"/>
          <w:color w:val="000000"/>
          <w:sz w:val="24"/>
          <w:szCs w:val="24"/>
          <w:lang w:val="en-US" w:eastAsia="zh-CN" w:bidi="ar"/>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99"/>
        <w:ind w:left="0" w:right="0"/>
        <w:jc w:val="both"/>
        <w:keepLines w:val="0"/>
        <w:keepNext w:val="0"/>
        <w:spacing w:before="0" w:beforeAutospacing="0" w:after="0" w:afterAutospacing="0" w:line="360" w:lineRule="auto"/>
        <w:widowControl w:val="off"/>
        <w:rPr>
          <w:rFonts w:hAnsi="宋体"/>
          <w:color w:val="000000"/>
          <w:sz w:val="24"/>
          <w:szCs w:val="24"/>
          <w:lang w:val="en-US"/>
        </w:rPr>
        <w:suppressLineNumbers w:val="0"/>
      </w:pPr>
      <w:r>
        <w:rPr>
          <w:rFonts w:hint="eastAsia" w:ascii="宋体" w:hAnsi="宋体" w:eastAsia="宋体" w:cs="Times New Roman"/>
          <w:color w:val="000000"/>
          <w:sz w:val="24"/>
          <w:szCs w:val="24"/>
          <w:lang w:val="en-US" w:eastAsia="zh-CN" w:bidi="ar"/>
        </w:rPr>
        <w:t xml:space="preserve">（注：采购项目如涉及采购标的的知识产权归属、处理的，如订购、设计、定制开发的信息化建设项目等，应当约定知识产权的归属和处理方式）</w:t>
      </w:r>
      <w:r/>
    </w:p>
    <w:p>
      <w:pPr>
        <w:pStyle w:val="799"/>
        <w:ind w:left="0" w:right="0" w:firstLine="482"/>
        <w:jc w:val="both"/>
        <w:keepLines w:val="0"/>
        <w:keepNext w:val="0"/>
        <w:spacing w:before="0" w:beforeAutospacing="0" w:after="0" w:afterAutospacing="0" w:line="360" w:lineRule="auto"/>
        <w:widowControl w:val="off"/>
        <w:rPr>
          <w:rFonts w:hAnsi="宋体"/>
          <w:color w:val="000000"/>
          <w:sz w:val="24"/>
          <w:szCs w:val="24"/>
          <w:u w:val="single"/>
          <w:lang w:val="en-US"/>
        </w:rPr>
        <w:suppressLineNumbers w:val="0"/>
      </w:pPr>
      <w:r>
        <w:rPr>
          <w:rFonts w:hint="eastAsia" w:ascii="宋体" w:hAnsi="宋体" w:eastAsia="宋体" w:cs="Times New Roman"/>
          <w:b/>
          <w:bCs w:val="0"/>
          <w:color w:val="000000"/>
          <w:sz w:val="24"/>
          <w:szCs w:val="24"/>
          <w:lang w:val="en-US" w:eastAsia="zh-CN" w:bidi="ar"/>
        </w:rPr>
        <w:t xml:space="preserve">五、产权担保</w:t>
      </w:r>
      <w:r/>
    </w:p>
    <w:p>
      <w:pPr>
        <w:pStyle w:val="799"/>
        <w:ind w:left="0" w:right="0" w:firstLine="480"/>
        <w:jc w:val="both"/>
        <w:keepLines w:val="0"/>
        <w:keepNext w:val="0"/>
        <w:spacing w:before="0" w:beforeAutospacing="0" w:after="0" w:afterAutospacing="0" w:line="360" w:lineRule="auto"/>
        <w:widowControl w:val="off"/>
        <w:rPr>
          <w:rFonts w:hAnsi="宋体"/>
          <w:color w:val="000000"/>
          <w:sz w:val="24"/>
          <w:szCs w:val="24"/>
          <w:u w:val="single"/>
          <w:lang w:val="en-US"/>
        </w:rPr>
        <w:suppressLineNumbers w:val="0"/>
      </w:pPr>
      <w:r>
        <w:rPr>
          <w:rFonts w:hint="eastAsia" w:ascii="宋体" w:hAnsi="宋体" w:eastAsia="宋体" w:cs="Times New Roman"/>
          <w:color w:val="000000"/>
          <w:sz w:val="24"/>
          <w:szCs w:val="24"/>
          <w:lang w:val="en-US" w:eastAsia="zh-CN" w:bidi="ar"/>
        </w:rPr>
        <w:t xml:space="preserve">5.1 乙方保证所交付的服务（包含与服务相关的货物）的所有权完全属于乙方且无任何抵押、查封等产权瑕疵。</w:t>
      </w:r>
      <w:r/>
    </w:p>
    <w:p>
      <w:pPr>
        <w:pStyle w:val="799"/>
        <w:ind w:left="0" w:right="0" w:firstLine="482"/>
        <w:jc w:val="both"/>
        <w:keepLines w:val="0"/>
        <w:keepNext w:val="0"/>
        <w:spacing w:before="0" w:beforeAutospacing="0" w:after="0" w:afterAutospacing="0" w:line="360" w:lineRule="auto"/>
        <w:widowControl w:val="off"/>
        <w:rPr>
          <w:rFonts w:hAnsi="宋体"/>
          <w:b/>
          <w:bCs w:val="0"/>
          <w:color w:val="000000"/>
          <w:sz w:val="24"/>
          <w:szCs w:val="24"/>
          <w:lang w:val="en-US"/>
        </w:rPr>
        <w:suppressLineNumbers w:val="0"/>
      </w:pPr>
      <w:r>
        <w:rPr>
          <w:rFonts w:hint="eastAsia" w:ascii="宋体" w:hAnsi="宋体" w:eastAsia="宋体" w:cs="Times New Roman"/>
          <w:b/>
          <w:bCs w:val="0"/>
          <w:color w:val="000000"/>
          <w:sz w:val="24"/>
          <w:szCs w:val="24"/>
          <w:lang w:val="en-US" w:eastAsia="zh-CN" w:bidi="ar"/>
        </w:rPr>
        <w:t xml:space="preserve">六、履约保证金</w:t>
      </w:r>
      <w:r/>
    </w:p>
    <w:p>
      <w:pPr>
        <w:pStyle w:val="799"/>
        <w:ind w:left="0" w:right="0" w:firstLine="480"/>
        <w:jc w:val="both"/>
        <w:keepLines w:val="0"/>
        <w:keepNext w:val="0"/>
        <w:spacing w:before="0" w:beforeAutospacing="0" w:after="0" w:afterAutospacing="0" w:line="360" w:lineRule="auto"/>
        <w:widowControl w:val="off"/>
        <w:rPr>
          <w:rFonts w:hAnsi="宋体"/>
          <w:color w:val="000000"/>
          <w:sz w:val="24"/>
          <w:szCs w:val="24"/>
          <w:lang w:val="en-US"/>
        </w:rPr>
        <w:suppressLineNumbers w:val="0"/>
      </w:pPr>
      <w:r>
        <w:rPr>
          <w:rFonts w:hint="eastAsia" w:ascii="宋体" w:hAnsi="宋体" w:eastAsia="宋体" w:cs="Times New Roman"/>
          <w:color w:val="000000"/>
          <w:sz w:val="24"/>
          <w:szCs w:val="24"/>
          <w:lang w:val="en-US" w:eastAsia="zh-CN" w:bidi="ar"/>
        </w:rPr>
        <w:t xml:space="preserve">6.1 乙方交纳人民币__元作为本合同的履约保证金。（不得超过合同金额的10%）</w:t>
      </w:r>
      <w:r/>
    </w:p>
    <w:p>
      <w:pPr>
        <w:pStyle w:val="799"/>
        <w:ind w:left="0" w:right="0" w:firstLine="480"/>
        <w:jc w:val="both"/>
        <w:keepLines w:val="0"/>
        <w:keepNext w:val="0"/>
        <w:spacing w:before="0" w:beforeAutospacing="0" w:after="0" w:afterAutospacing="0" w:line="360" w:lineRule="auto"/>
        <w:widowControl w:val="off"/>
        <w:rPr>
          <w:rFonts w:hAnsi="宋体"/>
          <w:color w:val="000000"/>
          <w:sz w:val="24"/>
          <w:szCs w:val="24"/>
          <w:lang w:val="en-US"/>
        </w:rPr>
        <w:suppressLineNumbers w:val="0"/>
      </w:pPr>
      <w:r>
        <w:rPr>
          <w:rFonts w:hint="eastAsia" w:ascii="宋体" w:hAnsi="宋体" w:eastAsia="宋体" w:cs="Times New Roman"/>
          <w:color w:val="000000"/>
          <w:sz w:val="24"/>
          <w:szCs w:val="24"/>
          <w:lang w:val="en-US" w:eastAsia="zh-CN" w:bidi="ar"/>
        </w:rPr>
        <w:t xml:space="preserve">6.2合同履行结束后，甲方应及时退还交纳的履约保证金。</w:t>
      </w:r>
      <w:r/>
    </w:p>
    <w:p>
      <w:pPr>
        <w:pStyle w:val="799"/>
        <w:ind w:left="0" w:right="0" w:firstLine="480"/>
        <w:jc w:val="both"/>
        <w:keepLines w:val="0"/>
        <w:keepNext w:val="0"/>
        <w:spacing w:before="0" w:beforeAutospacing="0" w:after="0" w:afterAutospacing="0" w:line="360" w:lineRule="auto"/>
        <w:widowControl w:val="off"/>
        <w:rPr>
          <w:rFonts w:hAnsi="宋体"/>
          <w:color w:val="000000"/>
          <w:sz w:val="24"/>
          <w:szCs w:val="24"/>
          <w:lang w:val="en-US"/>
        </w:rPr>
        <w:suppressLineNumbers w:val="0"/>
      </w:pPr>
      <w:r>
        <w:rPr>
          <w:rFonts w:hint="eastAsia" w:ascii="宋体" w:hAnsi="宋体" w:eastAsia="宋体" w:cs="Times New Roman"/>
          <w:color w:val="000000"/>
          <w:sz w:val="24"/>
          <w:szCs w:val="24"/>
          <w:lang w:val="en-US" w:eastAsia="zh-CN" w:bidi="ar"/>
        </w:rPr>
        <w:t xml:space="preserve">6.2.1履约保证金退还方式：</w:t>
      </w:r>
      <w:r/>
    </w:p>
    <w:p>
      <w:pPr>
        <w:pStyle w:val="799"/>
        <w:ind w:left="0" w:right="0" w:firstLine="480"/>
        <w:jc w:val="both"/>
        <w:keepLines w:val="0"/>
        <w:keepNext w:val="0"/>
        <w:spacing w:before="0" w:beforeAutospacing="0" w:after="0" w:afterAutospacing="0" w:line="360" w:lineRule="auto"/>
        <w:widowControl w:val="off"/>
        <w:rPr>
          <w:rFonts w:hAnsi="宋体"/>
          <w:color w:val="000000"/>
          <w:sz w:val="24"/>
          <w:szCs w:val="24"/>
          <w:lang w:val="en-US"/>
        </w:rPr>
        <w:suppressLineNumbers w:val="0"/>
      </w:pPr>
      <w:r>
        <w:rPr>
          <w:rFonts w:hint="eastAsia" w:ascii="宋体" w:hAnsi="宋体" w:eastAsia="宋体" w:cs="Times New Roman"/>
          <w:color w:val="000000"/>
          <w:sz w:val="24"/>
          <w:szCs w:val="24"/>
          <w:lang w:val="en-US" w:eastAsia="zh-CN" w:bidi="ar"/>
        </w:rPr>
        <w:t xml:space="preserve">6.2.2履约保证金退还时间：</w:t>
      </w:r>
      <w:r/>
    </w:p>
    <w:p>
      <w:pPr>
        <w:pStyle w:val="799"/>
        <w:ind w:left="0" w:right="0" w:firstLine="480"/>
        <w:jc w:val="both"/>
        <w:keepLines w:val="0"/>
        <w:keepNext w:val="0"/>
        <w:spacing w:before="0" w:beforeAutospacing="0" w:after="0" w:afterAutospacing="0" w:line="360" w:lineRule="auto"/>
        <w:widowControl w:val="off"/>
        <w:rPr>
          <w:rFonts w:hAnsi="宋体"/>
          <w:color w:val="000000"/>
          <w:sz w:val="24"/>
          <w:szCs w:val="24"/>
          <w:lang w:val="en-US"/>
        </w:rPr>
        <w:suppressLineNumbers w:val="0"/>
      </w:pPr>
      <w:r>
        <w:rPr>
          <w:rFonts w:hint="eastAsia" w:ascii="宋体" w:hAnsi="宋体" w:eastAsia="宋体" w:cs="Times New Roman"/>
          <w:color w:val="000000"/>
          <w:sz w:val="24"/>
          <w:szCs w:val="24"/>
          <w:lang w:val="en-US" w:eastAsia="zh-CN" w:bidi="ar"/>
        </w:rPr>
        <w:t xml:space="preserve">6.2.3履约保证金退还条件：</w:t>
      </w:r>
      <w:r/>
    </w:p>
    <w:p>
      <w:pPr>
        <w:pStyle w:val="799"/>
        <w:ind w:left="0" w:right="0" w:firstLine="480"/>
        <w:jc w:val="both"/>
        <w:keepLines w:val="0"/>
        <w:keepNext w:val="0"/>
        <w:spacing w:before="0" w:beforeAutospacing="0" w:after="0" w:afterAutospacing="0" w:line="360" w:lineRule="auto"/>
        <w:widowControl w:val="off"/>
        <w:rPr>
          <w:rFonts w:hAnsi="宋体"/>
          <w:color w:val="000000"/>
          <w:sz w:val="24"/>
          <w:szCs w:val="24"/>
          <w:lang w:val="en-US"/>
        </w:rPr>
        <w:suppressLineNumbers w:val="0"/>
      </w:pPr>
      <w:r>
        <w:rPr>
          <w:rFonts w:hint="eastAsia" w:ascii="宋体" w:hAnsi="宋体" w:eastAsia="宋体" w:cs="Times New Roman"/>
          <w:color w:val="000000"/>
          <w:sz w:val="24"/>
          <w:szCs w:val="24"/>
          <w:lang w:val="en-US" w:eastAsia="zh-CN" w:bidi="ar"/>
        </w:rPr>
        <w:t xml:space="preserve">6.2.4履约保证金不予退还的情形：</w:t>
      </w:r>
      <w:r/>
    </w:p>
    <w:p>
      <w:pPr>
        <w:ind w:left="0" w:right="0" w:firstLine="482"/>
        <w:jc w:val="both"/>
        <w:keepLines w:val="0"/>
        <w:keepNext w:val="0"/>
        <w:spacing w:before="0" w:beforeAutospacing="0" w:after="0" w:afterAutospacing="0" w:line="360" w:lineRule="auto"/>
        <w:widowControl w:val="off"/>
        <w:rPr>
          <w:rFonts w:hint="eastAsia" w:ascii="宋体" w:hAnsi="宋体" w:eastAsia="仿宋_GB2312" w:cs="宋体"/>
          <w:b/>
          <w:bCs w:val="0"/>
          <w:color w:val="000000"/>
          <w:sz w:val="24"/>
          <w:szCs w:val="24"/>
          <w:lang w:val="en-US"/>
        </w:rPr>
        <w:suppressLineNumbers w:val="0"/>
      </w:pPr>
      <w:r>
        <w:rPr>
          <w:rFonts w:hint="eastAsia" w:ascii="宋体" w:hAnsi="宋体" w:eastAsia="宋体" w:cs="宋体"/>
          <w:b/>
          <w:bCs w:val="0"/>
          <w:color w:val="000000"/>
          <w:sz w:val="24"/>
          <w:szCs w:val="24"/>
          <w:lang w:val="en-US" w:eastAsia="zh-CN" w:bidi="ar"/>
        </w:rPr>
        <w:t xml:space="preserve">七、合同转包或分包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7.1乙方不得将合同标的转包给他人履行。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7.2乙方应按招标文件要求，如项目不允许分包的，乙方不得将合同标的分包给他人履行；如项目允许分包的，乙方应当按照投标文件中提供的分包意向协议履行合同。</w:t>
      </w:r>
      <w:r/>
    </w:p>
    <w:p>
      <w:pPr>
        <w:ind w:left="0" w:right="0" w:firstLine="480"/>
        <w:jc w:val="both"/>
        <w:keepLines w:val="0"/>
        <w:keepNext w:val="0"/>
        <w:spacing w:before="0" w:beforeAutospacing="0" w:after="0" w:afterAutospacing="0" w:line="360" w:lineRule="auto"/>
        <w:widowControl w:val="off"/>
        <w:rPr>
          <w:rFonts w:hint="eastAsia" w:ascii="宋体" w:hAnsi="宋体" w:eastAsia="仿宋_GB2312"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7.3乙方如有转包或未经甲方同意的分包行为，甲方有权解除合同。</w:t>
      </w:r>
      <w:r/>
    </w:p>
    <w:p>
      <w:pPr>
        <w:pStyle w:val="799"/>
        <w:ind w:left="0" w:right="0" w:firstLine="482"/>
        <w:jc w:val="both"/>
        <w:keepLines w:val="0"/>
        <w:keepNext w:val="0"/>
        <w:spacing w:before="0" w:beforeAutospacing="0" w:after="0" w:afterAutospacing="0" w:line="360" w:lineRule="auto"/>
        <w:widowControl w:val="off"/>
        <w:rPr>
          <w:rFonts w:hAnsi="宋体"/>
          <w:b/>
          <w:bCs w:val="0"/>
          <w:color w:val="000000"/>
          <w:sz w:val="24"/>
          <w:szCs w:val="24"/>
          <w:lang w:val="en-US"/>
        </w:rPr>
        <w:suppressLineNumbers w:val="0"/>
      </w:pPr>
      <w:r>
        <w:rPr>
          <w:rFonts w:hint="eastAsia" w:ascii="宋体" w:hAnsi="宋体" w:eastAsia="宋体" w:cs="Times New Roman"/>
          <w:b/>
          <w:bCs w:val="0"/>
          <w:color w:val="000000"/>
          <w:sz w:val="24"/>
          <w:szCs w:val="24"/>
          <w:lang w:val="en-US" w:eastAsia="zh-CN" w:bidi="ar"/>
        </w:rPr>
        <w:t xml:space="preserve">八、合同款项支付</w:t>
      </w:r>
      <w:r/>
    </w:p>
    <w:p>
      <w:pPr>
        <w:pStyle w:val="799"/>
        <w:ind w:left="0" w:right="0" w:firstLine="480"/>
        <w:jc w:val="both"/>
        <w:keepLines w:val="0"/>
        <w:keepNext w:val="0"/>
        <w:spacing w:before="0" w:beforeAutospacing="0" w:after="0" w:afterAutospacing="0" w:line="360" w:lineRule="auto"/>
        <w:widowControl w:val="off"/>
        <w:rPr>
          <w:rFonts w:hAnsi="宋体"/>
          <w:bCs/>
          <w:color w:val="000000"/>
          <w:sz w:val="24"/>
          <w:szCs w:val="24"/>
          <w:lang w:val="en-US"/>
        </w:rPr>
        <w:suppressLineNumbers w:val="0"/>
      </w:pPr>
      <w:r>
        <w:rPr>
          <w:rFonts w:hint="eastAsia" w:ascii="宋体" w:hAnsi="宋体" w:eastAsia="宋体" w:cs="Times New Roman"/>
          <w:bCs/>
          <w:color w:val="000000"/>
          <w:sz w:val="24"/>
          <w:szCs w:val="24"/>
          <w:lang w:val="en-US" w:eastAsia="zh-CN" w:bidi="ar"/>
        </w:rPr>
        <w:t xml:space="preserve">8.1合同款项的支付方式及进度安排</w:t>
      </w:r>
      <w:r/>
    </w:p>
    <w:p>
      <w:pPr>
        <w:pStyle w:val="799"/>
        <w:ind w:left="0" w:right="0" w:firstLine="480"/>
        <w:jc w:val="both"/>
        <w:keepLines w:val="0"/>
        <w:keepNext w:val="0"/>
        <w:spacing w:before="0" w:beforeAutospacing="0" w:after="0" w:afterAutospacing="0" w:line="360" w:lineRule="auto"/>
        <w:widowControl w:val="off"/>
        <w:rPr>
          <w:rFonts w:hAnsi="宋体" w:cs="Courier New"/>
          <w:bCs/>
          <w:color w:val="000000"/>
          <w:sz w:val="24"/>
          <w:szCs w:val="24"/>
          <w:lang w:val="en-US"/>
        </w:rPr>
        <w:suppressLineNumbers w:val="0"/>
      </w:pPr>
      <w:r>
        <w:rPr>
          <w:rFonts w:hint="eastAsia" w:ascii="宋体" w:hAnsi="宋体" w:eastAsia="宋体" w:cs="Times New Roman"/>
          <w:color w:val="000000"/>
          <w:sz w:val="24"/>
          <w:szCs w:val="24"/>
          <w:lang w:val="en-US" w:eastAsia="zh-CN" w:bidi="ar"/>
        </w:rPr>
        <w:t xml:space="preserve">8.1.1</w:t>
      </w:r>
      <w:r>
        <w:rPr>
          <w:rFonts w:hint="eastAsia" w:ascii="宋体" w:hAnsi="宋体" w:eastAsia="宋体" w:cs="Courier New"/>
          <w:bCs/>
          <w:color w:val="000000"/>
          <w:sz w:val="24"/>
          <w:szCs w:val="24"/>
          <w:lang w:val="en-US" w:eastAsia="zh-CN" w:bidi="ar"/>
        </w:rPr>
        <w:t xml:space="preserve">预付款支付时间：</w:t>
      </w:r>
      <w:r>
        <w:rPr>
          <w:rFonts w:hint="eastAsia" w:ascii="宋体" w:hAnsi="宋体" w:eastAsia="宋体" w:cs="Courier New"/>
          <w:bCs/>
          <w:color w:val="000000"/>
          <w:sz w:val="24"/>
          <w:szCs w:val="24"/>
          <w:u w:val="single"/>
          <w:lang w:val="en-US" w:eastAsia="zh-CN" w:bidi="ar"/>
        </w:rPr>
        <w:t xml:space="preserve">  合同签订生效后30日内 </w:t>
      </w:r>
      <w:r>
        <w:rPr>
          <w:rFonts w:hint="eastAsia" w:ascii="宋体" w:hAnsi="宋体" w:eastAsia="宋体" w:cs="Courier New"/>
          <w:bCs/>
          <w:color w:val="000000"/>
          <w:sz w:val="24"/>
          <w:szCs w:val="24"/>
          <w:lang w:val="en-US" w:eastAsia="zh-CN" w:bidi="ar"/>
        </w:rPr>
        <w:t xml:space="preserve">，预付款支付比例：</w:t>
      </w:r>
      <w:r>
        <w:rPr>
          <w:rFonts w:hint="eastAsia" w:ascii="宋体" w:hAnsi="宋体" w:eastAsia="宋体" w:cs="Courier New"/>
          <w:bCs/>
          <w:color w:val="000000"/>
          <w:sz w:val="24"/>
          <w:szCs w:val="24"/>
          <w:u w:val="single"/>
          <w:lang w:val="en-US" w:eastAsia="zh-CN" w:bidi="ar"/>
        </w:rPr>
        <w:t xml:space="preserve">  支付合同金额的40%  </w:t>
      </w:r>
      <w:r>
        <w:rPr>
          <w:rFonts w:hint="eastAsia" w:ascii="宋体" w:hAnsi="宋体" w:eastAsia="宋体" w:cs="Courier New"/>
          <w:bCs/>
          <w:color w:val="000000"/>
          <w:sz w:val="24"/>
          <w:szCs w:val="24"/>
          <w:lang w:val="en-US" w:eastAsia="zh-CN" w:bidi="ar"/>
        </w:rPr>
        <w:t xml:space="preserve">。</w:t>
      </w:r>
      <w:r/>
    </w:p>
    <w:p>
      <w:pPr>
        <w:pStyle w:val="799"/>
        <w:ind w:left="0" w:right="0" w:firstLine="480"/>
        <w:jc w:val="both"/>
        <w:keepLines w:val="0"/>
        <w:keepNext w:val="0"/>
        <w:spacing w:before="0" w:beforeAutospacing="0" w:after="0" w:afterAutospacing="0" w:line="360" w:lineRule="auto"/>
        <w:widowControl w:val="off"/>
        <w:rPr>
          <w:rFonts w:hAnsi="宋体"/>
          <w:color w:val="000000"/>
          <w:sz w:val="24"/>
          <w:szCs w:val="24"/>
          <w:lang w:val="en-US"/>
        </w:rPr>
        <w:suppressLineNumbers w:val="0"/>
      </w:pPr>
      <w:r>
        <w:rPr>
          <w:rFonts w:hint="eastAsia" w:ascii="宋体" w:hAnsi="宋体" w:eastAsia="宋体" w:cs="Times New Roman"/>
          <w:color w:val="000000"/>
          <w:sz w:val="24"/>
          <w:szCs w:val="24"/>
          <w:lang w:val="en-US" w:eastAsia="zh-CN" w:bidi="ar"/>
        </w:rPr>
        <w:t xml:space="preserve">8.1.2</w:t>
      </w:r>
      <w:r>
        <w:rPr>
          <w:rFonts w:hint="eastAsia" w:ascii="宋体" w:hAnsi="宋体" w:eastAsia="宋体" w:cs="Courier New"/>
          <w:bCs/>
          <w:color w:val="000000"/>
          <w:sz w:val="24"/>
          <w:szCs w:val="24"/>
          <w:lang w:val="en-US" w:eastAsia="zh-CN" w:bidi="ar"/>
        </w:rPr>
        <w:t xml:space="preserve">进度款支付时间：</w:t>
      </w:r>
      <w:r>
        <w:rPr>
          <w:rFonts w:hint="eastAsia" w:ascii="宋体" w:hAnsi="宋体" w:eastAsia="宋体" w:cs="Courier New"/>
          <w:bCs/>
          <w:color w:val="000000"/>
          <w:sz w:val="24"/>
          <w:szCs w:val="24"/>
          <w:u w:val="single"/>
          <w:lang w:val="en-US" w:eastAsia="zh-CN" w:bidi="ar"/>
        </w:rPr>
        <w:t xml:space="preserve">  合同签订生效后满9个月后30日内 </w:t>
      </w:r>
      <w:r>
        <w:rPr>
          <w:rFonts w:hint="eastAsia" w:ascii="宋体" w:hAnsi="宋体" w:eastAsia="宋体" w:cs="Courier New"/>
          <w:bCs/>
          <w:color w:val="000000"/>
          <w:sz w:val="24"/>
          <w:szCs w:val="24"/>
          <w:lang w:val="en-US" w:eastAsia="zh-CN" w:bidi="ar"/>
        </w:rPr>
        <w:t xml:space="preserve">，进度款支付比例：</w:t>
      </w:r>
      <w:r>
        <w:rPr>
          <w:rFonts w:hint="eastAsia" w:ascii="宋体" w:hAnsi="宋体" w:eastAsia="宋体" w:cs="Courier New"/>
          <w:bCs/>
          <w:color w:val="000000"/>
          <w:sz w:val="24"/>
          <w:szCs w:val="24"/>
          <w:u w:val="single"/>
          <w:lang w:val="en-US" w:eastAsia="zh-CN" w:bidi="ar"/>
        </w:rPr>
        <w:t xml:space="preserve"> 支付合同金额的30%     </w:t>
      </w:r>
      <w:r>
        <w:rPr>
          <w:rFonts w:hint="eastAsia" w:ascii="宋体" w:hAnsi="宋体" w:eastAsia="宋体" w:cs="Courier New"/>
          <w:bCs/>
          <w:color w:val="000000"/>
          <w:sz w:val="24"/>
          <w:szCs w:val="24"/>
          <w:lang w:val="en-US" w:eastAsia="zh-CN" w:bidi="ar"/>
        </w:rPr>
        <w:t xml:space="preserve">。</w:t>
      </w:r>
      <w:r/>
    </w:p>
    <w:p>
      <w:pPr>
        <w:pStyle w:val="799"/>
        <w:ind w:left="0" w:right="0" w:firstLine="480"/>
        <w:jc w:val="both"/>
        <w:keepLines w:val="0"/>
        <w:keepNext w:val="0"/>
        <w:spacing w:before="0" w:beforeAutospacing="0" w:after="0" w:afterAutospacing="0" w:line="360" w:lineRule="auto"/>
        <w:widowControl w:val="off"/>
        <w:rPr>
          <w:rFonts w:hAnsi="宋体" w:cs="Courier New"/>
          <w:bCs/>
          <w:color w:val="000000"/>
          <w:sz w:val="24"/>
          <w:szCs w:val="24"/>
          <w:lang w:val="en-US"/>
        </w:rPr>
        <w:suppressLineNumbers w:val="0"/>
      </w:pPr>
      <w:r>
        <w:rPr>
          <w:rFonts w:hint="eastAsia" w:ascii="宋体" w:hAnsi="宋体" w:eastAsia="宋体" w:cs="Times New Roman"/>
          <w:color w:val="000000"/>
          <w:sz w:val="24"/>
          <w:szCs w:val="24"/>
          <w:lang w:val="en-US" w:eastAsia="zh-CN" w:bidi="ar"/>
        </w:rPr>
        <w:t xml:space="preserve">8.1.3</w:t>
      </w:r>
      <w:r>
        <w:rPr>
          <w:rFonts w:hint="eastAsia" w:ascii="宋体" w:hAnsi="宋体" w:eastAsia="宋体" w:cs="Courier New"/>
          <w:bCs/>
          <w:color w:val="000000"/>
          <w:sz w:val="24"/>
          <w:szCs w:val="24"/>
          <w:lang w:val="en-US" w:eastAsia="zh-CN" w:bidi="ar"/>
        </w:rPr>
        <w:t xml:space="preserve">尾款支付时间：</w:t>
      </w:r>
      <w:r>
        <w:rPr>
          <w:rFonts w:hint="eastAsia" w:ascii="宋体" w:hAnsi="宋体" w:eastAsia="宋体" w:cs="Courier New"/>
          <w:bCs/>
          <w:color w:val="000000"/>
          <w:sz w:val="24"/>
          <w:szCs w:val="24"/>
          <w:u w:val="single"/>
          <w:lang w:val="en-US" w:eastAsia="zh-CN" w:bidi="ar"/>
        </w:rPr>
        <w:t xml:space="preserve"> 运维期满30日内</w:t>
      </w:r>
      <w:r>
        <w:rPr>
          <w:rFonts w:hint="eastAsia" w:ascii="宋体" w:hAnsi="宋体" w:eastAsia="宋体" w:cs="Courier New"/>
          <w:bCs/>
          <w:color w:val="000000"/>
          <w:sz w:val="24"/>
          <w:szCs w:val="24"/>
          <w:lang w:val="en-US" w:eastAsia="zh-CN" w:bidi="ar"/>
        </w:rPr>
        <w:t xml:space="preserve">，尾款支付比例：</w:t>
      </w:r>
      <w:r>
        <w:rPr>
          <w:rFonts w:hint="eastAsia" w:ascii="宋体" w:hAnsi="宋体" w:eastAsia="宋体" w:cs="Courier New"/>
          <w:bCs/>
          <w:color w:val="000000"/>
          <w:sz w:val="24"/>
          <w:szCs w:val="24"/>
          <w:u w:val="single"/>
          <w:lang w:val="en-US" w:eastAsia="zh-CN" w:bidi="ar"/>
        </w:rPr>
        <w:t xml:space="preserve">根据运维考核情况，支付剩余金额  </w:t>
      </w:r>
      <w:r>
        <w:rPr>
          <w:rFonts w:hint="eastAsia" w:ascii="宋体" w:hAnsi="宋体" w:eastAsia="宋体" w:cs="Courier New"/>
          <w:bCs/>
          <w:color w:val="000000"/>
          <w:sz w:val="24"/>
          <w:szCs w:val="24"/>
          <w:lang w:val="en-US" w:eastAsia="zh-CN" w:bidi="ar"/>
        </w:rPr>
        <w:t xml:space="preserve">。</w:t>
      </w:r>
      <w:r/>
    </w:p>
    <w:p>
      <w:pPr>
        <w:pStyle w:val="799"/>
        <w:ind w:left="0" w:right="0" w:firstLine="480"/>
        <w:jc w:val="both"/>
        <w:keepLines w:val="0"/>
        <w:keepNext w:val="0"/>
        <w:spacing w:before="0" w:beforeAutospacing="0" w:after="0" w:afterAutospacing="0" w:line="360" w:lineRule="auto"/>
        <w:widowControl w:val="off"/>
        <w:rPr>
          <w:rFonts w:hAnsi="宋体"/>
          <w:color w:val="000000"/>
          <w:sz w:val="24"/>
          <w:szCs w:val="24"/>
          <w:lang w:val="en-US"/>
        </w:rPr>
        <w:suppressLineNumbers w:val="0"/>
      </w:pPr>
      <w:r>
        <w:rPr>
          <w:rFonts w:hint="eastAsia" w:ascii="宋体" w:hAnsi="宋体" w:eastAsia="宋体" w:cs="宋体"/>
          <w:bCs/>
          <w:sz w:val="24"/>
          <w:szCs w:val="21"/>
          <w:lang w:val="en-US" w:eastAsia="zh-CN" w:bidi="ar"/>
        </w:rPr>
        <w:t xml:space="preserve">项目如发生特殊情况，子项目运维期限发生变化或停止运维，所产生的运维费用按实际运维周期结算。</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000000"/>
          <w:sz w:val="24"/>
          <w:szCs w:val="24"/>
          <w:lang w:val="en-US"/>
        </w:rPr>
        <w:suppressLineNumbers w:val="0"/>
      </w:pPr>
      <w:r>
        <w:rPr>
          <w:rFonts w:hint="eastAsia" w:ascii="宋体" w:hAnsi="宋体" w:eastAsia="宋体" w:cs="宋体"/>
          <w:bCs/>
          <w:color w:val="000000"/>
          <w:sz w:val="24"/>
          <w:szCs w:val="24"/>
          <w:lang w:val="en-US" w:eastAsia="zh-CN" w:bidi="ar"/>
        </w:rPr>
        <w:t xml:space="preserve">注：（1）根据《关于做好政府采购支持企业发展有关事项的通知》（苏采购</w:t>
      </w:r>
      <w:r>
        <w:rPr>
          <w:rFonts w:hint="eastAsia" w:ascii="宋体" w:hAnsi="宋体" w:eastAsia="宋体" w:cs="Courier New"/>
          <w:bCs/>
          <w:color w:val="000000"/>
          <w:sz w:val="24"/>
          <w:szCs w:val="24"/>
          <w:lang w:val="en-US" w:eastAsia="zh-CN" w:bidi="ar"/>
        </w:rPr>
        <w:t xml:space="preserve">〔2020〕52</w:t>
      </w:r>
      <w:r>
        <w:rPr>
          <w:rFonts w:hint="eastAsia" w:ascii="宋体" w:hAnsi="宋体" w:eastAsia="宋体" w:cs="宋体"/>
          <w:bCs/>
          <w:color w:val="000000"/>
          <w:sz w:val="24"/>
          <w:szCs w:val="24"/>
          <w:lang w:val="en-US" w:eastAsia="zh-CN" w:bidi="ar"/>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left="0" w:right="0"/>
        <w:jc w:val="both"/>
        <w:keepLines w:val="0"/>
        <w:keepNext w:val="0"/>
        <w:spacing w:before="0" w:beforeAutospacing="0" w:after="0" w:afterAutospacing="0" w:line="360" w:lineRule="auto"/>
        <w:widowControl w:val="off"/>
        <w:rPr>
          <w:rFonts w:hint="eastAsia" w:ascii="宋体" w:hAnsi="宋体" w:eastAsia="宋体" w:cs="Courier New"/>
          <w:bCs/>
          <w:color w:val="000000"/>
          <w:sz w:val="24"/>
          <w:szCs w:val="24"/>
          <w:lang w:val="en-US"/>
        </w:rPr>
        <w:suppressLineNumbers w:val="0"/>
      </w:pPr>
      <w:r>
        <w:rPr>
          <w:rFonts w:hint="eastAsia" w:ascii="宋体" w:hAnsi="宋体" w:eastAsia="宋体" w:cs="Courier New"/>
          <w:bCs/>
          <w:color w:val="000000"/>
          <w:sz w:val="24"/>
          <w:szCs w:val="24"/>
          <w:lang w:val="en-US" w:eastAsia="zh-CN" w:bidi="ar"/>
        </w:rPr>
        <w:t xml:space="preserve">（2）根据《关于进一步提高政府采购透明度和采购效率相关事项的通知》（财办库〔2023〕243号）规定，对于满足合同约定支付条件的，采购人原则上应当自收到发票后10个工作日内将资金支付到合同约定的供应商账户，鼓励采购人完善内部流程，自收到发票后1个工作日内完成资金支付事宜。</w:t>
      </w:r>
      <w:r/>
    </w:p>
    <w:p>
      <w:pPr>
        <w:ind w:left="0" w:right="0"/>
        <w:jc w:val="both"/>
        <w:keepLines w:val="0"/>
        <w:keepNext w:val="0"/>
        <w:spacing w:before="0" w:beforeAutospacing="0" w:after="0" w:afterAutospacing="0" w:line="360" w:lineRule="auto"/>
        <w:widowControl w:val="off"/>
        <w:rPr>
          <w:rFonts w:hAnsi="宋体"/>
          <w:bCs/>
          <w:color w:val="000000"/>
          <w:sz w:val="24"/>
          <w:szCs w:val="24"/>
          <w:lang w:val="en-US"/>
        </w:rPr>
        <w:suppressLineNumbers w:val="0"/>
      </w:pPr>
      <w:r>
        <w:rPr>
          <w:rFonts w:hint="eastAsia" w:ascii="宋体" w:hAnsi="宋体" w:eastAsia="宋体" w:cs="Courier New"/>
          <w:bCs/>
          <w:color w:val="000000"/>
          <w:sz w:val="24"/>
          <w:szCs w:val="24"/>
          <w:lang w:val="en-US" w:eastAsia="zh-CN" w:bidi="ar"/>
        </w:rPr>
        <w:t xml:space="preserve">（3）</w:t>
      </w:r>
      <w:r>
        <w:rPr>
          <w:rFonts w:hint="eastAsia" w:ascii="宋体" w:hAnsi="Times New Roman" w:eastAsia="宋体" w:cs="宋体"/>
          <w:bCs/>
          <w:color w:val="000000"/>
          <w:sz w:val="24"/>
          <w:szCs w:val="24"/>
          <w:lang w:val="en-US" w:eastAsia="zh-CN" w:bidi="ar"/>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p>
    <w:p>
      <w:pPr>
        <w:ind w:left="0" w:right="0" w:firstLine="482"/>
        <w:jc w:val="both"/>
        <w:keepLines w:val="0"/>
        <w:keepNext w:val="0"/>
        <w:spacing w:before="0" w:beforeAutospacing="0" w:after="0" w:afterAutospacing="0" w:line="360" w:lineRule="auto"/>
        <w:widowControl w:val="off"/>
        <w:rPr>
          <w:rFonts w:hint="eastAsia" w:ascii="宋体" w:hAnsi="宋体" w:eastAsia="仿宋_GB2312" w:cs="宋体"/>
          <w:b/>
          <w:bCs w:val="0"/>
          <w:color w:val="000000"/>
          <w:sz w:val="24"/>
          <w:szCs w:val="24"/>
          <w:lang w:val="en-US"/>
        </w:rPr>
        <w:suppressLineNumbers w:val="0"/>
      </w:pPr>
      <w:r>
        <w:rPr>
          <w:rFonts w:hint="eastAsia" w:ascii="宋体" w:hAnsi="宋体" w:eastAsia="宋体" w:cs="宋体"/>
          <w:b/>
          <w:bCs w:val="0"/>
          <w:color w:val="000000"/>
          <w:sz w:val="24"/>
          <w:szCs w:val="24"/>
          <w:lang w:val="en-US" w:eastAsia="zh-CN" w:bidi="ar"/>
        </w:rPr>
        <w:t xml:space="preserve">九、税费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9.1本合同执行中相关的一切税费均由乙方负担。</w:t>
      </w:r>
      <w:r/>
    </w:p>
    <w:p>
      <w:pPr>
        <w:pStyle w:val="799"/>
        <w:ind w:left="0" w:right="0" w:firstLine="482"/>
        <w:jc w:val="both"/>
        <w:keepLines w:val="0"/>
        <w:keepNext w:val="0"/>
        <w:spacing w:before="0" w:beforeAutospacing="0" w:after="0" w:afterAutospacing="0" w:line="360" w:lineRule="auto"/>
        <w:widowControl w:val="off"/>
        <w:rPr>
          <w:rFonts w:hAnsi="宋体"/>
          <w:b/>
          <w:bCs w:val="0"/>
          <w:color w:val="000000"/>
          <w:sz w:val="24"/>
          <w:szCs w:val="24"/>
          <w:lang w:val="en-US"/>
        </w:rPr>
        <w:suppressLineNumbers w:val="0"/>
      </w:pPr>
      <w:r>
        <w:rPr>
          <w:rFonts w:hint="eastAsia" w:ascii="宋体" w:hAnsi="宋体" w:eastAsia="宋体" w:cs="Times New Roman"/>
          <w:b/>
          <w:bCs w:val="0"/>
          <w:color w:val="000000"/>
          <w:sz w:val="24"/>
          <w:szCs w:val="24"/>
          <w:lang w:val="en-US" w:eastAsia="zh-CN" w:bidi="ar"/>
        </w:rPr>
        <w:t xml:space="preserve">十、项目验收</w:t>
      </w:r>
      <w:r/>
    </w:p>
    <w:p>
      <w:pPr>
        <w:pStyle w:val="799"/>
        <w:ind w:left="0" w:right="0" w:firstLine="480"/>
        <w:jc w:val="both"/>
        <w:keepLines w:val="0"/>
        <w:keepNext w:val="0"/>
        <w:spacing w:before="0" w:beforeAutospacing="0" w:after="0" w:afterAutospacing="0" w:line="360" w:lineRule="auto"/>
        <w:widowControl w:val="off"/>
        <w:rPr>
          <w:rFonts w:hAnsi="宋体"/>
          <w:color w:val="000000"/>
          <w:sz w:val="24"/>
          <w:szCs w:val="24"/>
          <w:lang w:val="en-US"/>
        </w:rPr>
        <w:suppressLineNumbers w:val="0"/>
      </w:pPr>
      <w:r>
        <w:rPr>
          <w:rFonts w:hint="eastAsia" w:ascii="宋体" w:hAnsi="宋体" w:eastAsia="宋体" w:cs="Times New Roman"/>
          <w:color w:val="000000"/>
          <w:sz w:val="24"/>
          <w:szCs w:val="24"/>
          <w:lang w:val="en-US" w:eastAsia="zh-CN" w:bidi="ar"/>
        </w:rPr>
        <w:t xml:space="preserve">10.1 甲方依法组织履约验收工作。</w:t>
      </w:r>
      <w:r/>
    </w:p>
    <w:p>
      <w:pPr>
        <w:pStyle w:val="799"/>
        <w:ind w:left="0" w:right="0" w:firstLine="480"/>
        <w:jc w:val="both"/>
        <w:keepLines w:val="0"/>
        <w:keepNext w:val="0"/>
        <w:spacing w:before="0" w:beforeAutospacing="0" w:after="0" w:afterAutospacing="0" w:line="360" w:lineRule="auto"/>
        <w:widowControl w:val="off"/>
        <w:rPr>
          <w:rFonts w:hAnsi="宋体"/>
          <w:color w:val="000000"/>
          <w:sz w:val="24"/>
          <w:szCs w:val="24"/>
          <w:lang w:val="en-US"/>
        </w:rPr>
        <w:suppressLineNumbers w:val="0"/>
      </w:pPr>
      <w:r>
        <w:rPr>
          <w:rFonts w:hint="eastAsia" w:ascii="宋体" w:hAnsi="宋体" w:eastAsia="宋体" w:cs="Times New Roman"/>
          <w:color w:val="000000"/>
          <w:sz w:val="24"/>
          <w:szCs w:val="24"/>
          <w:lang w:val="en-US" w:eastAsia="zh-CN" w:bidi="ar"/>
        </w:rPr>
        <w:t xml:space="preserve">10.2 甲方在组织履约验收前，将根据子项目三方协议制定验收方案，明确履约验收的时间、方式、程序等内容，并根据三方协议中的考核办法对服务期内的服务实施情况进行考核，综合考核情况和服务效果进行验收。乙方应根据验收方案内容做好相应配合工作。</w:t>
      </w:r>
      <w:r/>
    </w:p>
    <w:p>
      <w:pPr>
        <w:pStyle w:val="799"/>
        <w:ind w:left="0" w:right="0" w:firstLine="480"/>
        <w:jc w:val="both"/>
        <w:keepLines w:val="0"/>
        <w:keepNext w:val="0"/>
        <w:spacing w:before="0" w:beforeAutospacing="0" w:after="0" w:afterAutospacing="0" w:line="360" w:lineRule="auto"/>
        <w:widowControl w:val="off"/>
        <w:rPr>
          <w:rFonts w:hAnsi="宋体"/>
          <w:color w:val="000000"/>
          <w:sz w:val="24"/>
          <w:szCs w:val="24"/>
          <w:lang w:val="en-US"/>
        </w:rPr>
        <w:suppressLineNumbers w:val="0"/>
      </w:pPr>
      <w:r>
        <w:rPr>
          <w:rFonts w:hint="eastAsia" w:ascii="宋体" w:hAnsi="宋体" w:eastAsia="宋体" w:cs="Times New Roman"/>
          <w:color w:val="000000"/>
          <w:sz w:val="24"/>
          <w:szCs w:val="24"/>
          <w:lang w:val="en-US" w:eastAsia="zh-CN" w:bidi="ar"/>
        </w:rPr>
        <w:t xml:space="preserve">10.3 对于实际使用单位和甲方分离的项目（子项目服务实际使用单位详见“第四章 采购需求”） ，甲方邀请实际使用单位参与验收。</w:t>
      </w:r>
      <w:r/>
    </w:p>
    <w:p>
      <w:pPr>
        <w:pStyle w:val="799"/>
        <w:ind w:left="0" w:right="0" w:firstLine="480"/>
        <w:jc w:val="both"/>
        <w:keepLines w:val="0"/>
        <w:keepNext w:val="0"/>
        <w:spacing w:before="0" w:beforeAutospacing="0" w:after="0" w:afterAutospacing="0" w:line="360" w:lineRule="auto"/>
        <w:widowControl w:val="off"/>
        <w:rPr>
          <w:rFonts w:hAnsi="宋体"/>
          <w:color w:val="000000"/>
          <w:sz w:val="24"/>
          <w:szCs w:val="24"/>
          <w:lang w:val="en-US"/>
        </w:rPr>
        <w:suppressLineNumbers w:val="0"/>
      </w:pPr>
      <w:r>
        <w:rPr>
          <w:rFonts w:hint="eastAsia" w:ascii="宋体" w:hAnsi="宋体" w:eastAsia="宋体" w:cs="Times New Roman"/>
          <w:color w:val="000000"/>
          <w:sz w:val="24"/>
          <w:szCs w:val="24"/>
          <w:lang w:val="en-US" w:eastAsia="zh-CN" w:bidi="ar"/>
        </w:rPr>
        <w:t xml:space="preserve">10.4 如有必要，甲方邀请参加本项目的其他供应商或第三方专业机构及专家参与验收，相关意见将作为验收书的参考资料。</w:t>
      </w:r>
      <w:r/>
    </w:p>
    <w:p>
      <w:pPr>
        <w:pStyle w:val="799"/>
        <w:ind w:left="0" w:right="0" w:firstLine="480"/>
        <w:jc w:val="both"/>
        <w:keepLines w:val="0"/>
        <w:keepNext w:val="0"/>
        <w:spacing w:before="0" w:beforeAutospacing="0" w:after="0" w:afterAutospacing="0" w:line="360" w:lineRule="auto"/>
        <w:widowControl w:val="off"/>
        <w:rPr>
          <w:rFonts w:hAnsi="宋体"/>
          <w:color w:val="000000"/>
          <w:sz w:val="24"/>
          <w:szCs w:val="24"/>
          <w:lang w:val="en-US"/>
        </w:rPr>
        <w:suppressLineNumbers w:val="0"/>
      </w:pPr>
      <w:r>
        <w:rPr>
          <w:rFonts w:hint="eastAsia" w:ascii="宋体" w:hAnsi="宋体" w:eastAsia="宋体" w:cs="Times New Roman"/>
          <w:color w:val="000000"/>
          <w:sz w:val="24"/>
          <w:szCs w:val="24"/>
          <w:lang w:val="en-US" w:eastAsia="zh-CN" w:bidi="ar"/>
        </w:rPr>
        <w:t xml:space="preserve">10.5 甲方成立验收小组，按照采购合同的约定对乙方的履约情况进行验收。验收时，甲方按照采购合同以及三方协议的约定对每一项技术、服务、安全标准的履约情况进行确认。验收结束后，验收小组出具验收书，列明各项标准的验收情况及项目总体评价，由验收双方共同签署。验收结果与采购合同以及三方协议约定的资金支付及履约保证金返还条件挂钩。履约验收的各项资料存档备查。</w:t>
      </w:r>
      <w:r/>
    </w:p>
    <w:p>
      <w:pPr>
        <w:pStyle w:val="799"/>
        <w:ind w:left="0" w:right="0" w:firstLine="480"/>
        <w:jc w:val="both"/>
        <w:keepLines w:val="0"/>
        <w:keepNext w:val="0"/>
        <w:spacing w:before="0" w:beforeAutospacing="0" w:after="0" w:afterAutospacing="0" w:line="360" w:lineRule="auto"/>
        <w:widowControl w:val="off"/>
        <w:rPr>
          <w:rFonts w:hAnsi="宋体"/>
          <w:color w:val="000000"/>
          <w:sz w:val="24"/>
          <w:szCs w:val="24"/>
          <w:lang w:val="en-US"/>
        </w:rPr>
        <w:suppressLineNumbers w:val="0"/>
      </w:pPr>
      <w:r>
        <w:rPr>
          <w:rFonts w:hint="eastAsia" w:ascii="宋体" w:hAnsi="宋体" w:eastAsia="宋体" w:cs="Times New Roman"/>
          <w:color w:val="000000"/>
          <w:sz w:val="24"/>
          <w:szCs w:val="24"/>
          <w:lang w:val="en-US" w:eastAsia="zh-CN" w:bidi="ar"/>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99"/>
        <w:ind w:left="0" w:right="0" w:firstLine="482"/>
        <w:jc w:val="both"/>
        <w:keepLines w:val="0"/>
        <w:keepNext w:val="0"/>
        <w:spacing w:before="0" w:beforeAutospacing="0" w:after="0" w:afterAutospacing="0" w:line="360" w:lineRule="auto"/>
        <w:widowControl w:val="off"/>
        <w:rPr>
          <w:rFonts w:hAnsi="宋体"/>
          <w:b/>
          <w:bCs w:val="0"/>
          <w:color w:val="000000"/>
          <w:sz w:val="24"/>
          <w:szCs w:val="24"/>
          <w:lang w:val="en-US"/>
        </w:rPr>
        <w:suppressLineNumbers w:val="0"/>
      </w:pPr>
      <w:r>
        <w:rPr>
          <w:rFonts w:hint="eastAsia" w:ascii="宋体" w:hAnsi="宋体" w:eastAsia="宋体" w:cs="Times New Roman"/>
          <w:b/>
          <w:bCs w:val="0"/>
          <w:color w:val="000000"/>
          <w:sz w:val="24"/>
          <w:szCs w:val="24"/>
          <w:lang w:val="en-US" w:eastAsia="zh-CN" w:bidi="ar"/>
        </w:rPr>
        <w:t xml:space="preserve">十一、违约责任</w:t>
      </w:r>
      <w:r/>
    </w:p>
    <w:p>
      <w:pPr>
        <w:pStyle w:val="799"/>
        <w:ind w:left="0" w:right="0" w:firstLine="480"/>
        <w:jc w:val="both"/>
        <w:keepLines w:val="0"/>
        <w:keepNext w:val="0"/>
        <w:spacing w:before="0" w:beforeAutospacing="0" w:after="0" w:afterAutospacing="0" w:line="360" w:lineRule="auto"/>
        <w:widowControl w:val="off"/>
        <w:rPr>
          <w:rFonts w:hAnsi="宋体"/>
          <w:color w:val="000000"/>
          <w:sz w:val="24"/>
          <w:szCs w:val="24"/>
          <w:lang w:val="en-US"/>
        </w:rPr>
        <w:suppressLineNumbers w:val="0"/>
      </w:pPr>
      <w:r>
        <w:rPr>
          <w:rFonts w:hint="eastAsia" w:ascii="宋体" w:hAnsi="宋体" w:eastAsia="宋体" w:cs="Times New Roman"/>
          <w:color w:val="000000"/>
          <w:sz w:val="24"/>
          <w:szCs w:val="24"/>
          <w:lang w:val="en-US" w:eastAsia="zh-CN" w:bidi="ar"/>
        </w:rPr>
        <w:t xml:space="preserve">11.1 甲方无正当理由拒绝接受乙方提供服务的，甲方向乙方偿付拒绝接受服务合同价款总值</w:t>
      </w:r>
      <w:r>
        <w:rPr>
          <w:rFonts w:hint="eastAsia" w:ascii="宋体" w:hAnsi="宋体" w:eastAsia="宋体" w:cs="Times New Roman"/>
          <w:color w:val="000000"/>
          <w:sz w:val="24"/>
          <w:szCs w:val="24"/>
          <w:u w:val="single"/>
          <w:lang w:val="en-US" w:eastAsia="zh-CN" w:bidi="ar"/>
        </w:rPr>
        <w:t xml:space="preserve">5%</w:t>
      </w:r>
      <w:r>
        <w:rPr>
          <w:rFonts w:hint="eastAsia" w:ascii="宋体" w:hAnsi="宋体" w:eastAsia="宋体" w:cs="Times New Roman"/>
          <w:color w:val="000000"/>
          <w:sz w:val="24"/>
          <w:szCs w:val="24"/>
          <w:lang w:val="en-US" w:eastAsia="zh-CN" w:bidi="ar"/>
        </w:rPr>
        <w:t xml:space="preserve">的违约金。</w:t>
      </w:r>
      <w:r/>
    </w:p>
    <w:p>
      <w:pPr>
        <w:pStyle w:val="799"/>
        <w:ind w:left="0" w:right="0" w:firstLine="480"/>
        <w:jc w:val="both"/>
        <w:keepLines w:val="0"/>
        <w:keepNext w:val="0"/>
        <w:spacing w:before="0" w:beforeAutospacing="0" w:after="0" w:afterAutospacing="0" w:line="360" w:lineRule="auto"/>
        <w:widowControl w:val="off"/>
        <w:rPr>
          <w:rFonts w:hAnsi="宋体"/>
          <w:color w:val="000000"/>
          <w:sz w:val="24"/>
          <w:szCs w:val="24"/>
          <w:lang w:val="en-US"/>
        </w:rPr>
        <w:suppressLineNumbers w:val="0"/>
      </w:pPr>
      <w:r>
        <w:rPr>
          <w:rFonts w:hint="eastAsia" w:ascii="宋体" w:hAnsi="宋体" w:eastAsia="宋体" w:cs="Times New Roman"/>
          <w:color w:val="000000"/>
          <w:sz w:val="24"/>
          <w:szCs w:val="24"/>
          <w:lang w:val="en-US" w:eastAsia="zh-CN" w:bidi="ar"/>
        </w:rPr>
        <w:t xml:space="preserve">11.2 甲方无故逾期验收和办理合同款项支付手续的，甲方应按逾期付款总额每日向乙方支付违约金。</w:t>
      </w:r>
      <w:r/>
    </w:p>
    <w:p>
      <w:pPr>
        <w:pStyle w:val="799"/>
        <w:ind w:left="0" w:right="0" w:firstLine="480"/>
        <w:jc w:val="both"/>
        <w:keepLines w:val="0"/>
        <w:keepNext w:val="0"/>
        <w:spacing w:before="0" w:beforeAutospacing="0" w:after="0" w:afterAutospacing="0" w:line="360" w:lineRule="auto"/>
        <w:widowControl w:val="off"/>
        <w:rPr>
          <w:rFonts w:hAnsi="宋体"/>
          <w:color w:val="000000"/>
          <w:sz w:val="24"/>
          <w:szCs w:val="24"/>
          <w:lang w:val="en-US"/>
        </w:rPr>
        <w:suppressLineNumbers w:val="0"/>
      </w:pPr>
      <w:r>
        <w:rPr>
          <w:rFonts w:hint="eastAsia" w:ascii="宋体" w:hAnsi="宋体" w:eastAsia="宋体" w:cs="Times New Roman"/>
          <w:color w:val="000000"/>
          <w:sz w:val="24"/>
          <w:szCs w:val="24"/>
          <w:lang w:val="en-US" w:eastAsia="zh-CN" w:bidi="ar"/>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Times New Roman"/>
          <w:color w:val="000000"/>
          <w:sz w:val="24"/>
          <w:szCs w:val="24"/>
          <w:u w:val="single"/>
          <w:lang w:val="en-US" w:eastAsia="zh-CN" w:bidi="ar"/>
        </w:rPr>
        <w:t xml:space="preserve">5%</w:t>
      </w:r>
      <w:r>
        <w:rPr>
          <w:rFonts w:hint="eastAsia" w:ascii="宋体" w:hAnsi="宋体" w:eastAsia="宋体" w:cs="Times New Roman"/>
          <w:color w:val="000000"/>
          <w:sz w:val="24"/>
          <w:szCs w:val="24"/>
          <w:lang w:val="en-US" w:eastAsia="zh-CN" w:bidi="ar"/>
        </w:rPr>
        <w:t xml:space="preserve">的违约金，如造成甲方损失超过违约金的，超出部分由乙方继续承担赔偿责任。 </w:t>
      </w:r>
      <w:r/>
    </w:p>
    <w:p>
      <w:pPr>
        <w:pStyle w:val="799"/>
        <w:ind w:left="0" w:right="0" w:firstLine="480"/>
        <w:jc w:val="both"/>
        <w:keepLines w:val="0"/>
        <w:keepNext w:val="0"/>
        <w:spacing w:before="0" w:beforeAutospacing="0" w:after="0" w:afterAutospacing="0" w:line="360" w:lineRule="auto"/>
        <w:widowControl w:val="off"/>
        <w:rPr>
          <w:rFonts w:hAnsi="宋体"/>
          <w:color w:val="000000"/>
          <w:sz w:val="24"/>
          <w:szCs w:val="24"/>
          <w:lang w:val="en-US"/>
        </w:rPr>
        <w:suppressLineNumbers w:val="0"/>
      </w:pPr>
      <w:r>
        <w:rPr>
          <w:rFonts w:hint="eastAsia" w:ascii="宋体" w:hAnsi="宋体" w:eastAsia="宋体" w:cs="Times New Roman"/>
          <w:color w:val="000000"/>
          <w:sz w:val="24"/>
          <w:szCs w:val="24"/>
          <w:lang w:val="en-US" w:eastAsia="zh-CN" w:bidi="ar"/>
        </w:rPr>
        <w:t xml:space="preserve">11.4 乙方所提供服务的标准不符合合同规定及招标文件规定标准的，甲方有权拒绝接受服务，并可单方面解除合同。</w:t>
      </w:r>
      <w:r/>
    </w:p>
    <w:p>
      <w:pPr>
        <w:pStyle w:val="799"/>
        <w:ind w:left="0" w:right="0" w:firstLine="482"/>
        <w:jc w:val="both"/>
        <w:keepLines w:val="0"/>
        <w:keepNext w:val="0"/>
        <w:spacing w:before="0" w:beforeAutospacing="0" w:after="0" w:afterAutospacing="0" w:line="360" w:lineRule="auto"/>
        <w:widowControl w:val="off"/>
        <w:rPr>
          <w:rFonts w:hAnsi="宋体"/>
          <w:b/>
          <w:bCs w:val="0"/>
          <w:color w:val="000000"/>
          <w:sz w:val="24"/>
          <w:szCs w:val="24"/>
          <w:lang w:val="en-US"/>
        </w:rPr>
        <w:suppressLineNumbers w:val="0"/>
      </w:pPr>
      <w:r>
        <w:rPr>
          <w:rFonts w:hint="eastAsia" w:ascii="宋体" w:hAnsi="宋体" w:eastAsia="宋体" w:cs="Times New Roman"/>
          <w:b/>
          <w:bCs w:val="0"/>
          <w:color w:val="000000"/>
          <w:sz w:val="24"/>
          <w:szCs w:val="24"/>
          <w:lang w:val="en-US" w:eastAsia="zh-CN" w:bidi="ar"/>
        </w:rPr>
        <w:t xml:space="preserve">十二、不可抗力事件处理</w:t>
      </w:r>
      <w:r/>
    </w:p>
    <w:p>
      <w:pPr>
        <w:pStyle w:val="799"/>
        <w:ind w:left="0" w:right="0" w:firstLine="480"/>
        <w:jc w:val="both"/>
        <w:keepLines w:val="0"/>
        <w:keepNext w:val="0"/>
        <w:spacing w:before="0" w:beforeAutospacing="0" w:after="0" w:afterAutospacing="0" w:line="360" w:lineRule="auto"/>
        <w:widowControl w:val="off"/>
        <w:rPr>
          <w:rFonts w:hAnsi="宋体"/>
          <w:color w:val="000000"/>
          <w:sz w:val="24"/>
          <w:szCs w:val="24"/>
          <w:lang w:val="en-US"/>
        </w:rPr>
        <w:suppressLineNumbers w:val="0"/>
      </w:pPr>
      <w:r>
        <w:rPr>
          <w:rFonts w:hint="eastAsia" w:ascii="宋体" w:hAnsi="宋体" w:eastAsia="宋体" w:cs="Times New Roman"/>
          <w:color w:val="000000"/>
          <w:sz w:val="24"/>
          <w:szCs w:val="24"/>
          <w:lang w:val="en-US" w:eastAsia="zh-CN" w:bidi="ar"/>
        </w:rPr>
        <w:t xml:space="preserve">12.1 在合同有效期内，任何一方因不可抗力事件导致不能履行合同，则合同履行期可延长，其延长期与不可抗力影响期相同。</w:t>
      </w:r>
      <w:r/>
    </w:p>
    <w:p>
      <w:pPr>
        <w:pStyle w:val="799"/>
        <w:ind w:left="0" w:right="0" w:firstLine="480"/>
        <w:jc w:val="both"/>
        <w:keepLines w:val="0"/>
        <w:keepNext w:val="0"/>
        <w:spacing w:before="0" w:beforeAutospacing="0" w:after="0" w:afterAutospacing="0" w:line="360" w:lineRule="auto"/>
        <w:widowControl w:val="off"/>
        <w:rPr>
          <w:rFonts w:hAnsi="宋体"/>
          <w:color w:val="000000"/>
          <w:sz w:val="24"/>
          <w:szCs w:val="24"/>
          <w:lang w:val="en-US"/>
        </w:rPr>
        <w:suppressLineNumbers w:val="0"/>
      </w:pPr>
      <w:r>
        <w:rPr>
          <w:rFonts w:hint="eastAsia" w:ascii="宋体" w:hAnsi="宋体" w:eastAsia="宋体" w:cs="Times New Roman"/>
          <w:color w:val="000000"/>
          <w:sz w:val="24"/>
          <w:szCs w:val="24"/>
          <w:lang w:val="en-US" w:eastAsia="zh-CN" w:bidi="ar"/>
        </w:rPr>
        <w:t xml:space="preserve">12.2 不可抗力事件发生后，应立即通知对方，并寄送有关权威机构出具的证明。</w:t>
      </w:r>
      <w:r/>
    </w:p>
    <w:p>
      <w:pPr>
        <w:pStyle w:val="799"/>
        <w:ind w:left="0" w:right="0" w:firstLine="480"/>
        <w:jc w:val="both"/>
        <w:keepLines w:val="0"/>
        <w:keepNext w:val="0"/>
        <w:spacing w:before="0" w:beforeAutospacing="0" w:after="0" w:afterAutospacing="0" w:line="360" w:lineRule="auto"/>
        <w:widowControl w:val="off"/>
        <w:rPr>
          <w:rFonts w:hAnsi="宋体"/>
          <w:color w:val="000000"/>
          <w:sz w:val="24"/>
          <w:szCs w:val="24"/>
          <w:lang w:val="en-US"/>
        </w:rPr>
        <w:suppressLineNumbers w:val="0"/>
      </w:pPr>
      <w:r>
        <w:rPr>
          <w:rFonts w:hint="eastAsia" w:ascii="宋体" w:hAnsi="宋体" w:eastAsia="宋体" w:cs="Times New Roman"/>
          <w:color w:val="000000"/>
          <w:sz w:val="24"/>
          <w:szCs w:val="24"/>
          <w:lang w:val="en-US" w:eastAsia="zh-CN" w:bidi="ar"/>
        </w:rPr>
        <w:t xml:space="preserve">12.3 不可抗力事件延续120天以上，双方应通过友好协商，确定是否继续履行合同。</w:t>
      </w:r>
      <w:r/>
    </w:p>
    <w:p>
      <w:pPr>
        <w:pStyle w:val="799"/>
        <w:ind w:left="0" w:right="0" w:firstLine="482"/>
        <w:jc w:val="both"/>
        <w:keepLines w:val="0"/>
        <w:keepNext w:val="0"/>
        <w:spacing w:before="0" w:beforeAutospacing="0" w:after="0" w:afterAutospacing="0" w:line="360" w:lineRule="auto"/>
        <w:widowControl w:val="off"/>
        <w:rPr>
          <w:rFonts w:hAnsi="宋体"/>
          <w:b/>
          <w:bCs w:val="0"/>
          <w:color w:val="000000"/>
          <w:sz w:val="24"/>
          <w:szCs w:val="24"/>
          <w:lang w:val="en-US"/>
        </w:rPr>
        <w:suppressLineNumbers w:val="0"/>
      </w:pPr>
      <w:r>
        <w:rPr>
          <w:rFonts w:hint="eastAsia" w:ascii="宋体" w:hAnsi="宋体" w:eastAsia="宋体" w:cs="Times New Roman"/>
          <w:b/>
          <w:bCs w:val="0"/>
          <w:color w:val="000000"/>
          <w:sz w:val="24"/>
          <w:szCs w:val="24"/>
          <w:lang w:val="en-US" w:eastAsia="zh-CN" w:bidi="ar"/>
        </w:rPr>
        <w:t xml:space="preserve">十三、解决争议的方法</w:t>
      </w:r>
      <w:r/>
    </w:p>
    <w:p>
      <w:pPr>
        <w:pStyle w:val="799"/>
        <w:ind w:left="0" w:right="0" w:firstLine="480"/>
        <w:jc w:val="both"/>
        <w:keepLines w:val="0"/>
        <w:keepNext w:val="0"/>
        <w:spacing w:before="0" w:beforeAutospacing="0" w:after="0" w:afterAutospacing="0" w:line="360" w:lineRule="auto"/>
        <w:widowControl w:val="off"/>
        <w:rPr>
          <w:rFonts w:hAnsi="宋体"/>
          <w:color w:val="000000"/>
          <w:sz w:val="24"/>
          <w:szCs w:val="24"/>
          <w:lang w:val="en-US"/>
        </w:rPr>
        <w:suppressLineNumbers w:val="0"/>
      </w:pPr>
      <w:r>
        <w:rPr>
          <w:rFonts w:hint="eastAsia" w:ascii="宋体" w:hAnsi="宋体" w:eastAsia="宋体" w:cs="Times New Roman"/>
          <w:color w:val="000000"/>
          <w:sz w:val="24"/>
          <w:szCs w:val="24"/>
          <w:lang w:val="en-US" w:eastAsia="zh-CN" w:bidi="ar"/>
        </w:rPr>
        <w:t xml:space="preserve">13.1双方在签订、履行合同中所发生的一切争议，应通过友好协商解决。如协商不成，由甲方住所地人民法院管辖。</w:t>
      </w:r>
      <w:r/>
    </w:p>
    <w:p>
      <w:pPr>
        <w:pStyle w:val="799"/>
        <w:ind w:left="0" w:right="0" w:firstLine="482"/>
        <w:jc w:val="both"/>
        <w:keepLines w:val="0"/>
        <w:keepNext w:val="0"/>
        <w:spacing w:before="0" w:beforeAutospacing="0" w:after="0" w:afterAutospacing="0" w:line="360" w:lineRule="auto"/>
        <w:widowControl w:val="off"/>
        <w:rPr>
          <w:rFonts w:hAnsi="宋体"/>
          <w:b/>
          <w:bCs w:val="0"/>
          <w:color w:val="000000"/>
          <w:sz w:val="24"/>
          <w:szCs w:val="24"/>
          <w:lang w:val="en-US"/>
        </w:rPr>
        <w:suppressLineNumbers w:val="0"/>
      </w:pPr>
      <w:r>
        <w:rPr>
          <w:rFonts w:hint="eastAsia" w:ascii="宋体" w:hAnsi="宋体" w:eastAsia="宋体" w:cs="Times New Roman"/>
          <w:b/>
          <w:bCs w:val="0"/>
          <w:color w:val="000000"/>
          <w:sz w:val="24"/>
          <w:szCs w:val="24"/>
          <w:lang w:val="en-US" w:eastAsia="zh-CN" w:bidi="ar"/>
        </w:rPr>
        <w:t xml:space="preserve">十四、合同生效及其他</w:t>
      </w:r>
      <w:r/>
    </w:p>
    <w:p>
      <w:pPr>
        <w:pStyle w:val="799"/>
        <w:ind w:left="0" w:right="0" w:firstLine="480"/>
        <w:jc w:val="both"/>
        <w:keepLines w:val="0"/>
        <w:keepNext w:val="0"/>
        <w:spacing w:before="0" w:beforeAutospacing="0" w:after="0" w:afterAutospacing="0" w:line="360" w:lineRule="auto"/>
        <w:widowControl w:val="off"/>
        <w:rPr>
          <w:rFonts w:hAnsi="宋体"/>
          <w:color w:val="000000"/>
          <w:sz w:val="24"/>
          <w:szCs w:val="24"/>
          <w:lang w:val="en-US"/>
        </w:rPr>
        <w:suppressLineNumbers w:val="0"/>
      </w:pPr>
      <w:r>
        <w:rPr>
          <w:rFonts w:hint="eastAsia" w:ascii="宋体" w:hAnsi="宋体" w:eastAsia="宋体" w:cs="Times New Roman"/>
          <w:color w:val="000000"/>
          <w:sz w:val="24"/>
          <w:szCs w:val="24"/>
          <w:lang w:val="en-US" w:eastAsia="zh-CN" w:bidi="ar"/>
        </w:rPr>
        <w:t xml:space="preserve">14.1 合同经双方法定代表人或授权委托代表人签字并加盖单位公章后生效。</w:t>
      </w:r>
      <w:r/>
    </w:p>
    <w:p>
      <w:pPr>
        <w:pStyle w:val="799"/>
        <w:ind w:left="0" w:right="0" w:firstLine="480"/>
        <w:jc w:val="both"/>
        <w:keepLines w:val="0"/>
        <w:keepNext w:val="0"/>
        <w:spacing w:before="0" w:beforeAutospacing="0" w:after="0" w:afterAutospacing="0" w:line="360" w:lineRule="auto"/>
        <w:widowControl w:val="off"/>
        <w:rPr>
          <w:rFonts w:hAnsi="宋体"/>
          <w:color w:val="000000"/>
          <w:sz w:val="24"/>
          <w:szCs w:val="24"/>
          <w:lang w:val="en-US"/>
        </w:rPr>
        <w:suppressLineNumbers w:val="0"/>
      </w:pPr>
      <w:r>
        <w:rPr>
          <w:rFonts w:hint="eastAsia" w:ascii="宋体" w:hAnsi="宋体" w:eastAsia="宋体" w:cs="Times New Roman"/>
          <w:color w:val="000000"/>
          <w:sz w:val="24"/>
          <w:szCs w:val="24"/>
          <w:lang w:val="en-US" w:eastAsia="zh-CN" w:bidi="ar"/>
        </w:rPr>
        <w:t xml:space="preserve">14.2本合同未尽事宜，遵照《中华人民共和国民法典》《中华人民共和国政府采购法》等有关条文执行。</w:t>
      </w:r>
      <w:r/>
    </w:p>
    <w:p>
      <w:pPr>
        <w:pStyle w:val="79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color w:val="000000"/>
          <w:sz w:val="24"/>
          <w:szCs w:val="24"/>
          <w:lang w:val="en-US" w:eastAsia="zh-CN" w:bidi="ar"/>
        </w:rPr>
        <w:suppressLineNumbers w:val="0"/>
      </w:pPr>
      <w:r>
        <w:rPr>
          <w:rFonts w:hint="eastAsia" w:ascii="宋体" w:hAnsi="宋体" w:eastAsia="宋体" w:cs="Times New Roman"/>
          <w:color w:val="000000"/>
          <w:sz w:val="24"/>
          <w:szCs w:val="24"/>
          <w:lang w:val="en-US" w:eastAsia="zh-CN" w:bidi="ar"/>
        </w:rPr>
        <w:t xml:space="preserve">14.3 本合同正本一式两份，具有同等法律效力，甲方、乙方各执一份。</w:t>
      </w:r>
      <w:r/>
    </w:p>
    <w:p>
      <w:pPr>
        <w:pStyle w:val="799"/>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color w:val="000000"/>
          <w:sz w:val="24"/>
          <w:szCs w:val="24"/>
          <w:lang w:val="en-US" w:eastAsia="zh-CN" w:bidi="ar"/>
        </w:rPr>
        <w:suppressLineNumbers w:val="0"/>
      </w:pPr>
      <w:r>
        <w:rPr>
          <w:rFonts w:hint="eastAsia" w:ascii="宋体" w:hAnsi="宋体" w:eastAsia="宋体" w:cs="Times New Roman"/>
          <w:color w:val="000000"/>
          <w:sz w:val="24"/>
          <w:szCs w:val="24"/>
          <w:lang w:val="en-US" w:eastAsia="zh-CN" w:bidi="ar"/>
        </w:rPr>
      </w:r>
      <w:r/>
    </w:p>
    <w:p>
      <w:pPr>
        <w:pStyle w:val="799"/>
        <w:ind w:left="480" w:right="0" w:hanging="480"/>
        <w:jc w:val="both"/>
        <w:keepLines w:val="0"/>
        <w:keepNext w:val="0"/>
        <w:spacing w:before="0" w:beforeAutospacing="0" w:after="0" w:afterAutospacing="0" w:line="360" w:lineRule="auto"/>
        <w:widowControl w:val="off"/>
        <w:rPr>
          <w:rFonts w:hAnsi="宋体"/>
          <w:color w:val="000000"/>
          <w:sz w:val="24"/>
          <w:szCs w:val="24"/>
          <w:lang w:val="en-US"/>
        </w:rPr>
        <w:suppressLineNumbers w:val="0"/>
      </w:pPr>
      <w:r>
        <w:rPr>
          <w:rFonts w:hint="eastAsia" w:ascii="宋体" w:hAnsi="宋体" w:eastAsia="宋体" w:cs="Times New Roman"/>
          <w:color w:val="000000"/>
          <w:sz w:val="24"/>
          <w:szCs w:val="24"/>
          <w:lang w:val="en-US" w:eastAsia="zh-CN" w:bidi="ar"/>
        </w:rPr>
        <w:t xml:space="preserve">  甲方：                                    乙方： </w:t>
      </w:r>
      <w:r/>
    </w:p>
    <w:p>
      <w:pPr>
        <w:pStyle w:val="799"/>
        <w:ind w:left="0" w:right="0"/>
        <w:jc w:val="both"/>
        <w:keepLines w:val="0"/>
        <w:keepNext w:val="0"/>
        <w:spacing w:before="0" w:beforeAutospacing="0" w:after="0" w:afterAutospacing="0" w:line="360" w:lineRule="auto"/>
        <w:widowControl w:val="off"/>
        <w:rPr>
          <w:rFonts w:hAnsi="宋体"/>
          <w:color w:val="000000"/>
          <w:sz w:val="24"/>
          <w:szCs w:val="24"/>
          <w:lang w:val="en-US"/>
        </w:rPr>
        <w:suppressLineNumbers w:val="0"/>
      </w:pPr>
      <w:r>
        <w:rPr>
          <w:rFonts w:hint="eastAsia" w:ascii="宋体" w:hAnsi="宋体" w:eastAsia="宋体" w:cs="Times New Roman"/>
          <w:color w:val="000000"/>
          <w:sz w:val="24"/>
          <w:szCs w:val="24"/>
          <w:lang w:val="en-US" w:eastAsia="zh-CN" w:bidi="ar"/>
        </w:rPr>
        <w:t xml:space="preserve">  地址：                                    地址： </w:t>
      </w:r>
      <w:r/>
    </w:p>
    <w:p>
      <w:pPr>
        <w:pStyle w:val="799"/>
        <w:ind w:left="0" w:right="0"/>
        <w:jc w:val="both"/>
        <w:keepLines w:val="0"/>
        <w:keepNext w:val="0"/>
        <w:spacing w:before="0" w:beforeAutospacing="0" w:after="0" w:afterAutospacing="0" w:line="360" w:lineRule="auto"/>
        <w:widowControl w:val="off"/>
        <w:rPr>
          <w:rFonts w:hAnsi="宋体"/>
          <w:color w:val="000000"/>
          <w:sz w:val="24"/>
          <w:szCs w:val="24"/>
          <w:lang w:val="en-US"/>
        </w:rPr>
        <w:suppressLineNumbers w:val="0"/>
      </w:pPr>
      <w:r>
        <w:rPr>
          <w:rFonts w:hint="eastAsia" w:ascii="宋体" w:hAnsi="宋体" w:eastAsia="宋体" w:cs="Times New Roman"/>
          <w:color w:val="000000"/>
          <w:sz w:val="24"/>
          <w:szCs w:val="24"/>
          <w:lang w:val="en-US" w:eastAsia="zh-CN" w:bidi="ar"/>
        </w:rPr>
        <w:t xml:space="preserve">  法定代表人或授权代表：                    法定代表人或授权代表：</w:t>
      </w:r>
      <w:r/>
    </w:p>
    <w:p>
      <w:pPr>
        <w:pStyle w:val="799"/>
        <w:ind w:left="0" w:right="0" w:firstLine="240"/>
        <w:jc w:val="both"/>
        <w:keepLines w:val="0"/>
        <w:keepNext w:val="0"/>
        <w:spacing w:before="0" w:beforeAutospacing="0" w:after="0" w:afterAutospacing="0" w:line="360" w:lineRule="auto"/>
        <w:widowControl w:val="off"/>
        <w:rPr>
          <w:color w:val="000000"/>
          <w:lang w:val="en-US"/>
        </w:rPr>
        <w:suppressLineNumbers w:val="0"/>
      </w:pPr>
      <w:r>
        <w:rPr>
          <w:rFonts w:hint="eastAsia" w:ascii="宋体" w:hAnsi="宋体" w:eastAsia="宋体" w:cs="Times New Roman"/>
          <w:color w:val="000000"/>
          <w:sz w:val="24"/>
          <w:szCs w:val="24"/>
          <w:lang w:val="en-US" w:eastAsia="zh-CN" w:bidi="ar"/>
        </w:rPr>
        <w:t xml:space="preserve">联系电话：                                联系电话：          </w:t>
      </w:r>
      <w:r/>
    </w:p>
    <w:p>
      <w:pPr>
        <w:ind w:left="0" w:right="0" w:firstLine="480"/>
        <w:jc w:val="both"/>
        <w:keepLines w:val="0"/>
        <w:keepNext w:val="0"/>
        <w:spacing w:before="0" w:beforeAutospacing="0" w:after="0" w:afterAutospacing="0" w:line="360" w:lineRule="auto"/>
        <w:widowControl w:val="off"/>
        <w:rPr>
          <w:rFonts w:hint="eastAsia" w:ascii="Times New Roman" w:hAnsi="Times New Roman" w:eastAsia="宋体" w:cs="宋体"/>
          <w:color w:val="000000"/>
          <w:sz w:val="24"/>
          <w:szCs w:val="24"/>
          <w:lang w:val="en-US" w:eastAsia="zh-CN" w:bidi="ar"/>
        </w:rPr>
        <w:suppressLineNumbers w:val="0"/>
      </w:pPr>
      <w:r>
        <w:rPr>
          <w:rFonts w:hint="eastAsia" w:ascii="Times New Roman" w:hAnsi="Times New Roman" w:eastAsia="宋体" w:cs="宋体"/>
          <w:color w:val="000000"/>
          <w:sz w:val="24"/>
          <w:szCs w:val="24"/>
          <w:lang w:val="en-US" w:eastAsia="zh-CN" w:bidi="ar"/>
        </w:rPr>
      </w:r>
      <w:r/>
    </w:p>
    <w:p>
      <w:pPr>
        <w:ind w:left="0" w:right="0" w:firstLine="480"/>
        <w:jc w:val="both"/>
        <w:keepLines w:val="0"/>
        <w:keepNext w:val="0"/>
        <w:spacing w:before="0" w:beforeAutospacing="0" w:after="0" w:afterAutospacing="0" w:line="360" w:lineRule="auto"/>
        <w:widowControl w:val="off"/>
        <w:rPr>
          <w:rFonts w:hint="eastAsia" w:ascii="Times New Roman" w:hAnsi="Times New Roman" w:eastAsia="宋体" w:cs="宋体"/>
          <w:color w:val="000000"/>
          <w:sz w:val="24"/>
          <w:szCs w:val="24"/>
          <w:lang w:val="en-US" w:eastAsia="zh-CN" w:bidi="ar"/>
        </w:rPr>
        <w:suppressLineNumbers w:val="0"/>
      </w:pPr>
      <w:r>
        <w:rPr>
          <w:rFonts w:hint="eastAsia" w:ascii="Times New Roman" w:hAnsi="Times New Roman" w:eastAsia="宋体" w:cs="宋体"/>
          <w:color w:val="000000"/>
          <w:sz w:val="24"/>
          <w:szCs w:val="24"/>
          <w:lang w:val="en-US" w:eastAsia="zh-CN" w:bidi="ar"/>
        </w:rPr>
      </w:r>
      <w:r/>
    </w:p>
    <w:p>
      <w:pPr>
        <w:ind w:left="0" w:right="0" w:firstLine="1742"/>
        <w:jc w:val="both"/>
        <w:keepLines w:val="0"/>
        <w:keepNext w:val="0"/>
        <w:spacing w:before="0" w:beforeAutospacing="0" w:after="0" w:afterAutospacing="0" w:line="360" w:lineRule="auto"/>
        <w:widowControl w:val="off"/>
        <w:rPr>
          <w:rFonts w:hint="eastAsia" w:ascii="Times New Roman" w:hAnsi="Times New Roman" w:eastAsia="宋体" w:cs="宋体"/>
          <w:color w:val="000000"/>
          <w:sz w:val="24"/>
          <w:szCs w:val="24"/>
          <w:lang w:val="en-US" w:eastAsia="zh-CN" w:bidi="ar"/>
        </w:rPr>
        <w:suppressLineNumbers w:val="0"/>
      </w:pPr>
      <w:r>
        <w:rPr>
          <w:rFonts w:hint="eastAsia" w:ascii="Times New Roman" w:hAnsi="Times New Roman" w:eastAsia="宋体" w:cs="宋体"/>
          <w:color w:val="000000"/>
          <w:sz w:val="24"/>
          <w:szCs w:val="24"/>
          <w:lang w:val="en-US" w:eastAsia="zh-CN" w:bidi="ar"/>
        </w:rPr>
      </w:r>
      <w:r/>
    </w:p>
    <w:p>
      <w:pPr>
        <w:ind w:left="0" w:right="0" w:firstLine="1742"/>
        <w:jc w:val="both"/>
        <w:keepLines w:val="0"/>
        <w:keepNext w:val="0"/>
        <w:spacing w:before="0" w:beforeAutospacing="0" w:after="0" w:afterAutospacing="0" w:line="360" w:lineRule="auto"/>
        <w:widowControl w:val="off"/>
        <w:rPr>
          <w:rFonts w:hint="eastAsia" w:ascii="Times New Roman" w:hAnsi="Times New Roman" w:eastAsia="宋体" w:cs="宋体"/>
          <w:color w:val="000000"/>
          <w:sz w:val="24"/>
          <w:szCs w:val="24"/>
          <w:lang w:val="en-US" w:eastAsia="zh-CN" w:bidi="ar"/>
        </w:rPr>
        <w:suppressLineNumbers w:val="0"/>
      </w:pPr>
      <w:r>
        <w:rPr>
          <w:rFonts w:hint="eastAsia" w:ascii="Times New Roman" w:hAnsi="Times New Roman" w:eastAsia="宋体" w:cs="宋体"/>
          <w:color w:val="000000"/>
          <w:sz w:val="24"/>
          <w:szCs w:val="24"/>
          <w:lang w:val="en-US" w:eastAsia="zh-CN" w:bidi="ar"/>
        </w:rPr>
      </w:r>
      <w:r/>
    </w:p>
    <w:p>
      <w:pPr>
        <w:ind w:left="0" w:right="0" w:firstLine="1742"/>
        <w:jc w:val="both"/>
        <w:keepLines w:val="0"/>
        <w:keepNext w:val="0"/>
        <w:spacing w:before="0" w:beforeAutospacing="0" w:after="0" w:afterAutospacing="0" w:line="360" w:lineRule="auto"/>
        <w:widowControl w:val="off"/>
        <w:rPr>
          <w:color w:val="000000"/>
          <w:sz w:val="24"/>
          <w:szCs w:val="24"/>
          <w:lang w:val="en-US"/>
        </w:rPr>
        <w:suppressLineNumbers w:val="0"/>
      </w:pPr>
      <w:r>
        <w:rPr>
          <w:rFonts w:hint="eastAsia" w:ascii="Times New Roman" w:hAnsi="Times New Roman" w:eastAsia="宋体" w:cs="宋体"/>
          <w:color w:val="000000"/>
          <w:sz w:val="24"/>
          <w:szCs w:val="24"/>
          <w:lang w:val="en-US" w:eastAsia="zh-CN" w:bidi="ar"/>
        </w:rPr>
        <w:t xml:space="preserve">签订日期：</w:t>
      </w:r>
      <w:r>
        <w:rPr>
          <w:rFonts w:hint="default" w:ascii="Times New Roman" w:hAnsi="Times New Roman" w:eastAsia="宋体" w:cs="Times New Roman"/>
          <w:color w:val="000000"/>
          <w:sz w:val="24"/>
          <w:szCs w:val="24"/>
          <w:lang w:val="en-US" w:eastAsia="zh-CN" w:bidi="ar"/>
        </w:rPr>
        <w:t xml:space="preserve">      </w:t>
      </w:r>
      <w:r>
        <w:rPr>
          <w:rFonts w:hint="eastAsia" w:ascii="Times New Roman" w:hAnsi="Times New Roman" w:eastAsia="宋体" w:cs="宋体"/>
          <w:color w:val="000000"/>
          <w:sz w:val="24"/>
          <w:szCs w:val="24"/>
          <w:lang w:val="en-US" w:eastAsia="zh-CN" w:bidi="ar"/>
        </w:rPr>
        <w:t xml:space="preserve">年</w:t>
      </w:r>
      <w:r>
        <w:rPr>
          <w:rFonts w:hint="default" w:ascii="Times New Roman" w:hAnsi="Times New Roman" w:eastAsia="宋体" w:cs="Times New Roman"/>
          <w:color w:val="000000"/>
          <w:sz w:val="24"/>
          <w:szCs w:val="24"/>
          <w:lang w:val="en-US" w:eastAsia="zh-CN" w:bidi="ar"/>
        </w:rPr>
        <w:t xml:space="preserve">  </w:t>
      </w:r>
      <w:r>
        <w:rPr>
          <w:rFonts w:hint="eastAsia" w:ascii="Times New Roman" w:hAnsi="Times New Roman" w:eastAsia="宋体" w:cs="宋体"/>
          <w:color w:val="000000"/>
          <w:sz w:val="24"/>
          <w:szCs w:val="24"/>
          <w:lang w:val="en-US" w:eastAsia="zh-CN" w:bidi="ar"/>
        </w:rPr>
        <w:t xml:space="preserve">月</w:t>
      </w:r>
      <w:r>
        <w:rPr>
          <w:rFonts w:hint="default" w:ascii="Times New Roman" w:hAnsi="Times New Roman" w:eastAsia="宋体" w:cs="Times New Roman"/>
          <w:color w:val="000000"/>
          <w:sz w:val="24"/>
          <w:szCs w:val="24"/>
          <w:lang w:val="en-US" w:eastAsia="zh-CN" w:bidi="ar"/>
        </w:rPr>
        <w:t xml:space="preserve">  </w:t>
      </w:r>
      <w:r>
        <w:rPr>
          <w:rFonts w:hint="eastAsia" w:ascii="Times New Roman" w:hAnsi="Times New Roman" w:eastAsia="宋体" w:cs="宋体"/>
          <w:color w:val="000000"/>
          <w:sz w:val="24"/>
          <w:szCs w:val="24"/>
          <w:lang w:val="en-US" w:eastAsia="zh-CN" w:bidi="ar"/>
        </w:rPr>
        <w:t xml:space="preserve">日</w:t>
      </w:r>
      <w:r/>
    </w:p>
    <w:p>
      <w:pPr>
        <w:spacing w:line="360" w:lineRule="auto"/>
        <w:rPr>
          <w:rFonts w:hint="eastAsia" w:ascii="黑体" w:hAnsi="黑体" w:eastAsia="黑体"/>
          <w:color w:val="000000"/>
          <w:sz w:val="36"/>
          <w:szCs w:val="36"/>
          <w:highlight w:val="none"/>
        </w:rPr>
      </w:pPr>
      <w:r>
        <w:rPr>
          <w:rFonts w:hint="eastAsia" w:ascii="黑体" w:hAnsi="黑体" w:eastAsia="黑体"/>
          <w:color w:val="000000"/>
          <w:sz w:val="36"/>
          <w:szCs w:val="36"/>
          <w:highlight w:val="none"/>
        </w:rPr>
      </w:r>
      <w:r/>
    </w:p>
    <w:p>
      <w:pPr>
        <w:jc w:val="center"/>
        <w:spacing w:line="360" w:lineRule="auto"/>
        <w:tabs>
          <w:tab w:val="left" w:pos="1440" w:leader="none"/>
        </w:tabs>
        <w:rPr>
          <w:rFonts w:hint="eastAsia" w:ascii="黑体" w:hAnsi="黑体" w:eastAsia="黑体"/>
          <w:color w:val="000000"/>
          <w:sz w:val="36"/>
          <w:szCs w:val="36"/>
          <w:highlight w:val="none"/>
        </w:rPr>
        <w:outlineLvl w:val="0"/>
      </w:pPr>
      <w:r>
        <w:rPr>
          <w:rFonts w:hint="eastAsia" w:ascii="黑体" w:hAnsi="黑体" w:eastAsia="黑体"/>
          <w:color w:val="000000"/>
          <w:sz w:val="36"/>
          <w:szCs w:val="36"/>
          <w:highlight w:val="none"/>
        </w:rPr>
      </w:r>
      <w:r/>
    </w:p>
    <w:p>
      <w:pPr>
        <w:spacing w:line="360" w:lineRule="auto"/>
        <w:rPr>
          <w:rFonts w:hint="eastAsia" w:ascii="黑体" w:hAnsi="黑体" w:eastAsia="黑体"/>
          <w:color w:val="000000"/>
          <w:sz w:val="36"/>
          <w:szCs w:val="36"/>
          <w:highlight w:val="none"/>
        </w:rPr>
      </w:pPr>
      <w:r/>
      <w:bookmarkStart w:id="179" w:name="_Hlt16619369"/>
      <w:r/>
      <w:bookmarkEnd w:id="179"/>
      <w:r/>
      <w:bookmarkStart w:id="180" w:name="_Hlt16619350"/>
      <w:r/>
      <w:bookmarkStart w:id="181" w:name="_Toc120614244"/>
      <w:r/>
      <w:bookmarkStart w:id="182" w:name="_Toc16938590"/>
      <w:r/>
      <w:bookmarkStart w:id="183" w:name="_Toc20823346"/>
      <w:r/>
      <w:bookmarkStart w:id="184" w:name="_Toc462564139"/>
      <w:r/>
      <w:bookmarkStart w:id="185" w:name="_Toc479757211"/>
      <w:r>
        <w:rPr>
          <w:rFonts w:hint="eastAsia" w:ascii="黑体" w:hAnsi="黑体" w:eastAsia="黑体"/>
          <w:color w:val="000000"/>
          <w:sz w:val="36"/>
          <w:szCs w:val="36"/>
          <w:highlight w:val="none"/>
        </w:rPr>
        <w:br w:type="page" w:clear="all"/>
      </w:r>
      <w:r/>
    </w:p>
    <w:p>
      <w:pPr>
        <w:pStyle w:val="799"/>
        <w:ind w:left="0" w:right="0"/>
        <w:jc w:val="center"/>
        <w:keepLines w:val="0"/>
        <w:keepNext w:val="0"/>
        <w:spacing w:before="0" w:beforeAutospacing="0" w:after="0" w:afterAutospacing="0" w:line="360" w:lineRule="auto"/>
        <w:shd w:val="clear" w:color="auto" w:fill="ffffff"/>
        <w:widowControl/>
        <w:rPr>
          <w:rFonts w:hint="eastAsia" w:ascii="方正小标宋_GBK" w:hAnsi="方正小标宋_GBK" w:eastAsia="方正小标宋_GBK" w:cs="方正小标宋_GBK"/>
          <w:sz w:val="40"/>
          <w:szCs w:val="40"/>
          <w:shd w:val="clear" w:color="auto" w:fill="ffffff"/>
          <w:lang w:val="en-US"/>
        </w:rPr>
        <w:outlineLvl w:val="0"/>
        <w:suppressLineNumbers w:val="0"/>
      </w:pPr>
      <w:r>
        <w:rPr>
          <w:rFonts w:hint="eastAsia" w:ascii="方正小标宋_GBK" w:hAnsi="方正小标宋_GBK" w:eastAsia="方正小标宋_GBK" w:cs="方正小标宋_GBK"/>
          <w:sz w:val="40"/>
          <w:szCs w:val="40"/>
          <w:shd w:val="clear" w:color="auto" w:fill="ffffff"/>
          <w:lang w:val="en-US" w:eastAsia="zh-CN" w:bidi="ar"/>
        </w:rPr>
        <w:t xml:space="preserve">滨湖区2026年度政务信息化统一运维项目</w:t>
      </w:r>
      <w:r/>
    </w:p>
    <w:p>
      <w:pPr>
        <w:pStyle w:val="799"/>
        <w:ind w:left="0" w:right="0"/>
        <w:jc w:val="center"/>
        <w:keepLines w:val="0"/>
        <w:keepNext w:val="0"/>
        <w:spacing w:before="0" w:beforeAutospacing="0" w:after="0" w:afterAutospacing="0" w:line="360" w:lineRule="auto"/>
        <w:shd w:val="clear" w:color="auto" w:fill="ffffff"/>
        <w:widowControl/>
        <w:rPr>
          <w:rFonts w:hint="eastAsia" w:ascii="方正小标宋_GBK" w:hAnsi="方正小标宋_GBK" w:eastAsia="方正小标宋_GBK" w:cs="方正小标宋_GBK"/>
          <w:sz w:val="40"/>
          <w:szCs w:val="40"/>
          <w:shd w:val="clear" w:color="auto" w:fill="ffffff"/>
          <w:lang w:val="en-US"/>
        </w:rPr>
        <w:outlineLvl w:val="0"/>
        <w:suppressLineNumbers w:val="0"/>
      </w:pPr>
      <w:r>
        <w:rPr>
          <w:rFonts w:hint="eastAsia" w:ascii="方正小标宋_GBK" w:hAnsi="方正小标宋_GBK" w:eastAsia="方正小标宋_GBK" w:cs="方正小标宋_GBK"/>
          <w:sz w:val="40"/>
          <w:szCs w:val="40"/>
          <w:shd w:val="clear" w:color="auto" w:fill="ffffff"/>
          <w:lang w:val="en-US" w:eastAsia="zh-CN" w:bidi="ar"/>
        </w:rPr>
        <w:t xml:space="preserve">三方协议</w:t>
      </w:r>
      <w:r/>
    </w:p>
    <w:p>
      <w:pPr>
        <w:ind w:left="0" w:right="0"/>
        <w:jc w:val="both"/>
        <w:keepLines w:val="0"/>
        <w:keepNext w:val="0"/>
        <w:spacing w:before="0" w:beforeAutospacing="0" w:after="0" w:afterAutospacing="0" w:line="360" w:lineRule="auto"/>
        <w:widowControl w:val="off"/>
        <w:rPr>
          <w:lang w:val="en-US"/>
        </w:rPr>
        <w:suppressLineNumbers w:val="0"/>
      </w:pPr>
      <w:r>
        <w:rPr>
          <w:lang w:val="en-US"/>
        </w:rPr>
      </w:r>
      <w:r/>
    </w:p>
    <w:p>
      <w:pPr>
        <w:pStyle w:val="799"/>
        <w:ind w:left="0" w:right="0" w:firstLine="480"/>
        <w:jc w:val="left"/>
        <w:keepLines w:val="0"/>
        <w:keepNext w:val="0"/>
        <w:spacing w:before="0" w:beforeAutospacing="0" w:after="0" w:afterAutospacing="0" w:line="360" w:lineRule="auto"/>
        <w:shd w:val="clear" w:color="auto" w:fill="ffffff"/>
        <w:widowControl/>
        <w:rPr>
          <w:rFonts w:hint="eastAsia" w:ascii="宋体" w:hAnsi="宋体" w:eastAsia="宋体" w:cs="宋体"/>
          <w:bCs/>
          <w:sz w:val="24"/>
          <w:szCs w:val="24"/>
          <w:shd w:val="clear" w:color="auto" w:fill="ffffff"/>
          <w:lang w:val="en-US"/>
        </w:rPr>
        <w:outlineLvl w:val="0"/>
        <w:suppressLineNumbers w:val="0"/>
      </w:pPr>
      <w:r>
        <w:rPr>
          <w:rFonts w:hint="eastAsia" w:ascii="宋体" w:hAnsi="宋体" w:eastAsia="宋体" w:cs="宋体"/>
          <w:bCs/>
          <w:sz w:val="24"/>
          <w:szCs w:val="24"/>
          <w:shd w:val="clear" w:color="auto" w:fill="ffffff"/>
          <w:lang w:val="en-US" w:eastAsia="zh-CN" w:bidi="ar"/>
        </w:rPr>
        <w:t xml:space="preserve">一、协议各方</w:t>
      </w:r>
      <w:r/>
    </w:p>
    <w:p>
      <w:pPr>
        <w:ind w:left="0" w:right="0" w:firstLine="482"/>
        <w:jc w:val="left"/>
        <w:keepLines w:val="0"/>
        <w:keepNext w:val="0"/>
        <w:spacing w:before="0" w:beforeAutospacing="0" w:after="0" w:afterAutospacing="0" w:line="360" w:lineRule="auto"/>
        <w:shd w:val="clear" w:color="auto" w:fill="ffffff"/>
        <w:widowControl/>
        <w:rPr>
          <w:rFonts w:hint="eastAsia" w:ascii="宋体" w:hAnsi="宋体" w:eastAsia="宋体" w:cs="宋体"/>
          <w:sz w:val="24"/>
          <w:szCs w:val="24"/>
          <w:shd w:val="clear" w:color="auto" w:fill="ffffff"/>
          <w:lang w:val="en-US"/>
        </w:rPr>
        <w:suppressLineNumbers w:val="0"/>
      </w:pPr>
      <w:r>
        <w:rPr>
          <w:rFonts w:hint="eastAsia" w:ascii="宋体" w:hAnsi="宋体" w:eastAsia="宋体" w:cs="宋体"/>
          <w:b/>
          <w:bCs/>
          <w:sz w:val="24"/>
          <w:szCs w:val="24"/>
          <w:shd w:val="clear" w:color="auto" w:fill="ffffff"/>
          <w:lang w:val="en-US" w:eastAsia="zh-CN" w:bidi="ar"/>
        </w:rPr>
        <w:t xml:space="preserve">甲方（采购人）</w:t>
      </w:r>
      <w:r>
        <w:rPr>
          <w:rFonts w:hint="eastAsia" w:ascii="宋体" w:hAnsi="宋体" w:eastAsia="宋体" w:cs="宋体"/>
          <w:sz w:val="24"/>
          <w:szCs w:val="24"/>
          <w:shd w:val="clear" w:color="auto" w:fill="ffffff"/>
          <w:lang w:val="en-US" w:eastAsia="zh-CN" w:bidi="ar"/>
        </w:rPr>
        <w:t xml:space="preserve">：无锡市滨湖区数据局</w:t>
      </w:r>
      <w:r/>
    </w:p>
    <w:p>
      <w:pPr>
        <w:ind w:left="0" w:right="0" w:firstLine="482"/>
        <w:jc w:val="left"/>
        <w:keepLines w:val="0"/>
        <w:keepNext w:val="0"/>
        <w:spacing w:before="0" w:beforeAutospacing="0" w:after="0" w:afterAutospacing="0" w:line="360" w:lineRule="auto"/>
        <w:shd w:val="clear" w:color="auto" w:fill="ffffff"/>
        <w:widowControl/>
        <w:rPr>
          <w:rFonts w:hint="eastAsia" w:ascii="宋体" w:hAnsi="宋体" w:eastAsia="宋体" w:cs="宋体"/>
          <w:b w:val="0"/>
          <w:bCs w:val="0"/>
          <w:sz w:val="24"/>
          <w:szCs w:val="24"/>
          <w:shd w:val="clear" w:color="auto" w:fill="ffffff"/>
          <w:lang w:val="en-US"/>
        </w:rPr>
        <w:suppressLineNumbers w:val="0"/>
      </w:pPr>
      <w:r>
        <w:rPr>
          <w:rFonts w:hint="eastAsia" w:ascii="宋体" w:hAnsi="宋体" w:eastAsia="宋体" w:cs="宋体"/>
          <w:b/>
          <w:bCs/>
          <w:sz w:val="24"/>
          <w:szCs w:val="24"/>
          <w:shd w:val="clear" w:color="auto" w:fill="ffffff"/>
          <w:lang w:val="en-US" w:eastAsia="zh-CN" w:bidi="ar"/>
        </w:rPr>
        <w:t xml:space="preserve">乙方（中标供应商）：</w:t>
      </w:r>
      <w:r/>
    </w:p>
    <w:p>
      <w:pPr>
        <w:ind w:left="0" w:right="0" w:firstLine="482"/>
        <w:jc w:val="left"/>
        <w:keepLines w:val="0"/>
        <w:keepNext w:val="0"/>
        <w:spacing w:before="0" w:beforeAutospacing="0" w:after="0" w:afterAutospacing="0" w:line="360" w:lineRule="auto"/>
        <w:shd w:val="clear" w:color="auto" w:fill="ffffff"/>
        <w:widowControl/>
        <w:rPr>
          <w:rFonts w:hint="eastAsia" w:ascii="宋体" w:hAnsi="宋体" w:eastAsia="宋体" w:cs="宋体"/>
          <w:b w:val="0"/>
          <w:bCs w:val="0"/>
          <w:sz w:val="24"/>
          <w:szCs w:val="24"/>
          <w:shd w:val="clear" w:color="auto" w:fill="ffffff"/>
          <w:lang w:val="en-US"/>
        </w:rPr>
        <w:suppressLineNumbers w:val="0"/>
      </w:pPr>
      <w:r>
        <w:rPr>
          <w:rFonts w:hint="eastAsia" w:ascii="宋体" w:hAnsi="宋体" w:eastAsia="宋体" w:cs="宋体"/>
          <w:b/>
          <w:bCs/>
          <w:sz w:val="24"/>
          <w:szCs w:val="24"/>
          <w:shd w:val="clear" w:color="auto" w:fill="ffffff"/>
          <w:lang w:val="en-US" w:eastAsia="zh-CN" w:bidi="ar"/>
        </w:rPr>
        <w:t xml:space="preserve">丙方（项目管理单位）：</w:t>
      </w:r>
      <w:r/>
    </w:p>
    <w:p>
      <w:pPr>
        <w:pStyle w:val="799"/>
        <w:ind w:left="0" w:right="0" w:firstLine="480"/>
        <w:jc w:val="left"/>
        <w:keepLines w:val="0"/>
        <w:keepNext w:val="0"/>
        <w:spacing w:before="0" w:beforeAutospacing="0" w:after="0" w:afterAutospacing="0" w:line="360" w:lineRule="auto"/>
        <w:shd w:val="clear" w:color="auto" w:fill="ffffff"/>
        <w:widowControl/>
        <w:rPr>
          <w:rFonts w:hint="eastAsia" w:ascii="宋体" w:hAnsi="宋体" w:eastAsia="宋体" w:cs="宋体"/>
          <w:sz w:val="24"/>
          <w:szCs w:val="24"/>
          <w:shd w:val="clear" w:color="auto" w:fill="ffffff"/>
          <w:lang w:val="en-US"/>
        </w:rPr>
        <w:outlineLvl w:val="0"/>
        <w:suppressLineNumbers w:val="0"/>
      </w:pPr>
      <w:r>
        <w:rPr>
          <w:rFonts w:hint="eastAsia" w:ascii="宋体" w:hAnsi="宋体" w:eastAsia="宋体" w:cs="宋体"/>
          <w:sz w:val="24"/>
          <w:szCs w:val="24"/>
          <w:shd w:val="clear" w:color="auto" w:fill="ffffff"/>
          <w:lang w:val="en-US" w:eastAsia="zh-CN" w:bidi="ar"/>
        </w:rPr>
        <w:t xml:space="preserve">二、协议背景</w:t>
      </w:r>
      <w:r/>
    </w:p>
    <w:p>
      <w:pPr>
        <w:ind w:left="0" w:right="0" w:firstLine="482"/>
        <w:jc w:val="left"/>
        <w:keepLines w:val="0"/>
        <w:keepNext w:val="0"/>
        <w:spacing w:before="0" w:beforeAutospacing="0" w:after="0" w:afterAutospacing="0" w:line="360" w:lineRule="auto"/>
        <w:shd w:val="clear" w:color="auto" w:fill="ffffff"/>
        <w:widowControl/>
        <w:rPr>
          <w:rFonts w:hint="eastAsia" w:ascii="宋体" w:hAnsi="宋体" w:eastAsia="宋体" w:cs="宋体"/>
          <w:b w:val="0"/>
          <w:bCs w:val="0"/>
          <w:sz w:val="24"/>
          <w:szCs w:val="24"/>
          <w:shd w:val="clear" w:color="auto" w:fill="ffffff"/>
          <w:lang w:val="en-US"/>
        </w:rPr>
        <w:suppressLineNumbers w:val="0"/>
      </w:pPr>
      <w:r>
        <w:rPr>
          <w:rFonts w:hint="eastAsia" w:ascii="宋体" w:hAnsi="宋体" w:eastAsia="宋体" w:cs="宋体"/>
          <w:b/>
          <w:bCs/>
          <w:sz w:val="24"/>
          <w:szCs w:val="24"/>
          <w:shd w:val="clear" w:color="auto" w:fill="ffffff"/>
          <w:lang w:val="en-US" w:eastAsia="zh-CN" w:bidi="ar"/>
        </w:rPr>
        <w:t xml:space="preserve">鉴于甲方通过公开招标方式确定乙方为“无锡市滨湖区2026年度政务信息化统一运维项目”的中标供应商，乙方将为丙方提供政务信息化运维服务。</w:t>
      </w:r>
      <w:r/>
    </w:p>
    <w:p>
      <w:pPr>
        <w:pStyle w:val="799"/>
        <w:ind w:left="0" w:right="0" w:firstLine="480"/>
        <w:jc w:val="left"/>
        <w:keepLines w:val="0"/>
        <w:keepNext w:val="0"/>
        <w:spacing w:before="0" w:beforeAutospacing="0" w:after="0" w:afterAutospacing="0" w:line="360" w:lineRule="auto"/>
        <w:shd w:val="clear" w:color="auto" w:fill="ffffff"/>
        <w:widowControl/>
        <w:rPr>
          <w:rFonts w:hint="eastAsia" w:ascii="宋体" w:hAnsi="宋体" w:eastAsia="宋体" w:cs="宋体"/>
          <w:sz w:val="24"/>
          <w:szCs w:val="24"/>
          <w:shd w:val="clear" w:color="auto" w:fill="ffffff"/>
          <w:lang w:val="en-US"/>
        </w:rPr>
        <w:outlineLvl w:val="0"/>
        <w:suppressLineNumbers w:val="0"/>
      </w:pPr>
      <w:r>
        <w:rPr>
          <w:rFonts w:hint="eastAsia" w:ascii="宋体" w:hAnsi="宋体" w:eastAsia="宋体" w:cs="宋体"/>
          <w:sz w:val="24"/>
          <w:szCs w:val="24"/>
          <w:shd w:val="clear" w:color="auto" w:fill="ffffff"/>
          <w:lang w:val="en-US" w:eastAsia="zh-CN" w:bidi="ar"/>
        </w:rPr>
        <w:t xml:space="preserve">三、服务内容与期限</w:t>
      </w:r>
      <w:r/>
    </w:p>
    <w:p>
      <w:pPr>
        <w:ind w:left="0" w:right="0" w:firstLine="482"/>
        <w:jc w:val="left"/>
        <w:keepLines w:val="0"/>
        <w:keepNext w:val="0"/>
        <w:spacing w:before="0" w:beforeAutospacing="0" w:after="0" w:afterAutospacing="0" w:line="360" w:lineRule="auto"/>
        <w:shd w:val="clear" w:color="auto" w:fill="ffffff"/>
        <w:widowControl/>
        <w:rPr>
          <w:rFonts w:hint="eastAsia" w:ascii="宋体" w:hAnsi="宋体" w:eastAsia="宋体" w:cs="宋体"/>
          <w:b w:val="0"/>
          <w:bCs w:val="0"/>
          <w:sz w:val="24"/>
          <w:szCs w:val="24"/>
          <w:shd w:val="clear" w:color="auto" w:fill="ffffff"/>
          <w:lang w:val="en-US"/>
        </w:rPr>
        <w:suppressLineNumbers w:val="0"/>
      </w:pPr>
      <w:r>
        <w:rPr>
          <w:rFonts w:hint="eastAsia" w:ascii="宋体" w:hAnsi="宋体" w:eastAsia="宋体" w:cs="宋体"/>
          <w:b/>
          <w:bCs/>
          <w:sz w:val="24"/>
          <w:szCs w:val="24"/>
          <w:shd w:val="clear" w:color="auto" w:fill="ffffff"/>
          <w:lang w:val="en-US" w:eastAsia="zh-CN" w:bidi="ar"/>
        </w:rPr>
        <w:t xml:space="preserve">服务内容：乙方依据招标文件及投标文件，为丙方提供招标文件采购需求内个项目的运维服务，具体服务内容详见招标文件及乙方投标文件。</w:t>
      </w:r>
      <w:r/>
    </w:p>
    <w:p>
      <w:pPr>
        <w:ind w:left="0" w:right="0" w:firstLine="562"/>
        <w:jc w:val="center"/>
        <w:keepLines w:val="0"/>
        <w:keepNext w:val="0"/>
        <w:spacing w:before="0" w:beforeAutospacing="0" w:after="0" w:afterAutospacing="0" w:line="360" w:lineRule="auto"/>
        <w:shd w:val="clear" w:color="auto" w:fill="ffffff"/>
        <w:widowControl/>
        <w:rPr>
          <w:rFonts w:hint="eastAsia" w:ascii="宋体" w:hAnsi="宋体" w:eastAsia="宋体" w:cs="宋体"/>
          <w:b/>
          <w:bCs/>
          <w:sz w:val="24"/>
          <w:szCs w:val="24"/>
          <w:shd w:val="clear" w:color="auto" w:fill="ffffff"/>
          <w:lang w:val="en-US"/>
        </w:rPr>
        <w:suppressLineNumbers w:val="0"/>
      </w:pPr>
      <w:r>
        <w:rPr>
          <w:rFonts w:hint="eastAsia" w:ascii="宋体" w:hAnsi="宋体" w:eastAsia="宋体" w:cs="宋体"/>
          <w:b/>
          <w:bCs/>
          <w:sz w:val="24"/>
          <w:szCs w:val="24"/>
          <w:shd w:val="clear" w:color="auto" w:fill="ffffff"/>
          <w:lang w:val="en-US" w:eastAsia="zh-CN" w:bidi="ar"/>
        </w:rPr>
        <w:t xml:space="preserve">项目清单</w:t>
      </w:r>
      <w:r/>
    </w:p>
    <w:tbl>
      <w:tblPr>
        <w:tblStyle w:val="779"/>
        <w:tblW w:w="836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76"/>
        <w:gridCol w:w="6692"/>
      </w:tblGrid>
      <w:tr>
        <w:trPr>
          <w:jc w:val="center"/>
          <w:trHeight w:val="375"/>
          <w:tblHeader/>
        </w:trPr>
        <w:tc>
          <w:tcPr>
            <w:shd w:val="clear" w:color="auto" w:fill="auto"/>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69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eastAsia="zh-CN" w:bidi="ar"/>
              </w:rPr>
              <w:t xml:space="preserve">项目名称</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1676"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9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1676"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9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r>
      <w:tr>
        <w:trPr>
          <w:jc w:val="center"/>
          <w:trHeight w:val="387"/>
        </w:trPr>
        <w:tc>
          <w:tcPr>
            <w:shd w:val="clear" w:color="auto" w:fill="auto"/>
            <w:tcBorders>
              <w:top w:val="single" w:color="000000" w:sz="4" w:space="0"/>
              <w:left w:val="single" w:color="000000" w:sz="4" w:space="0"/>
              <w:bottom w:val="single" w:color="000000" w:sz="4" w:space="0"/>
              <w:right w:val="single" w:color="000000" w:sz="4" w:space="0"/>
            </w:tcBorders>
            <w:tcW w:w="1676"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9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r>
    </w:tbl>
    <w:p>
      <w:pPr>
        <w:pStyle w:val="799"/>
        <w:ind w:left="0" w:right="0" w:firstLine="480"/>
        <w:jc w:val="left"/>
        <w:keepLines w:val="0"/>
        <w:keepNext w:val="0"/>
        <w:spacing w:before="0" w:beforeAutospacing="0" w:after="0" w:afterAutospacing="0" w:line="360" w:lineRule="auto"/>
        <w:shd w:val="clear" w:color="auto" w:fill="ffffff"/>
        <w:widowControl/>
        <w:rPr>
          <w:rFonts w:hint="eastAsia" w:ascii="宋体" w:hAnsi="宋体" w:eastAsia="宋体" w:cs="宋体"/>
          <w:bCs/>
          <w:sz w:val="24"/>
          <w:szCs w:val="24"/>
          <w:shd w:val="clear" w:color="auto" w:fill="ffffff"/>
          <w:lang w:val="en-US"/>
        </w:rPr>
        <w:outlineLvl w:val="0"/>
        <w:suppressLineNumbers w:val="0"/>
      </w:pPr>
      <w:r>
        <w:rPr>
          <w:rFonts w:hint="eastAsia" w:ascii="宋体" w:hAnsi="宋体" w:eastAsia="宋体" w:cs="宋体"/>
          <w:bCs/>
          <w:sz w:val="24"/>
          <w:szCs w:val="24"/>
          <w:shd w:val="clear" w:color="auto" w:fill="ffffff"/>
          <w:lang w:val="en-US" w:eastAsia="zh-CN" w:bidi="ar"/>
        </w:rPr>
        <w:t xml:space="preserve">四、责任约定</w:t>
      </w:r>
      <w:r/>
    </w:p>
    <w:p>
      <w:pPr>
        <w:ind w:left="0" w:right="0" w:firstLine="482"/>
        <w:jc w:val="left"/>
        <w:keepLines w:val="0"/>
        <w:keepNext w:val="0"/>
        <w:spacing w:before="0" w:beforeAutospacing="0" w:after="0" w:afterAutospacing="0" w:line="360" w:lineRule="auto"/>
        <w:shd w:val="clear" w:color="auto" w:fill="ffffff"/>
        <w:widowControl/>
        <w:rPr>
          <w:rFonts w:hint="eastAsia" w:ascii="宋体" w:hAnsi="宋体" w:eastAsia="宋体" w:cs="宋体"/>
          <w:sz w:val="24"/>
          <w:szCs w:val="24"/>
          <w:shd w:val="clear" w:color="auto" w:fill="ffffff"/>
          <w:lang w:val="en-US"/>
        </w:rPr>
        <w:suppressLineNumbers w:val="0"/>
      </w:pPr>
      <w:r>
        <w:rPr>
          <w:rFonts w:hint="eastAsia" w:ascii="宋体" w:hAnsi="宋体" w:eastAsia="宋体" w:cs="宋体"/>
          <w:b/>
          <w:bCs/>
          <w:sz w:val="24"/>
          <w:szCs w:val="24"/>
          <w:shd w:val="clear" w:color="auto" w:fill="ffffff"/>
          <w:lang w:val="en-US" w:eastAsia="zh-CN" w:bidi="ar"/>
        </w:rPr>
        <w:t xml:space="preserve">（一）甲方责任</w:t>
      </w:r>
      <w:r/>
    </w:p>
    <w:p>
      <w:pPr>
        <w:ind w:left="0" w:right="0" w:firstLine="482"/>
        <w:jc w:val="left"/>
        <w:keepLines w:val="0"/>
        <w:keepNext w:val="0"/>
        <w:spacing w:before="0" w:beforeAutospacing="0" w:after="0" w:afterAutospacing="0" w:line="360" w:lineRule="auto"/>
        <w:shd w:val="clear" w:color="auto" w:fill="ffffff"/>
        <w:widowControl/>
        <w:rPr>
          <w:rFonts w:hint="eastAsia" w:ascii="宋体" w:hAnsi="宋体" w:eastAsia="宋体" w:cs="宋体"/>
          <w:b w:val="0"/>
          <w:bCs w:val="0"/>
          <w:sz w:val="24"/>
          <w:szCs w:val="24"/>
          <w:shd w:val="clear" w:color="auto" w:fill="ffffff"/>
          <w:lang w:val="en-US"/>
        </w:rPr>
        <w:suppressLineNumbers w:val="0"/>
      </w:pPr>
      <w:r>
        <w:rPr>
          <w:rFonts w:hint="eastAsia" w:ascii="宋体" w:hAnsi="宋体" w:eastAsia="宋体" w:cs="宋体"/>
          <w:b/>
          <w:bCs/>
          <w:sz w:val="24"/>
          <w:szCs w:val="24"/>
          <w:shd w:val="clear" w:color="auto" w:fill="ffffff"/>
          <w:lang w:val="en-US" w:eastAsia="zh-CN" w:bidi="ar"/>
        </w:rPr>
        <w:t xml:space="preserve">（1）负责协调乙方与丙方之间的沟通与合作，确保运维服务顺利开展。</w:t>
      </w:r>
      <w:r/>
    </w:p>
    <w:p>
      <w:pPr>
        <w:ind w:left="0" w:right="0" w:firstLine="482"/>
        <w:jc w:val="left"/>
        <w:keepLines w:val="0"/>
        <w:keepNext w:val="0"/>
        <w:spacing w:before="0" w:beforeAutospacing="0" w:after="0" w:afterAutospacing="0" w:line="360" w:lineRule="auto"/>
        <w:shd w:val="clear" w:color="auto" w:fill="ffffff"/>
        <w:widowControl/>
        <w:rPr>
          <w:rFonts w:hint="eastAsia" w:ascii="宋体" w:hAnsi="宋体" w:eastAsia="宋体" w:cs="宋体"/>
          <w:b w:val="0"/>
          <w:bCs w:val="0"/>
          <w:sz w:val="24"/>
          <w:szCs w:val="24"/>
          <w:shd w:val="clear" w:color="auto" w:fill="ffffff"/>
          <w:lang w:val="en-US"/>
        </w:rPr>
        <w:suppressLineNumbers w:val="0"/>
      </w:pPr>
      <w:r>
        <w:rPr>
          <w:rFonts w:hint="eastAsia" w:ascii="宋体" w:hAnsi="宋体" w:eastAsia="宋体" w:cs="宋体"/>
          <w:b/>
          <w:bCs/>
          <w:sz w:val="24"/>
          <w:szCs w:val="24"/>
          <w:shd w:val="clear" w:color="auto" w:fill="ffffff"/>
          <w:lang w:val="en-US" w:eastAsia="zh-CN" w:bidi="ar"/>
        </w:rPr>
        <w:t xml:space="preserve">（2）监督乙方服务质量，组织考核和履约验收，考核标准及附表见附件。</w:t>
      </w:r>
      <w:r/>
    </w:p>
    <w:p>
      <w:pPr>
        <w:ind w:left="0" w:right="0" w:firstLine="482"/>
        <w:jc w:val="left"/>
        <w:keepLines w:val="0"/>
        <w:keepNext w:val="0"/>
        <w:spacing w:before="0" w:beforeAutospacing="0" w:after="0" w:afterAutospacing="0" w:line="360" w:lineRule="auto"/>
        <w:shd w:val="clear" w:color="auto" w:fill="ffffff"/>
        <w:widowControl/>
        <w:rPr>
          <w:rFonts w:hint="eastAsia" w:ascii="宋体" w:hAnsi="宋体" w:eastAsia="宋体" w:cs="宋体"/>
          <w:b w:val="0"/>
          <w:bCs w:val="0"/>
          <w:sz w:val="24"/>
          <w:szCs w:val="24"/>
          <w:shd w:val="clear" w:color="auto" w:fill="ffffff"/>
          <w:lang w:val="en-US"/>
        </w:rPr>
        <w:suppressLineNumbers w:val="0"/>
      </w:pPr>
      <w:r>
        <w:rPr>
          <w:rFonts w:hint="eastAsia" w:ascii="宋体" w:hAnsi="宋体" w:eastAsia="宋体" w:cs="宋体"/>
          <w:b/>
          <w:bCs/>
          <w:sz w:val="24"/>
          <w:szCs w:val="24"/>
          <w:shd w:val="clear" w:color="auto" w:fill="ffffff"/>
          <w:lang w:val="en-US" w:eastAsia="zh-CN" w:bidi="ar"/>
        </w:rPr>
        <w:t xml:space="preserve">（3）按照合同约定，基于考核办法（附件）根据考核结果支付服务费用。</w:t>
      </w:r>
      <w:r/>
    </w:p>
    <w:p>
      <w:pPr>
        <w:ind w:left="0" w:right="0" w:firstLine="482"/>
        <w:jc w:val="left"/>
        <w:keepLines w:val="0"/>
        <w:keepNext w:val="0"/>
        <w:spacing w:before="0" w:beforeAutospacing="0" w:after="0" w:afterAutospacing="0" w:line="360" w:lineRule="auto"/>
        <w:shd w:val="clear" w:color="auto" w:fill="ffffff"/>
        <w:widowControl/>
        <w:rPr>
          <w:rFonts w:hint="eastAsia" w:ascii="宋体" w:hAnsi="宋体" w:eastAsia="宋体" w:cs="宋体"/>
          <w:b w:val="0"/>
          <w:bCs w:val="0"/>
          <w:sz w:val="24"/>
          <w:szCs w:val="24"/>
          <w:shd w:val="clear" w:color="auto" w:fill="ffffff"/>
          <w:lang w:val="en-US"/>
        </w:rPr>
        <w:suppressLineNumbers w:val="0"/>
      </w:pPr>
      <w:r>
        <w:rPr>
          <w:rFonts w:hint="eastAsia" w:ascii="宋体" w:hAnsi="宋体" w:eastAsia="宋体" w:cs="宋体"/>
          <w:b/>
          <w:bCs/>
          <w:sz w:val="24"/>
          <w:szCs w:val="24"/>
          <w:shd w:val="clear" w:color="auto" w:fill="ffffff"/>
          <w:lang w:val="en-US" w:eastAsia="zh-CN" w:bidi="ar"/>
        </w:rPr>
        <w:t xml:space="preserve">（二）乙方责任</w:t>
      </w:r>
      <w:r/>
    </w:p>
    <w:p>
      <w:pPr>
        <w:ind w:left="0" w:right="0" w:firstLine="482"/>
        <w:jc w:val="left"/>
        <w:keepLines w:val="0"/>
        <w:keepNext w:val="0"/>
        <w:spacing w:before="0" w:beforeAutospacing="0" w:after="0" w:afterAutospacing="0" w:line="360" w:lineRule="auto"/>
        <w:shd w:val="clear" w:color="auto" w:fill="ffffff"/>
        <w:widowControl/>
        <w:rPr>
          <w:rFonts w:hint="eastAsia" w:ascii="宋体" w:hAnsi="宋体" w:eastAsia="宋体" w:cs="宋体"/>
          <w:b w:val="0"/>
          <w:bCs w:val="0"/>
          <w:sz w:val="24"/>
          <w:szCs w:val="24"/>
          <w:shd w:val="clear" w:color="auto" w:fill="ffffff"/>
          <w:lang w:val="en-US"/>
        </w:rPr>
        <w:suppressLineNumbers w:val="0"/>
      </w:pPr>
      <w:r>
        <w:rPr>
          <w:rFonts w:hint="eastAsia" w:ascii="宋体" w:hAnsi="宋体" w:eastAsia="宋体" w:cs="宋体"/>
          <w:b/>
          <w:bCs/>
          <w:sz w:val="24"/>
          <w:szCs w:val="24"/>
          <w:shd w:val="clear" w:color="auto" w:fill="ffffff"/>
          <w:lang w:val="en-US" w:eastAsia="zh-CN" w:bidi="ar"/>
        </w:rPr>
        <w:t xml:space="preserve">（1）按照招标文件及合同要求，配备专业运维团队，提供高质量运维服务。</w:t>
      </w:r>
      <w:r/>
    </w:p>
    <w:p>
      <w:pPr>
        <w:ind w:left="0" w:right="0" w:firstLine="482"/>
        <w:jc w:val="left"/>
        <w:keepLines w:val="0"/>
        <w:keepNext w:val="0"/>
        <w:spacing w:before="0" w:beforeAutospacing="0" w:after="0" w:afterAutospacing="0" w:line="360" w:lineRule="auto"/>
        <w:shd w:val="clear" w:color="auto" w:fill="ffffff"/>
        <w:widowControl/>
        <w:rPr>
          <w:rFonts w:hint="eastAsia" w:ascii="宋体" w:hAnsi="宋体" w:eastAsia="宋体" w:cs="宋体"/>
          <w:b w:val="0"/>
          <w:bCs w:val="0"/>
          <w:sz w:val="24"/>
          <w:szCs w:val="24"/>
          <w:shd w:val="clear" w:color="auto" w:fill="ffffff"/>
          <w:lang w:val="en-US"/>
        </w:rPr>
        <w:suppressLineNumbers w:val="0"/>
      </w:pPr>
      <w:r>
        <w:rPr>
          <w:rFonts w:hint="eastAsia" w:ascii="宋体" w:hAnsi="宋体" w:eastAsia="宋体" w:cs="宋体"/>
          <w:b/>
          <w:bCs/>
          <w:sz w:val="24"/>
          <w:szCs w:val="24"/>
          <w:shd w:val="clear" w:color="auto" w:fill="ffffff"/>
          <w:lang w:val="en-US" w:eastAsia="zh-CN" w:bidi="ar"/>
        </w:rPr>
        <w:t xml:space="preserve">（2）建立健全运维管理制度，确保系统安全稳定运行，严格遵守国家网络安全与数据保护法律法规，对在运维服务过程中接触、知悉的所有政务数据承担保密义务，不得擅自复制、存储、传输、使用或向第三方披露，严禁利用运维权限非法获取、篡改或泄露数据。</w:t>
      </w:r>
      <w:r/>
    </w:p>
    <w:p>
      <w:pPr>
        <w:ind w:left="0" w:right="0" w:firstLine="482"/>
        <w:jc w:val="left"/>
        <w:keepLines w:val="0"/>
        <w:keepNext w:val="0"/>
        <w:spacing w:before="0" w:beforeAutospacing="0" w:after="0" w:afterAutospacing="0" w:line="360" w:lineRule="auto"/>
        <w:shd w:val="clear" w:color="auto" w:fill="ffffff"/>
        <w:widowControl/>
        <w:rPr>
          <w:rFonts w:hint="eastAsia" w:ascii="宋体" w:hAnsi="宋体" w:eastAsia="宋体" w:cs="宋体"/>
          <w:b w:val="0"/>
          <w:bCs w:val="0"/>
          <w:sz w:val="24"/>
          <w:szCs w:val="24"/>
          <w:shd w:val="clear" w:color="auto" w:fill="ffffff"/>
          <w:lang w:val="en-US"/>
        </w:rPr>
        <w:suppressLineNumbers w:val="0"/>
      </w:pPr>
      <w:r>
        <w:rPr>
          <w:rFonts w:hint="eastAsia" w:ascii="宋体" w:hAnsi="宋体" w:eastAsia="宋体" w:cs="宋体"/>
          <w:b/>
          <w:bCs/>
          <w:sz w:val="24"/>
          <w:szCs w:val="24"/>
          <w:shd w:val="clear" w:color="auto" w:fill="ffffff"/>
          <w:lang w:val="en-US" w:eastAsia="zh-CN" w:bidi="ar"/>
        </w:rPr>
        <w:t xml:space="preserve">（3）对丙方人员进行必要培训。</w:t>
      </w:r>
      <w:r/>
    </w:p>
    <w:p>
      <w:pPr>
        <w:ind w:left="0" w:right="0" w:firstLine="482"/>
        <w:jc w:val="left"/>
        <w:keepLines w:val="0"/>
        <w:keepNext w:val="0"/>
        <w:spacing w:before="0" w:beforeAutospacing="0" w:after="0" w:afterAutospacing="0" w:line="360" w:lineRule="auto"/>
        <w:shd w:val="clear" w:color="auto" w:fill="ffffff"/>
        <w:widowControl/>
        <w:rPr>
          <w:rFonts w:hint="eastAsia" w:ascii="宋体" w:hAnsi="宋体" w:eastAsia="宋体" w:cs="宋体"/>
          <w:b w:val="0"/>
          <w:bCs w:val="0"/>
          <w:sz w:val="24"/>
          <w:szCs w:val="24"/>
          <w:shd w:val="clear" w:color="auto" w:fill="ffffff"/>
          <w:lang w:val="en-US"/>
        </w:rPr>
        <w:suppressLineNumbers w:val="0"/>
      </w:pPr>
      <w:r>
        <w:rPr>
          <w:rFonts w:hint="eastAsia" w:ascii="宋体" w:hAnsi="宋体" w:eastAsia="宋体" w:cs="宋体"/>
          <w:b/>
          <w:bCs/>
          <w:sz w:val="24"/>
          <w:szCs w:val="24"/>
          <w:shd w:val="clear" w:color="auto" w:fill="ffffff"/>
          <w:lang w:val="en-US" w:eastAsia="zh-CN" w:bidi="ar"/>
        </w:rPr>
        <w:t xml:space="preserve">（4）及时响应丙方服务请求，按规定时间处理故障与问题。</w:t>
      </w:r>
      <w:r/>
    </w:p>
    <w:p>
      <w:pPr>
        <w:ind w:left="0" w:right="0" w:firstLine="482"/>
        <w:jc w:val="left"/>
        <w:keepLines w:val="0"/>
        <w:keepNext w:val="0"/>
        <w:spacing w:before="0" w:beforeAutospacing="0" w:after="0" w:afterAutospacing="0" w:line="360" w:lineRule="auto"/>
        <w:shd w:val="clear" w:color="auto" w:fill="ffffff"/>
        <w:widowControl/>
        <w:rPr>
          <w:rFonts w:hint="eastAsia" w:ascii="宋体" w:hAnsi="宋体" w:eastAsia="宋体" w:cs="宋体"/>
          <w:b w:val="0"/>
          <w:bCs w:val="0"/>
          <w:sz w:val="24"/>
          <w:szCs w:val="24"/>
          <w:shd w:val="clear" w:color="auto" w:fill="ffffff"/>
          <w:lang w:val="en-US"/>
        </w:rPr>
        <w:suppressLineNumbers w:val="0"/>
      </w:pPr>
      <w:r>
        <w:rPr>
          <w:rFonts w:hint="eastAsia" w:ascii="宋体" w:hAnsi="宋体" w:eastAsia="宋体" w:cs="宋体"/>
          <w:b/>
          <w:bCs/>
          <w:sz w:val="24"/>
          <w:szCs w:val="24"/>
          <w:shd w:val="clear" w:color="auto" w:fill="ffffff"/>
          <w:lang w:val="en-US" w:eastAsia="zh-CN" w:bidi="ar"/>
        </w:rPr>
        <w:t xml:space="preserve">（5）定期向甲方和丙方汇报运维工作进展与成果。</w:t>
      </w:r>
      <w:r/>
    </w:p>
    <w:p>
      <w:pPr>
        <w:ind w:left="0" w:right="0" w:firstLine="482"/>
        <w:jc w:val="left"/>
        <w:keepLines w:val="0"/>
        <w:keepNext w:val="0"/>
        <w:spacing w:before="0" w:beforeAutospacing="0" w:after="0" w:afterAutospacing="0" w:line="360" w:lineRule="auto"/>
        <w:shd w:val="clear" w:color="auto" w:fill="ffffff"/>
        <w:widowControl/>
        <w:rPr>
          <w:rFonts w:hint="eastAsia" w:ascii="宋体" w:hAnsi="宋体" w:eastAsia="宋体" w:cs="宋体"/>
          <w:b w:val="0"/>
          <w:bCs w:val="0"/>
          <w:sz w:val="24"/>
          <w:szCs w:val="24"/>
          <w:shd w:val="clear" w:color="auto" w:fill="ffffff"/>
          <w:lang w:val="en-US"/>
        </w:rPr>
        <w:suppressLineNumbers w:val="0"/>
      </w:pPr>
      <w:r>
        <w:rPr>
          <w:rFonts w:hint="eastAsia" w:ascii="宋体" w:hAnsi="宋体" w:eastAsia="宋体" w:cs="宋体"/>
          <w:b/>
          <w:bCs/>
          <w:sz w:val="24"/>
          <w:szCs w:val="24"/>
          <w:shd w:val="clear" w:color="auto" w:fill="ffffff"/>
          <w:lang w:val="en-US" w:eastAsia="zh-CN" w:bidi="ar"/>
        </w:rPr>
        <w:t xml:space="preserve">（6）在运维服务过程中，如遇到任何可能影响服务质量和系统运行的情况，乙方应立即启动应急预案，采取有效措施进行处理，并确保系统的尽快恢复和正常运行。</w:t>
      </w:r>
      <w:r/>
    </w:p>
    <w:p>
      <w:pPr>
        <w:ind w:left="0" w:right="0" w:firstLine="482"/>
        <w:jc w:val="left"/>
        <w:keepLines w:val="0"/>
        <w:keepNext w:val="0"/>
        <w:spacing w:before="0" w:beforeAutospacing="0" w:after="0" w:afterAutospacing="0" w:line="360" w:lineRule="auto"/>
        <w:shd w:val="clear" w:color="auto" w:fill="ffffff"/>
        <w:widowControl/>
        <w:rPr>
          <w:rFonts w:hint="eastAsia" w:ascii="宋体" w:hAnsi="宋体" w:eastAsia="宋体" w:cs="宋体"/>
          <w:b w:val="0"/>
          <w:bCs w:val="0"/>
          <w:sz w:val="24"/>
          <w:szCs w:val="24"/>
          <w:shd w:val="clear" w:color="auto" w:fill="ffffff"/>
          <w:lang w:val="en-US"/>
        </w:rPr>
        <w:suppressLineNumbers w:val="0"/>
      </w:pPr>
      <w:r>
        <w:rPr>
          <w:rFonts w:hint="eastAsia" w:ascii="宋体" w:hAnsi="宋体" w:eastAsia="宋体" w:cs="宋体"/>
          <w:b/>
          <w:bCs/>
          <w:sz w:val="24"/>
          <w:szCs w:val="24"/>
          <w:shd w:val="clear" w:color="auto" w:fill="ffffff"/>
          <w:lang w:val="en-US" w:eastAsia="zh-CN" w:bidi="ar"/>
        </w:rPr>
        <w:t xml:space="preserve">（7）若因乙方原因导致的任何问题，乙方应承担由此产生的全部法律责任及经济损失（包括但不限于行政罚款、第三方索赔等），并负责及时修复和恢复。</w:t>
      </w:r>
      <w:r/>
    </w:p>
    <w:p>
      <w:pPr>
        <w:ind w:left="0" w:right="0" w:firstLine="482"/>
        <w:jc w:val="left"/>
        <w:keepLines w:val="0"/>
        <w:keepNext w:val="0"/>
        <w:spacing w:before="0" w:beforeAutospacing="0" w:after="0" w:afterAutospacing="0" w:line="360" w:lineRule="auto"/>
        <w:shd w:val="clear" w:color="auto" w:fill="ffffff"/>
        <w:widowControl/>
        <w:rPr>
          <w:rFonts w:hint="eastAsia" w:ascii="宋体" w:hAnsi="宋体" w:eastAsia="宋体" w:cs="宋体"/>
          <w:b w:val="0"/>
          <w:bCs w:val="0"/>
          <w:sz w:val="24"/>
          <w:szCs w:val="24"/>
          <w:shd w:val="clear" w:color="auto" w:fill="ffffff"/>
          <w:lang w:val="en-US"/>
        </w:rPr>
        <w:suppressLineNumbers w:val="0"/>
      </w:pPr>
      <w:r>
        <w:rPr>
          <w:rFonts w:hint="eastAsia" w:ascii="宋体" w:hAnsi="宋体" w:eastAsia="宋体" w:cs="宋体"/>
          <w:b/>
          <w:bCs/>
          <w:sz w:val="24"/>
          <w:szCs w:val="24"/>
          <w:shd w:val="clear" w:color="auto" w:fill="ffffff"/>
          <w:lang w:val="en-US" w:eastAsia="zh-CN" w:bidi="ar"/>
        </w:rPr>
        <w:t xml:space="preserve">（8）完成招标文件规定的以及乙方投标文件承诺的其他要求。</w:t>
      </w:r>
      <w:r/>
    </w:p>
    <w:p>
      <w:pPr>
        <w:ind w:left="0" w:right="0" w:firstLine="482"/>
        <w:jc w:val="left"/>
        <w:keepLines w:val="0"/>
        <w:keepNext w:val="0"/>
        <w:spacing w:before="0" w:beforeAutospacing="0" w:after="0" w:afterAutospacing="0" w:line="360" w:lineRule="auto"/>
        <w:shd w:val="clear" w:color="auto" w:fill="ffffff"/>
        <w:widowControl/>
        <w:rPr>
          <w:rFonts w:hint="eastAsia" w:ascii="宋体" w:hAnsi="宋体" w:eastAsia="宋体" w:cs="宋体"/>
          <w:b w:val="0"/>
          <w:bCs w:val="0"/>
          <w:sz w:val="24"/>
          <w:szCs w:val="24"/>
          <w:shd w:val="clear" w:color="auto" w:fill="ffffff"/>
          <w:lang w:val="en-US"/>
        </w:rPr>
        <w:suppressLineNumbers w:val="0"/>
      </w:pPr>
      <w:r>
        <w:rPr>
          <w:rFonts w:hint="eastAsia" w:ascii="宋体" w:hAnsi="宋体" w:eastAsia="宋体" w:cs="宋体"/>
          <w:b/>
          <w:bCs/>
          <w:sz w:val="24"/>
          <w:szCs w:val="24"/>
          <w:shd w:val="clear" w:color="auto" w:fill="ffffff"/>
          <w:lang w:val="en-US" w:eastAsia="zh-CN" w:bidi="ar"/>
        </w:rPr>
        <w:t xml:space="preserve">（三）丙方责任</w:t>
      </w:r>
      <w:r/>
    </w:p>
    <w:p>
      <w:pPr>
        <w:ind w:left="0" w:right="0" w:firstLine="482"/>
        <w:jc w:val="left"/>
        <w:keepLines w:val="0"/>
        <w:keepNext w:val="0"/>
        <w:spacing w:before="0" w:beforeAutospacing="0" w:after="0" w:afterAutospacing="0" w:line="360" w:lineRule="auto"/>
        <w:shd w:val="clear" w:color="auto" w:fill="ffffff"/>
        <w:widowControl/>
        <w:rPr>
          <w:rFonts w:hint="eastAsia" w:ascii="宋体" w:hAnsi="宋体" w:eastAsia="宋体" w:cs="宋体"/>
          <w:b w:val="0"/>
          <w:bCs w:val="0"/>
          <w:sz w:val="24"/>
          <w:szCs w:val="24"/>
          <w:shd w:val="clear" w:color="auto" w:fill="ffffff"/>
          <w:lang w:val="en-US"/>
        </w:rPr>
        <w:suppressLineNumbers w:val="0"/>
      </w:pPr>
      <w:r>
        <w:rPr>
          <w:rFonts w:hint="eastAsia" w:ascii="宋体" w:hAnsi="宋体" w:eastAsia="宋体" w:cs="宋体"/>
          <w:b/>
          <w:bCs/>
          <w:sz w:val="24"/>
          <w:szCs w:val="24"/>
          <w:shd w:val="clear" w:color="auto" w:fill="ffffff"/>
          <w:lang w:val="en-US" w:eastAsia="zh-CN" w:bidi="ar"/>
        </w:rPr>
        <w:t xml:space="preserve">（1）负责运维项目中本部门服务内容的实施管理工作，落实政务信息化项目的资产管理、数据共享、运行管理、网络安全等业务主体责任。</w:t>
      </w:r>
      <w:r/>
    </w:p>
    <w:p>
      <w:pPr>
        <w:ind w:left="0" w:right="0" w:firstLine="482"/>
        <w:jc w:val="left"/>
        <w:keepLines w:val="0"/>
        <w:keepNext w:val="0"/>
        <w:spacing w:before="0" w:beforeAutospacing="0" w:after="0" w:afterAutospacing="0" w:line="360" w:lineRule="auto"/>
        <w:shd w:val="clear" w:color="auto" w:fill="ffffff"/>
        <w:widowControl/>
        <w:rPr>
          <w:rFonts w:hint="eastAsia" w:ascii="宋体" w:hAnsi="宋体" w:eastAsia="宋体" w:cs="宋体"/>
          <w:b w:val="0"/>
          <w:bCs w:val="0"/>
          <w:sz w:val="24"/>
          <w:szCs w:val="24"/>
          <w:shd w:val="clear" w:color="auto" w:fill="ffffff"/>
          <w:lang w:val="en-US"/>
        </w:rPr>
        <w:suppressLineNumbers w:val="0"/>
      </w:pPr>
      <w:r>
        <w:rPr>
          <w:rFonts w:hint="eastAsia" w:ascii="宋体" w:hAnsi="宋体" w:eastAsia="宋体" w:cs="宋体"/>
          <w:b/>
          <w:bCs/>
          <w:sz w:val="24"/>
          <w:szCs w:val="24"/>
          <w:shd w:val="clear" w:color="auto" w:fill="ffffff"/>
          <w:lang w:val="en-US" w:eastAsia="zh-CN" w:bidi="ar"/>
        </w:rPr>
        <w:t xml:space="preserve">（2）配合乙方开展运维工作，提供必要工作条件与支持。</w:t>
      </w:r>
      <w:r/>
    </w:p>
    <w:p>
      <w:pPr>
        <w:ind w:left="0" w:right="0" w:firstLine="482"/>
        <w:jc w:val="left"/>
        <w:keepLines w:val="0"/>
        <w:keepNext w:val="0"/>
        <w:spacing w:before="0" w:beforeAutospacing="0" w:after="0" w:afterAutospacing="0" w:line="360" w:lineRule="auto"/>
        <w:shd w:val="clear" w:color="auto" w:fill="ffffff"/>
        <w:widowControl/>
        <w:rPr>
          <w:rFonts w:hint="eastAsia" w:ascii="宋体" w:hAnsi="宋体" w:eastAsia="宋体" w:cs="宋体"/>
          <w:b w:val="0"/>
          <w:bCs w:val="0"/>
          <w:sz w:val="24"/>
          <w:szCs w:val="24"/>
          <w:shd w:val="clear" w:color="auto" w:fill="ffffff"/>
          <w:lang w:val="en-US"/>
        </w:rPr>
        <w:suppressLineNumbers w:val="0"/>
      </w:pPr>
      <w:r>
        <w:rPr>
          <w:rFonts w:hint="eastAsia" w:ascii="宋体" w:hAnsi="宋体" w:eastAsia="宋体" w:cs="宋体"/>
          <w:b/>
          <w:bCs/>
          <w:sz w:val="24"/>
          <w:szCs w:val="24"/>
          <w:shd w:val="clear" w:color="auto" w:fill="ffffff"/>
          <w:lang w:val="en-US" w:eastAsia="zh-CN" w:bidi="ar"/>
        </w:rPr>
        <w:t xml:space="preserve">（3）及时反馈系统使用过程中出现的问题与需求。</w:t>
      </w:r>
      <w:r/>
    </w:p>
    <w:p>
      <w:pPr>
        <w:ind w:left="0" w:right="0" w:firstLine="482"/>
        <w:jc w:val="left"/>
        <w:keepLines w:val="0"/>
        <w:keepNext w:val="0"/>
        <w:spacing w:before="0" w:beforeAutospacing="0" w:after="0" w:afterAutospacing="0" w:line="360" w:lineRule="auto"/>
        <w:shd w:val="clear" w:color="auto" w:fill="ffffff"/>
        <w:widowControl/>
        <w:rPr>
          <w:rFonts w:hint="eastAsia" w:ascii="宋体" w:hAnsi="宋体" w:eastAsia="宋体" w:cs="宋体"/>
          <w:b w:val="0"/>
          <w:bCs w:val="0"/>
          <w:sz w:val="24"/>
          <w:szCs w:val="24"/>
          <w:shd w:val="clear" w:color="auto" w:fill="ffffff"/>
          <w:lang w:val="en-US"/>
        </w:rPr>
        <w:suppressLineNumbers w:val="0"/>
      </w:pPr>
      <w:r>
        <w:rPr>
          <w:rFonts w:hint="eastAsia" w:ascii="宋体" w:hAnsi="宋体" w:eastAsia="宋体" w:cs="宋体"/>
          <w:b/>
          <w:bCs/>
          <w:sz w:val="24"/>
          <w:szCs w:val="24"/>
          <w:shd w:val="clear" w:color="auto" w:fill="ffffff"/>
          <w:lang w:val="en-US" w:eastAsia="zh-CN" w:bidi="ar"/>
        </w:rPr>
        <w:t xml:space="preserve">（4）与甲方共同对乙方运维服务质量考核评估，考核标准及附表见附件。</w:t>
      </w:r>
      <w:r/>
    </w:p>
    <w:p>
      <w:pPr>
        <w:ind w:left="0" w:right="0" w:firstLine="482"/>
        <w:jc w:val="left"/>
        <w:keepLines w:val="0"/>
        <w:keepNext w:val="0"/>
        <w:spacing w:before="0" w:beforeAutospacing="0" w:after="0" w:afterAutospacing="0" w:line="360" w:lineRule="auto"/>
        <w:shd w:val="clear" w:color="auto" w:fill="ffffff"/>
        <w:widowControl/>
        <w:rPr>
          <w:rFonts w:hint="eastAsia" w:ascii="宋体" w:hAnsi="宋体" w:eastAsia="宋体" w:cs="宋体"/>
          <w:b w:val="0"/>
          <w:bCs w:val="0"/>
          <w:sz w:val="24"/>
          <w:szCs w:val="24"/>
          <w:shd w:val="clear" w:color="auto" w:fill="ffffff"/>
          <w:lang w:val="en-US"/>
        </w:rPr>
        <w:suppressLineNumbers w:val="0"/>
      </w:pPr>
      <w:r>
        <w:rPr>
          <w:rFonts w:hint="eastAsia" w:ascii="宋体" w:hAnsi="宋体" w:eastAsia="宋体" w:cs="宋体"/>
          <w:b/>
          <w:bCs/>
          <w:sz w:val="24"/>
          <w:szCs w:val="24"/>
          <w:shd w:val="clear" w:color="auto" w:fill="ffffff"/>
          <w:lang w:val="en-US" w:eastAsia="zh-CN" w:bidi="ar"/>
        </w:rPr>
        <w:t xml:space="preserve">（5）如遇到任何可能影响服务质量和系统运行的情况，丙方应牵头组织调查，协助乙方进行处理，并根据具体情况确定责任方。</w:t>
      </w:r>
      <w:r/>
    </w:p>
    <w:p>
      <w:pPr>
        <w:pStyle w:val="799"/>
        <w:ind w:left="0"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sz w:val="24"/>
          <w:szCs w:val="24"/>
          <w:shd w:val="clear" w:color="auto" w:fill="ffffff"/>
          <w:lang w:val="en-US"/>
        </w:rPr>
        <w:outlineLvl w:val="0"/>
        <w:suppressLineNumbers w:val="0"/>
      </w:pPr>
      <w:r>
        <w:rPr>
          <w:rFonts w:hint="eastAsia" w:ascii="宋体" w:hAnsi="宋体" w:eastAsia="宋体" w:cs="宋体"/>
          <w:sz w:val="24"/>
          <w:szCs w:val="24"/>
          <w:shd w:val="clear" w:color="auto" w:fill="ffffff"/>
          <w:lang w:val="en-US" w:eastAsia="zh-CN" w:bidi="ar"/>
        </w:rPr>
        <w:t xml:space="preserve">五、争议解决</w:t>
      </w:r>
      <w:r/>
    </w:p>
    <w:p>
      <w:pPr>
        <w:ind w:left="0" w:right="0" w:firstLine="482"/>
        <w:jc w:val="left"/>
        <w:keepLines w:val="0"/>
        <w:keepNext w:val="0"/>
        <w:spacing w:before="0" w:beforeAutospacing="0" w:after="0" w:afterAutospacing="0" w:line="360" w:lineRule="auto"/>
        <w:shd w:val="clear" w:color="auto" w:fill="ffffff"/>
        <w:widowControl/>
        <w:rPr>
          <w:rFonts w:hint="eastAsia" w:ascii="宋体" w:hAnsi="宋体" w:eastAsia="宋体" w:cs="宋体"/>
          <w:b w:val="0"/>
          <w:bCs w:val="0"/>
          <w:sz w:val="24"/>
          <w:szCs w:val="24"/>
          <w:shd w:val="clear" w:color="auto" w:fill="ffffff"/>
          <w:lang w:val="en-US"/>
        </w:rPr>
        <w:suppressLineNumbers w:val="0"/>
      </w:pPr>
      <w:r>
        <w:rPr>
          <w:rFonts w:hint="eastAsia" w:ascii="宋体" w:hAnsi="宋体" w:eastAsia="宋体" w:cs="宋体"/>
          <w:b/>
          <w:bCs/>
          <w:sz w:val="24"/>
          <w:szCs w:val="24"/>
          <w:shd w:val="clear" w:color="auto" w:fill="ffffff"/>
          <w:lang w:val="en-US" w:eastAsia="zh-CN" w:bidi="ar"/>
        </w:rPr>
        <w:t xml:space="preserve">因本协议引起的或与本协议有关的任何争议，各方应协商解决；协商不成的，任何一方均有权向甲方（无锡滨湖区数据局）所在地有管辖权的人民法院提起诉讼。</w:t>
      </w:r>
      <w:r/>
    </w:p>
    <w:p>
      <w:pPr>
        <w:ind w:left="0" w:right="0" w:firstLine="482"/>
        <w:jc w:val="left"/>
        <w:keepLines w:val="0"/>
        <w:keepNext w:val="0"/>
        <w:spacing w:before="0" w:beforeAutospacing="0" w:after="0" w:afterAutospacing="0" w:line="360" w:lineRule="auto"/>
        <w:shd w:val="clear" w:color="auto" w:fill="ffffff"/>
        <w:widowControl/>
        <w:rPr>
          <w:rFonts w:hint="eastAsia" w:ascii="宋体" w:hAnsi="宋体" w:eastAsia="宋体" w:cs="宋体"/>
          <w:b w:val="0"/>
          <w:bCs w:val="0"/>
          <w:sz w:val="24"/>
          <w:szCs w:val="24"/>
          <w:shd w:val="clear" w:color="auto" w:fill="ffffff"/>
          <w:lang w:val="en-US"/>
        </w:rPr>
        <w:suppressLineNumbers w:val="0"/>
      </w:pPr>
      <w:r>
        <w:rPr>
          <w:rFonts w:hint="eastAsia" w:ascii="宋体" w:hAnsi="宋体" w:eastAsia="宋体" w:cs="宋体"/>
          <w:b/>
          <w:bCs/>
          <w:sz w:val="24"/>
          <w:szCs w:val="24"/>
          <w:shd w:val="clear" w:color="auto" w:fill="ffffff"/>
          <w:lang w:val="en-US" w:eastAsia="zh-CN" w:bidi="ar"/>
        </w:rPr>
        <w:t xml:space="preserve">本协议一式六份，甲、乙、丙三方各执两份，有效期与项目服务期相同。本协议为采购合同的组成部分。</w:t>
      </w:r>
      <w:r/>
    </w:p>
    <w:p>
      <w:pPr>
        <w:ind w:left="0" w:right="0" w:firstLine="482"/>
        <w:jc w:val="left"/>
        <w:keepLines w:val="0"/>
        <w:keepNext w:val="0"/>
        <w:spacing w:before="0" w:beforeAutospacing="0" w:after="0" w:afterAutospacing="0" w:line="360" w:lineRule="auto"/>
        <w:shd w:val="clear" w:color="auto" w:fill="ffffff"/>
        <w:widowControl/>
        <w:rPr>
          <w:rFonts w:hint="eastAsia" w:ascii="宋体" w:hAnsi="宋体" w:eastAsia="宋体" w:cs="宋体"/>
          <w:sz w:val="24"/>
          <w:szCs w:val="24"/>
          <w:shd w:val="clear" w:color="auto" w:fill="ffffff"/>
          <w:lang w:val="en-US"/>
        </w:rPr>
        <w:suppressLineNumbers w:val="0"/>
      </w:pPr>
      <w:r>
        <w:rPr>
          <w:rFonts w:hint="eastAsia" w:ascii="宋体" w:hAnsi="宋体" w:eastAsia="宋体" w:cs="宋体"/>
          <w:sz w:val="24"/>
          <w:szCs w:val="24"/>
          <w:shd w:val="clear" w:color="auto" w:fill="ffffff"/>
          <w:lang w:val="en-US"/>
        </w:rPr>
      </w:r>
      <w:r/>
    </w:p>
    <w:p>
      <w:pPr>
        <w:ind w:left="0" w:right="0" w:firstLine="482"/>
        <w:jc w:val="left"/>
        <w:keepLines w:val="0"/>
        <w:keepNext w:val="0"/>
        <w:spacing w:before="0" w:beforeAutospacing="0" w:after="0" w:afterAutospacing="0" w:line="360" w:lineRule="auto"/>
        <w:shd w:val="clear" w:color="auto" w:fill="ffffff"/>
        <w:widowControl/>
        <w:rPr>
          <w:rFonts w:hint="eastAsia" w:ascii="宋体" w:hAnsi="宋体" w:eastAsia="宋体" w:cs="宋体"/>
          <w:sz w:val="24"/>
          <w:szCs w:val="24"/>
          <w:shd w:val="clear" w:color="auto" w:fill="ffffff"/>
          <w:lang w:val="en-US"/>
        </w:rPr>
        <w:suppressLineNumbers w:val="0"/>
      </w:pPr>
      <w:r>
        <w:rPr>
          <w:rFonts w:hint="eastAsia" w:ascii="宋体" w:hAnsi="宋体" w:eastAsia="宋体" w:cs="宋体"/>
          <w:sz w:val="24"/>
          <w:szCs w:val="24"/>
          <w:shd w:val="clear" w:color="auto" w:fill="ffffff"/>
          <w:lang w:val="en-US" w:eastAsia="zh-CN" w:bidi="ar"/>
        </w:rPr>
        <w:t xml:space="preserve">甲方（盖章）：无锡市滨湖区数据局</w:t>
      </w:r>
      <w:r/>
    </w:p>
    <w:p>
      <w:pPr>
        <w:ind w:left="0" w:right="0" w:firstLine="482"/>
        <w:jc w:val="left"/>
        <w:keepLines w:val="0"/>
        <w:keepNext w:val="0"/>
        <w:spacing w:before="0" w:beforeAutospacing="0" w:after="0" w:afterAutospacing="0" w:line="360" w:lineRule="auto"/>
        <w:shd w:val="clear" w:color="auto" w:fill="ffffff"/>
        <w:widowControl/>
        <w:rPr>
          <w:rFonts w:hint="eastAsia" w:ascii="宋体" w:hAnsi="宋体" w:eastAsia="宋体" w:cs="宋体"/>
          <w:sz w:val="24"/>
          <w:szCs w:val="24"/>
          <w:shd w:val="clear" w:color="auto" w:fill="ffffff"/>
          <w:lang w:val="en-US"/>
        </w:rPr>
        <w:suppressLineNumbers w:val="0"/>
      </w:pPr>
      <w:r>
        <w:rPr>
          <w:rFonts w:hint="eastAsia" w:ascii="宋体" w:hAnsi="宋体" w:eastAsia="宋体" w:cs="宋体"/>
          <w:sz w:val="24"/>
          <w:szCs w:val="24"/>
          <w:shd w:val="clear" w:color="auto" w:fill="ffffff"/>
          <w:lang w:val="en-US" w:eastAsia="zh-CN" w:bidi="ar"/>
        </w:rPr>
        <w:t xml:space="preserve">签订日期：</w:t>
      </w:r>
      <w:r/>
    </w:p>
    <w:p>
      <w:pPr>
        <w:ind w:left="0" w:right="0" w:firstLine="482"/>
        <w:jc w:val="left"/>
        <w:keepLines w:val="0"/>
        <w:keepNext w:val="0"/>
        <w:spacing w:before="0" w:beforeAutospacing="0" w:after="0" w:afterAutospacing="0" w:line="360" w:lineRule="auto"/>
        <w:shd w:val="clear" w:color="auto" w:fill="ffffff"/>
        <w:widowControl/>
        <w:rPr>
          <w:rFonts w:hint="eastAsia" w:ascii="宋体" w:hAnsi="宋体" w:eastAsia="宋体" w:cs="宋体"/>
          <w:sz w:val="24"/>
          <w:szCs w:val="24"/>
          <w:shd w:val="clear" w:color="auto" w:fill="ffffff"/>
          <w:lang w:val="en-US"/>
        </w:rPr>
        <w:suppressLineNumbers w:val="0"/>
      </w:pPr>
      <w:r>
        <w:rPr>
          <w:rFonts w:hint="eastAsia" w:ascii="宋体" w:hAnsi="宋体" w:eastAsia="宋体" w:cs="宋体"/>
          <w:sz w:val="24"/>
          <w:szCs w:val="24"/>
          <w:shd w:val="clear" w:color="auto" w:fill="ffffff"/>
          <w:lang w:val="en-US"/>
        </w:rPr>
      </w:r>
      <w:r/>
    </w:p>
    <w:p>
      <w:pPr>
        <w:ind w:left="0" w:right="0" w:firstLine="482"/>
        <w:jc w:val="left"/>
        <w:keepLines w:val="0"/>
        <w:keepNext w:val="0"/>
        <w:spacing w:before="0" w:beforeAutospacing="0" w:after="0" w:afterAutospacing="0" w:line="360" w:lineRule="auto"/>
        <w:shd w:val="clear" w:color="auto" w:fill="ffffff"/>
        <w:widowControl/>
        <w:rPr>
          <w:rFonts w:hint="eastAsia" w:ascii="宋体" w:hAnsi="宋体" w:eastAsia="宋体" w:cs="宋体"/>
          <w:sz w:val="24"/>
          <w:szCs w:val="24"/>
          <w:shd w:val="clear" w:color="auto" w:fill="ffffff"/>
          <w:lang w:val="en-US"/>
        </w:rPr>
        <w:suppressLineNumbers w:val="0"/>
      </w:pPr>
      <w:r>
        <w:rPr>
          <w:rFonts w:hint="eastAsia" w:ascii="宋体" w:hAnsi="宋体" w:eastAsia="宋体" w:cs="宋体"/>
          <w:sz w:val="24"/>
          <w:szCs w:val="24"/>
          <w:shd w:val="clear" w:color="auto" w:fill="ffffff"/>
          <w:lang w:val="en-US" w:eastAsia="zh-CN" w:bidi="ar"/>
        </w:rPr>
        <w:t xml:space="preserve">乙方（盖章）：</w:t>
      </w:r>
      <w:r/>
    </w:p>
    <w:p>
      <w:pPr>
        <w:ind w:left="0" w:right="0" w:firstLine="482"/>
        <w:jc w:val="left"/>
        <w:keepLines w:val="0"/>
        <w:keepNext w:val="0"/>
        <w:spacing w:before="0" w:beforeAutospacing="0" w:after="0" w:afterAutospacing="0" w:line="360" w:lineRule="auto"/>
        <w:shd w:val="clear" w:color="auto" w:fill="ffffff"/>
        <w:widowControl/>
        <w:rPr>
          <w:rFonts w:hint="eastAsia" w:ascii="宋体" w:hAnsi="宋体" w:eastAsia="宋体" w:cs="宋体"/>
          <w:sz w:val="24"/>
          <w:szCs w:val="24"/>
          <w:shd w:val="clear" w:color="auto" w:fill="ffffff"/>
          <w:lang w:val="en-US"/>
        </w:rPr>
        <w:suppressLineNumbers w:val="0"/>
      </w:pPr>
      <w:r>
        <w:rPr>
          <w:rFonts w:hint="eastAsia" w:ascii="宋体" w:hAnsi="宋体" w:eastAsia="宋体" w:cs="宋体"/>
          <w:sz w:val="24"/>
          <w:szCs w:val="24"/>
          <w:shd w:val="clear" w:color="auto" w:fill="ffffff"/>
          <w:lang w:val="en-US" w:eastAsia="zh-CN" w:bidi="ar"/>
        </w:rPr>
        <w:t xml:space="preserve">签订日期：</w:t>
      </w:r>
      <w:r/>
    </w:p>
    <w:p>
      <w:pPr>
        <w:ind w:left="0" w:right="0" w:firstLine="482"/>
        <w:jc w:val="left"/>
        <w:keepLines w:val="0"/>
        <w:keepNext w:val="0"/>
        <w:spacing w:before="0" w:beforeAutospacing="0" w:after="0" w:afterAutospacing="0" w:line="360" w:lineRule="auto"/>
        <w:shd w:val="clear" w:color="auto" w:fill="ffffff"/>
        <w:widowControl/>
        <w:rPr>
          <w:rFonts w:hint="eastAsia" w:ascii="宋体" w:hAnsi="宋体" w:eastAsia="宋体" w:cs="宋体"/>
          <w:sz w:val="24"/>
          <w:szCs w:val="24"/>
          <w:shd w:val="clear" w:color="auto" w:fill="ffffff"/>
          <w:lang w:val="en-US"/>
        </w:rPr>
        <w:suppressLineNumbers w:val="0"/>
      </w:pPr>
      <w:r>
        <w:rPr>
          <w:rFonts w:hint="eastAsia" w:ascii="宋体" w:hAnsi="宋体" w:eastAsia="宋体" w:cs="宋体"/>
          <w:sz w:val="24"/>
          <w:szCs w:val="24"/>
          <w:shd w:val="clear" w:color="auto" w:fill="ffffff"/>
          <w:lang w:val="en-US"/>
        </w:rPr>
      </w:r>
      <w:r/>
    </w:p>
    <w:p>
      <w:pPr>
        <w:ind w:left="0" w:right="0" w:firstLine="482"/>
        <w:jc w:val="left"/>
        <w:keepLines w:val="0"/>
        <w:keepNext w:val="0"/>
        <w:spacing w:before="0" w:beforeAutospacing="0" w:after="0" w:afterAutospacing="0" w:line="360" w:lineRule="auto"/>
        <w:shd w:val="clear" w:color="auto" w:fill="ffffff"/>
        <w:widowControl/>
        <w:rPr>
          <w:rFonts w:hint="eastAsia" w:ascii="宋体" w:hAnsi="宋体" w:eastAsia="宋体" w:cs="宋体"/>
          <w:sz w:val="24"/>
          <w:szCs w:val="24"/>
          <w:shd w:val="clear" w:color="auto" w:fill="ffffff"/>
          <w:lang w:val="en-US"/>
        </w:rPr>
        <w:suppressLineNumbers w:val="0"/>
      </w:pPr>
      <w:r>
        <w:rPr>
          <w:rFonts w:hint="eastAsia" w:ascii="宋体" w:hAnsi="宋体" w:eastAsia="宋体" w:cs="宋体"/>
          <w:sz w:val="24"/>
          <w:szCs w:val="24"/>
          <w:shd w:val="clear" w:color="auto" w:fill="ffffff"/>
          <w:lang w:val="en-US" w:eastAsia="zh-CN" w:bidi="ar"/>
        </w:rPr>
        <w:t xml:space="preserve">丙方（盖章）：</w:t>
      </w:r>
      <w:r/>
    </w:p>
    <w:p>
      <w:pPr>
        <w:ind w:left="0" w:right="0" w:firstLine="482"/>
        <w:jc w:val="left"/>
        <w:keepLines w:val="0"/>
        <w:keepNext w:val="0"/>
        <w:spacing w:before="0" w:beforeAutospacing="0" w:after="0" w:afterAutospacing="0" w:line="360" w:lineRule="auto"/>
        <w:shd w:val="clear" w:color="auto" w:fill="ffffff"/>
        <w:widowControl/>
        <w:rPr>
          <w:rFonts w:hint="eastAsia" w:ascii="宋体" w:hAnsi="宋体" w:eastAsia="宋体" w:cs="宋体"/>
          <w:sz w:val="24"/>
          <w:szCs w:val="24"/>
          <w:shd w:val="clear" w:color="auto" w:fill="ffffff"/>
          <w:lang w:val="en-US"/>
        </w:rPr>
        <w:suppressLineNumbers w:val="0"/>
      </w:pPr>
      <w:r>
        <w:rPr>
          <w:rFonts w:hint="eastAsia" w:ascii="宋体" w:hAnsi="宋体" w:eastAsia="宋体" w:cs="宋体"/>
          <w:sz w:val="24"/>
          <w:szCs w:val="24"/>
          <w:shd w:val="clear" w:color="auto" w:fill="ffffff"/>
          <w:lang w:val="en-US" w:eastAsia="zh-CN" w:bidi="ar"/>
        </w:rPr>
        <w:t xml:space="preserve">签订日期：</w:t>
      </w:r>
      <w:r/>
    </w:p>
    <w:p>
      <w:pPr>
        <w:ind w:left="0" w:right="0" w:firstLine="482"/>
        <w:jc w:val="left"/>
        <w:keepLines w:val="0"/>
        <w:keepNext w:val="0"/>
        <w:spacing w:before="0" w:beforeAutospacing="0" w:after="0" w:afterAutospacing="0" w:line="360" w:lineRule="auto"/>
        <w:shd w:val="clear" w:color="auto" w:fill="ffffff"/>
        <w:widowControl/>
        <w:rPr>
          <w:rFonts w:hint="eastAsia" w:ascii="方正仿宋_GBK" w:hAnsi="方正仿宋_GBK" w:eastAsia="方正仿宋_GBK" w:cs="方正仿宋_GBK"/>
          <w:sz w:val="28"/>
          <w:szCs w:val="28"/>
          <w:shd w:val="clear" w:color="auto" w:fill="ffffff"/>
          <w:lang w:val="en-US"/>
        </w:rPr>
        <w:suppressLineNumbers w:val="0"/>
      </w:pPr>
      <w:r>
        <w:rPr>
          <w:rFonts w:hint="eastAsia" w:ascii="方正仿宋_GBK" w:hAnsi="方正仿宋_GBK" w:eastAsia="方正仿宋_GBK" w:cs="方正仿宋_GBK"/>
          <w:sz w:val="28"/>
          <w:szCs w:val="28"/>
          <w:shd w:val="clear" w:color="auto" w:fill="ffffff"/>
          <w:lang w:val="en-US"/>
        </w:rPr>
      </w:r>
      <w:r/>
    </w:p>
    <w:p>
      <w:pPr>
        <w:ind w:left="0" w:right="0" w:firstLine="482"/>
        <w:jc w:val="left"/>
        <w:keepLines w:val="0"/>
        <w:keepNext w:val="0"/>
        <w:spacing w:before="0" w:beforeAutospacing="0" w:after="0" w:afterAutospacing="0" w:line="360" w:lineRule="auto"/>
        <w:shd w:val="clear" w:color="auto" w:fill="ffffff"/>
        <w:widowControl/>
        <w:rPr>
          <w:rFonts w:hint="eastAsia" w:ascii="宋体" w:hAnsi="宋体" w:eastAsia="宋体" w:cs="宋体"/>
          <w:sz w:val="24"/>
          <w:szCs w:val="24"/>
          <w:shd w:val="clear" w:color="auto" w:fill="ffffff"/>
          <w:lang w:val="en-US"/>
        </w:rPr>
        <w:suppressLineNumbers w:val="0"/>
      </w:pPr>
      <w:r>
        <w:rPr>
          <w:rFonts w:hint="eastAsia" w:ascii="宋体" w:hAnsi="宋体" w:eastAsia="宋体" w:cs="宋体"/>
          <w:sz w:val="24"/>
          <w:szCs w:val="24"/>
          <w:shd w:val="clear" w:color="auto" w:fill="ffffff"/>
          <w:lang w:val="en-US" w:eastAsia="zh-CN" w:bidi="ar"/>
        </w:rPr>
        <w:t xml:space="preserve">附件：项目考核办法</w:t>
      </w:r>
      <w:r/>
    </w:p>
    <w:p>
      <w:pPr>
        <w:ind w:left="0" w:right="0" w:firstLine="482"/>
        <w:jc w:val="left"/>
        <w:keepLines w:val="0"/>
        <w:keepNext w:val="0"/>
        <w:spacing w:before="0" w:beforeAutospacing="0" w:after="0" w:afterAutospacing="0" w:line="360" w:lineRule="auto"/>
        <w:shd w:val="clear" w:color="auto" w:fill="ffffff"/>
        <w:widowControl/>
        <w:rPr>
          <w:rFonts w:hint="eastAsia" w:ascii="宋体" w:hAnsi="宋体" w:eastAsia="宋体" w:cs="宋体"/>
          <w:sz w:val="24"/>
          <w:szCs w:val="24"/>
          <w:shd w:val="clear" w:color="auto" w:fill="ffffff"/>
          <w:lang w:val="en-US"/>
        </w:rPr>
        <w:suppressLineNumbers w:val="0"/>
      </w:pPr>
      <w:r>
        <w:rPr>
          <w:rFonts w:hint="eastAsia" w:ascii="宋体" w:hAnsi="宋体" w:eastAsia="宋体" w:cs="宋体"/>
          <w:sz w:val="24"/>
          <w:szCs w:val="24"/>
          <w:shd w:val="clear" w:color="auto" w:fill="ffffff"/>
          <w:lang w:val="en-US" w:eastAsia="zh-CN" w:bidi="ar"/>
        </w:rPr>
        <w:t xml:space="preserve">结合项目实际情况制定考核办法。</w:t>
      </w:r>
      <w:r/>
    </w:p>
    <w:p>
      <w:pPr>
        <w:ind w:left="0" w:right="0" w:firstLine="482"/>
        <w:jc w:val="left"/>
        <w:keepLines w:val="0"/>
        <w:keepNext w:val="0"/>
        <w:spacing w:before="0" w:beforeAutospacing="0" w:after="0" w:afterAutospacing="0" w:line="360" w:lineRule="auto"/>
        <w:shd w:val="clear" w:color="auto" w:fill="ffffff"/>
        <w:widowControl/>
        <w:rPr>
          <w:rFonts w:hint="eastAsia" w:ascii="方正仿宋_GBK" w:hAnsi="方正仿宋_GBK" w:eastAsia="方正仿宋_GBK" w:cs="方正仿宋_GBK"/>
          <w:sz w:val="28"/>
          <w:szCs w:val="28"/>
          <w:shd w:val="clear" w:color="auto" w:fill="ffffff"/>
          <w:lang w:val="en-US"/>
        </w:rPr>
        <w:suppressLineNumbers w:val="0"/>
      </w:pPr>
      <w:r>
        <w:rPr>
          <w:rFonts w:hint="eastAsia" w:ascii="方正仿宋_GBK" w:hAnsi="方正仿宋_GBK" w:eastAsia="方正仿宋_GBK" w:cs="方正仿宋_GBK"/>
          <w:sz w:val="28"/>
          <w:szCs w:val="28"/>
          <w:shd w:val="clear" w:color="auto" w:fill="ffffff"/>
          <w:lang w:val="en-US"/>
        </w:rPr>
      </w:r>
      <w:r/>
    </w:p>
    <w:p>
      <w:pPr>
        <w:spacing w:line="360" w:lineRule="auto"/>
        <w:rPr>
          <w:rFonts w:hint="eastAsia" w:ascii="黑体" w:hAnsi="黑体" w:eastAsia="黑体"/>
          <w:color w:val="000000"/>
          <w:sz w:val="36"/>
          <w:szCs w:val="36"/>
          <w:highlight w:val="none"/>
        </w:rPr>
      </w:pPr>
      <w:r>
        <w:rPr>
          <w:rFonts w:hint="default" w:ascii="Times New Roman" w:hAnsi="Times New Roman" w:eastAsia="宋体" w:cs="Times New Roman"/>
          <w:color w:val="000000"/>
          <w:sz w:val="24"/>
          <w:szCs w:val="24"/>
          <w:lang w:val="en-US" w:eastAsia="zh-CN" w:bidi="ar"/>
        </w:rPr>
        <w:br w:type="page" w:clear="all"/>
      </w:r>
      <w:r/>
    </w:p>
    <w:p>
      <w:pPr>
        <w:ind w:firstLine="480"/>
        <w:jc w:val="center"/>
        <w:spacing w:line="360" w:lineRule="auto"/>
        <w:rPr>
          <w:rFonts w:hint="eastAsia" w:ascii="黑体" w:hAnsi="黑体" w:eastAsia="黑体"/>
          <w:color w:val="000000"/>
          <w:sz w:val="36"/>
          <w:szCs w:val="36"/>
          <w:highlight w:val="none"/>
        </w:rPr>
      </w:pPr>
      <w:r>
        <w:rPr>
          <w:rFonts w:hint="eastAsia" w:ascii="黑体" w:hAnsi="黑体" w:eastAsia="黑体"/>
          <w:color w:val="000000"/>
          <w:sz w:val="36"/>
          <w:szCs w:val="36"/>
          <w:highlight w:val="none"/>
        </w:rPr>
        <w:t xml:space="preserve">第</w:t>
      </w:r>
      <w:bookmarkEnd w:id="180"/>
      <w:r>
        <w:rPr>
          <w:rFonts w:hint="eastAsia" w:ascii="黑体" w:hAnsi="黑体" w:eastAsia="黑体"/>
          <w:color w:val="000000"/>
          <w:sz w:val="36"/>
          <w:szCs w:val="36"/>
          <w:highlight w:val="none"/>
        </w:rPr>
        <w:t xml:space="preserve">四章 采购需求</w:t>
      </w:r>
      <w:bookmarkEnd w:id="181"/>
      <w:r/>
      <w:bookmarkEnd w:id="182"/>
      <w:r/>
      <w:bookmarkEnd w:id="183"/>
      <w:r/>
      <w:r/>
    </w:p>
    <w:p>
      <w:pPr>
        <w:ind w:firstLine="480"/>
        <w:jc w:val="center"/>
        <w:spacing w:line="360" w:lineRule="auto"/>
        <w:rPr>
          <w:rFonts w:hint="eastAsia" w:ascii="黑体" w:hAnsi="黑体" w:eastAsia="黑体"/>
          <w:color w:val="000000"/>
          <w:sz w:val="36"/>
          <w:szCs w:val="36"/>
          <w:highlight w:val="none"/>
        </w:rPr>
      </w:pPr>
      <w:r>
        <w:rPr>
          <w:rFonts w:hint="eastAsia" w:ascii="黑体" w:hAnsi="黑体" w:eastAsia="黑体"/>
          <w:color w:val="000000"/>
          <w:sz w:val="36"/>
          <w:szCs w:val="36"/>
          <w:highlight w:val="none"/>
        </w:rPr>
      </w:r>
      <w:r/>
    </w:p>
    <w:p>
      <w:pPr>
        <w:ind w:firstLine="600"/>
        <w:jc w:val="left"/>
        <w:spacing w:line="360" w:lineRule="auto"/>
        <w:rPr>
          <w:rFonts w:hint="eastAsia" w:ascii="黑体" w:hAnsi="黑体" w:eastAsia="黑体"/>
          <w:color w:val="000000"/>
          <w:sz w:val="30"/>
          <w:szCs w:val="30"/>
          <w:highlight w:val="none"/>
        </w:rPr>
      </w:pPr>
      <w:r/>
      <w:bookmarkStart w:id="186" w:name="_Toc26554093"/>
      <w:r/>
      <w:bookmarkStart w:id="187" w:name="_Toc49090575"/>
      <w:r>
        <w:rPr>
          <w:rFonts w:hint="eastAsia" w:ascii="黑体" w:hAnsi="黑体" w:eastAsia="黑体"/>
          <w:color w:val="000000"/>
          <w:sz w:val="30"/>
          <w:szCs w:val="30"/>
          <w:highlight w:val="none"/>
        </w:rPr>
        <w:t xml:space="preserve">本项目属性：服务类项目</w:t>
      </w:r>
      <w:r/>
    </w:p>
    <w:p>
      <w:pPr>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投标人所投内容必须满足以下要求，不得有负偏离。</w:t>
      </w:r>
      <w:r/>
    </w:p>
    <w:p>
      <w:pPr>
        <w:ind w:firstLine="480"/>
        <w:spacing w:line="360" w:lineRule="auto"/>
        <w:rPr>
          <w:rFonts w:hint="eastAsia" w:ascii="宋体" w:hAnsi="宋体"/>
          <w:bCs/>
          <w:i/>
          <w:color w:val="000000"/>
          <w:sz w:val="24"/>
          <w:szCs w:val="24"/>
          <w:highlight w:val="none"/>
        </w:rPr>
      </w:pPr>
      <w:r>
        <w:rPr>
          <w:rFonts w:hint="eastAsia" w:ascii="宋体" w:hAnsi="宋体"/>
          <w:bCs/>
          <w:color w:val="000000"/>
          <w:sz w:val="24"/>
          <w:szCs w:val="24"/>
          <w:highlight w:val="none"/>
        </w:rPr>
        <w:t xml:space="preserve">本项目标的物所属行业：软件和信息技术服务业</w:t>
      </w:r>
      <w:r/>
    </w:p>
    <w:p>
      <w:pPr>
        <w:numPr>
          <w:ilvl w:val="0"/>
          <w:numId w:val="6"/>
        </w:numPr>
        <w:ind w:left="0" w:right="0" w:firstLine="602"/>
        <w:jc w:val="both"/>
        <w:keepLines w:val="0"/>
        <w:keepNext w:val="0"/>
        <w:spacing w:before="0" w:beforeAutospacing="0" w:after="0" w:afterAutospacing="0" w:line="360" w:lineRule="auto"/>
        <w:widowControl w:val="off"/>
        <w:rPr>
          <w:rFonts w:hint="eastAsia" w:ascii="宋体" w:hAnsi="宋体" w:eastAsia="宋体" w:cs="宋体"/>
          <w:b/>
          <w:bCs w:val="0"/>
          <w:color w:val="000000"/>
          <w:sz w:val="30"/>
          <w:szCs w:val="30"/>
          <w:lang w:val="en-US"/>
        </w:rPr>
        <w:suppressLineNumbers w:val="0"/>
      </w:pPr>
      <w:r>
        <w:rPr>
          <w:rFonts w:hint="eastAsia" w:ascii="宋体" w:hAnsi="宋体" w:eastAsia="宋体" w:cs="宋体"/>
          <w:b/>
          <w:bCs w:val="0"/>
          <w:color w:val="000000"/>
          <w:sz w:val="30"/>
          <w:szCs w:val="30"/>
          <w:lang w:val="en-US" w:eastAsia="zh-CN" w:bidi="ar"/>
        </w:rPr>
        <w:t xml:space="preserve"> 项目技术要求</w:t>
      </w:r>
      <w:r/>
    </w:p>
    <w:p>
      <w:pPr>
        <w:pStyle w:val="784"/>
        <w:numPr>
          <w:ilvl w:val="0"/>
          <w:numId w:val="7"/>
        </w:numPr>
        <w:ind w:left="0" w:right="0" w:firstLine="420"/>
        <w:jc w:val="left"/>
        <w:keepLines w:val="0"/>
        <w:keepNext w:val="0"/>
        <w:spacing w:before="0" w:beforeAutospacing="0" w:after="0" w:afterAutospacing="0" w:line="360" w:lineRule="auto"/>
        <w:widowControl/>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eastAsia="zh-CN"/>
        </w:rPr>
        <w:t xml:space="preserve">项目概况</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我局负责组织统一运维项目采购和实施。目前，经我局与区财政局审核，并根据各单位反馈意见，已确定2026年度无锡市滨湖区政务信息化运维项目实施计划。</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次运维服务采购涵盖多个政务信息化运维项目，具体包括软件运维、硬件运维、基础设施运维及其他服务等。软件运维涉及各类政务应用系统的监控、性能分析、数据备份及故障诊断，保障系统稳定运行。硬件运维聚焦于通用设备的维护管理，确保网络、主机等设备的可靠性。基础设施运维则针对机房的设备安全运行进行保障。其他服务方面，提供包括链路租赁、等保测评、基础防护、检测预警及定制服务等全方位的安全防护，同时，为确保服务的及时性和有效性，按需安排专业人员驻场，提供现场技术支持，快速响应并解决现场出现的问题。</w:t>
      </w:r>
      <w:r/>
    </w:p>
    <w:p>
      <w:pPr>
        <w:pStyle w:val="784"/>
        <w:numPr>
          <w:ilvl w:val="0"/>
          <w:numId w:val="7"/>
        </w:numPr>
        <w:ind w:left="0" w:right="0" w:firstLine="420"/>
        <w:jc w:val="left"/>
        <w:keepLines w:val="0"/>
        <w:keepNext w:val="0"/>
        <w:spacing w:before="0" w:beforeAutospacing="0" w:after="0" w:afterAutospacing="0" w:line="360" w:lineRule="auto"/>
        <w:widowControl/>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eastAsia="zh-CN"/>
        </w:rPr>
        <w:t xml:space="preserve">项目名称</w:t>
      </w:r>
      <w:r/>
    </w:p>
    <w:tbl>
      <w:tblPr>
        <w:tblStyle w:val="779"/>
        <w:tblW w:w="91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48"/>
        <w:gridCol w:w="4841"/>
        <w:gridCol w:w="3390"/>
      </w:tblGrid>
      <w:tr>
        <w:trPr>
          <w:jc w:val="center"/>
          <w:trHeight w:val="144"/>
          <w:tblHeader/>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子项目名称</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滨湖区政府网站运维服务（2026）</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无锡市滨湖区人民政府办公室</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考勤选课系统网课平台项目维护</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无锡市滨湖区委员会党校</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数字档案馆运维服务项目</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无锡市滨湖区档案史志馆</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学校高质量考核平台</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无锡市滨湖区教育局</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区级校园资源共享平台运维服务</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无锡市滨湖区教育局</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教育局OA办公平台运维</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无锡市滨湖区教育局</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“滨湖工信”工业企业大数据平台运行维护</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无锡市滨湖区工业和信息化局</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滨湖区国家工作人员学法考试平台运维</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无锡市滨湖区司法局</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办公OA系统运维服务和技术支持</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无锡市滨湖区人力资源和社会保障局</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无锡市滨湖区河长制信息化平台维保项目</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无锡市滨湖区水利局</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无锡市滨湖区县域水资源管理保护规范化集成示范项目</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无锡市滨湖区水利局</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无锡市滨湖区农业农村局大数据平台（一期）项目</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无锡市滨湖区农业农村局</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内控管理业务平台</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无锡市滨湖区市场监督管理局</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滨湖自然资源规划数据中心</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无锡市自然资源和规划局滨湖分局</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滨湖区产业用地可利用资源管理系统</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无锡市自然资源和规划局滨湖分局</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2026年度综合业务管理及办公OA平台运维服务项目</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无锡市滨湖生态环境局</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云产品及维护服务</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无锡市滨湖区残疾人联合会</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掌上滨湖移动云服务</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无锡市滨湖区融媒体中心</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滨湖区疾病预防控制中心OA办公系统项目</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无锡市滨湖区疾病预防控制中心</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疾病预防控制信息管理平台维护服务</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无锡市滨湖区疾病预防控制中心</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建设工程合同软件</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无锡市滨湖区重点建设项目管理中心</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财务软件</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无锡市滨湖区重点建设项目管理中心</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信息通信设备维保服务项目（2026）</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无锡市滨湖区公安分局</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滨湖区510一期维护服务项目（2026）</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无锡市滨湖区公安分局</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滨湖区老小区技防设施改造建设二期及2019年宜居住区技防改造维护服务项目（2026）</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无锡市滨湖区公安分局</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滨湖区老小区技防设施改造三期维护服务项目（2026）</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无锡市滨湖区公安分局</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滨湖区2020年宜居住区技防改造及2022年滨湖区城镇老旧小区技防改造及惠山森林防火监控维护服务项目</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无锡市滨湖区公安分局</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2020年滨湖区智慧技防小区建设项目维护服务</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无锡市滨湖区公安分局</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安保监控（510二期）维护服务项目</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无锡市滨湖区公安分局</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感知安保二期、三期及3.20工程复建项目维护服务项目</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无锡市滨湖区公安分局</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滨湖区天眼项目维护服务</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无锡市滨湖区公安分局</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电子签章系统</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无锡市滨湖区人民政府办公室</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IT硬件运维服务外包项目</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无锡市滨湖区档案史志馆</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校园卫士综合管理云平台维保项目</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无锡市滨湖区教育局</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行政执法人员网上培训及考试服务</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无锡市滨湖区司法局</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IT设备续保及运维服务</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无锡市滨湖区财政局</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智慧城管硬件扩容网络链路运维服务租赁项目</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无锡市滨湖区城市管理局</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智慧城管平台延续服务采购项目</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无锡市滨湖区城市管理局</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滨湖区城市管理局执法车辆车载监控系统项目</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无锡市滨湖区城市管理局</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动态称重系统云存储租赁服务项目</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无锡市滨湖区交通运输综合行政执法大队</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2026年水利防汛信息化网络服务及维护保养项目</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无锡市滨湖区水利局</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滨湖区渔政指挥调度中心项目</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无锡市滨湖区农业农村局</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网络IT外包服务项目</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无锡市滨湖区市场监督管理局</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滨湖区城市运行管理中心保障服务项目</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无锡市滨湖区数据局</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硬件及网络运行安全维护项目</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无锡市滨湖区数据局</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2026年区数据局统一运维项目</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无锡市滨湖区数据局</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民宗智慧平台专线维保服务项目</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无锡市滨湖区委员会统一战线工作部</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VPN网络链路租赁</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无锡市滨湖区交通运输综合行政执法大队</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数据专线网络链路租赁</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无锡市滨湖区交通运输综合行政执法大队</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2026年滨湖区政府及区城运中心网络链路统一租赁项目</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无锡市滨湖区数据局</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数据专线C2C业务</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无锡市滨湖区融媒体中心</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无锡市滨湖区城管局网络安全维护服务项目</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无锡市滨湖区城市管理局</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网络安全态势感知服务项目</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无锡市滨湖区委宣传部</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云安全运维</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无锡市滨湖区妇幼保健计划生育服务中心</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云方舟服务</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无锡市滨湖区住房城乡建设局</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网络安全等级保护测评服务</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无锡市滨湖区档案史志馆</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无锡市滨湖区农业农村局大数据平台（一期）项目等保测评</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无锡市滨湖区农业农村局</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2026年“数字滨湖”软件平台一期项目及政务机房等保测评项目</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无锡市滨湖区数据局</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网络安全运维服务项目</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无锡市自然资源和规划局滨湖分局</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2026年“数字滨湖”软件平台一期项目商用密码应用安全性评估与数据安全评估服务</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无锡市滨湖区数据局</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滨湖区手机APP访问数据服务采购（2026）</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无锡市滨湖区公安分局</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企业征信工具数据服务采购（2026）</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无锡市滨湖区公安分局</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数字战警AI机器人数据服务项目（2026）</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无锡市滨湖区公安分局</w:t>
            </w:r>
            <w:r/>
          </w:p>
        </w:tc>
      </w:tr>
      <w:tr>
        <w:trPr>
          <w:jc w:val="center"/>
          <w:trHeight w:val="1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滨湖区政务新媒体测评服务</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无锡市滨湖区人民政府办公室</w:t>
            </w:r>
            <w:r/>
          </w:p>
        </w:tc>
      </w:tr>
      <w:tr>
        <w:trPr>
          <w:jc w:val="center"/>
          <w:trHeight w:val="929"/>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滨湖区政府网站检测服务</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无锡市滨湖区人民政府办公室</w:t>
            </w:r>
            <w:r/>
          </w:p>
        </w:tc>
      </w:tr>
      <w:tr>
        <w:trPr>
          <w:jc w:val="center"/>
          <w:trHeight w:val="929"/>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滨湖区教育系统新媒体群以及网站群检测服务</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无锡市滨湖区教育局</w:t>
            </w:r>
            <w:r/>
          </w:p>
        </w:tc>
      </w:tr>
      <w:tr>
        <w:trPr>
          <w:jc w:val="center"/>
          <w:trHeight w:val="929"/>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网络舆情（视频类）监测分析系统运维项目</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无锡市滨湖区委宣传部</w:t>
            </w:r>
            <w:r/>
          </w:p>
        </w:tc>
      </w:tr>
      <w:tr>
        <w:trPr>
          <w:jc w:val="center"/>
          <w:trHeight w:val="46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电子档案数据保全服务</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无锡市滨湖区档案史志馆</w:t>
            </w:r>
            <w:r/>
          </w:p>
        </w:tc>
      </w:tr>
      <w:tr>
        <w:trPr>
          <w:jc w:val="center"/>
          <w:trHeight w:val="929"/>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滨湖区乐采云采购系统数据服务运行维护项目</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无锡市滨湖区公共资源交易中心</w:t>
            </w:r>
            <w:r/>
          </w:p>
        </w:tc>
      </w:tr>
      <w:tr>
        <w:trPr>
          <w:jc w:val="center"/>
          <w:trHeight w:val="944"/>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4843"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梁溪河7个不稳定支浜自动监测数据项目</w:t>
            </w:r>
            <w:r/>
          </w:p>
        </w:tc>
        <w:tc>
          <w:tcPr>
            <w:shd w:val="clear" w:color="auto" w:fill="auto"/>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无锡市滨湖生态环境局</w:t>
            </w:r>
            <w:r/>
          </w:p>
        </w:tc>
      </w:tr>
    </w:tbl>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p>
      <w:pPr>
        <w:pStyle w:val="784"/>
        <w:numPr>
          <w:ilvl w:val="0"/>
          <w:numId w:val="7"/>
        </w:numPr>
        <w:ind w:left="0" w:right="0" w:firstLine="420"/>
        <w:jc w:val="left"/>
        <w:keepLines w:val="0"/>
        <w:keepNext w:val="0"/>
        <w:spacing w:before="0" w:beforeAutospacing="0" w:after="0" w:afterAutospacing="0" w:line="360" w:lineRule="auto"/>
        <w:widowControl/>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eastAsia="zh-CN"/>
        </w:rPr>
        <w:t xml:space="preserve">服务内容与需求</w:t>
      </w:r>
      <w:r/>
    </w:p>
    <w:p>
      <w:pPr>
        <w:pStyle w:val="770"/>
        <w:numPr>
          <w:ilvl w:val="0"/>
          <w:numId w:val="8"/>
        </w:numPr>
        <w:ind w:left="0" w:firstLine="480"/>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eastAsia="zh-CN"/>
        </w:rPr>
        <w:t xml:space="preserve">软件类项目服务内容及需求</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1</w:t>
      </w:r>
      <w:r>
        <w:rPr>
          <w:rFonts w:hint="eastAsia" w:ascii="宋体" w:hAnsi="宋体" w:eastAsia="宋体" w:cs="宋体"/>
          <w:b/>
          <w:bCs/>
          <w:sz w:val="24"/>
          <w:szCs w:val="24"/>
          <w:lang w:eastAsia="zh-CN"/>
        </w:rPr>
        <w:t xml:space="preserve">：滨湖区政府网站运维服务（</w:t>
      </w:r>
      <w:r>
        <w:rPr>
          <w:rFonts w:hint="eastAsia" w:ascii="宋体" w:hAnsi="宋体" w:eastAsia="宋体" w:cs="宋体"/>
          <w:b/>
          <w:bCs/>
          <w:sz w:val="24"/>
          <w:szCs w:val="24"/>
          <w:lang w:val="en-US"/>
        </w:rPr>
        <w:t xml:space="preserve">2026</w:t>
      </w:r>
      <w:r>
        <w:rPr>
          <w:rFonts w:hint="eastAsia" w:ascii="宋体" w:hAnsi="宋体" w:eastAsia="宋体" w:cs="宋体"/>
          <w:b/>
          <w:bCs/>
          <w:sz w:val="24"/>
          <w:szCs w:val="24"/>
          <w:lang w:eastAsia="zh-CN"/>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运维期限：11个月（2026年10月1日-2027年8月31日）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服务使用单位：无锡市滨湖区人民政府办公室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为滨湖区网站群技术运营服务项目，核心目标是对标国家、江苏省、无锡市各级政务信息化及政府网站运营相关政策法规要求，为滨湖区网站群提供专业化、常态化、规范化的技术运营及现场支持服务，保障网站群安全稳定、合规高效运行，持续提升政务服务质效与公众访问体验，为滨湖区数字政府高质量建设提供坚实支撑。</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本项目服务范围覆盖滨湖区政府主站及区发展和改革委员会、</w:t>
      </w:r>
      <w:r>
        <w:rPr>
          <w:rFonts w:hint="eastAsia" w:ascii="宋体" w:hAnsi="宋体" w:eastAsia="宋体" w:cs="宋体"/>
          <w:sz w:val="24"/>
          <w:szCs w:val="24"/>
          <w:lang w:val="en-US" w:eastAsia="zh-CN" w:bidi="ar"/>
        </w:rPr>
        <w:t xml:space="preserve">区住房和城乡建设局、区城市管理局等28个区级部门站点，无锡太湖国家旅游度假区（马山街道）、胡埭镇等7个街道（乡镇）站点，实现网站群全覆盖运营保障。服务内容主要包含两大板块：一是网站群技术运营工单服务，基于2025年度实际运维台账，涵盖12345政务热线内容运维、专题专栏建设与优化、适老化及移动端适配等10类常态化工单场景，实行“一事一单”全流程闭环管理；二是2025年新增的网站群技术运营巡检服务，聚焦适老化及无障碍功能、IPv4与IPv6双栈访问两大核心场景，建立周期性巡检机制，与工单服务形成协同保障体系。</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建设单位提出的服务请求需通过无锡市政府统一任务平台下达工单，承建单位履行完毕后，由承建单位提交服务确认表，交建设单位确认验收。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（1）网站群技术运营工单服务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12345政务热线内容运维：按指定时间区间及“已答复、可公开、限定工作日内”等规则导出信件表格，批量或手动公开重点信件，对敏感信件执行隐藏处理并留存操作记录；同步配合完成首页图标尺寸调整、政府概况栏目链接新增及排序调整、调查征集栏目合并等附加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网站栏目配置与调整：执行导航改造、栏目增删改合、部门页面适配、模块显示调整等操作，包括取消导航下拉菜单显示内容、删除栏目部分子内容、取消并替换首页模块、隐藏指定栏目或页面模块、新增专栏、统一修改栏目名称、在首页模块中添加部门动态和街道动态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专题专栏建设与优化：新建“助力中小企业驶入高质量发展快车道”“加快培育新质生产力”“生态环境”等滨湖特色专题；优化专题页面布局（模块竖向平铺、图标竖排、切换点数量调整）；整合跨年度内容并更名专题；新增专栏的后台设置、页面设计、切图适配及实施落地；在指定专题中添加相关专栏链接；同步对新/改专题页面进行PC端及移动端H5适配改造，实现响应式布局，添加无障碍标签，优化适老化样式、字体规格及排版结构，按互联网评测标准完成改造测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4）多媒体资源维护：制作与替换国徽相关图片，优化栏目配图及配置图片链接，处理并重新上传首页宣传片、专题页面视频，导出含标题、前台链接、附件名称等字段的PDF类型附件关联文章。</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5）适老化及移动端适配：对指定专栏进行手机版切页适配，开展针对性适老化改造，优化字体、排版结构。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6）数据处理与统计：执行附件关联关系核查并下线需删除附件的关联文章，按关键词检索文章并梳理表格，分单位及门户范围统计文章发布数据。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7）链接配置与维护：执行信息公开年度报告数据更新及链接调整，在指定页面添加链接，合并链接并调整排序位置，全链路测试。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8）政务信息公开运维：推动多部门、街道涉企行政检查公示专栏前台显示，为部门开通对外公示权限，对指定咨询类信件做不公开处理，同步核验公示效果。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9）页面样式与布局优化：执行首页轮播图替换及链接调整，将指定图片链接移至首页轮播图位置并添加图片链接，对页面样式、布局进行全面优化调整。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10）历史信息运维：筛选、下线指定日期前的滨湖要闻、部门动态、街道动态等历史信息，归档并留存记录。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（2）网站群技术运营巡检服务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适老化及无障碍功能巡检：每半年一次对滨湖区政府主站、各部门及街道站点的所有栏目及专题页面，开展全面巡检，检查PC端及移动端H5适配改造、自适应响应式布局，检查无障碍标签添加情况，确保页面元素可被Windows讲述人、苹果旁白、安卓TalkBack等辅助工具精准识别与解析，检查适老化样式、字体规格、排版结构以契合老年用户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bookmarkStart w:id="188" w:name="OLE_LINK10"/>
      <w:r/>
      <w:bookmarkStart w:id="189" w:name="OLE_LINK9"/>
      <w:r>
        <w:rPr>
          <w:rFonts w:hint="eastAsia" w:ascii="宋体" w:hAnsi="宋体" w:eastAsia="宋体" w:cs="宋体"/>
          <w:sz w:val="24"/>
          <w:szCs w:val="24"/>
          <w:lang w:val="en-US" w:eastAsia="zh-CN" w:bidi="ar"/>
        </w:rPr>
        <w:t xml:space="preserve">IPV6</w:t>
      </w:r>
      <w:bookmarkEnd w:id="188"/>
      <w:r/>
      <w:bookmarkEnd w:id="189"/>
      <w:r>
        <w:rPr>
          <w:rFonts w:hint="eastAsia" w:ascii="宋体" w:hAnsi="宋体" w:eastAsia="宋体" w:cs="宋体"/>
          <w:sz w:val="24"/>
          <w:szCs w:val="24"/>
          <w:lang w:val="en-US" w:eastAsia="zh-CN" w:bidi="ar"/>
        </w:rPr>
        <w:t xml:space="preserve">、</w:t>
      </w:r>
      <w:bookmarkStart w:id="190" w:name="OLE_LINK11"/>
      <w:r/>
      <w:bookmarkStart w:id="191" w:name="OLE_LINK12"/>
      <w:r>
        <w:rPr>
          <w:rFonts w:hint="eastAsia" w:ascii="宋体" w:hAnsi="宋体" w:eastAsia="宋体" w:cs="宋体"/>
          <w:sz w:val="24"/>
          <w:szCs w:val="24"/>
          <w:lang w:val="en-US" w:eastAsia="zh-CN" w:bidi="ar"/>
        </w:rPr>
        <w:t xml:space="preserve">IPV4</w:t>
      </w:r>
      <w:bookmarkEnd w:id="190"/>
      <w:r/>
      <w:bookmarkEnd w:id="191"/>
      <w:r>
        <w:rPr>
          <w:rFonts w:hint="eastAsia" w:ascii="宋体" w:hAnsi="宋体" w:eastAsia="宋体" w:cs="宋体"/>
          <w:sz w:val="24"/>
          <w:szCs w:val="24"/>
          <w:lang w:val="en-US" w:eastAsia="zh-CN" w:bidi="ar"/>
        </w:rPr>
        <w:t xml:space="preserve">双栈访问巡检：逐一验证主站及所有子站在IPV4和IPV6两种协议环境下的访问可用性、内容完整性及功能正常性，重点核查页面文字、图片、附件加载情况，链接跳转、按钮交互、表单提交等功能运行状态。对新/改专题页面、栏目页面、链接及多媒体资源页面开展双栈访问专项测试，核查内容加载完整性、功能交互稳定性及访问性能，记录页面加载耗时。常规巡检每月一次，新/改页面专项测试按需开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（3）运维服务流程管理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工单全流程闭环管理：所有服务请求需通过无锡市政府统一任务平台下达工单，实行“一事一单”全流程台账管理，记录工单需求、受理及处置全要素，由承建单位履行完毕后提交服务确认表，交建设单位确认验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2）工单梳理反查：合同结束之前对工单进行梳理反查，对提供需求完成进行核对。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（4）日常运维保障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1）7×24小时全天候监测响应：实时监控系统运行状态，快速处置各类技术故障，保障网站群全年系统可用率保持在99.9%以上。频次：每日。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2）定期安全巡检：定期开展安全巡检，防范网络攻击、数据泄露等安全风险。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（1）故障处理时效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1）普通故障：远程响应，故障解决时间小于12小时。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2）重大故障：远程响应，故障解决时间小于5小时。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3）特大故障：远程响应，故障解决时间小于2小时。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（2）工单服务执行时效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1）12345政务热线内容运维工单：接收需求后1个工作日内确认诉求，按规则完成处置及附加需求实施，经业务部门核验通过后闭环。</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2）网站栏目配置与调整工单：受理后2个工作日内拟定调整方案，经确认后实施配置并完成功能测试，确保栏目显示及跳转正常后闭环。</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专题专栏建设与优化工单：采用“需求确认-方案设计-开发实施-测试验收”四步流程，复杂专题新建周期5-7个工作日，页面优化类周期2-3个工作日。新增页面的适老化及无障碍改造与测试支持与专题建设工单同步闭环。</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4）多媒体资源维护工单：受理后1-2个工作日内完成处置，同步测试视频播放流畅度、图片链接跳转准确性，确保符合政务网站规范。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5）适老化及移动端适配工单：受理后3-4个工作日内完成改造及测试，覆盖主流移动设备及辅助工具，确保符合无障碍政策标准。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6）数据处理与统计工单：按数据量级1-3个工作日完成处置，反复核验数据准确性并形成规范报表反馈。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7）链接配置与维护工单：常规链接调整1个工作日内完成，复杂调整需2个工作日，同步开展全链路测试。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8）政务信息公开运维工单：受理后2-3个工作日内完成配置、更新及权限开通，同步核验公示效果。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9）页面样式与布局优化工单：2个工作日内完成优化、预览及上线核验，确保多浏览器显示一致。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10）历史信息运维工单：按信息量级1-2个工作日完成筛选、下线及归档记录留存。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（3）巡检执行标准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1）适老化及无障碍功能巡检：每半年一次。每次巡检需提前完成预巡检及问题纠错，确保正式巡检一次性通过。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2）IPV6、IPV4双栈访问巡检：每月一次常规巡检。新/改页面专项测试随页面发布按需开展，发现问题纳入工单闭环管理，跟踪整改并完成复测。</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（4）运维服务质量考核</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1）验收方式：承建单位履行完毕工单后，提交服务确认表，交建设单位确认验收。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2）核算方式：合同结束前梳理反查所有工单，核对需求完成情况。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3、团队配置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基于无锡市政府网站群集约化统一管理，无锡市滨湖区政府网站提出的服务请求通过市政府统一任务平台或电话等方式下达工单，实施单位进行工单内容处理。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在运维保障方面，项目组建了专业技术服务团队，建立7×24小时全天候监测响应机制，通过实时监控系统运行状态、快速处置各类技术故障、定期开展安全巡检等举措，有效防范了网络攻击、数据泄露等安全风险，保障了网站群全年系统可用率保持在99.9%以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为了确保项目顺利实施，保障无锡市滨湖区网站的权威性和规范性，将与外包单位共同组建项目实施团队，分为质量监督组、项目管理组、技术支持组，通过详细的职责分工，推进项目按计划顺利实施，保障工作成果质量，监督网站运维工作开展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网站运维团队的核心运作模式是“分层协作+闭环管理”，围绕稳定运行、高效响应、持续优化展开。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（1）项目团队各小组主要职责表：</w:t>
      </w:r>
      <w:r/>
    </w:p>
    <w:tbl>
      <w:tblPr>
        <w:tblStyle w:val="779"/>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771"/>
        <w:gridCol w:w="1611"/>
        <w:gridCol w:w="6137"/>
      </w:tblGrid>
      <w:tr>
        <w:trPr>
          <w:jc w:val="center"/>
          <w:tblHeader/>
        </w:trPr>
        <w:tc>
          <w:tcPr>
            <w:shd w:val="clear" w:color="auto" w:fill="auto"/>
            <w:tcBorders>
              <w:top w:val="single" w:color="auto" w:sz="4" w:space="0"/>
              <w:left w:val="single" w:color="auto" w:sz="4" w:space="0"/>
              <w:bottom w:val="single" w:color="auto" w:sz="4" w:space="0"/>
              <w:right w:val="single" w:color="auto" w:sz="4" w:space="0"/>
            </w:tcBorders>
            <w:tcW w:w="771" w:type="dxa"/>
            <w:vAlign w:val="center"/>
            <w:textDirection w:val="lrTb"/>
            <w:noWrap/>
          </w:tcPr>
          <w:p>
            <w:pPr>
              <w:ind w:left="0" w:right="0"/>
              <w:jc w:val="center"/>
              <w:keepLines w:val="0"/>
              <w:keepNext/>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611" w:type="dxa"/>
            <w:vAlign w:val="center"/>
            <w:textDirection w:val="lrTb"/>
            <w:noWrap/>
          </w:tcPr>
          <w:p>
            <w:pPr>
              <w:ind w:left="0" w:right="0"/>
              <w:jc w:val="center"/>
              <w:keepLines w:val="0"/>
              <w:keepNext/>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小组名称</w:t>
            </w:r>
            <w:r/>
          </w:p>
        </w:tc>
        <w:tc>
          <w:tcPr>
            <w:shd w:val="clear" w:color="auto" w:fill="auto"/>
            <w:tcBorders>
              <w:top w:val="single" w:color="auto" w:sz="4" w:space="0"/>
              <w:left w:val="single" w:color="auto" w:sz="4" w:space="0"/>
              <w:bottom w:val="single" w:color="auto" w:sz="4" w:space="0"/>
              <w:right w:val="single" w:color="auto" w:sz="4" w:space="0"/>
            </w:tcBorders>
            <w:tcW w:w="6137" w:type="dxa"/>
            <w:vAlign w:val="center"/>
            <w:textDirection w:val="lrTb"/>
            <w:noWrap/>
          </w:tcPr>
          <w:p>
            <w:pPr>
              <w:ind w:left="0" w:right="0"/>
              <w:jc w:val="center"/>
              <w:keepLines w:val="0"/>
              <w:keepNext/>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主要职责</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71" w:type="dxa"/>
            <w:vAlign w:val="center"/>
            <w:textDirection w:val="lrTb"/>
            <w:noWrap/>
          </w:tcPr>
          <w:p>
            <w:pPr>
              <w:ind w:left="0" w:right="0"/>
              <w:jc w:val="center"/>
              <w:keepLines w:val="0"/>
              <w:keepNext/>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611" w:type="dxa"/>
            <w:vAlign w:val="center"/>
            <w:textDirection w:val="lrTb"/>
            <w:noWrap/>
          </w:tcPr>
          <w:p>
            <w:pPr>
              <w:ind w:left="0" w:right="0"/>
              <w:jc w:val="center"/>
              <w:keepLines w:val="0"/>
              <w:keepNext/>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质量监督组</w:t>
            </w:r>
            <w:r/>
          </w:p>
        </w:tc>
        <w:tc>
          <w:tcPr>
            <w:shd w:val="clear" w:color="auto" w:fill="auto"/>
            <w:tcBorders>
              <w:top w:val="single" w:color="auto" w:sz="4" w:space="0"/>
              <w:left w:val="single" w:color="auto" w:sz="4" w:space="0"/>
              <w:bottom w:val="single" w:color="auto" w:sz="4" w:space="0"/>
              <w:right w:val="single" w:color="auto" w:sz="4" w:space="0"/>
            </w:tcBorders>
            <w:tcW w:w="6137" w:type="dxa"/>
            <w:vAlign w:val="center"/>
            <w:textDirection w:val="lrTb"/>
            <w:noWrap/>
          </w:tcPr>
          <w:p>
            <w:pPr>
              <w:ind w:left="0" w:right="0"/>
              <w:jc w:val="both"/>
              <w:keepLines w:val="0"/>
              <w:keepNext/>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实施项目质量全过程监督管理；对项目实施过程中的疑点、难点问题给予指导；</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71" w:type="dxa"/>
            <w:vAlign w:val="center"/>
            <w:textDirection w:val="lrTb"/>
            <w:noWrap/>
          </w:tcPr>
          <w:p>
            <w:pPr>
              <w:ind w:left="0" w:right="0"/>
              <w:jc w:val="center"/>
              <w:keepLines w:val="0"/>
              <w:keepNext/>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611" w:type="dxa"/>
            <w:vAlign w:val="center"/>
            <w:textDirection w:val="lrTb"/>
            <w:noWrap/>
          </w:tcPr>
          <w:p>
            <w:pPr>
              <w:ind w:left="0" w:right="0"/>
              <w:jc w:val="center"/>
              <w:keepLines w:val="0"/>
              <w:keepNext/>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项目管理组</w:t>
            </w:r>
            <w:r/>
          </w:p>
        </w:tc>
        <w:tc>
          <w:tcPr>
            <w:shd w:val="clear" w:color="auto" w:fill="auto"/>
            <w:tcBorders>
              <w:top w:val="single" w:color="auto" w:sz="4" w:space="0"/>
              <w:left w:val="single" w:color="auto" w:sz="4" w:space="0"/>
              <w:bottom w:val="single" w:color="auto" w:sz="4" w:space="0"/>
              <w:right w:val="single" w:color="auto" w:sz="4" w:space="0"/>
            </w:tcBorders>
            <w:tcW w:w="6137" w:type="dxa"/>
            <w:vAlign w:val="center"/>
            <w:textDirection w:val="lrTb"/>
            <w:noWrap/>
          </w:tcPr>
          <w:p>
            <w:pPr>
              <w:ind w:left="0" w:right="0"/>
              <w:jc w:val="both"/>
              <w:keepLines w:val="0"/>
              <w:keepNext/>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明确项目的实施周期、协调项目进度，保障项目按期完成；负责项目团队人员培训；负责文档管理，任务分配、事务协调等工作；</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71" w:type="dxa"/>
            <w:vAlign w:val="center"/>
            <w:textDirection w:val="lrTb"/>
            <w:noWrap/>
          </w:tcPr>
          <w:p>
            <w:pPr>
              <w:ind w:left="0" w:right="0"/>
              <w:jc w:val="center"/>
              <w:keepLines w:val="0"/>
              <w:keepNext/>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611" w:type="dxa"/>
            <w:vAlign w:val="center"/>
            <w:textDirection w:val="lrTb"/>
            <w:noWrap/>
          </w:tcPr>
          <w:p>
            <w:pPr>
              <w:ind w:left="0" w:right="0"/>
              <w:jc w:val="center"/>
              <w:keepLines w:val="0"/>
              <w:keepNext/>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技术支持组</w:t>
            </w:r>
            <w:r/>
          </w:p>
        </w:tc>
        <w:tc>
          <w:tcPr>
            <w:shd w:val="clear" w:color="auto" w:fill="auto"/>
            <w:tcBorders>
              <w:top w:val="single" w:color="auto" w:sz="4" w:space="0"/>
              <w:left w:val="single" w:color="auto" w:sz="4" w:space="0"/>
              <w:bottom w:val="single" w:color="auto" w:sz="4" w:space="0"/>
              <w:right w:val="single" w:color="auto" w:sz="4" w:space="0"/>
            </w:tcBorders>
            <w:tcW w:w="6137" w:type="dxa"/>
            <w:vAlign w:val="center"/>
            <w:textDirection w:val="lrTb"/>
            <w:noWrap/>
          </w:tcPr>
          <w:p>
            <w:pPr>
              <w:ind w:left="0" w:right="0"/>
              <w:jc w:val="both"/>
              <w:keepLines w:val="0"/>
              <w:keepNext/>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对网站内容管理系统使用过程中出现的各类技术问题进行及时处理，确保内容管理系统满足工作要求。</w:t>
            </w:r>
            <w:r/>
          </w:p>
        </w:tc>
      </w:tr>
    </w:tbl>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（2）关键运作机制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流程化管理：建立需求提报、变更评审、部署上线、故障处理的标准化流程。</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7×24小时值守：核心业务采用轮班制，保障突发故障及时响应。</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跨部门协作：与开发、产品、业务团队对接，同步需求变更，提前规避风险。</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2</w:t>
      </w:r>
      <w:r>
        <w:rPr>
          <w:rFonts w:hint="eastAsia" w:ascii="宋体" w:hAnsi="宋体" w:eastAsia="宋体" w:cs="宋体"/>
          <w:b/>
          <w:bCs/>
          <w:sz w:val="24"/>
          <w:szCs w:val="24"/>
          <w:lang w:eastAsia="zh-CN"/>
        </w:rPr>
        <w:t xml:space="preserve">：考勤选课系统网课平台项目维护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运维期限：12个月（2026年9月1日-2027年8月31日）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服务使用单位：无锡市滨湖区委员会党校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旨在加强无锡市滨湖区委党校使用的学员线上报名以及扫描考勤系统的系统运行监控、日常维护，确保系统的正常运行，切实保障相关业务的正常开展，更好的统计党校学员的学习数据情况收集。运维服务的目标是，对现有的系统进行网络以及数据安全的维护和管理，及时掌握系统运行的服务器资源现状和配置信息，以保证系统可以安全正常的运行操作，为系统的使用提供一个可靠、高效、持续、安全运行的环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当出现运行故障时，故障处理时间要求：</w:t>
      </w:r>
      <w:r/>
    </w:p>
    <w:tbl>
      <w:tblPr>
        <w:tblStyle w:val="779"/>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182"/>
        <w:gridCol w:w="2182"/>
        <w:gridCol w:w="4155"/>
      </w:tblGrid>
      <w:tr>
        <w:trPr>
          <w:jc w:val="center"/>
          <w:tblHeader/>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故障级别</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远程响应</w:t>
            </w:r>
            <w:r/>
          </w:p>
        </w:tc>
        <w:tc>
          <w:tcPr>
            <w:shd w:val="clear" w:color="auto" w:fill="auto"/>
            <w:tcBorders>
              <w:top w:val="single" w:color="auto" w:sz="4" w:space="0"/>
              <w:left w:val="single" w:color="auto" w:sz="4" w:space="0"/>
              <w:bottom w:val="single" w:color="auto" w:sz="4" w:space="0"/>
              <w:right w:val="single" w:color="auto" w:sz="4" w:space="0"/>
            </w:tcBorders>
            <w:tcW w:w="415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故障解决时间</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普通故障</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立即响应</w:t>
            </w:r>
            <w:r/>
          </w:p>
        </w:tc>
        <w:tc>
          <w:tcPr>
            <w:shd w:val="clear" w:color="auto" w:fill="auto"/>
            <w:tcBorders>
              <w:top w:val="single" w:color="auto" w:sz="4" w:space="0"/>
              <w:left w:val="single" w:color="auto" w:sz="4" w:space="0"/>
              <w:bottom w:val="single" w:color="auto" w:sz="4" w:space="0"/>
              <w:right w:val="single" w:color="auto" w:sz="4" w:space="0"/>
            </w:tcBorders>
            <w:tcW w:w="415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到达现场后&lt;3小时</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重大故障</w:t>
            </w:r>
            <w:r>
              <w:rPr>
                <w:rFonts w:hint="eastAsia" w:ascii="宋体" w:hAnsi="宋体" w:eastAsia="宋体" w:cs="宋体"/>
                <w:sz w:val="24"/>
                <w:szCs w:val="24"/>
                <w:lang w:val="en-US" w:eastAsia="zh-CN" w:bidi="ar"/>
              </w:rPr>
              <w:tab/>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立即响应</w:t>
            </w:r>
            <w:r/>
          </w:p>
        </w:tc>
        <w:tc>
          <w:tcPr>
            <w:shd w:val="clear" w:color="auto" w:fill="auto"/>
            <w:tcBorders>
              <w:top w:val="single" w:color="auto" w:sz="4" w:space="0"/>
              <w:left w:val="single" w:color="auto" w:sz="4" w:space="0"/>
              <w:bottom w:val="single" w:color="auto" w:sz="4" w:space="0"/>
              <w:right w:val="single" w:color="auto" w:sz="4" w:space="0"/>
            </w:tcBorders>
            <w:tcW w:w="415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到达现场后&lt;2小时</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218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特大故障</w:t>
            </w:r>
            <w:r>
              <w:rPr>
                <w:rFonts w:hint="eastAsia" w:ascii="宋体" w:hAnsi="宋体" w:eastAsia="宋体" w:cs="宋体"/>
                <w:sz w:val="24"/>
                <w:szCs w:val="24"/>
                <w:lang w:val="en-US" w:eastAsia="zh-CN" w:bidi="ar"/>
              </w:rPr>
              <w:tab/>
            </w:r>
            <w:r/>
          </w:p>
        </w:tc>
        <w:tc>
          <w:tcPr>
            <w:shd w:val="clear" w:color="auto" w:fill="auto"/>
            <w:tcBorders>
              <w:top w:val="single" w:color="auto" w:sz="4" w:space="0"/>
              <w:left w:val="single" w:color="auto" w:sz="4" w:space="0"/>
              <w:bottom w:val="single" w:color="auto" w:sz="4" w:space="0"/>
              <w:right w:val="single" w:color="auto" w:sz="4" w:space="0"/>
            </w:tcBorders>
            <w:tcW w:w="218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立即响应</w:t>
            </w:r>
            <w:r/>
          </w:p>
        </w:tc>
        <w:tc>
          <w:tcPr>
            <w:shd w:val="clear" w:color="auto" w:fill="auto"/>
            <w:tcBorders>
              <w:top w:val="single" w:color="auto" w:sz="4" w:space="0"/>
              <w:left w:val="single" w:color="auto" w:sz="4" w:space="0"/>
              <w:bottom w:val="single" w:color="auto" w:sz="4" w:space="0"/>
              <w:right w:val="single" w:color="auto" w:sz="4" w:space="0"/>
            </w:tcBorders>
            <w:tcW w:w="415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到达现场后&lt;1小时</w:t>
            </w:r>
            <w:r/>
          </w:p>
        </w:tc>
      </w:tr>
    </w:tbl>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（1）系统整体运维：对滨湖区委党校线上选课考勤系统进行运行监控、日常维护，保证系统安全、可靠、持续运行，统计党校学员的学习数据情况收集。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（2）软硬件基础设施运维：包括JD云服务器的监控、备份、性能分析等。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（3）信息系统运维：包括系统运行检查、故障处理、数据备份、运维记录保存。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（4）数据资源运维：JD云服务器。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（5）通讯类运维：JD云服务器。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（6）其他运维：对服务器防火墙进行升级，加强数据安全。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扫码考勤模块</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（1）系统支持管理后台自行添加考勤课程，可以设置课程名称、教师名称、上课地点、签到时间范围等；每课程在完成添加后都可生成自有的二维码。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（2）考勤学员通过个人微信扫码课堂二维码进入签到、签退、评价页面，系统会自动记录用户操作的时间以及评价评分内容。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（3）考勤学员进入考勤页面中，可编辑学员的个人信息；如姓名、手机号、单位；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（4）管理后台页面中，可导出对应课程的考勤信息，包含课程名称、学员信息、签到签退信息、评价信息；同时可以手动完成学员的系统补签到、补签退、补评价操作。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（5）防作弊设计：学员的考勤条件是通过后台设置的，时间范围、距离范围，防止用户远程扫码实现考勤操作。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线上选课报名模块</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（1）用户通过登录系统来选报名课程相关信息；</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（2）在管理后台中，可设置课程支持的最多的报名学员数量；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（3）系统后台中可设置每个课程支持的选课报名的时间范围；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（4）选课界面中，展示满足时间范围的选课内容。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（5）系统支持excel导出学员的选课报名信息。</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公共功能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（1）选课的公告信息设置发布；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（2）系统内全部考勤的学员；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（3）系统内全部的选课学员；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（4）相关数据的后台代操作以及数据导出。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（1）每日事项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    1）对系统数据内容进行定时备份（每日1次）。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    2）每日一次对系统数据库进行数据备份。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    3）每日对数据库进行备份。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（2）每周事项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    1）每周一次对云服务器的运行情况的监控进行分析。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    2）每周一次对系统站点进行备份。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（3）每两周事项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    1）定期对服务器的CPU、内存使用、硬盘使用进行分析（两周一次）。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（4）每月事项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    1）对需升级的插件进行更新（每月1次）。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    2）每月对系统的运行环境状况进行查看分析。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    3）对系统的代码插件版本、运行环境、数据库运行状况每月进行分析查看，如有使用高版本及时进行替换。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    4）每月对需用的运行进行检查。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    5）数据备份（每月一次）。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    6）每月一次进行系统运行检查。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（5）按需或持续事项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    1）当出现系统运行故障，提供服务响应7*24小时，并在一小时内完成故障处理。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    2）运维记录以提供记录并保存。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    3）对服务器防火墙进行升级，加强数据安全。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    4）提供应急服务：基于原有系统的功能基础上，配合校方及时完成工作，例如证书生成、课程完成等。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    5）提供技术维护：在维护当前系统正常运转的情况下，提供及时的技术支持。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    6）提供1年的服务器空间使用权限。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    7）提供云储存空间（采用按流量计费，需要校方额外按照实际消费进行支付）。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（1）故障处理时间要求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    1）普通故障：远程响应立即响应，故障解决时间到达现场后&lt;3小时。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    2）重大故障：远程响应立即响应，故障解决时间到达现场后&lt;2小时。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    3）特大故障：远程响应立即响应，故障解决时间到达现场后&lt;1小时。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（2）当出现系统运行故障，服务响应时间7*24小时，并在一小时内完成故障处理。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（3）备份要求：每日数据备份、每周站点备份、每月数据备份，均需按指定频次执行。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（4）运维记录保存要求：运维记录以提供记录并保存，需保证可追溯。</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（5）防火墙升级要求：对服务器防火墙进行升级，加强数据安全（按需执行）。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（6）服务器空间要求：运维单位提供1年的服务器空间使用权限。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（7）云储存空间要求：采用按流量计费，需要校方额外按照实际消费进行支付。</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3</w:t>
      </w:r>
      <w:r>
        <w:rPr>
          <w:rFonts w:hint="eastAsia" w:ascii="宋体" w:hAnsi="宋体" w:eastAsia="宋体" w:cs="宋体"/>
          <w:b/>
          <w:bCs/>
          <w:sz w:val="24"/>
          <w:szCs w:val="24"/>
          <w:lang w:eastAsia="zh-CN"/>
        </w:rPr>
        <w:t xml:space="preserve">：数字档案馆运维服务项目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运维期限：12个月（2026年9月1日-2027年8月31日）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服务使用单位：无锡市滨湖区档案史志馆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服务主体为无锡市滨湖区档案史志馆，服务范围覆盖局域网部署的馆藏应用系统、政务网部署的数字档案室系统两套系统全链路运维保障，核心目标是对各平台系统开展纠错、适用、完善、预防全环节运维服务，及时排查处置故障隐患，保障各网段应用软件系统正常运行，支撑查档大厅及各立档单位档案管理、查询利用等日常工作有序开展。项目采用完全外包服务模式，提供工程师远程服务和每季度一次的现场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（1）巡检事项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1）运维团队定期进行日常巡检工作，对现场各网段应用系统进行检查检测。</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2）对各平台系统日志文件进行查阅，查找并记录异常和差错，制定纠正措施并执行。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（2）备份检查事项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1）数据库脚本备份检查：现场服务时对数据库文件数据的按日脚本备份情况。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2）代码备份：现场服务时对服务器上软件系统代码进行备份，确认客户现场的代码版本与开发版本保持一致。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（3）沟通事项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1）根据建设方、使用方的要求，按需召开会议进行工作汇报，形成会议纪要。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2）不定期组织系统用户培训，培训方式包括一对一、一对多、实战演练式、授课讲解式、录制视频式等。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3）依托沟通工具（维护联系单、邮件、电话、QQ、微信等）进行沟通。</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（4）响应事项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1）日常响应：包括巡检、远程服务、现场服务，并形成相应记录。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2）应急响应：对系统中发生宕机故障、系统服务中断、数据库应用问题等严重事件的，运维团队立即响应，及时安排技术工程师赴现场协助用户解决问题，记录处理结果并留存，提交书面解决报告。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（5）服务监控与报告事项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1）建立监控系统，实时监控软件系统的运行状态和服务质量。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2）定期向客户提供服务报告，包括服务进度、问题解决情况、安全事件处理等。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3）对运维服务进行评估，根据评估结果与客户协商制定改进措施，优化服务流程和技术手段。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（6）安全保障事项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1）建立运维日常管理与应急响应机制，及时配合处理应用系统突发事件。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2）对软件系统的基础设施进行全面维护，包括服务器、存储设备、网络设备等。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3）进行硬件和软件的更新和升级，确保系统的性能和安全性。</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4）实施严格的安全措施，防止未经授权的访问和数据泄露。</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（1）巡检要求：检查各网段应用系统，查阅系统日志，记录异常并制定纠正措施执行。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（2）备份检查要求：检查数据库的按日脚本备份情况；对服务器上软件系统代码进行备份，确保代码版本一致。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（3）沟通要求：按需召开工作汇报会议并形成会议纪要；不定期组织用户培训；使用多种沟通工具。</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（4）响应要求：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1）日常响应：包括巡检、远程服务、现场服务，并形成记录。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2）应急响应：发生宕机故障、系统服务中断、数据库应用问题等严重事件时，立即响应，安排工程师赴现场解决问题，记录并留存处理结果，提交书面解决报告。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（5）服务监控与报告要求：实时监控系统运行状态和服务质量；定期提供服务报告；定期进行服务评估并改进。</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（6）安全保障要求：建立日常管理与应急响应机制；全面维护基础设施；定期更新升级软硬件；实施安全措施防止未授权访问和数据泄露。</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（7）保密要求：对用户的网络、主机、系统软件、应用软件等的密码、核心参数、业务数据等负有保密责任，不得随意复制和传播（来源于执行团队职责）。</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（8）运维记录要求：每次日常运维服务完成后填写运维记录，双方签字确认，留底备查。</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4</w:t>
      </w:r>
      <w:r>
        <w:rPr>
          <w:rFonts w:hint="eastAsia" w:ascii="宋体" w:hAnsi="宋体" w:eastAsia="宋体" w:cs="宋体"/>
          <w:b/>
          <w:bCs/>
          <w:sz w:val="24"/>
          <w:szCs w:val="24"/>
          <w:lang w:eastAsia="zh-CN"/>
        </w:rPr>
        <w:t xml:space="preserve">：学校高质量考核平台</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运维期限：12个月（2026年9月1日-2027年8月31日）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服务使用单位：无锡市滨湖区教育局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运维目标为保障滨湖区学校高质量发展年度考核平台稳定、安全、高效运行，确保系统持续服务于区教育局及各学校的年度考核工作，提升教育管理信息化水平。运维服务内容包括系统运行环境维护、功能优化、故障响应、安全防护、数据备份及技术培训等，确保平台全年可用性不低于99.95%，全年单个应用失效时间之和不超过262.8分钟，提供及时有效的技术支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（1）软硬件基础设施运维：提供系统运行所需云主机、独立IP、带宽及存储资源，配置并维护WAF防护、SSL证书，保障系统网络安全，提供数据备份与恢复机制，支持系统环境扩容与迁移。</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信息系统运维：开展系统功能维护与优化，数据库维护、账号管理、定期备份，漏洞修复与安全补丁更新，系统BUG修复，支持数据导出与上门交付；开展系统巡检，故障及时响应按需提供现场支持，提供电话支持与远程协助，备品备件准备与快速更换服务，系统应急预案制定与演练支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（3）数据资源运维：定期备份系统数据支持全量导出，保障数据迁移过程中的完整性与一致性，配合甲方完成各级网络安全数据上报。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（4）其他运维：严格遵守机房管理制度，定期检查消防、电力、网络等基础设施，保持机房整洁，规范人员行为。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故障响应要求：普通故障立即响应，2小时内到现场，到达现场后3小时内解决；重大故障立即响应，1小时内到现场，到达现场后2小时内解决；特大故障立即响应，30分钟内到现场，到达现场后1小时内解决；系统BUG修复响应时间不超过4小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服务质量要求：平台全年可用性不低于99.95%，全年单个应用失效时间之和不超过262.8分钟；建立运维台账，记录故障处理、变更操作等内容；运维人员需持证上岗，规范服务流程；若未按约定履行服务导致系统无法正常使用并造成损失的，需承担相应责任并给予经济补偿。</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（3）合规保密要求：严格遵守机房管理制度及保密约定，未经对方书面同意不得向第三方泄露合同内容及履行过程中知悉的对方商业秘密或敏感信息。</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4、团队配置要求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运维团队配备项目经理、运维工程师、安全专员，负责平台全流程运维服务，实行值班制度，建立应急响应机制确保故障及时处理，定期与甲方沟通优化服务内容。</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5</w:t>
      </w:r>
      <w:r>
        <w:rPr>
          <w:rFonts w:hint="eastAsia" w:ascii="宋体" w:hAnsi="宋体" w:eastAsia="宋体" w:cs="宋体"/>
          <w:b/>
          <w:bCs/>
          <w:sz w:val="24"/>
          <w:szCs w:val="24"/>
          <w:lang w:eastAsia="zh-CN"/>
        </w:rPr>
        <w:t xml:space="preserve">：区级校园资源共享平台运维服务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运维期限：12个月（2026年9月1日-2027年8月31日）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服务使用单位：无锡市滨湖区教育局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为支撑市民在线场地预约、学校扫码核验功能，满足居民就近体育健身需求，为微信端区级校园资源共享平台提供云主机、阿里云WAF3.0防护、SSL证书服务、短信服务、软件技术支撑服务，保障平台可靠、高效、持续、安全运行，系统可用性不低于99.95%，全年单个应用失效时间不超过262.8分钟。</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软硬件基础设施运维：负责机房配套设施运维，保障机房环境符合设备运行要求；部署云WAF防护技术拦截恶意访问，制修订网络安全事件应急预案，组织应急演练，落实7*24小时值守和领导带班、网络安全零报告制度；保障云主机配置符合要求，提供SSL证书更新、阿里云自动备份、操作系统免费升级、数据迁移、安装服务，按需进行云硬盘扩容，协助完成各级网络安全相关数据填报，提供产品使用培训，产品无法使用问题8小时内响应处理，定制开发调整另行签订协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软件常态化运维：提供数据库维护、定期备份服务，调整WAF地址、配置域名CNAME服务，第三方检测出中高危漏洞及时补丁修复并填报整改报告，程序BUG或无法使用问题2小时内响应并调整，提供数据库与文件全盘导出上门服务，支持各级所需平台相关信息填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（3）软硬件维护服务：对维保范围内软硬件设备开展日常巡检、安装调试、系统升级重装、数据迁移、维保资料提交等工作，设备故障时及时到场排查处置，应提供备件更换，保障系统正常运行。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故障响应要求：普通故障立即响应，2小时内到现场，到达后3小时内解决；重大故障立即响应，1小时内到现场，到达后2小时内解决；特大故障立即响应，30分钟内到现场，到达后1小时内解决；提供24小时热线电话支持、24*7小时技术中心支持，运维工程师无法解决的问题立即由技术专家小组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（2）服务质量要求：严格遵守机房环境卫生、物品管理、消防安全等规章制度；运维单位未按约定履行服务导致甲方无法正常使用系统并造成实际损失的，需给予适当经济补偿。</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（3）合规上报要求：发生网络安全事件第一时间采取措施降低负面影响，半小时内向区教研中心口头汇报，1小时内向区教育局书面汇报。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4、团队配置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（1）一线运维工程师：本地化技术人员，负责维保设备巡检、故障处理等现场服务。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（2）值班工程师：负责设备日常巡检及维修，及时发现上报设备故障。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（3）技术专家小组：负责处理运维工程师无法解决的疑难问题，提供24*7技术支撑，协同制定系统应急预案、参与应急处置。</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6</w:t>
      </w:r>
      <w:r>
        <w:rPr>
          <w:rFonts w:hint="eastAsia" w:ascii="宋体" w:hAnsi="宋体" w:eastAsia="宋体" w:cs="宋体"/>
          <w:b/>
          <w:bCs/>
          <w:sz w:val="24"/>
          <w:szCs w:val="24"/>
          <w:lang w:eastAsia="zh-CN"/>
        </w:rPr>
        <w:t xml:space="preserve">：教育局</w:t>
      </w:r>
      <w:r>
        <w:rPr>
          <w:rFonts w:hint="eastAsia" w:ascii="宋体" w:hAnsi="宋体" w:eastAsia="宋体" w:cs="宋体"/>
          <w:b/>
          <w:bCs/>
          <w:sz w:val="24"/>
          <w:szCs w:val="24"/>
          <w:lang w:val="en-US"/>
        </w:rPr>
        <w:t xml:space="preserve">OA</w:t>
      </w:r>
      <w:r>
        <w:rPr>
          <w:rFonts w:hint="eastAsia" w:ascii="宋体" w:hAnsi="宋体" w:eastAsia="宋体" w:cs="宋体"/>
          <w:b/>
          <w:bCs/>
          <w:sz w:val="24"/>
          <w:szCs w:val="24"/>
          <w:lang w:eastAsia="zh-CN"/>
        </w:rPr>
        <w:t xml:space="preserve">办公平台运维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运维期限：12个月（2026年9月1日-2027年8月31日）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服务使用单位：无锡市滨湖区教育局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为保障滨湖区教育系统OA办公平台稳定、安全、高效运行，提升教育系统办公自动化水平，支撑区教育局机关及下属所有中小学、幼儿园、</w:t>
      </w:r>
      <w:r>
        <w:rPr>
          <w:rFonts w:hint="eastAsia" w:ascii="宋体" w:hAnsi="宋体" w:eastAsia="宋体" w:cs="宋体"/>
          <w:sz w:val="24"/>
          <w:szCs w:val="24"/>
          <w:lang w:val="en-US" w:eastAsia="zh-CN" w:bidi="ar"/>
        </w:rPr>
        <w:t xml:space="preserve">教育事业单位全场景业务协同需求，服务覆盖公文流转、会议管理、行政审批、信息发布、日常考勤、督办考核、人事管理、物资申领等全部办公功能。运维内容包含系统底层运行环境维护、功能优化迭代、全时段故障响应处置、全链路网络安全防护、全量数据备份与迁移、系统操作培训与技术指导等全链条服务，确保平台全年可用性不低于99.95%，单个应用年失效时间不超过262.8分钟，所有机房、网络、安全、服务器、存储、运维层面引起的系统中断均纳入失效时长考核，保障办公业务零中断。本项目采用全部外包模式，由服务提供商负责平台整体运维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（1）软硬件基础设施运维服务：提供系统运行所需服务器、存储及网络资源，配置维护WAF防护、域名解析服务，支持系统迁移及环境扩容，定期检查机房电力、消防、网络等基础设施。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信息系统运维服务：按需提供系统初始安装及数据导入服务；常态化开展数据库账号密码维护、每三天一次数据备份、漏洞修复、BUG响应处置、数据全量导出交付、配合完成上级系统信息填报；定期开展数据库、应用服务器、表结构及索引、查询条件优化，提升系统响应速度；每年提供3次免费上门服务、1次平台迁移服务，7×24小时提供热线与远程维护支持，软件自身BUG免费修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（3）数据资源及制度运维服务：定期备份系统全量数据，保障数据迁移过程完整性与一致性，配合完成网络安全数据上报；建立运维台账记录故障处理与变更操作，定期开展系统巡检与安全自查。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（1）响应时效要求：BUG问题响应时间不超过2小时，平台故障按需立即处置，7×24小时提供技术支持服务。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（2）质量管控要求：全年系统可用性不低于99.95%，年失效时间不超过262.8分钟；每季度提交运维报告；未按约定履行服务造成系统无法使用及损失的，承担相应责任及经济补偿。</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（3）安全合规要求：运维人员持证上岗，严格执行机房管理制度，遵守教育系统信息安全保密规定，保障平台数据安全合规。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4、团队配置要求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团队由项目经理1名、运维工程师2名、数据库管理员1名、安全专员1名组成，实行7×24小时值班制度，建立三级应急响应机制保障故障及时处理，每季度与甲方对接沟通优化服务内容，按要求提交季度、年度运维报告。</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7</w:t>
      </w:r>
      <w:r>
        <w:rPr>
          <w:rFonts w:hint="eastAsia" w:ascii="宋体" w:hAnsi="宋体" w:eastAsia="宋体" w:cs="宋体"/>
          <w:b/>
          <w:bCs/>
          <w:sz w:val="24"/>
          <w:szCs w:val="24"/>
          <w:lang w:eastAsia="zh-CN"/>
        </w:rPr>
        <w:t xml:space="preserve">：“滨湖工信”工业企业大数据平台运行维护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运维期限：12个月（2026年9月1日-2027年8月31日）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服务使用单位：无锡市滨湖区工业和信息化局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本项目运维目标为保障无锡市滨湖区工业与信息化局“滨湖工信”工业企业大数据平台稳定、高效与安全运行，通过专业的运行监控与日常维护，确保系统持续可靠，支撑全区工业经济监测、企业服务、产业决策</w:t>
      </w:r>
      <w:r>
        <w:rPr>
          <w:rFonts w:hint="eastAsia" w:ascii="宋体" w:hAnsi="宋体" w:eastAsia="宋体" w:cs="宋体"/>
          <w:sz w:val="24"/>
          <w:szCs w:val="24"/>
          <w:lang w:val="en-US" w:eastAsia="zh-CN" w:bidi="ar"/>
        </w:rPr>
        <w:t xml:space="preserve">等核心政务职能开展，构建可知、可控、可优化的IT运维环境，保障各类业务应用可靠、高效、持续、安全运行。运维范围覆盖平台云资源、应用系统、数据资源全链条，运维内容包含运行监控、数据处理、定期巡检、故障处理、数据备份协助、日常技术支持、应用安全增强、配置与变更管理、运维分析与报告，需达到核心业务系统全年整体可用率不低于99.9%、年度运维服务综合满意度调查得分不低于90分、关键业务数据备份完整率与成功率达100%、核心数据项准确率不低于99.5%的指标要求，执行标准化运维制度规范，严格落实运维服务质量考核机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云基础设施运维：开展网络与安全系统运维，对云上VPC、子网、负载均衡、弹性公网IP、云防火墙、安全组等关键网络与安全组件进行运行监控、热线支持、故障处理、配置与变更管理、应急演练、优化分析；开展服务器与存储系统运维，对所有云服务器实例、云数据库实例、对象存储进行运行监控、性能调优、备份支持、故障协同处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信息系统运维：对平台各子系统开展运行监控、数据处理、定期巡检、故障处理、日常技术支持、版本发布支持，为区、街道、社区三级工信部门工作人员及企业用户提供业务操作咨询、权限问题解答等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（3）数据资源运维：覆盖数据从产生、存储、加工到服务的全生命周期维护，开展日常监控、数据质量核查、历史数据归档与清理，响应并处理因数据异常导致的业务查询错误。</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（4）运维管理工作：严格执行运维人员管理与保密制度、标准操作规程、事件与故障管理流程、变更管理流程、文档与记录规范，配合完成运维服务质量考核相关工作。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响应时效要求：所有服务请求2小时内响应，确需现场处置的重大故障2小时内抵达现场；重大故障30分钟内响应、4小时内恢复基本功能、24小时内彻底解决，严重故障1小时内响应、8小时内恢复，一般故障2小时内响应、3个工作日内解决；云资源实例操作系统/数据库层面异常15分钟内响应并开始排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服务质量要求：核心业务系统全年整体可用率不低于99.9%，核心业务数据库可用率不低于99.9%，关键业务数据备份完整率与成功率达100%，关键数据项准确率不低于99.5%，年度运维服务综合满意度调查得分不低于90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合规管理要求：运维人员全员签署保密协议，所有运维操作全程留痕可追溯，所有变更执行申请、审批、测试、实施、验证的闭环管理，严格遵守政务信息化安全管理制度，配合完成月度、季度、年度运维服务质量考核。</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4、团队配置要求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（1）服务管理层：配置项目经理1人，作为对甲方的单一联络点，全面负责合同履行、服务交付、日常沟通协调；配置技术负责人1人，负责运维技术方案的审核、重大故障的技术决策与资源调度。</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（2）技术支持层：配置一线支持工程师、二线各领域专职工程师不少于5人，分别具备对应云运维、Java Web架构运维、政务业务适配经验，负责服务请求接报分流、复杂技术问题处理、日常巡检、标准变更实施。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（3）专家资源层：配置三线技术专家/架构师不少于1人，负责疑难故障处置、根因分析、性能优化、技术方案设计；配置专项安全服务团队，负责渗透测试、安全评估、应急响应等安全增强服务。</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8</w:t>
      </w:r>
      <w:r>
        <w:rPr>
          <w:rFonts w:hint="eastAsia" w:ascii="宋体" w:hAnsi="宋体" w:eastAsia="宋体" w:cs="宋体"/>
          <w:b/>
          <w:bCs/>
          <w:sz w:val="24"/>
          <w:szCs w:val="24"/>
          <w:lang w:eastAsia="zh-CN"/>
        </w:rPr>
        <w:t xml:space="preserve">：滨湖区国家工作人员学法考试平台运维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运维期限：12个月（2026年9月1日-2027年8月31日）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服务使用单位：无锡市滨湖区司法局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旨在加强无锡市滨湖区司法局正在使用的滨湖区国家工作人员学法考试平台运维信息系统运行监控、日常维护，确保系统的正常运行，切实保障相关业务的正常开展，为全区国家工作人员学法、考试工作提供可靠支撑，助力法治滨湖建设，切实优化利企便民的政务服务环境。运维服务的目标是，对现有的信息系统基础资源进行监控和管理，及时掌握信息系统资源现状和配置信息，反映信息系统资源的可用性情况和正常运行状况，创建一个可知可控的IT环境，保证信息系统的各类业务信息系统的可靠、高效、持续、安全运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主要工作内容是：</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全区国家工作人员网上学法课程、网上法律知识考试系统维护；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新提任区管领导干部法律知识考试维护；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全区机关、企事业单位账号及全体国家工作人员账号密码维护；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其他保障学法平台正常运营的后台维护工作。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具体需达到的目标如下：</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1）系统可用性：100%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2）用户满意度：100%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3）故障处理时间如下表所示：</w:t>
      </w:r>
      <w:r/>
    </w:p>
    <w:tbl>
      <w:tblPr>
        <w:tblStyle w:val="77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435"/>
        <w:gridCol w:w="1475"/>
        <w:gridCol w:w="1576"/>
        <w:gridCol w:w="2036"/>
      </w:tblGrid>
      <w:tr>
        <w:trPr>
          <w:jc w:val="center"/>
          <w:tblHeader/>
        </w:trPr>
        <w:tc>
          <w:tcPr>
            <w:shd w:val="clear" w:color="auto" w:fill="auto"/>
            <w:tcBorders>
              <w:top w:val="single" w:color="auto" w:sz="4" w:space="0"/>
              <w:left w:val="single" w:color="auto" w:sz="4" w:space="0"/>
              <w:bottom w:val="single" w:color="auto" w:sz="4" w:space="0"/>
              <w:right w:val="single" w:color="auto" w:sz="4" w:space="0"/>
            </w:tcBorders>
            <w:tcW w:w="34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故障级别</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远程响应</w:t>
            </w:r>
            <w:r/>
          </w:p>
        </w:tc>
        <w:tc>
          <w:tcPr>
            <w:shd w:val="clear" w:color="auto" w:fill="auto"/>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现场响应</w:t>
            </w:r>
            <w:r/>
          </w:p>
        </w:tc>
        <w:tc>
          <w:tcPr>
            <w:shd w:val="clear" w:color="auto" w:fill="auto"/>
            <w:tcBorders>
              <w:top w:val="single" w:color="auto" w:sz="4" w:space="0"/>
              <w:left w:val="single" w:color="auto" w:sz="4" w:space="0"/>
              <w:bottom w:val="single" w:color="auto" w:sz="4" w:space="0"/>
              <w:right w:val="single" w:color="auto" w:sz="4" w:space="0"/>
            </w:tcBorders>
            <w:tcW w:w="203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故障解决时间</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34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普通故障（如单个用户账号密码重置、课程访问卡顿等不影响整体业务的问题）</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立即响应</w:t>
            </w:r>
            <w:r/>
          </w:p>
        </w:tc>
        <w:tc>
          <w:tcPr>
            <w:shd w:val="clear" w:color="auto" w:fill="auto"/>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2小时内到现场</w:t>
            </w:r>
            <w:r/>
          </w:p>
        </w:tc>
        <w:tc>
          <w:tcPr>
            <w:shd w:val="clear" w:color="auto" w:fill="auto"/>
            <w:tcBorders>
              <w:top w:val="single" w:color="auto" w:sz="4" w:space="0"/>
              <w:left w:val="single" w:color="auto" w:sz="4" w:space="0"/>
              <w:bottom w:val="single" w:color="auto" w:sz="4" w:space="0"/>
              <w:right w:val="single" w:color="auto" w:sz="4" w:space="0"/>
            </w:tcBorders>
            <w:tcW w:w="203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到达现场后&lt;3小时</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34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重大故障（如部分用户无法登录、考试模块异常等影响局部业务的问题）</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立即响应</w:t>
            </w:r>
            <w:r/>
          </w:p>
        </w:tc>
        <w:tc>
          <w:tcPr>
            <w:shd w:val="clear" w:color="auto" w:fill="auto"/>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1小时内到现场</w:t>
            </w:r>
            <w:r/>
          </w:p>
        </w:tc>
        <w:tc>
          <w:tcPr>
            <w:shd w:val="clear" w:color="auto" w:fill="auto"/>
            <w:tcBorders>
              <w:top w:val="single" w:color="auto" w:sz="4" w:space="0"/>
              <w:left w:val="single" w:color="auto" w:sz="4" w:space="0"/>
              <w:bottom w:val="single" w:color="auto" w:sz="4" w:space="0"/>
              <w:right w:val="single" w:color="auto" w:sz="4" w:space="0"/>
            </w:tcBorders>
            <w:tcW w:w="203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到达现场后&lt;2小时</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34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特大故障（如平台整体宕机、数据异常、安全漏洞等影响全量业务的问题）</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立即响应</w:t>
            </w:r>
            <w:r/>
          </w:p>
        </w:tc>
        <w:tc>
          <w:tcPr>
            <w:shd w:val="clear" w:color="auto" w:fill="auto"/>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30分钟内到现场</w:t>
            </w:r>
            <w:r/>
          </w:p>
        </w:tc>
        <w:tc>
          <w:tcPr>
            <w:shd w:val="clear" w:color="auto" w:fill="auto"/>
            <w:tcBorders>
              <w:top w:val="single" w:color="auto" w:sz="4" w:space="0"/>
              <w:left w:val="single" w:color="auto" w:sz="4" w:space="0"/>
              <w:bottom w:val="single" w:color="auto" w:sz="4" w:space="0"/>
              <w:right w:val="single" w:color="auto" w:sz="4" w:space="0"/>
            </w:tcBorders>
            <w:tcW w:w="203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到达现场后&lt;1小时</w:t>
            </w:r>
            <w:r/>
          </w:p>
        </w:tc>
      </w:tr>
    </w:tbl>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2、运维服务要求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运行监控：7×24小时监控平台服务器、数据库、课程模块、考试模块、账号管理模块运行状态，实时预警异常情况；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课程维护：保障网上学法课程资源正常加载、更新，处理课程播放异常、内容显示错误等问题；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考试保障：考前系统压力测试、考试过程实时监控、考后数据整理，处理考试卡顿、提交失败、成绩异常等问题；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账号管理：根据人员变动需求，新增、注销、修改机关企事业单位及个人账号信息，重置账号密码，配置账号权限；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故障处理：响应并解决用户反馈的各类系统使用问题，包括登录异常、操作报错、功能无法使用等。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数据备份：定期对平台用户数据、考试成绩数据、课程资源数据进行备份，确保数据安全可恢复。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安全维护：处理安全预警信息，保障平台数据安全和运行安全。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技术支持：提供7×24小时远程技术支持，解答用户疑问，指导用户规范使用平台。</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3.巡检周期、服务响应时间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（1）机房运维服务标准与要求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巡检周期：每月开展1次机房配套设施专项巡检，重点检查支撑平台运行的供电、制冷、消防等设备状态。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响应时间：遵循7×24小时服务响应机制，电话响应时限≤15分钟，现场响应时限≤2小时（普通故障）、≤1小时（重大故障）、≤30分钟（特大故障）。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人员要求：运维人员需具备机房设施运维相关资质，熟悉政务信息化机房运行规范，具备平台配套设施故障排查经验。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（2）运维服务内容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日常巡检：检查机房供电稳定性、空调制冷效果、消防设备有效性，记录设备运行参数，形成巡检报告。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故障处理：针对机房设施故障（如断电、空调停机等），及时协调维修或启用备用设施，保障平台运行基础环境稳定。</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应急保障：制定机房突发故障应急预案，每半年配合开展1次应急演练，提升故障处置效率。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（3）服务交付成果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每月机房巡检报告、故障处理记录表、应急演练总结报告。</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9</w:t>
      </w:r>
      <w:r>
        <w:rPr>
          <w:rFonts w:hint="eastAsia" w:ascii="宋体" w:hAnsi="宋体" w:eastAsia="宋体" w:cs="宋体"/>
          <w:b/>
          <w:bCs/>
          <w:sz w:val="24"/>
          <w:szCs w:val="24"/>
          <w:lang w:eastAsia="zh-CN"/>
        </w:rPr>
        <w:t xml:space="preserve">：办公</w:t>
      </w:r>
      <w:r>
        <w:rPr>
          <w:rFonts w:hint="eastAsia" w:ascii="宋体" w:hAnsi="宋体" w:eastAsia="宋体" w:cs="宋体"/>
          <w:b/>
          <w:bCs/>
          <w:sz w:val="24"/>
          <w:szCs w:val="24"/>
          <w:lang w:val="en-US"/>
        </w:rPr>
        <w:t xml:space="preserve">OA</w:t>
      </w:r>
      <w:r>
        <w:rPr>
          <w:rFonts w:hint="eastAsia" w:ascii="宋体" w:hAnsi="宋体" w:eastAsia="宋体" w:cs="宋体"/>
          <w:b/>
          <w:bCs/>
          <w:sz w:val="24"/>
          <w:szCs w:val="24"/>
          <w:lang w:eastAsia="zh-CN"/>
        </w:rPr>
        <w:t xml:space="preserve">系统运维服务和技术支持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运维期限：12个月（2026年9月1日-2027年8月31日）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服务使用单位：无锡市滨湖区人力资源和社会保障局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信息系统运维：包括对“协同办公OA及手机移动APP”系统软件（含个人办公、公文管理、一周工作管理、会议管理、休假管理、用车管理、公务出行管理、资产管理、低值易耗品管理、印章管理、信息管理、系统后台管理等功能模块，以及手机移动APP在安卓+苹果的互联网+应用）的故障快速处理、现有功能模块优化完善、部门人员权限动态调整、系统业务数据整理服务、系统数据备份、运行环境故障联合排查、系统安全防护和升级加固、系统性能数据库性能调优、定期巡检、APP升级迭代、其他技术支持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（1）驻场服务事项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每月1次，派驻1名工程师提供驻场巡检服务，现场保障运维服务的及时、高效、安全。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（2）故障处理事项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1）普通故障：远程立即响应，工作时间内驻场工程师立即响应，非工作时间3小时内到现场，到达现场后3小时内解决问题。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2）重大故障：远程立即响应，工作时间内驻场工程师立即响应，非工作时间2小时内到现场，到达现场后2小时内解决问题。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3）特大故障：远程立即响应，工作时间内驻场工程师立即响应，非工作时间1小时内到现场，到达现场后1小时内解决问题。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（3）在线技术支持事项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除驻场服务之外，提供5×8小时的电话、微信、QQ、邮件等方式的在线服务、技术支持。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（4）现有功能模块优化完善事项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根据局业务管理要求变化及相关政策法规变更，经用户方业务科室及信息化主管部门需求确认后，随时对相应功能模块的审批流程、业务表单、数据字段、管理功能等进行优化完善。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（5）部门人员权限动态调整事项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根据局及各科室部门、人员变动情况，经用户方信息化主管部门审核确认后，随时对系统后台组织机构、人员岗位、功能权限、审批流程节点等进行动态调整。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（6）系统业务数据整理服务事项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根据实际管理工作要求，从程序代码、数据库层面等对系统产生的各类数据进行整理校正、增删改查、导入导出等。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（7）系统数据备份事项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积极配合协助用户做好容灾和数据备份（每天数据备份一次），确保系统数据信息安全。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（8）运行环境故障的联合排查事项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因网络、硬件设备、操作系统、数据库、存储备份等配套环境发生故障时，运维单位需及时配合信息中心及相关单位进行技术协助、故障排查、协助测试、系统恢复。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（9）系统安全防护和升级加固事项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1）、配合用户对各类安全问题进行的处置，对于市/区网信办扫描排查到的安全漏洞、风险点，及时响应，做好系统软件层面的程序修补、安全升级等安全防护加固工作。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（10）系统性能数据库性能调优事项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在系统出现性能问题时，及时找出性能瓶颈，对系统程序进行调整优化，或解决数据库性能问题，保障信息系统的高效运行。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（11）定期巡检事项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根据系统运行的稳定情况，定期（每月1次）对系统进行现场巡查、运行日志监控分析，以求及时发现、及时处理系统运行中的潜在隐患，减少系统发生故障的概率。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（12）APP升级迭代事项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被动的跟随安卓Android手机、苹果手机操作系统的版本升级，而造成的移动端APP的同步升级适配。升级次数：大致2-3个版本/年。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（13）其他服务事项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对可能影响系统软件正常稳定运行的其他不确定因素提供技术支持服务，以确保本项目系统现有各功能的稳定运行、正常使用。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（1）系统可用率：99%。</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（2）用户满意度：95%。</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（3）运维服务及时率：95%。</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（4）故障处理时间要求：</w:t>
      </w:r>
      <w:r/>
    </w:p>
    <w:tbl>
      <w:tblPr>
        <w:tblStyle w:val="77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69"/>
        <w:gridCol w:w="1570"/>
        <w:gridCol w:w="2439"/>
        <w:gridCol w:w="2944"/>
      </w:tblGrid>
      <w:tr>
        <w:trPr>
          <w:jc w:val="center"/>
          <w:tblHeader/>
        </w:trPr>
        <w:tc>
          <w:tcPr>
            <w:shd w:val="clear" w:color="auto" w:fill="auto"/>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故障级别</w:t>
            </w:r>
            <w:r/>
          </w:p>
        </w:tc>
        <w:tc>
          <w:tcPr>
            <w:shd w:val="clear" w:color="auto" w:fill="auto"/>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远程响应</w:t>
            </w:r>
            <w:r/>
          </w:p>
        </w:tc>
        <w:tc>
          <w:tcPr>
            <w:shd w:val="clear" w:color="auto" w:fill="auto"/>
            <w:tcBorders>
              <w:top w:val="single" w:color="auto" w:sz="4" w:space="0"/>
              <w:left w:val="single" w:color="auto" w:sz="4" w:space="0"/>
              <w:bottom w:val="single" w:color="auto" w:sz="4" w:space="0"/>
              <w:right w:val="single" w:color="auto" w:sz="4" w:space="0"/>
            </w:tcBorders>
            <w:tcW w:w="243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现场响应</w:t>
            </w:r>
            <w:r/>
          </w:p>
        </w:tc>
        <w:tc>
          <w:tcPr>
            <w:shd w:val="clear" w:color="auto" w:fill="auto"/>
            <w:tcBorders>
              <w:top w:val="single" w:color="auto" w:sz="4" w:space="0"/>
              <w:left w:val="single" w:color="auto" w:sz="4" w:space="0"/>
              <w:bottom w:val="single" w:color="auto" w:sz="4" w:space="0"/>
              <w:right w:val="single" w:color="auto" w:sz="4" w:space="0"/>
            </w:tcBorders>
            <w:tcW w:w="29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故障解决时间</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普通故障</w:t>
            </w:r>
            <w:r/>
          </w:p>
        </w:tc>
        <w:tc>
          <w:tcPr>
            <w:shd w:val="clear" w:color="auto" w:fill="auto"/>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立即响应</w:t>
            </w:r>
            <w:r/>
          </w:p>
        </w:tc>
        <w:tc>
          <w:tcPr>
            <w:shd w:val="clear" w:color="auto" w:fill="auto"/>
            <w:tcBorders>
              <w:top w:val="single" w:color="auto" w:sz="4" w:space="0"/>
              <w:left w:val="single" w:color="auto" w:sz="4" w:space="0"/>
              <w:bottom w:val="single" w:color="auto" w:sz="4" w:space="0"/>
              <w:right w:val="single" w:color="auto" w:sz="4" w:space="0"/>
            </w:tcBorders>
            <w:tcW w:w="243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3小时内到现场</w:t>
            </w:r>
            <w:r/>
          </w:p>
        </w:tc>
        <w:tc>
          <w:tcPr>
            <w:shd w:val="clear" w:color="auto" w:fill="auto"/>
            <w:tcBorders>
              <w:top w:val="single" w:color="auto" w:sz="4" w:space="0"/>
              <w:left w:val="single" w:color="auto" w:sz="4" w:space="0"/>
              <w:bottom w:val="single" w:color="auto" w:sz="4" w:space="0"/>
              <w:right w:val="single" w:color="auto" w:sz="4" w:space="0"/>
            </w:tcBorders>
            <w:tcW w:w="29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到达现场后&lt;3小时</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重大故障</w:t>
            </w:r>
            <w:r/>
          </w:p>
        </w:tc>
        <w:tc>
          <w:tcPr>
            <w:shd w:val="clear" w:color="auto" w:fill="auto"/>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立即响应</w:t>
            </w:r>
            <w:r/>
          </w:p>
        </w:tc>
        <w:tc>
          <w:tcPr>
            <w:shd w:val="clear" w:color="auto" w:fill="auto"/>
            <w:tcBorders>
              <w:top w:val="single" w:color="auto" w:sz="4" w:space="0"/>
              <w:left w:val="single" w:color="auto" w:sz="4" w:space="0"/>
              <w:bottom w:val="single" w:color="auto" w:sz="4" w:space="0"/>
              <w:right w:val="single" w:color="auto" w:sz="4" w:space="0"/>
            </w:tcBorders>
            <w:tcW w:w="243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2小时内到现场</w:t>
            </w:r>
            <w:r/>
          </w:p>
        </w:tc>
        <w:tc>
          <w:tcPr>
            <w:shd w:val="clear" w:color="auto" w:fill="auto"/>
            <w:tcBorders>
              <w:top w:val="single" w:color="auto" w:sz="4" w:space="0"/>
              <w:left w:val="single" w:color="auto" w:sz="4" w:space="0"/>
              <w:bottom w:val="single" w:color="auto" w:sz="4" w:space="0"/>
              <w:right w:val="single" w:color="auto" w:sz="4" w:space="0"/>
            </w:tcBorders>
            <w:tcW w:w="29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到达现场后&lt;2小时</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特大故障</w:t>
            </w:r>
            <w:r/>
          </w:p>
        </w:tc>
        <w:tc>
          <w:tcPr>
            <w:shd w:val="clear" w:color="auto" w:fill="auto"/>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立即响应</w:t>
            </w:r>
            <w:r/>
          </w:p>
        </w:tc>
        <w:tc>
          <w:tcPr>
            <w:shd w:val="clear" w:color="auto" w:fill="auto"/>
            <w:tcBorders>
              <w:top w:val="single" w:color="auto" w:sz="4" w:space="0"/>
              <w:left w:val="single" w:color="auto" w:sz="4" w:space="0"/>
              <w:bottom w:val="single" w:color="auto" w:sz="4" w:space="0"/>
              <w:right w:val="single" w:color="auto" w:sz="4" w:space="0"/>
            </w:tcBorders>
            <w:tcW w:w="243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1小时内到现场</w:t>
            </w:r>
            <w:r/>
          </w:p>
        </w:tc>
        <w:tc>
          <w:tcPr>
            <w:shd w:val="clear" w:color="auto" w:fill="auto"/>
            <w:tcBorders>
              <w:top w:val="single" w:color="auto" w:sz="4" w:space="0"/>
              <w:left w:val="single" w:color="auto" w:sz="4" w:space="0"/>
              <w:bottom w:val="single" w:color="auto" w:sz="4" w:space="0"/>
              <w:right w:val="single" w:color="auto" w:sz="4" w:space="0"/>
            </w:tcBorders>
            <w:tcW w:w="29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到达现场后&lt;1小时</w:t>
            </w:r>
            <w:r/>
          </w:p>
        </w:tc>
      </w:tr>
    </w:tbl>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（5）驻场服务要求：每月1次，派驻1名工程师提供驻场服务，确保运维服务的及时性和安全性。</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（6）维护工程师要求：运维工程师必须熟悉系统功能和业务流程，能够快速发现、诊断、解决系统故障；在系统出现性能问题时，及时找出性能瓶颈，解决数据库性能问题。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（7）在线服务要求：提供5×8小时的电话、微信、QQ、邮件等方式的在线服务、技术支持。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（8）应急响应要求：除驻场服务之外，如突发系统故障等紧急情况，要求随时派遣工程师进行现场故障排查、问题处理。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（9）定期巡检要求：定期（每月1次）对系统进行现场巡查、检查，运行日志监控分析等。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（10）数据备份要求：每天数据备份一次。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（11）APP升级迭代频次：大致2-3个版本/年。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（12）运维模式：外包服务模式（驻场服务和按需服务相结合）。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（13）考核措施：一旦违反运维服务要求而导致用户系统瘫痪、或给用户工作造成重大负面影响，每发生一次，用户有权扣除本运维服务费用总额的5%，以示惩戒。</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（14）免责条款：因用户方工作人员误操作、病毒感染、网络硬件故障，以及不可抗力等原因而引起的系统故障、数据丢失、系统瘫痪等，运维服务方不承担责任，但需积极配合用户方进行系统的修复工作。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15）保密要求：运维单位必须与甲方签订保密协议，对业务信息系统涉及的各种业务信息、数据信息、技术资料等严格保密，不得向第三方泄露；未经用户方同意，不得以任何形式公开在项目中接触到的需要保密的信息资料；不得为任何其他目的而自行使用或允许他人使用从系统获得的信息。</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4、团队配置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运维管理团队运作模式：外包（购买服务）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运维管理团队的组成：局办公室、外包团队。</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管理团队职能：负责制定单位在运维服务方面的发展战略和发展方向；负责制定单位在运维服务的各项方针和目标，贯彻落实并确保目标的实现；负责主持单位的运维服务团队建设，规范内部管理，确保运维服务各项资源（包括人力资源、基础设施、财务资源等）的科学配置和落实；确保单位运维服务各项基本服务贯彻实施；处理运维服务方面的重大突发事件。</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10</w:t>
      </w:r>
      <w:r>
        <w:rPr>
          <w:rFonts w:hint="eastAsia" w:ascii="宋体" w:hAnsi="宋体" w:eastAsia="宋体" w:cs="宋体"/>
          <w:b/>
          <w:bCs/>
          <w:sz w:val="24"/>
          <w:szCs w:val="24"/>
          <w:lang w:eastAsia="zh-CN"/>
        </w:rPr>
        <w:t xml:space="preserve">：无锡市滨湖区河长制信息化平台维保项目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运维期限：12个月（2026年9月1日-2027年8月31日）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服务使用单位：无锡市滨湖区水利局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运维目标为保障平台7大核心功能模块、安卓版移动APP、全量数据资源及运行环境稳定高效安全运行，支撑河长制巡河管理、问题交办、数据统计、信息发布等业务有序开展，系统可用性95%，用户季度考核满意度≥90分。运维服务覆盖平台功能优化、数据维护、网络安全防护、故障应急处置、系统性能提升等全流程，通过常态化运维服务打造可知可控的IT运行环境，保障业务连续开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功能模块运维：日常运维保障河长工作台、河长巡河、问题交办、巡河统计分析、信息管理、互联互通、系统管理7大核心模块及安卓版移动APP功能正常运行，定期优化操作流程、完善功能细节、维护代码安全，及时响应处理功能故障、操作异常等问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（2）网络与安全运维：7*24小时监控平台网络连通性，定期开展渗透测试、漏洞扫描，提供安全加固建议，排查修复网络故障，保障数据传输稳定安全。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数据资源运维：每日监控全量数据状态，维护河湖长信息、巡河数据、问题事件数据、水质数据等全量数据的完整性、准确性、安全性，每月完成全量备份及数据核查，按业务需求实时更新数据，清理无效冗余数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（4）巡检与应急处置：每月开展全系统巡检形成巡检报告，建立问题台账跟踪整改进度，7*24小时响应处置各类故障，防汛期、专项整治行动等重要时期安排专人值守。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（1）响应时效要求：普通故障立即响应，2小时内到现场，到达后3小时内解决；重大故障立即响应，1小时内到现场，到达后2小时内解决；特大故障立即响应，30分钟内到现场，到达后1小时内解决。</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（2）服务质量要求：系统可用性95%，用户季度考核满意度≥90分，数据无泄露、丢失、篡改，运维操作全程留痕，运维记录真实准确，符合政务数据安全保密要求。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4、团队配置要求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 配置2名网络与安全专职运维人员、2名系统专职运维人员，提供7*24小时服务热线，负责日常运维、故障处置、安全防护、巡检优化、用户培训等工作。</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11</w:t>
      </w:r>
      <w:r>
        <w:rPr>
          <w:rFonts w:hint="eastAsia" w:ascii="宋体" w:hAnsi="宋体" w:eastAsia="宋体" w:cs="宋体"/>
          <w:b/>
          <w:bCs/>
          <w:sz w:val="24"/>
          <w:szCs w:val="24"/>
          <w:lang w:eastAsia="zh-CN"/>
        </w:rPr>
        <w:t xml:space="preserve">：无锡市滨湖区县域水资源管理保护规范化集成示范项目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运维期限：11个月（2026年10月1日-2027年8月31日）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服务使用单位：无锡市滨湖区水利局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运维目标为保障全域物联网数字孪生水资源管理系统稳定高效安全运行，支撑水资源管理业务及取用水户办理业务有序开展，核心指标为系统可用性95%，用户满意度95%。运维服务覆盖系统运行监控、数据处理、漏洞修复、技术支持、故障处置、数据接入等全流程，打造可知可控的IT运行环境，保障业务连续开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（1）基础运维服务：依据安全检测报告开展系统漏洞修复，定期开展系统备份，提供7×24小时远程及现场技术支持，每月至少开展1次基础巡检并提交巡检报告。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（2）信息系统运维：对水文监测数据、设备状态数据、业务办理数据开展规范化清洗、校验、格式转换处理；按故障级别分类处置系统问题，重大故障修复后同步提交根因分析报告。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（3）报告交付服务：每季度最后5日提交季度运维总结报告，半年度、年度分别提交运维报告。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（4）数据资源运维：接入新增取用水户感知监测数据，保障14个监测站点感知数据接收能力稳定无故障，确保全量数据完整准确。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（5）巡检与运维管理：开展常态化系统巡检，建立问题台账跟踪整改进度，按要求提交各类运维报告。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（6）网络与安全运维：7*24小时监控平台网络连通性，定期开展渗透测试、漏洞扫描，提供安全加固建议，排查修复网络故障，保障数据传输稳定安全。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（1）响应时效要求：一般故障远程响应不超过30分钟，恢复时间不超过4小时；重大故障远程响应不超过15分钟，恢复时间不超过8小时，故障修复后同步提交根因分析报告。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（2）服务质量要求：系统可用性95%，用户满意度95%，运维操作全程留痕，符合政务数据安全保密要求。运维服务考核实行百分制，考核结果与服务费用支付直接挂钩，考核分数低于95分扣除对应比例服务费用。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4、团队配置要求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运维服务团队：配置1名管理人员、5名运维人员，运维人员分别负责日常运维、应急处置、远程技术支持，管理人员负责统筹需求对接、进度跟踪、质量管控等工作。</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12</w:t>
      </w:r>
      <w:r>
        <w:rPr>
          <w:rFonts w:hint="eastAsia" w:ascii="宋体" w:hAnsi="宋体" w:eastAsia="宋体" w:cs="宋体"/>
          <w:b/>
          <w:bCs/>
          <w:sz w:val="24"/>
          <w:szCs w:val="24"/>
          <w:lang w:eastAsia="zh-CN"/>
        </w:rPr>
        <w:t xml:space="preserve">：无锡市滨湖区农业农村局大数据平台（一期）项目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运维期限：9个月（2026年12月1日-2027年8月31日）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服务使用单位：无锡市滨湖区农业农村局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1、运维内容</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本项目为滨湖区农业农</w:t>
      </w:r>
      <w:r>
        <w:rPr>
          <w:rFonts w:hint="eastAsia" w:ascii="宋体" w:hAnsi="宋体" w:eastAsia="宋体" w:cs="宋体"/>
          <w:sz w:val="24"/>
          <w:szCs w:val="24"/>
          <w:lang w:val="en-US" w:eastAsia="zh-CN" w:bidi="ar"/>
        </w:rPr>
        <w:t xml:space="preserve">村局提供2026年全年大数据平台全周期运维服务，核心目标是保障平台稳定高效运行，有序汇聚整合全区农业生产、产业发展、乡村建设、涉农主体等全维度数据资源，支撑农业产业监测、农产品溯源、农机监管、畜牧防疫管控、乡村振兴决策分析等全场景业务开展。运维覆盖范围包含底层基础计算存储资源、涉农数据资源库、大数据中台、上层应用系统四大层级，核心运行指标明确为系统可用率≥99.5%、数据同步准确率≥99%、数据更新延迟≤2小时、故障解决率≥98%、用户满意度≥95%，全程符合政务数据安全管理规范及网络安全等级保护二级要求。</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系统日常运维：每周开展平台全量功能巡检，每月开展一次性能压力测试，及时修复系统bug，优化运行参数，定期更新系统口令、调整用户权限分级管控，面向各涉农部门工作人员开展操作培训，根据业务需求迭代优化平台功能，保障所有业务模块稳定可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数据资源运维：每日开展数据库运行状态监测、数据一致性校验，每周开展全量数据备份，每月开展一次数据容灾演练，落实数据分类分级管控，对涉农主体信息、产业监测数据、土地资源数据等高敏感数据加密存储，定期开展数据合规审计，保障数据存储、传输、使用全流程合规。</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安全运维：每周开展一次全量资产漏洞扫描，及时修复高危、中危漏洞，每月开展一次安全策略优化，7*24小时监控安全事件，及时处置异常告警，配合主管部门完成等保测评、安全自查、数据安全审计等工作，所有运维操作全程留痕可追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（4）运维管理：对接各涉农部门业务需求，梳理优化运维流程，每月开展一次平台运行情况分析，提报针对性优化建议，配合完成数据上报、重大活动业务支撑等临时性任务。</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技术培训服务：针对管理人员、使用人员、专业运维人员三类对象分层开展培训，培训内容涵盖系统操作、系统管理、运维技能三类，采用集中授课、跟岗实践、现场指导三种方式，确保相关人员熟练掌握平台操作及运维技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（6）对接支撑服务：应提供平台API接口、技术文档、源代码授权，无条件配合其他系统软硬件对接工作，支持第三方二次开发。</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响应时效要求：提供7*24小时技术支持服务，故障响应时间不超过30分钟，工作日工作时间到场处置时间不超过2小时，非工作日到场处置时间不超过4小时，一般故障到场后2小时内解决，重大故障到场后4小时内恢复核心功能，故障解决后24小时内提交根因分析报告及整改方案。</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服务质量要求：保障平台全年稳定运行，非计划停机时间全年累计不超过24小时，数据同步准确率不低于99%，数据更新延迟不超过2小时，整理完善平台操作手册、运维手册，所有运维人员需签订保密协议，不得泄露任何涉农敏感数据、政务数据，数据使用全流程符合相关法律法规要求。</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考核管理要求：每月提交运维月报，汇报当月运维工作开展情况、故障处置情况、优化建议等内容，按月开展运维考核，考核内容涵盖响应时效、服务质量、数据安全、用户满意度四个维度，月度考核得分低于90分扣除当月10%的服务费用，年度考核得分低于85分甲方有权终止服务合同，考核结果纳入后续项目招投标信用评价。</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4、团队配置要求</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（1）运维主管：1名，负责整体运维规划、需求对接、团队管理、考核材料提交。</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（2）系统工程师：1名，负责平台系统环境运维、安全防护、故障排查处置。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（3）数据工程师：1名，负责数据资源管理、数据运维、数据安全合规管控。</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13</w:t>
      </w:r>
      <w:r>
        <w:rPr>
          <w:rFonts w:hint="eastAsia" w:ascii="宋体" w:hAnsi="宋体" w:eastAsia="宋体" w:cs="宋体"/>
          <w:b/>
          <w:bCs/>
          <w:sz w:val="24"/>
          <w:szCs w:val="24"/>
          <w:lang w:eastAsia="zh-CN"/>
        </w:rPr>
        <w:t xml:space="preserve">：内控管理业务平台</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运维期限：12个月（2026年9月1日-2027年8月31日）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服务使用单位：无锡市滨湖区市场监督管理局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本项目服务范围覆盖内控管理业务平台全链路运维保障，核心目标是确保系统可用性达98%、用户满意度达99%，支撑市场监管内控相关业务正常开展，营造良好营商环境，利企便民。</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日常运维服务：提供5×8小时远程技术支撑，通过企业微信群、服务专线提供系统咨询，修复系统运行中出现的bug，完成临时性数据查询、统计需求，开展系统问题诊断及错误修正，年度结束后提交年度运维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巡检服务：在不干扰业务运行的前提下，定期对服务器、数据库、应用软件开展巡检，对应用系统进行性能测试和效能分析，提前排查排除故障隐患，按要求完成系统和数据定期备份，每次巡检完成后提交巡检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响应时效要求：普通故障立即响应，2小时内到达现场，到达现场后3小时内解决；重大故障立即响应，1小时内到达现场，到达现场后2小时内解决；特大故障立即响应，30分钟内到达现场，到达现场后1小时内解决。</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质量管控要求：保障系统7×24小时稳定运行，减少业务中断影响，定期开展安全漏洞扫描和风险评估，实施数据备份恢复策略确保数据安全完整，定期分析系统瓶颈优化资源配置，提高系统响应速度和处理能力，收集用户反馈优化功能流程，提升使用便捷性。</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（3）安全合规要求：严格遵守政务信息化运维规范和数据保密规定，配合完成安全检查、应急演练、审计等相关工作，保障业务数据安全无泄露。</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4、团队配置要求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运维团队配置专职运维专员，提供5×8小时远程技术支撑，按要求完成日常运维、巡检、报告提交等工作，保障运维服务质量符合要求。</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14</w:t>
      </w:r>
      <w:r>
        <w:rPr>
          <w:rFonts w:hint="eastAsia" w:ascii="宋体" w:hAnsi="宋体" w:eastAsia="宋体" w:cs="宋体"/>
          <w:b/>
          <w:bCs/>
          <w:sz w:val="24"/>
          <w:szCs w:val="24"/>
          <w:lang w:eastAsia="zh-CN"/>
        </w:rPr>
        <w:t xml:space="preserve">：滨湖自然资源规划数据中心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运维期限：12个月（2026年9月1日-2027年8月31日）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服务使用单位：无锡市自然资源和规划局滨湖分局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为无锡市自然资源和规划局滨湖分局提供系统运行维护、技术支持、接口开发相关服务，加强数据中心项目运行监控、日常维护，对现有信息系统基础资源进行监控和管理，及时掌握信息系统资源现状和配置信息，反映信息系统资源的可用性情况和正常运行状况，创建可知可控的IT环境，保障系统持续稳定运行，切实支撑全局自然资源规划相关业务正常开展，核心指标为系统可用性100%，用户满意度100%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（1）软件系统运行巡检：定期对数据中心项目软件开展巡检，检查系统运行状况、跨系统连接状态、系统日志、系统各项配置策略、数据库运行状态、应用中间件运行状况，形成书面巡检报告。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（2）信息安全巡查：定期开展信息安全巡检，完成主机安全性检测、网络设备安全性检测、安全漏洞检测分析与补丁安装、网络数据包检测分析等工作。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重要时刻保障：重要节点委派专业技术人员赴现场提供保障服务，全面检查系统部署环境，全程保障系统正常运行，同步提供设备检查记录等信息，具体内容包括网络连通检测、安全设备运行校验、数据库状态检查、服务器时间同步校验、中间件运行校验、系统各模块功能校验、业务数据一致性核对、业务数据测试与演练、漏洞升级修复、应急响应处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数据备份运维：关键数据库主机系统采用全备份、增量备份、差量备份三种方式轮循，配合合成备份功能提升备份恢复性能；次重要数据库系统、小数据量数据库服务器、文件系统采用全备份和增量备份结合的方式；软件安装或系统升级前后同步完成系统全量备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（5）日常维护服务：提供7*24小时技术支持服务，专人负责用户咨询响应，及时协调解决系统运行故障，按需提供现场维护服务。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（6）功能完善与业务培训：在不做大的系统变更前提下，按需优化完善现有系统功能，功能更新前完成内部测试确保系统稳定；根据业务需求面向相关业务人员开展系统操作培训。</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（7）应急演练管理：制定应急演练方案，组织开展应急预案演练，做好演练记录，明确各类故障处理措施，演练完成后提交包含演练流程、故障影响、处理方案、优化建议的正式演练报告。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（8）数据更新维护：按照年度归集整理平台展示数据，完成数据更新及图层注册叠加展示。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响应时效要求：普通故障立即响应，24小时内到场，到场后2小时内解决；重大故障立即响应，24小时内到场，到场后1小时内解决；特大故障立即响应，24小时内到场，到场后1小时内解决。I级紧急故障24小时内解决，未解决的32小时内出具应急方案保障业务运转，故障解决后24小时内提交故障处理报告，明确故障种类、原因、处置方法及损失情况。II级严重故障48小时内解决，III级较严重故障72小时内解决，IV级普通问题5天内解决，所有等级故障均需30分钟内响应，2小时内提交故障处理方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行为规范要求：运维人员严格遵守分局各项规章制度，与用户运维体系其他环节协同配合开展工作，遇疑难技术问题、重大紧急情况及时上报负责人，现场技术支持着装得体、谈吐文明，严格遵守保密原则，对接触到的网络、主机、系统软件、应用软件密码、核心参数、业务数据等严格保密，不得随意复制传播。</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现场服务要求：现场运维人员耐心细致开展服务，所有工作全程留痕、及时反馈，重大问题第一时间汇报，严格遵守工作作息时间及服务工作流程，在保障数据和系统安全的前提下开展运维操作，出现暂时无法解决的故障及时告知用户并上报负责人协调解决方案，故障解决后详细记录问题相关信息形成书面文档，按需向用户介绍故障成因、预防方法及处置技巧。</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问题管理要求：将用户问题分为咨询类问题和系统缺陷类问题分类管理，咨询类问题当场予以解答，系统缺陷类问题按提交、分析、确认、解决、上报、回复流程闭环处置，做好变更记录，及时向用户反馈解决方案、分析过程及问题成因。</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质量考核要求：按系统可用性、故障处理时效、用户满意度、安全事件发生率4项核心指标开展考核，未达要求的按合同约定执行处罚；每季度开展运维服务质量评估，梳理存在问题制定改进措施，每年开展年度运维总结，评估目标达成情况，制定下一年度运维工作计划。根据评估结果及时调整运维策略和流程，优化运维资源配置，加强运维人员培训提升团队技能水平，引入先进运维技术和工具提升运维效率和服务质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4、团队配置要求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（1）项目总指导1人：负责业务对接、技术问题解答，协同各业务部门推进运维工作。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（2）远程支持工程师2人：1人负责数据修复相关工作，1人负责软件bug修复及功能调整工作。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团队建立7*24小时应急联络机制，每周提交运维周报，每月提交运维月报，每季度组织运维复盘会。</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15</w:t>
      </w:r>
      <w:r>
        <w:rPr>
          <w:rFonts w:hint="eastAsia" w:ascii="宋体" w:hAnsi="宋体" w:eastAsia="宋体" w:cs="宋体"/>
          <w:b/>
          <w:bCs/>
          <w:sz w:val="24"/>
          <w:szCs w:val="24"/>
          <w:lang w:eastAsia="zh-CN"/>
        </w:rPr>
        <w:t xml:space="preserve">：滨湖区产业用地可利用资源管理系统</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运维期限：12个月（2026年9月1日-2027年8月31日）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服务使用单位：无锡市自然资源和规划局滨湖分局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核心目标为滨湖区产业用地可利用资源管理系统提供运行维护、技术支持、接口开发相关服务，对信息系统基础资源进行全流程监控管理，及时掌握系统资源现状、配置信息及可用性情况，创建可知可控IT环境，保障系统可靠、高效、持续、安全运行，切实支撑全局产业用地相关业务正常开展，核心量化指标为系统可用性100%，用户满意度100%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（1）软件系统运行巡检：定期对系统软件开展巡检，检查内容覆盖系统运行状况、跨系统连接状态、系统日志、配置策略、数据库运行状态、应用中间件运行状况，形成书面巡检报告。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（2）信息安全巡查：定期开展信息安全巡检，完成主机安全性检测、网络设备安全性检测、安全漏洞检测分析与补丁安装、网络数据包检测分析。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重要时刻保障：重要节点委派专业技术人员赴现场提供保障服务，完成网络连通检测、安全设备运行校验、数据库状态检查、服务器时间同步校验、中间件运行校验、系统各模块功能校验、业务数据一致性核对、业务数据测试与演练、漏洞升级修复、应急响应处置，全程保障系统正常运行，提交设备检查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数据备份运维：关键数据库主机系统采用全备份、增量备份、差量备份三种方式轮循，配合合成备份功能提升备份恢复性能；次重要数据库系统、小数据量数据库服务器、文件系统采用全备份和增量备份结合的方式；软件安装或系统升级前后同步完成系统全量备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（5）日常维护服务：提供7*24小时技术支持服务，专人负责用户咨询响应，30分钟内响应故障，协调解决系统运行问题，按需提供现场维护服务。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（6）功能完善与业务培训：在不做大的系统变更前提下，按需优化完善现有系统功能，功能更新前完成内部测试确保系统稳定；根据业务需求面向相关业务人员开展系统操作培训。</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（7）应急演练管理：制定应急演练方案，组织开展应急预案演练，做好演练记录，明确各类故障处理措施，演练完成后提交包含演练流程、故障影响、处理方案、优化建议的正式演练报告。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（8）数据更新维护：按照年度归集整理平台展示数据，完成数据更新及图层注册叠加展示。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响应时效要求：普通故障立即响应，24小时内到场，到场后2小时内解决；重大故障立即响应，24小时内到场，到场后1小时内解决；特大故障立即响应，24小时内到场，到场后1小时内解决。I级紧急故障24小时内解决，未解决的32小时内出具应急方案保障业务运转，故障解决后24小时内提交故障处理报告，明确故障种类、原因、处置方法及损失情况。II级严重故障48小时内解决，III级较严重故障72小时内解决，IV级普通问题5天内解决，所有等级故障均需30分钟内响应，2小时内提交故障处理方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行为规范要求：运维人员严格遵守分局各项规章制度，与用户运维体系其他环节协同配合开展工作，遇疑难技术问题、重大紧急情况及时上报负责人，现场技术支持着装得体、谈吐文明，严格遵守保密原则，对接触到的网络、主机、系统软件、应用软件密码、核心参数、业务数据等严格保密，不得随意复制传播。</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现场服务要求：现场运维人员耐心细致开展服务，所有工作全程留痕、及时反馈，重大问题第一时间汇报，严格遵守工作作息时间及服务工作流程，在保障数据和系统安全的前提下开展运维操作，出现暂时无法解决的故障及时告知用户并上报负责人协调解决方案，故障解决后详细记录问题相关信息形成书面文档，按需向用户介绍故障成因、预防方法及处置技巧。</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问题管理要求：将用户问题分为咨询类问题和系统缺陷类问题分类管理，咨询类问题当场予以解答，系统缺陷类问题按提交、分析、确认、解决、上报、回复流程闭环处置，做好变更记录，及时向用户反馈解决方案、分析过程及问题成因。</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质量考核要求：按系统可用性、故障处理时效、用户满意度、安全事件发生率4项核心指标开展考核，未达要求的按合同约定执行处罚；每季度开展运维服务质量评估，梳理存在问题制定改进措施，每年开展年度运维总结，评估目标达成情况，制定下一年度运维工作计划。根据评估结果及时调整运维策略和流程，优化运维资源配置，加强运维人员培训提升团队技能水平，引入先进运维技术和工具提升运维效率和服务质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4、团队配置要求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（1）项目总指导1人：负责业务对接、技术问题解答，协同各业务部门推进运维工作。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（2）远程支持工程师2人：1人负责数据修复相关工作，1人负责软件bug修复及功能调整工作。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团队建立7*24小时应急联络机制，每周提交运维周报，每月提交运维月报，每季度组织运维复盘会。</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16</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rPr>
        <w:t xml:space="preserve">2026</w:t>
      </w:r>
      <w:r>
        <w:rPr>
          <w:rFonts w:hint="eastAsia" w:ascii="宋体" w:hAnsi="宋体" w:eastAsia="宋体" w:cs="宋体"/>
          <w:b/>
          <w:bCs/>
          <w:sz w:val="24"/>
          <w:szCs w:val="24"/>
          <w:lang w:eastAsia="zh-CN"/>
        </w:rPr>
        <w:t xml:space="preserve">年度综合业务管理及办公</w:t>
      </w:r>
      <w:r>
        <w:rPr>
          <w:rFonts w:hint="eastAsia" w:ascii="宋体" w:hAnsi="宋体" w:eastAsia="宋体" w:cs="宋体"/>
          <w:b/>
          <w:bCs/>
          <w:sz w:val="24"/>
          <w:szCs w:val="24"/>
          <w:lang w:val="en-US"/>
        </w:rPr>
        <w:t xml:space="preserve">OA</w:t>
      </w:r>
      <w:r>
        <w:rPr>
          <w:rFonts w:hint="eastAsia" w:ascii="宋体" w:hAnsi="宋体" w:eastAsia="宋体" w:cs="宋体"/>
          <w:b/>
          <w:bCs/>
          <w:sz w:val="24"/>
          <w:szCs w:val="24"/>
          <w:lang w:eastAsia="zh-CN"/>
        </w:rPr>
        <w:t xml:space="preserve">平台运维服务项目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运维期限：12个月（2026年9月1日-2027年8月31日）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服务使用单位：无锡市滨湖生态环境局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服务主体为无锡市滨湖生态环境局，核心目标为保障综合业务管理及办公OA平台、手机移动办公执法系统、网格化环境监管系统等7套关联系统持续稳定高效安全运行，避免出现影响日常使用的重大故障及系统瘫痪情况，为全局办文无纸化、办公自动化、行政管理精细化、业务审批高效化提供稳定技术支撑，核心量化指标为系统可用率99%、用户满意度95%、运维服务及时率95%。</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（1）系统故障处置：全时段响应普通、重大、特大三类故障，严格按分级时效标准完成故障排查、定位、处置工作，确保故障快速解决不影响业务正常开展。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（2）功能优化调整：根据局方业务需求变更及政策调整要求，经需求确认、方案审核后，针对性优化系统审批流程、业务表单、数据字段及后台管理功能，功能调整前完成内部测试确保系统运行稳定。</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（3）人员权限调整：经局方审核确认后，动态调整系统后台组织机构配置、人员岗位信息、功能访问权限、审批流程节点，确保权限配置与人员岗位权责匹配，保障系统数据安全。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（4）数据运维服务：按需完成系统业务数据整理校正、增删改查、导入导出工作，每日完成系统全量数据备份，配合局方做好数据容灾保障工作，避免数据丢失、泄露风险。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（5）安全运维服务：及时修复系统漏洞及网信部门排查发现的安全风险点，按需完成系统安全升级加固，防范网络攻击、数据泄露等安全事件发生。</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（6）系统巡检服务：每月开展现场巡查及运行日志监控分析，排查系统潜在运行隐患，形成巡检记录反馈至局方，对排查出的隐患及时制定整改方案并落地处置。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（7）适配升级服务：每年完成2-3次安卓端APP版本适配升级，按需开展系统及数据库性能调优，提升系统运行效率，适配最新软硬件环境要求。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（8）技术咨询培训：面向局方用户提供系统操作指导、问题答疑，按需开展新功能操作培训，提升用户系统使用熟练度。</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响应时效要求：所有故障远程立即响应，普通故障3小时内到场、到场后3小时内解决；重大故障2小时内到场、到场后2小时内解决；特大故障1小时内到场、到场后1小时内解决；非驻场时段提供7*24小时在线技术支持，确保全时段响应各类运维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质量管控要求：服务实施过程不得影响局方业务正常运转，按系统可用率、用户满意度、服务及时率、故障处理时效4项核心指标开展服务考核，因运维人员操作不当或响应不及时导致系统瘫痪或造成重大负面影响的，每发生一次扣除对应运维费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（3）安全保密要求：所有参与运维人员严格遵守局方保密管理规定，签订保密协议，对接触到的业务信息、数据资料、技术文档严格保密，不得向任何第三方泄露相关信息，不得擅自复制、存储涉密数据。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（4）过程管理要求：所有运维工作全程留痕，故障处置闭环管理，详细记录问题原因、处置过程、解决措施及后续预防方案，定期向局方汇报运维工作开展情况，突发事件第一时间上报局方负责人。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（5）变更管理要求：所有系统功能调整、配置变更、升级操作需提前提交变更方案，经局方审核确认后方可实施，变更前完成系统全量备份，变更后开展功能测试验证，确保变更后系统运行稳定。</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（6）人员管理要求：运维人员需熟悉OA平台业务流程及技术架构，具备相关运维服务经验，遵守局方各项内部管理制度，服从局方工作安排，保质保量完成各项运维任务。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4、团队配置要求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（1）管理团队：由局办公室相关人员组成，负责项目统筹协调、需求审核确认、服务质量考核及突发事项处置。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（2）运维执行团队：配置具备OA平台运维相关经验的专业技术人员，按要求完成驻场巡检、技术支持及故障处置工作，全程响应各类运维需求。</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17</w:t>
      </w:r>
      <w:r>
        <w:rPr>
          <w:rFonts w:hint="eastAsia" w:ascii="宋体" w:hAnsi="宋体" w:eastAsia="宋体" w:cs="宋体"/>
          <w:b/>
          <w:bCs/>
          <w:sz w:val="24"/>
          <w:szCs w:val="24"/>
          <w:lang w:eastAsia="zh-CN"/>
        </w:rPr>
        <w:t xml:space="preserve">：云产品及维护服务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运维期限：12个月（2026年9月1日-2027年8月31日）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服务使用单位：无锡市滨湖区残疾人联合会</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服务范围覆盖官方网站及关联微信公众号全生命周期运维，包含阿里云云资源支撑、安全防护体系搭建、网站功能运维、宣传内容运营、资质配套服务五大类内容，核心目标为保障平台全年稳定安全运行，支撑残联政务公开、政策宣传、便民服务等核心业务有序开展，量化指标为网站全年可用率≥99.9%、全年无重大安全事件发生、服务响应及时率100%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阿里云主机运维服务：提供50M独立带宽阿里云主机部署，搭载正版WIN2016操作系统，实现全天24小时不间断供电运行，内置防病毒、防攻击防护机制，支持程序、数据一键迁移与安装部署，云盘快照整盘备份可灵活定制规则，支持每天、每周、每月循环备份，后期可根据业务需求随时扩容云资源，协助完成阿里云域名备案全流程办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网站安全防护服务：部署阿里云WAF防护系统，对SQL注入、XSS攻击、Webshell上传等各类Web攻击实现全时段拦截，对大并发访问IP、恶意扫描工具实现自动屏蔽，支持攻击拦截数据大数据分析查询，配置SSL证书实现网站数据全程加密传输，每年定期更新证书，防范网站挂马、数据泄露、域名劫持等安全风险，定期排查网站底层安全漏洞，第一时间完成漏洞补丁升级。</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（3）网站日常运维服务：按需开展网站界面优化调整、官方文章代发布、栏目架构调整、管理人员权限配置等操作，提供不限次数的电话咨询、远程技术支持、上门运维服务，及时处置网站运行各类异常故障。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（4）宣传内容运营服务：根据甲方提供的官方素材制作公众号美篇，完成文稿优化、格式排版，经甲方审核确认后完成公众号推送，每月按需响应制作需求。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（5）配套资质运维服务：每年定期完成域名续费、微信公众号年度认证服务，保障平台资质合规有效。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（1）运行稳定性要求：阿里云主机全年无计划外停机，网站全年可用率≥99.9%，数据按约定规则备份，可随时按需还原，避免业务数据丢失，不影响残联日常业务正常开展。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（2）安全防护要求：全时段拦截各类Web攻击，及时更新安全防护规则与漏洞补丁，全年无重大安全事件发生，数据传输全程加密，严格遵守政务数据保密规定，不得泄露残联敏感业务信息。</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（3）服务响应要求：提供7*24小时技术支持通道，所有运维需求第一时间响应，不限次数提供电话、远程、上门服务，故障处置时效符合政务网站运维标准，最小化业务影响。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（4）内容合规要求：所有对外发布的内容、文稿需经甲方书面审核确认后方可发布，文稿优化、排版符合残联官方宣传规范，不得擅自修改官方素材内容，不得发布未经审核的信息。</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（5）合规性要求：所有运维服务符合政务网站安全管理、互联网信息服务管理相关法律法规要求，域名备案、公众号认证等资质办理符合官方流程规范，服务过程全程留痕可追溯。</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4、团队配置要求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管理团队：由无锡市滨湖区残疾人联合会指定项目负责人1名，负责统筹确认运维需求、审核对外发布内容、考核服务质量；配置监督人员1名，负责日常检查网站运行状态、核查运维工作落实情况，协调解决运维过程中的各类问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执行团队：配置云运维工程师1名，负责阿里云主机部署、云资源调整、安全防护配置、漏洞排查修复工作；配置网站运维工程师1名，负责网站功能调整、故障处置、权限配置等日常运维工作；配置内容运营专员1名，负责公众号美篇制作、文稿优化、推送服务，所有运维人员熟悉政务类网站运维规范与保密要求，具备同类项目运维经验，保障服务质量达标。</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18</w:t>
      </w:r>
      <w:r>
        <w:rPr>
          <w:rFonts w:hint="eastAsia" w:ascii="宋体" w:hAnsi="宋体" w:eastAsia="宋体" w:cs="宋体"/>
          <w:b/>
          <w:bCs/>
          <w:sz w:val="24"/>
          <w:szCs w:val="24"/>
          <w:lang w:eastAsia="zh-CN"/>
        </w:rPr>
        <w:t xml:space="preserve">：掌上滨湖移动云服务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运维期限：12个月（2026年9月1日-2027年8月31日）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服务使用单位：无锡市滨湖区融媒体中心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服务范围覆盖《掌上滨湖》APP及配套CMS内容管理系统、互动服务模块、千橙号平台、积分商城、视音频点播系统、数据统计分析平台全生态运维，核心目标为保障平台全年稳定安全运行，提升本地化服务体验，支撑融媒体新闻宣传、政务服务、互动运营等核心业务有序开展，量化指标为系统全年可用率≥99.9%、全年0宕机0安全事故，安卓端启动时间≤1.8秒、iOS端≤1.5秒，首页加载平均≤0.8秒、操作响应延迟≤0.3秒，更新后24小时内问题反馈率≤0.5%。</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软硬件基础设施运维：开展7×24小时云资源自动化监控，设置阈值触发弹性伸缩，每日巡检云控制台健康状态，每月开展系统深度体检清理冗余资源，重大节假日前开展全链路压力测试优化系统瓶颈；维护域名DNS解析确保解析速度&lt;20ms，动态优化CDN节点调度策略，提前1个月完成SSL证书续签部署；定期优化数据库慢查询、处置死锁、调整核心参数，配置存储生命周期策略降低成本，开启防盗链防止资源被盗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应用系统运维：保障APP崩溃率≤0.05%、无响应率≤0.1%，及时适配最新iOS、安卓系统版本特性，按需完成UI升级、新模块开发、第三方SDK迭代更新；保障CMS后台编辑器、转码等功能稳定，协助开展异常数据修正、误删内容恢复操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数据资源运维：数据库每日凌晨开展全量备份（保留30天）、每15分钟开展增量备份，OSS存储开启版本控制与跨区域复制，每半年开展1次数据恢复演练，对用户敏感信息采用AES-256加密存储与脱敏展示，定期清洗归档无效数据，严禁私自导出用户数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（4）通讯类运维：维护短信网关接口，保障验证码、预警类短信发送延迟&lt;5秒。</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运维制度落地：执行7×24小时值班机制，重大节假日实行双人双岗值守，按P1-P3故障分级规范开展响应处置，所有生产环境变更执行闭环审批流程，严禁业务高峰期（08:00-22:00）开展高风险变更，运维人员全员签署保密协议，敏感操作全程留痕审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响应时效要求：普通故障立即响应、2小时内到场、到场后3小时内修复；重大故障立即响应、1小时内到场、到场后2小时内修复；特大故障立即响应、30分钟内到场、到场后1小时内修复；P1级全网瘫痪故障15分钟内响应，每30分钟向甲方汇报处置进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（2）质量管控要求：APP服务端API公网可用性≥99.95%，故障修复达标率≥98%，合同约定功能完成率100%，主流新机型适配率100%，用户投诉处理满意度≥95%。</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（3）安全防护要求：提供不低于50Gbps的DDoS防护能力，WAF开启严格模式全量拦截Web攻击，全年安全事故0起，违规信息拦截率100%，严格遵守《个人信息保护法》要求保障用户数据安全。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（4）考核管理要求：按量化KPI体系开展月度、年度考核，核心指标每低于目标值0.1%扣对应分值，发生重大故障、安全事故、舆情事件直接扣除对应权重全部分数，考核结果与服务费用拨付挂钩。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4、团队配置要求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管理团队：项目领导小组负责项目总体指导、预算审批及重大事项决策；配置技术联络人2名，负责日常需求对接、故障上报、验收确认及内容审核；配置安全管理员1名，负责监督乙方安全操作、管理最高权限账号。</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团队：配置项目经理1名，统筹服务质量把控、月度汇报、SLA考核达标；配置技术主管1名（架构师级别），负责疑难问题解决、性能调优、安全架构设计；配置运维工程师2名，负责日常巡检、服务器监控、数据备份、补丁更新；配置iOS、安卓移动端开发工程师各1名，负责APP代码修复、系统适配与新功能开发；配置客服专员1名，负责400热线接听、用户投诉流转与回访。</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19</w:t>
      </w:r>
      <w:r>
        <w:rPr>
          <w:rFonts w:hint="eastAsia" w:ascii="宋体" w:hAnsi="宋体" w:eastAsia="宋体" w:cs="宋体"/>
          <w:b/>
          <w:bCs/>
          <w:sz w:val="24"/>
          <w:szCs w:val="24"/>
          <w:lang w:eastAsia="zh-CN"/>
        </w:rPr>
        <w:t xml:space="preserve">：滨湖区疾病预防控制中心</w:t>
      </w:r>
      <w:r>
        <w:rPr>
          <w:rFonts w:hint="eastAsia" w:ascii="宋体" w:hAnsi="宋体" w:eastAsia="宋体" w:cs="宋体"/>
          <w:b/>
          <w:bCs/>
          <w:sz w:val="24"/>
          <w:szCs w:val="24"/>
          <w:lang w:val="en-US"/>
        </w:rPr>
        <w:t xml:space="preserve">OA</w:t>
      </w:r>
      <w:r>
        <w:rPr>
          <w:rFonts w:hint="eastAsia" w:ascii="宋体" w:hAnsi="宋体" w:eastAsia="宋体" w:cs="宋体"/>
          <w:b/>
          <w:bCs/>
          <w:sz w:val="24"/>
          <w:szCs w:val="24"/>
          <w:lang w:eastAsia="zh-CN"/>
        </w:rPr>
        <w:t xml:space="preserve">办公系统项目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运维期限：11个月（2026年10月1日-2027年8月31日）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服务使用单位：无锡市滨湖区疾病预防控制中心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本项目服务范围覆盖OA办公软件产品及配套移动云资源，核心目标是对OA系统开展运行监控、日常维护，保障系统可靠、高效、持续、安全运行，提升办公效率，支撑疾控核心业务有序开展。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OA系统运维服务：每年2次提供系统重装/迁移支持，按需开展异常断电、硬盘损坏、黑客攻击、病毒入侵等紧急故障处置，按需开展后台服务器程序版本升级，定期提供标准产品功能咨询、系统BUG修复、小版本补丁升级，定期组织系统使用培训。</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（2）移动云运维服务：保障云主机、云存储稳定运行，7×24小时提供业务咨询及故障处置服务，按需提供云资源扩容、配置调整等技术支撑。</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（3）配套支撑服务：工作日提供400热线技术咨询、远程登录维护服务，收到邮件服务请求后8小时内处理，定期发送客服期刊，按需提供免费系统管理员培训、需求建议对接等服务。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（1）响应时效要求：OA系统工作日内常规咨询即时响应，紧急故障按需协调处置；移动云故障申告后60分钟内首次反馈处理进展，8小时内排除故障；邮件服务请求工作日8小时内完成处理。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（2）质量管控要求：移动云云主机可用性99.9%、云存储可用性99.9%，全年OA系统无重大运行故障，保障日常办公协同顺畅。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（3）安全防护要求：及时更新系统安全补丁，定期提醒用户开展数据备份，保障OA系统数据安全，无疾控业务敏感信息泄露。</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4、团队配置要求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（1）管理团队：牵头处室为办公室，负责运维需求收集、反馈、协调处置，监督乙方运维服务按规范开展。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（2）运维团队：配置OA专属运维技术团队、移动云运维服务团队，分别负责OA系统技术支撑、故障处置、用户培训，以及移动云资源维护、故障排查等工作，所有运维人员具备政务类办公系统运维经验。</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20</w:t>
      </w:r>
      <w:r>
        <w:rPr>
          <w:rFonts w:hint="eastAsia" w:ascii="宋体" w:hAnsi="宋体" w:eastAsia="宋体" w:cs="宋体"/>
          <w:b/>
          <w:bCs/>
          <w:sz w:val="24"/>
          <w:szCs w:val="24"/>
          <w:lang w:eastAsia="zh-CN"/>
        </w:rPr>
        <w:t xml:space="preserve">：疾病预防控制信息管理平台维护服务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运维期限：12个月（2026年9月1日-2027年8月31日）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服务使用单位：无锡市滨湖区疾病预防控制中心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服务范围覆盖疾病预防控制信息管理平台软件全生命周期运维，核心目标是依托专业运维技术服务，实现系统高质量、高效率、规范化管理，保障系统正常稳定运行、服务连续、数据及时准确完整安全，满足疾控业务工作及信息管理需求，采用完全外包按需服务模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（1）技术支持服务：每周7*8小时提供电话咨询、远程登录服务，通过电话、系统管理Q群等多渠道响应技术咨询和故障报修，及时反馈问题处理进展。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（2）故障处置服务：软件运行问题2小时内响应，优先修复软件缺陷、故障类影响系统运行的问题，无法远程解决的第二个工作日上门处置，遇特殊情况双方协商处理。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（3）巡检更新服务：每季度最后一周开展一次系统巡检，对接系统更新维护需求，按需在维护期内完成系统更新优化。</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（1）响应时效要求：软件故障2小时内响应，远程无法处置的第二个工作日上门服务，所有问题及时反馈处置进展。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（2）使用范围要求：软件仅限滨湖区疾控中心内部使用，不得转让、出租、出借或对外传播，超出使用范围乙方有权终止服务。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（3）运维边界要求：仅负责软件本身缺陷、故障类问题修复，硬件故障、病毒引发的系统运行问题不在运维服务范围内。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4、团队配置要求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（1）管理团队：项目牵头处室为办公室，负责运维需求收集、服务监督、问题协调等工作。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（2）运维团队：配置专业软件运维技术团队，负责技术咨询、故障处置、系统巡检、更新优化等工作，具备疾控类业务系统运维经验。</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21</w:t>
      </w:r>
      <w:r>
        <w:rPr>
          <w:rFonts w:hint="eastAsia" w:ascii="宋体" w:hAnsi="宋体" w:eastAsia="宋体" w:cs="宋体"/>
          <w:b/>
          <w:bCs/>
          <w:sz w:val="24"/>
          <w:szCs w:val="24"/>
          <w:lang w:eastAsia="zh-CN"/>
        </w:rPr>
        <w:t xml:space="preserve">：建设工程合同软件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运维期限：12个月（2026年9月1日-2027年8月31日）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服务使用单位：无锡市滨湖区重点建设项目管理中心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服务范围覆盖工程项目合同及资金管理系统全生命周期运维及阿里云服务器配套支撑，核心目标是深化项目合同及资金的科学管理，集中管理项目附件文件，优化资金运行效率，及时反映项目资金支付计划和实际使用情况，跟踪项目审计、执行进度及请款付款全过程，实现数据检索、汇总、分类、查询及报表生成的自动化与信息化。</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（1）系统故障处置服务：接收热线问题诉求，判断问题属性，属于系统问题的优先电话/远程指导处置，口头解答无效的开展现场处置，所有处置过程填写运维日志存储于客户单位运维管理系统。</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（2）系统巡检服务：定期开展软件环境、数据库巡回检修运维。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（3）阿里云服务器运维服务：保障云服务器稳定运行，按需提供云资源配置调整、故障排查等技术支撑。</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（1）响应时效要求：日常运维诉求及时响应，1小时内开展在线维护，远程无法解决的24小时内到达现场、48小时内解决问题，紧急问题8小时内到达现场处置。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（2）保密要求：双方严格遵守保密规定，履行保密义务，严禁泄露合同涉及的相关涉密信息。</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（3）服务流程要求：热线接报后需先报运维人员编号及姓名，核实客户单位信息，准确判断问题属性，非系统问题及时转相关部门处理。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4、团队配置要求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（1）甲方团队：牵头处室为工程计划科，负责运维需求收集、服务监督、问题协调等工作。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（2）乙方团队：技术支持部统筹运维服务，配置专属系统运维工程师、云服务器运维工程师，分别负责系统故障处置、巡检优化及云资源维护等工作，具备政务类工程管理系统运维经验。</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22</w:t>
      </w:r>
      <w:r>
        <w:rPr>
          <w:rFonts w:hint="eastAsia" w:ascii="宋体" w:hAnsi="宋体" w:eastAsia="宋体" w:cs="宋体"/>
          <w:b/>
          <w:bCs/>
          <w:sz w:val="24"/>
          <w:szCs w:val="24"/>
          <w:lang w:eastAsia="zh-CN"/>
        </w:rPr>
        <w:t xml:space="preserve">：财务软件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运维期限：12个月（2026年9月1日-2027年8月31日）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服务使用单位：无锡市滨湖区重点建设项目管理中心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服务范围覆盖财务软件账务处理、电子报表两大模块运维，核心目标是通过财务信息化手段实现财务数据精准归集、高效处理，提升财务工作效率，保障财务合规性与数据安全，满足财务人员凭证录入、记账过账结账、账实核对、报表生成等日常工作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（1）基础配置运维服务：指导维护会计科目和辅助核算项资料，维护自动结转凭证模版，指导手工凭证操作，指导年结操作。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（2）问题排查处置服务：排查处理明细账与总账不平问题，解答软件操作、打印类问题，支持历年账务数据查询服务。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（1）响应时效要求：接到用户通过电话、信函、传真、电子邮件、网上提交等渠道的服务请求后，24小时内给予响应。</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（2）保密要求：合同涉及的相关事项及信息，双方严格遵守保密规定，履行保密义务，严禁泄露相关涉密信息。</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4、团队配置要求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（1）甲方团队：牵头处室为财务审计科，负责运维需求收集、服务监督、问题协调等工作。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（2）乙方团队：配置专属财务软件运维技术人员，负责基础配置指导、问题排查、操作咨询等运维服务，具备政务财务软件运维经验。</w:t>
      </w:r>
      <w:r/>
    </w:p>
    <w:p>
      <w:pPr>
        <w:pStyle w:val="770"/>
        <w:numPr>
          <w:ilvl w:val="0"/>
          <w:numId w:val="8"/>
        </w:numPr>
        <w:ind w:left="0" w:firstLine="480"/>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eastAsia="zh-CN"/>
        </w:rPr>
        <w:t xml:space="preserve">基础设施及软硬件类项目服务内容及需求</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23</w:t>
      </w:r>
      <w:r>
        <w:rPr>
          <w:rFonts w:hint="eastAsia" w:ascii="宋体" w:hAnsi="宋体" w:eastAsia="宋体" w:cs="宋体"/>
          <w:b/>
          <w:bCs/>
          <w:sz w:val="24"/>
          <w:szCs w:val="24"/>
          <w:lang w:eastAsia="zh-CN"/>
        </w:rPr>
        <w:t xml:space="preserve">：信息通信设备维保服务项目（</w:t>
      </w:r>
      <w:r>
        <w:rPr>
          <w:rFonts w:hint="eastAsia" w:ascii="宋体" w:hAnsi="宋体" w:eastAsia="宋体" w:cs="宋体"/>
          <w:b/>
          <w:bCs/>
          <w:sz w:val="24"/>
          <w:szCs w:val="24"/>
          <w:lang w:val="en-US"/>
        </w:rPr>
        <w:t xml:space="preserve">2026</w:t>
      </w:r>
      <w:r>
        <w:rPr>
          <w:rFonts w:hint="eastAsia" w:ascii="宋体" w:hAnsi="宋体" w:eastAsia="宋体" w:cs="宋体"/>
          <w:b/>
          <w:bCs/>
          <w:sz w:val="24"/>
          <w:szCs w:val="24"/>
          <w:lang w:eastAsia="zh-CN"/>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运维期限：11个月（2026年10月1日-2027年8月31日）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服务使用单位：无锡市滨湖区公安分局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numPr>
          <w:ilvl w:val="0"/>
          <w:numId w:val="9"/>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（1）维护内容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参与配合分局信通保障科日常会议的通信保障工作；完成市局对分局的日常试线以及分局对基层所站的日常试线工作；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分局内部监控图像、门禁系统、视频会议系统、无线对讲、内部电话和网络、弱电线路的检修维护；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分局至各派出所4级网工程的传输设备、计算机网络设备、语言通信设备的检修维护；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派出所警务室（站）、分局警务工作站、检查站、分局执法办案中心（实战训练基地）的综合指挥室、视频接访系统设备的检修维护；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分局六楼和作战中心机房的不间断电源、环控设备（空调，环控监测设备）巡检及维护（报修）；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分局27台车载5G终端和2辆移动方舟通信设备的检修维护；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参与配合分局信通保障科安保活动的通信保障工作；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配合分局信通保障科做好工程施工过程中的技术服务工作；</w:t>
      </w:r>
      <w:r/>
    </w:p>
    <w:p>
      <w:pPr>
        <w:numPr>
          <w:ilvl w:val="0"/>
          <w:numId w:val="10"/>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日检查：提供每日一次的运行维护检查，对软件出现错误信息和硬件设备等进行监测和检查，以确保系统稳定运行同时做好日常记载。对于发现的故障隐患，乙方须立即向甲方汇报并提出解决方案。提供分局六楼与作战中心机房的软硬件日常巡检、保持环境清洁，落实各项安全管理制度。</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运行管理：提供更改、增加、变更及调整，满足甲方提出的功能性改变要求。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技术帮助：提供系统应用、使用说明方面的电话咨询帮助。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技术支持：提供全面技术支持。执行必要的隔离措施，以便排除由硬件或软件出现的故障；及时提供系统扩容、升级、改造等方面的技术方案。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当设备故障需送厂家维修时，需提供临时备件，确保不影响正常运行。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配件到达：当设备发生故障需更换时，另行收取配件费用。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特别故障：因自然灾害（例雷击）和人为因素（例空调失效、供电异常等）所造成的设备故障同样提供替换服务，费用收取参照合同约定。</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服务协议生效后，乙方将在一周内进行一次全面性维护作业。</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负责甲方视频会议的保障、值守以及系统的维护。</w:t>
      </w:r>
      <w:r/>
    </w:p>
    <w:p>
      <w:pPr>
        <w:numPr>
          <w:ilvl w:val="0"/>
          <w:numId w:val="9"/>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服务响应时间：遇有服务内容涉及到的故障及任务要求，服务响应时间不大于4小时；休息日、节假日乙方须安排至少1名技术人员值班；</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故障排除时间：一般性故障不大于4小时,重要故障不大于12小时，重大故障不大于24小时；</w:t>
      </w:r>
      <w:r/>
    </w:p>
    <w:p>
      <w:pPr>
        <w:numPr>
          <w:ilvl w:val="0"/>
          <w:numId w:val="9"/>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人员驻场要求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现场维护：乙方向甲方派遣2名具备维护服务资质和维修经验的技术人员，常驻甲方负责故障判断处理和日常维护。如发生影响系统运行的紧急故障或大面积故障时，乙方应立即增派人员进行抢修，直至故障排除、系统恢复正常运行为止。</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24</w:t>
      </w:r>
      <w:r>
        <w:rPr>
          <w:rFonts w:hint="eastAsia" w:ascii="宋体" w:hAnsi="宋体" w:eastAsia="宋体" w:cs="宋体"/>
          <w:b/>
          <w:bCs/>
          <w:sz w:val="24"/>
          <w:szCs w:val="24"/>
          <w:lang w:eastAsia="zh-CN"/>
        </w:rPr>
        <w:t xml:space="preserve">：滨湖区</w:t>
      </w:r>
      <w:r>
        <w:rPr>
          <w:rFonts w:hint="eastAsia" w:ascii="宋体" w:hAnsi="宋体" w:eastAsia="宋体" w:cs="宋体"/>
          <w:b/>
          <w:bCs/>
          <w:sz w:val="24"/>
          <w:szCs w:val="24"/>
          <w:lang w:val="en-US"/>
        </w:rPr>
        <w:t xml:space="preserve">510</w:t>
      </w:r>
      <w:r>
        <w:rPr>
          <w:rFonts w:hint="eastAsia" w:ascii="宋体" w:hAnsi="宋体" w:eastAsia="宋体" w:cs="宋体"/>
          <w:b/>
          <w:bCs/>
          <w:sz w:val="24"/>
          <w:szCs w:val="24"/>
          <w:lang w:eastAsia="zh-CN"/>
        </w:rPr>
        <w:t xml:space="preserve">一期维护服务项目（</w:t>
      </w:r>
      <w:r>
        <w:rPr>
          <w:rFonts w:hint="eastAsia" w:ascii="宋体" w:hAnsi="宋体" w:eastAsia="宋体" w:cs="宋体"/>
          <w:b/>
          <w:bCs/>
          <w:sz w:val="24"/>
          <w:szCs w:val="24"/>
          <w:lang w:val="en-US"/>
        </w:rPr>
        <w:t xml:space="preserve">2026</w:t>
      </w:r>
      <w:r>
        <w:rPr>
          <w:rFonts w:hint="eastAsia" w:ascii="宋体" w:hAnsi="宋体" w:eastAsia="宋体" w:cs="宋体"/>
          <w:b/>
          <w:bCs/>
          <w:sz w:val="24"/>
          <w:szCs w:val="24"/>
          <w:lang w:eastAsia="zh-CN"/>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运维期限：8个月（2027年1月1日-2027年8月31日）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服务使用单位：无锡市滨湖区公安分局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numPr>
          <w:ilvl w:val="0"/>
          <w:numId w:val="11"/>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滨湖区510一期项目建设各类前端监控326路（道路监控枪式摄像机15路、道路监控球型摄像机251路、高空球机60路），以及相关中心系统（含平台软件、服务器、存储设备及硬盘）、网络传输系统等。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（1）运维总体需求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本项目运维要求：对现有设备进行质保运维8个月，使得整体系统正常运作，确保前端点位在线率、完好率，满足视频存储不低于30天，图片数据存储时间不低于180天。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（2）前端系统维护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1）开展对项目内所建前端感知系统的维护工作，含设备故障修复、损坏替换、图像遮挡处理；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2）开展对前端立杆设施的维护工作，应届解决处理因事故等造成的杆件设施损坏恢复；协同处理因道路修缮等产生的点位迁移等工作；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3）开展对前端设施设备的维护工作，含前端设备损坏替换过程中发生的所有安装辅材，含前端设备箱、避雷器、电源线、网线、支架等辅材的维护更换。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（3）中心系统维护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1）开展对中心存储设备的维护工作，含设备故障修复、损坏替换等所有维护工作，确保整体系统图像可用性，避免录像无法保存的情况；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2）开展对中心服务器设备的维护工作，含设备故障修复、损坏维修、替换等所有维护工作，确保整体系统整体可用性，避免服务器故障造成的长时间系统宕机；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3）开展对中心网络设备的维护工作，含设备故障修复、损坏维修产生的硬件更换、软件配置调试等所有维护工作，确保中心网络系统正常运行。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4）开展对列入维保范围内的应用软件的维护工作，含软件安使用需要开展的配置设置修改及调整、故障排查、问题修复等，确保应用软件的可用性，避免软件系统故障产生的长时间无法使用。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（4）机房环境系统维护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1）开展对空调新风系统的维护工作，含机房空调、新风系统内设备的维护工作，含部件更换、冷媒添加等工作；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2）开展对消防系统的维护工作，含机房消防系统内设施设备的维护工作，含药剂更换等工作；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3）开展对机房环境控制及不间断电源系统的维护工作，含机房环控整体设备维护及不间断电源维护，含电池损坏后更换工作；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开展对机房基础环境的维护工作，包含机房防雷接地系统、灯光照明系统、综合布线系统以及机房基础设施。在各系统发生故障时及时进行修复，并对因外部因素造成的机房墙面轻微损坏、静电地板损坏等进行修复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（5）线路租赁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为确保“510项目”所建设系统的正常运行，保障前端感知系统采集数据继续向分局中心应用系统汇聚，本项目中继续租赁运营商VPN线路实现数据传输。原项目建设时，运营商VPN线路的接入指向公安视频专网，这样的接入方式已不符合现行网络安全的要求，同时，考虑到视频图像资源在区内的共享应用，前一次维护项目开展时，前端感知设备接入已由原公安视频专网内的应用平台替换为运营商视频专网内的接入汇聚平台，因此，运营商VPN线路的接入指向也已同步调整至运营商视频专网。</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原项目建设系统运行共计租赁道路监控枪式摄像机15路15条链路、道路监控球型摄像机251路251条链路、高空球机60路60条链路，共326条VPN链路，本项目中继续租赁同等数量VPN链路。因此，本项目共计需租赁VPN链路326条。租赁期限8个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（6）机柜租赁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因目前滨湖分局中心机房整体规划调整，原“510项目”中建设的部分中心设备已在前一次维护项目开展时调整放置至运营商机房内，从而确保分局中心机房内有足够空间放置核心系统所需的硬件设施。经综合测算，需继续租用运营商机房1.5个机柜放置中心设备。租赁期限8个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（7）铁塔使用租赁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原项目建设时，为获得更好的监控覆盖效果，部分制高点视频监控设备架设于区内铁搭公司的通信铁塔上，该部分点位共计20处。本次维护项目开展时，这部分点位依旧需架设于原使用的通信铁塔上，因此需继续租赁使用这部分铁塔资源8个月。同时，该部分点位设备拆装人员需具备专业的登高作业资质，且需铁塔公司协调安排专业人员协同开展，因此需考虑每季度一次的日常维护登高作业的开展。维护单位维护人员不得私自攀登铁塔，以免造成安全生产事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（8）视侦中心相关系统</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原“510项目”中，涵盖了滨湖分局视侦中心相关系统以及机房环境的建设，运维工作需要保障滨湖区公安局视侦中心工作终端、会议系统设备、以及其他办公信息化设备等稳定运行。</w:t>
      </w:r>
      <w:r/>
    </w:p>
    <w:p>
      <w:pPr>
        <w:numPr>
          <w:ilvl w:val="0"/>
          <w:numId w:val="12"/>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零星更换摄像机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因公安治安监控担负着治安防范和打击犯罪的重要作用，维保要求高，相关视频监控级联市公安局、省公安厅和公安部，无锡市公安局对此有严格的考核要求和指标，需时刻保持相关系统、设备的稳定运行，经逐个预览查看，发现有部分道路监控球型摄像机和高清球机图像质量下降，已严重影响业务部门的使用，为此在项目中需零星更换部分摄像机。</w:t>
      </w:r>
      <w:r/>
    </w:p>
    <w:tbl>
      <w:tblPr>
        <w:tblStyle w:val="779"/>
        <w:tblW w:w="495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46"/>
        <w:gridCol w:w="997"/>
        <w:gridCol w:w="5817"/>
        <w:gridCol w:w="846"/>
        <w:gridCol w:w="571"/>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20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性能参数</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单位</w: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道路监控枪式摄像机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320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智能筒型网络摄像机，支持鳞镜补光，夜间成像效果更出色</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支持智能资源模式：人脸抓拍、道路监控、Smart事件，多种智能模式可按需切换</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采用隐藏式灯珠设计，通过鳞甲密布排列形成的镜面反射出光，见光不见灯；增加发光面积，降低聚光效果，补光柔和均匀</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支持开放型网络视频接口、ISAPI、GB/T28181协议接入；支持三码流技术，支持同时20路取流；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支持三级用户权限管理，支持授权的用户和密码，支持IP地址过滤；</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支持GB35114 A级安全加密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传感器类型：1/1.8" Progressive Scan 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最低照度：彩色：0.002 Lux ，0 Lux with Light</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黑白：0.0002 Lux，0 Lux with IR</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宽动态：120 dB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焦距：2.8~4 mm或4~6 mm或6~9 mm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补光灯类型：鳞镜补光，默认红外850 nm，可切换至暖白光，4颗灯珠</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补光距离：白光：普通监控：最远可达30 m，人脸抓拍/识别：最远可达5 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红外：普通监控：最远可达50 m，人脸抓拍/识别：最远可达10 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防补光过曝：支持防补光过曝开启和关闭，开启下支持自动和手动，手动支持根据距离等级控制补光灯亮度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最大图像尺寸：2560 × 1440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视频压缩标准：H.265/H.264/MJPEG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网络：1个RJ45 10 M/100 M自适应以太网口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SD卡扩展：内置MicroSD/MicroSDHC/MicroSDXC插槽，最大支持512 GB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音频：1路输入（Line in），1路输出（Line out），2个内置麦克风，1个内置扬声器</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报警：1路输入，1路输出（报警输入支持开关量，报警输出最大支持DC12 V，30 mA）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RS-485：1个RS-485接口，半双工模式，支持自适应PELCO-P和PELCO-D协议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复位：支持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电源输出：DC12 V，100 mA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供电方式：DC：12 V ± 20%，支持防反接保护；PoE：802.3at，Type 2，Class 4</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防护：IP67 </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道路监控球型摄像机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320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400万+400万25倍枪球一体机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全景400万单目臻全彩，细节球机400万25倍，采用双镜头设计，兼顾全景细节</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全景采用1个 F1.0大光圈全彩镜头，可输出90°大场景画面，细节采用1/1.8 CMOS传感器25倍光学变倍镜头，高清成像</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支持多种智能资源切换：【全景】Smart事件（默认）；【细节】Smart事件（默认），全结构化，混合目标比对，智能交通，人员布控</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支持AR功能，摄像机的实时视频画面中添加最多500个AR标签，且可实现标签与标签联动的功能</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AI-ISP降噪：采用去噪卷积神经网络将深度结构、学习算法用于图像去噪，最终使画面成像更新清晰，噪点更小图像更干净准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支持GB35114A级安全加密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传感器类型：【全景】1/1.8＂ progressive scan CMOS,【细节】1/1.8＂ progressive scan 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最低照度：【全景】彩色 0.0005Lux @ (F1.0，AGC ON)，黑白0.0001Lux @(F1.0，AGC ON)， 0Lux with Lght；</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【细节】彩色 0.0005Lux @ (F1.5，AGC ON)，黑白:0.0001Lux @(F1.5，AGC ON)， 0Lux with IR；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焦距：【全景】4mm；【细节】5.9~147.5 mm，25倍光学变倍</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视场角：【全景】90°；【细节】59.8°-2.7°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补光灯距离：【全景】暖白光30米；【细节】暖白光50米，红外250米</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防补光过曝：支持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水平范围：【全景】不支持；【细节】0-360°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垂直范围：【全景】7-17°；【细节】-20-90°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水平速度：【全景】不支持；【细节】水平键控速度：0.1°-160°/s,速度可设;水平预置点速度：240°/s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垂直速度：【全景】垂直键控速度可设；【细节】垂直键控速度：0.1°-120°/s,速度可设;垂直预置点速度：200°/s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主码流帧率分辨率：【全景】</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50 Hz：25 fps（2688*1520，2560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60 Hz：30 fps（2688*1520,2560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【细节】</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高帧率：</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50Hz：50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60 Hz：60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常规帧率：</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50 Hz：25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60 Hz：30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视频压缩标准：H.265,H.264,MJPEG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宽动态：支持120dB超宽动态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陀螺仪：支持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网络接口：支持100M网络数据,RJ45网口,自适应网络数据</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SD卡扩展：内置Micro SD卡插槽,支持Micro SD/Micro SDHC/Micro SDXC卡,最大支持512 GB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报警：7路报警输入</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2路报警输出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音频：1路音频输入，1路音频输出，音频峰值：2~2.4 V[p-p]，输入阻抗：1 kΩ ± 10%；线性电平，阻抗：600 Ω</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防护：IP67; 6000V 防雷、防浪涌、防突波，符合GB/T17626.2/3/4/5/6四级标准 </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高空球机</w:t>
            </w:r>
            <w:r/>
          </w:p>
        </w:tc>
        <w:tc>
          <w:tcPr>
            <w:shd w:val="clear" w:color="auto" w:fill="auto"/>
            <w:tcBorders>
              <w:top w:val="single" w:color="000000" w:sz="4" w:space="0"/>
              <w:left w:val="single" w:color="000000" w:sz="4" w:space="0"/>
              <w:bottom w:val="single" w:color="000000" w:sz="4" w:space="0"/>
              <w:right w:val="single" w:color="000000" w:sz="4" w:space="0"/>
            </w:tcBorders>
            <w:tcW w:w="320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400万+600万40倍拼接臻全彩枪球</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全景采用2个F1.0大光圈全彩镜头，可输出190°大场景拼接画面</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支持多种智能资源切换：【全景】人员密度检测，Smart事件；【细节】全抓拍、道路监控、Smart事件</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支持AR功能，摄像机的实时视频画面中添加最多500个AR标签，且可实现标签与标签联动的功能</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支持点击全景画面联动特写镜头，手动跟踪运动目标</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支持GB35114安全加密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传感器类型：【全景】1/1.8＂ progressive scan CMOS,【细节】1/1.8＂ progressive scan 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最低照度：【全景】彩色 0.0005Lux @ (F1.4，AGC ON)，黑白0.0001Lux @(F1.4，AGC ON)， 0Lux with IR；【细节】彩色 0.0005Lux @ (F1.3，AGC ON)，黑白0.0001Lux @(F1.3，AGC ON)， 0Lux with IR；</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光学变倍：【细节】40倍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焦距：【全景】2.8mm；【细节】6.0~240mm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视场角：【全景】水平190°±5°，垂直80°±5°；【细节】59°~2°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防补光过曝：支持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水平范围：【全景】不支持；【细节】0-360°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垂直范围：【全景】12°~24°；【细节】-20-90°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水平速度：【全景】不支持；【细节】水平键控速度：0.1°-160°/s,速度可设;水平预置点速度：240°/s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垂直速度：【全景】垂直键控速度可设；【细节】垂直键控速度：0.1°-120°/s,速度可设;垂直预置点速度：200°/s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主码流帧率分辨率：【全景】</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50 Hz：25 fps（3680 × 1656，3632 × 1632）；60 Hz：30 fps（3680 × 1656，3632 × 1632）</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【细节】</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50 Hz：25 fps（2560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60 Hz：30 fps（2560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视频压缩标准：H.265,H.264,MJPEG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宽动态：【全景】数字宽动态；【细节】120dB超宽动态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网络接口：支持100 M网络数据，RJ45网口，自适应网络数据</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SD卡扩展：内置Micro SD卡插槽,支持Micro SD/Micro SDHC/Micro SDXC卡,最大支持256G</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报警：7路报警输入，2路报警输出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音频：1路音频输入，1路音频输出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防护：IP67; 6000V防雷、防浪涌、防突波，符合GB/T17626.2/3/4/5/6四级标准 </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安装辅材</w:t>
            </w:r>
            <w:r/>
          </w:p>
        </w:tc>
        <w:tc>
          <w:tcPr>
            <w:shd w:val="clear" w:color="auto" w:fill="auto"/>
            <w:tcBorders>
              <w:top w:val="single" w:color="000000" w:sz="4" w:space="0"/>
              <w:left w:val="single" w:color="000000" w:sz="4" w:space="0"/>
              <w:bottom w:val="single" w:color="000000" w:sz="4" w:space="0"/>
              <w:right w:val="single" w:color="000000" w:sz="4" w:space="0"/>
            </w:tcBorders>
            <w:tcW w:w="320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前端设备更换过程中使用的线缆、紧固件等</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项</w:t>
            </w:r>
            <w:r/>
          </w:p>
        </w:tc>
      </w:tr>
    </w:tbl>
    <w:p>
      <w:pPr>
        <w:numPr>
          <w:ilvl w:val="0"/>
          <w:numId w:val="11"/>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（1）日常运维保障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1）提供7×24小时不间断的运维服务，每日主动进行不少于2次的人工巡查，主动发现并处理故障及绿化遮挡等问题。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2）每周一至周六9：00至17：00派驻不少于2名维护人员在滨湖公安分局驻场，每日完成2轮前端视频巡查及后台设备巡查。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3）提供统一的障碍申告号码及故障管理系统，实现运维记录透明化，维护人员通过电脑和手机接收故障单。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4）在7×8小时工作时间内设置专人职守热线电话，非工作时间设置专人7×24小时接听移动电话热线。</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5）提供7×24小时电话支持，接到电话后立即处理，4小时内问题未解决则安排技术人员上门服务；疑难重大问题1小时到达现场。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6）监控中心维护操作：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网络应用终端：常用软件故障排除及恢复、病毒防范及消除、硬盘垃圾清理、电脑外设安装调试、系统安装调试与维护、应急及系统恢复。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网络服务系统：服务器软硬件系统、网络线缆线路、网络交换路由设备、备用电源检测等维护。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每日：测量监控中心温度、湿度，检查机柜内温度、各类电源及稳压电源电压；检查各类接线头牢固、锈蚀情况。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每日：检查存储操作系统，进行版本升级、补丁升级，检查运行情况及硬盘录像机存储空间。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每日：检查监控中心设备软件版本、客户端监控软件版本及运行情况；机柜内监控设备全部清洁；各类关键设备参数备份。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每日：检查机房内电源接地电阻情况；检查用户端机房UPS电源供电及状态。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客户监控中心所有设备均应接地，采用一点接地方式。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7）传输线路维护：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每日：检查各类线路完好率、是否有其它线路影响；光电设备运行、交换机端口状态；设备清洁，摆放有序。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每日：检查线缆标签粘贴情况（标签位置准确、方向端正、粘贴牢固、完整干净、尺寸适中），如已粘贴标签剥落、破损、陈旧及时更换。所有线缆两端应贴有标签，粘贴在线缆末端距离端头2cm处。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每日：音视频线、控制线、网络线标签内容应符合要求。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（2）定期巡检与保养</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1）机房环境及配套设施运维：每周1次周巡检；每日4次日巡检（上班前、中午上下班前、下班前）。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2）网络及安全系统运维：每周1次周巡检；每日4次日巡检（上班前、中午上下班前、下班前）。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3）服务器及存储系统运维：每周1次周巡检；每日4次日巡检（上班前重要应用系统、上班后硬件设备及操作系统、中午上班前重要应用、下班前硬件及操作系统巡检），并进行日常性能监控和资源利用率分析。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4）信息系统运维：每周1次周巡检；每日4次日巡检（上班前、中午上下班前、下班前信息系统巡检）。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5）通讯线路运维：每周1次周巡检；每日4次日巡检（上班前、中午上下班前、下午下班前）。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前端设备外场巡检：网管监控使用诊断工具扫描（实时）；驻场工程师图像监看（每日）；摄像机检查使用诊断工具扫描（实时）；现场电气环境检查（每季度）；摄像头性能检查（每季度）；清洁机柜内设备（每季度）；清洁摄像机外罩、护罩、遮挡树枝（每月）；填写巡检记录、编写客户端巡检报告（每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7）前端立杆及机箱保养：每三个月为一个周期，进行表面防腐处理、电气设备清洁检查、性能测试和参数记录。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8）接地电阻测试：每6个月一次；每年3月份雷雨季节前，对所有监控点接地电阻进行测试和数据记录，检查避雷设备，更换被雷击穿避雷器。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9）铁塔登高巡检：每季度一次（包含在铁塔租赁内），对架设于通信铁塔上的制高点视频监控设备进行巡检，维护单位人员不得私自攀登铁塔。</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10）机房内设备定期检测、保养，并出具报告。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（3）应急处置与重大活动保障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1）提供7×24小时应急响应，故障解决后24小时内提交故障处理报告。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2）重大安保活动前，对相关区域的前端设备、传输设备、中心机房设备等开展细致的临时维护；根据要求提供重大活动或突发事件现场技术保障及人脸抓拍二次甄别推送服务。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3）针对重大节日及公安安保事件成立“特殊事件维护小组”，重要节日每2天巡检1次，特殊重大活动尽量做到1天1次。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4）当发生外部黑客入侵、数据泄露、木马病毒、勒索病毒、通报事件等突发安全事件时，提供应急响应服务，协助用户快速止损，并出具相应事件的事件报告（不限次数）。</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5）遭遇灾害天气，提前检查加固外场设备，做好保护措施；台风季节加强易进水设备巡查；雷雨季节前加强防雷系统检查。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（4）数据共享与对接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1）本项目产生的所有数据应照要求将相关信息资源汇聚到区数据局和城运中心。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2）免费配合滨湖公安分局做好系统、数据对接开发。</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3）无条件开放本项目中的所有平台及数据的对接接口，供滨湖公安分局指定的第三方系统调用。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（5）专项维护工作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前端系统维护：含设备故障修复、损坏替换、图像遮挡处理；立杆设施故障修复、损坏恢复，协同处理因道路修缮等产生的点位迁移；前端设备损坏替换过程中所有安装辅材（前端设备箱、避雷器、电源线、网线、支架等）的维护更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2）中心系统维护：含中心存储设备、服务器设备、网络设备的故障修复、损坏维修与更换；软件配置修改调整、故障排查、问题修复，确保系统可用性。</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3）机房环境系统维护：含机房空调新风系统部件更换、冷媒添加；消防系统设施维护及药剂更换；UPS及电池维护与更换；防雷接地、灯光照明、综合布线系统故障修复；机房墙面轻微损坏、静电地板损坏修复。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4）线路租赁：向运营商租赁VPN链路326条，租赁期限8个月。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5）机柜租赁：向运营商机房租赁1.5个机柜放置中心设备，租赁期限8个月。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6）铁塔使用租赁：继续租赁20处通信铁塔（挂高大于20米），并安排每季度1次登高巡检，租赁期限8个月。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7）视侦中心相关系统运维：保障滨湖分局视侦中心工作终端、会议系统设备、及其他办公信息化设备等稳定运行。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8）每季度开展1次前端摄像头保洁并修剪遮挡绿植，工作完成后书面报滨湖公安分局确认。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9）对无法修复的设备，使用性能不低于原设备的备件进行免费更换，更换作业在2小时内完成。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10）应提供设备软件升级服务、管理人员技术培训指导、系统软件升级和优化，并按需进行免费个性化定制或修改。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11）负责所有前端点位的坐标采集、名称标注、上图展示；按公安要求负责立杆、设备箱等的颜色和监控标识牌制作。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12）自行勘察点位杆件情况，杆件灭失或不符合安全要求时，免费新建或整改；新建杆件需拍照存档并提供检测合格报告。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13）在维护期内，滨湖公安分局如有移位、迁移需求，在点位总数10%以内的，免费按新点位要求安装；超过10%的，双方协商处理。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14）遇道路临时开挖、改建、施工等情况，负责设施维修、拆除或重建等所有费用。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15）设施设备被偷盗、交通事故、雷击、风暴、地震等原因损坏或丢失的，同样在规定时间内修复或更换，相关费用由维护服务单位承担。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16）数据协助服务：在打处、维稳、反恐等工作中按需提供大数据支撑服务。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17）乙方有权提出变更申请，经甲方同意后变更。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18）服务期满后，若由第三方提供后续服务，应提供便利并提交相关建设及运维资料。</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19）乙方与原维保单位做好交接工作，不得影响系统正常使用。</w:t>
      </w:r>
      <w:r/>
    </w:p>
    <w:p>
      <w:pPr>
        <w:numPr>
          <w:ilvl w:val="0"/>
          <w:numId w:val="11"/>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（1）系统可用性指标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1）前端设备在线率不低于98%。</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2）前端设备24小时内修复率不低于90%。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3）使用方满意度不低于90%。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4）系统每月完好率（前端图像、抓拍图片在系统内可正常使用）达到98%。</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5）保证整体系统可用性达到100%。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6）视频存储不低于30天，图片数据存储时间不低于180天。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（2）故障响应与修复时效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1）服务响应时间：接到服务请求后1小时内响应。</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2）现场到达时间：接到故障通知后30分钟内到达现场；接到公安局电话或书面检修通知后，指定技术人员15分钟内响应，60分钟内到达故障现场。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3）前端故障修复时间：小于24小时。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4）设备更换时间：在2小时内完成。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5）中心及平台故障修复时间：小于8小时。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6）摄像头污损、绿化遮挡等影响画面质量的，需在接到通知后48小时内清洁、处理完毕。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7）机房环境、网络、服务器等故障：现场15分钟响应，60分钟内提交故障处理方案，8小时内解决故障。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8）硬件设备维修：要求2个工作日内处理完成，确实难以在短期内解决的，可与用户协商先行使用替代设备或材料，延长处理时间。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9）对于“系统瘫痪，业务系统不能运转”级别故障，如到达现场后8小时内不能解决，应在12小时内提出应急方案。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10）故障解决后24小时内，提交故障处理报告，说明故障种类、原因、解决使用的方法及损失情况。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（3）人员与备件要求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1）组建项目专属服务团队，至少派驻2名维护人员常驻滨湖公安分局。驻场人员响应标准为7×24全天候响应，维护模式为7×8值班维护驻场服务。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机房环境维护配置弱电、强电工程师；业务系统维护配置网络专家、ITSS项目经理等不少于2人；网络及安全系统运维配置网络专家、安全工程师、ITSS项目经理等不少于3人；服务器及存储系统运维配置信息系统管理师、数据库专家、ITSS项目经理等不少于3人；信息系统维护配置网络专家、软件数据库支持工程师（厂家驻场运维1人）、服务提供商ITSS项目经理等不少于3人；通讯类运维配置ITSS服务工程师、网络工程师等不少于5人；前端设备外场协助人员若干。</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3）备品备件：备有道路监控枪式摄像机3台、道路监控球型摄像机10台、高空球机3台、辅材1项、云存储存储主机内硬盘(4T)20块，备件库中应有高于或等同数量和性能要求的备品备件。</w:t>
      </w:r>
      <w:r/>
    </w:p>
    <w:tbl>
      <w:tblPr>
        <w:tblStyle w:val="779"/>
        <w:tblW w:w="495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1"/>
        <w:gridCol w:w="1123"/>
        <w:gridCol w:w="6097"/>
        <w:gridCol w:w="573"/>
        <w:gridCol w:w="553"/>
      </w:tblGrid>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性能参数</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单位</w:t>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道路监控枪式摄像机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智能筒型网络摄像机，支持鳞镜补光，夜间成像效果更出色</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支持智能资源模式：人脸抓拍、道路监控、Smart事件，多种智能模式可按需切换</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采用隐藏式灯珠设计，通过鳞甲密布排列形成的镜面反射出光，见光不见灯；增加发光面积，降低聚光效果，补光柔和均匀</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支持开放型网络视频接口、ISAPI、GB/T28181协议接入；支持三码流技术，支持同时20路取流；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支持三级用户权限管理，支持授权的用户和密码，支持IP地址过滤；</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支持GB35114 A级安全加密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传感器类型：1/1.8" Progressive Scan 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最低照度：彩色：0.002 Lux ，0 Lux with Light</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黑白：0.0002 Lux，0 Lux with IR</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宽动态：120 dB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焦距：2.8~4 mm或4~6 mm或6~9 mm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补光灯类型：鳞镜补光，默认红外850 nm，可切换至暖白光，4颗灯珠</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补光距离：白光：普通监控：最远可达30 m，人脸抓拍/识别：最远可达5 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红外：普通监控：最远可达50 m，人脸抓拍/识别：最远可达10 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防补光过曝：支持防补光过曝开启和关闭，开启下支持自动和手动，手动支持根据距离等级控制补光灯亮度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最大图像尺寸：2560 × 1440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视频压缩标准：H.265/H.264/MJPEG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网络：1个RJ45 10 M/100 M自适应以太网口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SD卡扩展：内置MicroSD/MicroSDHC/MicroSDXC插槽，最大支持512 GB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音频：1路输入（Line in），1路输出（Line out），2个内置麦克风，1个内置扬声器</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报警：1路输入，1路输出（报警输入支持开关量，报警输出最大支持DC12 V，30 mA）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RS-485：1个RS-485接口，半双工模式，支持自适应PELCO-P和PELCO-D协议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复位：支持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电源输出：DC12 V，100 mA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供电方式：DC：12 V ± 20%，支持防反接保护；PoE：802.3at，Type 2，Class 4</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防护：IP67 </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道路监控球型摄像机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400万+400万25倍枪球一体机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全景400万单目臻全彩，细节球机400万25倍，采用双镜头设计，兼顾全景细节</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全景采用1个 F1.0大光圈全彩镜头，可输出90°大场景画面，细节采用1/1.8 CMOS传感器25倍光学变倍镜头，高清成像</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支持多种智能资源切换：【全景】Smart事件（默认）；【细节】Smart事件（默认），全结构化，混合目标比对，智能交通，人员布控</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支持AR功能，摄像机的实时视频画面中添加最多500个AR标签，且可实现标签与标签联动的功能</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AI-ISP降噪：采用去噪卷积神经网络将深度结构、学习算法用于图像去噪，最终使画面成像更新清晰，噪点更小图像更干净准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支持GB35114A级安全加密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传感器类型：【全景】1/1.8＂ progressive scan CMOS,【细节】1/1.8＂ progressive scan 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最低照度：【全景】彩色 0.0005Lux @ (F1.0，AGC ON)，黑白0.0001Lux @(F1.0，AGC ON)， 0Lux with Lght；</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【细节】彩色 0.0005Lux @ (F1.5，AGC ON)，黑白:0.0001Lux @(F1.5，AGC ON)， 0Lux with IR；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焦距：【全景】4mm；【细节】5.9~147.5 mm，25倍光学变倍</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视场角：【全景】90°；【细节】59.8°-2.7°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补光灯距离：【全景】暖白光30米；【细节】暖白光50米，红外250米</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防补光过曝：支持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水平范围：【全景】不支持；【细节】0-360°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垂直范围：【全景】7-17°；【细节】-20-90°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水平速度：【全景】不支持；【细节】水平键控速度：0.1°-160°/s,速度可设;水平预置点速度：240°/s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垂直速度：【全景】垂直键控速度可设；【细节】垂直键控速度：0.1°-120°/s,速度可设;垂直预置点速度：200°/s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主码流帧率分辨率：【全景】</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50 Hz：25 fps（2688*1520，2560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60 Hz：30 fps（2688*1520,2560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【细节】</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高帧率：</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50Hz：50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60 Hz：60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常规帧率：</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50 Hz：25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60 Hz：30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视频压缩标准：H.265,H.264,MJPEG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宽动态：支持120dB超宽动态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陀螺仪：支持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网络接口：支持100M网络数据,RJ45网口,自适应网络数据</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SD卡扩展：内置Micro SD卡插槽,支持Micro SD/Micro SDHC/Micro SDXC卡,最大支持512 GB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报警：7路报警输入</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2路报警输出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音频：1路音频输入，1路音频输出，音频峰值：2~2.4 V[p-p]，输入阻抗：1 kΩ ± 10%；线性电平，阻抗：600 Ω</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防护：IP67; 6000V 防雷、防浪涌、防突波，符合GB/T17626.2/3/4/5/6四级标准 </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高空球机</w:t>
            </w:r>
            <w:r/>
          </w:p>
        </w:tc>
        <w:tc>
          <w:tcPr>
            <w:shd w:val="clear" w:color="auto" w:fill="auto"/>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 400万+600万40倍拼接臻全彩枪球</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全景采用2个F1.0大光圈全彩镜头，可输出190°大场景拼接画面</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支持多种智能资源切换：【全景】人员密度检测，Smart事件；【细节】全抓拍、道路监控、Smart事件</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支持AR功能，摄像机的实时视频画面中添加最多500个AR标签，且可实现标签与标签联动的功能</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支持点击全景画面联动特写镜头，手动跟踪运动目标</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支持GB35114安全加密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传感器类型：【全景】1/1.8＂ progressive scan CMOS,【细节】1/1.8＂ progressive scan 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最低照度：【全景】彩色 0.0005Lux @ (F1.4，AGC ON)，黑白0.0001Lux @(F1.4，AGC ON)， 0Lux with IR；【细节】彩色 0.0005Lux @ (F1.3，AGC ON)，黑白0.0001Lux @(F1.3，AGC ON)， 0Lux with IR；</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光学变倍：【细节】40倍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焦距：【全景】2.8mm；【细节】6.0~240mm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视场角：【全景】水平190°±5°，垂直80°±5°；【细节】59°~2°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防补光过曝：支持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水平范围：【全景】不支持；【细节】0-360°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垂直范围：【全景】12°~24°；【细节】-20-90°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水平速度：【全景】不支持；【细节】水平键控速度：0.1°-160°/s,速度可设;水平预置点速度：240°/s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垂直速度：【全景】垂直键控速度可设；【细节】垂直键控速度：0.1°-120°/s,速度可设;垂直预置点速度：200°/s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主码流帧率分辨率：【全景】</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50 Hz：25 fps（3680 × 1656，3632 × 1632）；60 Hz：30 fps（3680 × 1656，3632 × 1632）</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【细节】</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50 Hz：25 fps（2560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60 Hz：30 fps（2560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视频压缩标准：H.265,H.264,MJPEG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宽动态：【全景】数字宽动态；【细节】120dB超宽动态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网络接口：支持100 M网络数据，RJ45网口，自适应网络数据</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SD卡扩展：内置Micro SD卡插槽,支持Micro SD/Micro SDHC/Micro SDXC卡,最大支持256G</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报警：7路报警输入，2路报警输出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音频：1路音频输入，1路音频输出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防护：IP67; 6000V防雷、防浪涌、防突波，符合GB/T17626.2/3/4/5/6四级标准 </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前端设备箱要求：机箱材质：不锈钢。机箱尺寸500mm*400mm*300mm，壁厚1.2mm，含不锈钢板，需按要求喷涂“公安监控”字样；</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避雷器要求：摄像机采用电源、网络二合一防雷器12V或24V；</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网线要求：防水超五类网线</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云存储存储主机内硬盘(4T)</w:t>
            </w:r>
            <w:r/>
          </w:p>
        </w:tc>
        <w:tc>
          <w:tcPr>
            <w:shd w:val="clear" w:color="auto" w:fill="auto"/>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4T企业级IoT硬盘</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块</w:t>
            </w:r>
            <w:r/>
          </w:p>
        </w:tc>
      </w:tr>
    </w:tbl>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4）维修或更换设备时间超过3个工作日（计算机服务器、网络设备等须在1个工作日内），则必须提供档次不低于送修设备的备件。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（4）安全生产与保密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1）严格执行安全生产规范条例，对施工维护人员进行安全教育，确保合同期内不发生人身伤亡事故和火灾事故，并应参加建筑、安装工程等相关的保险，承担发生的质量、安全事故及责任和经济损失。</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传输链路专用，与其他网络物理隔绝，并不得接入任何其它网络；每条链路上行带宽不得低于100M。前端点位租赁运营商光纤VPN链路数量不得少于核定的数量，含链路两端光传输设备及中心端接入交换设备；租赁运营商VPN链路，带宽100M（部分点位因应用场景需要带宽超过100M，运营商应根据实际需求免费提升带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3）对本项目所涉及的软硬件技术资料（含文本资料）和监控图像等资料均负有保密义务，未经甲方许可，不得提供给第三方。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4）本项目采集的各类数据归滨湖公安分局所有，乙方对采集及对接的数据负有保密义务，因泄密造成损失将追究责任。</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5）严禁“一机两用、一机双网”，不准以任何方式将公安机关内部计算机、网络设备连接国际互联网；严禁泄露工作中接触的公安数据、帐号和密码；计算机如需送出维修，必须将硬盘拆下交公安方管理者。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6）前端点位的取电用电、绿化及市政开挖赔补、绿化修剪，行政审批等事宜及相关费用由乙方自行解决；项目实施过程中的拆移赔补等其他杂费由乙方负责并协调相关部门。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7）铁搭点位设备拆装人员需具备专业的登高作业资质，需铁塔公司协调安排专业人员协同开展，乙方维护人员不得私自攀登铁塔。</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（5）运维变更与交接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1）乙方不得擅自改变网络架构及组网方式，不得擅自改变前端设备接入的中心系统、接入方式以及相关平台及安全防护等系统。</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2）未经滨湖公安分局同意，不得擅自变更相关中心设备在运营商机房的存放位置。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3）不得擅自在杆件上安装与本项目无关的其他设备。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4）系统内设施设备经过更换后，维修前后品牌型号应保持完全一致，如停产应使用性能等于或高于当前的设备替换；设施设备数量必须与维修前保持完全一致。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5）服务期结束后，若由第三方提供后续服务，应提供便利并提交建设资料及运维资料。</w:t>
      </w:r>
      <w:r/>
    </w:p>
    <w:p>
      <w:pPr>
        <w:numPr>
          <w:ilvl w:val="0"/>
          <w:numId w:val="11"/>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运维输出物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（1）每日报告与记录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1）《视频监控巡检记录表》（监控系统机房日常维护记录表），记录电力、温度、湿度、防尘、存储、图像、控制、设备连接检查结果。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2）驻场工程师图像监看评价记录。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3）《设备维护记录》。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4）日巡检分析报告。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5）交接班登记表。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（2）故障处理与事件记录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1）《系统故障报修单》（每次故障处理后填写，含故障类别、原因、解决办法，由用户负责人签字确认）。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2）故障处理报告（故障解决后24小时内提交，说明故障种类、原因、解决方法及损失情况）。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3）《备品备件出库登记表》（按需填写）。</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4）《服务申请单》（按需填写，记录工单信息、申请人信息、故障信息等）。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（3）定期巡检与分析报告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1）周巡检分析报告（服务器及存储、网络、安全、信息系统等，每周）。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2）月巡检分析报告（每月）。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3）《每月维护服务情况汇报》（工作月报），包含绩效数据指标、工作计划完成情况、下月计划、月度总结（每月）。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4）前端设备外场巡检记录及客户端巡检报告（每月）。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5）每季度前端摄像头保洁及遮挡绿植修剪书面报告（每季度）。</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6）机房设备定期检测、保养报告（按需，向用户汇报，用户确认）。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7）半年总结分析报告（每半年）。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8）年度终结分析报告（每年）。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9）服务年报（服务期结束前提供）。</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（4）安全服务及专项报告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1）应急响应事件报告（安全事件发生后，不限次数）。</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2）深度潜伏威胁分析报告（每年不少于4次）。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3）定期维护检查报告（每年4次，对重要边界安全设备规则库及功能模块检查）。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4）渗透测试报告及修复建议（每年不少于1次）。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5）系统集成服务方案及报告（系统割接方案、数据迁移方案等，按需提交）。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6）故障分析处理记录、故障整改方案和建议（按需提交）。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7）重大故障记录报告（按需提交）。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（5）资产与档案管理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1）所有区域的系统图及点位图（正式维护前完成并提交）。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2）《设备维护档案表格》（记录设备名称、编号、时间、问题描述、处置说明等，按需更新）。</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3）新建杆件基础照片及检测合格报告（按需，新建时提交）。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4）设备更换时的操作手册、运行手册、技术方案及图纸（按需提交）。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5）网络文档记录（网络拓扑图、设备配置信息、故障排除记录等，按需提交）。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6）服务器、存储日常维护知识库及运维过程资料（按需整理提交）。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7）日常维护报告、系统巡检日志、系统维护记录、系统优化记录、各类优化的管理制度（按需或定期提交）。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8）服务期满后，提交所有相关的建设资料及运维资料。</w:t>
      </w:r>
      <w:r/>
    </w:p>
    <w:p>
      <w:pPr>
        <w:numPr>
          <w:ilvl w:val="0"/>
          <w:numId w:val="11"/>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团队配置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本项目将采用完全外包模式。采用驻场服务和按需服务两种模式。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该运维项目采用外包的方式，必须十分注重信息化技术队伍的建设，技术力量和人员配置是指根据项目发展需求，对运维人员进行配置、培训等，做到“人员配备适当”，能全流程管理运维任务。</w:t>
      </w:r>
      <w:r/>
    </w:p>
    <w:tbl>
      <w:tblPr>
        <w:tblStyle w:val="77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4"/>
        <w:gridCol w:w="1324"/>
        <w:gridCol w:w="844"/>
        <w:gridCol w:w="3411"/>
        <w:gridCol w:w="2099"/>
      </w:tblGrid>
      <w:tr>
        <w:trPr>
          <w:jc w:val="center"/>
          <w:tblHeader/>
        </w:trPr>
        <w:tc>
          <w:tcPr>
            <w:shd w:val="clear" w:color="auto" w:fill="ffffff"/>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bookmarkStart w:id="192" w:name="OLE_LINK28"/>
            <w:r>
              <w:rPr>
                <w:rFonts w:hint="eastAsia" w:ascii="宋体" w:hAnsi="宋体" w:eastAsia="宋体" w:cs="宋体"/>
                <w:sz w:val="24"/>
                <w:szCs w:val="24"/>
                <w:lang w:val="en-US" w:eastAsia="zh-CN" w:bidi="ar"/>
              </w:rPr>
              <w:t xml:space="preserve">序号</w:t>
            </w:r>
            <w:r/>
          </w:p>
        </w:tc>
        <w:tc>
          <w:tcPr>
            <w:shd w:val="clear" w:color="auto" w:fill="ffffff"/>
            <w:tcBorders>
              <w:top w:val="single" w:color="auto" w:sz="4" w:space="0"/>
              <w:left w:val="none" w:color="000000" w:sz="4" w:space="0"/>
              <w:bottom w:val="single" w:color="auto" w:sz="4" w:space="0"/>
              <w:right w:val="single" w:color="auto" w:sz="4" w:space="0"/>
            </w:tcBorders>
            <w:tcW w:w="13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岗位</w:t>
            </w:r>
            <w:r/>
          </w:p>
        </w:tc>
        <w:tc>
          <w:tcPr>
            <w:shd w:val="clear" w:color="auto" w:fill="ffffff"/>
            <w:tcBorders>
              <w:top w:val="single" w:color="auto" w:sz="4" w:space="0"/>
              <w:left w:val="none" w:color="000000"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人数</w:t>
            </w:r>
            <w:r/>
          </w:p>
        </w:tc>
        <w:tc>
          <w:tcPr>
            <w:shd w:val="clear" w:color="auto" w:fill="ffffff"/>
            <w:tcBorders>
              <w:top w:val="single" w:color="auto" w:sz="4" w:space="0"/>
              <w:left w:val="none" w:color="000000" w:sz="4" w:space="0"/>
              <w:bottom w:val="single" w:color="auto" w:sz="4" w:space="0"/>
              <w:right w:val="single" w:color="auto" w:sz="4" w:space="0"/>
            </w:tcBorders>
            <w:tcW w:w="341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职责说明</w:t>
            </w:r>
            <w:r/>
          </w:p>
        </w:tc>
        <w:tc>
          <w:tcPr>
            <w:shd w:val="clear" w:color="auto" w:fill="ffffff"/>
            <w:tcBorders>
              <w:top w:val="single" w:color="auto" w:sz="4" w:space="0"/>
              <w:left w:val="none" w:color="000000" w:sz="4" w:space="0"/>
              <w:bottom w:val="single" w:color="auto" w:sz="4" w:space="0"/>
              <w:right w:val="single" w:color="auto" w:sz="4" w:space="0"/>
            </w:tcBorders>
            <w:tcW w:w="209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工作方式</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ffffff"/>
            <w:tcBorders>
              <w:top w:val="single" w:color="auto" w:sz="4" w:space="0"/>
              <w:left w:val="none" w:color="000000" w:sz="4" w:space="0"/>
              <w:bottom w:val="single" w:color="auto" w:sz="4" w:space="0"/>
              <w:right w:val="single" w:color="auto" w:sz="4" w:space="0"/>
            </w:tcBorders>
            <w:tcW w:w="13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总负责人</w:t>
            </w:r>
            <w:r/>
          </w:p>
        </w:tc>
        <w:tc>
          <w:tcPr>
            <w:shd w:val="clear" w:color="auto" w:fill="ffffff"/>
            <w:tcBorders>
              <w:top w:val="single" w:color="auto" w:sz="4" w:space="0"/>
              <w:left w:val="none" w:color="000000"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ffffff"/>
            <w:tcBorders>
              <w:top w:val="single" w:color="auto" w:sz="4" w:space="0"/>
              <w:left w:val="none" w:color="000000" w:sz="4" w:space="0"/>
              <w:bottom w:val="single" w:color="auto" w:sz="4" w:space="0"/>
              <w:right w:val="single" w:color="auto" w:sz="4" w:space="0"/>
            </w:tcBorders>
            <w:tcW w:w="341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项目总负责、负责项目指导，重大决策（</w:t>
            </w:r>
            <w:bookmarkStart w:id="193" w:name="OLE_LINK16"/>
            <w:r>
              <w:rPr>
                <w:rFonts w:hint="eastAsia" w:ascii="宋体" w:hAnsi="宋体" w:eastAsia="宋体" w:cs="宋体"/>
                <w:sz w:val="24"/>
                <w:szCs w:val="24"/>
                <w:lang w:val="en-US" w:eastAsia="zh-CN" w:bidi="ar"/>
              </w:rPr>
              <w:t xml:space="preserve">无锡市公安局滨湖分局通信组</w:t>
            </w:r>
            <w:bookmarkEnd w:id="193"/>
            <w:r>
              <w:rPr>
                <w:rFonts w:hint="eastAsia" w:ascii="宋体" w:hAnsi="宋体" w:eastAsia="宋体" w:cs="宋体"/>
                <w:sz w:val="24"/>
                <w:szCs w:val="24"/>
                <w:lang w:val="en-US" w:eastAsia="zh-CN" w:bidi="ar"/>
              </w:rPr>
              <w:t xml:space="preserve">）</w:t>
            </w:r>
            <w:r/>
          </w:p>
        </w:tc>
        <w:tc>
          <w:tcPr>
            <w:shd w:val="clear" w:color="auto" w:fill="ffffff"/>
            <w:tcBorders>
              <w:top w:val="single" w:color="auto" w:sz="4" w:space="0"/>
              <w:left w:val="none" w:color="000000" w:sz="4" w:space="0"/>
              <w:bottom w:val="single" w:color="auto" w:sz="4" w:space="0"/>
              <w:right w:val="single" w:color="auto" w:sz="4" w:space="0"/>
            </w:tcBorders>
            <w:tcW w:w="209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公安负责项目管理监督</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p>
        </w:tc>
        <w:tc>
          <w:tcPr>
            <w:shd w:val="clear" w:color="auto" w:fill="ffffff"/>
            <w:tcBorders>
              <w:top w:val="single" w:color="auto" w:sz="4" w:space="0"/>
              <w:left w:val="none" w:color="000000" w:sz="4" w:space="0"/>
              <w:bottom w:val="single" w:color="auto" w:sz="4" w:space="0"/>
              <w:right w:val="single" w:color="auto" w:sz="4" w:space="0"/>
            </w:tcBorders>
            <w:tcW w:w="13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运维服务负责人</w:t>
            </w:r>
            <w:r/>
          </w:p>
        </w:tc>
        <w:tc>
          <w:tcPr>
            <w:shd w:val="clear" w:color="auto" w:fill="ffffff"/>
            <w:tcBorders>
              <w:top w:val="single" w:color="auto" w:sz="4" w:space="0"/>
              <w:left w:val="none" w:color="000000"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ffffff"/>
            <w:tcBorders>
              <w:top w:val="single" w:color="auto" w:sz="4" w:space="0"/>
              <w:left w:val="none" w:color="000000" w:sz="4" w:space="0"/>
              <w:bottom w:val="single" w:color="auto" w:sz="4" w:space="0"/>
              <w:right w:val="single" w:color="auto" w:sz="4" w:space="0"/>
            </w:tcBorders>
            <w:tcW w:w="341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负责项目的运维外包执行（无锡市公安局滨湖分局通信组）</w:t>
            </w:r>
            <w:r/>
          </w:p>
        </w:tc>
        <w:tc>
          <w:tcPr>
            <w:shd w:val="clear" w:color="auto" w:fill="ffffff"/>
            <w:tcBorders>
              <w:top w:val="single" w:color="auto" w:sz="4" w:space="0"/>
              <w:left w:val="none" w:color="000000" w:sz="4" w:space="0"/>
              <w:bottom w:val="single" w:color="auto" w:sz="4" w:space="0"/>
              <w:right w:val="single" w:color="auto" w:sz="4" w:space="0"/>
            </w:tcBorders>
            <w:tcW w:w="209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公安负责项目的具体实施</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w:t>
            </w:r>
            <w:r/>
          </w:p>
        </w:tc>
        <w:tc>
          <w:tcPr>
            <w:shd w:val="clear" w:color="auto" w:fill="ffffff"/>
            <w:tcBorders>
              <w:top w:val="single" w:color="auto" w:sz="4" w:space="0"/>
              <w:left w:val="none" w:color="000000" w:sz="4" w:space="0"/>
              <w:bottom w:val="single" w:color="auto" w:sz="4" w:space="0"/>
              <w:right w:val="single" w:color="auto" w:sz="4" w:space="0"/>
            </w:tcBorders>
            <w:tcW w:w="13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技术负责</w:t>
            </w:r>
            <w:r/>
          </w:p>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（外包）</w:t>
            </w:r>
            <w:r/>
          </w:p>
        </w:tc>
        <w:tc>
          <w:tcPr>
            <w:shd w:val="clear" w:color="auto" w:fill="ffffff"/>
            <w:tcBorders>
              <w:top w:val="single" w:color="auto" w:sz="4" w:space="0"/>
              <w:left w:val="none" w:color="000000"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ffffff"/>
            <w:tcBorders>
              <w:top w:val="single" w:color="auto" w:sz="4" w:space="0"/>
              <w:left w:val="none" w:color="000000" w:sz="4" w:space="0"/>
              <w:bottom w:val="single" w:color="auto" w:sz="4" w:space="0"/>
              <w:right w:val="single" w:color="auto" w:sz="4" w:space="0"/>
            </w:tcBorders>
            <w:tcW w:w="341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负责项目运维的具体实施（运维外包团队项目经理、技术负责人）。</w:t>
            </w:r>
            <w:r/>
          </w:p>
        </w:tc>
        <w:tc>
          <w:tcPr>
            <w:shd w:val="clear" w:color="auto" w:fill="ffffff"/>
            <w:tcBorders>
              <w:top w:val="single" w:color="auto" w:sz="4" w:space="0"/>
              <w:left w:val="none" w:color="000000" w:sz="4" w:space="0"/>
              <w:bottom w:val="single" w:color="auto" w:sz="4" w:space="0"/>
              <w:right w:val="single" w:color="auto" w:sz="4" w:space="0"/>
            </w:tcBorders>
            <w:tcW w:w="209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负责组织协调、服务流程闭环监督</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w:t>
            </w:r>
            <w:r/>
          </w:p>
        </w:tc>
        <w:tc>
          <w:tcPr>
            <w:shd w:val="clear" w:color="auto" w:fill="ffffff"/>
            <w:tcBorders>
              <w:top w:val="single" w:color="auto" w:sz="4" w:space="0"/>
              <w:left w:val="none" w:color="000000" w:sz="4" w:space="0"/>
              <w:bottom w:val="single" w:color="auto" w:sz="4" w:space="0"/>
              <w:right w:val="single" w:color="auto" w:sz="4" w:space="0"/>
            </w:tcBorders>
            <w:tcW w:w="13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业务协助</w:t>
            </w:r>
            <w:r/>
          </w:p>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（外包）</w:t>
            </w:r>
            <w:r/>
          </w:p>
        </w:tc>
        <w:tc>
          <w:tcPr>
            <w:shd w:val="clear" w:color="auto" w:fill="ffffff"/>
            <w:tcBorders>
              <w:top w:val="single" w:color="auto" w:sz="4" w:space="0"/>
              <w:left w:val="none" w:color="000000"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p>
        </w:tc>
        <w:tc>
          <w:tcPr>
            <w:shd w:val="clear" w:color="auto" w:fill="ffffff"/>
            <w:tcBorders>
              <w:top w:val="single" w:color="auto" w:sz="4" w:space="0"/>
              <w:left w:val="none" w:color="000000" w:sz="4" w:space="0"/>
              <w:bottom w:val="single" w:color="auto" w:sz="4" w:space="0"/>
              <w:right w:val="single" w:color="auto" w:sz="4" w:space="0"/>
            </w:tcBorders>
            <w:tcW w:w="341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bookmarkStart w:id="194" w:name="OLE_LINK21"/>
            <w:r>
              <w:rPr>
                <w:rFonts w:hint="eastAsia" w:ascii="宋体" w:hAnsi="宋体" w:eastAsia="宋体" w:cs="宋体"/>
                <w:sz w:val="24"/>
                <w:szCs w:val="24"/>
                <w:lang w:val="en-US" w:eastAsia="zh-CN" w:bidi="ar"/>
              </w:rPr>
              <w:t xml:space="preserve">负责平台运维（运维外包服务驻场服务人员）。</w:t>
            </w:r>
            <w:bookmarkEnd w:id="194"/>
            <w:r/>
            <w:r/>
          </w:p>
        </w:tc>
        <w:tc>
          <w:tcPr>
            <w:shd w:val="clear" w:color="auto" w:fill="ffffff"/>
            <w:tcBorders>
              <w:top w:val="single" w:color="auto" w:sz="4" w:space="0"/>
              <w:left w:val="none" w:color="000000" w:sz="4" w:space="0"/>
              <w:bottom w:val="single" w:color="auto" w:sz="4" w:space="0"/>
              <w:right w:val="single" w:color="auto" w:sz="4" w:space="0"/>
            </w:tcBorders>
            <w:tcW w:w="209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常驻公安</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w:t>
            </w:r>
            <w:r/>
          </w:p>
        </w:tc>
        <w:tc>
          <w:tcPr>
            <w:shd w:val="clear" w:color="auto" w:fill="ffffff"/>
            <w:tcBorders>
              <w:top w:val="single" w:color="auto" w:sz="4" w:space="0"/>
              <w:left w:val="none" w:color="000000" w:sz="4" w:space="0"/>
              <w:bottom w:val="single" w:color="auto" w:sz="4" w:space="0"/>
              <w:right w:val="single" w:color="auto" w:sz="4" w:space="0"/>
            </w:tcBorders>
            <w:tcW w:w="13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业务协助</w:t>
            </w:r>
            <w:r/>
          </w:p>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（外包）</w:t>
            </w:r>
            <w:r/>
          </w:p>
        </w:tc>
        <w:tc>
          <w:tcPr>
            <w:shd w:val="clear" w:color="auto" w:fill="ffffff"/>
            <w:tcBorders>
              <w:top w:val="single" w:color="auto" w:sz="4" w:space="0"/>
              <w:left w:val="none" w:color="000000"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w:t>
            </w:r>
            <w:r/>
          </w:p>
        </w:tc>
        <w:tc>
          <w:tcPr>
            <w:shd w:val="clear" w:color="auto" w:fill="ffffff"/>
            <w:tcBorders>
              <w:top w:val="single" w:color="auto" w:sz="4" w:space="0"/>
              <w:left w:val="none" w:color="000000" w:sz="4" w:space="0"/>
              <w:bottom w:val="single" w:color="auto" w:sz="4" w:space="0"/>
              <w:right w:val="single" w:color="auto" w:sz="4" w:space="0"/>
            </w:tcBorders>
            <w:tcW w:w="341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负责前端维修、线路维修（运维外包服务外场服务人员）。</w:t>
            </w:r>
            <w:r/>
          </w:p>
        </w:tc>
        <w:tc>
          <w:tcPr>
            <w:shd w:val="clear" w:color="auto" w:fill="ffffff"/>
            <w:tcBorders>
              <w:top w:val="single" w:color="auto" w:sz="4" w:space="0"/>
              <w:left w:val="none" w:color="000000" w:sz="4" w:space="0"/>
              <w:bottom w:val="single" w:color="auto" w:sz="4" w:space="0"/>
              <w:right w:val="single" w:color="auto" w:sz="4" w:space="0"/>
            </w:tcBorders>
            <w:tcW w:w="209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外场巡检</w:t>
            </w:r>
            <w:bookmarkEnd w:id="192"/>
            <w:r/>
            <w:r/>
          </w:p>
        </w:tc>
      </w:tr>
    </w:tbl>
    <w:p>
      <w:pPr>
        <w:numPr>
          <w:ilvl w:val="0"/>
          <w:numId w:val="11"/>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人员驻场要求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维护服务单位为本项目至少派驻2名维护人员，驻场人员需同时接受滨湖公安分局的管理。工作时间：维护期内每周一至周六上午9：00至下午17：00。工作地点：滨湖公安分局。维护服务单位需承诺接到故障后30分钟到达现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名驻场人员作内容主要是：每日完成前端视频巡查及后台设备巡查工作2轮，确保公安分局视频在线率及图像质量。发现故障需立即处置，2名驻场人员一人前往前端点位会同外场服务人员一起进行排查维修，一人可在分局进行平台端的操作及确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此外滨湖公安通信科每日对“一眼多维感知平台”中的《人脸抓拍数据监测报表》、《卡口过车数据监测报表》和《设备过车数据监测报表》等报表中出现的问题以及日常工作中发现的问题人工复核后形成问题清单，通报给考核对象（一般发送到“滨湖分局运维考核群”）。考核对象安排相关人员按照清单，对照问题及时整改。</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25</w:t>
      </w:r>
      <w:r>
        <w:rPr>
          <w:rFonts w:hint="eastAsia" w:ascii="宋体" w:hAnsi="宋体" w:eastAsia="宋体" w:cs="宋体"/>
          <w:b/>
          <w:bCs/>
          <w:sz w:val="24"/>
          <w:szCs w:val="24"/>
          <w:lang w:eastAsia="zh-CN"/>
        </w:rPr>
        <w:t xml:space="preserve">：滨湖区老小区技防设施改造建设二期及</w:t>
      </w:r>
      <w:r>
        <w:rPr>
          <w:rFonts w:hint="eastAsia" w:ascii="宋体" w:hAnsi="宋体" w:eastAsia="宋体" w:cs="宋体"/>
          <w:b/>
          <w:bCs/>
          <w:sz w:val="24"/>
          <w:szCs w:val="24"/>
          <w:lang w:val="en-US"/>
        </w:rPr>
        <w:t xml:space="preserve">2019</w:t>
      </w:r>
      <w:r>
        <w:rPr>
          <w:rFonts w:hint="eastAsia" w:ascii="宋体" w:hAnsi="宋体" w:eastAsia="宋体" w:cs="宋体"/>
          <w:b/>
          <w:bCs/>
          <w:sz w:val="24"/>
          <w:szCs w:val="24"/>
          <w:lang w:eastAsia="zh-CN"/>
        </w:rPr>
        <w:t xml:space="preserve">年宜居住区技防改造维护服务项目（</w:t>
      </w:r>
      <w:r>
        <w:rPr>
          <w:rFonts w:hint="eastAsia" w:ascii="宋体" w:hAnsi="宋体" w:eastAsia="宋体" w:cs="宋体"/>
          <w:b/>
          <w:bCs/>
          <w:sz w:val="24"/>
          <w:szCs w:val="24"/>
          <w:lang w:val="en-US"/>
        </w:rPr>
        <w:t xml:space="preserve">2026</w:t>
      </w:r>
      <w:r>
        <w:rPr>
          <w:rFonts w:hint="eastAsia" w:ascii="宋体" w:hAnsi="宋体" w:eastAsia="宋体" w:cs="宋体"/>
          <w:b/>
          <w:bCs/>
          <w:sz w:val="24"/>
          <w:szCs w:val="24"/>
          <w:lang w:eastAsia="zh-CN"/>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运维期限：8个月（2027年1月1日-2027年8月31日）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服务使用单位：无锡市滨湖区公安分局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numPr>
          <w:ilvl w:val="0"/>
          <w:numId w:val="13"/>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滨湖区老小区技防设施改造建设（二期）项目共有各类前端监控420路（道路监控枪式摄像机327路、道路监控球型摄像机47路、人脸抓拍摄像机25路、出入口抓拍单元21路）；以及相关中心设备、相关系统、滨湖公安中心机房设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滨湖区2019年宜居住区技防改造项目共建各类前端监控64路（道路监控枪式摄像机58路、道路监控球型摄像机2路、人脸抓拍摄像机3路/出入口抓拍单元车辆抓拍1路）；以及相关中心设备、相关系统。</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对现有设备进行质保运维8个月，使得整体系统正常运作，确保前端点位在线率、完好率，满足视频存储不低于30天，图片数据存储时间不低于180天。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（1）前端系统维护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1）开展对两个项目内所建前端感知系统的维护工作，含设备故障修复、损坏替换、图像遮挡处理；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2）开展对前端立杆设施的维护工作，应解决处理因事故等造成的杆件设施损坏恢复；协同处理因道路修缮等产生的点位迁移等工作；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3）开展对前端设施设备的维护工作，含前端设备损坏替换过程中发生的所有安装辅材，含前端设备箱、避雷器、电源线、网线、支架等辅材的维护更换。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（2）中心系统维护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1）开展对中心存储设备的维护工作，含设备故障修复、损坏替换等所有维护工作，确保整体系统图像可用性，避免录像无法保存的情况；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2）开展对中心服务器设备的维护工作，含设备故障修复、损坏维修、替换等所有维护工作，确保整体系统整体可用性，避免服务器故障造成的长时间系统宕机；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3）开展对中心网络设备的维护工作，含设备故障修复、损坏维修产生的硬件更换、软件配置调试等所有维护工作，确保中心网络系统正常运行。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4）开展对列入维保范围内的应用软件的维护工作，含软件安使用需要开展的配置设置修改及调整、故障排查、问题修复等，确保应用软件的可用性，避免软件系统故障产生的长时间无法使用。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（3）线路租赁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为确保“滨湖区老小区技防设施改造建设（二期）项目”以及“滨湖区2019年宜居住区技防改造项目”所建设系统的正常运行，保障前端感知系统采集数据继续向分局中心应用系统汇聚，本项目中继续租赁运营商VPN线路实现数据传输。经分局结合近年来实施项目情况，以及运营商对相关小区已进行四网合一改造，综合优化后，“滨湖区老小区技防设施改造建设（二期）项目”项目内需继续租赁176条链路；“滨湖区2019年宜居住区技防改造项目”项目，本项目中需继续租赁27条链路。因此，本项目共计需租赁VPN链路203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（4）机柜租赁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因滨湖分局中心机房整体规划调整，原“滨湖区老小区技防设施改造建设（二期）项目”中建设的部分中心设备已调整放置至运营商机房内，从而确保分局中心机房内有足够空间放置核心系统所需的硬件设施。该部分调整工作在2022年开展“滨湖区老小区技防设施改造建设（二期）维护服务项目”时就已开展，按照当时规划共租赁3个机柜空间。本次项目开展维护工作时，原“滨湖区老小区技防设施改造建设（二期）项目”以及以及原“滨湖区2019年宜居住区技防改造项目”中建设的部分中心设备，依旧需放置与运营商机房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通过近几年分局中心机房部署的整合调整，在本次项目开展时，需放置于运营商机房内的设备所需空间有所降低，经综合测算，两个项目合并计算，共需租用运营商机房1.5个机柜放置中心设备。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（5）机房环境系统维护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1）开展对空调新风系统的维护工作，含机房空调、新风系统内设备的维护工作，含部件更换、冷媒添加等工作；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2）开展对消防系统的维护工作，含机房消防系统内设施设备的维护工作，含药剂更换等工作；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3）开展对机房环境控制及不间断电源系统的维护工作，含机房环控整体设备维护及不间断电源维护，含电池损坏后更换工作；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开展对机房基础环境的维护工作，包含机房防雷接地系统、灯光照明系统、综合布线系统以及机房基础设施。在各系统发生故障时及时进行修复，并对因外部因素造成的机房墙面轻微损坏、静电地板损坏等进行修复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w:t>
      </w:r>
      <w:bookmarkStart w:id="195" w:name="_Toc12160"/>
      <w:r/>
      <w:bookmarkStart w:id="196" w:name="_Toc355874032"/>
      <w:r/>
      <w:bookmarkStart w:id="197" w:name="_Toc26177"/>
      <w:r>
        <w:rPr>
          <w:rFonts w:hint="eastAsia" w:ascii="宋体" w:hAnsi="宋体" w:eastAsia="宋体" w:cs="宋体"/>
          <w:sz w:val="24"/>
          <w:szCs w:val="24"/>
          <w:lang w:val="en-US" w:eastAsia="zh-CN" w:bidi="ar"/>
        </w:rPr>
        <w:t xml:space="preserve">零星更换摄像机费</w:t>
      </w:r>
      <w:bookmarkEnd w:id="195"/>
      <w:r/>
      <w:bookmarkEnd w:id="196"/>
      <w:r/>
      <w:bookmarkEnd w:id="197"/>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因公安治安监控担负着治安防范和打击犯罪的重要作用，维保要求高，相关视频监控级联市公安局、省公安厅和公安部，无锡市公安局对此有严格的考核要求和指标，需时刻保持相关系统、设备的稳定运行，经逐个预览查看，发现有部分道路监控球型摄像机和高清球机图像质量下降，已严重影响业务部门的使用，为此在项目中需零星更换部分摄像机。</w:t>
      </w:r>
      <w:r/>
    </w:p>
    <w:tbl>
      <w:tblPr>
        <w:tblStyle w:val="779"/>
        <w:tblW w:w="495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42"/>
        <w:gridCol w:w="1500"/>
        <w:gridCol w:w="5316"/>
        <w:gridCol w:w="842"/>
        <w:gridCol w:w="577"/>
      </w:tblGrid>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2928"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性能参数</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单位</w:t>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道路监控枪式摄像机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2928"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智能筒型网络摄像机，支持鳞镜补光，夜间成像效果更出色</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支持智能资源模式：人脸抓拍、道路监控、Smart事件，多种智能模式可按需切换</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采用隐藏式灯珠设计，通过鳞甲密布排列形成的镜面反射出光，见光不见灯；增加发光面积，降低聚光效果，补光柔和均匀</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支持开放型网络视频接口、ISAPI、GB/T28181协议接入；支持三码流技术，支持同时20路取流；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支持三级用户权限管理，支持授权的用户和密码，支持IP地址过滤；</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支持GB35114 A级安全加密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传感器类型：1/1.8" Progressive Scan 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最低照度：彩色：0.002 Lux ，0 Lux with Light</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黑白：0.0002 Lux，0 Lux with IR</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宽动态：120 dB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焦距：2.8~4 mm或4~6 mm或6~9 mm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补光灯类型：鳞镜补光，默认红外850 nm，可切换至暖白光，4颗灯珠</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补光距离：白光：普通监控：最远可达30 m，人脸抓拍/识别：最远可达5 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红外：普通监控：最远可达50 m，人脸抓拍/识别：最远可达10 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防补光过曝：支持防补光过曝开启和关闭，开启下支持自动和手动，手动支持根据距离等级控制补光灯亮度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最大图像尺寸：2560 × 1440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视频压缩标准：H.265/H.264/MJPEG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网络：1个RJ45 10 M/100 M自适应以太网口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SD卡扩展：内置MicroSD/MicroSDHC/MicroSDXC插槽，最大支持512 GB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音频：1路输入（Line in），1路输出（Line out），2个内置麦克风，1个内置扬声器</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报警：1路输入，1路输出（报警输入支持开关量，报警输出最大支持DC12 V，30 mA）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RS-485：1个RS-485接口，半双工模式，支持自适应PELCO-P和PELCO-D协议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复位：支持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电源输出：DC12 V，100 mA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供电方式：DC：12 V ± 20%，支持防反接保护；PoE：802.3at，Type 2，Class 4</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防护：IP67 </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道路监控球型摄像机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2928"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400万+400万25倍枪球一体机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全景400万单目臻全彩，细节球机400万25倍，采用双镜头设计，兼顾全景细节</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全景采用1个 F1.0大光圈全彩镜头，可输出90°大场景画面，细节采用1/1.8 CMOS传感器25倍光学变倍镜头，高清成像</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支持多种智能资源切换：【全景】Smart事件（默认）；【细节】Smart事件（默认），全结构化，混合目标比对，智能交通，人员布控</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支持AR功能，摄像机的实时视频画面中添加最多500个AR标签，且可实现标签与标签联动的功能</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AI-ISP降噪：采用去噪卷积神经网络将深度结构、学习算法用于图像去噪，最终使画面成像更新清晰，噪点更小图像更干净准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支持GB35114A级安全加密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传感器类型：【全景】1/1.8＂ progressive scan CMOS,【细节】1/1.8＂ progressive scan 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最低照度：【全景】彩色 0.0005Lux @ (F1.0，AGC ON)，黑白0.0001Lux @(F1.0，AGC ON)， 0Lux with Lght；</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【细节】彩色 0.0005Lux @ (F1.5，AGC ON)，黑白:0.0001Lux @(F1.5，AGC ON)， 0Lux with IR；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焦距：【全景】4mm；【细节】5.9~147.5 mm，25倍光学变倍</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视场角：【全景】90°；【细节】59.8°-2.7°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补光灯距离：【全景】暖白光30米；【细节】暖白光50米，红外250米</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防补光过曝：支持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水平范围：【全景】不支持；【细节】0-360°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垂直范围：【全景】7-17°；【细节】-20-90°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水平速度：【全景】不支持；【细节】水平键控速度：0.1°-160°/s,速度可设;水平预置点速度：240°/s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垂直速度：【全景】垂直键控速度可设；【细节】垂直键控速度：0.1°-120°/s,速度可设;垂直预置点速度：200°/s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主码流帧率分辨率：【全景】</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50 Hz：25 fps（2688*1520，2560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60 Hz：30 fps（2688*1520,2560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【细节】</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高帧率：</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50Hz：50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60 Hz：60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常规帧率：</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50 Hz：25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60 Hz：30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视频压缩标准：H.265,H.264,MJPEG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宽动态：支持120dB超宽动态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陀螺仪：支持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网络接口：支持100M网络数据,RJ45网口,自适应网络数据</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SD卡扩展：内置Micro SD卡插槽,支持Micro SD/Micro SDHC/Micro SDXC卡,最大支持512 GB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报警：7路报警输入</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2路报警输出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音频：1路音频输入，1路音频输出，音频峰值：2~2.4 V[p-p]，输入阻抗：1 kΩ ± 10%；线性电平，阻抗：600 Ω</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防护：IP67; 6000V 防雷、防浪涌、防突波，符合GB/T17626.2/3/4/5/6四级标准 </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安装辅材</w:t>
            </w:r>
            <w:r/>
          </w:p>
        </w:tc>
        <w:tc>
          <w:tcPr>
            <w:shd w:val="clear" w:color="auto" w:fill="auto"/>
            <w:tcBorders>
              <w:top w:val="single" w:color="000000" w:sz="4" w:space="0"/>
              <w:left w:val="single" w:color="000000" w:sz="4" w:space="0"/>
              <w:bottom w:val="single" w:color="000000" w:sz="4" w:space="0"/>
              <w:right w:val="single" w:color="000000" w:sz="4" w:space="0"/>
            </w:tcBorders>
            <w:tcW w:w="2928"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前端设备更换过程中使用的线缆、紧固件等</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项</w:t>
            </w:r>
            <w:r/>
          </w:p>
        </w:tc>
      </w:tr>
    </w:tbl>
    <w:p>
      <w:pPr>
        <w:numPr>
          <w:ilvl w:val="0"/>
          <w:numId w:val="13"/>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（1）日常运维保障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1）提供7×24小时不间断的运维服务，每日主动进行不少于2次的人工巡查，主动发现并处理故障及绿化遮挡等问题。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2）在维护期内每周一至周六上午9：00至下午17：00派驻不少于2名维护人员在滨湖公安分局驻场。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3）驻场人员每日完成2轮前端视频巡查及后台设备巡查，确保视频在线率及图像质量，发现故障立即处置。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4）提供统一的障碍申告号码及故障管理系统，维护人员通过电脑和手机接收故障单，实现运维记录透明化。</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（2）定期巡检与保养</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1）机房环境维护：每日4次日巡检（上班前、中午上下班前、下班前），每周1次周巡检。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2）网络及安全系统运维：每日4次日巡检，每周1次周巡检。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3）服务器及存储系统运维：每日4次日巡检，每周1次周巡检。日常性能和运行状况监控，进行资源利用率分析。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4）信息系统巡检：每日4次日巡检，每周1次周巡检。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5）通讯线路运维：每日4次日巡检，每周1次周巡检。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6）前端设备外场巡检：每季度1次现场电气环境检查、摄像头性能检查、机柜内设备清洁；每月1次清洁摄像机外罩、护罩、遮挡树枝，并填写巡检记录。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7）接地电阻测试：每6个月1次。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8）雷雨季节前（每年3月份）：对所有监控点接地电阻测试，检查避雷设备。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（3）应急处置与重大活动保障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1）提供7×24小时应急响应服务，故障处理完成后24小时内提交故障处理报告。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2）重大安保活动前，对相关区域安保设施开展细致的临时维护，提供重大活动或突发事件现场技术保障。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3）针对重大节日及公安安保事件成立“特殊事件维护小组”，重要节日每2天巡检1次，特殊重大活动尽量做到1天1次。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（4）数据共享与对接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1）照要求将本项目产生的所有相关信息资源汇聚到区数据局和城运中心。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2）免费配合滨湖公安分局做好系统、数据对接开发。</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3）无条件开放本项目中的所有平台及数据的对接接口，供滨湖公安分局指定的第三方系统调用。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（5）专项维护工作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前端系统维护：含设备故障修复、损坏替换、图像遮挡处理；立杆设施故障修复、损坏恢复，协同处理因道路修缮等产生的点位迁移；前端设备损坏替换过程中所有安装辅材（前端设备箱、避雷器、电源线、网线、支架等）的维护更换。</w:t>
      </w:r>
      <w:r/>
    </w:p>
    <w:p>
      <w:pPr>
        <w:numPr>
          <w:ilvl w:val="0"/>
          <w:numId w:val="14"/>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中心系统维护：含中心存储设备、服务器设备、网络设备的故障修复、损坏维修与更换；软件配置修改调整、故障排查、问题修复，确保系统可用性。</w:t>
      </w:r>
      <w:r/>
    </w:p>
    <w:p>
      <w:pPr>
        <w:numPr>
          <w:ilvl w:val="0"/>
          <w:numId w:val="14"/>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线路租赁：向运营商租赁VPN链路203条，租赁期限8个月。</w:t>
      </w:r>
      <w:r/>
    </w:p>
    <w:p>
      <w:pPr>
        <w:numPr>
          <w:ilvl w:val="0"/>
          <w:numId w:val="14"/>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机柜租赁：向运营商机房租赁1.5个机柜放置中心设备，租赁期限8个月。</w:t>
      </w:r>
      <w:r/>
    </w:p>
    <w:p>
      <w:pPr>
        <w:numPr>
          <w:ilvl w:val="0"/>
          <w:numId w:val="14"/>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自行勘察点位杆件情况，杆件灭失或不符合安全要求时，免费新建或整改；新建杆件需拍照存档并提供检测合格报告。”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6）每季度开展1次前端摄像头保洁并修剪遮挡绿植，工作完成后书面报滨湖公安分局确认。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7）在打处、维稳、反恐等工作中按需提供大数据支撑服务。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8）每季度或按要求对包含杆件在内的设备、设施进行巡检，发现缺失、灭失或安全隐患及时免费修复。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9）在维护期内，滨湖公安分局如有移位、迁移需求，在点位总数10%以内的，免费按新点位要求安装。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10）遇道路临时开挖、改建、施工等情况，负责设施维修、拆除或重建的所有费用。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11）对无法修复的设备，使用性能不低于原设备的备件进行免费更换，更换作业需在2小时之内完成。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12）提供设备软件升级服务。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13）对滨湖公安分局负责日常操作的管理人员进行技术培训和指导。</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14）提供系统软件升级和优化，并根据要求进行免费个性化定制或修改。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15）负责所有前端点位的坐标采集、名称标注、上图展示，并按公安机关要求进行立杆、设备箱颜色和监控标识牌制作。</w:t>
      </w:r>
      <w:r/>
    </w:p>
    <w:p>
      <w:pPr>
        <w:numPr>
          <w:ilvl w:val="0"/>
          <w:numId w:val="13"/>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（1）系统可用性指标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1）前端设备在线率不低于98%。</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2）前端设备24小时内修复率不低于90%。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3）使用方满意度不低于90%。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4）系统每月完好率（前端图像、抓拍图片等可正常使用）达到98%。</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5）保证整体系统可用性达到100%。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（2）故障响应与修复时效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1）服务响应时间：接到服务请求后1小时内响应。</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2）现场到达时间：接到故障通知后30分钟内到达现场（维护服务单位承诺）。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3）前端故障修复时间：小于24小时。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4）设备更换时间：在2小时内完成。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5）中心及平台故障修复时间：小于8小时。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6）摄像头污损、绿化遮挡处理：接到通知后48小时内清洁、处理完毕。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7）机房环境、网络、服务器等故障处理：现场15分钟响应，60分钟内提交故障处理方案，8小时内解决故障。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（3）人员与备件要求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1）维护服务单位需组建项目专属服务团队，明确总负责人、运维服务负责人、技术负责、实施人员等岗位。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2）提供符合备件数量及性能要求表中所列设备的备品备件，备件库中应有高于或等同数量及性能的备件。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3）维修或更换设备时间超3个工作日（计算机服务器、网络设备须在1个工作日内），必须提供档次不低于送修设备的备件。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（4）安全生产与保密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1）严格执行安全生产规范条例，对施工维护人员进行安全教育，确保合同期内不发生人身伤亡和火灾事故，承担全部安全责任和损失。</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传输链路专线专用，与其他网络物理隔绝，不得接入任何其它网络。前端点位租赁运营商光纤VPN链路数量不得少于核定的数量，含链路两端光传输设备及中心端接入交换设备；租赁运营商VPN链路，带宽100M（部分点位因应用场景需要带宽超过100M，运营商应根据实际需求免费提升带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3）对本项目所涉及的软硬件技术资料和监控图像等资料负有保密义务，未经许可不得提供给第三方。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4）不得出现信息泄露或危及滨湖公安分局网络安全的事件。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（5）运维变更与交接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1）维护服务单位不得擅自改变网络架构、组网方式、前端设备接入方式及中心系统。</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2）未经同意，不得擅自变更相关中心设备在运营商机房的存放位置。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3）不得擅自在杆件上安装与本项目无关的其他设备。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4）服务期满后，若由第三方提供后续服务，维护服务单位应提供便利，并提交相关建设和运维资料。</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5）合同约定的维护服务开始前，应与原维保单位做好交接工作，不得因此影响系统正常使用。</w:t>
      </w:r>
      <w:r/>
    </w:p>
    <w:p>
      <w:pPr>
        <w:numPr>
          <w:ilvl w:val="0"/>
          <w:numId w:val="13"/>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运维输出物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（1）日常报告与记录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1）每日：填写《视频监控巡检记录表》。包括机房日常维护记录（检查电力、温度、湿度、防尘、存储、图像、控制、设备连接等）。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2）每日：驻场工程师进行图像监看并做好评价记录。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3）每日：填写《设备维护记录》。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4）每次故障处理：填写《系统故障报修单》，包含故障类别、说明、原因、解决办法，并由用户负责人签字确认。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5）按需：填写《备品备件出库登记表》。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6）按需：填写《服务申请单》，记录工单信息、申请人信息、故障信息等。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（2）定期巡检与分析报告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1）每周：出具网络、服务器、存储、安全及信息系统巡检分析报告，汇报设备运行状态。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2）每月：提交《每月维护服务情况汇报》（工作月报），包含绩效数据指标、工作计划完成情况、下月计划、月度总结。</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3）每季度：巡检维护情况记录，供滨湖公安分局检查。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4）每季度：前端摄像头保洁及绿植修剪工作完成后，书面报滨湖公安分局确认。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5）每年：服务期结束前提供服务年报。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6）按需：提交《深度潜伏威胁分析报告》（每年不少于4次）。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7）按需：提交《渗透测试报告及修复建议》（每年不少于1次）。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8）按需：提交《应急响应事件报告》（不限次数）。</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（3）资产与档案管理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1）正式维护前：完成所有区域的系统图及点位图绘制并提交。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2）按需：建立并及时更新《设备维护档案表格》，记录设备履历、问题描述、处置说明。</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3）按需：如更换设备，需提供操作手册、运行手册、技术方案及图纸。</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4）服务期满后：提交所有相关的建设资料及运维资料。</w:t>
      </w:r>
      <w:r/>
    </w:p>
    <w:p>
      <w:pPr>
        <w:numPr>
          <w:ilvl w:val="0"/>
          <w:numId w:val="13"/>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团队配置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本项目将采用完全外包模式。采用驻场服务和按需服务两种模式。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该运维项目采用外包的方式，必须十分注重信息化技术队伍的建设，技术力量和人员配置是指根据项目发展需求，对运维人员进行配置、培训等，做到“人员配备适当”，能全流程管理运维任务。</w:t>
      </w:r>
      <w:r/>
    </w:p>
    <w:tbl>
      <w:tblPr>
        <w:tblStyle w:val="77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4"/>
        <w:gridCol w:w="1324"/>
        <w:gridCol w:w="844"/>
        <w:gridCol w:w="3412"/>
        <w:gridCol w:w="2098"/>
      </w:tblGrid>
      <w:tr>
        <w:trPr>
          <w:jc w:val="center"/>
          <w:tblHeader/>
        </w:trPr>
        <w:tc>
          <w:tcPr>
            <w:shd w:val="clear" w:color="auto" w:fill="ffffff"/>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序号</w:t>
            </w:r>
            <w:r/>
          </w:p>
        </w:tc>
        <w:tc>
          <w:tcPr>
            <w:shd w:val="clear" w:color="auto" w:fill="ffffff"/>
            <w:tcBorders>
              <w:top w:val="single" w:color="auto" w:sz="4" w:space="0"/>
              <w:left w:val="none" w:color="000000" w:sz="4" w:space="0"/>
              <w:bottom w:val="single" w:color="auto" w:sz="4" w:space="0"/>
              <w:right w:val="single" w:color="auto" w:sz="4" w:space="0"/>
            </w:tcBorders>
            <w:tcW w:w="13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岗位</w:t>
            </w:r>
            <w:r/>
          </w:p>
        </w:tc>
        <w:tc>
          <w:tcPr>
            <w:shd w:val="clear" w:color="auto" w:fill="ffffff"/>
            <w:tcBorders>
              <w:top w:val="single" w:color="auto" w:sz="4" w:space="0"/>
              <w:left w:val="none" w:color="000000"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人数</w:t>
            </w:r>
            <w:r/>
          </w:p>
        </w:tc>
        <w:tc>
          <w:tcPr>
            <w:shd w:val="clear" w:color="auto" w:fill="ffffff"/>
            <w:tcBorders>
              <w:top w:val="single" w:color="auto" w:sz="4" w:space="0"/>
              <w:left w:val="none" w:color="000000" w:sz="4" w:space="0"/>
              <w:bottom w:val="single" w:color="auto" w:sz="4" w:space="0"/>
              <w:right w:val="single" w:color="auto" w:sz="4" w:space="0"/>
            </w:tcBorders>
            <w:tcW w:w="34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职责说明</w:t>
            </w:r>
            <w:r/>
          </w:p>
        </w:tc>
        <w:tc>
          <w:tcPr>
            <w:shd w:val="clear" w:color="auto" w:fill="ffffff"/>
            <w:tcBorders>
              <w:top w:val="single" w:color="auto" w:sz="4" w:space="0"/>
              <w:left w:val="none" w:color="000000" w:sz="4" w:space="0"/>
              <w:bottom w:val="single" w:color="auto" w:sz="4" w:space="0"/>
              <w:right w:val="single" w:color="auto" w:sz="4" w:space="0"/>
            </w:tcBorders>
            <w:tcW w:w="209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工作方式</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ffffff"/>
            <w:tcBorders>
              <w:top w:val="single" w:color="auto" w:sz="4" w:space="0"/>
              <w:left w:val="none" w:color="000000" w:sz="4" w:space="0"/>
              <w:bottom w:val="single" w:color="auto" w:sz="4" w:space="0"/>
              <w:right w:val="single" w:color="auto" w:sz="4" w:space="0"/>
            </w:tcBorders>
            <w:tcW w:w="13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总负责人</w:t>
            </w:r>
            <w:r/>
          </w:p>
        </w:tc>
        <w:tc>
          <w:tcPr>
            <w:shd w:val="clear" w:color="auto" w:fill="ffffff"/>
            <w:tcBorders>
              <w:top w:val="single" w:color="auto" w:sz="4" w:space="0"/>
              <w:left w:val="none" w:color="000000"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ffffff"/>
            <w:tcBorders>
              <w:top w:val="single" w:color="auto" w:sz="4" w:space="0"/>
              <w:left w:val="none" w:color="000000" w:sz="4" w:space="0"/>
              <w:bottom w:val="single" w:color="auto" w:sz="4" w:space="0"/>
              <w:right w:val="single" w:color="auto" w:sz="4" w:space="0"/>
            </w:tcBorders>
            <w:tcW w:w="34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项目总负责、负责项目指导，重大决策（无锡市公安局滨湖分局通信组）</w:t>
            </w:r>
            <w:r/>
          </w:p>
        </w:tc>
        <w:tc>
          <w:tcPr>
            <w:shd w:val="clear" w:color="auto" w:fill="ffffff"/>
            <w:tcBorders>
              <w:top w:val="single" w:color="auto" w:sz="4" w:space="0"/>
              <w:left w:val="none" w:color="000000" w:sz="4" w:space="0"/>
              <w:bottom w:val="single" w:color="auto" w:sz="4" w:space="0"/>
              <w:right w:val="single" w:color="auto" w:sz="4" w:space="0"/>
            </w:tcBorders>
            <w:tcW w:w="209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公安负责项目管理监督</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p>
        </w:tc>
        <w:tc>
          <w:tcPr>
            <w:shd w:val="clear" w:color="auto" w:fill="ffffff"/>
            <w:tcBorders>
              <w:top w:val="single" w:color="auto" w:sz="4" w:space="0"/>
              <w:left w:val="none" w:color="000000" w:sz="4" w:space="0"/>
              <w:bottom w:val="single" w:color="auto" w:sz="4" w:space="0"/>
              <w:right w:val="single" w:color="auto" w:sz="4" w:space="0"/>
            </w:tcBorders>
            <w:tcW w:w="13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运维服务负责人</w:t>
            </w:r>
            <w:r/>
          </w:p>
        </w:tc>
        <w:tc>
          <w:tcPr>
            <w:shd w:val="clear" w:color="auto" w:fill="ffffff"/>
            <w:tcBorders>
              <w:top w:val="single" w:color="auto" w:sz="4" w:space="0"/>
              <w:left w:val="none" w:color="000000"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ffffff"/>
            <w:tcBorders>
              <w:top w:val="single" w:color="auto" w:sz="4" w:space="0"/>
              <w:left w:val="none" w:color="000000" w:sz="4" w:space="0"/>
              <w:bottom w:val="single" w:color="auto" w:sz="4" w:space="0"/>
              <w:right w:val="single" w:color="auto" w:sz="4" w:space="0"/>
            </w:tcBorders>
            <w:tcW w:w="34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负责项目的运维外包执行（无锡市公安局滨湖分局通信组）</w:t>
            </w:r>
            <w:r/>
          </w:p>
        </w:tc>
        <w:tc>
          <w:tcPr>
            <w:shd w:val="clear" w:color="auto" w:fill="ffffff"/>
            <w:tcBorders>
              <w:top w:val="single" w:color="auto" w:sz="4" w:space="0"/>
              <w:left w:val="none" w:color="000000" w:sz="4" w:space="0"/>
              <w:bottom w:val="single" w:color="auto" w:sz="4" w:space="0"/>
              <w:right w:val="single" w:color="auto" w:sz="4" w:space="0"/>
            </w:tcBorders>
            <w:tcW w:w="209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公安负责项目的具体实施</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w:t>
            </w:r>
            <w:r/>
          </w:p>
        </w:tc>
        <w:tc>
          <w:tcPr>
            <w:shd w:val="clear" w:color="auto" w:fill="ffffff"/>
            <w:tcBorders>
              <w:top w:val="single" w:color="auto" w:sz="4" w:space="0"/>
              <w:left w:val="none" w:color="000000" w:sz="4" w:space="0"/>
              <w:bottom w:val="single" w:color="auto" w:sz="4" w:space="0"/>
              <w:right w:val="single" w:color="auto" w:sz="4" w:space="0"/>
            </w:tcBorders>
            <w:tcW w:w="13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技术负责</w:t>
            </w:r>
            <w:r/>
          </w:p>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（外包）</w:t>
            </w:r>
            <w:r/>
          </w:p>
        </w:tc>
        <w:tc>
          <w:tcPr>
            <w:shd w:val="clear" w:color="auto" w:fill="ffffff"/>
            <w:tcBorders>
              <w:top w:val="single" w:color="auto" w:sz="4" w:space="0"/>
              <w:left w:val="none" w:color="000000"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ffffff"/>
            <w:tcBorders>
              <w:top w:val="single" w:color="auto" w:sz="4" w:space="0"/>
              <w:left w:val="none" w:color="000000" w:sz="4" w:space="0"/>
              <w:bottom w:val="single" w:color="auto" w:sz="4" w:space="0"/>
              <w:right w:val="single" w:color="auto" w:sz="4" w:space="0"/>
            </w:tcBorders>
            <w:tcW w:w="34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负责项目运维的具体实施（运维外包团队项目经理、技术负责人）。</w:t>
            </w:r>
            <w:r/>
          </w:p>
        </w:tc>
        <w:tc>
          <w:tcPr>
            <w:shd w:val="clear" w:color="auto" w:fill="ffffff"/>
            <w:tcBorders>
              <w:top w:val="single" w:color="auto" w:sz="4" w:space="0"/>
              <w:left w:val="none" w:color="000000" w:sz="4" w:space="0"/>
              <w:bottom w:val="single" w:color="auto" w:sz="4" w:space="0"/>
              <w:right w:val="single" w:color="auto" w:sz="4" w:space="0"/>
            </w:tcBorders>
            <w:tcW w:w="209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负责组织协调、服务流程闭环监督</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w:t>
            </w:r>
            <w:r/>
          </w:p>
        </w:tc>
        <w:tc>
          <w:tcPr>
            <w:shd w:val="clear" w:color="auto" w:fill="ffffff"/>
            <w:tcBorders>
              <w:top w:val="single" w:color="auto" w:sz="4" w:space="0"/>
              <w:left w:val="none" w:color="000000" w:sz="4" w:space="0"/>
              <w:bottom w:val="single" w:color="auto" w:sz="4" w:space="0"/>
              <w:right w:val="single" w:color="auto" w:sz="4" w:space="0"/>
            </w:tcBorders>
            <w:tcW w:w="13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业务协助</w:t>
            </w:r>
            <w:r/>
          </w:p>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（外包）</w:t>
            </w:r>
            <w:r/>
          </w:p>
        </w:tc>
        <w:tc>
          <w:tcPr>
            <w:shd w:val="clear" w:color="auto" w:fill="ffffff"/>
            <w:tcBorders>
              <w:top w:val="single" w:color="auto" w:sz="4" w:space="0"/>
              <w:left w:val="none" w:color="000000"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p>
        </w:tc>
        <w:tc>
          <w:tcPr>
            <w:shd w:val="clear" w:color="auto" w:fill="ffffff"/>
            <w:tcBorders>
              <w:top w:val="single" w:color="auto" w:sz="4" w:space="0"/>
              <w:left w:val="none" w:color="000000" w:sz="4" w:space="0"/>
              <w:bottom w:val="single" w:color="auto" w:sz="4" w:space="0"/>
              <w:right w:val="single" w:color="auto" w:sz="4" w:space="0"/>
            </w:tcBorders>
            <w:tcW w:w="34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负责平台运维（运维外包服务驻场服务人员）。</w:t>
            </w:r>
            <w:r/>
          </w:p>
        </w:tc>
        <w:tc>
          <w:tcPr>
            <w:shd w:val="clear" w:color="auto" w:fill="ffffff"/>
            <w:tcBorders>
              <w:top w:val="single" w:color="auto" w:sz="4" w:space="0"/>
              <w:left w:val="none" w:color="000000" w:sz="4" w:space="0"/>
              <w:bottom w:val="single" w:color="auto" w:sz="4" w:space="0"/>
              <w:right w:val="single" w:color="auto" w:sz="4" w:space="0"/>
            </w:tcBorders>
            <w:tcW w:w="209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常驻公安</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w:t>
            </w:r>
            <w:r/>
          </w:p>
        </w:tc>
        <w:tc>
          <w:tcPr>
            <w:shd w:val="clear" w:color="auto" w:fill="ffffff"/>
            <w:tcBorders>
              <w:top w:val="single" w:color="auto" w:sz="4" w:space="0"/>
              <w:left w:val="none" w:color="000000" w:sz="4" w:space="0"/>
              <w:bottom w:val="single" w:color="auto" w:sz="4" w:space="0"/>
              <w:right w:val="single" w:color="auto" w:sz="4" w:space="0"/>
            </w:tcBorders>
            <w:tcW w:w="13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业务协助</w:t>
            </w:r>
            <w:r/>
          </w:p>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（外包）</w:t>
            </w:r>
            <w:r/>
          </w:p>
        </w:tc>
        <w:tc>
          <w:tcPr>
            <w:shd w:val="clear" w:color="auto" w:fill="ffffff"/>
            <w:tcBorders>
              <w:top w:val="single" w:color="auto" w:sz="4" w:space="0"/>
              <w:left w:val="none" w:color="000000"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w:t>
            </w:r>
            <w:r/>
          </w:p>
        </w:tc>
        <w:tc>
          <w:tcPr>
            <w:shd w:val="clear" w:color="auto" w:fill="ffffff"/>
            <w:tcBorders>
              <w:top w:val="single" w:color="auto" w:sz="4" w:space="0"/>
              <w:left w:val="none" w:color="000000" w:sz="4" w:space="0"/>
              <w:bottom w:val="single" w:color="auto" w:sz="4" w:space="0"/>
              <w:right w:val="single" w:color="auto" w:sz="4" w:space="0"/>
            </w:tcBorders>
            <w:tcW w:w="34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负责前端维修、线路维修（运维外包服务外场服务人员）。</w:t>
            </w:r>
            <w:r/>
          </w:p>
        </w:tc>
        <w:tc>
          <w:tcPr>
            <w:shd w:val="clear" w:color="auto" w:fill="ffffff"/>
            <w:tcBorders>
              <w:top w:val="single" w:color="auto" w:sz="4" w:space="0"/>
              <w:left w:val="none" w:color="000000" w:sz="4" w:space="0"/>
              <w:bottom w:val="single" w:color="auto" w:sz="4" w:space="0"/>
              <w:right w:val="single" w:color="auto" w:sz="4" w:space="0"/>
            </w:tcBorders>
            <w:tcW w:w="209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外场巡检</w:t>
            </w:r>
            <w:r/>
          </w:p>
        </w:tc>
      </w:tr>
    </w:tbl>
    <w:p>
      <w:pPr>
        <w:numPr>
          <w:ilvl w:val="0"/>
          <w:numId w:val="13"/>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人员驻场要求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维护服务单位为本项目至少派驻2名维护人员，驻场人员需同时接受滨湖公安分局的管理。工作时间：维护期内每周一至周六上午9：00至下午17：00。工作地点：滨湖公安分局。维护服务单位需承诺接到故障后30分钟到达现场。2名驻场人员作内容主要是：每日完成前端视频巡查及后台设备巡查工作2轮，确保公安分局视频在线率及图像质量。发现故障需立即处置，2名驻场人员一人前往前端点位会同外场服务人员一起进行排查维修，一人可在分局进行平台端的操作及确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此外滨湖公安通信科每日对“一眼多维感知平台”中的《人脸抓拍数据监测报表》、《卡口过车数据监测报表》和《设备过车数据监测报表》等报表中出现的问题以及日常工作中发现的问题人工复核后形成问题清单，通报给考核对象（一般发送到“滨湖分局运维考核群”）。考核对象安排相关人员按照清单，对照问题及时整改。</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26</w:t>
      </w:r>
      <w:r>
        <w:rPr>
          <w:rFonts w:hint="eastAsia" w:ascii="宋体" w:hAnsi="宋体" w:eastAsia="宋体" w:cs="宋体"/>
          <w:b/>
          <w:bCs/>
          <w:sz w:val="24"/>
          <w:szCs w:val="24"/>
          <w:lang w:eastAsia="zh-CN"/>
        </w:rPr>
        <w:t xml:space="preserve">：滨湖区老小区技防设施改造三期维护服务项目（</w:t>
      </w:r>
      <w:r>
        <w:rPr>
          <w:rFonts w:hint="eastAsia" w:ascii="宋体" w:hAnsi="宋体" w:eastAsia="宋体" w:cs="宋体"/>
          <w:b/>
          <w:bCs/>
          <w:sz w:val="24"/>
          <w:szCs w:val="24"/>
          <w:lang w:val="en-US"/>
        </w:rPr>
        <w:t xml:space="preserve">2026</w:t>
      </w:r>
      <w:r>
        <w:rPr>
          <w:rFonts w:hint="eastAsia" w:ascii="宋体" w:hAnsi="宋体" w:eastAsia="宋体" w:cs="宋体"/>
          <w:b/>
          <w:bCs/>
          <w:sz w:val="24"/>
          <w:szCs w:val="24"/>
          <w:lang w:eastAsia="zh-CN"/>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运维期限：8个月（2027年1月1日-2027年8月31日）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服务使用单位：无锡市滨湖区公安分局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numPr>
          <w:ilvl w:val="0"/>
          <w:numId w:val="15"/>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bookmarkStart w:id="198" w:name="_Toc29680"/>
      <w:r>
        <w:rPr>
          <w:rFonts w:hint="eastAsia" w:ascii="宋体" w:hAnsi="宋体" w:eastAsia="宋体" w:cs="宋体"/>
          <w:sz w:val="24"/>
          <w:szCs w:val="24"/>
          <w:lang w:val="en-US" w:eastAsia="zh-CN" w:bidi="ar"/>
        </w:rPr>
        <w:t xml:space="preserve">滨湖区老小区技防设施改造项目（三期）建设各类前端监控335路（道路监控枪式摄像机267路、道路监控球型摄像机38路、人脸抓拍摄像机23路、出入口抓拍单元7路）以及相关中心平台设备等。</w:t>
      </w:r>
      <w:bookmarkEnd w:id="198"/>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对现有设备进行质保运维8个月，使得整体系统正常运作，确保前端点位在线率、完好率，满足视频存储不低于30天，图片数据存储时间不低于180天。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（1）前端系统维护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1）开展对项目内所建前端感知系统的维护工作，含设备故障修复、损坏替换、图像遮挡处理；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2）开展对前端立杆设施的维护工作，应届解决处理因事故等造成的杆件设施损坏恢复；协同处理因道路修缮等产生的点位迁移等工作；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3）开展对前端设施设备的维护工作，含前端设备损坏替换过程中发生的所有安装辅材，含前端设备箱、避雷器、电源线、网线、支架等辅材的维护更换。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（2）中心系统维护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1）开展对中心存储设备的维护工作，含设备故障修复、损坏替换等所有维护工作，确保整体系统图像可用性，避免录像无法保存的情况；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2）开展对中心服务器设备的维护工作，含设备故障修复、损坏维修、替换等所有维护工作，确保整体系统整体可用性，避免服务器故障造成的长时间系统宕机；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3）开展对中心网络设备的维护工作，含设备故障修复、损坏维修产生的硬件更换、软件配置调试等所有维护工作，确保中心网络系统正常运行。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4）开展对列入维保范围内的应用软件的维护工作，含软件安使用需要开展的配置设置修改及调整、故障排查、问题修复等，确保应用软件的可用性，避免软件系统故障产生的长时间无法使用。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（3）机房环境系统维护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1）开展对空调新风系统的维护工作，含机房空调、新风系统内设备的维护工作，含部件更换、冷媒添加等工作；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2）开展对消防系统的维护工作，含机房消防系统内设施设备的维护工作，含药剂更换等工作；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3）开展对机房环境控制及不间断电源系统的维护工作，含机房环控整体设备维护及不间断电源维护，含电池损坏后更换工作；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开展对机房基础环境的维护工作，包含机房防雷接地系统、灯光照明系统、综合布线系统以及机房基础设施。在各系统发生故障时及时进行修复，并对因外部因素造成的机房墙面轻微损坏、静电地板损坏等进行修复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（4）线路租赁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为确保“滨湖区老小区技防设施改造三期维护服务项目(2026)”项目所建设系统的正常运行，保障前端感知系统采集数据继续向分局中心应用系统汇聚，本项目中继续租赁运营商VPN线路实现数据传输。原项目建设时，共计租用167条VPN链路，本项目中继续租赁同等数量VPN链路。</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（5）机柜租赁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因滨湖分局中心机房整体规划调整，原“滨湖区老小区技防设施改造（三期）”项目中建设的部分中心设备已调整放置至运营商机房内，从而确保分局中心机房内有足够空间放置核心系统所需的硬件设施。经综合测算，仍需租用运营商机房1个机柜放置中心设备。</w:t>
      </w:r>
      <w:r/>
    </w:p>
    <w:p>
      <w:pPr>
        <w:ind w:left="0" w:right="0" w:firstLine="480"/>
        <w:jc w:val="both"/>
        <w:keepLines w:val="0"/>
        <w:keepNext w:val="0"/>
        <w:spacing w:before="0" w:beforeAutospacing="0" w:after="0" w:afterAutospacing="0" w:line="360" w:lineRule="auto"/>
        <w:widowControl w:val="off"/>
        <w:tabs>
          <w:tab w:val="left" w:pos="425" w:leader="none"/>
        </w:tabs>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（6）零星更换摄像机费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因公安治安监控担负着治安防范和打击犯罪的重要作用，维保要求高，相关视频监控级联市公安局、省公安厅和公安部，无锡市公安局对此有严格的考核要求和指标，需时刻保持相关系统、设备的稳定运行，经逐个预览查看，发现有部分道路监控球型摄像机和高清球机图像质量下降，已严重影响业务部门的使用，为此在项目中需零星更换部分摄像机。</w:t>
      </w:r>
      <w:r/>
    </w:p>
    <w:tbl>
      <w:tblPr>
        <w:tblStyle w:val="779"/>
        <w:tblW w:w="495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79"/>
        <w:gridCol w:w="907"/>
        <w:gridCol w:w="5818"/>
        <w:gridCol w:w="880"/>
        <w:gridCol w:w="593"/>
      </w:tblGrid>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20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性能参数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单位</w:t>
            </w:r>
            <w:r/>
          </w:p>
        </w:tc>
      </w:tr>
      <w:tr>
        <w:trPr>
          <w:trHeight w:val="706"/>
        </w:trPr>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道路监控枪式摄像机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320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智能筒型网络摄像机，支持鳞镜补光，夜间成像效果更出色</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支持智能资源模式：人脸抓拍、道路监控、Smart事件，多种智能模式可按需切换</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采用隐藏式灯珠设计，通过鳞甲密布排列形成的镜面反射出光，见光不见灯；增加发光面积，降低聚光效果，补光柔和均匀</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支持开放型网络视频接口、ISAPI、GB/T28181协议接入；支持三码流技术，支持同时20路取流；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支持三级用户权限管理，支持授权的用户和密码，支持IP地址过滤；</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支持GB35114 A级安全加密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传感器类型：1/1.8" Progressive Scan 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最低照度：彩色：0.002 Lux ，0 Lux with Light</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黑白：0.0002 Lux，0 Lux with IR</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宽动态：120 dB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焦距：2.8~4 mm或4~6 mm或6~9 mm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补光灯类型：鳞镜补光，默认红外850 nm，可切换至暖白光，4颗灯珠</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补光距离：白光：普通监控：最远可达30 m，人脸抓拍/识别：最远可达5 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红外：普通监控：最远可达50 m，人脸抓拍/识别：最远可达10 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防补光过曝：支持防补光过曝开启和关闭，开启下支持自动和手动，手动支持根据距离等级控制补光灯亮度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最大图像尺寸：2560 × 1440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视频压缩标准：H.265/H.264/MJPEG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网络：1个RJ45 10 M/100 M自适应以太网口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SD卡扩展：内置MicroSD/MicroSDHC/MicroSDXC插槽，最大支持512 GB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音频：1路输入（Line in），1路输出（Line out），2个内置麦克风，1个内置扬声器</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报警：1路输入，1路输出（报警输入支持开关量，报警输出最大支持DC12 V，30 mA）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RS-485：1个RS-485接口，半双工模式，支持自适应PELCO-P和PELCO-D协议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复位：支持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电源输出：DC12 V，100 mA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供电方式：DC：12 V ± 20%，支持防反接保护；PoE：802.3at，Type 2，Class 4</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防护：IP67 </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2460"/>
        </w:trPr>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道路监控球型摄像机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320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400万+400万25倍枪球一体机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全景400万单目臻全彩，细节球机400万25倍，采用双镜头设计，兼顾全景细节</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全景采用1个 F1.0大光圈全彩镜头，可输出90°大场景画面，细节采用1/1.8 CMOS传感器25倍光学变倍镜头，高清成像</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支持多种智能资源切换：【全景】Smart事件（默认）；【细节】Smart事件（默认），全结构化，混合目标比对，智能交通，人员布控</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支持AR功能，摄像机的实时视频画面中添加最多500个AR标签，且可实现标签与标签联动的功能</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AI-ISP降噪：采用去噪卷积神经网络将深度结构、学习算法用于图像去噪，最终使画面成像更新清晰，噪点更小图像更干净准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支持GB35114A级安全加密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传感器类型：【全景】1/1.8＂ progressive scan CMOS,【细节】1/1.8＂ progressive scan 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最低照度：【全景】彩色 0.0005Lux @ (F1.0，AGC ON)，黑白0.0001Lux @(F1.0，AGC ON)， 0Lux with Lght；</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【细节】彩色 0.0005Lux @ (F1.5，AGC ON)，黑白:0.0001Lux @(F1.5，AGC ON)， 0Lux with IR；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焦距：【全景】4mm；【细节】5.9~147.5 mm，25倍光学变倍</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视场角：【全景】90°；【细节】59.8°-2.7°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补光灯距离：【全景】暖白光30米；【细节】暖白光50米，红外250米</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防补光过曝：支持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水平范围：【全景】不支持；【细节】0-360°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垂直范围：【全景】7-17°；【细节】-20-90°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水平速度：【全景】不支持；【细节】水平键控速度：0.1°-160°/s,速度可设;水平预置点速度：240°/s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垂直速度：【全景】垂直键控速度可设；【细节】垂直键控速度：0.1°-120°/s,速度可设;垂直预置点速度：200°/s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主码流帧率分辨率：【全景】</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50 Hz：25 fps（2688*1520，2560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60 Hz：30 fps（2688*1520,2560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【细节】</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高帧率：</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50Hz：50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60 Hz：60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常规帧率：</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50 Hz：25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60 Hz：30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视频压缩标准：H.265,H.264,MJPEG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宽动态：支持120dB超宽动态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陀螺仪：支持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网络接口：支持100M网络数据,RJ45网口,自适应网络数据</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SD卡扩展：内置Micro SD卡插槽,支持Micro SD/Micro SDHC/Micro SDXC卡,最大支持512 GB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报警：7路报警输入</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2路报警输出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音频：1路音频输入，1路音频输出，音频峰值：2~2.4 V[p-p]，输入阻抗：1 kΩ ± 10%；线性电平，阻抗：600 Ω</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防护：IP67; 6000V 防雷、防浪涌、防突波，符合GB/T17626.2/3/4/5/6四级标准 </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783"/>
        </w:trPr>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人脸抓拍摄像机</w:t>
            </w:r>
            <w:r/>
          </w:p>
        </w:tc>
        <w:tc>
          <w:tcPr>
            <w:shd w:val="clear" w:color="auto" w:fill="auto"/>
            <w:tcBorders>
              <w:top w:val="single" w:color="000000" w:sz="4" w:space="0"/>
              <w:left w:val="single" w:color="000000" w:sz="4" w:space="0"/>
              <w:bottom w:val="single" w:color="000000" w:sz="4" w:space="0"/>
              <w:right w:val="single" w:color="000000" w:sz="4" w:space="0"/>
            </w:tcBorders>
            <w:tcW w:w="320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支持GB35114安全加密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400W智能筒型网络摄像机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采用深度学习算法，以海量图片及视频资源为路基，通过机器自身提取目标特征，形成深层可供学习的图像。极大的提升了算法的检出率</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支持智能资源模式切换：人脸抓拍、道路监控、Smart事件、人数统计、热度图</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采用隐藏式灯珠设计，通过鳞甲密布排列形成的镜面反射出光，见光不见灯。增加发光面积，降低聚光效果，补光柔和均匀</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设备内置电动变焦镜头，操作便易，变焦过程平稳</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宽动态：120 dB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最低照度：彩色：0.0005 Lux @（F1.2，AGC ON），0 Lux with Light</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黑白：0.0001 Lux @（F1.2，AGC ON），0 Lux with IR</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传感器类型：1/1.8" Progressive Scan CMOS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焦距&amp;视场角：8~32 mm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补光灯类型：鳞镜补光，默认混光（850 nm+暖白），4颗灯珠</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防补光过曝：支持防补光过曝开启和关闭，开启下支持自动和手动，手动支持根据距离等级控制补光灯亮度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最大图像尺寸：2560 × 1440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视频压缩标准：H.265/H.264/MJPEG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网络：1个RJ45 10 M/100 M自适应以太网口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SD卡扩展：内置MicroSD/MicroSDHC/MicroSDXC插槽，最大支持256 GB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复位：支持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音频：2路输入（Line in），1路输出（Line out），2个内置麦克风，1个内置扬声器</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报警：3路输入，2路输出（报警输入支持开关量，报警输出最大支持DC12 V，30 mA）</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电源输出：DC12 V，100 mA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恢复出厂设置：支持RESET按键，客户端或浏览器恢复</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供电方式：DC：12 V ± 20%，支持防反接保护</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防护：IP67 </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安装辅材</w:t>
            </w:r>
            <w:r/>
          </w:p>
        </w:tc>
        <w:tc>
          <w:tcPr>
            <w:shd w:val="clear" w:color="auto" w:fill="auto"/>
            <w:tcBorders>
              <w:top w:val="single" w:color="000000" w:sz="4" w:space="0"/>
              <w:left w:val="single" w:color="000000" w:sz="4" w:space="0"/>
              <w:bottom w:val="single" w:color="000000" w:sz="4" w:space="0"/>
              <w:right w:val="single" w:color="000000" w:sz="4" w:space="0"/>
            </w:tcBorders>
            <w:tcW w:w="320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前端设备更换过程中使用的线缆、紧固件等</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项</w:t>
            </w:r>
            <w:r/>
          </w:p>
        </w:tc>
      </w:tr>
    </w:tbl>
    <w:p>
      <w:pPr>
        <w:numPr>
          <w:ilvl w:val="0"/>
          <w:numId w:val="15"/>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（1）日常运维保障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1）提供7×24小时不间断的运维服务，每日主动进行不少于2次的人工巡查，主动发现并处理故障及绿化遮挡等问题。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2）每周一至周六9：00至17：00派驻不少于1名维护人员在滨湖公安分局驻场。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3）驻场人员每日完成2轮前端视频巡查及后台设备巡查，确保视频在线率及图像质量，发现故障立即处置。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4）提供统一的障碍申告号码及故障管理系统，维护人员通过电脑和手机接收故障单，实现运维记录透明化。</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5）在7×8小时工作时间内设置专人职守热线电话，非工作时间设置专人7×24小时接听移动电话热线。</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6）提供7×24小时电话支持，接到电话后立即处理，4小时内未解决则安排技术人员上门服务；疑难或重大问题1小时到达现场。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7）监控中心维护操作：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网络应用终端：常用软件故障排除及恢复、病毒防范及消除、硬盘垃圾清理、电脑外设安装调试、系统安装调试与维护、应急及系统恢复。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网络服务系统：服务器软硬件系统、网络线缆线路、网络交换路由设备、备用电源检测等维护。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每日：测量监控中心温度、湿度，检查机柜内温度、各类电源及稳压电源电压；检查各类接线头牢固、锈蚀情况。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每日：检查存储操作系统，版本升级、补丁升级、运行情况；硬盘录像机存储空间检查。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每日：检查监控中心设备软件版本、客户端监控软件版本及运行情况；机柜内监控设备全部清洁；各类关键设备参数备份。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每日：机房内电源接地电阻情况检查；用户端机房UPS电源供电检查及状态检查。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监控中心所有设备接地，采用一点接地方式。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8）传输线路维护：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每日：检查各类线路完好率、是否有其它线路影响；检查网络传输性能、光电设备运行、交换机端口状态；设备清洁，摆放有序。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每日：检查线缆标签粘贴位置、方向、牢固度，标签完整干净，尺寸适中，损坏、陈旧及时更换。所有线缆两端贴标签，粘贴在末端距离端头2cm处。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每日：音视频线、控制线、网络线标签内容符合规范。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（2）定期巡检与保养</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1）机房环境及配套设施运维：每周1次周巡检；每日4次日巡检（上班前、中午上下班前、下班前）。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2）网络及安全系统运维：每周1次周巡检；每日4次日巡检（上班前、中午上下班前、下班前）。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3）服务器及存储系统运维：每周1次周巡检；每日4次日巡检（上班前重要应用系统、上班后硬件设备及操作系统、中午上班前重要应用、下班前硬件及操作系统巡检），并进行日常性能监控和资源利用率分析。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4）信息系统运维：每周1次周巡检；每日4次日巡检（上班前、中午上下班前、下班前信息系统巡检）。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5）通讯线路运维：每周1次周巡检；每日4次日巡检（上班前、中午上下班前、下班前）。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前端设备外场巡检：网管监控使用诊断工具扫描（实时）；驻场工程师图像监看（每日）；摄像机检查使用诊断工具扫描（实时）；现场电气环境检查（每季度）；摄像头性能检查（每季度）；清洁机柜内设备（每季度）；清洁摄像机外罩、护罩、遮挡树枝（每月）；填写巡检记录、编写客户端巡检报告（每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7）前端立杆及机箱保养：每三个月为一个周期，进行表面防腐处理、电气设备清洁检查、性能测试和参数记录。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8）接地电阻测试：每6个月一次；每年3月份雷雨季节前，对所有监控点接地电阻进行测试和数据记录，检查避雷设备，更换被雷击穿避雷器。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（3）应急处置与重大活动保障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1）提供7×24小时应急响应，故障解决后24小时内提交故障处理报告。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2）重大安保活动前，对相关区域的前端设备、传输设备、中心机房设备等开展细致的临时维护；根据要求提供重大活动或突发事件现场技术保障及人脸抓拍二次甄别推送服务。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3）针对重大节日及公安安保事件成立“特殊事件维护小组”，重要节日每2天巡检1次，特殊重大活动尽量做到1天1次。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4）当发生外部黑客入侵、数据泄露、木马病毒、勒索病毒、通报事件等突发安全事件时，提供应急响应服务，协助用户快速止损，并出具事件报告（不限次数）。</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5）遭遇灾害天气，提前检查加固外场设备，做好保护措施；台风季节加强易进水设备巡查；雷雨季节前加强防雷系统检查。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（4）数据共享与对接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1）本项目产生的所有数据应照要求将相关信息资源汇聚到区数据局和城运中心。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2）免费配合滨湖公安分局做好系统、数据对接开发。</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3）无条件开放本项目中的所有平台及数据的对接接口，供滨湖公安分局指定的第三方系统调用。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（5）专项维护工作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前端系统维护：含设备故障修复、损坏替换、图像遮挡处理；立杆设施故障修复、损坏恢复，协同处理因道路修缮等产生的点位迁移；前端设备损坏替换过程中所有安装辅材（前端设备箱、避雷器、电源线、网线、支架等）的维护更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2）中心系统维护：含中心存储设备、服务器设备、网络设备的故障修复、损坏维修与更换；软件配置修改调整、故障排查、问题修复，确保系统可用性。</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3）机房环境系统维护：含机房空调新风系统部件更换、冷媒添加；消防系统设施维护及药剂更换；UPS及电池维护与更换；防雷接地、灯光照明、综合布线系统故障修复；机房墙面轻微损坏、静电地板损坏修复。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4）线路租赁：向运营商租赁VPN链路167条，租赁期限8个月。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5）机柜租赁：向运营商机房租赁1个机柜放置中心设备，租赁期限8个月。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6）每季度开展1次前端摄像头保洁并修剪遮挡绿植，工作完成后书面报滨湖公安分局确认。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7）对无法修复的设备，使用性能不低于原设备的备件进行免费更换，更换作业在2小时内完成；备件需符合备件数量及性能要求。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8）提供设备软件升级服务、管理人员技术培训指导、系统软件升级和优化，并按需进行个性化定制或修改。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9）负责所有前端点位的坐标采集、名称标注、上图展示；按公安要求负责立杆、设备箱等的颜色和监控标识牌制作。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10）自行勘察点位杆件情况，杆件灭失或不符合安全要求时免费新建或整改；新建杆件需拍照存档并提供检测合格报告。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11）在维护期内，甲方如有移位、迁移需求，在点位总数10%以内的，免费按新点位要求安装；超过10%的双方协商处理。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12）遇道路临时开挖、改建、施工等情况，负责设施维修、拆除或重建等所有费用。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13）设施设备被偷盗、交通事故、雷击、风暴、地震等原因损坏或丢失的，在规定时间内修复或更换，相关费用由维护服务单位承担。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14）数据协助服务：在打处、维稳、反恐等工作中按需提供大数据支撑服务。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15）乙方有权提出变更申请，经甲方同意后变更。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16）服务期满后，若由第三方提供后续服务，应提供便利并提交相关建设及运维资料。</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17）乙方与原维保单位做好交接工作，不得影响系统正常使用。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p>
      <w:pPr>
        <w:numPr>
          <w:ilvl w:val="0"/>
          <w:numId w:val="15"/>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（1）系统可用性指标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1）前端设备在线率不低于98%。</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2）前端设备24小时内修复率不低于90%。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3）使用方满意度不低于90%。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4）系统每月完好率（前端图像、抓拍图片在系统内可正常使用）达到98%（不可抗力和免责条款除外）。</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5）保证整体系统可用性达到100%。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6）视频存储不低于30天，图片数据存储时间不低于180天。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（2）故障响应与修复时效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1）服务响应时间：接到服务请求后1小时内响应。</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2）现场到达时间：接到故障通知后30分钟内到达现场；接到公安局电话或书面检修通知后，指定技术人员15分钟内响应，60分钟内到达故障现场。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3）前端故障修复时间：小于24小时。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4）设备更换时间：在2小时内完成。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5）中心及平台故障修复时间：小于8小时（不可抗力除外）。</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6）摄像头污损、绿化遮挡等影响画面质量的，需在接到通知后48小时内清洁、处理完毕。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7）机房环境、网络、服务器等故障：现场15分钟响应，60分钟内提交故障处理方案，8小时内解决故障。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8）硬件设备维修：要求2个工作日内处理完成，确实难以在短期内解决的，可与用户协商先行使用替代设备或材料延长处理时间。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9）对于“系统瘫痪，业务系统不能运转”级别故障，到达现场后8小时内不能解决的，应在12小时内提出应急方案。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10）故障解决后24小时内，提交故障处理报告，说明故障种类、原因、解决方法及损失情况。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（3）人员与备件要求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1）组建项目专属服务团队，至少派驻1名维护人员常驻滨湖公安分局。驻场人员响应标准为7×24全天候响应，维护模式为7×8值班维护驻场服务。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机房环境维护配置弱电、强电工程师；业务系统维护配置网络专家、ITSS项目经理等不少于3人；网络及安全系统运维配置网络专家、安全工程师、ITSS项目经理等不少于3人；服务器及存储系统运维配置信息系统管理师、数据库专家、ITSS项目经理等不少于3人；信息系统维护配置网络专家、软件数据库支持工程师（厂家驻场运维1人）、服务提供商ITSS项目经理、服务工程师等少于4人；通讯类运维配置ITSS服务工程师、网络工程师等不少于5人；前端设备外场协助人员若干。</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3）备品备件：备有道路监控枪式摄像机20台、道路监控球型摄像机5台、出入口抓拍单元3台、人脸抓拍摄像机3台、辅材1项、云存储存储主机内硬盘(4T)16块，备件库中应有高于或等同数量和性能要求的备品备件。</w:t>
      </w:r>
      <w:r/>
    </w:p>
    <w:tbl>
      <w:tblPr>
        <w:tblStyle w:val="779"/>
        <w:tblW w:w="495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80"/>
        <w:gridCol w:w="1133"/>
        <w:gridCol w:w="5058"/>
        <w:gridCol w:w="1155"/>
        <w:gridCol w:w="951"/>
      </w:tblGrid>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278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性能参数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单位</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道路监控枪式摄像机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278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智能筒型网络摄像机，支持鳞镜补光，夜间成像效果更出色</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支持智能资源模式：人脸抓拍、道路监控、Smart事件，多种智能模式可按需切换</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采用隐藏式灯珠设计，通过鳞甲密布排列形成的镜面反射出光，见光不见灯；增加发光面积，降低聚光效果，补光柔和均匀</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支持开放型网络视频接口、ISAPI、GB/T28181协议接入；支持三码流技术，支持同时20路取流；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支持三级用户权限管理，支持授权的用户和密码，支持IP地址过滤；</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支持GB35114 A级安全加密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传感器类型：1/1.8" Progressive Scan 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最低照度：彩色：0.002 Lux ，0 Lux with Light</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黑白：0.0002 Lux，0 Lux with IR</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宽动态：120 dB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焦距：2.8~4 mm或4~6 mm或6~9 mm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补光灯类型：鳞镜补光，默认红外850 nm，可切换至暖白光，4颗灯珠</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补光距离：白光：普通监控：最远可达30 m，人脸抓拍/识别：最远可达5 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红外：普通监控：最远可达50 m，人脸抓拍/识别：最远可达10 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防补光过曝：支持防补光过曝开启和关闭，开启下支持自动和手动，手动支持根据距离等级控制补光灯亮度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最大图像尺寸：2560 × 1440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视频压缩标准：H.265/H.264/MJPEG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网络：1个RJ45 10 M/100 M自适应以太网口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SD卡扩展：内置MicroSD/MicroSDHC/MicroSDXC插槽，最大支持512 GB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音频：1路输入（Line in），1路输出（Line out），2个内置麦克风，1个内置扬声器</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报警：1路输入，1路输出（报警输入支持开关量，报警输出最大支持DC12 V，30 mA）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RS-485：1个RS-485接口，半双工模式，支持自适应PELCO-P和PELCO-D协议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复位：支持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电源输出：DC12 V，100 mA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供电方式：DC：12 V ± 20%，支持防反接保护；PoE：802.3at，Type 2，Class 4</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防护：IP67 </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道路监控球型摄像机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278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400万+400万25倍枪球一体机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全景400万单目臻全彩，细节球机400万25倍，采用双镜头设计，兼顾全景细节</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全景采用1个 F1.0大光圈全彩镜头，可输出90°大场景画面，细节采用1/1.8 CMOS传感器25倍光学变倍镜头，高清成像</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支持多种智能资源切换：【全景】Smart事件（默认）；【细节】Smart事件（默认），全结构化，混合目标比对，智能交通，人员布控</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支持AR功能，摄像机的实时视频画面中添加最多500个AR标签，且可实现标签与标签联动的功能</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AI-ISP降噪：采用去噪卷积神经网络将深度结构、学习算法用于图像去噪，最终使画面成像更新清晰，噪点更小图像更干净准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支持GB35114A级安全加密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传感器类型：【全景】1/1.8＂ progressive scan CMOS,【细节】1/1.8＂ progressive scan 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最低照度：【全景】彩色 0.0005Lux @ (F1.0，AGC ON)，黑白0.0001Lux @(F1.0，AGC ON)， 0Lux with Lght；</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【细节】彩色 0.0005Lux @ (F1.5，AGC ON)，黑白:0.0001Lux @(F1.5，AGC ON)， 0Lux with IR；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焦距：【全景】4mm；【细节】5.9~147.5 mm，25倍光学变倍</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视场角：【全景】90°；【细节】59.8°-2.7°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补光灯距离：【全景】暖白光30米；【细节】暖白光50米，红外250米</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防补光过曝：支持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水平范围：【全景】不支持；【细节】0-360°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垂直范围：【全景】7-17°；【细节】-20-90°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水平速度：【全景】不支持；【细节】水平键控速度：0.1°-160°/s,速度可设;水平预置点速度：240°/s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垂直速度：【全景】垂直键控速度可设；【细节】垂直键控速度：0.1°-120°/s,速度可设;垂直预置点速度：200°/s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主码流帧率分辨率：【全景】</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50 Hz：25 fps（2688*1520，2560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60 Hz：30 fps（2688*1520,2560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【细节】</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高帧率：</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50Hz：50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60 Hz：60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常规帧率：</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50 Hz：25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60 Hz：30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视频压缩标准：H.265,H.264,MJPEG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宽动态：支持120dB超宽动态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陀螺仪：支持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网络接口：支持100M网络数据,RJ45网口,自适应网络数据</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SD卡扩展：内置Micro SD卡插槽,支持Micro SD/Micro SDHC/Micro SDXC卡,最大支持512 GB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报警：7路报警输入</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2路报警输出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音频：1路音频输入，1路音频输出，音频峰值：2~2.4 V[p-p]，输入阻抗：1 kΩ ± 10%；线性电平，阻抗：600 Ω</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防护：IP67; 6000V 防雷、防浪涌、防突波，符合GB/T17626.2/3/4/5/6四级标准 </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出入口抓拍单元</w:t>
            </w:r>
            <w:r/>
          </w:p>
        </w:tc>
        <w:tc>
          <w:tcPr>
            <w:shd w:val="clear" w:color="auto" w:fill="auto"/>
            <w:tcBorders>
              <w:top w:val="single" w:color="000000" w:sz="4" w:space="0"/>
              <w:left w:val="single" w:color="000000" w:sz="4" w:space="0"/>
              <w:bottom w:val="single" w:color="000000" w:sz="4" w:space="0"/>
              <w:right w:val="single" w:color="000000" w:sz="4" w:space="0"/>
            </w:tcBorders>
            <w:tcW w:w="278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400万像素智慧监控单元</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支持3D数字降噪功能。</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支持机动车辆抓拍，内置车牌识别、车身颜色识别、车型识别功能，车辆主子品牌识别功能。</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传感器类型：1/1.8”CMOS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触发输出：1路F+F-输出接口，可作为补光灯控制接口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通讯接口：1个RS-485接口，1个RS-232接口，1个RJ45 10M/100M自适应以太网口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图片分辨率：2688 × 1520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图片格式：JPEG</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内部组件：电源适配器</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外部辅件：自带安装万向节</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快门：1秒~1/100，000秒</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压缩输出码率：32 Kbps~16 Mbps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图像设置：饱和度，亮度，对比度，白平衡，增益通过软件可调</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通用功能：心跳，密码保护，NTP校时</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帧率：25fps（2688 × 1520）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支持协议：TCP/IP，HTTP，DNS，RTP，RTSP，NTP，支持FTP上传图片</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视频分辨率：2688（H）×1520（V）</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最小照度：彩色：0.001Lux @（F1.2，AGC ON）</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黑白：0.0001 Lux @（F1.2，AGC ON）</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存储功能：TF</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视频压缩标准：H.264;H.265;MJPEG</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闪光灯控制：闪光灯自动光控、时控可选</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人脸抓拍摄像机</w:t>
            </w:r>
            <w:r/>
          </w:p>
        </w:tc>
        <w:tc>
          <w:tcPr>
            <w:shd w:val="clear" w:color="auto" w:fill="auto"/>
            <w:tcBorders>
              <w:top w:val="single" w:color="000000" w:sz="4" w:space="0"/>
              <w:left w:val="single" w:color="000000" w:sz="4" w:space="0"/>
              <w:bottom w:val="single" w:color="000000" w:sz="4" w:space="0"/>
              <w:right w:val="single" w:color="000000" w:sz="4" w:space="0"/>
            </w:tcBorders>
            <w:tcW w:w="278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支持GB35114安全加密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400W智能筒型网络摄像机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采用深度学习算法，以海量图片及视频资源为路基，通过机器自身提取目标特征，形成深层可供学习的图像。极大的提升了算法的检出率</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支持智能资源模式切换：人脸抓拍、道路监控、Smart事件、人数统计、热度图</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采用隐藏式灯珠设计，通过鳞甲密布排列形成的镜面反射出光，见光不见灯。增加发光面积，降低聚光效果，补光柔和均匀</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设备内置电动变焦镜头，操作便易，变焦过程平稳</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宽动态：120 dB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最低照度：彩色：0.0005 Lux @（F1.2，AGC ON），0 Lux with Light</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黑白：0.0001 Lux @（F1.2，AGC ON），0 Lux with IR</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传感器类型：1/1.8" Progressive Scan CMOS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焦距&amp;视场角：8~32 mm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补光灯类型：鳞镜补光，默认混光（850 nm+暖白），4颗灯珠</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防补光过曝：支持防补光过曝开启和关闭，开启下支持自动和手动，手动支持根据距离等级控制补光灯亮度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最大图像尺寸：2560 × 1440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视频压缩标准：H.265/H.264/MJPEG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网络：1个RJ45 10 M/100 M自适应以太网口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SD卡扩展：内置MicroSD/MicroSDHC/MicroSDXC插槽，最大支持256 GB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复位：支持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音频：2路输入（Line in），1路输出（Line out），2个内置麦克风，1个内置扬声器</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报警：3路输入，2路输出（报警输入支持开关量，报警输出最大支持DC12 V，30 mA）</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电源输出：DC12 V，100 mA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恢复出厂设置：支持RESET按键，客户端或浏览器恢复</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供电方式：DC：12 V ± 20%，支持防反接保护</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防护：IP67 </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278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前端设备箱要求：机箱材质：不锈钢。机箱尺寸500mm*400mm*300mm，壁厚1.2mm，含不锈钢板，需按要求喷涂“公安监控”字样；</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避雷器要求：摄像机采用电源、网络二合一防雷器12V或24V；</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网线要求：防水超五类网线</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项</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云存储存储主机内硬盘(4T)</w:t>
            </w:r>
            <w:r/>
          </w:p>
        </w:tc>
        <w:tc>
          <w:tcPr>
            <w:shd w:val="clear" w:color="auto" w:fill="auto"/>
            <w:tcBorders>
              <w:top w:val="single" w:color="000000" w:sz="4" w:space="0"/>
              <w:left w:val="single" w:color="000000" w:sz="4" w:space="0"/>
              <w:bottom w:val="single" w:color="000000" w:sz="4" w:space="0"/>
              <w:right w:val="single" w:color="000000" w:sz="4" w:space="0"/>
            </w:tcBorders>
            <w:tcW w:w="278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4T企业级IoT硬盘</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块</w:t>
            </w:r>
            <w:r/>
          </w:p>
        </w:tc>
      </w:tr>
    </w:tbl>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4）维修或更换设备时间超过3个工作日（计算机服务器、网络设备等须在1个工作日内），则必须提供档次不低于送修设备的备件。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（4）安全生产与保密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1）严格执行安全生产规范条例，对施工维护人员进行安全教育，确保合同期内不发生人身伤亡和火灾事故，并应参加建筑、安装工程等相关的保险，承担发生的质量、安全事故及责任和经济损失。</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传输链路专用，与其他网络物理隔绝，并不得接入任何其它网络；每条链路上行带宽不得低于100M。前端点位租赁运营商光纤VPN（或裸纤）链路数量不得少于核定的数量，含链路两端光传输设备及中心端接入交换设备；租赁运营商VPN（或裸纤）链路，带宽100M（部分点位因应用场景需要带宽超过100M，运营商应根据实际需求免费提升带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3）对本项目涉及的软硬件技术资料、监控图像等均负有保密义务，未经许可不得提供给第三方；本项目采集的各类数据归甲方所有，乙方对采集及对接的数据负有保密义务。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4）严禁“一机两用、一机双网”；严禁泄露工作中接触的公安数据、帐号和密码；计算机送出维修必须将硬盘拆下交甲方管理者。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5）前端点位的取电用电、绿化及市政开挖赔补、绿化修剪，行政审批等事宜及相关费用由乙方自行解决；项目实施过程中的拆移赔补等其他杂费由乙方负责并协调相关部门。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（5）运维变更与交接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1）乙方不得擅自改变网络架构及组网方式，不得擅自改变前端设备接入的中心系统、接入方式以及相关平台及安全防护等系统。</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2）未经甲方同意，不得擅自变更相关中心设备在运营商机房的存放位置。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3）不得擅自在杆件上安装与本项目无关的其他设备。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4）维修前后设施设备品牌型号应保持完全一致，如停产应使用性能等于或高于当前的设备替换；设施设备数量必须与维修前保持完全一致。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5）服务期满后，若由第三方提供后续服务，应提供便利并提交建设资料及运维资料。</w:t>
      </w:r>
      <w:r/>
    </w:p>
    <w:p>
      <w:pPr>
        <w:numPr>
          <w:ilvl w:val="0"/>
          <w:numId w:val="15"/>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运维输出物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（1）每日报告与记录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1）《视频监控巡检记录表》（监控系统机房日常维护记录表），记录电力、温度、湿度、防尘、存储、图像、控制、设备连接检查结果。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2）驻场工程师图像监看评价记录。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3）《设备维护记录》。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4）日巡检分析报告。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5）交接班登记表。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（2）故障处理与事件记录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1）《系统故障报修单》（每次故障处理后填写，含故障类别、原因、解决办法，由用户负责人签字确认）。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2）故障处理报告（故障解决后24小时内提交，说明故障种类、原因、解决方法及损失情况）。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3）《备品备件出库登记表》（按需填写）。</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4）《服务申请单》（按需填写，记录工单信息、申请人信息、故障信息等）。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（3）定期巡检与分析报告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1）周巡检分析报告（服务器及存储、网络、安全、信息系统等，每周）。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2）月巡检分析报告（每月）。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3）《每月维护服务情况汇报》（工作月报），包含绩效数据指标、工作计划完成情况、下月计划、月度总结（每月）。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4）前端设备外场巡检记录及客户端巡检报告（每月）。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5）每季度前端摄像头保洁及遮挡绿植修剪书面报告（每季度）。</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6）机房设备定期检测、保养报告（按需，向用户汇报，用户确认）。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7）半年总结分析报告（每半年）。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8）年度终结分析报告（每年）。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9）服务年报（服务期结束前提供）。</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（4）安全服务及专项报告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1）应急响应事件报告（安全事件发生后，不限次数）。</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2）深度潜伏威胁分析报告（每年不少于4次）。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3）定期维护检查报告（每年4次，对重要边界安全设备规则库及功能模块检查）。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4）渗透测试报告及修复建议（每年不少于1次）。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5）系统集成服务方案及报告（系统割接方案、数据迁移方案等，按需提交）。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6）故障分析处理记录、故障整改方案和建议（按需提交）。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7）重大故障记录报告（按需提交）。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（5）资产与档案管理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1）所有区域的系统图及点位图（正式维护前完成并提交）。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2）《设备维护档案表格》（记录设备名称、编号、时间、问题描述、处置说明等，按需更新）。</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3）新建杆件基础照片及检测合格报告（按需，新建时提交）。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4）设备更换时的操作手册、运行手册、技术方案及图纸（按需提交）。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5）网络文档记录（网络拓扑图、设备配置信息、故障排除记录等，按需提交）。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6）服务器、存储日常维护知识库及运维过程资料（按需整理提交）。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7）日常维护报告、系统巡检日志、系统维护记录、系统优化记录、各类优化的管理制度（按需或定期提交）。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8）服务期满后，提交所有相关的建设资料及运维资料。</w:t>
      </w:r>
      <w:r/>
    </w:p>
    <w:p>
      <w:pPr>
        <w:numPr>
          <w:ilvl w:val="0"/>
          <w:numId w:val="15"/>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团队配置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该运维项目采用外包的方式，必须十分注重信息化技术队伍的建设，技术力量和人员配置是指根据项目发展需求，对运维人员进行配置、培训等，做到“人员配备适当”，能全流程管理运维任务。</w:t>
      </w:r>
      <w:r/>
    </w:p>
    <w:tbl>
      <w:tblPr>
        <w:tblStyle w:val="77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4"/>
        <w:gridCol w:w="1324"/>
        <w:gridCol w:w="844"/>
        <w:gridCol w:w="3412"/>
        <w:gridCol w:w="2098"/>
      </w:tblGrid>
      <w:tr>
        <w:trPr>
          <w:jc w:val="center"/>
          <w:tblHeader/>
        </w:trPr>
        <w:tc>
          <w:tcPr>
            <w:shd w:val="clear" w:color="auto" w:fill="ffffff"/>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序号</w:t>
            </w:r>
            <w:r/>
          </w:p>
        </w:tc>
        <w:tc>
          <w:tcPr>
            <w:shd w:val="clear" w:color="auto" w:fill="ffffff"/>
            <w:tcBorders>
              <w:top w:val="single" w:color="auto" w:sz="4" w:space="0"/>
              <w:left w:val="none" w:color="000000" w:sz="4" w:space="0"/>
              <w:bottom w:val="single" w:color="auto" w:sz="4" w:space="0"/>
              <w:right w:val="single" w:color="auto" w:sz="4" w:space="0"/>
            </w:tcBorders>
            <w:tcW w:w="13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岗位</w:t>
            </w:r>
            <w:r/>
          </w:p>
        </w:tc>
        <w:tc>
          <w:tcPr>
            <w:shd w:val="clear" w:color="auto" w:fill="ffffff"/>
            <w:tcBorders>
              <w:top w:val="single" w:color="auto" w:sz="4" w:space="0"/>
              <w:left w:val="none" w:color="000000"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人数</w:t>
            </w:r>
            <w:r/>
          </w:p>
        </w:tc>
        <w:tc>
          <w:tcPr>
            <w:shd w:val="clear" w:color="auto" w:fill="ffffff"/>
            <w:tcBorders>
              <w:top w:val="single" w:color="auto" w:sz="4" w:space="0"/>
              <w:left w:val="none" w:color="000000" w:sz="4" w:space="0"/>
              <w:bottom w:val="single" w:color="auto" w:sz="4" w:space="0"/>
              <w:right w:val="single" w:color="auto" w:sz="4" w:space="0"/>
            </w:tcBorders>
            <w:tcW w:w="34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职责说明</w:t>
            </w:r>
            <w:r/>
          </w:p>
        </w:tc>
        <w:tc>
          <w:tcPr>
            <w:shd w:val="clear" w:color="auto" w:fill="ffffff"/>
            <w:tcBorders>
              <w:top w:val="single" w:color="auto" w:sz="4" w:space="0"/>
              <w:left w:val="none" w:color="000000" w:sz="4" w:space="0"/>
              <w:bottom w:val="single" w:color="auto" w:sz="4" w:space="0"/>
              <w:right w:val="single" w:color="auto" w:sz="4" w:space="0"/>
            </w:tcBorders>
            <w:tcW w:w="209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工作方式</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ffffff"/>
            <w:tcBorders>
              <w:top w:val="single" w:color="auto" w:sz="4" w:space="0"/>
              <w:left w:val="none" w:color="000000" w:sz="4" w:space="0"/>
              <w:bottom w:val="single" w:color="auto" w:sz="4" w:space="0"/>
              <w:right w:val="single" w:color="auto" w:sz="4" w:space="0"/>
            </w:tcBorders>
            <w:tcW w:w="13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总负责人</w:t>
            </w:r>
            <w:r/>
          </w:p>
        </w:tc>
        <w:tc>
          <w:tcPr>
            <w:shd w:val="clear" w:color="auto" w:fill="ffffff"/>
            <w:tcBorders>
              <w:top w:val="single" w:color="auto" w:sz="4" w:space="0"/>
              <w:left w:val="none" w:color="000000"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ffffff"/>
            <w:tcBorders>
              <w:top w:val="single" w:color="auto" w:sz="4" w:space="0"/>
              <w:left w:val="none" w:color="000000" w:sz="4" w:space="0"/>
              <w:bottom w:val="single" w:color="auto" w:sz="4" w:space="0"/>
              <w:right w:val="single" w:color="auto" w:sz="4" w:space="0"/>
            </w:tcBorders>
            <w:tcW w:w="34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项目总负责、负责项目指导，重大决策（无锡市公安局滨湖分局通信组）</w:t>
            </w:r>
            <w:r/>
          </w:p>
        </w:tc>
        <w:tc>
          <w:tcPr>
            <w:shd w:val="clear" w:color="auto" w:fill="ffffff"/>
            <w:tcBorders>
              <w:top w:val="single" w:color="auto" w:sz="4" w:space="0"/>
              <w:left w:val="none" w:color="000000" w:sz="4" w:space="0"/>
              <w:bottom w:val="single" w:color="auto" w:sz="4" w:space="0"/>
              <w:right w:val="single" w:color="auto" w:sz="4" w:space="0"/>
            </w:tcBorders>
            <w:tcW w:w="209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公安负责项目管理监督</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p>
        </w:tc>
        <w:tc>
          <w:tcPr>
            <w:shd w:val="clear" w:color="auto" w:fill="ffffff"/>
            <w:tcBorders>
              <w:top w:val="single" w:color="auto" w:sz="4" w:space="0"/>
              <w:left w:val="none" w:color="000000" w:sz="4" w:space="0"/>
              <w:bottom w:val="single" w:color="auto" w:sz="4" w:space="0"/>
              <w:right w:val="single" w:color="auto" w:sz="4" w:space="0"/>
            </w:tcBorders>
            <w:tcW w:w="13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运维服务负责人</w:t>
            </w:r>
            <w:r/>
          </w:p>
        </w:tc>
        <w:tc>
          <w:tcPr>
            <w:shd w:val="clear" w:color="auto" w:fill="ffffff"/>
            <w:tcBorders>
              <w:top w:val="single" w:color="auto" w:sz="4" w:space="0"/>
              <w:left w:val="none" w:color="000000"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ffffff"/>
            <w:tcBorders>
              <w:top w:val="single" w:color="auto" w:sz="4" w:space="0"/>
              <w:left w:val="none" w:color="000000" w:sz="4" w:space="0"/>
              <w:bottom w:val="single" w:color="auto" w:sz="4" w:space="0"/>
              <w:right w:val="single" w:color="auto" w:sz="4" w:space="0"/>
            </w:tcBorders>
            <w:tcW w:w="34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负责项目的运维外包执行（无锡市公安局滨湖分局通信组）</w:t>
            </w:r>
            <w:r/>
          </w:p>
        </w:tc>
        <w:tc>
          <w:tcPr>
            <w:shd w:val="clear" w:color="auto" w:fill="ffffff"/>
            <w:tcBorders>
              <w:top w:val="single" w:color="auto" w:sz="4" w:space="0"/>
              <w:left w:val="none" w:color="000000" w:sz="4" w:space="0"/>
              <w:bottom w:val="single" w:color="auto" w:sz="4" w:space="0"/>
              <w:right w:val="single" w:color="auto" w:sz="4" w:space="0"/>
            </w:tcBorders>
            <w:tcW w:w="209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公安负责项目的具体实施</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w:t>
            </w:r>
            <w:r/>
          </w:p>
        </w:tc>
        <w:tc>
          <w:tcPr>
            <w:shd w:val="clear" w:color="auto" w:fill="ffffff"/>
            <w:tcBorders>
              <w:top w:val="single" w:color="auto" w:sz="4" w:space="0"/>
              <w:left w:val="none" w:color="000000" w:sz="4" w:space="0"/>
              <w:bottom w:val="single" w:color="auto" w:sz="4" w:space="0"/>
              <w:right w:val="single" w:color="auto" w:sz="4" w:space="0"/>
            </w:tcBorders>
            <w:tcW w:w="13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技术负责</w:t>
            </w:r>
            <w:r/>
          </w:p>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（外包）</w:t>
            </w:r>
            <w:r/>
          </w:p>
        </w:tc>
        <w:tc>
          <w:tcPr>
            <w:shd w:val="clear" w:color="auto" w:fill="ffffff"/>
            <w:tcBorders>
              <w:top w:val="single" w:color="auto" w:sz="4" w:space="0"/>
              <w:left w:val="none" w:color="000000"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ffffff"/>
            <w:tcBorders>
              <w:top w:val="single" w:color="auto" w:sz="4" w:space="0"/>
              <w:left w:val="none" w:color="000000" w:sz="4" w:space="0"/>
              <w:bottom w:val="single" w:color="auto" w:sz="4" w:space="0"/>
              <w:right w:val="single" w:color="auto" w:sz="4" w:space="0"/>
            </w:tcBorders>
            <w:tcW w:w="34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负责项目运维的具体实施（运维外包团队项目经理、技术负责人）。</w:t>
            </w:r>
            <w:r/>
          </w:p>
        </w:tc>
        <w:tc>
          <w:tcPr>
            <w:shd w:val="clear" w:color="auto" w:fill="ffffff"/>
            <w:tcBorders>
              <w:top w:val="single" w:color="auto" w:sz="4" w:space="0"/>
              <w:left w:val="none" w:color="000000" w:sz="4" w:space="0"/>
              <w:bottom w:val="single" w:color="auto" w:sz="4" w:space="0"/>
              <w:right w:val="single" w:color="auto" w:sz="4" w:space="0"/>
            </w:tcBorders>
            <w:tcW w:w="209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负责组织协调、服务流程闭环监督</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w:t>
            </w:r>
            <w:r/>
          </w:p>
        </w:tc>
        <w:tc>
          <w:tcPr>
            <w:shd w:val="clear" w:color="auto" w:fill="ffffff"/>
            <w:tcBorders>
              <w:top w:val="single" w:color="auto" w:sz="4" w:space="0"/>
              <w:left w:val="none" w:color="000000" w:sz="4" w:space="0"/>
              <w:bottom w:val="single" w:color="auto" w:sz="4" w:space="0"/>
              <w:right w:val="single" w:color="auto" w:sz="4" w:space="0"/>
            </w:tcBorders>
            <w:tcW w:w="13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业务协助</w:t>
            </w:r>
            <w:r/>
          </w:p>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（外包）</w:t>
            </w:r>
            <w:r/>
          </w:p>
        </w:tc>
        <w:tc>
          <w:tcPr>
            <w:shd w:val="clear" w:color="auto" w:fill="ffffff"/>
            <w:tcBorders>
              <w:top w:val="single" w:color="auto" w:sz="4" w:space="0"/>
              <w:left w:val="none" w:color="000000"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ffffff"/>
            <w:tcBorders>
              <w:top w:val="single" w:color="auto" w:sz="4" w:space="0"/>
              <w:left w:val="none" w:color="000000" w:sz="4" w:space="0"/>
              <w:bottom w:val="single" w:color="auto" w:sz="4" w:space="0"/>
              <w:right w:val="single" w:color="auto" w:sz="4" w:space="0"/>
            </w:tcBorders>
            <w:tcW w:w="34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负责平台运维（运维外包服务驻场服务人员）。</w:t>
            </w:r>
            <w:r/>
          </w:p>
        </w:tc>
        <w:tc>
          <w:tcPr>
            <w:shd w:val="clear" w:color="auto" w:fill="ffffff"/>
            <w:tcBorders>
              <w:top w:val="single" w:color="auto" w:sz="4" w:space="0"/>
              <w:left w:val="none" w:color="000000" w:sz="4" w:space="0"/>
              <w:bottom w:val="single" w:color="auto" w:sz="4" w:space="0"/>
              <w:right w:val="single" w:color="auto" w:sz="4" w:space="0"/>
            </w:tcBorders>
            <w:tcW w:w="209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常驻公安</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w:t>
            </w:r>
            <w:r/>
          </w:p>
        </w:tc>
        <w:tc>
          <w:tcPr>
            <w:shd w:val="clear" w:color="auto" w:fill="ffffff"/>
            <w:tcBorders>
              <w:top w:val="single" w:color="auto" w:sz="4" w:space="0"/>
              <w:left w:val="none" w:color="000000" w:sz="4" w:space="0"/>
              <w:bottom w:val="single" w:color="auto" w:sz="4" w:space="0"/>
              <w:right w:val="single" w:color="auto" w:sz="4" w:space="0"/>
            </w:tcBorders>
            <w:tcW w:w="13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业务协助</w:t>
            </w:r>
            <w:r/>
          </w:p>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（外包）</w:t>
            </w:r>
            <w:r/>
          </w:p>
        </w:tc>
        <w:tc>
          <w:tcPr>
            <w:shd w:val="clear" w:color="auto" w:fill="ffffff"/>
            <w:tcBorders>
              <w:top w:val="single" w:color="auto" w:sz="4" w:space="0"/>
              <w:left w:val="none" w:color="000000"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w:t>
            </w:r>
            <w:r/>
          </w:p>
        </w:tc>
        <w:tc>
          <w:tcPr>
            <w:shd w:val="clear" w:color="auto" w:fill="ffffff"/>
            <w:tcBorders>
              <w:top w:val="single" w:color="auto" w:sz="4" w:space="0"/>
              <w:left w:val="none" w:color="000000" w:sz="4" w:space="0"/>
              <w:bottom w:val="single" w:color="auto" w:sz="4" w:space="0"/>
              <w:right w:val="single" w:color="auto" w:sz="4" w:space="0"/>
            </w:tcBorders>
            <w:tcW w:w="34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负责前端维修、线路维修（运维外包服务外场服务人员）。</w:t>
            </w:r>
            <w:r/>
          </w:p>
        </w:tc>
        <w:tc>
          <w:tcPr>
            <w:shd w:val="clear" w:color="auto" w:fill="ffffff"/>
            <w:tcBorders>
              <w:top w:val="single" w:color="auto" w:sz="4" w:space="0"/>
              <w:left w:val="none" w:color="000000" w:sz="4" w:space="0"/>
              <w:bottom w:val="single" w:color="auto" w:sz="4" w:space="0"/>
              <w:right w:val="single" w:color="auto" w:sz="4" w:space="0"/>
            </w:tcBorders>
            <w:tcW w:w="209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外场巡检</w:t>
            </w:r>
            <w:r/>
          </w:p>
        </w:tc>
      </w:tr>
    </w:tbl>
    <w:p>
      <w:pPr>
        <w:numPr>
          <w:ilvl w:val="0"/>
          <w:numId w:val="15"/>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人员驻场要求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维护服务单位为本项目至少派驻1名维护人员，驻场人员需同时接受滨湖公安分局的管理。工作时间：维护期内每周一至周六上午9：00至下午17：00。工作地点：滨湖公安分局。维护服务单位需承诺接到故障后30分钟到达现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驻场人员作内容主要是：每日完成前端视频巡查及后台设备巡查工作2轮，确保公安分局视频在线率及图像质量。发现故障需立即处置，外场服务人员进行排查维修，1名驻场人员可在分局进行平台端的操作及确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此外滨湖公安通信科每日对“一眼多维感知平台”中的《人脸抓拍数据监测报表》、《卡口过车数据监测报表》和《设备过车数据监测报表》等报表中出现的问题以及日常工作中发现的问题人工复核后形成问题清单，通报给考核对象（一般发送到“滨湖分局运维考核群”）。考核对象安排相关人员按照清单，对照问题及时整改。</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27</w:t>
      </w:r>
      <w:r>
        <w:rPr>
          <w:rFonts w:hint="eastAsia" w:ascii="宋体" w:hAnsi="宋体" w:eastAsia="宋体" w:cs="宋体"/>
          <w:b/>
          <w:bCs/>
          <w:sz w:val="24"/>
          <w:szCs w:val="24"/>
          <w:lang w:eastAsia="zh-CN"/>
        </w:rPr>
        <w:t xml:space="preserve">：滨湖区</w:t>
      </w:r>
      <w:r>
        <w:rPr>
          <w:rFonts w:hint="eastAsia" w:ascii="宋体" w:hAnsi="宋体" w:eastAsia="宋体" w:cs="宋体"/>
          <w:b/>
          <w:bCs/>
          <w:sz w:val="24"/>
          <w:szCs w:val="24"/>
          <w:lang w:val="en-US"/>
        </w:rPr>
        <w:t xml:space="preserve">2020</w:t>
      </w:r>
      <w:r>
        <w:rPr>
          <w:rFonts w:hint="eastAsia" w:ascii="宋体" w:hAnsi="宋体" w:eastAsia="宋体" w:cs="宋体"/>
          <w:b/>
          <w:bCs/>
          <w:sz w:val="24"/>
          <w:szCs w:val="24"/>
          <w:lang w:eastAsia="zh-CN"/>
        </w:rPr>
        <w:t xml:space="preserve">年宜居住区技防改造及</w:t>
      </w:r>
      <w:r>
        <w:rPr>
          <w:rFonts w:hint="eastAsia" w:ascii="宋体" w:hAnsi="宋体" w:eastAsia="宋体" w:cs="宋体"/>
          <w:b/>
          <w:bCs/>
          <w:sz w:val="24"/>
          <w:szCs w:val="24"/>
          <w:lang w:val="en-US"/>
        </w:rPr>
        <w:t xml:space="preserve">2022</w:t>
      </w:r>
      <w:r>
        <w:rPr>
          <w:rFonts w:hint="eastAsia" w:ascii="宋体" w:hAnsi="宋体" w:eastAsia="宋体" w:cs="宋体"/>
          <w:b/>
          <w:bCs/>
          <w:sz w:val="24"/>
          <w:szCs w:val="24"/>
          <w:lang w:eastAsia="zh-CN"/>
        </w:rPr>
        <w:t xml:space="preserve">年滨湖区城镇老旧小区技防改造及惠山森林防火监控维护服务项目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运维期限：11个月（2026年10月1日-2027年8月31日）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服务使用单位：无锡市滨湖区公安分局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numPr>
          <w:ilvl w:val="0"/>
          <w:numId w:val="16"/>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本项目运维要求：对现有设备进行质保运维11个月，使得整体系统正常运作，确保前端点位在线率、完好率，满足视频存储不低于30天，图片数据存储时间不低于180天。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滨湖区2020年宜居住区技防改造项目共建各类前端监控100路（道路监控枪式摄像机64路、道路监控球型摄像机7路、出入口广角监控摄像机2路、重点区域监控摄像机1路、电动车充电监控摄像机18路、超低照度人脸抓拍机4路、全彩全局人脸抓拍摄像机2路、出入口抓拍单元2路）；以及相关中心设备、相关系统。</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2022年城镇老旧小区技防改造项目共建各类前端监控1427路（人脸抓拍摄像机40路、双镜头结构化枪机36路、高清结构化球型机37路、全局结构化抓拍摄像机13路、极低照度道路普通监控枪机558路、星光级道路监控枪机386路、道路普通监控球机27路、电梯监控摄像机38路、高空抛物检测摄像机123路、周界热成像摄像机126路、制高点监控摄像机10路、电瓶车库热成像摄像机30路、垃圾分类监测摄像机3路）；以及相关中心设备、相关系统。</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滨湖公安惠山森林防火监控项目共建各类前端监控16路（枪式摄像机15路、球型摄像机1路）；以及相关中心设备。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（1）前端系统维护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1）开展对项目内所建前端感知系统的维护工作，含设备故障修复、损坏替换、图像遮挡处理；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2）开展对前端立杆设施的维护工作，应届解决处理因事故等造成的杆件设施损坏恢复；协同处理因道路修缮等产生的点位迁移等工作；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3）开展对前端设施设备的维护工作，含前端设备损坏替换过程中发生的所有安装辅材，含前端设备箱、避雷器、电源线、网线、支架等辅材的维护更换。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（2）中心系统维护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1）开展对中心存储设备的维护工作，含设备故障修复、损坏替换等所有维护工作，确保整体系统图像可用性，避免录像无法保存的情况；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2）开展对中心服务器设备的维护工作，含设备故障修复、损坏维修、替换等所有维护工作，确保整体系统整体可用性，避免服务器故障造成的长时间系统宕机；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3）开展对中心网络设备的维护工作，含设备故障修复、损坏维修产生的硬件更换、软件配置调试等所有维护工作，确保中心网络系统正常运行。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4）开展对列入维保范围内的应用软件的维护工作，含软件安使用需要开展的配置设置修改及调整、故障排查、问题修复等，确保应用软件的可用性，避免软件系统故障产生的长时间无法使用。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（3）机房环境系统维护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1）开展对空调新风系统的维护工作，含机房空调、新风系统内设备的维护工作，含部件更换、冷媒添加等工作；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2）开展对消防系统的维护工作，含机房消防系统内设施设备的维护工作，含药剂更换等工作；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3）开展对机房环境控制及不间断电源系统的维护工作，含机房环控整体设备维护及不间断电源维护，含电池损坏后更换工作；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开展对机房基础环境的维护工作，包含机房防雷接地系统、灯光照明系统、综合布线系统以及机房基础设施。在各系统发生故障时及时进行修复，并对因外部因素造成的机房墙面轻微损坏、静电地板损坏等进行修复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（4）线路租赁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为确保“滨湖区2020年宜居住区技防改造项目”“滨湖公安惠山森林防火监控项目”及“2022年滨湖区</w:t>
      </w:r>
      <w:r>
        <w:rPr>
          <w:rFonts w:hint="eastAsia" w:ascii="宋体" w:hAnsi="宋体" w:eastAsia="宋体" w:cs="宋体"/>
          <w:sz w:val="24"/>
          <w:szCs w:val="24"/>
          <w:lang w:val="en-US" w:eastAsia="zh-CN" w:bidi="ar"/>
        </w:rPr>
        <w:t xml:space="preserve">城镇老旧小区技防改造项目”所建设系统的正常运行，保障前端感知系统采集数据继续向分局中心应用系统汇聚，本项目中继续租赁运营商VPN线路实现数据传输。经分局结合近年来实施项目情况，经统计，本项目内继续租赁718条运营商VPN链路及1条裸纤，其中2020年宜居小区项目50条VPN线路及1条裸纤；2022年老旧小区657条VPN线路（其中前端摄像机使用625条VPN线路，社会面汇聚安全接入设备使用25条VPN线路，应用客户端使用7条VPN线路）；惠山森林防火是11条VPN线路。满足原项目建设所有点位采集数据的传输。</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（5）机柜租赁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通过近几年分局中心机房部署的整合调整，在本次项目开展时，需放置于运营商机房内的设备所需空间有所降低，经综合测算，三个项目合并计算，共需租用运营商机房4个机柜放置中心设备。2020宜居住区租赁1个机柜11个月，2022年老旧小区租赁3个机柜11个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bookmarkStart w:id="199" w:name="_Toc2055715486"/>
      <w:r>
        <w:rPr>
          <w:rFonts w:hint="eastAsia" w:ascii="宋体" w:hAnsi="宋体" w:eastAsia="宋体" w:cs="宋体"/>
          <w:sz w:val="24"/>
          <w:szCs w:val="24"/>
          <w:lang w:val="en-US" w:eastAsia="zh-CN" w:bidi="ar"/>
        </w:rPr>
        <w:t xml:space="preserve">（6）零星更换摄像机费</w:t>
      </w:r>
      <w:bookmarkEnd w:id="199"/>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因公安治安监控担负着治安防范和打击犯罪的重要作用，维保要求高，相关视频监控级联市公安局、省公安厅和公安部，无锡市公安局对此有严格的考核要求和指标，需时刻保持相关系统、设备的稳定运行，经逐个预览查看，发现有部分道路监控球型摄像机和高清球机图像质量下降，已严重影响业务部门的使用，为此在项目中需零星更换部分摄像机。</w:t>
      </w:r>
      <w:r/>
    </w:p>
    <w:tbl>
      <w:tblPr>
        <w:tblStyle w:val="779"/>
        <w:tblW w:w="495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6"/>
        <w:gridCol w:w="910"/>
        <w:gridCol w:w="6105"/>
        <w:gridCol w:w="910"/>
        <w:gridCol w:w="606"/>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性能参数</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单位</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道路监控枪式摄像机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智能筒型网络摄像机，支持鳞镜补光，夜间成像效果更出色</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支持智能资源模式：人脸抓拍、道路监控、Smart事件，多种智能模式可按需切换</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采用隐藏式灯珠设计，通过鳞甲密布排列形成的镜面反射出光，见光不见灯；增加发光面积，降低聚光效果，补光柔和均匀</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支持开放型网络视频接口、ISAPI、GB/T28181协议接入；支持三码流技术，支持同时20路取流；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支持三级用户权限管理，支持授权的用户和密码，支持IP地址过滤；</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支持GB35114 A级安全加密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传感器类型：1/1.8" Progressive Scan 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最低照度：彩色：0.002 Lux ，0 Lux with Light</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黑白：0.0002 Lux，0 Lux with IR</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宽动态：120 dB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焦距：2.8~4 mm或4~6 mm或6~9 mm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补光灯类型：鳞镜补光，默认红外850 nm，可切换至暖白光，4颗灯珠</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补光距离：白光：普通监控：最远可达30 m，人脸抓拍/识别：最远可达5 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红外：普通监控：最远可达50 m，人脸抓拍/识别：最远可达10 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防补光过曝：支持防补光过曝开启和关闭，开启下支持自动和手动，手动支持根据距离等级控制补光灯亮度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最大图像尺寸：2560 × 1440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视频压缩标准：H.265/H.264/MJPEG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网络：1个RJ45 10 M/100 M自适应以太网口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SD卡扩展：内置MicroSD/MicroSDHC/MicroSDXC插槽，最大支持512 GB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音频：1路输入（Line in），1路输出（Line out），2个内置麦克风，1个内置扬声器</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报警：1路输入，1路输出（报警输入支持开关量，报警输出最大支持DC12 V，30 mA）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RS-485：1个RS-485接口，半双工模式，支持自适应PELCO-P和PELCO-D协议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复位：支持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电源输出：DC12 V，100 mA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供电方式：DC：12 V ± 20%，支持防反接保护；PoE：802.3at，Type 2，Class 4</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防护：IP67 </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道路监控球型摄像机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400万+400万25倍枪球一体机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全景400万单目臻全彩，细节球机400万25倍，采用双镜头设计，兼顾全景细节</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全景采用1个 F1.0大光圈全彩镜头，可输出90°大场景画面，细节采用1/1.8 CMOS传感器25倍光学变倍镜头，高清成像</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支持多种智能资源切换：【全景】Smart事件（默认）；【细节】Smart事件（默认），全结构化，混合目标比对，智能交通，人员布控</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支持AR功能，摄像机的实时视频画面中添加最多500个AR标签，且可实现标签与标签联动的功能</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AI-ISP降噪：采用去噪卷积神经网络将深度结构、学习算法用于图像去噪，最终使画面成像更新清晰，噪点更小图像更干净准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支持GB35114A级安全加密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传感器类型：【全景】1/1.8＂ progressive scan CMOS,【细节】1/1.8＂ progressive scan 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最低照度：【全景】彩色 0.0005Lux @ (F1.0，AGC ON)，黑白0.0001Lux @(F1.0，AGC ON)， 0Lux with Lght；</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【细节】彩色 0.0005Lux @ (F1.5，AGC ON)，黑白:0.0001Lux @(F1.5，AGC ON)， 0Lux with IR；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焦距：【全景】4mm；【细节】5.9~147.5 mm，25倍光学变倍</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视场角：【全景】90°；【细节】59.8°-2.7°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补光灯距离：【全景】暖白光30米；【细节】暖白光50米，红外250米</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防补光过曝：支持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水平范围：【全景】不支持；【细节】0-360°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垂直范围：【全景】7-17°；【细节】-20-90°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水平速度：【全景】不支持；【细节】水平键控速度：0.1°-160°/s,速度可设;水平预置点速度：240°/s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垂直速度：【全景】垂直键控速度可设；【细节】垂直键控速度：0.1°-120°/s,速度可设;垂直预置点速度：200°/s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主码流帧率分辨率：【全景】</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50 Hz：25 fps（2688*1520，2560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60 Hz：30 fps（2688*1520,2560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【细节】</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高帧率：</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50Hz：50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60 Hz：60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常规帧率：</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50 Hz：25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60 Hz：30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视频压缩标准：H.265,H.264,MJPEG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宽动态：支持120dB超宽动态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陀螺仪：支持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网络接口：支持100M网络数据,RJ45网口,自适应网络数据</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SD卡扩展：内置Micro SD卡插槽,支持Micro SD/Micro SDHC/Micro SDXC卡,最大支持512 GB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报警：7路报警输入</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2路报警输出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音频：1路音频输入，1路音频输出，音频峰值：2~2.4 V[p-p]，输入阻抗：1 kΩ ± 10%；线性电平，阻抗：600 Ω</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防护：IP67; 6000V 防雷、防浪涌、防突波，符合GB/T17626.2/3/4/5/6四级标准 </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人脸抓拍摄像机</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支持GB35114安全加密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400W智能筒型网络摄像机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采用深度学习算法，以海量图片及视频资源为路基，通过机器自身提取目标特征，形成深层可供学习的图像。极大的提升了算法的检出率</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支持智能资源模式切换：人脸抓拍、道路监控、Smart事件、人数统计、热度图</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采用隐藏式灯珠设计，通过鳞甲密布排列形成的镜面反射出光，见光不见灯。增加发光面积，降低聚光效果，补光柔和均匀</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设备内置电动变焦镜头，操作便易，变焦过程平稳</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宽动态：120 dB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最低照度：彩色：0.0005 Lux @（F1.2，AGC ON），0 Lux with Light</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黑白：0.0001 Lux @（F1.2，AGC ON），0 Lux with IR</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传感器类型：1/1.8" Progressive Scan CMOS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焦距&amp;视场角：8~32 mm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补光灯类型：鳞镜补光，默认混光（850 nm+暖白），4颗灯珠</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防补光过曝：支持防补光过曝开启和关闭，开启下支持自动和手动，手动支持根据距离等级控制补光灯亮度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最大图像尺寸：2560 × 1440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视频压缩标准：H.265/H.264/MJPEG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网络：1个RJ45 10 M/100 M自适应以太网口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SD卡扩展：内置MicroSD/MicroSDHC/MicroSDXC插槽，最大支持256 GB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复位：支持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音频：2路输入（Line in），1路输出（Line out），2个内置麦克风，1个内置扬声器</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报警：3路输入，2路输出（报警输入支持开关量，报警输出最大支持DC12 V，30 mA）</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电源输出：DC12 V，100 mA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恢复出厂设置：支持RESET按键，客户端或浏览器恢复</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供电方式：DC：12 V ± 20%，支持防反接保护</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防护：IP67 </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双镜头结构化枪机</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400万 星光级1/1.8" CMOS AI多摄智能网络摄像机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支持智能资源模式切换：全结构化（默认）、人脸抓拍、人脸比对、道路监控、Smart事件</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设备支持上下双通道镜头，上通道内置电动变焦镜头，操作便易，变焦过程平稳；下通道定焦全彩镜头，满足低照度下的监控需求</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设备内置高效温和补光灯，告别光污染，保证夜间正常进行人脸抓拍</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支持GB35114  A级安全加密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 通道1：1/1.8" Progressive Scan CMOS；通道2：1/1.8" Progressive Scan 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通道1：彩色：0.0005 Lux @（F1.2，AGC ON），0 Lux with Light；黑白：0.0001 Lux @（F1.2，AGC ON），0 Lux with IR</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通道2：彩色：0.0003 Lux @（F1.0，AGC ON），0 Lux with Light；黑白：0.0001 Lux @（F1.0，AGC ON），0 Lux with IR</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 120 dB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  通道1：8~32 mm，通道2：4mm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补光灯类型: 混合补光（支持白光模式和混光模式）</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最大图像尺寸: 通道1：2688 x 1520；通道2：2688 x 1520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 H.265/H.264/MJPEG</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网络存储: 支持Micro SD(即TF卡)/Micro SDHC/Micro SDXC卡（最大256 GB）断网本地存储及断网续传，NAS（NFS，SMB/CIFS均支持），配合海康黑卡支持SD卡加密及SD卡状态检测</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视频输出: 1 Vp-p复合输出（75 Ω/CVBS）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 1个RJ45 10 M/100 M/1000 M自适应以太网口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 2个内置麦克风，1个内置扬声器；2路输入，1路输出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 3路输入，2路输出（报警输入支持开关量，报警输出最大支持DC12 V，30 mA）</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RS-485:</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复位: 支持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 IP67</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安装辅材</w:t>
            </w:r>
            <w:r/>
          </w:p>
        </w:tc>
        <w:tc>
          <w:tcPr>
            <w:shd w:val="clear" w:color="auto" w:fill="auto"/>
            <w:tcBorders>
              <w:top w:val="single" w:color="000000" w:sz="4" w:space="0"/>
              <w:left w:val="single" w:color="000000" w:sz="4" w:space="0"/>
              <w:bottom w:val="single" w:color="000000" w:sz="4" w:space="0"/>
              <w:right w:val="single" w:color="000000" w:sz="4" w:space="0"/>
            </w:tcBorders>
            <w:tcW w:w="336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前端设备更换过程中使用的线缆、紧固件等</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项</w:t>
            </w:r>
            <w:r/>
          </w:p>
        </w:tc>
      </w:tr>
    </w:tbl>
    <w:p>
      <w:pPr>
        <w:numPr>
          <w:ilvl w:val="0"/>
          <w:numId w:val="16"/>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（1）日常运维保障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1）提供7×24小时不间断的运维服务，每日主动进行不少于2次的人工巡查，主动发现并处理故障及绿化遮挡等问题。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2）每周一至周六9：00至17：00派驻不少于2名维护人员在滨湖公安分局驻场。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3）驻场人员每日完成2轮前端视频巡查及后台设备巡查，确保视频在线率及图像质量，发现故障立即处置。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4）提供统一的障碍申告号码及故障管理系统，维护人员通过电脑和手机接收故障单，实现运维记录透明化。</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5）在7×8小时工作时间内设置专人职守热线电话，非工作时间设置专人7×24小时接听移动电话热线。</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6）提供7×24小时电话支持，接到电话后立即处理，4小时内未解决则安排技术人员上门服务；疑难或重大问题1小时到达现场。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7）监控中心维护操作：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网络应用终端：常用软件故障排除及恢复、病毒防范及消除、硬盘垃圾清理、电脑外设安装调试、系统安装调试与维护、应急及系统恢复。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网络服务系统：服务器软硬件系统、网络线缆线路、网络交换路由设备、备用电源检测等维护。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每日：测量监控中心温度、湿度，检查机柜内温度、各类电源及稳压电源电压；检查各类接线头牢固、锈蚀情况。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每日：检查存储操作系统，版本升级、补丁升级、运行情况；硬盘录像机存储空间检查。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每日：检查监控中心设备软件版本、客户端监控软件版本及运行情况；机柜内监控设备全部清洁；各类关键设备参数备份。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每日：机房内电源接地电阻情况检查；用户端机房UPS电源供电检查及状态检查。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监控中心所有设备接地，采用一点接地方式。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传输线路维护：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每日：检查各类线路完好率、是否有其它线路影响；检查网络传输性能、光电设备运行、交换机端口状态；设备清洁，摆放有序。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每日：检查线缆标签粘贴位置、方向、牢固度，标签完整干净，尺寸适中，损坏、陈旧及时更换。所有线缆两端贴标签，粘贴在末端距离端头2cm处。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每日：音视频线、控制线、网络线标签内容符合规范。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（2）定期巡检与保养</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1）机房环境及配套设施运维：每周1次周巡检；每日4次日巡检（上班前、中午上下班前、下班前）。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2）网络及安全系统运维：每周1次周巡检；每日4次日巡检（上班前、中午上下班前、下班前）。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3）服务器及存储系统运维：每周1次周巡检；每日4次日巡检（上班前重要应用系统、上班后硬件设备及操作系统、中午上班前重要应用、下班前硬件及操作系统巡检），并进行日常性能监控和资源利用率分析。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4）信息系统运维：每周1次周巡检；每日4次日巡检（上班前、中午上下班前、下班前信息系统巡检）。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5）通讯线路运维：每周1次周巡检；每日4次日巡检（上班前、中午上下班前、下班前）。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前端设备外场巡检：网管监控使用诊断工具扫描（实时）；驻场工程师图像监看（每日）；摄像机检查使用诊断工具扫描（实时）；现场电气环境检查（每季度）；摄像头性能检查（每季度）；清洁机柜内设备（每季度）；清洁摄像机外罩、护罩、遮挡树枝（每月）；填写巡检记录、编写客户端巡检报告（每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7）前端立杆及机箱保养：每三个月为一个周期，进行表面防腐处理、电气设备清洁检查、性能测试和参数记录。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8）接地电阻测试：每6个月一次；每年3月份雷雨季节前，对所有监控点接地电阻进行测试和数据记录，检查避雷设备，更换被雷击穿避雷器。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（3）应急处置与重大活动保障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1）提供7×24小时应急响应，故障解决后24小时内提交故障处理报告。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2）重大安保活动前，对相关区域的前端设备、传输设备、中心机房设备等开展细致的临时维护；根据要求提供重大活动或突发事件现场技术保障及人脸抓拍二次甄别推送服务。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3）针对重大节日及公安安保事件成立“特殊事件维护小组”，重要节日每2天巡检1次，特殊重大活动尽量做到1天1次。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4）当发生外部黑客入侵、数据泄露、木马病毒、勒索病毒、通报事件等突发安全事件时，提供应急响应服务，协助用户快速止损，并出具事件报告（不限次数）。</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5）遭遇灾害天气，提前检查加固外场设备，做好保护措施；台风季节加强易进水设备巡查；雷雨季节前加强防雷系统检查。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（4）数据共享与对接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1）本项目产生的所有数据应照要求将相关信息资源汇聚到区数据局和城运中心。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2）免费配合滨湖公安分局做好系统、数据对接开发。</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3）无条件开放本项目中的所有平台及数据的对接接口，供滨湖公安分局指定的第三方系统调用。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（5）专项维护工作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前端系统维护：含设备故障修复、损坏替换、图像遮挡处理；立杆设施故障修复、损坏恢复，协同处理因道路修缮等产生的点位迁移；前端设备损坏替换过程中所有安装辅材（前端设备箱、避雷器、电源线、网线、支架等）的维护更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2）中心系统维护：含中心存储设备、服务器设备、网络设备的故障修复、损坏维修与更换；软件配置修改调整、故障排查、问题修复，确保系统可用性。</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3）机房环境系统维护：含机房空调新风系统部件更换、冷媒添加；消防系统设施维护及药剂更换；UPS及电池维护与更换；防雷接地、灯光照明、综合布线系统故障修复；机房墙面轻微损坏、静电地板损坏修复。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4）线路租赁：向运营商租赁VPN链路718条、裸纤1条，租赁期限11个月。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5）机柜租赁：向运营商机房租赁4个机柜放置中心设备（2020宜居住区租赁1个机柜，2022年老旧小区租赁3个机柜），租赁期限11个月。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6）每季度开展1次前端摄像头保洁并修剪遮挡绿植，工作完成后书面报滨湖公安分局确认。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7）对无法修复的设备，使用性能不低于原设备的备件进行免费更换，更换作业在2小时内完成；备件需符合备件数量及性能要求。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8）提供设备软件升级服务、管理人员技术培训指导、系统软件升级和优化，并按需进行免费个性化定制或修改。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9）负责所有前端点位的坐标采集、名称标注、上图展示；按公安要求负责立杆、设备箱等的颜色和监控标识牌制作。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10）自行勘察点位杆件情况，杆件灭失或不符合安全要求时免费新建或整改；新建杆件需拍照存档并提供检测合格报告。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11）在维护期内，甲方如有移位、迁移需求，在点位总数10%以内的，免费按新点位要求安装；超过10%的双方协商处理。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12）遇道路临时开挖、改建、施工等情况，负责设施维修、拆除或重建等所有费用。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13）设施设备被偷盗、交通事故、雷击、风暴、地震等原因损坏或丢失的，在规定时间内修复或更换，相关费用由维护服务单位承担。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14）数据协助服务：在打处、维稳、反恐等工作中按需提供大数据支撑服务。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15）乙方有权提出变更申请，经甲方同意后变更。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16）服务期满后，若由第三方提供后续服务，应提供便利并提交相关建设及运维资料。</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17）乙方与原维保单位做好交接工作，不得影响系统正常使用。</w:t>
      </w:r>
      <w:r/>
    </w:p>
    <w:p>
      <w:pPr>
        <w:numPr>
          <w:ilvl w:val="0"/>
          <w:numId w:val="16"/>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（1）系统可用性指标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1）前端设备在线率不低于98%。</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2）前端设备24小时内修复率不低于90%。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3）使用方满意度不低于90%。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4）系统每月完好率（前端图像、抓拍图片在系统内可正常使用）达到98%（不可抗力和免责条款除外）。</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5）保证整体系统可用性达到100%。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6）视频存储不低于30天，图片数据存储时间不低于180天。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（2）故障响应与修复时效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1）服务响应时间：接到服务请求后1小时内响应。</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2）现场到达时间：接到故障通知后30分钟内到达现场；接到公安局电话或书面检修通知后，指定技术人员15分钟内响应，60分钟内到达故障现场。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3）前端故障修复时间：小于24小时。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4）设备更换时间：在2小时内完成。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5）中心及平台故障修复时间：小于8小时（不可抗力除外）。</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6）摄像头污损、绿化遮挡等影响画面质量的，需在接到通知后48小时内清洁、处理完毕。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7）机房环境、网络、服务器等故障：现场15分钟响应，60分钟内提交故障处理方案，8小时内解决故障。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8）硬件设备维修：要求2个工作日内处理完成，确实难以在短期内解决的，可与用户协商先行使用替代设备或材料延长处理时间。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9）对于“系统瘫痪，业务系统不能运转”级别故障，到达现场后8小时内不能解决的，应在12小时内提出应急方案。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10）故障解决后24小时内，提交故障处理报告，说明故障种类、原因、解决方法及损失情况。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（3）人员与备件要求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1）组建项目专属服务团队，至少派驻2名维护人员常驻滨湖公安分局。驻场人员响应标准为7×24全天候响应，维护模式为7×8值班维护驻场服务。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机房环境维护配置弱电、强电工程师；业务系统维护配置网络专家、ITSS项目经理等不少于3人；网络及安全系统运维配置网络专家、安全工程师、ITSS项目经理等不少于3人；服务器及存储系统运维配置信息系统管理师、数据库专家、ITSS项目经理等不少于3人；信息系统维护配置网络专家、软件数据库支持工程师（厂家驻场运维1人）、服务提供商ITSS项目经理、服务工程师等不少于4人；通讯类运维配置ITSS服务工程师、网络工程师等不少于5人；前端设备外场协助人员若干。</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备品备件：备有道路监控枪式摄像机20台、道路监控球型摄像机5台、极低照度道路普通监控枪机5台、人脸抓拍摄像机3台、双镜头结构化枪机3台、全局结构化抓拍摄像机1台、辅材1项、云存储存储主机内硬盘(4T)8块、云存储存储主机内硬盘(6T)4块、云存储存储主机内硬盘(8T)16块，备件库中应有高于或等同数量和性能要求的备品备件。</w:t>
      </w:r>
      <w:r/>
    </w:p>
    <w:tbl>
      <w:tblPr>
        <w:tblStyle w:val="779"/>
        <w:tblW w:w="495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6"/>
        <w:gridCol w:w="1135"/>
        <w:gridCol w:w="6344"/>
        <w:gridCol w:w="566"/>
        <w:gridCol w:w="486"/>
      </w:tblGrid>
      <w:tr>
        <w:trPr>
          <w:trHeight w:val="345"/>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性能参数</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单位</w:t>
            </w:r>
            <w:r/>
          </w:p>
        </w:tc>
      </w:tr>
      <w:tr>
        <w:trPr>
          <w:trHeight w:val="1066"/>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道路监控枪式摄像机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智能筒型网络摄像机，支持鳞镜补光，夜间成像效果更出色</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支持智能资源模式：人脸抓拍、道路监控、Smart事件，多种智能模式可按需切换</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采用隐藏式灯珠设计，通过鳞甲密布排列形成的镜面反射出光，见光不见灯；增加发光面积，降低聚光效果，补光柔和均匀</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支持开放型网络视频接口、ISAPI、GB/T28181协议接入；支持三码流技术，支持同时20路取流；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支持三级用户权限管理，支持授权的用户和密码，支持IP地址过滤；</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支持GB35114 A级安全加密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传感器类型：1/1.8" Progressive Scan 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最低照度：彩色：0.002 Lux ，0 Lux with Light</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黑白：0.0002 Lux，0 Lux with IR</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宽动态：120 dB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焦距：2.8~4 mm或4~6 mm或6~9 mm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补光灯类型：鳞镜补光，默认红外850 nm，可切换至暖白光，4颗灯珠</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补光距离：白光：普通监控：最远可达30 m，人脸抓拍/识别：最远可达5 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红外：普通监控：最远可达50 m，人脸抓拍/识别：最远可达10 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防补光过曝：支持防补光过曝开启和关闭，开启下支持自动和手动，手动支持根据距离等级控制补光灯亮度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最大图像尺寸：2560 × 1440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视频压缩标准：H.265/H.264/MJPEG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网络：1个RJ45 10 M/100 M自适应以太网口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SD卡扩展：内置MicroSD/MicroSDHC/MicroSDXC插槽，最大支持512 GB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音频：1路输入（Line in），1路输出（Line out），2个内置麦克风，1个内置扬声器</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报警：1路输入，1路输出（报警输入支持开关量，报警输出最大支持DC12 V，30 mA）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RS-485：1个RS-485接口，半双工模式，支持自适应PELCO-P和PELCO-D协议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复位：支持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电源输出：DC12 V，100 mA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供电方式：DC：12 V ± 20%，支持防反接保护；PoE：802.3at，Type 2，Class 4</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防护：IP67 </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4592"/>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道路监控球型摄像机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400万+400万25倍枪球一体机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全景400万单目臻全彩，细节球机400万25倍，采用双镜头设计，兼顾全景细节</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全景采用1个 F1.0大光圈全彩镜头，可输出90°大场景画面，细节采用1/1.8 CMOS传感器25倍光学变倍镜头，高清成像</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支持多种智能资源切换：【全景】Smart事件（默认）；【细节】Smart事件（默认），全结构化，混合目标比对，智能交通，人员布控</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支持AR功能，摄像机的实时视频画面中添加最多500个AR标签，且可实现标签与标签联动的功能</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AI-ISP降噪：采用去噪卷积神经网络将深度结构、学习算法用于图像去噪，最终使画面成像更新清晰，噪点更小图像更干净准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支持GB35114A级安全加密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传感器类型：【全景】1/1.8＂ progressive scan CMOS,【细节】1/1.8＂ progressive scan 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最低照度：【全景】彩色 0.0005Lux @ (F1.0，AGC ON)，黑白0.0001Lux @(F1.0，AGC ON)， 0Lux with Lght；</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【细节】彩色 0.0005Lux @ (F1.5，AGC ON)，黑白:0.0001Lux @(F1.5，AGC ON)， 0Lux with IR；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焦距：【全景】4mm；【细节】5.9~147.5 mm，25倍光学变倍</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视场角：【全景】90°；【细节】59.8°-2.7°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补光灯距离：【全景】暖白光30米；【细节】暖白光50米，红外250米</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防补光过曝：支持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水平范围：【全景】不支持；【细节】0-360°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垂直范围：【全景】7-17°；【细节】-20-90°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水平速度：【全景】不支持；【细节】水平键控速度：0.1°-160°/s,速度可设;水平预置点速度：240°/s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垂直速度：【全景】垂直键控速度可设；【细节】垂直键控速度：0.1°-120°/s,速度可设;垂直预置点速度：200°/s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主码流帧率分辨率：【全景】</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50 Hz：25 fps（2688*1520，2560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60 Hz：30 fps（2688*1520,2560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【细节】</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高帧率：</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50Hz：50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60 Hz：60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常规帧率：</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50 Hz：25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60 Hz：30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视频压缩标准：H.265,H.264,MJPEG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宽动态：支持120dB超宽动态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陀螺仪：支持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网络接口：支持100M网络数据,RJ45网口,自适应网络数据</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SD卡扩展：内置Micro SD卡插槽,支持Micro SD/Micro SDHC/Micro SDXC卡,最大支持512 GB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报警：7路报警输入</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2路报警输出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音频：1路音频输入，1路音频输出，音频峰值：2~2.4 V[p-p]，输入阻抗：1 kΩ ± 10%；线性电平，阻抗：600 Ω</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防护：IP67; 6000V 防雷、防浪涌、防突波，符合GB/T17626.2/3/4/5/6四级标准 </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1344"/>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极低照度道路普通监控枪机</w:t>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基于视网膜成像原理，采用双Sensor架构和双光融合技术，提供卓越的图像视觉体验。在极低亮度下，呈现如在白昼中的彩色画质</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内嵌深度学习算法，以海量图片及视频资源为路基，通过机器自身提取目标特征，形成深层可供学习的人脸图像，极大的提升了目标人脸的检出率</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支持3种智能资源模式切换：混合目标检测（人脸+人体），人脸抓拍，Smart事件（声光警戒）</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支持GB35114 A级安全加密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传感器类型：1/1.8" Progressive Scan 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最低照度：彩色：0.0005 Lux @（F1.2，AGC ON）</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黑白：0.0001 Lux @（F1.2，AGC ON），0 Lux with IR</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宽动态：120 dB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焦距&amp;视场角：4 mm，水平视场角：89.5°，垂直视场角：47.5°，对角视场角：105.8°</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6 mm，水平视场角：55.2°，垂直视场角：29.3°，对角视场角：64.8°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混光距离：混合补光（750+白光）</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人脸：3~6 m，普通监控：30 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红外波长范围：750 nm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最大分辨率：2560 × 1440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视频压缩标准：主码流：H.265/H.264</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子码流：H.265/H.264/MJPEG</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第三码流：H.265/H.264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报警：1路输入，1路输出（报警输出最大支持DC12 V，30 mA）</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音频：1路输入（Line in）：最大输入幅值：3.3 Vpp，输入阻抗：4.7 kΩ，接口类型：非平衡</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1路输出（Line out）：最大输出幅值：3.3 Vpp，输出阻抗：100 Ω，接口类型：非平衡</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2个内置麦克风，1个内置扬声器</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复位：支持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网络：1个RJ45 10 M/100 M自适应以太网口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PoE：802.3at，Class 4</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防护：IP67 </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人脸抓拍摄像机</w:t>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支持GB35114安全加密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400W智能筒型网络摄像机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采用深度学习算法，以海量图片及视频资源为路基，通过机器自身提取目标特征，形成深层可供学习的图像。极大的提升了算法的检出率</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支持智能资源模式切换：人脸抓拍、道路监控、Smart事件、人数统计、热度图</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采用隐藏式灯珠设计，通过鳞甲密布排列形成的镜面反射出光，见光不见灯。增加发光面积，降低聚光效果，补光柔和均匀</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设备内置电动变焦镜头，操作便易，变焦过程平稳</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宽动态：120 dB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最低照度：彩色：0.0005 Lux @（F1.2，AGC ON），0 Lux with Light</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黑白：0.0001 Lux @（F1.2，AGC ON），0 Lux with IR</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传感器类型：1/1.8" Progressive Scan CMOS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焦距&amp;视场角：8~32 mm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补光灯类型：鳞镜补光，默认混光（850 nm+暖白），4颗灯珠</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防补光过曝：支持防补光过曝开启和关闭，开启下支持自动和手动，手动支持根据距离等级控制补光灯亮度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最大图像尺寸：2560 × 1440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视频压缩标准：H.265/H.264/MJPEG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网络：1个RJ45 10 M/100 M自适应以太网口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SD卡扩展：内置MicroSD/MicroSDHC/MicroSDXC插槽，最大支持256 GB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复位：支持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音频：2路输入（Line in），1路输出（Line out），2个内置麦克风，1个内置扬声器</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报警：3路输入，2路输出（报警输入支持开关量，报警输出最大支持DC12 V，30 mA）</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电源输出：DC12 V，100 mA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恢复出厂设置：支持RESET按键，客户端或浏览器恢复</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供电方式：DC：12 V ± 20%，支持防反接保护</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防护：IP67 </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7464"/>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双镜头结构化枪机</w:t>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400万 星光级1/1.8" CMOS AI多摄智能网络摄像机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支持智能资源模式切换：全结构化（默认）、人脸抓拍、人脸比对、道路监控、Smart事件</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设备支持上下双通道镜头，上通道内置电动变焦镜头，操作便易，变焦过程平稳；下通道定焦全彩镜头，满足低照度下的监控需求</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设备内置高效温和补光灯，告别光污染，保证夜间正常进行人脸抓拍</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支持GB35114  A级安全加密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 通道1：1/1.8" Progressive Scan CMOS；通道2：1/1.8" Progressive Scan 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通道1：彩色：0.0005 Lux @（F1.2，AGC ON），0 Lux with Light；黑白：0.0001 Lux @（F1.2，AGC ON），0 Lux with IR</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通道2：彩色：0.0003 Lux @（F1.0，AGC ON），0 Lux with Light；黑白：0.0001 Lux @（F1.0，AGC ON），0 Lux with IR</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 120 dB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  通道1：8~32 mm，通道2：4mm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补光灯类型: 混合补光（支持白光模式和混光模式）</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最大图像尺寸: 通道1：2688 x 1520；通道2：2688 x 1520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 H.265/H.264/MJPEG</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网络存储: 支持Micro SD(即TF卡)/Micro SDHC/Micro SDXC卡（最大256 GB）断网本地存储及断网续传，NAS（NFS，SMB/CIFS均支持），配合海康黑卡支持SD卡加密及SD卡状态检测</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视频输出: 1 Vp-p复合输出（75 Ω/CVBS）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 1个RJ45 10 M/100 M/1000 M自适应以太网口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 2个内置麦克风，1个内置扬声器；2路输入，1路输出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 3路输入，2路输出（报警输入支持开关量，报警输出最大支持DC12 V，30 mA）</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RS-485:</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复位: 支持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 IP67</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6296"/>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全局结构化抓拍摄像机</w:t>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全景镜头和细节传感器均采用1/1.8＂ CMOS,全景镜头采用6mm定焦镜头，细节镜头采用13-52mm瞬晰变焦黑光镜头。</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支持人脸抓拍，非机动车识别、机动车车牌识别等全结构化功能</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支持三种智能资源模式切换：混合目标检测-全结构化模式（全景）、混合目标检测-人脸+人体模式（细节）、人脸抓拍模式（细节）</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动点镜头支持瞬晰聚焦，从最小倍到最大倍变倍时间为0.1秒</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AISP降噪功能：采用去噪卷积神经网络将深度结构、学习算法用于图像去噪，最终使画面成像更新清晰，噪点更小图像更干净</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支持算法比对机制,降低人脸抓拍重复率</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支持GB35114安全加密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传感器类型：【全景】1/1.8＂ progressive scan CMOS,【细节】双1/1.8＂ progressive scan 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最低照度：【全景】彩色：0.0005 Lux @（F1.0，AGC ON），黑白：0.0001 Lux @（F1.0，AGC ON）；【细节】彩色：0.0005Lux @（F1.6，AGC ON），黑白：0.0001Lux @（F1.6，AGC ON）</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宽动态：120 dB超宽动态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焦距：【全景】定焦6 mm，【细节】13 mm~52 mm，4倍光学变倍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防补光过曝：支持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水平范围：【细节】0~210°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垂直范围：【细节】-15°~22°</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主码流帧率分辨率：50 Hz：25 fps（2560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60 Hz：30 fps（2560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视频压缩标准：H.265;H.264;MJPEG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网络接口：自适应10M/100M/1000M网络数据;RJ45网口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SD卡扩展：内置Micro SD卡插槽;最大支持256G</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报警：1路报警输入，1路报警输出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音频：1路音频输入，1路音频输出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除雾：加热除雾</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防护：IP66 </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前端设备箱要求：机箱材质：不锈钢。机箱尺寸500mm*400mm*300mm，壁厚1.2mm，含不锈钢板，需按要求喷涂“公安监控”字样；</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避雷器要求：摄像机采用电源、网络二合一防雷器12V或24V；</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网线要求：防水超五类网线</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项</w:t>
            </w:r>
            <w:r/>
          </w:p>
        </w:tc>
      </w:tr>
      <w:tr>
        <w:trPr>
          <w:trHeight w:val="345"/>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云存储存储主机内硬盘(4T)</w:t>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4T企业级IoT硬盘</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块</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云存储存储主机内硬盘(6T)</w:t>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6T企业级IoT硬盘</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块</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云存储存储主机内硬盘(8T)</w:t>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8T企业级IoT硬盘</w:t>
            </w:r>
            <w:r/>
          </w:p>
        </w:tc>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块</w:t>
            </w:r>
            <w:r/>
          </w:p>
        </w:tc>
      </w:tr>
    </w:tbl>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4）维修或更换设备时间超过3个工作日（计算机服务器、网络设备等须在1个工作日内），则必须提供档次不低于送修设备的备件。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（4）安全生产与保密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1）严格执行安全生产规范条例，对施工维护人员进行安全教育，确保合同期内不发生人身伤亡事故和火灾事故，并应参加建筑、安装工程等相关的保险，承担发生的质量、安全事故及责任和经济损失。</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传输链路专用，与其他网络物理隔绝，并不得接入任何其它网络；每条链路上行带宽不得低于100M。前端点位租赁运营商光纤VPN（或裸纤）链路数量不得少于核定的数量，含链路两端光传输设备及中心端接入交换设备；租赁运营商VPN（或裸纤）链路，带宽100M（部分点位因应用场景需要带宽超过100M，运营商应根据实际需求免费提升带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3）对本项目涉及的软硬件技术资料、监控图像等均负有保密义务，未经许可不得提供给第三方；本项目采集的各类数据归甲方所有，乙方对采集及对接的数据负有保密义务。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4）严禁“一机两用、一机双网”；严禁泄露工作中接触的公安数据、帐号和密码；计算机送出维修必须将硬盘拆下交甲方管理者。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5）前端点位的取电用电、绿化及市政开挖赔补、绿化修剪，行政审批等事宜及相关费用由乙方自行解决；项目实施过程中的拆移赔补等其他杂费由乙方负责并协调相关部门。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（5）运维变更与交接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1）乙方不得擅自改变网络架构及组网方式，不得擅自改变前端设备接入的中心系统、接入方式以及相关平台及安全防护等系统。</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2）未经甲方同意，不得擅自变更相关中心设备在运营商机房的存放位置。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3）不得擅自在杆件上安装与本项目无关的其他设备。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4）维修前后设施设备品牌型号应保持完全一致，如停产应使用性能等于或高于当前的设备替换；设施设备数量必须与维修前保持完全一致。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5）服务期满后，若由第三方提供后续服务，应提供便利并提交建设资料及运维资料。</w:t>
      </w:r>
      <w:r/>
    </w:p>
    <w:p>
      <w:pPr>
        <w:numPr>
          <w:ilvl w:val="0"/>
          <w:numId w:val="16"/>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运维输出物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（1）每日报告与记录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1）《视频监控巡检记录表》（监控系统机房日常维护记录表），记录电力、温度、湿度、防尘、存储、图像、控制、设备连接检查结果。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2）驻场工程师图像监看评价记录。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3）《设备维护记录》。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4）日巡检分析报告。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5）交接班登记表。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（2）故障处理与事件记录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1）《系统故障报修单》（每次故障处理后填写，含故障类别、原因、解决办法，由用户负责人签字确认）。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2）故障处理报告（故障解决后24小时内提交，说明故障种类、原因、解决方法及损失情况）。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3）《备品备件出库登记表》（按需填写）。</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4）《服务申请单》（按需填写，记录工单信息、申请人信息、故障信息等）。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（3）定期巡检与分析报告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1）周巡检分析报告（服务器及存储、网络、安全、信息系统等，每周）。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2）月巡检分析报告（每月）。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3）《每月维护服务情况汇报》（工作月报），包含绩效数据指标、工作计划完成情况、下月计划、月度总结（每月）。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4）前端设备外场巡检记录及客户端巡检报告（每月）。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5）每季度前端摄像头保洁及遮挡绿植修剪书面报告（每季度）。</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6）机房设备定期检测、保养报告（按需，向用户汇报，用户确认）。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7）半年总结分析报告（每半年）。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8）年度终结分析报告（每年）。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9）服务年报（服务期结束前提供）。</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（4）安全服务及专项报告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1）应急响应事件报告（安全事件发生后，不限次数）。</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2）深度潜伏威胁分析报告（每年不少于4次）。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3）定期维护检查报告（每年4次，对重要边界安全设备规则库及功能模块检查）。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4）渗透测试报告及修复建议（每年不少于1次）。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5）系统集成服务方案及报告（系统割接方案、数据迁移方案等，按需提交）。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6）故障分析处理记录、故障整改方案和建议（按需提交）。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7）重大故障记录报告（按需提交）。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（5）资产与档案管理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1）所有区域的系统图及点位图（正式维护前完成并提交）。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2）《设备维护档案表格》（记录设备名称、编号、时间、问题描述、处置说明等，按需更新）。</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3）新建杆件基础照片及检测合格报告（按需，新建时提交）。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4）设备更换时的操作手册、运行手册、技术方案及图纸（按需提交）。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5）网络文档记录（网络拓扑图、设备配置信息、故障排除记录等，按需提交）。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6）服务器、存储日常维护知识库及运维过程资料（按需整理提交）。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7）日常维护报告、系统巡检日志、系统维护记录、系统优化记录、各类优化的管理制度（按需或定期提交）。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8）服务期满后，提交所有相关的建设资料及运维资料。</w:t>
      </w:r>
      <w:r/>
    </w:p>
    <w:p>
      <w:pPr>
        <w:numPr>
          <w:ilvl w:val="0"/>
          <w:numId w:val="16"/>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团队配置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该运维项目采用外包的方式，必须十分注重信息化技术队伍的建设，技术力量和人员配置是指根据项目发展需求，对运维人员进行配置、培训等，做到“人员配备适当”，能全流程管理运维任务。</w:t>
      </w:r>
      <w:r/>
    </w:p>
    <w:tbl>
      <w:tblPr>
        <w:tblStyle w:val="77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4"/>
        <w:gridCol w:w="1324"/>
        <w:gridCol w:w="844"/>
        <w:gridCol w:w="3412"/>
        <w:gridCol w:w="2098"/>
      </w:tblGrid>
      <w:tr>
        <w:trPr>
          <w:jc w:val="center"/>
          <w:tblHeader/>
        </w:trPr>
        <w:tc>
          <w:tcPr>
            <w:shd w:val="clear" w:color="auto" w:fill="ffffff"/>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序号</w:t>
            </w:r>
            <w:r/>
          </w:p>
        </w:tc>
        <w:tc>
          <w:tcPr>
            <w:shd w:val="clear" w:color="auto" w:fill="ffffff"/>
            <w:tcBorders>
              <w:top w:val="single" w:color="auto" w:sz="4" w:space="0"/>
              <w:left w:val="none" w:color="000000" w:sz="4" w:space="0"/>
              <w:bottom w:val="single" w:color="auto" w:sz="4" w:space="0"/>
              <w:right w:val="single" w:color="auto" w:sz="4" w:space="0"/>
            </w:tcBorders>
            <w:tcW w:w="13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岗位</w:t>
            </w:r>
            <w:r/>
          </w:p>
        </w:tc>
        <w:tc>
          <w:tcPr>
            <w:shd w:val="clear" w:color="auto" w:fill="ffffff"/>
            <w:tcBorders>
              <w:top w:val="single" w:color="auto" w:sz="4" w:space="0"/>
              <w:left w:val="none" w:color="000000"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人数</w:t>
            </w:r>
            <w:r/>
          </w:p>
        </w:tc>
        <w:tc>
          <w:tcPr>
            <w:shd w:val="clear" w:color="auto" w:fill="ffffff"/>
            <w:tcBorders>
              <w:top w:val="single" w:color="auto" w:sz="4" w:space="0"/>
              <w:left w:val="none" w:color="000000" w:sz="4" w:space="0"/>
              <w:bottom w:val="single" w:color="auto" w:sz="4" w:space="0"/>
              <w:right w:val="single" w:color="auto" w:sz="4" w:space="0"/>
            </w:tcBorders>
            <w:tcW w:w="34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职责说明</w:t>
            </w:r>
            <w:r/>
          </w:p>
        </w:tc>
        <w:tc>
          <w:tcPr>
            <w:shd w:val="clear" w:color="auto" w:fill="ffffff"/>
            <w:tcBorders>
              <w:top w:val="single" w:color="auto" w:sz="4" w:space="0"/>
              <w:left w:val="none" w:color="000000" w:sz="4" w:space="0"/>
              <w:bottom w:val="single" w:color="auto" w:sz="4" w:space="0"/>
              <w:right w:val="single" w:color="auto" w:sz="4" w:space="0"/>
            </w:tcBorders>
            <w:tcW w:w="209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工作方式</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ffffff"/>
            <w:tcBorders>
              <w:top w:val="single" w:color="auto" w:sz="4" w:space="0"/>
              <w:left w:val="none" w:color="000000" w:sz="4" w:space="0"/>
              <w:bottom w:val="single" w:color="auto" w:sz="4" w:space="0"/>
              <w:right w:val="single" w:color="auto" w:sz="4" w:space="0"/>
            </w:tcBorders>
            <w:tcW w:w="13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总负责人</w:t>
            </w:r>
            <w:r/>
          </w:p>
        </w:tc>
        <w:tc>
          <w:tcPr>
            <w:shd w:val="clear" w:color="auto" w:fill="ffffff"/>
            <w:tcBorders>
              <w:top w:val="single" w:color="auto" w:sz="4" w:space="0"/>
              <w:left w:val="none" w:color="000000"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ffffff"/>
            <w:tcBorders>
              <w:top w:val="single" w:color="auto" w:sz="4" w:space="0"/>
              <w:left w:val="none" w:color="000000" w:sz="4" w:space="0"/>
              <w:bottom w:val="single" w:color="auto" w:sz="4" w:space="0"/>
              <w:right w:val="single" w:color="auto" w:sz="4" w:space="0"/>
            </w:tcBorders>
            <w:tcW w:w="34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项目总负责、负责项目指导，重大决策（无锡市公安局滨湖分局通信组）</w:t>
            </w:r>
            <w:r/>
          </w:p>
        </w:tc>
        <w:tc>
          <w:tcPr>
            <w:shd w:val="clear" w:color="auto" w:fill="ffffff"/>
            <w:tcBorders>
              <w:top w:val="single" w:color="auto" w:sz="4" w:space="0"/>
              <w:left w:val="none" w:color="000000" w:sz="4" w:space="0"/>
              <w:bottom w:val="single" w:color="auto" w:sz="4" w:space="0"/>
              <w:right w:val="single" w:color="auto" w:sz="4" w:space="0"/>
            </w:tcBorders>
            <w:tcW w:w="209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公安负责项目管理监督</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p>
        </w:tc>
        <w:tc>
          <w:tcPr>
            <w:shd w:val="clear" w:color="auto" w:fill="ffffff"/>
            <w:tcBorders>
              <w:top w:val="single" w:color="auto" w:sz="4" w:space="0"/>
              <w:left w:val="none" w:color="000000" w:sz="4" w:space="0"/>
              <w:bottom w:val="single" w:color="auto" w:sz="4" w:space="0"/>
              <w:right w:val="single" w:color="auto" w:sz="4" w:space="0"/>
            </w:tcBorders>
            <w:tcW w:w="13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运维服务负责人</w:t>
            </w:r>
            <w:r/>
          </w:p>
        </w:tc>
        <w:tc>
          <w:tcPr>
            <w:shd w:val="clear" w:color="auto" w:fill="ffffff"/>
            <w:tcBorders>
              <w:top w:val="single" w:color="auto" w:sz="4" w:space="0"/>
              <w:left w:val="none" w:color="000000"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ffffff"/>
            <w:tcBorders>
              <w:top w:val="single" w:color="auto" w:sz="4" w:space="0"/>
              <w:left w:val="none" w:color="000000" w:sz="4" w:space="0"/>
              <w:bottom w:val="single" w:color="auto" w:sz="4" w:space="0"/>
              <w:right w:val="single" w:color="auto" w:sz="4" w:space="0"/>
            </w:tcBorders>
            <w:tcW w:w="34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负责项目的运维外包执行（无锡市公安局滨湖分局通信组）</w:t>
            </w:r>
            <w:r/>
          </w:p>
        </w:tc>
        <w:tc>
          <w:tcPr>
            <w:shd w:val="clear" w:color="auto" w:fill="ffffff"/>
            <w:tcBorders>
              <w:top w:val="single" w:color="auto" w:sz="4" w:space="0"/>
              <w:left w:val="none" w:color="000000" w:sz="4" w:space="0"/>
              <w:bottom w:val="single" w:color="auto" w:sz="4" w:space="0"/>
              <w:right w:val="single" w:color="auto" w:sz="4" w:space="0"/>
            </w:tcBorders>
            <w:tcW w:w="209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公安负责项目的具体实施</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w:t>
            </w:r>
            <w:r/>
          </w:p>
        </w:tc>
        <w:tc>
          <w:tcPr>
            <w:shd w:val="clear" w:color="auto" w:fill="ffffff"/>
            <w:tcBorders>
              <w:top w:val="single" w:color="auto" w:sz="4" w:space="0"/>
              <w:left w:val="none" w:color="000000" w:sz="4" w:space="0"/>
              <w:bottom w:val="single" w:color="auto" w:sz="4" w:space="0"/>
              <w:right w:val="single" w:color="auto" w:sz="4" w:space="0"/>
            </w:tcBorders>
            <w:tcW w:w="13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技术负责</w:t>
            </w:r>
            <w:r/>
          </w:p>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（外包）</w:t>
            </w:r>
            <w:r/>
          </w:p>
        </w:tc>
        <w:tc>
          <w:tcPr>
            <w:shd w:val="clear" w:color="auto" w:fill="ffffff"/>
            <w:tcBorders>
              <w:top w:val="single" w:color="auto" w:sz="4" w:space="0"/>
              <w:left w:val="none" w:color="000000"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ffffff"/>
            <w:tcBorders>
              <w:top w:val="single" w:color="auto" w:sz="4" w:space="0"/>
              <w:left w:val="none" w:color="000000" w:sz="4" w:space="0"/>
              <w:bottom w:val="single" w:color="auto" w:sz="4" w:space="0"/>
              <w:right w:val="single" w:color="auto" w:sz="4" w:space="0"/>
            </w:tcBorders>
            <w:tcW w:w="34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负责项目运维的具体实施（运维外包团队项目经理、技术负责人）。</w:t>
            </w:r>
            <w:r/>
          </w:p>
        </w:tc>
        <w:tc>
          <w:tcPr>
            <w:shd w:val="clear" w:color="auto" w:fill="ffffff"/>
            <w:tcBorders>
              <w:top w:val="single" w:color="auto" w:sz="4" w:space="0"/>
              <w:left w:val="none" w:color="000000" w:sz="4" w:space="0"/>
              <w:bottom w:val="single" w:color="auto" w:sz="4" w:space="0"/>
              <w:right w:val="single" w:color="auto" w:sz="4" w:space="0"/>
            </w:tcBorders>
            <w:tcW w:w="209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负责组织协调、服务流程闭环监督</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w:t>
            </w:r>
            <w:r/>
          </w:p>
        </w:tc>
        <w:tc>
          <w:tcPr>
            <w:shd w:val="clear" w:color="auto" w:fill="ffffff"/>
            <w:tcBorders>
              <w:top w:val="single" w:color="auto" w:sz="4" w:space="0"/>
              <w:left w:val="none" w:color="000000" w:sz="4" w:space="0"/>
              <w:bottom w:val="single" w:color="auto" w:sz="4" w:space="0"/>
              <w:right w:val="single" w:color="auto" w:sz="4" w:space="0"/>
            </w:tcBorders>
            <w:tcW w:w="13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业务协助</w:t>
            </w:r>
            <w:r/>
          </w:p>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（外包）</w:t>
            </w:r>
            <w:r/>
          </w:p>
        </w:tc>
        <w:tc>
          <w:tcPr>
            <w:shd w:val="clear" w:color="auto" w:fill="ffffff"/>
            <w:tcBorders>
              <w:top w:val="single" w:color="auto" w:sz="4" w:space="0"/>
              <w:left w:val="none" w:color="000000"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p>
        </w:tc>
        <w:tc>
          <w:tcPr>
            <w:shd w:val="clear" w:color="auto" w:fill="ffffff"/>
            <w:tcBorders>
              <w:top w:val="single" w:color="auto" w:sz="4" w:space="0"/>
              <w:left w:val="none" w:color="000000" w:sz="4" w:space="0"/>
              <w:bottom w:val="single" w:color="auto" w:sz="4" w:space="0"/>
              <w:right w:val="single" w:color="auto" w:sz="4" w:space="0"/>
            </w:tcBorders>
            <w:tcW w:w="34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负责平台运维（运维外包服务驻场服务人员）。</w:t>
            </w:r>
            <w:r/>
          </w:p>
        </w:tc>
        <w:tc>
          <w:tcPr>
            <w:shd w:val="clear" w:color="auto" w:fill="ffffff"/>
            <w:tcBorders>
              <w:top w:val="single" w:color="auto" w:sz="4" w:space="0"/>
              <w:left w:val="none" w:color="000000" w:sz="4" w:space="0"/>
              <w:bottom w:val="single" w:color="auto" w:sz="4" w:space="0"/>
              <w:right w:val="single" w:color="auto" w:sz="4" w:space="0"/>
            </w:tcBorders>
            <w:tcW w:w="209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常驻公安</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w:t>
            </w:r>
            <w:r/>
          </w:p>
        </w:tc>
        <w:tc>
          <w:tcPr>
            <w:shd w:val="clear" w:color="auto" w:fill="ffffff"/>
            <w:tcBorders>
              <w:top w:val="single" w:color="auto" w:sz="4" w:space="0"/>
              <w:left w:val="none" w:color="000000" w:sz="4" w:space="0"/>
              <w:bottom w:val="single" w:color="auto" w:sz="4" w:space="0"/>
              <w:right w:val="single" w:color="auto" w:sz="4" w:space="0"/>
            </w:tcBorders>
            <w:tcW w:w="13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业务协助</w:t>
            </w:r>
            <w:r/>
          </w:p>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（外包）</w:t>
            </w:r>
            <w:r/>
          </w:p>
        </w:tc>
        <w:tc>
          <w:tcPr>
            <w:shd w:val="clear" w:color="auto" w:fill="ffffff"/>
            <w:tcBorders>
              <w:top w:val="single" w:color="auto" w:sz="4" w:space="0"/>
              <w:left w:val="none" w:color="000000"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w:t>
            </w:r>
            <w:r/>
          </w:p>
        </w:tc>
        <w:tc>
          <w:tcPr>
            <w:shd w:val="clear" w:color="auto" w:fill="ffffff"/>
            <w:tcBorders>
              <w:top w:val="single" w:color="auto" w:sz="4" w:space="0"/>
              <w:left w:val="none" w:color="000000" w:sz="4" w:space="0"/>
              <w:bottom w:val="single" w:color="auto" w:sz="4" w:space="0"/>
              <w:right w:val="single" w:color="auto" w:sz="4" w:space="0"/>
            </w:tcBorders>
            <w:tcW w:w="34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负责前端维修、线路维修（运维外包服务外场服务人员）。</w:t>
            </w:r>
            <w:r/>
          </w:p>
        </w:tc>
        <w:tc>
          <w:tcPr>
            <w:shd w:val="clear" w:color="auto" w:fill="ffffff"/>
            <w:tcBorders>
              <w:top w:val="single" w:color="auto" w:sz="4" w:space="0"/>
              <w:left w:val="none" w:color="000000" w:sz="4" w:space="0"/>
              <w:bottom w:val="single" w:color="auto" w:sz="4" w:space="0"/>
              <w:right w:val="single" w:color="auto" w:sz="4" w:space="0"/>
            </w:tcBorders>
            <w:tcW w:w="209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外场巡检</w:t>
            </w:r>
            <w:r/>
          </w:p>
        </w:tc>
      </w:tr>
    </w:tbl>
    <w:p>
      <w:pPr>
        <w:numPr>
          <w:ilvl w:val="0"/>
          <w:numId w:val="16"/>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人员驻场要求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按滨湖公安的运维管理要求，需要运维单位抽调精干力量，以驻场的方式，在滨湖公安集中办公，本项目需2名驻场人员，驻场人员需同时接受滨湖公安分局的管理。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驻场人员作内容主要是：每日完成前端视频巡查及后台设备巡查工作2轮，确保公安分局视频在线率及图像质量。发现故障需立即处置，1名驻场人员一人前往前端点位会同外场服务人员一起进行排查维修，一人可在分局进行平台端的操作及确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此外滨湖公安通信科每日对“一眼多维感知平台”中的《人脸抓拍数据监测报表》、《卡口过车数据监测报表》和《设备过车数据监测报表》等报表中出现的问题以及日常工作中发现的问题人工复核后形成问题清单，通报给考核对象（一般发送到“滨湖分局运维考核群”）。考核对象安排相关人员按照清单，对照问题及时整改。</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28</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rPr>
        <w:t xml:space="preserve">2020</w:t>
      </w:r>
      <w:r>
        <w:rPr>
          <w:rFonts w:hint="eastAsia" w:ascii="宋体" w:hAnsi="宋体" w:eastAsia="宋体" w:cs="宋体"/>
          <w:b/>
          <w:bCs/>
          <w:sz w:val="24"/>
          <w:szCs w:val="24"/>
          <w:lang w:eastAsia="zh-CN"/>
        </w:rPr>
        <w:t xml:space="preserve">年滨湖区智慧技防小区建设项目维护服务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运维期限：12个月（2026年9月1日-2027年8月31日）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服务使用单位：无锡市滨湖区公安分局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numPr>
          <w:ilvl w:val="0"/>
          <w:numId w:val="17"/>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滨湖区智慧技防小区建设租赁服务(五年)采购项目包括了人脸抓拍摄像机109台，车辆抓拍摄像机209台，广角监控摄像机73台，双镜头结构化球型摄像机56台，双镜头结构化枪式摄像机197台；以及相关中心系统（含平台软件、服务器、存储设备及硬盘）、网络传输系统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本项目运维要求：对现有设备进行质保运维1年，使得整体系统正常运作，确保前端点位在线率、完好率，满足视频存储不低于30天，图片数据存储时间不低于180天。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（1）前端系统维护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1）开展对项目内所建前端感知系统的维护工作，含设备故障修复、损坏替换、图像遮挡处理；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2）开展对前端立杆设施的维护工作，应届解决处理因事故等造成的杆件设施损坏恢复；协同处理因道路修缮等产生的点位迁移等工作；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3）开展对前端设施设备的维护工作，含前端设备损坏替换过程中发生的所有安装辅材，含前端设备箱、避雷器、电源线、网线、支架等辅材的维护更换。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（2）中心系统维护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1）开展对中心存储设备的维护工作，含设备故障修复、损坏替换等所有维护工作，确保整体系统图像可用性，避免录像无法保存的情况；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2）开展对中心服务器设备的维护工作，含设备故障修复、损坏维修、替换等所有维护工作，确保整体系统整体可用性，避免服务器故障造成的长时间系统宕机；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3）开展对中心网络设备的维护工作，含设备故障修复、损坏维修产生的硬件更换、软件配置调试等所有维护工作，确保中心网络系统正常运行。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4）开展对列入维保范围内的应用软件的维护工作，含软件安使用需要开展的配置设置修改及调整、故障排查、问题修复等，确保应用软件的可用性，避免软件系统故障产生的长时间无法使用。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（3）机房环境系统维护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1）开展对空调新风系统的维护工作，含机房空调、新风系统内设备的维护工作，含部件更换、冷媒添加等工作；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2）开展对消防系统的维护工作，含机房消防系统内设施设备的维护工作，含药剂更换等工作；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3）开展对机房环境控制及不间断电源系统的维护工作，含机房环控整体设备维护及不间断电源维护，含电池损坏后更换工作；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开展对机房基础环境的维护工作，包含机房防雷接地系统、灯光照明系统、综合布线系统以及机房基础设施。在各系统发生故障时及时进行修复，并对因外部因素造成的机房墙面轻微损坏、静电地板损坏等进行修复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（4）线路租赁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为确保“2020年滨湖区智慧技防小区建设项目”所建设系统的正常运行，保障前端感知系统采集数据继续向分局中心应用系统汇聚，本项目中继续租赁运营商VPN线路实现数据传输。项目中前端摄像机租赁VPN链路340条，社会面汇聚接入租赁VPN链路97条，共计租赁VPN链路路437条，租赁期限1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（5）机柜租赁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因目前滨湖分局中心机房整体规划调整，滨湖区智慧技防小区建设项目运维服务项目中建设的部分中心设备需调整放置至运营商机房内，从而确保分局中心机房内有足够空间放置核心系统所需的硬件设施。经综合测算，需租用运营商机房3个机柜放置中心设备。租赁期限1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bookmarkStart w:id="200" w:name="_Toc791055697"/>
      <w:r>
        <w:rPr>
          <w:rFonts w:hint="eastAsia" w:ascii="宋体" w:hAnsi="宋体" w:eastAsia="宋体" w:cs="宋体"/>
          <w:sz w:val="24"/>
          <w:szCs w:val="24"/>
          <w:lang w:val="en-US" w:eastAsia="zh-CN" w:bidi="ar"/>
        </w:rPr>
        <w:t xml:space="preserve">（6）零星更换摄像机费</w:t>
      </w:r>
      <w:bookmarkEnd w:id="200"/>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因公安治安监控担负着治安防范和打击犯罪的重要作用，维保要求高，相关视频监控级联市公安局、省公安厅和公安部，无锡市公安局对此有严格的考核要求和指标，需时刻保持相关系统、设备的稳定运行，经逐个预览查看，发现有部分道路监控球型摄像机和高清球机图像质量下降，已严重影响业务部门的使用，为此在项目中需零星更换部分摄像机。</w:t>
      </w:r>
      <w:r/>
    </w:p>
    <w:tbl>
      <w:tblPr>
        <w:tblStyle w:val="779"/>
        <w:tblW w:w="495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80"/>
        <w:gridCol w:w="1018"/>
        <w:gridCol w:w="5957"/>
        <w:gridCol w:w="782"/>
        <w:gridCol w:w="540"/>
      </w:tblGrid>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27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性能参数</w:t>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单位</w:t>
            </w:r>
            <w:r/>
          </w:p>
        </w:tc>
      </w:tr>
      <w:tr>
        <w:trPr>
          <w:trHeight w:val="1720"/>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道路监控枪式摄像机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327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智能筒型网络摄像机，支持鳞镜补光，夜间成像效果更出色</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支持智能资源模式：人脸抓拍、道路监控、Smart事件，多种智能模式可按需切换</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采用隐藏式灯珠设计，通过鳞甲密布排列形成的镜面反射出光，见光不见灯；增加发光面积，降低聚光效果，补光柔和均匀</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支持开放型网络视频接口、ISAPI、GB/T28181协议接入；支持三码流技术，支持同时20路取流；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支持三级用户权限管理，支持授权的用户和密码，支持IP地址过滤；</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支持GB35114 A级安全加密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传感器类型：1/1.8" Progressive Scan 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最低照度：彩色：0.002 Lux ，0 Lux with Light</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黑白：0.0002 Lux，0 Lux with IR</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宽动态：120 dB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焦距：2.8~4 mm或4~6 mm或6~9 mm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补光灯类型：鳞镜补光，默认红外850 nm，可切换至暖白光，4颗灯珠</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补光距离：白光：普通监控：最远可达30 m，人脸抓拍/识别：最远可达5 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红外：普通监控：最远可达50 m，人脸抓拍/识别：最远可达10 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防补光过曝：支持防补光过曝开启和关闭，开启下支持自动和手动，手动支持根据距离等级控制补光灯亮度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最大图像尺寸：2560 × 1440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视频压缩标准：H.265/H.264/MJPEG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网络：1个RJ45 10 M/100 M自适应以太网口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SD卡扩展：内置MicroSD/MicroSDHC/MicroSDXC插槽，最大支持512 GB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音频：1路输入（Line in），1路输出（Line out），2个内置麦克风，1个内置扬声器</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报警：1路输入，1路输出（报警输入支持开关量，报警输出最大支持DC12 V，30 mA）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RS-485：1个RS-485接口，半双工模式，支持自适应PELCO-P和PELCO-D协议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复位：支持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电源输出：DC12 V，100 mA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供电方式：DC：12 V ± 20%，支持防反接保护；PoE：802.3at，Type 2，Class 4</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防护：IP67 </w:t>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1720"/>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人脸抓拍摄像机</w:t>
            </w:r>
            <w:r/>
          </w:p>
        </w:tc>
        <w:tc>
          <w:tcPr>
            <w:shd w:val="clear" w:color="auto" w:fill="auto"/>
            <w:tcBorders>
              <w:top w:val="single" w:color="000000" w:sz="4" w:space="0"/>
              <w:left w:val="single" w:color="000000" w:sz="4" w:space="0"/>
              <w:bottom w:val="single" w:color="000000" w:sz="4" w:space="0"/>
              <w:right w:val="single" w:color="000000" w:sz="4" w:space="0"/>
            </w:tcBorders>
            <w:tcW w:w="327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支持GB35114安全加密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400W智能筒型网络摄像机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采用深度学习算法，以海量图片及视频资源为路基，通过机器自身提取目标特征，形成深层可供学习的图像。极大的提升了算法的检出率</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支持智能资源模式切换：人脸抓拍、道路监控、Smart事件、人数统计、热度图</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采用隐藏式灯珠设计，通过鳞甲密布排列形成的镜面反射出光，见光不见灯。增加发光面积，降低聚光效果，补光柔和均匀</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设备内置电动变焦镜头，操作便易，变焦过程平稳</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宽动态：120 dB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最低照度：彩色：0.0005 Lux @（F1.2，AGC ON），0 Lux with Light</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黑白：0.0001 Lux @（F1.2，AGC ON），0 Lux with IR</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传感器类型：1/1.8" Progressive Scan CMOS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焦距&amp;视场角：8~32 mm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补光灯类型：鳞镜补光，默认混光（850 nm+暖白），4颗灯珠</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防补光过曝：支持防补光过曝开启和关闭，开启下支持自动和手动，手动支持根据距离等级控制补光灯亮度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最大图像尺寸：2560 × 1440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视频压缩标准：H.265/H.264/MJPEG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网络：1个RJ45 10 M/100 M自适应以太网口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SD卡扩展：内置MicroSD/MicroSDHC/MicroSDXC插槽，最大支持256 GB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复位：支持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音频：2路输入（Line in），1路输出（Line out），2个内置麦克风，1个内置扬声器</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报警：3路输入，2路输出（报警输入支持开关量，报警输出最大支持DC12 V，30 mA）</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电源输出：DC12 V，100 mA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恢复出厂设置：支持RESET按键，客户端或浏览器恢复</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供电方式：DC：12 V ± 20%，支持防反接保护</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防护：IP67 </w:t>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1720"/>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出入口抓拍单元</w:t>
            </w:r>
            <w:r/>
          </w:p>
        </w:tc>
        <w:tc>
          <w:tcPr>
            <w:shd w:val="clear" w:color="auto" w:fill="auto"/>
            <w:tcBorders>
              <w:top w:val="single" w:color="000000" w:sz="4" w:space="0"/>
              <w:left w:val="single" w:color="000000" w:sz="4" w:space="0"/>
              <w:bottom w:val="single" w:color="000000" w:sz="4" w:space="0"/>
              <w:right w:val="single" w:color="000000" w:sz="4" w:space="0"/>
            </w:tcBorders>
            <w:tcW w:w="327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400万像素智慧监控单元</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支持3D数字降噪功能。</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支持机动车辆抓拍，内置车牌识别、车身颜色识别、车型识别功能，车辆主子品牌识别功能。</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传感器类型：1/1.8”CMOS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触发输出：1路F+F-输出接口，可作为补光灯控制接口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通讯接口：1个RS-485接口，1个RS-232接口，1个RJ45 10M/100M自适应以太网口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图片分辨率：2688 × 1520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图片格式：JPEG</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内部组件：电源适配器</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外部辅件：自带安装万向节</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快门：1秒~1/100，000秒</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压缩输出码率：32 Kbps~16 Mbps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图像设置：饱和度，亮度，对比度，白平衡，增益通过软件可调</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通用功能：心跳，密码保护，NTP校时</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帧率：25fps（2688 × 1520）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支持协议：TCP/IP，HTTP，DNS，RTP，RTSP，NTP，支持FTP上传图片</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视频分辨率：2688（H）×1520（V）</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最小照度：彩色：0.001Lux @（F1.2，AGC ON）</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黑白：0.0001 Lux @（F1.2，AGC ON）</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存储功能：TF</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视频压缩标准：H.264;H.265;MJPEG</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闪光灯控制：闪光灯自动光控、时控可选</w:t>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1720"/>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双镜头结构化枪机</w:t>
            </w:r>
            <w:r/>
          </w:p>
        </w:tc>
        <w:tc>
          <w:tcPr>
            <w:shd w:val="clear" w:color="auto" w:fill="auto"/>
            <w:tcBorders>
              <w:top w:val="single" w:color="000000" w:sz="4" w:space="0"/>
              <w:left w:val="single" w:color="000000" w:sz="4" w:space="0"/>
              <w:bottom w:val="single" w:color="000000" w:sz="4" w:space="0"/>
              <w:right w:val="single" w:color="000000" w:sz="4" w:space="0"/>
            </w:tcBorders>
            <w:tcW w:w="327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400万 星光级1/1.8" CMOS AI多摄智能网络摄像机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支持智能资源模式切换：全结构化（默认）、人脸抓拍、人脸比对、道路监控、Smart事件</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设备支持上下双通道镜头，上通道内置电动变焦镜头，操作便易，变焦过程平稳；下通道定焦全彩镜头，满足低照度下的监控需求</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设备内置高效温和补光灯，告别光污染，保证夜间正常进行人脸抓拍</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支持GB35114  A级安全加密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 通道1：1/1.8" Progressive Scan CMOS；通道2：1/1.8" Progressive Scan 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通道1：彩色：0.0005 Lux @（F1.2，AGC ON），0 Lux with Light；黑白：0.0001 Lux @（F1.2，AGC ON），0 Lux with IR</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通道2：彩色：0.0003 Lux @（F1.0，AGC ON），0 Lux with Light；黑白：0.0001 Lux @（F1.0，AGC ON），0 Lux with IR</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 120 dB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  通道1：8~32 mm，通道2：4mm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补光灯类型: 混合补光（支持白光模式和混光模式）</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最大图像尺寸: 通道1：2688 x 1520；通道2：2688 x 1520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 H.265/H.264/MJPEG</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网络存储: 支持Micro SD(即TF卡)/Micro SDHC/Micro SDXC卡（最大256 GB）断网本地存储及断网续传，NAS（NFS，SMB/CIFS均支持），配合海康黑卡支持SD卡加密及SD卡状态检测</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视频输出: 1 Vp-p复合输出（75 Ω/CVBS）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 1个RJ45 10 M/100 M/1000 M自适应以太网口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 2个内置麦克风，1个内置扬声器；2路输入，1路输出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 3路输入，2路输出（报警输入支持开关量，报警输出最大支持DC12 V，30 mA）</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RS-485:</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复位: 支持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 IP67</w:t>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1720"/>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双镜头结构化球型摄像机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327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400万+600万25倍拼接版全彩枪球一体机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全景采用2个F1.0大光圈全彩镜头，可输出190°大场景拼接画面</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支持多种智能资源切换：【全景】Smart事件（默认），人员密度；【细节】Smart事件（默认），全结构化，混合目标比对，智能交通，人员布控</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支持AR功能，摄像机的实时视频画面中添加最多500个AR标签，且可实现标签与标签联动的功能</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Smart事件：支持全景路对设定区域进行布防，当检测到目标时联动细节摄像机对目标进行跟随及报警，实现周界布防，全景Smart事件检测距离50米</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内置喇叭，支持声光警戒，报警联动白光闪烁报警和声音报警，声音内容可选</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人员密度检测：全景支持人员密度检测功能，输出实时人数概况及拥堵等级，可根据人数和占空比配置密度等级</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人员布控：支持前端实时建模比对，对人脸和人体进行布控跟踪，跟踪过程中目标经纬度信息实时上传，构建时空域场景</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AI-ISP降噪：采用去噪卷积神经网络将深度结构、学习算法用于图像去噪，最终使画面成像更新清晰，噪点更小图像更干净</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支持GB35114A级安全加密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传感器类型：【全景】1/1.8＂ progressive scan CMOS,【细节】1/1.8＂ progressive scan 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最低照度：【全景】彩色 0.0005Lux ，黑白0.0001Lux；【细节】彩色 0.0005Lux，黑白0.0001Lux;</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变倍：数字变倍：【全景】不支持；【细节】16倍</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光学变倍：【细节】25倍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焦距：【全景】2.8mm；【细节】5.9~147.5mm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视场角： 【全景】水平190°±5°，垂直80°±5°；【细节】59.8°~2.7°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防补光过曝：支持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水平范围：【全景】不支持；【细节】0-360°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垂直范围：【全景】12°~24°；【细节】-20-90°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水平速度：【全景】不支持；【细节】水平键控速度：0.1°-160°/s,速度可设;水平预置点速度：240°/s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垂直速度：【全景】垂直键控速度可设；【细节】垂直键控速度：0.1°-120°/s,速度可设;垂直预置点速度：200°/s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主码流帧率分辨率：【全景】50 Hz：25 fps（3632 × 1632）；60 Hz：30 fps（3632 × 1632）；【细节】50 Hz：25 fps（2688 × 1520 ）;60 Hz：30 fps（2688 × 1520）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视频压缩标准：H.265,H.264,MJPEG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宽动态：【全景】数字宽动态；【细节】120dB超宽动态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陀螺仪：支持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网络接口：支持100 M网络数据，RJ45网口，自适应网络数据</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SD卡扩展：内置Micro SD卡插槽,支持Micro SD/Micro SDHC/Micro SDXC卡,最大支持512G</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报警：7路报警输入，2路报警输出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音频：1路音频输入，1路音频输出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RS-485：采用半双工模式</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恢复出厂设置：支持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防护：IP67; 6000V 防雷、防浪涌、防突波，符合GB/T17626.2/3/4/5/6四级标准 </w:t>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安装辅材</w:t>
            </w:r>
            <w:r/>
          </w:p>
        </w:tc>
        <w:tc>
          <w:tcPr>
            <w:shd w:val="clear" w:color="auto" w:fill="auto"/>
            <w:tcBorders>
              <w:top w:val="single" w:color="000000" w:sz="4" w:space="0"/>
              <w:left w:val="single" w:color="000000" w:sz="4" w:space="0"/>
              <w:bottom w:val="single" w:color="000000" w:sz="4" w:space="0"/>
              <w:right w:val="single" w:color="000000" w:sz="4" w:space="0"/>
            </w:tcBorders>
            <w:tcW w:w="327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前端设备更换过程中使用的线缆、紧固件等</w:t>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项</w:t>
            </w:r>
            <w:r/>
          </w:p>
        </w:tc>
      </w:tr>
    </w:tbl>
    <w:p>
      <w:pPr>
        <w:numPr>
          <w:ilvl w:val="0"/>
          <w:numId w:val="17"/>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（1）日常运维保障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1）提供7×24小时不间断的运维服务，每日主动进行不少于2次的人工巡查，主动发现并处理故障及绿化遮挡等问题。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2）每周一至周六9：00至17：00派驻不少于1名维护人员在滨湖公安分局驻场。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3）驻场人员每日完成2轮前端视频巡查及后台设备巡查，确保视频在线率及图像质量，发现故障立即处置。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4）提供统一的障碍申告号码及故障管理系统，维护人员通过电脑和手机接收故障单，实现运维记录透明化。</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5）在7×8小时工作时间内设置专人职守热线电话，非工作时间设置专人7×24小时接听移动电话热线。</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6）提供7×24小时电话支持，接到电话后立即处理，4小时内未解决则安排技术人员上门服务；疑难或重大问题1小时到达现场。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7）监控中心维护操作：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网络应用终端：常用软件故障排除及恢复、病毒防范及消除、硬盘垃圾清理、电脑外设安装调试、系统安装调试与维护、应急及系统恢复。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网络服务系统：服务器软硬件系统、网络线缆线路、网络交换路由设备、备用电源检测等维护。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每日：测量监控中心温度、湿度，检查机柜内温度、各类电源及稳压电源电压；检查各类接线头牢固、锈蚀情况。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每日：检查存储操作系统，版本升级、补丁升级、运行情况；硬盘录像机存储空间检查。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每日：检查监控中心设备软件版本、客户端监控软件版本及运行情况；机柜内监控设备全部清洁；各类关键设备参数备份。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每日：机房内电源接地电阻情况检查；用户端机房UPS电源供电检查及状态检查。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监控中心所有设备接地，采用一点接地方式。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8）传输线路维护：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每日：检查各类线路完好率、是否有其它线路影响；检查网络传输性能、光电设备运行、交换机端口状态；设备清洁，摆放有序。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每日：检查线缆标签粘贴位置、方向、牢固度，标签完整干净，尺寸适中，损坏、陈旧及时更换。所有线缆两端贴标签，粘贴在末端距离端头2cm处。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每日：音视频线、控制线、网络线标签内容符合规范。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（2）定期巡检与保养</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1）机房环境及配套设施运维：每周1次周巡检；每日4次日巡检（上班前、中午上下班前、下班前）。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2）网络及安全系统运维：每周1次周巡检；每日4次日巡检（上班前、中午上下班前、下班前）。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3）服务器及存储系统运维：每周1次周巡检；每日4次日巡检（上班前重要应用系统、上班后硬件设备及操作系统、中午上班前重要应用、下班前硬件及操作系统巡检），并进行日常性能监控和资源利用率分析。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4）信息系统运维：每周1次周巡检；每日4次日巡检（上班前、中午上下班前、下班前信息系统巡检）。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5）通讯线路运维：每周1次周巡检；每日4次日巡检（上班前、中午上下班前、下班前）。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前端设备外场巡检：网管监控使用诊断工具扫描（实时）；驻场工程师图像监看（每日）；摄像机检查使用诊断工具扫描（实时）；现场电气环境检查（每季度）；摄像头性能检查（每季度）；清洁机柜内设备（每季度）；清洁摄像机外罩、护罩、遮挡树枝（每月）；填写巡检记录、编写客户端巡检报告（每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7）前端立杆及机箱保养：每三个月为一个周期，进行表面防腐处理、电气设备清洁检查、性能测试和参数记录。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8）接地电阻测试：每6个月一次；每年3月份雷雨季节前，对所有监控点接地电阻进行测试和数据记录，检查避雷设备，更换被雷击穿避雷器。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（3）应急处置与重大活动保障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1）提供7×24小时应急响应，故障解决后24小时内提交故障处理报告。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2）重大安保活动前，对相关区域的前端设备、传输设备、中心机房设备等开展细致的临时维护；根据要求提供重大活动或突发事件现场技术保障及人脸抓拍二次甄别推送服务。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3）针对重大节日及公安安保事件成立“特殊事件维护小组”，重要节日每2天巡检1次，特殊重大活动尽量做到1天1次。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4）当发生外部黑客入侵、数据泄露、木马病毒、勒索病毒、通报事件等突发安全事件时，提供应急响应服务，协助用户快速止损，并出具事件报告（不限次数）。</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5）遭遇灾害天气，提前检查加固外场设备，做好保护措施；台风季节加强易进水设备巡查；雷雨季节前加强防雷系统检查。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（4）数据共享与对接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1）本项目产生的所有数据应照要求将相关信息资源汇聚到区数据局和城运中心。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2）免费配合滨湖公安分局做好系统、数据对接开发。</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3）无条件开放本项目中的所有平台及数据的对接接口，供滨湖公安分局指定的第三方系统调用。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（5）专项维护工作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前端系统维护：含设备故障修复、损坏替换、图像遮挡处理；立杆设施故障修复、损坏恢复，协同处理因道路修缮等产生的点位迁移；前端设备损坏替换过程中所有安装辅材（前端设备箱、避雷器、电源线、网线、支架等）的维护更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2）中心系统维护：含中心存储设备、服务器设备、网络设备的故障修复、损坏维修与更换；软件配置修改调整、故障排查、问题修复，确保系统可用性。</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3）机房环境系统维护：含机房空调新风系统部件更换、冷媒添加；消防系统设施维护及药剂更换；UPS及电池维护与更换；防雷接地、灯光照明、综合布线系统故障修复；机房墙面轻微损坏、静电地板损坏修复。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4）线路租赁：向运营商租赁VPN链路437条（前端摄像机340条，社会面汇聚接入97条），租赁期限1年。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5）机柜租赁：向运营商机房租赁3个机柜放置中心设备，租赁期限1年。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6）每季度开展1次前端摄像头保洁并修剪遮挡绿植，工作完成后书面报滨湖公安分局确认。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7）对无法修复的设备，使用性能不低于原设备的备件进行免费更换，更换作业在2小时内完成；备件需符合备件数量及性能要求。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8）提供设备软件升级服务、管理人员技术培训指导、系统软件升级和优化，并按需进行免费个性化定制或修改。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9）负责所有前端点位的坐标采集、名称标注、上图展示；按公安要求负责立杆、设备箱等的颜色和监控标识牌制作。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10）自行勘察点位杆件情况，杆件灭失或不符合安全要求时免费新建或整改；新建杆件需拍照存档并提供检测合格报告。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11）在维护期内，甲方如有移位、迁移需求，在点位总数10%以内的，免费按新点位要求安装；超过10%的双方协商处理。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12）遇道路临时开挖、改建、施工等情况，负责设施维修、拆除或重建等所有费用。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13）设施设备被偷盗、交通事故、雷击、风暴、地震等原因损坏或丢失的，在规定时间内修复或更换，相关费用由维护服务单位承担。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14）数据协助服务：在打处、维稳、反恐等工作中按需提供大数据支撑服务。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15）乙方有权提出变更申请，经甲方同意后变更。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16）服务期满后，若由第三方提供后续服务，应提供便利并提交相关建设及运维资料。</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17）乙方与原维保单位做好交接工作，不得影响系统正常使用。</w:t>
      </w:r>
      <w:r/>
    </w:p>
    <w:p>
      <w:pPr>
        <w:numPr>
          <w:ilvl w:val="0"/>
          <w:numId w:val="17"/>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（1）系统可用性指标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1）前端设备在线率不低于98%。</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2）前端设备24小时内修复率不低于90%。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3）使用方满意度不低于90%。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4）系统每月完好率（前端图像、抓拍图片在系统内可正常使用）达到98%（不可抗力和免责条款除外）。</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5）保证整体系统可用性达到100%。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6）视频存储不低于30天，图片数据存储时间不低于180天。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（2）故障响应与修复时效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1）服务响应时间：接到服务请求后1小时内响应。</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2）现场到达时间：接到故障通知后30分钟内到达现场；接到公安局电话或书面检修通知后，指定技术人员15分钟内响应，60分钟内到达故障现场。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3）前端故障修复时间：小于24小时。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4）设备更换时间：在2小时内完成。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5）中心及平台故障修复时间：小于8小时（不可抗力除外）。</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6）摄像头污损、绿化遮挡等影响画面质量的，需在接到通知后48小时内清洁、处理完毕。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7）机房环境、网络、服务器等故障：现场15分钟响应，60分钟内提交故障处理方案，8小时内解决故障。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8）硬件设备维修：要求2个工作日内处理完成，确实难以在短期内解决的，可与用户协商先行使用替代设备或材料延长处理时间。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9）对于“系统瘫痪，业务系统不能运转”级别故障，到达现场后8小时内不能解决的，应在12小时内提出应急方案。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10）故障解决后24小时内，提交故障处理报告，说明故障种类、原因、解决方法及损失情况。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（3）人员与备件要求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1）组建项目专属服务团队，至少派驻1名维护人员常驻滨湖公安分局。驻场人员响应标准为7×24全天候响应，维护模式为7×8值班维护驻场服务。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机房环境维护配置弱电、强电工程师；业务系统维护配置网络专家、ITSS项目经理等不少于3人；网络及安全系统运维配置网络专家、安全工程师、ITSS项目经理等不少于3人；服务器及存储系统运维配置信息系统管理师、数据库专家、ITSS项目经理等不少于3人；信息系统维护配置网络专家、软件数据库支持工程师（厂家驻场运维1人）、服务提供商ITSS项目经理、服务工程师等不少于4人；通讯类运维配置ITSS服务工程师、网络工程师等不少于5人；前端设备外场协助人员若干。</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备品备件：备有道路监控枪式摄像机5台、人脸抓拍摄像机5台、出入口抓拍单元10台、双镜头结构化枪机15台、双镜头结构化球型摄像机5台、云存储存储主机内硬盘(6T)24块，备件库中应有高于或等同数量和性能要求的备品备件。</w:t>
      </w:r>
      <w:r/>
    </w:p>
    <w:tbl>
      <w:tblPr>
        <w:tblStyle w:val="779"/>
        <w:tblW w:w="495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62"/>
        <w:gridCol w:w="1285"/>
        <w:gridCol w:w="5779"/>
        <w:gridCol w:w="762"/>
        <w:gridCol w:w="489"/>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18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性能参数</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单位</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道路监控枪式摄像机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318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智能筒型网络摄像机，支持鳞镜补光，夜间成像效果更出色</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支持智能资源模式：人脸抓拍、道路监控、Smart事件，多种智能模式可按需切换</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采用隐藏式灯珠设计，通过鳞甲密布排列形成的镜面反射出光，见光不见灯；增加发光面积，降低聚光效果，补光柔和均匀</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支持开放型网络视频接口、ISAPI、GB/T28181协议接入；支持三码流技术，支持同时20路取流；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支持三级用户权限管理，支持授权的用户和密码，支持IP地址过滤；</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支持GB35114 A级安全加密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传感器类型：1/1.8" Progressive Scan 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最低照度：彩色：0.002 Lux ，0 Lux with Light</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黑白：0.0002 Lux，0 Lux with IR</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宽动态：120 dB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焦距：2.8~4 mm或4~6 mm或6~9 mm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补光灯类型：鳞镜补光，默认红外850 nm，可切换至暖白光，4颗灯珠</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补光距离：白光：普通监控：最远可达30 m，人脸抓拍/识别：最远可达5 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红外：普通监控：最远可达50 m，人脸抓拍/识别：最远可达10 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防补光过曝：支持防补光过曝开启和关闭，开启下支持自动和手动，手动支持根据距离等级控制补光灯亮度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最大图像尺寸：2560 × 1440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视频压缩标准：H.265/H.264/MJPEG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网络：1个RJ45 10 M/100 M自适应以太网口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SD卡扩展：内置MicroSD/MicroSDHC/MicroSDXC插槽，最大支持512 GB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音频：1路输入（Line in），1路输出（Line out），2个内置麦克风，1个内置扬声器</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报警：1路输入，1路输出（报警输入支持开关量，报警输出最大支持DC12 V，30 mA）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RS-485：1个RS-485接口，半双工模式，支持自适应PELCO-P和PELCO-D协议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复位：支持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电源输出：DC12 V，100 mA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供电方式：DC：12 V ± 20%，支持防反接保护；PoE：802.3at，Type 2，Class 4</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防护：IP67 </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人脸抓拍摄像机</w:t>
            </w:r>
            <w:r/>
          </w:p>
        </w:tc>
        <w:tc>
          <w:tcPr>
            <w:shd w:val="clear" w:color="auto" w:fill="auto"/>
            <w:tcBorders>
              <w:top w:val="single" w:color="000000" w:sz="4" w:space="0"/>
              <w:left w:val="single" w:color="000000" w:sz="4" w:space="0"/>
              <w:bottom w:val="single" w:color="000000" w:sz="4" w:space="0"/>
              <w:right w:val="single" w:color="000000" w:sz="4" w:space="0"/>
            </w:tcBorders>
            <w:tcW w:w="318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支持GB35114安全加密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400W智能筒型网络摄像机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采用深度学习算法，以海量图片及视频资源为路基，通过机器自身提取目标特征，形成深层可供学习的图像。极大的提升了算法的检出率</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支持智能资源模式切换：人脸抓拍、道路监控、Smart事件、人数统计、热度图</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采用隐藏式灯珠设计，通过鳞甲密布排列形成的镜面反射出光，见光不见灯。增加发光面积，降低聚光效果，补光柔和均匀</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设备内置电动变焦镜头，操作便易，变焦过程平稳</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宽动态：120 dB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最低照度：彩色：0.0005 Lux @（F1.2，AGC ON），0 Lux with Light</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黑白：0.0001 Lux @（F1.2，AGC ON），0 Lux with IR</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传感器类型：1/1.8" Progressive Scan CMOS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焦距&amp;视场角：8~32 mm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补光灯类型：鳞镜补光，默认混光（850 nm+暖白），4颗灯珠</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防补光过曝：支持防补光过曝开启和关闭，开启下支持自动和手动，手动支持根据距离等级控制补光灯亮度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最大图像尺寸：2560 × 1440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视频压缩标准：H.265/H.264/MJPEG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网络：1个RJ45 10 M/100 M自适应以太网口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SD卡扩展：内置MicroSD/MicroSDHC/MicroSDXC插槽，最大支持256 GB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复位：支持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音频：2路输入（Line in），1路输出（Line out），2个内置麦克风，1个内置扬声器</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报警：3路输入，2路输出（报警输入支持开关量，报警输出最大支持DC12 V，30 mA）</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电源输出：DC12 V，100 mA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恢复出厂设置：支持RESET按键，客户端或浏览器恢复</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供电方式：DC：12 V ± 20%，支持防反接保护</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防护：IP67 </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出入口抓拍单元</w:t>
            </w:r>
            <w:r/>
          </w:p>
        </w:tc>
        <w:tc>
          <w:tcPr>
            <w:shd w:val="clear" w:color="auto" w:fill="auto"/>
            <w:tcBorders>
              <w:top w:val="single" w:color="000000" w:sz="4" w:space="0"/>
              <w:left w:val="single" w:color="000000" w:sz="4" w:space="0"/>
              <w:bottom w:val="single" w:color="000000" w:sz="4" w:space="0"/>
              <w:right w:val="single" w:color="000000" w:sz="4" w:space="0"/>
            </w:tcBorders>
            <w:tcW w:w="318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400万像素智慧监控单元</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支持3D数字降噪功能。</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支持机动车辆抓拍，内置车牌识别、车身颜色识别、车型识别功能，车辆主子品牌识别功能。</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传感器类型：1/1.8”CMOS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触发输出：1路F+F-输出接口，可作为补光灯控制接口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通讯接口：1个RS-485接口，1个RS-232接口，1个RJ45 10M/100M自适应以太网口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图片分辨率：2688 × 1520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图片格式：JPEG</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内部组件：电源适配器</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外部辅件：自带安装万向节</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快门：1秒~1/100，000秒</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压缩输出码率：32 Kbps~16 Mbps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图像设置：饱和度，亮度，对比度，白平衡，增益通过软件可调</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通用功能：心跳，密码保护，NTP校时</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帧率：25fps（2688 × 1520）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支持协议：TCP/IP，HTTP，DNS，RTP，RTSP，NTP，支持FTP上传图片</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视频分辨率：2688（H）×1520（V）</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最小照度：彩色：0.001Lux @（F1.2，AGC ON）</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黑白：0.0001 Lux @（F1.2，AGC ON）</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存储功能：TF</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视频压缩标准：H.264;H.265;MJPEG</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闪光灯控制：闪光灯自动光控、时控可选</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双镜头结构化枪机</w:t>
            </w:r>
            <w:r/>
          </w:p>
        </w:tc>
        <w:tc>
          <w:tcPr>
            <w:shd w:val="clear" w:color="auto" w:fill="auto"/>
            <w:tcBorders>
              <w:top w:val="single" w:color="000000" w:sz="4" w:space="0"/>
              <w:left w:val="single" w:color="000000" w:sz="4" w:space="0"/>
              <w:bottom w:val="single" w:color="000000" w:sz="4" w:space="0"/>
              <w:right w:val="single" w:color="000000" w:sz="4" w:space="0"/>
            </w:tcBorders>
            <w:tcW w:w="318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400万 星光级1/1.8" CMOS AI多摄智能网络摄像机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支持智能资源模式切换：全结构化（默认）、人脸抓拍、人脸比对、道路监控、Smart事件</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设备支持上下双通道镜头，上通道内置电动变焦镜头，操作便易，变焦过程平稳；下通道定焦全彩镜头，满足低照度下的监控需求</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设备内置高效温和补光灯，告别光污染，保证夜间正常进行人脸抓拍</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支持GB35114  A级安全加密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 通道1：1/1.8" Progressive Scan CMOS；通道2：1/1.8" Progressive Scan 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通道1：彩色：0.0005 Lux @（F1.2，AGC ON），0 Lux with Light；黑白：0.0001 Lux @（F1.2，AGC ON），0 Lux with IR</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通道2：彩色：0.0003 Lux @（F1.0，AGC ON），0 Lux with Light；黑白：0.0001 Lux @（F1.0，AGC ON），0 Lux with IR</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 120 dB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  通道1：8~32 mm，通道2：4mm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补光灯类型: 混合补光（支持白光模式和混光模式）</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最大图像尺寸: 通道1：2688 x 1520；通道2：2688 x 1520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 H.265/H.264/MJPEG</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网络存储: 支持Micro SD(即TF卡)/Micro SDHC/Micro SDXC卡（最大256 GB）断网本地存储及断网续传，NAS（NFS，SMB/CIFS均支持），配合海康黑卡支持SD卡加密及SD卡状态检测</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视频输出: 1 Vp-p复合输出（75 Ω/CVBS）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 1个RJ45 10 M/100 M/1000 M自适应以太网口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 2个内置麦克风，1个内置扬声器；2路输入，1路输出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 3路输入，2路输出（报警输入支持开关量，报警输出最大支持DC12 V，30 mA）</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RS-485:</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复位: 支持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 IP67</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双镜头结构化球型摄像机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318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400万+600万25倍拼接版全彩枪球一体机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全景采用2个F1.0大光圈全彩镜头，可输出190°大场景拼接画面</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支持多种智能资源切换：【全景】Smart事件（默认），人员密度；【细节】Smart事件（默认），全结构化，混合目标比对，智能交通，人员布控</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支持AR功能，摄像机的实时视频画面中添加最多500个AR标签，且可实现标签与标签联动的功能</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Smart事件：支持全景路对设定区域进行布防，当检测到目标时联动细节摄像机对目标进行跟随及报警，实现周界布防，全景Smart事件检测距离50米</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内置喇叭，支持声光警戒，报警联动白光闪烁报警和声音报警，声音内容可选</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人员密度检测：全景支持人员密度检测功能，输出实时人数概况及拥堵等级，可根据人数和占空比配置密度等级</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人员布控：支持前端实时建模比对，对人脸和人体进行布控跟踪，跟踪过程中目标经纬度信息实时上传，构建时空域场景</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AI-ISP降噪：采用去噪卷积神经网络将深度结构、学习算法用于图像去噪，最终使画面成像更新清晰，噪点更小图像更干净</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支持GB35114A级安全加密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传感器类型：【全景】1/1.8＂ progressive scan CMOS,【细节】1/1.8＂ progressive scan 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最低照度：【全景】彩色 0.0005Lux ，黑白0.0001Lux；【细节】彩色 0.0005Lux，黑白0.0001Lux;</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变倍：数字变倍：【全景】不支持；【细节】16倍</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光学变倍：【细节】25倍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焦距：【全景】2.8mm；【细节】5.9~147.5mm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视场角： 【全景】水平190°±5°，垂直80°±5°；【细节】59.8°~2.7°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防补光过曝：支持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水平范围：【全景】不支持；【细节】0-360°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垂直范围：【全景】12°~24°；【细节】-20-90°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水平速度：【全景】不支持；【细节】水平键控速度：0.1°-160°/s,速度可设;水平预置点速度：240°/s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垂直速度：【全景】垂直键控速度可设；【细节】垂直键控速度：0.1°-120°/s,速度可设;垂直预置点速度：200°/s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主码流帧率分辨率：【全景】50 Hz：25 fps（3632 × 1632）；60 Hz：30 fps（3632 × 1632）；【细节】50 Hz：25 fps（2688 × 1520 ）;60 Hz：30 fps（2688 × 1520）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视频压缩标准：H.265,H.264,MJPEG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宽动态：【全景】数字宽动态；【细节】120dB超宽动态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陀螺仪：支持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网络接口：支持100 M网络数据，RJ45网口，自适应网络数据</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SD卡扩展：内置Micro SD卡插槽,支持Micro SD/Micro SDHC/Micro SDXC卡,最大支持512G</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报警：7路报警输入，2路报警输出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音频：1路音频输入，1路音频输出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RS-485：采用半双工模式</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恢复出厂设置：支持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防护：IP67; 6000V 防雷、防浪涌、防突波，符合GB/T17626.2/3/4/5/6四级标准 </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云存储存储主机内硬盘(6T)</w:t>
            </w:r>
            <w:r/>
          </w:p>
        </w:tc>
        <w:tc>
          <w:tcPr>
            <w:shd w:val="clear" w:color="auto" w:fill="auto"/>
            <w:tcBorders>
              <w:top w:val="single" w:color="000000" w:sz="4" w:space="0"/>
              <w:left w:val="single" w:color="000000" w:sz="4" w:space="0"/>
              <w:bottom w:val="single" w:color="000000" w:sz="4" w:space="0"/>
              <w:right w:val="single" w:color="000000" w:sz="4" w:space="0"/>
            </w:tcBorders>
            <w:tcW w:w="318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6T企业级IoT硬盘</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块</w:t>
            </w:r>
            <w:r/>
          </w:p>
        </w:tc>
      </w:tr>
    </w:tbl>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4）维修或更换设备时间超过3个工作日（计算机服务器、网络设备等须在1个工作日内），则必须提供档次不低于送修设备的备件。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（4）安全生产与保密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1）严格执行安全生产规范条例，对施工维护人员进行安全教育，确保合同期内不发生人身伤亡事故和火灾事故，并应参加建筑、安装工程等相关的保险，承担发生的质量、安全事故及责任和经济损失。</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传输链路专用，与其他网络物理隔绝，并不得接入任何其它网络；每条链路上行带宽不得低于100M。前端点位租赁运营商光纤VPN链路数量不得少于核定的数量，含链路两端光传输设备及中心端接入交换设备；租赁运营商VPN链路，带宽100M（部分点位因应用场景需要带宽超过100M，运营商应根据实际需求免费提升带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3）对本项目涉及的软硬件技术资料、监控图像等均负有保密义务，未经许可不得提供给第三方；本项目采集的各类数据归甲方所有，乙方对采集及对接的数据负有保密义务。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4）严禁“一机两用、一机双网”；严禁泄露工作中接触的公安数据、帐号和密码；计算机送出维修必须将硬盘拆下交甲方管理者。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5）前端点位的取电用电、绿化及市政开挖赔补、绿化修剪，行政审批等事宜及相关费用由乙方自行解决；项目实施过程中的拆移赔补等其他杂费由乙方负责并协调相关部门。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（5）运维变更与交接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1）乙方不得擅自改变网络架构及组网方式，不得擅自改变前端设备接入的中心系统、接入方式以及相关平台及安全防护等系统。</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2）未经甲方同意，不得擅自变更相关中心设备在运营商机房的存放位置。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3）不得擅自在杆件上安装与本项目无关的其他设备。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4）维修前后设施设备品牌型号应保持完全一致，如停产应使用性能等于或高于当前的设备替换；设施设备数量必须与维修前保持完全一致。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5）服务期满后，若由第三方提供后续服务，应提供便利并提交建设资料及运维资料。</w:t>
      </w:r>
      <w:r/>
    </w:p>
    <w:p>
      <w:pPr>
        <w:numPr>
          <w:ilvl w:val="0"/>
          <w:numId w:val="17"/>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团队配置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该运维项目采用外包的方式，必须十分注重信息化技术队伍的建设，技术力量和人员配置是指根据项目发展需求，对运维人员进行配置、培训等，做到“人员配备适当”，能全流程管理运维任务。</w:t>
      </w:r>
      <w:r/>
    </w:p>
    <w:tbl>
      <w:tblPr>
        <w:tblStyle w:val="77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4"/>
        <w:gridCol w:w="1324"/>
        <w:gridCol w:w="844"/>
        <w:gridCol w:w="3412"/>
        <w:gridCol w:w="2098"/>
      </w:tblGrid>
      <w:tr>
        <w:trPr>
          <w:jc w:val="center"/>
          <w:tblHeader/>
        </w:trPr>
        <w:tc>
          <w:tcPr>
            <w:shd w:val="clear" w:color="auto" w:fill="ffffff"/>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序号</w:t>
            </w:r>
            <w:r/>
          </w:p>
        </w:tc>
        <w:tc>
          <w:tcPr>
            <w:shd w:val="clear" w:color="auto" w:fill="ffffff"/>
            <w:tcBorders>
              <w:top w:val="single" w:color="auto" w:sz="4" w:space="0"/>
              <w:left w:val="none" w:color="000000" w:sz="4" w:space="0"/>
              <w:bottom w:val="single" w:color="auto" w:sz="4" w:space="0"/>
              <w:right w:val="single" w:color="auto" w:sz="4" w:space="0"/>
            </w:tcBorders>
            <w:tcW w:w="13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岗位</w:t>
            </w:r>
            <w:r/>
          </w:p>
        </w:tc>
        <w:tc>
          <w:tcPr>
            <w:shd w:val="clear" w:color="auto" w:fill="ffffff"/>
            <w:tcBorders>
              <w:top w:val="single" w:color="auto" w:sz="4" w:space="0"/>
              <w:left w:val="none" w:color="000000"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人数</w:t>
            </w:r>
            <w:r/>
          </w:p>
        </w:tc>
        <w:tc>
          <w:tcPr>
            <w:shd w:val="clear" w:color="auto" w:fill="ffffff"/>
            <w:tcBorders>
              <w:top w:val="single" w:color="auto" w:sz="4" w:space="0"/>
              <w:left w:val="none" w:color="000000" w:sz="4" w:space="0"/>
              <w:bottom w:val="single" w:color="auto" w:sz="4" w:space="0"/>
              <w:right w:val="single" w:color="auto" w:sz="4" w:space="0"/>
            </w:tcBorders>
            <w:tcW w:w="34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职责说明</w:t>
            </w:r>
            <w:r/>
          </w:p>
        </w:tc>
        <w:tc>
          <w:tcPr>
            <w:shd w:val="clear" w:color="auto" w:fill="ffffff"/>
            <w:tcBorders>
              <w:top w:val="single" w:color="auto" w:sz="4" w:space="0"/>
              <w:left w:val="none" w:color="000000" w:sz="4" w:space="0"/>
              <w:bottom w:val="single" w:color="auto" w:sz="4" w:space="0"/>
              <w:right w:val="single" w:color="auto" w:sz="4" w:space="0"/>
            </w:tcBorders>
            <w:tcW w:w="209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工作方式</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ffffff"/>
            <w:tcBorders>
              <w:top w:val="single" w:color="auto" w:sz="4" w:space="0"/>
              <w:left w:val="none" w:color="000000" w:sz="4" w:space="0"/>
              <w:bottom w:val="single" w:color="auto" w:sz="4" w:space="0"/>
              <w:right w:val="single" w:color="auto" w:sz="4" w:space="0"/>
            </w:tcBorders>
            <w:tcW w:w="13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总负责人</w:t>
            </w:r>
            <w:r/>
          </w:p>
        </w:tc>
        <w:tc>
          <w:tcPr>
            <w:shd w:val="clear" w:color="auto" w:fill="ffffff"/>
            <w:tcBorders>
              <w:top w:val="single" w:color="auto" w:sz="4" w:space="0"/>
              <w:left w:val="none" w:color="000000"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ffffff"/>
            <w:tcBorders>
              <w:top w:val="single" w:color="auto" w:sz="4" w:space="0"/>
              <w:left w:val="none" w:color="000000" w:sz="4" w:space="0"/>
              <w:bottom w:val="single" w:color="auto" w:sz="4" w:space="0"/>
              <w:right w:val="single" w:color="auto" w:sz="4" w:space="0"/>
            </w:tcBorders>
            <w:tcW w:w="34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项目总负责、负责项目指导，重大决策（无锡市公安局滨湖分局通信组）</w:t>
            </w:r>
            <w:r/>
          </w:p>
        </w:tc>
        <w:tc>
          <w:tcPr>
            <w:shd w:val="clear" w:color="auto" w:fill="ffffff"/>
            <w:tcBorders>
              <w:top w:val="single" w:color="auto" w:sz="4" w:space="0"/>
              <w:left w:val="none" w:color="000000" w:sz="4" w:space="0"/>
              <w:bottom w:val="single" w:color="auto" w:sz="4" w:space="0"/>
              <w:right w:val="single" w:color="auto" w:sz="4" w:space="0"/>
            </w:tcBorders>
            <w:tcW w:w="209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公安负责项目管理监督</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p>
        </w:tc>
        <w:tc>
          <w:tcPr>
            <w:shd w:val="clear" w:color="auto" w:fill="ffffff"/>
            <w:tcBorders>
              <w:top w:val="single" w:color="auto" w:sz="4" w:space="0"/>
              <w:left w:val="none" w:color="000000" w:sz="4" w:space="0"/>
              <w:bottom w:val="single" w:color="auto" w:sz="4" w:space="0"/>
              <w:right w:val="single" w:color="auto" w:sz="4" w:space="0"/>
            </w:tcBorders>
            <w:tcW w:w="13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运维服务负责人</w:t>
            </w:r>
            <w:r/>
          </w:p>
        </w:tc>
        <w:tc>
          <w:tcPr>
            <w:shd w:val="clear" w:color="auto" w:fill="ffffff"/>
            <w:tcBorders>
              <w:top w:val="single" w:color="auto" w:sz="4" w:space="0"/>
              <w:left w:val="none" w:color="000000"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ffffff"/>
            <w:tcBorders>
              <w:top w:val="single" w:color="auto" w:sz="4" w:space="0"/>
              <w:left w:val="none" w:color="000000" w:sz="4" w:space="0"/>
              <w:bottom w:val="single" w:color="auto" w:sz="4" w:space="0"/>
              <w:right w:val="single" w:color="auto" w:sz="4" w:space="0"/>
            </w:tcBorders>
            <w:tcW w:w="34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负责项目的运维外包执行（无锡市公安局滨湖分局通信组）</w:t>
            </w:r>
            <w:r/>
          </w:p>
        </w:tc>
        <w:tc>
          <w:tcPr>
            <w:shd w:val="clear" w:color="auto" w:fill="ffffff"/>
            <w:tcBorders>
              <w:top w:val="single" w:color="auto" w:sz="4" w:space="0"/>
              <w:left w:val="none" w:color="000000" w:sz="4" w:space="0"/>
              <w:bottom w:val="single" w:color="auto" w:sz="4" w:space="0"/>
              <w:right w:val="single" w:color="auto" w:sz="4" w:space="0"/>
            </w:tcBorders>
            <w:tcW w:w="209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公安负责项目的具体实施</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w:t>
            </w:r>
            <w:r/>
          </w:p>
        </w:tc>
        <w:tc>
          <w:tcPr>
            <w:shd w:val="clear" w:color="auto" w:fill="ffffff"/>
            <w:tcBorders>
              <w:top w:val="single" w:color="auto" w:sz="4" w:space="0"/>
              <w:left w:val="none" w:color="000000" w:sz="4" w:space="0"/>
              <w:bottom w:val="single" w:color="auto" w:sz="4" w:space="0"/>
              <w:right w:val="single" w:color="auto" w:sz="4" w:space="0"/>
            </w:tcBorders>
            <w:tcW w:w="13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技术负责</w:t>
            </w:r>
            <w:r/>
          </w:p>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（外包）</w:t>
            </w:r>
            <w:r/>
          </w:p>
        </w:tc>
        <w:tc>
          <w:tcPr>
            <w:shd w:val="clear" w:color="auto" w:fill="ffffff"/>
            <w:tcBorders>
              <w:top w:val="single" w:color="auto" w:sz="4" w:space="0"/>
              <w:left w:val="none" w:color="000000"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ffffff"/>
            <w:tcBorders>
              <w:top w:val="single" w:color="auto" w:sz="4" w:space="0"/>
              <w:left w:val="none" w:color="000000" w:sz="4" w:space="0"/>
              <w:bottom w:val="single" w:color="auto" w:sz="4" w:space="0"/>
              <w:right w:val="single" w:color="auto" w:sz="4" w:space="0"/>
            </w:tcBorders>
            <w:tcW w:w="34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负责项目运维的具体实施（运维外包团队项目经理、技术负责人）。</w:t>
            </w:r>
            <w:r/>
          </w:p>
        </w:tc>
        <w:tc>
          <w:tcPr>
            <w:shd w:val="clear" w:color="auto" w:fill="ffffff"/>
            <w:tcBorders>
              <w:top w:val="single" w:color="auto" w:sz="4" w:space="0"/>
              <w:left w:val="none" w:color="000000" w:sz="4" w:space="0"/>
              <w:bottom w:val="single" w:color="auto" w:sz="4" w:space="0"/>
              <w:right w:val="single" w:color="auto" w:sz="4" w:space="0"/>
            </w:tcBorders>
            <w:tcW w:w="209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负责组织协调、服务流程闭环监督</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w:t>
            </w:r>
            <w:r/>
          </w:p>
        </w:tc>
        <w:tc>
          <w:tcPr>
            <w:shd w:val="clear" w:color="auto" w:fill="ffffff"/>
            <w:tcBorders>
              <w:top w:val="single" w:color="auto" w:sz="4" w:space="0"/>
              <w:left w:val="none" w:color="000000" w:sz="4" w:space="0"/>
              <w:bottom w:val="single" w:color="auto" w:sz="4" w:space="0"/>
              <w:right w:val="single" w:color="auto" w:sz="4" w:space="0"/>
            </w:tcBorders>
            <w:tcW w:w="13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业务协助</w:t>
            </w:r>
            <w:r/>
          </w:p>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（外包）</w:t>
            </w:r>
            <w:r/>
          </w:p>
        </w:tc>
        <w:tc>
          <w:tcPr>
            <w:shd w:val="clear" w:color="auto" w:fill="ffffff"/>
            <w:tcBorders>
              <w:top w:val="single" w:color="auto" w:sz="4" w:space="0"/>
              <w:left w:val="none" w:color="000000"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ffffff"/>
            <w:tcBorders>
              <w:top w:val="single" w:color="auto" w:sz="4" w:space="0"/>
              <w:left w:val="none" w:color="000000" w:sz="4" w:space="0"/>
              <w:bottom w:val="single" w:color="auto" w:sz="4" w:space="0"/>
              <w:right w:val="single" w:color="auto" w:sz="4" w:space="0"/>
            </w:tcBorders>
            <w:tcW w:w="34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负责平台运维（运维外包服务驻场服务人员）。</w:t>
            </w:r>
            <w:r/>
          </w:p>
        </w:tc>
        <w:tc>
          <w:tcPr>
            <w:shd w:val="clear" w:color="auto" w:fill="ffffff"/>
            <w:tcBorders>
              <w:top w:val="single" w:color="auto" w:sz="4" w:space="0"/>
              <w:left w:val="none" w:color="000000" w:sz="4" w:space="0"/>
              <w:bottom w:val="single" w:color="auto" w:sz="4" w:space="0"/>
              <w:right w:val="single" w:color="auto" w:sz="4" w:space="0"/>
            </w:tcBorders>
            <w:tcW w:w="209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常驻公安</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w:t>
            </w:r>
            <w:r/>
          </w:p>
        </w:tc>
        <w:tc>
          <w:tcPr>
            <w:shd w:val="clear" w:color="auto" w:fill="ffffff"/>
            <w:tcBorders>
              <w:top w:val="single" w:color="auto" w:sz="4" w:space="0"/>
              <w:left w:val="none" w:color="000000" w:sz="4" w:space="0"/>
              <w:bottom w:val="single" w:color="auto" w:sz="4" w:space="0"/>
              <w:right w:val="single" w:color="auto" w:sz="4" w:space="0"/>
            </w:tcBorders>
            <w:tcW w:w="13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业务协助</w:t>
            </w:r>
            <w:r/>
          </w:p>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（外包）</w:t>
            </w:r>
            <w:r/>
          </w:p>
        </w:tc>
        <w:tc>
          <w:tcPr>
            <w:shd w:val="clear" w:color="auto" w:fill="ffffff"/>
            <w:tcBorders>
              <w:top w:val="single" w:color="auto" w:sz="4" w:space="0"/>
              <w:left w:val="none" w:color="000000" w:sz="4" w:space="0"/>
              <w:bottom w:val="single" w:color="auto" w:sz="4" w:space="0"/>
              <w:right w:val="single" w:color="auto" w:sz="4" w:space="0"/>
            </w:tcBorders>
            <w:tcW w:w="8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w:t>
            </w:r>
            <w:r/>
          </w:p>
        </w:tc>
        <w:tc>
          <w:tcPr>
            <w:shd w:val="clear" w:color="auto" w:fill="ffffff"/>
            <w:tcBorders>
              <w:top w:val="single" w:color="auto" w:sz="4" w:space="0"/>
              <w:left w:val="none" w:color="000000" w:sz="4" w:space="0"/>
              <w:bottom w:val="single" w:color="auto" w:sz="4" w:space="0"/>
              <w:right w:val="single" w:color="auto" w:sz="4" w:space="0"/>
            </w:tcBorders>
            <w:tcW w:w="34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负责前端维修、线路维修（运维外包服务外场服务人员）。</w:t>
            </w:r>
            <w:r/>
          </w:p>
        </w:tc>
        <w:tc>
          <w:tcPr>
            <w:shd w:val="clear" w:color="auto" w:fill="ffffff"/>
            <w:tcBorders>
              <w:top w:val="single" w:color="auto" w:sz="4" w:space="0"/>
              <w:left w:val="none" w:color="000000" w:sz="4" w:space="0"/>
              <w:bottom w:val="single" w:color="auto" w:sz="4" w:space="0"/>
              <w:right w:val="single" w:color="auto" w:sz="4" w:space="0"/>
            </w:tcBorders>
            <w:tcW w:w="209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外场巡检</w:t>
            </w:r>
            <w:r/>
          </w:p>
        </w:tc>
      </w:tr>
    </w:tbl>
    <w:p>
      <w:pPr>
        <w:numPr>
          <w:ilvl w:val="0"/>
          <w:numId w:val="17"/>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人员驻场要求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维护服务单位为本项目至少派驻1名维护人员，驻场人员需同时接受滨湖公安分局的管理。工作时间：维护期内每周一至周六上午9：00至下午17：00。工作地点：滨湖公安分局。维护服务单位需承诺接到故障后30分钟到达现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名驻场人员作内容主要是：每日完成前端视频巡查及后台设备巡查工作2轮，确保公安分局视频在线率及图像质量。发现故障需立即处置，外场服务人员进行排查维修，驻场人员可在分局进行平台端的操作及确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此外滨湖公安通信科每日对“一眼多维感知平台”中的《人脸抓拍数据监测报表》、《卡口过车数据监测报表》和《设备过车数据监测报表》等报表中出现的问题以及日常工作中发现的问题人工复核后形成问题清单，通报给考核对象（一般发送到“滨湖分局运维考核群”）。考核对象安排相关人员按照清单，对照问题及时整改。</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29</w:t>
      </w:r>
      <w:r>
        <w:rPr>
          <w:rFonts w:hint="eastAsia" w:ascii="宋体" w:hAnsi="宋体" w:eastAsia="宋体" w:cs="宋体"/>
          <w:b/>
          <w:bCs/>
          <w:sz w:val="24"/>
          <w:szCs w:val="24"/>
          <w:lang w:eastAsia="zh-CN"/>
        </w:rPr>
        <w:t xml:space="preserve">：安保监控（</w:t>
      </w:r>
      <w:r>
        <w:rPr>
          <w:rFonts w:hint="eastAsia" w:ascii="宋体" w:hAnsi="宋体" w:eastAsia="宋体" w:cs="宋体"/>
          <w:b/>
          <w:bCs/>
          <w:sz w:val="24"/>
          <w:szCs w:val="24"/>
          <w:lang w:val="en-US"/>
        </w:rPr>
        <w:t xml:space="preserve">510</w:t>
      </w:r>
      <w:r>
        <w:rPr>
          <w:rFonts w:hint="eastAsia" w:ascii="宋体" w:hAnsi="宋体" w:eastAsia="宋体" w:cs="宋体"/>
          <w:b/>
          <w:bCs/>
          <w:sz w:val="24"/>
          <w:szCs w:val="24"/>
          <w:lang w:eastAsia="zh-CN"/>
        </w:rPr>
        <w:t xml:space="preserve">二期）维护服务项目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运维期限：8个月（2027年1月1日-2027年8月31日）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服务使用单位：无锡市滨湖区公安分局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numPr>
          <w:ilvl w:val="0"/>
          <w:numId w:val="18"/>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滨湖区安保监控（510二期）项目建设内容包括：</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环保型卡口抓拍系统：环保型卡口抓拍单元（300万像素）10套，环保型卡口抓拍单元（900万像素）28套，卡口全景摄像机28个，卡口终端服务器14台；简易抓拍系统：800万为微卡口单元18套；高空监控系统：鹰眼相机5台，800万高倍球机30台；物联信息采集系统53套；移动终端信息采集系统：200套；高清结构化球型摄像机73台，高清结构化枪式摄像机4台；以及相关中心系统（含平台软件、服务器、存储设备及硬盘）、网络传输系统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本项目运维要求：对现有设备进行质保运维8个月，使得整体系统正常运作，确保前端点位在线率、完好率，满足视频存储不低于30天，图片数据存储时间不低于180天。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（1）前端系统维护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1）开展对项目内所建前端感知系统的维护工作，含设备故障修复、损坏替换、图像遮挡处理；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2）开展对前端立杆设施的维护工作，应届解决处理因事故等造成的杆件设施损坏恢复；协同处理因道路修缮等产生的点位迁移等工作；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3）开展对前端设施设备的维护工作，含前端设备损坏替换过程中发生的所有安装辅材，含前端设备箱、避雷器、电源线、网线、支架等辅材的维护更换。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（2）中心系统维护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1）开展对中心存储设备的维护工作，含设备故障修复、损坏替换等所有维护工作，确保整体系统图像可用性，避免录像无法保存的情况；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2）开展对中心服务器设备的维护工作，含设备故障修复、损坏维修、替换等所有维护工作，确保整体系统整体可用性，避免服务器故障造成的长时间系统宕机；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3）开展对中心网络设备的维护工作，含设备故障修复、损坏维修产生的硬件更换、软件配置调试等所有维护工作，确保中心网络系统正常运行。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4）开展对列入维保范围内的应用软件的维护工作，含软件安使用需要开展的配置设置修改及调整、故障排查、问题修复等，确保应用软件的可用性，避免软件系统故障产生的长时间无法使用。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（3）机房环境系统维护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1）开展对空调新风系统的维护工作，含机房空调、新风系统内设备的维护工作，含部件更换、冷媒添加等工作；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2）开展对消防系统的维护工作，含机房消防系统内设施设备的维护工作，含药剂更换等工作；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3）开展对机房环境控制及不间断电源系统的维护工作，含机房环控整体设备维护及不间断电源维护，含电池损坏后更换工作；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开展对机房基础环境的维护工作，包含机房防雷接地系统、灯光照明系统、综合布线系统以及机房基础设施。在各系统发生故障时及时进行修复，并对因外部因素造成的机房墙面轻微损坏、静电地板损坏等进行修复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（4）线路租赁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原建项目的前端点位原有118条裸纤。使用期间有2个点位因为道路改造移机增加了3条裸纤。因此，本项目共计需租赁运营商裸纤121条。租赁期限8个月。另外应提供组网需要的各派出所至运营商机房、运营商机房至滨湖公安机房的裸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（5）机柜租赁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本项目原租赁运营商机房1个机柜放置中心设备，本项目继续租赁运营商机房1个机柜。租赁期限8个月。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bookmarkStart w:id="201" w:name="_Toc911620706"/>
      <w:r>
        <w:rPr>
          <w:rFonts w:hint="eastAsia" w:ascii="宋体" w:hAnsi="宋体" w:eastAsia="宋体" w:cs="宋体"/>
          <w:sz w:val="24"/>
          <w:szCs w:val="24"/>
          <w:lang w:val="en-US" w:eastAsia="zh-CN" w:bidi="ar"/>
        </w:rPr>
        <w:t xml:space="preserve">（6）零星更换摄像机费</w:t>
      </w:r>
      <w:bookmarkEnd w:id="201"/>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因公安治安监控担负着治安防范和打击犯罪的重要作用，维保要求高，相关视频监控级联市公安局、省公安厅和公安部，无锡市公安局对此有严格的考核要求和指标，需时刻保持相关系统、设备的稳定运行，经逐个预览查看，发现有部分道路监控球型摄像机和高清球机图像质量下降，已严重影响业务部门的使用，为此在项目中需零星更换部分摄像机。</w:t>
      </w:r>
      <w:r/>
    </w:p>
    <w:tbl>
      <w:tblPr>
        <w:tblStyle w:val="779"/>
        <w:tblW w:w="495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53"/>
        <w:gridCol w:w="1013"/>
        <w:gridCol w:w="5528"/>
        <w:gridCol w:w="954"/>
        <w:gridCol w:w="629"/>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04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性能参数</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单位</w:t>
            </w:r>
            <w:r/>
          </w:p>
        </w:tc>
      </w:tr>
      <w:tr>
        <w:trPr>
          <w:trHeight w:val="186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双镜头结构化球型摄像机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304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400万+600万25倍拼接版全彩枪球一体机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全景采用2个F1.0大光圈全彩镜头，可输出190°大场景拼接画面</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支持多种智能资源切换：【全景】Smart事件（默认），人员密度；【细节】Smart事件（默认），全结构化，混合目标比对，智能交通，人员布控</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支持AR功能，摄像机的实时视频画面中添加最多500个AR标签，且可实现标签与标签联动的功能</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Smart事件：支持全景路对设定区域进行布防，当检测到目标时联动细节摄像机对目标进行跟随及报警，实现周界布防，全景Smart事件检测距离50米</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内置喇叭，支持声光警戒，报警联动白光闪烁报警和声音报警，声音内容可选</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人员密度检测：全景支持人员密度检测功能，输出实时人数概况及拥堵等级，可根据人数和占空比配置密度等级</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人员布控：支持前端实时建模比对，对人脸和人体进行布控跟踪，跟踪过程中目标经纬度信息实时上传，构建时空域场景</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AI-ISP降噪：采用去噪卷积神经网络将深度结构、学习算法用于图像去噪，最终使画面成像更新清晰，噪点更小图像更干净</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支持GB35114A级安全加密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传感器类型：【全景】1/1.8＂ progressive scan CMOS,【细节】1/1.8＂ progressive scan 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最低照度：【全景】彩色 0.0005Lux ，黑白0.0001Lux；【细节】彩色 0.0005Lux，黑白0.0001Lux;</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变倍：数字变倍：【全景】不支持；【细节】16倍</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光学变倍：【细节】25倍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焦距：【全景】2.8mm；【细节】5.9~147.5mm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视场角： 【全景】水平190°±5°，垂直80°±5°；【细节】59.8°~2.7°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防补光过曝：支持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水平范围：【全景】不支持；【细节】0-360°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垂直范围：【全景】12°~24°；【细节】-20-90°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水平速度：【全景】不支持；【细节】水平键控速度：0.1°-160°/s,速度可设;水平预置点速度：240°/s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垂直速度：【全景】垂直键控速度可设；【细节】垂直键控速度：0.1°-120°/s,速度可设;垂直预置点速度：200°/s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主码流帧率分辨率：【全景】50 Hz：25 fps（3632 × 1632）；60 Hz：30 fps（3632 × 1632）；【细节】50 Hz：25 fps（2688 × 1520 ）;60 Hz：30 fps（2688 × 1520）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视频压缩标准：H.265,H.264,MJPEG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宽动态：【全景】数字宽动态；【细节】120dB超宽动态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陀螺仪：支持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网络接口：支持100 M网络数据，RJ45网口，自适应网络数据</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SD卡扩展：内置Micro SD卡插槽,支持Micro SD/Micro SDHC/Micro SDXC卡,最大支持512G</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报警：7路报警输入，2路报警输出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音频：1路音频输入，1路音频输出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RS-485：采用半双工模式</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恢复出厂设置：支持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防护：IP67; 6000V 防雷、防浪涌、防突波，符合GB/T17626.2/3/4/5/6四级标准 </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186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卡口全景摄像机</w:t>
            </w:r>
            <w:r/>
          </w:p>
        </w:tc>
        <w:tc>
          <w:tcPr>
            <w:shd w:val="clear" w:color="auto" w:fill="auto"/>
            <w:tcBorders>
              <w:top w:val="single" w:color="000000" w:sz="4" w:space="0"/>
              <w:left w:val="single" w:color="000000" w:sz="4" w:space="0"/>
              <w:bottom w:val="single" w:color="000000" w:sz="4" w:space="0"/>
              <w:right w:val="single" w:color="000000" w:sz="4" w:space="0"/>
            </w:tcBorders>
            <w:tcW w:w="304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400万+400万25倍枪球一体机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全景400万单目臻全彩，细节球机400万25倍，采用双镜头设计，兼顾全景细节</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全景采用1个 F1.0大光圈全彩镜头，可输出90°大场景画面，细节采用1/1.8 CMOS传感器25倍光学变倍镜头，高清成像</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支持多种智能资源切换：【全景】Smart事件（默认）；【细节】Smart事件（默认），全结构化，混合目标比对，智能交通，人员布控</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支持AR功能，摄像机的实时视频画面中添加最多500个AR标签，且可实现标签与标签联动的功能</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AI-ISP降噪：采用去噪卷积神经网络将深度结构、学习算法用于图像去噪，最终使画面成像更新清晰，噪点更小图像更干净准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支持GB35114A级安全加密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传感器类型：【全景】1/1.8＂ progressive scan CMOS,【细节】1/1.8＂ progressive scan 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最低照度：【全景】彩色 0.0005Lux @ (F1.0，AGC ON)，黑白0.0001Lux @(F1.0，AGC ON)， 0Lux with Lght；</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【细节】彩色 0.0005Lux @ (F1.5，AGC ON)，黑白:0.0001Lux @(F1.5，AGC ON)， 0Lux with IR；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焦距：【全景】4mm；【细节】5.9~147.5 mm，25倍光学变倍</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视场角：【全景】90°；【细节】59.8°-2.7°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补光灯距离：【全景】暖白光30米；【细节】暖白光50米，红外250米</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防补光过曝：支持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水平范围：【全景】不支持；【细节】0-360°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垂直范围：【全景】7-17°；【细节】-20-90°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水平速度：【全景】不支持；【细节】水平键控速度：0.1°-160°/s,速度可设;水平预置点速度：240°/s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垂直速度：【全景】垂直键控速度可设；【细节】垂直键控速度：0.1°-120°/s,速度可设;垂直预置点速度：200°/s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主码流帧率分辨率：【全景】</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50 Hz：25 fps（2688*1520，2560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60 Hz：30 fps（2688*1520,2560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【细节】</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高帧率：</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50Hz：50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60 Hz：60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常规帧率：</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50 Hz：25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60 Hz：30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视频压缩标准：H.265,H.264,MJPEG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宽动态：支持120dB超宽动态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陀螺仪：支持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网络接口：支持100M网络数据,RJ45网口,自适应网络数据</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SD卡扩展：内置Micro SD卡插槽,支持Micro SD/Micro SDHC/Micro SDXC卡,最大支持512 GB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报警：7路报警输入</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2路报警输出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音频：1路音频输入，1路音频输出，音频峰值：2~2.4 V[p-p]，输入阻抗：1 kΩ ± 10%；线性电平，阻抗：600 Ω</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防护：IP67; 6000V 防雷、防浪涌、防突波，符合GB/T17626.2/3/4/5/6四级标准 </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安装辅材</w:t>
            </w:r>
            <w:r/>
          </w:p>
        </w:tc>
        <w:tc>
          <w:tcPr>
            <w:shd w:val="clear" w:color="auto" w:fill="auto"/>
            <w:tcBorders>
              <w:top w:val="single" w:color="000000" w:sz="4" w:space="0"/>
              <w:left w:val="single" w:color="000000" w:sz="4" w:space="0"/>
              <w:bottom w:val="single" w:color="000000" w:sz="4" w:space="0"/>
              <w:right w:val="single" w:color="000000" w:sz="4" w:space="0"/>
            </w:tcBorders>
            <w:tcW w:w="304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前端设备更换过程中使用的线缆、紧固件等</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项</w:t>
            </w:r>
            <w:r/>
          </w:p>
        </w:tc>
      </w:tr>
    </w:tbl>
    <w:p>
      <w:pPr>
        <w:numPr>
          <w:ilvl w:val="0"/>
          <w:numId w:val="18"/>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（1）日常运维保障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1）提供7×24小时不间断的运维服务，每日主动进行不少于2次的人工巡查，主动发现并处理故障及绿化遮挡等问题。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2）每周一至周六9：00至17：00派驻不少于1名维护人员在滨湖公安分局驻场。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3）驻场人员每日完成2轮前端视频巡查及后台设备巡查，确保视频在线率及图像质量，发现故障立即处置。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4）提供统一的障碍申告号码及故障管理系统，维护人员通过电脑和手机接收故障单，实现运维记录透明化。</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5）在7×8小时工作时间内设置专人职守热线电话，非工作时间设置专人7×24小时接听移动电话热线。</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6）提供7×24小时电话支持，接到电话后立即处理，4小时内未解决则安排技术人员上门服务；疑难或重大问题1小时到达现场。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7）监控中心维护操作：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网络应用终端：常用软件故障排除及恢复、病毒防范及消除、硬盘垃圾清理、电脑外设安装调试、系统安装调试与维护、应急及系统恢复。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网络服务系统：服务器软硬件系统、网络线缆线路、网络交换路由设备、备用电源检测等维护。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每日：测量监控中心温度、湿度，检查机柜内温度、各类电源及稳压电源电压；检查各类接线头牢固、锈蚀情况。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每日：检查存储操作系统，版本升级、补丁升级、运行情况；硬盘录像机存储空间检查。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每日：检查监控中心设备软件版本、客户端监控软件版本及运行情况；机柜内监控设备全部清洁；各类关键设备参数备份。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每日：机房内电源接地电阻情况检查；用户端机房UPS电源供电检查及状态检查。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监控中心所有设备接地，采用一点接地方式。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8）传输线路维护：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每日：检查各类线路完好率、是否有其它线路影响；检查网络传输性能、光电设备运行、交换机端口状态；设备清洁，摆放有序。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每日：检查线缆标签粘贴位置、方向、牢固度，标签完整干净，尺寸适中，损坏、陈旧及时更换。所有线缆两端贴标签，粘贴在末端距离端头2cm处。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每日：音视频线、控制线、网络线标签内容符合规范。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（2）定期巡检与保养</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1）机房环境及配套设施运维：每周1次周巡检；每日4次日巡检（上班前、中午上下班前、下班前）。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2）网络及安全系统运维：每周1次周巡检；每日4次日巡检（上班前、中午上下班前、下班前）。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3）服务器及存储系统运维：每周1次周巡检；每日4次日巡检（上班前重要应用系统、上班后硬件设备及操作系统、中午上班前重要应用、下班前硬件及操作系统巡检），并进行日常性能监控和资源利用率分析。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4）信息系统运维：每周1次周巡检；每日4次日巡检（上班前、中午上下班前、下班前信息系统巡检）。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5）通讯线路运维：每周1次周巡检；每日4次日巡检（上班前、中午上下班前、下班前）。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前端设备外场巡检：网管监控使用诊断工具扫描（实时）；驻场工程师图像监看（每日）；摄像机检查使用诊断工具扫描（实时）；现场电气环境检查（每季度）；摄像头性能检查（每季度）；清洁机柜内设备（每季度）；清洁摄像机外罩、护罩、遮挡树枝（每月）；填写巡检记录、编写客户端巡检报告（每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7）前端立杆及机箱保养：每三个月为一个周期，进行表面防腐处理、电气设备清洁检查、性能测试和参数记录。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8）接地电阻测试：每6个月一次；每年3月份雷雨季节前，对所有监控点接地电阻进行测试和数据记录，检查避雷设备，更换被雷击穿避雷器。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（3）应急处置与重大活动保障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1）提供7×24小时应急响应，故障解决后24小时内提交故障处理报告。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2）重大安保活动前，对相关区域的前端设备、传输设备、中心机房设备等开展细致的临时维护；根据要求应提供重大活动或突发事件现场技术保障及人脸抓拍二次甄别推送服务。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3）针对重大节日及公安安保事件成立“特殊事件维护小组”，重要节日每2天巡检1次，特殊重大活动尽量做到1天1次。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4）当发生外部黑客入侵、数据泄露、木马病毒、勒索病毒、通报事件等突发安全事件时，提供应急响应服务，协助用户快速止损，并出具事件报告（不限次数）。</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5）遭遇灾害天气，提前检查加固外场设备，做好保护措施；台风季节加强易进水设备巡查；雷雨季节前加强防雷系统检查。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（4）数据共享与对接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1）本项目产生的所有数据应照要求将相关信息资源汇聚到区数据局和城运中心。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2）免费配合滨湖公安分局做好系统、数据对接开发。</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3）无条件开放本项目中的所有平台及数据的对接接口，供滨湖公安分局指定的第三方系统调用。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（5）专项维护工作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前端系统维护：含设备故障修复、损坏替换、图像遮挡处理；立杆设施故障修复、损坏恢复，协同处理因道路修缮等产生的点位迁移；前端设备损坏替换过程中所有安装辅材（前端设备箱、避雷器、电源线、网线、支架等）的维护更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2）中心系统维护：含中心存储设备、服务器设备、网络设备的故障修复、损坏维修与更换；软件配置修改调整、故障排查、问题修复，确保系统可用性。</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3）机房环境系统维护：含机房空调新风系统部件更换、冷媒添加；消防系统设施维护及药剂更换；UPS及电池维护与更换；防雷接地、灯光照明、综合布线系统故障修复；机房墙面轻微损坏、静电地板损坏修复。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4）线路租赁：向运营商租赁裸纤121条，租赁期限1年。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5）机柜租赁：向运营商机房租赁1个机柜放置中心设备，租赁期限1年。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6）每季度开展1次前端摄像头保洁并修剪遮挡绿植，工作完成后书面报滨湖公安分局确认。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7）对无法修复的设备，使用性能不低于原设备的备件进行免费更换，更换作业在2小时内完成；备件需符合备件数量及性能要求。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8）应提供设备软件升级服务、管理人员技术培训指导、系统软件升级和优化，并按需进行免费个性化定制或修改。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9）负责所有前端点位的坐标采集、名称标注、上图展示；按公安要求负责立杆、设备箱等的颜色和监控标识牌制作。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10）自行勘察点位杆件情况，杆件灭失或不符合安全要求时免费新建或整改；新建杆件需拍照存档并提供检测合格报告。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11）在维护期内，甲方如有移位、迁移需求，在点位总数10%以内的，免费按新点位要求安装；超过10%的双方协商处理。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12）遇道路临时开挖、改建、施工等情况，负责设施维修、拆除或重建等所有费用。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13）设施设备被偷盗、交通事故、雷击、风暴、地震等原因损坏或丢失的，在规定时间内修复或更换，相关费用由维护服务单位承担。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14）数据协助服务：在打处、维稳、反恐等工作中按需提供大数据支撑服务。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15）乙方有权提出变更申请，经甲方同意后变更。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16）服务期满后，若由第三方提供后续服务，应提供便利并提交相关建设及运维资料。</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17）乙方与原维保单位做好交接工作，不得影响系统正常使用。</w:t>
      </w:r>
      <w:r/>
    </w:p>
    <w:p>
      <w:pPr>
        <w:numPr>
          <w:ilvl w:val="0"/>
          <w:numId w:val="18"/>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（1）系统可用性指标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1）前端设备在线率不低于98%。</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2）前端设备24小时内修复率不低于90%。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3）使用方满意度不低于90%。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4）系统每月完好率（前端图像、抓拍图片在系统内可正常使用）达到98%（不可抗力和免责条款除外）。</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5）保证整体系统可用性达到100%。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6）视频存储不低于30天，图片数据存储时间不低于180天。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（2）故障响应与修复时效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1）服务响应时间：接到服务请求后1小时内响应。</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2）现场到达时间：接到故障通知后30分钟内到达现场；接到公安局电话或书面检修通知后，指定技术人员15分钟内响应，60分钟内到达故障现场。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3）前端故障修复时间：小于24小时。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4）设备更换时间：在2小时内完成。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5）中心及平台故障修复时间：小于8小时（不可抗力除外）。</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6）摄像头污损、绿化遮挡等影响画面质量的，需在接到通知后48小时内清洁、处理完毕。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7）机房环境、网络、服务器等故障：现场15分钟响应，60分钟内提交故障处理方案，8小时内解决故障。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8）硬件设备维修：要求2个工作日内处理完成，确实难以在短期内解决的，可与用户协商先行使用替代设备或材料延长处理时间。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9）对于“系统瘫痪，业务系统不能运转”级别故障，到达现场后8小时内不能解决的，应在12小时内提出应急方案。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10）故障解决后24小时内，提交故障处理报告，说明故障种类、原因、解决方法及损失情况。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（3）人员与备件要求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1）组建项目专属服务团队，至少派驻1名维护人员常驻滨湖公安分局。驻场人员响应标准为7×24全天候响应，维护模式为7×8值班维护驻场服务。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机房环境维护配置弱电、强电工程师；业务系统维护配置网络专家、ITSS项目经理等不少于3人；网络及安全系统运维配置网络专家、安全工程师、ITSS项目经理等不少于3人；服务器及存储系统运维配置信息系统管理师、数据库专家、ITSS项目经理等不少于3人；信息系统维护配置网络专家、软件数据库支持工程师（厂家驻场运维1人）、服务提供商ITSS项目经理、服务工程师等不少于4人；通讯类运维配置ITSS服务工程师、网络工程师等不少于5人；前端设备外场协助人员若干。</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备品备件：备有道路监控枪式摄像机5台、人脸抓拍摄像机5台、出入口抓拍单元10台、双镜头结构化枪机15台、双镜头结构化球型摄像机5台、云存储存储主机内硬盘(6T)24块，备件库中应有高于或等同数量和性能要求的备品备件。</w:t>
      </w:r>
      <w:r/>
    </w:p>
    <w:tbl>
      <w:tblPr>
        <w:tblStyle w:val="779"/>
        <w:tblW w:w="495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62"/>
        <w:gridCol w:w="1285"/>
        <w:gridCol w:w="5779"/>
        <w:gridCol w:w="762"/>
        <w:gridCol w:w="489"/>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18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性能参数</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单位</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道路监控枪式摄像机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318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智能筒型网络摄像机，支持鳞镜补光，夜间成像效果更出色</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支持智能资源模式：人脸抓拍、道路监控、Smart事件，多种智能模式可按需切换</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采用隐藏式灯珠设计，通过鳞甲密布排列形成的镜面反射出光，见光不见灯；增加发光面积，降低聚光效果，补光柔和均匀</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支持开放型网络视频接口、ISAPI、GB/T28181协议接入；支持三码流技术，支持同时20路取流；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支持三级用户权限管理，支持授权的用户和密码，支持IP地址过滤；</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支持GB35114 A级安全加密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传感器类型：1/1.8" Progressive Scan 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最低照度：彩色：0.002 Lux ，0 Lux with Light</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黑白：0.0002 Lux，0 Lux with IR</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宽动态：120 dB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焦距：2.8~4 mm或4~6 mm或6~9 mm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补光灯类型：鳞镜补光，默认红外850 nm，可切换至暖白光，4颗灯珠</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补光距离：白光：普通监控：最远可达30 m，人脸抓拍/识别：最远可达5 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红外：普通监控：最远可达50 m，人脸抓拍/识别：最远可达10 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防补光过曝：支持防补光过曝开启和关闭，开启下支持自动和手动，手动支持根据距离等级控制补光灯亮度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最大图像尺寸：2560 × 1440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视频压缩标准：H.265/H.264/MJPEG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网络：1个RJ45 10 M/100 M自适应以太网口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SD卡扩展：内置MicroSD/MicroSDHC/MicroSDXC插槽，最大支持512 GB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音频：1路输入（Line in），1路输出（Line out），2个内置麦克风，1个内置扬声器</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报警：1路输入，1路输出（报警输入支持开关量，报警输出最大支持DC12 V，30 mA）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RS-485：1个RS-485接口，半双工模式，支持自适应PELCO-P和PELCO-D协议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复位：支持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电源输出：DC12 V，100 mA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供电方式：DC：12 V ± 20%，支持防反接保护；PoE：802.3at，Type 2，Class 4</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防护：IP67 </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人脸抓拍摄像机</w:t>
            </w:r>
            <w:r/>
          </w:p>
        </w:tc>
        <w:tc>
          <w:tcPr>
            <w:shd w:val="clear" w:color="auto" w:fill="auto"/>
            <w:tcBorders>
              <w:top w:val="single" w:color="000000" w:sz="4" w:space="0"/>
              <w:left w:val="single" w:color="000000" w:sz="4" w:space="0"/>
              <w:bottom w:val="single" w:color="000000" w:sz="4" w:space="0"/>
              <w:right w:val="single" w:color="000000" w:sz="4" w:space="0"/>
            </w:tcBorders>
            <w:tcW w:w="318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支持GB35114安全加密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400W智能筒型网络摄像机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采用深度学习算法，以海量图片及视频资源为路基，通过机器自身提取目标特征，形成深层可供学习的图像。极大的提升了算法的检出率</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支持智能资源模式切换：人脸抓拍、道路监控、Smart事件、人数统计、热度图</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采用隐藏式灯珠设计，通过鳞甲密布排列形成的镜面反射出光，见光不见灯。增加发光面积，降低聚光效果，补光柔和均匀</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设备内置电动变焦镜头，操作便易，变焦过程平稳</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宽动态：120 dB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最低照度：彩色：0.0005 Lux @（F1.2，AGC ON），0 Lux with Light</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黑白：0.0001 Lux @（F1.2，AGC ON），0 Lux with IR</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传感器类型：1/1.8" Progressive Scan CMOS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焦距&amp;视场角：8~32 mm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补光灯类型：鳞镜补光，默认混光（850 nm+暖白），4颗灯珠</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防补光过曝：支持防补光过曝开启和关闭，开启下支持自动和手动，手动支持根据距离等级控制补光灯亮度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最大图像尺寸：2560 × 1440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视频压缩标准：H.265/H.264/MJPEG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网络：1个RJ45 10 M/100 M自适应以太网口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SD卡扩展：内置MicroSD/MicroSDHC/MicroSDXC插槽，最大支持256 GB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复位：支持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音频：2路输入（Line in），1路输出（Line out），2个内置麦克风，1个内置扬声器</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报警：3路输入，2路输出（报警输入支持开关量，报警输出最大支持DC12 V，30 mA）</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电源输出：DC12 V，100 mA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恢复出厂设置：支持RESET按键，客户端或浏览器恢复</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供电方式：DC：12 V ± 20%，支持防反接保护</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防护：IP67 </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出入口抓拍单元</w:t>
            </w:r>
            <w:r/>
          </w:p>
        </w:tc>
        <w:tc>
          <w:tcPr>
            <w:shd w:val="clear" w:color="auto" w:fill="auto"/>
            <w:tcBorders>
              <w:top w:val="single" w:color="000000" w:sz="4" w:space="0"/>
              <w:left w:val="single" w:color="000000" w:sz="4" w:space="0"/>
              <w:bottom w:val="single" w:color="000000" w:sz="4" w:space="0"/>
              <w:right w:val="single" w:color="000000" w:sz="4" w:space="0"/>
            </w:tcBorders>
            <w:tcW w:w="318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400万像素智慧监控单元</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支持3D数字降噪功能。</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支持机动车辆抓拍，内置车牌识别、车身颜色识别、车型识别功能，车辆主子品牌识别功能。</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传感器类型：1/1.8”CMOS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触发输出：1路F+F-输出接口，可作为补光灯控制接口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通讯接口：1个RS-485接口，1个RS-232接口，1个RJ45 10M/100M自适应以太网口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图片分辨率：2688 × 1520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图片格式：JPEG</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内部组件：电源适配器</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外部辅件：自带安装万向节</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快门：1秒~1/100，000秒</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压缩输出码率：32 Kbps~16 Mbps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图像设置：饱和度，亮度，对比度，白平衡，增益通过软件可调</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通用功能：心跳，密码保护，NTP校时</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帧率：25fps（2688 × 1520）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支持协议：TCP/IP，HTTP，DNS，RTP，RTSP，NTP，支持FTP上传图片</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视频分辨率：2688（H）×1520（V）</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最小照度：彩色：0.001Lux @（F1.2，AGC ON）</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黑白：0.0001 Lux @（F1.2，AGC ON）</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存储功能：TF</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视频压缩标准：H.264;H.265;MJPEG</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闪光灯控制：闪光灯自动光控、时控可选</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双镜头结构化枪机</w:t>
            </w:r>
            <w:r/>
          </w:p>
        </w:tc>
        <w:tc>
          <w:tcPr>
            <w:shd w:val="clear" w:color="auto" w:fill="auto"/>
            <w:tcBorders>
              <w:top w:val="single" w:color="000000" w:sz="4" w:space="0"/>
              <w:left w:val="single" w:color="000000" w:sz="4" w:space="0"/>
              <w:bottom w:val="single" w:color="000000" w:sz="4" w:space="0"/>
              <w:right w:val="single" w:color="000000" w:sz="4" w:space="0"/>
            </w:tcBorders>
            <w:tcW w:w="318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400万 星光级1/1.8" CMOS AI多摄智能网络摄像机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支持智能资源模式切换：全结构化（默认）、人脸抓拍、人脸比对、道路监控、Smart事件</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设备支持上下双通道镜头，上通道内置电动变焦镜头，操作便易，变焦过程平稳；下通道定焦全彩镜头，满足低照度下的监控需求</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设备内置高效温和补光灯，告别光污染，保证夜间正常进行人脸抓拍</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支持GB35114  A级安全加密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 通道1：1/1.8" Progressive Scan CMOS；通道2：1/1.8" Progressive Scan 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通道1：彩色：0.0005 Lux @（F1.2，AGC ON），0 Lux with Light；黑白：0.0001 Lux @（F1.2，AGC ON），0 Lux with IR</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通道2：彩色：0.0003 Lux @（F1.0，AGC ON），0 Lux with Light；黑白：0.0001 Lux @（F1.0，AGC ON），0 Lux with IR</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 120 dB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  通道1：8~32 mm，通道2：4mm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补光灯类型: 混合补光（支持白光模式和混光模式）</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最大图像尺寸: 通道1：2688 x 1520；通道2：2688 x 1520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 H.265/H.264/MJPEG</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网络存储: 支持Micro SD(即TF卡)/Micro SDHC/Micro SDXC卡（最大256 GB）断网本地存储及断网续传，NAS（NFS，SMB/CIFS均支持），配合海康黑卡支持SD卡加密及SD卡状态检测</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视频输出: 1 Vp-p复合输出（75 Ω/CVBS）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 1个RJ45 10 M/100 M/1000 M自适应以太网口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 2个内置麦克风，1个内置扬声器；2路输入，1路输出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 3路输入，2路输出（报警输入支持开关量，报警输出最大支持DC12 V，30 mA）</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RS-485:</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复位: 支持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 IP67</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双镜头结构化球型摄像机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318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400万+600万25倍拼接版全彩枪球一体机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全景采用2个F1.0大光圈全彩镜头，可输出190°大场景拼接画面</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支持多种智能资源切换：【全景】Smart事件（默认），人员密度；【细节】Smart事件（默认），全结构化，混合目标比对，智能交通，人员布控</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支持AR功能，摄像机的实时视频画面中添加最多500个AR标签，且可实现标签与标签联动的功能</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Smart事件：支持全景路对设定区域进行布防，当检测到目标时联动细节摄像机对目标进行跟随及报警，实现周界布防，全景Smart事件检测距离50米</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内置喇叭，支持声光警戒，报警联动白光闪烁报警和声音报警，声音内容可选</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人员密度检测：全景支持人员密度检测功能，输出实时人数概况及拥堵等级，可根据人数和占空比配置密度等级</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人员布控：支持前端实时建模比对，对人脸和人体进行布控跟踪，跟踪过程中目标经纬度信息实时上传，构建时空域场景</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AI-ISP降噪：采用去噪卷积神经网络将深度结构、学习算法用于图像去噪，最终使画面成像更新清晰，噪点更小图像更干净</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支持GB35114A级安全加密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传感器类型：【全景】1/1.8＂ progressive scan CMOS,【细节】1/1.8＂ progressive scan 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最低照度：【全景】彩色 0.0005Lux ，黑白0.0001Lux；【细节】彩色 0.0005Lux，黑白0.0001Lux;</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变倍：数字变倍：【全景】不支持；【细节】16倍</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光学变倍：【细节】25倍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焦距：【全景】2.8mm；【细节】5.9~147.5mm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视场角： 【全景】水平190°±5°，垂直80°±5°；【细节】59.8°~2.7°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防补光过曝：支持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水平范围：【全景】不支持；【细节】0-360°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垂直范围：【全景】12°~24°；【细节】-20-90°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水平速度：【全景】不支持；【细节】水平键控速度：0.1°-160°/s,速度可设;水平预置点速度：240°/s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垂直速度：【全景】垂直键控速度可设；【细节】垂直键控速度：0.1°-120°/s,速度可设;垂直预置点速度：200°/s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主码流帧率分辨率：【全景】50 Hz：25 fps（3632 × 1632）；60 Hz：30 fps（3632 × 1632）；【细节】50 Hz：25 fps（2688 × 1520 ）;60 Hz：30 fps（2688 × 1520）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视频压缩标准：H.265,H.264,MJPEG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宽动态：【全景】数字宽动态；【细节】120dB超宽动态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陀螺仪：支持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网络接口：支持100 M网络数据，RJ45网口，自适应网络数据</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SD卡扩展：内置Micro SD卡插槽,支持Micro SD/Micro SDHC/Micro SDXC卡,最大支持512G</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报警：7路报警输入，2路报警输出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音频：1路音频输入，1路音频输出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RS-485：采用半双工模式</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恢复出厂设置：支持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防护：IP67; 6000V 防雷、防浪涌、防突波，符合GB/T17626.2/3/4/5/6四级标准 </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云存储存储主机内硬盘(6T)</w:t>
            </w:r>
            <w:r/>
          </w:p>
        </w:tc>
        <w:tc>
          <w:tcPr>
            <w:shd w:val="clear" w:color="auto" w:fill="auto"/>
            <w:tcBorders>
              <w:top w:val="single" w:color="000000" w:sz="4" w:space="0"/>
              <w:left w:val="single" w:color="000000" w:sz="4" w:space="0"/>
              <w:bottom w:val="single" w:color="000000" w:sz="4" w:space="0"/>
              <w:right w:val="single" w:color="000000" w:sz="4" w:space="0"/>
            </w:tcBorders>
            <w:tcW w:w="318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6T企业级IoT硬盘</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块</w:t>
            </w:r>
            <w:r/>
          </w:p>
        </w:tc>
      </w:tr>
    </w:tbl>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4）维修或更换设备时间超过3个工作日（计算机服务器、网络设备等须在1个工作日内），则必须提供档次不低于送修设备的备件。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（4）安全生产与保密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1）严格执行安全生产规范条例，对施工维护人员进行安全教育，确保合同期内不发生人身伤亡事故和火灾事故，并应参加建筑、安装工程等相关的保险，承担发生的质量、安全事故及责任和经济损失。</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传输链路专用，与其他网络物理隔绝，并不得接入任何其它网络；每条链路上行带宽不得低于100M。前端点位租赁运营商光纤裸纤链路数量不得少于核定的数量，含链路两端光传输设备及中心端接入交换设备；租赁运营商裸纤链路，带宽100M（部分点位因应用场景需要带宽超过100M，运营商应根据实际需求免费提升带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3）对本项目涉及的软硬件技术资料、监控图像等均负有保密义务，未经许可不得提供给第三方；本项目采集的各类数据归甲方所有，乙方对采集及对接的数据负有保密义务。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4）严禁“一机两用、一机双网”；严禁泄露工作中接触的公安数据、帐号和密码；计算机送出维修必须将硬盘拆下交甲方管理者。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5）前端点位的取电用电、绿化及市政开挖赔补、绿化修剪，行政审批等事宜及相关费用由乙方自行解决；项目实施过程中的拆移赔补等其他杂费由乙方负责并协调相关部门。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（5）运维变更与交接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1）乙方不得擅自改变网络架构及组网方式，不得擅自改变前端设备接入的中心系统、接入方式以及相关平台及安全防护等系统。</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2）未经甲方同意，不得擅自变更相关中心设备在运营商机房的存放位置。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3）不得擅自在杆件上安装与本项目无关的其他设备。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4）维修前后设施设备品牌型号应保持完全一致，如停产应使用性能等于或高于当前的设备替换；设施设备数量必须与维修前保持完全一致。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5）服务期满后，若由第三方提供后续服务，应提供便利并提交建设资料及运维资料。</w:t>
      </w:r>
      <w:r/>
    </w:p>
    <w:p>
      <w:pPr>
        <w:numPr>
          <w:ilvl w:val="0"/>
          <w:numId w:val="18"/>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运维输出物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（1）每日报告与记录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1）《视频监控巡检记录表》（监控系统机房日常维护记录表），记录电力、温度、湿度、防尘、存储、图像、控制、设备连接检查结果。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2）驻场工程师图像监看评价记录。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3）《设备维护记录》。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4）日巡检分析报告。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5）交接班登记表。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（2）故障处理与事件记录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1）《系统故障报修单》（每次故障处理后填写，含故障类别、原因、解决办法，由用户负责人签字确认）。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2）故障处理报告（故障解决后24小时内提交，说明故障种类、原因、解决方法及损失情况）。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3）《备品备件出库登记表》（按需填写）。</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4）《服务申请单》（按需填写，记录工单信息、申请人信息、故障信息等）。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（3）定期巡检与分析报告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1）周巡检分析报告（服务器及存储、网络、安全、信息系统等，每周）。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2）月巡检分析报告（每月）。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3）《每月维护服务情况汇报》（工作月报），包含绩效数据指标、工作计划完成情况、下月计划、月度总结（每月）。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4）前端设备外场巡检记录及客户端巡检报告（每月）。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5）每季度前端摄像头保洁及遮挡绿植修剪书面报告（每季度）。</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6）机房设备定期检测、保养报告（按需，向用户汇报，用户确认）。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7）半年总结分析报告（每半年）。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8）年度终结分析报告（每年）。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9）服务年报（服务期结束前提供）。</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（4）安全服务及专项报告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1）应急响应事件报告（安全事件发生后，不限次数）。</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2）深度潜伏威胁分析报告（每年不少于4次）。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3）定期维护检查报告（每年4次，对重要边界安全设备规则库及功能模块检查）。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4）渗透测试报告及修复建议（每年不少于1次）。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5）系统集成服务方案及报告（系统割接方案、数据迁移方案等，按需提交）。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6）故障分析处理记录、故障整改方案和建议（按需提交）。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7）重大故障记录报告（按需提交）。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（5）资产与档案管理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1）所有区域的系统图及点位图（正式维护前完成并提交）。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2）《设备维护档案表格》（记录设备名称、编号、时间、问题描述、处置说明等，按需更新）。</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3）新建杆件基础照片及检测合格报告（按需，新建时提交）。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4）设备更换时的操作手册、运行手册、技术方案及图纸（按需提交）。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5）网络文档记录（网络拓扑图、设备配置信息、故障排除记录等，按需提交）。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6）服务器、存储日常维护知识库及运维过程资料（按需整理提交）。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7）日常维护报告、系统巡检日志、系统维护记录、系统优化记录、各类优化的管理制度（按需或定期提交）。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8）服务期满后，提交所有相关的建设资料及运维资料。</w:t>
      </w:r>
      <w:r/>
    </w:p>
    <w:p>
      <w:pPr>
        <w:numPr>
          <w:ilvl w:val="0"/>
          <w:numId w:val="18"/>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团队配置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该运维项目采用外包的方式，必须十分注重信息化技术队伍的建设，技术力量和人员配置是指根据项目发展需求，对运维人员进行配置、培训等，做到“人员配备适当”，能全流程管理运维任务。</w:t>
      </w:r>
      <w:r/>
    </w:p>
    <w:tbl>
      <w:tblPr>
        <w:tblStyle w:val="77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0"/>
        <w:gridCol w:w="1320"/>
        <w:gridCol w:w="840"/>
        <w:gridCol w:w="3364"/>
        <w:gridCol w:w="2158"/>
      </w:tblGrid>
      <w:tr>
        <w:trPr>
          <w:jc w:val="center"/>
          <w:tblHeader/>
        </w:trPr>
        <w:tc>
          <w:tcPr>
            <w:shd w:val="clear" w:color="auto" w:fill="ffffff"/>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序号</w:t>
            </w:r>
            <w:r/>
          </w:p>
        </w:tc>
        <w:tc>
          <w:tcPr>
            <w:shd w:val="clear" w:color="auto" w:fill="ffffff"/>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岗位</w:t>
            </w:r>
            <w:r/>
          </w:p>
        </w:tc>
        <w:tc>
          <w:tcPr>
            <w:shd w:val="clear" w:color="auto" w:fill="ffffff"/>
            <w:tcBorders>
              <w:top w:val="single" w:color="auto" w:sz="4" w:space="0"/>
              <w:left w:val="none" w:color="000000" w:sz="4" w:space="0"/>
              <w:bottom w:val="single" w:color="auto" w:sz="4" w:space="0"/>
              <w:right w:val="single" w:color="auto" w:sz="4" w:space="0"/>
            </w:tcBorders>
            <w:tcW w:w="84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人数</w:t>
            </w:r>
            <w:r/>
          </w:p>
        </w:tc>
        <w:tc>
          <w:tcPr>
            <w:shd w:val="clear" w:color="auto" w:fill="ffffff"/>
            <w:tcBorders>
              <w:top w:val="single" w:color="auto" w:sz="4" w:space="0"/>
              <w:left w:val="none" w:color="000000" w:sz="4" w:space="0"/>
              <w:bottom w:val="single" w:color="auto" w:sz="4" w:space="0"/>
              <w:right w:val="single" w:color="auto" w:sz="4" w:space="0"/>
            </w:tcBorders>
            <w:tcW w:w="336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职责说明</w:t>
            </w:r>
            <w:r/>
          </w:p>
        </w:tc>
        <w:tc>
          <w:tcPr>
            <w:shd w:val="clear" w:color="auto" w:fill="ffffff"/>
            <w:tcBorders>
              <w:top w:val="single" w:color="auto" w:sz="4" w:space="0"/>
              <w:left w:val="none" w:color="000000" w:sz="4" w:space="0"/>
              <w:bottom w:val="single" w:color="auto" w:sz="4" w:space="0"/>
              <w:right w:val="single" w:color="auto" w:sz="4" w:space="0"/>
            </w:tcBorders>
            <w:tcW w:w="215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工作方式</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ffffff"/>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总负责人</w:t>
            </w:r>
            <w:r/>
          </w:p>
        </w:tc>
        <w:tc>
          <w:tcPr>
            <w:shd w:val="clear" w:color="auto" w:fill="ffffff"/>
            <w:tcBorders>
              <w:top w:val="single" w:color="auto" w:sz="4" w:space="0"/>
              <w:left w:val="none" w:color="000000" w:sz="4" w:space="0"/>
              <w:bottom w:val="single" w:color="auto" w:sz="4" w:space="0"/>
              <w:right w:val="single" w:color="auto" w:sz="4" w:space="0"/>
            </w:tcBorders>
            <w:tcW w:w="84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ffffff"/>
            <w:tcBorders>
              <w:top w:val="single" w:color="auto" w:sz="4" w:space="0"/>
              <w:left w:val="none" w:color="000000" w:sz="4" w:space="0"/>
              <w:bottom w:val="single" w:color="auto" w:sz="4" w:space="0"/>
              <w:right w:val="single" w:color="auto" w:sz="4" w:space="0"/>
            </w:tcBorders>
            <w:tcW w:w="336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项目总负责、负责项目指导，重大决策</w:t>
            </w:r>
            <w:r/>
          </w:p>
        </w:tc>
        <w:tc>
          <w:tcPr>
            <w:shd w:val="clear" w:color="auto" w:fill="ffffff"/>
            <w:tcBorders>
              <w:top w:val="single" w:color="auto" w:sz="4" w:space="0"/>
              <w:left w:val="none" w:color="000000" w:sz="4" w:space="0"/>
              <w:bottom w:val="single" w:color="auto" w:sz="4" w:space="0"/>
              <w:right w:val="single" w:color="auto" w:sz="4" w:space="0"/>
            </w:tcBorders>
            <w:tcW w:w="215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公安负责项目管理监督</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p>
        </w:tc>
        <w:tc>
          <w:tcPr>
            <w:shd w:val="clear" w:color="auto" w:fill="ffffff"/>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运维服务负责人</w:t>
            </w:r>
            <w:r/>
          </w:p>
        </w:tc>
        <w:tc>
          <w:tcPr>
            <w:shd w:val="clear" w:color="auto" w:fill="ffffff"/>
            <w:tcBorders>
              <w:top w:val="single" w:color="auto" w:sz="4" w:space="0"/>
              <w:left w:val="none" w:color="000000" w:sz="4" w:space="0"/>
              <w:bottom w:val="single" w:color="auto" w:sz="4" w:space="0"/>
              <w:right w:val="single" w:color="auto" w:sz="4" w:space="0"/>
            </w:tcBorders>
            <w:tcW w:w="84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ffffff"/>
            <w:tcBorders>
              <w:top w:val="single" w:color="auto" w:sz="4" w:space="0"/>
              <w:left w:val="none" w:color="000000" w:sz="4" w:space="0"/>
              <w:bottom w:val="single" w:color="auto" w:sz="4" w:space="0"/>
              <w:right w:val="single" w:color="auto" w:sz="4" w:space="0"/>
            </w:tcBorders>
            <w:tcW w:w="336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负责项目的运维外包执行</w:t>
            </w:r>
            <w:r/>
          </w:p>
        </w:tc>
        <w:tc>
          <w:tcPr>
            <w:shd w:val="clear" w:color="auto" w:fill="ffffff"/>
            <w:tcBorders>
              <w:top w:val="single" w:color="auto" w:sz="4" w:space="0"/>
              <w:left w:val="none" w:color="000000" w:sz="4" w:space="0"/>
              <w:bottom w:val="single" w:color="auto" w:sz="4" w:space="0"/>
              <w:right w:val="single" w:color="auto" w:sz="4" w:space="0"/>
            </w:tcBorders>
            <w:tcW w:w="215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公安负责项目的具体实施</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w:t>
            </w:r>
            <w:r/>
          </w:p>
        </w:tc>
        <w:tc>
          <w:tcPr>
            <w:shd w:val="clear" w:color="auto" w:fill="ffffff"/>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技术负责</w:t>
            </w:r>
            <w:r/>
          </w:p>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（外包）</w:t>
            </w:r>
            <w:r/>
          </w:p>
        </w:tc>
        <w:tc>
          <w:tcPr>
            <w:shd w:val="clear" w:color="auto" w:fill="ffffff"/>
            <w:tcBorders>
              <w:top w:val="single" w:color="auto" w:sz="4" w:space="0"/>
              <w:left w:val="none" w:color="000000" w:sz="4" w:space="0"/>
              <w:bottom w:val="single" w:color="auto" w:sz="4" w:space="0"/>
              <w:right w:val="single" w:color="auto" w:sz="4" w:space="0"/>
            </w:tcBorders>
            <w:tcW w:w="84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ffffff"/>
            <w:tcBorders>
              <w:top w:val="single" w:color="auto" w:sz="4" w:space="0"/>
              <w:left w:val="none" w:color="000000" w:sz="4" w:space="0"/>
              <w:bottom w:val="single" w:color="auto" w:sz="4" w:space="0"/>
              <w:right w:val="single" w:color="auto" w:sz="4" w:space="0"/>
            </w:tcBorders>
            <w:tcW w:w="336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负责项目运维的具体实施（运维外包团队项目经理、技术负责人）。</w:t>
            </w:r>
            <w:r/>
          </w:p>
        </w:tc>
        <w:tc>
          <w:tcPr>
            <w:shd w:val="clear" w:color="auto" w:fill="ffffff"/>
            <w:tcBorders>
              <w:top w:val="single" w:color="auto" w:sz="4" w:space="0"/>
              <w:left w:val="none" w:color="000000" w:sz="4" w:space="0"/>
              <w:bottom w:val="single" w:color="auto" w:sz="4" w:space="0"/>
              <w:right w:val="single" w:color="auto" w:sz="4" w:space="0"/>
            </w:tcBorders>
            <w:tcW w:w="215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负责组织协调、服务流程闭环监督</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w:t>
            </w:r>
            <w:r/>
          </w:p>
        </w:tc>
        <w:tc>
          <w:tcPr>
            <w:shd w:val="clear" w:color="auto" w:fill="ffffff"/>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业务协助</w:t>
            </w:r>
            <w:r/>
          </w:p>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（外包）</w:t>
            </w:r>
            <w:r/>
          </w:p>
        </w:tc>
        <w:tc>
          <w:tcPr>
            <w:shd w:val="clear" w:color="auto" w:fill="ffffff"/>
            <w:tcBorders>
              <w:top w:val="single" w:color="auto" w:sz="4" w:space="0"/>
              <w:left w:val="none" w:color="000000" w:sz="4" w:space="0"/>
              <w:bottom w:val="single" w:color="auto" w:sz="4" w:space="0"/>
              <w:right w:val="single" w:color="auto" w:sz="4" w:space="0"/>
            </w:tcBorders>
            <w:tcW w:w="84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ffffff"/>
            <w:tcBorders>
              <w:top w:val="single" w:color="auto" w:sz="4" w:space="0"/>
              <w:left w:val="none" w:color="000000" w:sz="4" w:space="0"/>
              <w:bottom w:val="single" w:color="auto" w:sz="4" w:space="0"/>
              <w:right w:val="single" w:color="auto" w:sz="4" w:space="0"/>
            </w:tcBorders>
            <w:tcW w:w="336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负责平台运维（运维外包服务驻场服务人员）。</w:t>
            </w:r>
            <w:r/>
          </w:p>
        </w:tc>
        <w:tc>
          <w:tcPr>
            <w:shd w:val="clear" w:color="auto" w:fill="ffffff"/>
            <w:tcBorders>
              <w:top w:val="single" w:color="auto" w:sz="4" w:space="0"/>
              <w:left w:val="none" w:color="000000" w:sz="4" w:space="0"/>
              <w:bottom w:val="single" w:color="auto" w:sz="4" w:space="0"/>
              <w:right w:val="single" w:color="auto" w:sz="4" w:space="0"/>
            </w:tcBorders>
            <w:tcW w:w="215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常驻公安</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w:t>
            </w:r>
            <w:r/>
          </w:p>
        </w:tc>
        <w:tc>
          <w:tcPr>
            <w:shd w:val="clear" w:color="auto" w:fill="ffffff"/>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业务协助</w:t>
            </w:r>
            <w:r/>
          </w:p>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（外包）</w:t>
            </w:r>
            <w:r/>
          </w:p>
        </w:tc>
        <w:tc>
          <w:tcPr>
            <w:shd w:val="clear" w:color="auto" w:fill="ffffff"/>
            <w:tcBorders>
              <w:top w:val="single" w:color="auto" w:sz="4" w:space="0"/>
              <w:left w:val="none" w:color="000000" w:sz="4" w:space="0"/>
              <w:bottom w:val="single" w:color="auto" w:sz="4" w:space="0"/>
              <w:right w:val="single" w:color="auto" w:sz="4" w:space="0"/>
            </w:tcBorders>
            <w:tcW w:w="84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w:t>
            </w:r>
            <w:r/>
          </w:p>
        </w:tc>
        <w:tc>
          <w:tcPr>
            <w:shd w:val="clear" w:color="auto" w:fill="ffffff"/>
            <w:tcBorders>
              <w:top w:val="single" w:color="auto" w:sz="4" w:space="0"/>
              <w:left w:val="none" w:color="000000" w:sz="4" w:space="0"/>
              <w:bottom w:val="single" w:color="auto" w:sz="4" w:space="0"/>
              <w:right w:val="single" w:color="auto" w:sz="4" w:space="0"/>
            </w:tcBorders>
            <w:tcW w:w="336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负责前端维修、线路维修（运维外包服务外场服务人员）。</w:t>
            </w:r>
            <w:r/>
          </w:p>
        </w:tc>
        <w:tc>
          <w:tcPr>
            <w:shd w:val="clear" w:color="auto" w:fill="ffffff"/>
            <w:tcBorders>
              <w:top w:val="single" w:color="auto" w:sz="4" w:space="0"/>
              <w:left w:val="none" w:color="000000" w:sz="4" w:space="0"/>
              <w:bottom w:val="single" w:color="auto" w:sz="4" w:space="0"/>
              <w:right w:val="single" w:color="auto" w:sz="4" w:space="0"/>
            </w:tcBorders>
            <w:tcW w:w="215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外场巡检</w:t>
            </w:r>
            <w:r/>
          </w:p>
        </w:tc>
      </w:tr>
    </w:tbl>
    <w:p>
      <w:pPr>
        <w:numPr>
          <w:ilvl w:val="0"/>
          <w:numId w:val="18"/>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人员驻场要求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维护服务单位为本项目至少派驻1名维护人员，驻场人员需同时接受滨湖公安分局的管理。工作时间：维护期内每周一至周六上午9：00至下午17：00。工作地点：滨湖公安分局。维护服务单位需承诺接到故障后30分钟到达现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1名驻场人员作内容主要是：每日完成前端视频巡查及后台设备巡查工作2轮，确保公安分局视频在线率及图像质量。发现故障需立即处置，外场服务人员排查维修，驻场人员可在分局进行平台端的操作及确认。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此外滨湖公安通信科每日对“一眼多维感知平台”中的《人脸抓拍数据监测报表》、《卡口过车数据监测报表》和《设备过车数据监测报表》等报表中出现的问题以及日常工作中发现的问题人工复核后形成问题清单，通报给考核对象（一般发送到“滨湖分局运维考核群”）。考核对象安排相关人员按照清单，对照问题及时整改。</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30</w:t>
      </w:r>
      <w:r>
        <w:rPr>
          <w:rFonts w:hint="eastAsia" w:ascii="宋体" w:hAnsi="宋体" w:eastAsia="宋体" w:cs="宋体"/>
          <w:b/>
          <w:bCs/>
          <w:sz w:val="24"/>
          <w:szCs w:val="24"/>
          <w:lang w:eastAsia="zh-CN"/>
        </w:rPr>
        <w:t xml:space="preserve">：感知安保二期、三期及</w:t>
      </w:r>
      <w:r>
        <w:rPr>
          <w:rFonts w:hint="eastAsia" w:ascii="宋体" w:hAnsi="宋体" w:eastAsia="宋体" w:cs="宋体"/>
          <w:b/>
          <w:bCs/>
          <w:sz w:val="24"/>
          <w:szCs w:val="24"/>
          <w:lang w:val="en-US"/>
        </w:rPr>
        <w:t xml:space="preserve">3.20</w:t>
      </w:r>
      <w:r>
        <w:rPr>
          <w:rFonts w:hint="eastAsia" w:ascii="宋体" w:hAnsi="宋体" w:eastAsia="宋体" w:cs="宋体"/>
          <w:b/>
          <w:bCs/>
          <w:sz w:val="24"/>
          <w:szCs w:val="24"/>
          <w:lang w:eastAsia="zh-CN"/>
        </w:rPr>
        <w:t xml:space="preserve">工程复建项目维护服务项目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运维期限：12个月（2026年9月1日-2027年8月31日）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服务使用单位：无锡市滨湖区公安分局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numPr>
          <w:ilvl w:val="0"/>
          <w:numId w:val="19"/>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滨感知安保二期、三期及3.20工程复建维护项目建设：</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环保卡口抓拍系统：环保卡口抓拍单元（300万像素）14套，环保卡口抓拍单元（900万像素）33套，卡口全景相机34台，卡口终端服务器16台；非机动车道人脸抓拍系统：超低照度人脸抓拍机8套；</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视频监控系统：球型摄像机633台，全景180度摄像机1台；小区出入口管控系统建设：人脸抓拍摄像机91台，车辆抓拍摄像机76台，结构化监控摄像机26台，400万广角监控摄像机80台；以及相关中心系统（含平台软件、服务器、存储设备及硬盘）、网络传输系统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本项目运维要求：对现有设备进行质保运维1年，使得整体系统正常运作，确保前端点位在线率、完好率，满足视频存储不低于30天，图片数据存储时间不低于180天。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（1）前端系统维护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1）开展对项目内所建前端感知系统的维护工作，含设备故障修复、损坏替换、图像遮挡处理；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2）开展对前端立杆设施的维护工作，应届解决处理因事故等造成的杆件设施损坏恢复；协同处理因道路修缮等产生的点位迁移等工作；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3）开展对前端设施设备的维护工作，含前端设备损坏替换过程中发生的所有安装辅材，含前端设备箱、避雷器、电源线、网线、支架等辅材的维护更换。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（2）中心系统维护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1）开展对中心存储设备的维护工作，含设备故障修复、损坏替换等所有维护工作，确保整体系统图像可用性，避免录像无法保存的情况；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2）开展对中心服务器设备的维护工作，含设备故障修复、损坏维修、替换等所有维护工作，确保整体系统整体可用性，避免服务器故障造成的长时间系统宕机；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3）开展对中心网络设备的维护工作，含设备故障修复、损坏维修产生的硬件更换、软件配置调试等所有维护工作，确保中心网络系统正常运行。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4）开展对列入维保范围内的应用软件的维护工作，含软件安使用需要开展的配置设置修改及调整、故障排查、问题修复等，确保应用软件的可用性，避免软件系统故障产生的长时间无法使用。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（3）机房环境系统维护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1）开展对空调新风系统的维护工作，含机房空调、新风系统内设备的维护工作，含部件更换、冷媒添加等工作；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2）开展对消防系统的维护工作，含机房消防系统内设施设备的维护工作，含药剂更换等工作；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3）开展对机房环境控制及不间断电源系统的维护工作，含机房环控整体设备维护及不间断电源维护，含电池损坏后更换工作；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开展对机房基础环境的维护工作，包含机房防雷接地系统、灯光照明系统、综合布线系统以及机房基础设施。在各系统发生故障时及时进行修复，并对因外部因素造成的机房墙面轻微损坏、静电地板损坏等进行修复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（4）线路租赁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（1）租赁运营商公安视频网主干网络裸纤26对（11个派出所及梅园保障基地各2个千兆走不同路由，与市局和交巡警中心机房各1对裸纤）。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（2）租赁运营商前端点位至派出所机房裸纤786条。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综上，本项目需租用812条运营商裸纤。另外需提供组网需要的各派出所至运营商机房、运营商机房至滨湖公安机房的裸纤。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（5）机柜租赁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本项目原租赁运营商机房4个机柜放置中心设备，现继续租赁运营商机房4个机柜。租赁期限1年。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bookmarkStart w:id="202" w:name="_Toc1457817459"/>
      <w:r>
        <w:rPr>
          <w:rFonts w:hint="eastAsia" w:ascii="宋体" w:hAnsi="宋体" w:eastAsia="宋体" w:cs="宋体"/>
          <w:sz w:val="24"/>
          <w:szCs w:val="24"/>
          <w:lang w:val="en-US" w:eastAsia="zh-CN" w:bidi="ar"/>
        </w:rPr>
        <w:t xml:space="preserve">（6）零星更换摄像机费</w:t>
      </w:r>
      <w:bookmarkEnd w:id="202"/>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因公安治安监控担负着治安防范和打击犯罪的重要作用，维保要求高，相关视频监控级联市公安局、省公安厅和公安部，无锡市公安局对此有严格的考核要求和指标，需时刻保持相关系统、设备的稳定运行，经逐个预览查看，发现有部分道路监控球型摄像机和高清球机图像质量下降，已严重影响业务部门的使用，为此在项目中需零星更换部分摄像机。</w:t>
      </w:r>
      <w:r/>
    </w:p>
    <w:tbl>
      <w:tblPr>
        <w:tblStyle w:val="779"/>
        <w:tblW w:w="495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18"/>
        <w:gridCol w:w="1048"/>
        <w:gridCol w:w="6199"/>
        <w:gridCol w:w="455"/>
        <w:gridCol w:w="557"/>
      </w:tblGrid>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41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性能参数</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单位</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道路监控球型摄像机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341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400万+400万25倍枪球一体机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全景400万单目臻全彩，细节球机400万25倍，采用双镜头设计，兼顾全景细节</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全景采用1个 F1.0大光圈全彩镜头，可输出90°大场景画面，细节采用1/1.8 CMOS传感器25倍光学变倍镜头，高清成像</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支持多种智能资源切换：【全景】Smart事件（默认）；【细节】Smart事件（默认），全结构化，混合目标比对，智能交通，人员布控</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支持AR功能，摄像机的实时视频画面中添加最多500个AR标签，且可实现标签与标签联动的功能</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AI-ISP降噪：采用去噪卷积神经网络将深度结构、学习算法用于图像去噪，最终使画面成像更新清晰，噪点更小图像更干净准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支持GB35114A级安全加密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传感器类型：【全景】1/1.8＂ progressive scan CMOS,【细节】1/1.8＂ progressive scan 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最低照度：【全景】彩色 0.0005Lux @ (F1.0，AGC ON)，黑白0.0001Lux @(F1.0，AGC ON)， 0Lux with Lght；</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【细节】彩色 0.0005Lux @ (F1.5，AGC ON)，黑白:0.0001Lux @(F1.5，AGC ON)， 0Lux with IR；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焦距：【全景】4mm；【细节】5.9~147.5 mm，25倍光学变倍</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视场角：【全景】90°；【细节】59.8°-2.7°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补光灯距离：【全景】暖白光30米；【细节】暖白光50米，红外250米</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防补光过曝：支持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水平范围：【全景】不支持；【细节】0-360°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垂直范围：【全景】7-17°；【细节】-20-90°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水平速度：【全景】不支持；【细节】水平键控速度：0.1°-160°/s,速度可设;水平预置点速度：240°/s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垂直速度：【全景】垂直键控速度可设；【细节】垂直键控速度：0.1°-120°/s,速度可设;垂直预置点速度：200°/s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主码流帧率分辨率：【全景】</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50 Hz：25 fps（2688*1520，2560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60 Hz：30 fps（2688*1520,2560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【细节】</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高帧率：</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50Hz：50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60 Hz：60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常规帧率：</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50 Hz：25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60 Hz：30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视频压缩标准：H.265,H.264,MJPEG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宽动态：支持120dB超宽动态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陀螺仪：支持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网络接口：支持100M网络数据,RJ45网口,自适应网络数据</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SD卡扩展：内置Micro SD卡插槽,支持Micro SD/Micro SDHC/Micro SDXC卡,最大支持512 GB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报警：7路报警输入</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2路报警输出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音频：1路音频输入，1路音频输出，音频峰值：2~2.4 V[p-p]，输入阻抗：1 kΩ ± 10%；线性电平，阻抗：600 Ω</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防护：IP67; 6000V 防雷、防浪涌、防突波，符合GB/T17626.2/3/4/5/6四级标准 </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159"/>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卡口全景摄像机</w:t>
            </w:r>
            <w:r/>
          </w:p>
        </w:tc>
        <w:tc>
          <w:tcPr>
            <w:shd w:val="clear" w:color="auto" w:fill="auto"/>
            <w:tcBorders>
              <w:top w:val="single" w:color="000000" w:sz="4" w:space="0"/>
              <w:left w:val="single" w:color="000000" w:sz="4" w:space="0"/>
              <w:bottom w:val="single" w:color="000000" w:sz="4" w:space="0"/>
              <w:right w:val="single" w:color="000000" w:sz="4" w:space="0"/>
            </w:tcBorders>
            <w:tcW w:w="341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400万+400万25倍枪球一体机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全景400万单目臻全彩，细节球机400万25倍，采用双镜头设计，兼顾全景细节</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全景采用1个 F1.0大光圈全彩镜头，可输出90°大场景画面，细节采用1/1.8 CMOS传感器25倍光学变倍镜头，高清成像</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支持多种智能资源切换：【全景】Smart事件（默认）；【细节】Smart事件（默认），全结构化，混合目标比对，智能交通，人员布控</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支持AR功能，摄像机的实时视频画面中添加最多500个AR标签，且可实现标签与标签联动的功能</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AI-ISP降噪：采用去噪卷积神经网络将深度结构、学习算法用于图像去噪，最终使画面成像更新清晰，噪点更小图像更干净准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支持GB35114A级安全加密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传感器类型：【全景】1/1.8＂ progressive scan CMOS,【细节】1/1.8＂ progressive scan 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最低照度：【全景】彩色 0.0005Lux @ (F1.0，AGC ON)，黑白0.0001Lux @(F1.0，AGC ON)， 0Lux with Lght；</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【细节】彩色 0.0005Lux @ (F1.5，AGC ON)，黑白:0.0001Lux @(F1.5，AGC ON)， 0Lux with IR；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焦距：【全景】4mm；【细节】5.9~147.5 mm，25倍光学变倍</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视场角：【全景】90°；【细节】59.8°-2.7°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补光灯距离：【全景】暖白光30米；【细节】暖白光50米，红外250米</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防补光过曝：支持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水平范围：【全景】不支持；【细节】0-360°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垂直范围：【全景】7-17°；【细节】-20-90°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水平速度：【全景】不支持；【细节】水平键控速度：0.1°-160°/s,速度可设;水平预置点速度：240°/s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垂直速度：【全景】垂直键控速度可设；【细节】垂直键控速度：0.1°-120°/s,速度可设;垂直预置点速度：200°/s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主码流帧率分辨率：【全景】</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50 Hz：25 fps（2688*1520，2560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60 Hz：30 fps（2688*1520,2560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【细节】</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高帧率：</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50Hz：50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60 Hz：60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常规帧率：</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50 Hz：25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60 Hz：30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视频压缩标准：H.265,H.264,MJPEG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宽动态：支持120dB超宽动态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陀螺仪：支持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网络接口：支持100M网络数据,RJ45网口,自适应网络数据</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SD卡扩展：内置Micro SD卡插槽,支持Micro SD/Micro SDHC/Micro SDXC卡,最大支持512 GB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报警：7路报警输入</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2路报警输出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音频：1路音频输入，1路音频输出，音频峰值：2~2.4 V[p-p]，输入阻抗：1 kΩ ± 10%；线性电平，阻抗：600 Ω</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防护：IP67; 6000V 防雷、防浪涌、防突波，符合GB/T17626.2/3/4/5/6四级标准 </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1091"/>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道路监控枪式摄像机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341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智能筒型网络摄像机，支持鳞镜补光，夜间成像效果更出色</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支持智能资源模式：人脸抓拍、道路监控、Smart事件，多种智能模式可按需切换</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采用隐藏式灯珠设计，通过鳞甲密布排列形成的镜面反射出光，见光不见灯；增加发光面积，降低聚光效果，补光柔和均匀</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支持开放型网络视频接口、ISAPI、GB/T28181协议接入；支持三码流技术，支持同时20路取流；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支持三级用户权限管理，支持授权的用户和密码，支持IP地址过滤；</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支持GB35114 A级安全加密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传感器类型：1/1.8" Progressive Scan 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最低照度：彩色：0.002 Lux ，0 Lux with Light</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黑白：0.0002 Lux，0 Lux with IR</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宽动态：120 dB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焦距：2.8~4 mm或4~6 mm或6~9 mm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补光灯类型：鳞镜补光，默认红外850 nm，可切换至暖白光，4颗灯珠</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补光距离：白光：普通监控：最远可达30 m，人脸抓拍/识别：最远可达5 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红外：普通监控：最远可达50 m，人脸抓拍/识别：最远可达10 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防补光过曝：支持防补光过曝开启和关闭，开启下支持自动和手动，手动支持根据距离等级控制补光灯亮度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最大图像尺寸：2560 × 1440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视频压缩标准：H.265/H.264/MJPEG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网络：1个RJ45 10 M/100 M自适应以太网口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SD卡扩展：内置MicroSD/MicroSDHC/MicroSDXC插槽，最大支持512 GB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音频：1路输入（Line in），1路输出（Line out），2个内置麦克风，1个内置扬声器</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报警：1路输入，1路输出（报警输入支持开关量，报警输出最大支持DC12 V，30 mA）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RS-485：1个RS-485接口，半双工模式，支持自适应PELCO-P和PELCO-D协议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复位：支持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电源输出：DC12 V，100 mA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供电方式：DC：12 V ± 20%，支持防反接保护；PoE：802.3at，Type 2，Class 4</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防护：IP67 </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安装辅材</w:t>
            </w:r>
            <w:r/>
          </w:p>
        </w:tc>
        <w:tc>
          <w:tcPr>
            <w:shd w:val="clear" w:color="auto" w:fill="auto"/>
            <w:tcBorders>
              <w:top w:val="single" w:color="000000" w:sz="4" w:space="0"/>
              <w:left w:val="single" w:color="000000" w:sz="4" w:space="0"/>
              <w:bottom w:val="single" w:color="000000" w:sz="4" w:space="0"/>
              <w:right w:val="single" w:color="000000" w:sz="4" w:space="0"/>
            </w:tcBorders>
            <w:tcW w:w="341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前端设备更换过程中使用的线缆、紧固件等</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项</w:t>
            </w:r>
            <w:r/>
          </w:p>
        </w:tc>
      </w:tr>
    </w:tbl>
    <w:p>
      <w:pPr>
        <w:numPr>
          <w:ilvl w:val="0"/>
          <w:numId w:val="19"/>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（1）日常运维保障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1）提供7×24小时不间断的运维服务，对设备及系统运行情况进行24小时监督，每天应人工巡查两次以上，主动发现相关故障并及时修复，主动发现、修剪、处理因绿化遮挡等原因造成的对前端点位的影响。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2）维护服务单位为本项目至少派驻2名维护人员，工作时间为维护期内每周一至周六上午9：00至下午17：00，工作地点为滨湖公安分局。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3）2名驻场人员每日完成前端视频巡查及后台设备巡查工作2轮，确保公安分局视频在线率及图像质量，发现故障需立即处置，一人前往前端点位会同外场服务人员排查维修，一人在分局进行平台端操作及确认。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维护服务单位自行提供故障管理系统，有统一的障碍申告号码，自行提供系统运行监控系统，自动监测视频监控系统的运行状态，维护人员能通过电脑和手机接收故障单，自动传输故障信息，及时维护并定期反馈运维情况，实现运维记录透明化。</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在7×8小时工作时间内设置由专人职守的热线电话，接听项目单位的服务请求，并记录服务台事件处理结果；在非工作时间设置有专人7×24小时接听的移动电话热线，用于解决项目单位的技术问题以及接听7×24小时项目单位的突发情况汇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安排资深技术顾问进行服务对接，提供7×24小时电话支持（节假日安排专人职守），接到电话后立即进行问题处理，如果4小时内问题还未解决则安排技术人员进行上门服务，提供电话、邮件等方式进行问题处理。针对一些疑难问题（无法远程解决）或重大问题（系统瘫痪影响正常业务运转），则提供1小时到达现场支撑服务，要求安排技术人员上门进行问题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7）监控中心维护操作：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网络应用终端维护：常用软件（office及基本的上网软件等）故障排除及恢复、病毒防范及消除、硬盘垃圾清理、电脑外设安装调试、系统安装调试与维护、应急、系统恢复及日常维护等。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网络服务系统维护：包括服务器软硬件系统、网络线缆线路、网络交换路由设备、备用电源检测等。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客户机房监控中心温度、湿度测量，机柜内温度情况，各类电源及稳压电源电压情况；各类接线头是否牢固、锈蚀检查。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存储操作系统检查、版本升级、补丁升级、运行情况，硬盘录像机存储空间检查。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检查监控中心设备软件版本、客户端监控软件版本及运行情况；机柜内涉及到监控的设备全部清洁；各类关键设备参数备份。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机房内电源接地电阻情况检查；用户端机房UPS电源供电检查，供电状态检查。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客户监控中心（中心机房）所有设备均应接地，系统的接地宜采用一点接地方式。接地母线应采用铜制线，表面应完整，无明显损伤和残余焊剂渣，铜带母线光滑无毛刺，绝缘线的绝缘层不得有老化龟裂现象。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8）传输线路维护：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检查各类线路完好率、是否有其它线路影响。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在用户允许中断电路的情况下，检查网络传输性能是否达到指标，网络速率是否达到要求。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检查光电设备运行是否良好、交换机端口是否正常，网络设备温度是否正常等。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设备清洁，摆放是否有序，线缆标签粘贴时应保证标签位置准确，方向端正，粘贴牢固；应注意所用标签完整干净，不能破损；标签尺寸大小适中，可用时间一般应保证三年。如已粘贴标签剥落、破损、陈旧，维护人员应及时予以更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所有线缆两端应贴有标签，要求粘贴在线缆末端距离端头2cm处。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音视频线标签内容包括摄像机、编码器及矩阵的输入输出端口等信息；机房或监控中心内部的控制线标签内容应包括对应的摄像机位置、ID以及编码器编号、端口等信息；网络线标签内容应包括交换机端口及对应的编码器、解码器端口信息。</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布放槽道线缆时，可以不绑扎，槽内线缆应顺直，尽量不交叉，线缆不得超出槽道。在线缆进出槽道部位和线缆转弯处应绑扎或用塑料卡捆扎固定。</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（2）定期巡检与保养</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1）机房环境维护：每周一次周巡检；每日4次日巡检（上班前、中午上下班前、下班前机房环境系统巡检）。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2）网络及安全系统运维：每周一次周巡检；每日4次日巡检（上班前、中午上下班前、下班前机房环境系统巡检）。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服务器及存储系统运维：每周一次周巡检；每日4次日巡检（上班前重要应用系统、上班后硬件设备及操作系统、中午上班前重要应用、下班前硬件及操作系统巡检），并对服务器、存储设备提供日常性能和运行状况监控，进行资源利用率分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4）信息系统巡检：每周一次周巡检；每日4次日巡检（上班前、中午上下班前、下班前信息系统巡检）。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5）线路运维：每周一次周巡检；每日4次日巡检（上班前、中午上下班前、下班前机房环境系统巡检）。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前端设备外场巡检：外场维护工程师每日进行外场巡检，与平台运维工程师保持沟通，提供7天×8小时外场巡检。巡检作业项目包括：网管监控（诊断工具扫描，实时）、图像监看（驻场工程师监看，每日）、摄像机检查（诊断工具扫描，实时）、现场电气环境检查（现场，每季度）、摄像头性能检查（现场，每季度）、清洁机柜内设备（现场，每季度）、清洁摄像机外罩、护罩，遮挡树枝（现场，每月）、填写巡检记录、编写客户端巡检报告（现场，每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前端立杆及机箱等设备保养：每三个月为一个保养周期，对表面做防腐处理（表面涂防腐漆），对机箱里的电气设备等进行清洁和检查；每三个月为一个周期进行性能测试，对各类电器设备进行检测并做好参数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接地电阻测试：对接地电阻六个月为一测试周期；在每年的3月份雷雨季节来临前，着重对所有监控点的接地电阻进行测试和数据记录，并检查所有的监控设备的避雷是否正常，更换被雷击穿的避雷器，检查各接地线是否正常。</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（3）应急处置与重大活动保障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客户提供每年365天、每天24小时的支持服务，技术支持人员在解决故障时，会最大限度保护好数据，做好故障恢复的文档，力争恢复到故障点前的业务状态。故障解决后24小时内，提交故障处理报告，说明故障种类、故障原因、故障解决中使用的方法及故障损失等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维护服务单位需在重大安保活动前，对相关区域内的安保设施，包括前端设备、传输设备、中心机房设备等开展细致的临时维护，并根据滨湖公安分局需要，提供重大活动或突发事件现场技术保障，人脸抓拍需提供二次甄别推送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3）对重大节日以及公安安保事件的维护抢修成立专门的“特殊事件维护小组”，提前对指定点位加强巡检、保洁、保养和维护，重要节日每2天巡检1次，特殊重大活动时尽量做到1天1次，保证每两天维护1次。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当发生外部黑客入侵、数据泄露、木马病毒、勒索病毒、通报事件等突发安全事件时，应急响应人员快速响应，及时、准确的解决安全事件，化解安全危机，能够协助用户快速止损，最大化降低安全事件带来的影响，并出具相应事件的事件报告（频率要求：不限次数）。</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灾害天气维护：时刻关注天气变化，遭遇灾害天气，提前检查加固外场设备的安全，及时做好保护措施；在台风多发季节加强对对机箱等容易进水设备的巡查，提前做好保护措施；在雷雨季节来临之前，加强对防雷系统的检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（4）数据共享与对接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1）本项目产生的所有数据应照要求将相关信息资源汇聚到区数据局和城运中心，开展信息资源复用，探索综治、信访、应急等领域场景应用，构建共建共享共治社会治理新格局。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2）服务期内，维护服务单位应免费配合滨湖公安分局做好系统、数据对接开发。</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3）维护服务单位需无条件开放所有的对接接口，供滨湖公安分局指定的第三方系统调用，且不得以数据接口定制开发收取任何额外费用。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（5）专项维护工作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前端系统维护：开展对项目内所建前端感知系统的维护工作，含设备故障修复、损坏替换、图像遮挡处理；开展对前端立杆设施的维护工作，应届解决处理因事故等造成的杆件设施损坏恢复，协同处理因道路修缮等产生的点位迁移等工作；开展对前端设施设备的维护工作，含前端设备损坏替换过程中发生的所有安装辅材，含前端设备箱、避雷器、电源线、网线、支架等辅材的维护更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2）中心系统维护：开展对中心存储设备的维护工作，含设</w:t>
      </w:r>
      <w:r>
        <w:rPr>
          <w:rFonts w:hint="eastAsia" w:ascii="宋体" w:hAnsi="宋体" w:eastAsia="宋体" w:cs="宋体"/>
          <w:sz w:val="24"/>
          <w:szCs w:val="24"/>
          <w:lang w:val="en-US" w:eastAsia="zh-CN" w:bidi="ar"/>
        </w:rPr>
        <w:t xml:space="preserve">备故障修复、损坏替换等所有维护工作，确保整体系统图像可用性，避免录像无法保存的情况；开展对中心服务器设备的维护工作，含设备故障修复、损坏维修、替换等所有维护工作，确保整体系统整体可用性，避免服务器故障造成的长时间系统宕机；开展对中心网络设备的维护工作，含设备故障修复、损坏维修产生的硬件更换、软件配置调试等所有维护工作，确保中心网络系统正常运行；开展对列入维保范围内的应用软件的维护工作，含软件安使用需要开展的配置设置修改及调整、故障排查、问题修复等，确保应用软件的可用性，避免软件系统故障产生的长时间无法使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机房环境系统维护：开展对空调新风系统的维护工作，含机房空调、新风系统内设备的维护工作，含部件更换、冷媒添加等工作；开展对消防系统的维护工作，含机房消防系统内设施设备的维护工作，含药剂更换等工作；开展对机房环境控制及不间断电源系统的维护工作，含机房环控整体设备维护及不间断电源维护，含电池损坏后更换工作；开展对机房基础环境的维护工作，包含机房防雷接地系统、灯光照明系统、综合布线系统以及机房基础设施，在各系统发生故障时及时进行修复，并对因外部因素造成的机房墙面轻微损坏、静电地板损坏等进行修复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线路租赁：租赁运营商公安视频网主干网络裸纤26对（11个派出所及梅园保障基地各2个千兆走不同路由，与市局和交巡警中心机房各1对裸纤），租赁运营商前端点位至派出所机房裸纤786条，共租用812条运营商裸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5）机柜租赁：继续租赁运营商机房4个机柜放置中心设备，租赁期限1年。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每季度开展一次前端摄像头保洁并修剪遮挡、影响前端点位的绿化，工作完成书面报滨湖公安分局确认。摄像头污损、绿化遮挡等影响画面质量的，需在接到维护通知后48小时内清洁、处理完毕，特殊情况及时按滨湖公安分局要求完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维护服务单位保证维护的系统稳定可靠，为保证整体系统可用性达到100%，需要提供相应的备品备件设备，由维护服务单位自行提供，备品备件设备需符合备件数量及性能要求表中所列的设备要求。对无法修复的设备进行免费更换，在开展维护服务工作中，如需进行更换作业的，需在2小时之内完成，并确保视频在线。</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服务期内，维护服务单位应免费对滨湖公安分局负责日常操作的管理人员进行技术培训和指导，提供设备软件升级服务，在网络和设备扩容及软件升级时，需派技术人员免费到场支持。维护服务单位应主动向滨湖公安分局提供系统软件升级和优化，确保相关的软件是最新版本，同时需根据滨湖公安分局的要求进行免费的个性化定制或修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9）维护服务单位负责所有建设前端点位的坐标采集、名称标注、上图展示。维护服务单位按照公安机关要求，负责立杆、设备箱等的颜色和监控标识牌制作。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维护服务单位需自行勘察相关点位的杆件情况，如发现该点位上的原杆件灭失或不符合安全要求，维护服务单位自行免费新建或整改，对于新建杆件的基础，维护服务单位需拍照存档并提交滨湖公安分局，对于新建的杆件需有相关的检测合格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11）对于本项目中的监控点位，在维护期内，滨湖公安分局如有移位、迁移等需求，在点位总数10%以内的，维护服务单位需免费按滨湖公安分局的要求安装至新的点位，超过点位总数10%的，双方协商处理。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12）遇道路临时开挖、改建、施工等情况，设施维修、拆除或重建等所有费用由维护服务单位与施工方协商解决，不得由此影响滨湖公安分局的服务要求。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13）设施设备被偷盗、因交通事故、遭雷击、风暴或地震等恶劣天气损坏，或因其他原因损坏或丢失的，维护服务单位同样需在规定时间内修复或更换，相关费用由维护服务单位承担，不得由此影响滨湖公安分局的服务要求，如有相关责任人，由维护服务单位向相关责任人索赔或追偿，滨湖公安分局予以积极协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14）数据协助服务：为配合滨湖公安分局治安防控体系建设，维护服务单位需要在打处、维稳、反恐等工作中提供大数据支撑服务（法律法规明文规定不允许提供的数据以及技术上无法获取的数据除外），双方就大数据支撑的范围、方式等以补充协议进行约定。</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15）维护服务单位有权根据实际情况需要向滨湖公安分局提出变更申请，在征得滨湖公安分局同意后可进行变更。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16）服务期满后，若由第三方提供后续服务，则维护服务单位应提供便利，并提交相关的建设资料及运维资料。</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17）维护服务单位自合同约定的维护服务开始之日起，即应提供相应维护服务，在此之前应与原维保单位做好交接工作，不得因交接工作影响滨湖公安分局对于系统的正常使用。如产生影响滨湖公安分局对于系统正常使用的情况，因此产生的费用、损失及法律风险，由维护服务单位承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（6）深度潜伏威胁分析与渗透测试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1）深度潜伏威胁分析服务：分析态势感知和APT设备发现高危风险；分析边界防火墙发现高危风险；分析准入发现异常告警；检查日志审计设备活跃度；查看VPN堡垒机僵尸用户（频率要求：每年不少于4次）。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2）渗透测试：通过模拟黑客攻击，使用主流的攻击技术对互联网资产进行模拟攻击测试，提前发现信息系统脆弱环节及潜在的各种高危漏洞，提供渗透测试报告及修复建议（频率要求：每年不少于1次）。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（7）系统集成服务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1）针对本次项目涉及的硬件设备及系统提供系统7×24小时的集成服务，包括：系统割接、数据迁移、软件升级、短期技术保障、数据中心和网络安全设备的日常维护。</w:t>
      </w:r>
      <w:r/>
    </w:p>
    <w:p>
      <w:pPr>
        <w:numPr>
          <w:ilvl w:val="0"/>
          <w:numId w:val="19"/>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（1）系统可用性指标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1）前端设备在线率不低于98%。</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2）前端设备24小时内修复率不低于90%。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3）使用方满意度不低于90%。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4）保证系统每月完好率（前端图像、抓拍图片等在系统内可正常使用）达到98%（不可抗力和免责条款规定的除外）。</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5）保证整体系统可用性达到100%。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6）满足视频存储不低于30天，图片数据存储时间不低于180天。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（2）故障响应与修复时效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1）维护服务单位承诺提供7×24小时服务，确保1小时的服务响应时间。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2）维护服务单位需承诺接到故障后30分钟到达现场。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3）故障响应：在接到公安局电话或书面的检修通知后，指定技术人员15分钟内响应，60分钟内到达故障现场。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4）前端故障修复时间小于24小时。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5）设备更换需在2小时内完成。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6）中心及平台故障修复时间小于8小时（不可抗力除外）。</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7）摄像头污损、绿化遮挡等影响画面质量的，需在接到维护通知后48小时内清洁、处理完毕，特殊情况及时按滨湖公安分局要求完成。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机房环境、网络、服务器等故障：现场15分钟响应，60分钟内提交故障处理方案，8小时以内解决故障。设备故障处理时效：响应时间15分钟；处理时间2小时内不能解决的，提供规避方案；排除时间8小时内完成故障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9）设备或材料产生损坏时，服务商负责送设备至原厂进行维修或更换，维修工作要求2个工作日内处理完成，确实难以在短期内解决的，可以与用户方协商先行使用替代设备或材料，延长处理时间。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10）对于“系统瘫痪，业务系统不能运转”的故障级别，如果不能于到达客户单位查看问题后8小时内解决故障，将在12小时内提出应急方案，确保业务系统的运行。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（3）人员与备件要求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1）组建项目专属服务团队，至少派驻2名维护人员常驻滨湖公安分局。驻场人员与其他项目共用一名驻场人员，响应标准为7×24全天候响应，维护模式为7×8值班维护驻场服务。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机房环境维护配置弱电、强电工程师；业务系统维护配置网络专家、ITSS项目经理等不少于3人；网络及安全系统运维配置网络专家、安全工程师、ITSS项目经理等不少于3人；服务器及存储系统运维配置信息系统管理师、数据库专家、ITSS项目经理等不少于3人；信息系统维护配置网络专家、软件数据库支持工程师（厂家驻场运维1人）、服务提供商ITSS项目经理、服务工程师等不少于4人；通讯类运维配置ITSS服务工程师、网络工程师等不少于5人；前端设备运维配置驻场工程师、厂商支持工程师及外场协助人员若干。</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备品备件：备件库中需有高于或等同数量及性能要求的备品备件，具体包括环保型卡口抓拍单元（500万像素）1台、环保型卡口抓拍单元（900万像素）2台、多模式一体化补光灯5台、卡口全景摄像机2台、终端服务器1台、人脸抓拍摄像机3台、道路监控球型摄像机8台、出入口抓拍单元3台、双镜头结构化枪机1台、道路监控枪式摄像机3台、云存储存储主机内硬盘(6T)32块。</w:t>
      </w:r>
      <w:r/>
    </w:p>
    <w:tbl>
      <w:tblPr>
        <w:tblStyle w:val="779"/>
        <w:tblW w:w="495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6"/>
        <w:gridCol w:w="1149"/>
        <w:gridCol w:w="5274"/>
        <w:gridCol w:w="1155"/>
        <w:gridCol w:w="953"/>
      </w:tblGrid>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290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性能参数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单位</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环保型卡口抓拍单元（500万像素）</w:t>
            </w:r>
            <w:r/>
          </w:p>
        </w:tc>
        <w:tc>
          <w:tcPr>
            <w:shd w:val="clear" w:color="auto" w:fill="auto"/>
            <w:tcBorders>
              <w:top w:val="single" w:color="000000" w:sz="4" w:space="0"/>
              <w:left w:val="single" w:color="000000" w:sz="4" w:space="0"/>
              <w:bottom w:val="single" w:color="000000" w:sz="4" w:space="0"/>
              <w:right w:val="single" w:color="000000" w:sz="4" w:space="0"/>
            </w:tcBorders>
            <w:tcW w:w="290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环保卡口抓拍单元由防护罩组件及高清智能摄像机组成，抓拍单元防护罩前面板具有防尘、防水功能，单元内置LED暖光灯，单元支持网络防雷、防浪涌，宽温宽压等。</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采用多光谱融合技术，可以在晚间使用内置LED灯结合红外爆闪灯的情况下，仍得到全彩的图片，解决夜间白光爆闪光污染。</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内置摄像机采用2个2/3英寸高帧率全局曝光CMOS传感器，分辨率可达2448 × 2048，帧率高达25帧，具有清晰度高、照度低、帧率高、色彩还原度好等特点。</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【基础功能】</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 2/3” Global shutter CMOS(*2)</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图像控制: 曝光速度、AGC控制、白平衡方式控制等</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 H.264, H.265, MJPEG</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视频分辨率: 2448(H) × 2048(V)</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压缩输出码率: 32 Kbps~16 Mbps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帧率: 25fps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多码流: 支持3码流：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主码流：2448×2048（默认）；</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子码流：1920×1080P（默认）；</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三码流：704×576（默认）</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抓拍图片格式: JPEG</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抓拍图片分辨率: 2448(H) × 2048(V)</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存储功能: TF, USB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支持协议: ISAPI，GB/T 28181视频联网标准，GA/T 1400视图库标准，SDK，FTP协议等</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镜头规格: 25mm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光圈类型: 手动光圈</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【接口】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通讯接口: 3个RS-485接口，1个RS-232接口；2个RJ45 10M/100M自适应以太网口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触发输入: 1个触发/报警输入</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触发输出: 7路F+/F-输出接口，可作为补光灯同步输出控制</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同步输入: SYNC信号灯电源同步输入</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【智能功能】</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机动车: 车牌识别：民用车牌，新能源车牌；</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车身颜色识别：白、灰、黄、红、紫、绿、蓝、棕、黑；</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车型识别：大客车、中型客车、大货车、小货车、面包车、皮卡、轿车、SUV/MPV、二轮车、三轮车；</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车辆品牌，子品牌识别</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非机动车: 车型识别、特征识别</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行人: 人体识别、特征识别</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环保型卡口抓拍单元（900万像素）</w:t>
            </w:r>
            <w:r/>
          </w:p>
        </w:tc>
        <w:tc>
          <w:tcPr>
            <w:shd w:val="clear" w:color="auto" w:fill="auto"/>
            <w:tcBorders>
              <w:top w:val="single" w:color="000000" w:sz="4" w:space="0"/>
              <w:left w:val="single" w:color="000000" w:sz="4" w:space="0"/>
              <w:bottom w:val="single" w:color="000000" w:sz="4" w:space="0"/>
              <w:right w:val="single" w:color="000000" w:sz="4" w:space="0"/>
            </w:tcBorders>
            <w:tcW w:w="290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环保卡口抓拍单元由防护罩组件及高清智能摄像机组成，抓拍单元防护罩前面板具有防尘、防水功能，单元内置LED暖光灯，单元支持网络防雷、防浪涌，宽温宽压等。</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采用多光谱融合技术，可以在晚间使用内置LED灯结合红外爆闪灯的情况下，仍得到全彩的图片，解决夜间白光爆闪光污染。</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内置摄像机采用2个1英寸高帧率全局曝光CMOS传感器，分辨率可达4096 × 2160，帧率高达25帧，具有清晰度高、照度低、帧率高、色彩还原度好等特点。</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传感器类型：1” Global shutter CMOS（*2）</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图像控制：曝光速度、AGC控制、白平衡方式控制等</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视频压缩标准：H.264, H.265, MJPEG</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视频分辨率：4096(H) × 2160(V)</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压缩输出码率：32 Kbps~16 Mbps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帧率：25fps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多码流：支持3码流：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主码流：4096×2160（默认）；</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子码流：1920×1080（默认）；</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三码流：1920×1080（默认）</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抓拍图片格式：JPEG</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抓拍图片分辨率：4096(H) × 2160(V)</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存储功能：TF, USB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支持协议：ISAPI，GB/T 28181视频联网标准，GA/T 1400视图库标准，SDK，FTP协议等</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镜头规格：25mm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光圈类型：手动光圈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通讯接口：3个RS-485接口，1个RS-232接口；2个RJ45 10M/100M/1000M自适应以太网口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触发输入：1个触发/报警输入</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触发输出：7路F+/F-输出接口，可作为补光灯同步输出控制</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同步输入：SYNC信号灯电源同步输入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违章检测：超速、压车道线、违章变道、未系安全带、未戴头盔、非机动车载人、不礼让行人、逆行、低速、机动车闯禁令、打电话、占用机动车道、摩托车闯禁令、加塞等违法行为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机动车：车牌识别：民用车牌，新能源车牌；</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车身颜色识别：白、灰、黄、红、紫、绿、蓝、棕、黑；</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车型识别：大客车、中型客车、大货车、小货车、面包车、皮卡、轿车、SUV/MPV、二轮车、三轮车；</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车辆品牌，子品牌识别</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非机动车：车型识别、特征识别</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行人：人体识别、特征识别 </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2900"/>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多模式一体化补光灯</w:t>
            </w:r>
            <w:r/>
          </w:p>
        </w:tc>
        <w:tc>
          <w:tcPr>
            <w:shd w:val="clear" w:color="auto" w:fill="auto"/>
            <w:tcBorders>
              <w:top w:val="single" w:color="000000" w:sz="4" w:space="0"/>
              <w:left w:val="single" w:color="000000" w:sz="4" w:space="0"/>
              <w:bottom w:val="single" w:color="000000" w:sz="4" w:space="0"/>
              <w:right w:val="single" w:color="000000" w:sz="4" w:space="0"/>
            </w:tcBorders>
            <w:tcW w:w="290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铝合金灯体，鳍片式散热结构，面罩采用特殊工艺的耐高温的PC材料，透光效果好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采用24颗原装进口高亮度LED芯片，寿命长，稳定性好，发光效率高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带LED格栅，有效减少周边光污染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气体灯管采用德国海曼灯管，质量可靠，寿命长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经专业光学设计，发光均匀，目标光斑显明，有效减少光污</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采用步进电机功能，实现红外滤片的切换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LED控制采用先进的恒流驱动技术，电流控制准确、稳定，产品稳定性好、可靠性高，有效减少光衰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气体光源回电时间小于67ms，支持超速连拍，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气体补光控制具有峰值抑制功能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支持LED灯频闪、白光气体爆闪，红外气体爆闪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支持相机误触发保护功能，触发信号输入异常时自动保护、且自动恢复</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卡口全景摄像机</w:t>
            </w:r>
            <w:r/>
          </w:p>
        </w:tc>
        <w:tc>
          <w:tcPr>
            <w:shd w:val="clear" w:color="auto" w:fill="auto"/>
            <w:tcBorders>
              <w:top w:val="single" w:color="000000" w:sz="4" w:space="0"/>
              <w:left w:val="single" w:color="000000" w:sz="4" w:space="0"/>
              <w:bottom w:val="single" w:color="000000" w:sz="4" w:space="0"/>
              <w:right w:val="single" w:color="000000" w:sz="4" w:space="0"/>
            </w:tcBorders>
            <w:tcW w:w="290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400万+400万25倍枪球一体机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全景400万单目臻全彩，细节球机400万25倍，采用双镜头设计，兼顾全景细节</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全景采用1个 F1.0大光圈全彩镜头，可输出90°大场景画面，细节采用1/1.8 CMOS传感器25倍光学变倍镜头，高清成像</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支持多种智能资源切换：【全景】Smart事件（默认）；【细节】Smart事件（默认），全结构化，混合目标比对，智能交通，人员布控</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支持AR功能，摄像机的实时视频画面中添加最多500个AR标签，且可实现标签与标签联动的功能</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AI-ISP降噪：采用去噪卷积神经网络将深度结构、学习算法用于图像去噪，最终使画面成像更新清晰，噪点更小图像更干净准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支持GB35114A级安全加密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传感器类型：【全景】1/1.8＂ progressive scan CMOS,【细节】1/1.8＂ progressive scan 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最低照度：【全景】彩色 0.0005Lux @ (F1.0，AGC ON)，黑白0.0001Lux @(F1.0，AGC ON)， 0Lux with Lght；</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【细节】彩色 0.0005Lux @ (F1.5，AGC ON)，黑白:0.0001Lux @(F1.5，AGC ON)， 0Lux with IR；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焦距：【全景】4mm；【细节】5.9~147.5 mm，25倍光学变倍</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视场角：【全景】90°；【细节】59.8°-2.7°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补光灯距离：【全景】暖白光30米；【细节】暖白光50米，红外250米</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防补光过曝：支持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水平范围：【全景】不支持；【细节】0-360°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垂直范围：【全景】7-17°；【细节】-20-90°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水平速度：【全景】不支持；【细节】水平键控速度：0.1°-160°/s,速度可设;水平预置点速度：240°/s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垂直速度：【全景】垂直键控速度可设；【细节】垂直键控速度：0.1°-120°/s,速度可设;垂直预置点速度：200°/s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主码流帧率分辨率：【全景】</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50 Hz：25 fps（2688*1520，2560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60 Hz：30 fps（2688*1520,2560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【细节】</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高帧率：</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50Hz：50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60 Hz：60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常规帧率：</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50 Hz：25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60 Hz：30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视频压缩标准：H.265,H.264,MJPEG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宽动态：支持120dB超宽动态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陀螺仪：支持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网络接口：支持100M网络数据,RJ45网口,自适应网络数据</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SD卡扩展：内置Micro SD卡插槽,支持Micro SD/Micro SDHC/Micro SDXC卡,最大支持512 GB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报警：7路报警输入</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2路报警输出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音频：1路音频输入，1路音频输出，音频峰值：2~2.4 V[p-p]，输入阻抗：1 kΩ ± 10%；线性电平，阻抗：600 Ω</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防护：IP67; 6000V 防雷、防浪涌、防突波，符合GB/T17626.2/3/4/5/6四级标准 </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3680"/>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终端服务器</w:t>
            </w:r>
            <w:r/>
          </w:p>
        </w:tc>
        <w:tc>
          <w:tcPr>
            <w:shd w:val="clear" w:color="auto" w:fill="auto"/>
            <w:tcBorders>
              <w:top w:val="single" w:color="000000" w:sz="4" w:space="0"/>
              <w:left w:val="single" w:color="000000" w:sz="4" w:space="0"/>
              <w:bottom w:val="single" w:color="000000" w:sz="4" w:space="0"/>
              <w:right w:val="single" w:color="000000" w:sz="4" w:space="0"/>
            </w:tcBorders>
            <w:tcW w:w="290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【4路IPC接入】【2T】</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嵌入式操作系统，内置1块2T硬盘；</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双网卡，具备4个100M以太网接口及2个1000M以太网接口、2个1000M SFP光纤接口；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坚固紧凑无风扇设计，体积小巧，适合在路边机柜及抱杆机柜使用，单面接口设计，更便于施工操作；</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最大支持2TB硬盘存储，图片与录像可设置配额；</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支持对通行车辆的信息（记录和图片、录像）存储；</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可配置多种字符叠加、图片合成模式；</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人脸抓拍摄像机</w:t>
            </w:r>
            <w:r/>
          </w:p>
        </w:tc>
        <w:tc>
          <w:tcPr>
            <w:shd w:val="clear" w:color="auto" w:fill="auto"/>
            <w:tcBorders>
              <w:top w:val="single" w:color="000000" w:sz="4" w:space="0"/>
              <w:left w:val="single" w:color="000000" w:sz="4" w:space="0"/>
              <w:bottom w:val="single" w:color="000000" w:sz="4" w:space="0"/>
              <w:right w:val="single" w:color="000000" w:sz="4" w:space="0"/>
            </w:tcBorders>
            <w:tcW w:w="290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支持GB35114安全加密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400W智能筒型网络摄像机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采用深度学习算法，以海量图片及视频资源为路基，通过机器自身提取目标特征，形成深层可供学习的图像。极大的提升了算法的检出率</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支持智能资源模式切换：人脸抓拍、道路监控、Smart事件、人数统计、热度图</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采用隐藏式灯珠设计，通过鳞甲密布排列形成的镜面反射出光，见光不见灯。增加发光面积，降低聚光效果，补光柔和均匀</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设备内置电动变焦镜头，操作便易，变焦过程平稳</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宽动态：120 dB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最低照度：彩色：0.0005 Lux @（F1.2，AGC ON），0 Lux with Light</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黑白：0.0001 Lux @（F1.2，AGC ON），0 Lux with IR</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传感器类型：1/1.8" Progressive Scan CMOS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焦距&amp;视场角：8~32 mm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补光灯类型：鳞镜补光，默认混光（850 nm+暖白），4颗灯珠</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防补光过曝：支持防补光过曝开启和关闭，开启下支持自动和手动，手动支持根据距离等级控制补光灯亮度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最大图像尺寸：2560 × 1440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视频压缩标准：H.265/H.264/MJPEG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网络：1个RJ45 10 M/100 M自适应以太网口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SD卡扩展：内置MicroSD/MicroSDHC/MicroSDXC插槽，最大支持256 GB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复位：支持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音频：2路输入（Line in），1路输出（Line out），2个内置麦克风，1个内置扬声器</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报警：3路输入，2路输出（报警输入支持开关量，报警输出最大支持DC12 V，30 mA）</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电源输出：DC12 V，100 mA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恢复出厂设置：支持RESET按键，客户端或浏览器恢复</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供电方式：DC：12 V ± 20%，支持防反接保护</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防护：IP67 </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道路监控球型摄像机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290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400万+400万25倍枪球一体机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全景400万单目臻全彩，细节球机400万25倍，采用双镜头设计，兼顾全景细节</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全景采用1个 F1.0大光圈全彩镜头，可输出90°大场景画面，细节采用1/1.8 CMOS传感器25倍光学变倍镜头，高清成像</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支持多种智能资源切换：【全景】Smart事件（默认）；【细节】Smart事件（默认），全结构化，混合目标比对，智能交通，人员布控</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支持AR功能，摄像机的实时视频画面中添加最多500个AR标签，且可实现标签与标签联动的功能</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AI-ISP降噪：采用去噪卷积神经网络将深度结构、学习算法用于图像去噪，最终使画面成像更新清晰，噪点更小图像更干净准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支持GB35114A级安全加密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传感器类型：【全景】1/1.8＂ progressive scan CMOS,【细节】1/1.8＂ progressive scan 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最低照度：【全景】彩色 0.0005Lux @ (F1.0，AGC ON)，黑白0.0001Lux @(F1.0，AGC ON)， 0Lux with Lght；</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【细节】彩色 0.0005Lux @ (F1.5，AGC ON)，黑白:0.0001Lux @(F1.5，AGC ON)， 0Lux with IR；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焦距：【全景】4mm；【细节】5.9~147.5 mm，25倍光学变倍</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视场角：【全景】90°；【细节】59.8°-2.7°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补光灯距离：【全景】暖白光30米；【细节】暖白光50米，红外250米</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防补光过曝：支持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水平范围：【全景】不支持；【细节】0-360°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垂直范围：【全景】7-17°；【细节】-20-90°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水平速度：【全景】不支持；【细节】水平键控速度：0.1°-160°/s,速度可设;水平预置点速度：240°/s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垂直速度：【全景】垂直键控速度可设；【细节】垂直键控速度：0.1°-120°/s,速度可设;垂直预置点速度：200°/s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主码流帧率分辨率：【全景】</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50 Hz：25 fps（2688*1520，2560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60 Hz：30 fps（2688*1520,2560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【细节】</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高帧率：</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50Hz：50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60 Hz：60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常规帧率：</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50 Hz：25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60 Hz：30 fps（2688 × 1520 , 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视频压缩标准：H.265,H.264,MJPEG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宽动态：支持120dB超宽动态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陀螺仪：支持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网络接口：支持100M网络数据,RJ45网口,自适应网络数据</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SD卡扩展：内置Micro SD卡插槽,支持Micro SD/Micro SDHC/Micro SDXC卡,最大支持512 GB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报警：7路报警输入</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2路报警输出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音频：1路音频输入，1路音频输出，音频峰值：2~2.4 V[p-p]，输入阻抗：1 kΩ ± 10%；线性电平，阻抗：600 Ω</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防护：IP67; 6000V 防雷、防浪涌、防突波，符合GB/T17626.2/3/4/5/6四级标准 </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547"/>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出入口抓拍单元</w:t>
            </w:r>
            <w:r/>
          </w:p>
        </w:tc>
        <w:tc>
          <w:tcPr>
            <w:shd w:val="clear" w:color="auto" w:fill="auto"/>
            <w:tcBorders>
              <w:top w:val="single" w:color="000000" w:sz="4" w:space="0"/>
              <w:left w:val="single" w:color="000000" w:sz="4" w:space="0"/>
              <w:bottom w:val="single" w:color="000000" w:sz="4" w:space="0"/>
              <w:right w:val="single" w:color="000000" w:sz="4" w:space="0"/>
            </w:tcBorders>
            <w:tcW w:w="290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400万像素智慧监控单元</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支持3D数字降噪功能。</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支持机动车辆抓拍，内置车牌识别、车身颜色识别、车型识别功能，车辆主子品牌识别功能。</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传感器类型：1/1.8”CMOS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触发输出：1路F+F-输出接口，可作为补光灯控制接口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通讯接口：1个RS-485接口，1个RS-232接口，1个RJ45 10M/100M自适应以太网口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图片分辨率：2688 × 1520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图片格式：JPEG</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内部组件：电源适配器</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外部辅件：自带安装万向节</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快门：1秒~1/100，000秒</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压缩输出码率：32 Kbps~16 Mbps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图像设置：饱和度，亮度，对比度，白平衡，增益通过软件可调</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通用功能：心跳，密码保护，NTP校时</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帧率：25fps（2688 × 1520）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支持协议：TCP/IP，HTTP，DNS，RTP，RTSP，NTP，支持FTP上传图片</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视频分辨率：2688（H）×1520（V）</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最小照度：彩色：0.001Lux @（F1.2，AGC ON）</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黑白：0.0001 Lux @（F1.2，AGC ON）</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存储功能：TF</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视频压缩标准：H.264;H.265;MJPEG</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闪光灯控制：闪光灯自动光控、时控可选</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双镜头结构化枪机</w:t>
            </w:r>
            <w:r/>
          </w:p>
        </w:tc>
        <w:tc>
          <w:tcPr>
            <w:shd w:val="clear" w:color="auto" w:fill="auto"/>
            <w:tcBorders>
              <w:top w:val="single" w:color="000000" w:sz="4" w:space="0"/>
              <w:left w:val="single" w:color="000000" w:sz="4" w:space="0"/>
              <w:bottom w:val="single" w:color="000000" w:sz="4" w:space="0"/>
              <w:right w:val="single" w:color="000000" w:sz="4" w:space="0"/>
            </w:tcBorders>
            <w:tcW w:w="290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400万 星光级1/1.8" CMOS AI多摄智能网络摄像机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支持智能资源模式切换：全结构化（默认）、人脸抓拍、人脸比对、道路监控、Smart事件</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设备支持上下双通道镜头，上通道内置电动变焦镜头，操作便易，变焦过程平稳；下通道定焦全彩镜头，满足低照度下的监控需求</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设备内置高效温和补光灯，告别光污染，保证夜间正常进行人脸抓拍</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支持GB35114  A级安全加密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 通道1：1/1.8" Progressive Scan CMOS；通道2：1/1.8" Progressive Scan 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通道1：彩色：0.0005 Lux @（F1.2，AGC ON），0 Lux with Light；黑白：0.0001 Lux @（F1.2，AGC ON），0 Lux with IR</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通道2：彩色：0.0003 Lux @（F1.0，AGC ON），0 Lux with Light；黑白：0.0001 Lux @（F1.0，AGC ON），0 Lux with IR</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 120 dB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  通道1：8~32 mm，通道2：4mm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补光灯类型: 混合补光（支持白光模式和混光模式）</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最大图像尺寸: 通道1：2688 x 1520；通道2：2688 x 1520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 H.265/H.264/MJPEG</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网络存储: 支持Micro SD(即TF卡)/Micro SDHC/Micro SDXC卡（最大256 GB）断网本地存储及断网续传，NAS（NFS，SMB/CIFS均支持），配合海康黑卡支持SD卡加密及SD卡状态检测</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视频输出: 1 Vp-p复合输出（75 Ω/CVBS）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 1个RJ45 10 M/100 M/1000 M自适应以太网口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 2个内置麦克风，1个内置扬声器；2路输入，1路输出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 3路输入，2路输出（报警输入支持开关量，报警输出最大支持DC12 V，30 mA）</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RS-485:</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复位: 支持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 IP67</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道路监控枪式摄像机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290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智能筒型网络摄像机，支持鳞镜补光，夜间成像效果更出色</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支持智能资源模式：人脸抓拍、道路监控、Smart事件，多种智能模式可按需切换</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采用隐藏式灯珠设计，通过鳞甲密布排列形成的镜面反射出光，见光不见灯；增加发光面积，降低聚光效果，补光柔和均匀</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支持开放型网络视频接口、ISAPI、GB/T28181协议接入；支持三码流技术，支持同时20路取流；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支持三级用户权限管理，支持授权的用户和密码，支持IP地址过滤；</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支持GB35114 A级安全加密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传感器类型：1/1.8" Progressive Scan 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最低照度：彩色：0.002 Lux ，0 Lux with Light</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黑白：0.0002 Lux，0 Lux with IR</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宽动态：120 dB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焦距：2.8~4 mm或4~6 mm或6~9 mm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补光灯类型：鳞镜补光，默认红外850 nm，可切换至暖白光，4颗灯珠</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补光距离：白光：普通监控：最远可达30 m，人脸抓拍/识别：最远可达5 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红外：普通监控：最远可达50 m，人脸抓拍/识别：最远可达10 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防补光过曝：支持防补光过曝开启和关闭，开启下支持自动和手动，手动支持根据距离等级控制补光灯亮度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最大图像尺寸：2560 × 1440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视频压缩标准：H.265/H.264/MJPEG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网络：1个RJ45 10 M/100 M自适应以太网口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SD卡扩展：内置MicroSD/MicroSDHC/MicroSDXC插槽，最大支持512 GB</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音频：1路输入（Line in），1路输出（Line out），2个内置麦克风，1个内置扬声器</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报警：1路输入，1路输出（报警输入支持开关量，报警输出最大支持DC12 V，30 mA）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RS-485：1个RS-485接口，半双工模式，支持自适应PELCO-P和PELCO-D协议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复位：支持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电源输出：DC12 V，100 mA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供电方式：DC：12 V ± 20%，支持防反接保护；PoE：802.3at，Type 2，Class 4</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防护：IP67 </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云存储存储主机内硬盘(6T)</w:t>
            </w:r>
            <w:r/>
          </w:p>
        </w:tc>
        <w:tc>
          <w:tcPr>
            <w:shd w:val="clear" w:color="auto" w:fill="auto"/>
            <w:tcBorders>
              <w:top w:val="single" w:color="000000" w:sz="4" w:space="0"/>
              <w:left w:val="single" w:color="000000" w:sz="4" w:space="0"/>
              <w:bottom w:val="single" w:color="000000" w:sz="4" w:space="0"/>
              <w:right w:val="single" w:color="000000" w:sz="4" w:space="0"/>
            </w:tcBorders>
            <w:tcW w:w="290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6T企业级IoT硬盘</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块</w:t>
            </w:r>
            <w:r/>
          </w:p>
        </w:tc>
      </w:tr>
    </w:tbl>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4）当维修或更换设备所需要的时间超过3个工作日（计算机服务器、网络设备等须在1个工作日内），则必须提供档次不低于送修设备的备件。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（4）安全生产与保密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严格执行相关安全生产的规范条例，维护服务单位应对施工维护人员进行安全教育，维护服务单位应确保合同期内不发生人身伤亡事故和火灾事故，并应参加建筑、安装工程保险，合同期内发生的质量、安全事故及责任和经济损失均由维护服务单位负责。</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传输链路要专用，与其他网络物理隔绝，并不得接入任何其它网络；要求维护服务单位不得擅自改变网络架构及组网方式，每条链路上行带宽不得低于100M。前端点位租赁运营商光纤裸纤链路数量不得少于核定的数量，含链路两端光传输设备及中心端接入交换设备；租赁运营商裸纤链路，带宽100M（部分点位因应用场景需要带宽超过100M，运营商应根据实际需求免费提升带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维护服务单位对本项目所涉及的软硬件技术资料（含文本资料）和监控图像等资料均负有保密义务，未经滨湖公安分局许可，不得提供给第三方；本项目采集的各类数据归滨湖公安分局所有，维护服务单位对本项目采集的各类数据、对接的公安及其他单位的数据负有保密义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严禁“一机两用、一机双网”，不准以任何方式将公安机关内部计算机、网络设备连接国际互联网；严禁泄露工作中接触的公安数据、帐号和密码；计算机如需送出维修，必须将计算机硬盘拆下，将硬盘交公安方管理者，维修方不得将硬盘带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5）前端点位的取电用电、绿化及市政开挖赔补、绿化修剪，行政审批等事宜及相关费用由维护服务单位自行解决，维护服务单位负责项目实施过程中的拆移赔补等其他杂费，并负责与相关部门的协调工作。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（5）运维变更与交接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1）不得擅自改变网络架构及组网方式，每条链路上行带宽不得低于100M。</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2）不得擅自改变前端设备接入的中心系统，不得擅自改变前端设备的接入方式以及中心应用所需涉及的相关平台及安全防护等系统。</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3）为保障公共安全，本项目内相关中心设备必须放置于运营商机房，且未经滨湖公安分局同意，不得擅自变更存放位置。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4）未经滨湖公安分局同意维护服务单位不得擅自在杆件上安装与本项目无关的其他设备。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系统内设施设备经过更换后，如因故障需要进行维修的，维修前后设施设备品牌和型号应保持完全一致。如原有型号已停产，应使用性能等于或高于当前的设备进行替换。系统内设施设备经过维修后，不能丢失或遗漏，设施设备数量必须与维修前保持完全一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6）服务期满后，若由第三方提供后续服务，则维护服务单位应提供便利，并提交相关的建设资料及运维资料。</w:t>
      </w:r>
      <w:r/>
    </w:p>
    <w:p>
      <w:pPr>
        <w:numPr>
          <w:ilvl w:val="0"/>
          <w:numId w:val="19"/>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运维输出物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（1）每日报告与记录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视频监控巡检记录表》（监控系统机房日常维护记录表）：每日填写，记录设备名称、维护单位、维护地点以及分类项目（电力、温度、湿度、防尘、存储、图像、控制、设备连接）的维护内容、检查结果和检查结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2）驻场工程师图像监看评价记录：每日记录，检查监控图像的清晰程度并做好评价记录。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3）日巡检分析报告：每日提交，为服务器及存储系统服务报告内容之一。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4）交接班登记表：每日提交，属于运维服务过程中产生的记录。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5）对设备进行定期检测、保养的检测报告：按需提交，向用户方汇报设备运行状态，报告由用户方确认，双方存底备查。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6）《设备维护档案表格》：按需更新，记录设备名称、编号、制造时间、制造单位、现有数量、设备价格、验收日期，以及每次设备维修/更换零件/年度予检修等记录的工装履历，以便备查。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（2）故障处理与事件记录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1）《系统故障报修单》：每次故障处理时填写，包含故障类别、故障原因、解决办法，并请用户负责人签字，交予运维公司和客户共同留存。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2）故障处理报告：故障解决后24小时内提交，说明故障种类、故障原因、故障解决中使用的方法及故障损失等情况。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3）事件处理分析、解决方案报告：按需提交，为服务器及存储系统服务报告内容之一。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4）《备品备件出库登记表》：按需填写。</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5）《服务申请单》：按需填写，记录工单编号、受理时间、处理完成时间、派单人员、处理人员、申请人信息（姓名、部门、电话）、故障反映、故障类别、故障说明、故障原因、解决办法等信息。</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（3）定期巡检与分析报告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1）周巡检分析报告：每周提交，结合网络、服务器、存储、安全出具，向用户汇报设备运行状态。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2）月巡检分析报告：每月提交，为服务器及存储系统服务报告内容之一。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3）工作月报（《每月维护服务情况汇报》）：每月提交，包含绩效数据指标（绩效项目、绩效目标、实际绩效、达成情况、绩效评分）、工作计划完成情况、下月工作计划、月度总结。</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4）前端设备巡检记录及客户端巡检报告：每月填写提交，包括外场巡检记录。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5）前端摄像头保洁及遮挡绿植修剪书面报告：每季度提交，工作完成书面报滨湖公安分局确认。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6）半年总结分析报告：每半年提交，为服务器及存储系统服务报告内容之一。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7）年度终结分析报告：每年提交，为服务器及存储系统服务报告内容之一。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8）服务年报：服务期结束前提供。</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（4）安全服务及专项报告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1）应急响应事件报告：安全事件发生后提交（频率要求：不限次数），帮助用户正确应对攻击入侵事件。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2）深度潜伏威胁分析报告：每年提交不少于4次。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3）定期维护检查报告：每年提交4次，对重要边界安全设备规则库及重要功能模块进行安全检查，确保规则库的时效性。</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4）渗透测试报告及修复建议：每年提交不少于1次。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5）系统集成服务相关文档：按需提供，包括系统割接方案（含回退方案及紧急联络表）、数据迁移方案、短期技术保障方案等。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6）故障分析处理记录、故障整改方案和建议：按需提交。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7）重大故障记录报告：按需提交。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（5）资产与档案管理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1）所有区域的系统图及点位图：正式维护服务开始前完成绘制并提交。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2）新建杆件基础照片及检测合格报告：新建杆件时提交。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3）操作手册、运行手册、技术方案及图纸：如因维护需要更换新设备或系统的，维护服务单位需提供操作手册、所有系统的运行手册、操作程序和寻找故障的说明、所有系统技术方案及图纸。</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4）网络文档记录：按需提交，包括网络拓扑图、设备配置信息、故障排除记录等。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5）服务器维护过程资料：按需提交，整理和归纳服务器、存储日常维护知识库及整理服务器运维过程资料和相关配套维护文档。</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6）日常维护报告、系统巡检日志、系统维护记录、系统优化记录、各类优化的管理制度：按需或定期提交。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7）服务期满后资料：服务期满后，若由第三方提供后续服务，需提交相关的建设资料及运维资料。</w:t>
      </w:r>
      <w:r/>
    </w:p>
    <w:p>
      <w:pPr>
        <w:numPr>
          <w:ilvl w:val="0"/>
          <w:numId w:val="19"/>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人员驻场要求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维护服务单位为本项目至少派驻2名维护人员，驻场人员需同时接受滨湖公安分局的管理。工作时间：维护期内每周一至周六上午9：00至下午17：00。工作地点：滨湖公安分局。维护服务单位需承诺接到故障后30分钟到达现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名驻场人员作内容主要是：每日完成前端视频巡查及后台设备巡查工作2轮，确保公安分局视频在线率及图像质量。发现故障需立即处置，2名驻场人员一人前往前端点位会同外场服务人员一起进行排查维修，一人可在分局进行平台端的操作及确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此外滨湖公安通信科每日对“一眼多维感知平台”中的《人脸抓拍数据监测报表》、《卡口过车数据监测报表》和《设备过车数据监测报表》等报表中出现的问题以及日常工作中发现的问题人工复核后形成问题清单，通报给考核对象（一般发送到“滨湖分局运维考核群”）。考核对象安排相关人员按照清单，对照问题及时整改。</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31</w:t>
      </w:r>
      <w:r>
        <w:rPr>
          <w:rFonts w:hint="eastAsia" w:ascii="宋体" w:hAnsi="宋体" w:eastAsia="宋体" w:cs="宋体"/>
          <w:b/>
          <w:bCs/>
          <w:sz w:val="24"/>
          <w:szCs w:val="24"/>
          <w:lang w:eastAsia="zh-CN"/>
        </w:rPr>
        <w:t xml:space="preserve">：滨湖区天眼项目维护服务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运维期限：12个月（2026年9月1日-2027年8月31日）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服务使用单位：无锡市滨湖区公安分局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numPr>
          <w:ilvl w:val="0"/>
          <w:numId w:val="20"/>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滨湖区天眼项目建设内容包括：黑光级人脸抓拍相机127套，全彩全局人脸抓拍相机37套，普通人脸抓拍相机1路，形体视频结构化实施布控服务240路，以及相关中心系统（含平台软件、服务器、存储设备及硬盘）、网络传输系统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本项目运维要求：对现有设备进行质保运维1年，使得整体系统正常运作，确保前端点位在线率、完好率，满足视频存储不低于30天，图片数据存储时间不低于180天。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（1）前端系统维护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1）开展对项目内所建前端感知系统的维护工作，含设备故障修复、损坏替换、图像遮挡处理；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2）开展对前端立杆设施的维护工作，应届解决处理因事故等造成的杆件设施损坏恢复；协同处理因道路修缮等产生的点位迁移等工作；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3）开展对前端设施设备的维护工作，含前端设备损坏替换过程中发生的所有安装辅材，含前端设备箱、避雷器、电源线、网线、支架等辅材的维护更换。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（2）中心系统维护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1）开展对中心存储设备的维护工作，含设备故障修复、损坏替换等所有维护工作，确保整体系统图像可用性，避免录像无法保存的情况；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2）开展对中心服务器设备的维护工作，含设备故障修复、损坏维修、替换等所有维护工作，确保整体系统整体可用性，避免服务器故障造成的长时间系统宕机；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3）开展对中心网络设备的维护工作，含设备故障修复、损坏维修产生的硬件更换、软件配置调试等所有维护工作，确保中心网络系统正常运行。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4）开展对列入维保范围内的应用软件的维护工作，含软件安使用需要开展的配置设置修改及调整、故障排查、问题修复等，确保应用软件的可用性，避免软件系统故障产生的长时间无法使用。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（3）机房环境系统维护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1）开展对空调新风系统的维护工作，含机房空调、新风系统内设备的维护工作，含部件更换、冷媒添加等工作；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2）开展对消防系统的维护工作，含机房消防系统内设施设备的维护工作，含药剂更换等工作；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3）开展对机房环境控制及不间断电源系统的维护工作，含机房环控整体设备维护及不间断电源维护，含电池损坏后更换工作；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开展对机房基础环境的维护工作，包含机房防雷接地系统、灯光照明系统、综合布线系统以及机房基础设施。在各系统发生故障时及时进行修复，并对因外部因素造成的机房墙面轻微损坏、静电地板损坏等进行修复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（4）线路租赁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为确保“滨湖区天眼项目”所建设系统的正常运行，保障前端感知系统采集数据继续向分局中心应用系统汇聚，本项目中继续租赁运营商裸纤实现数据传输。本项目共计需租赁裸纤165条。租赁期限1年。另外需提供组网需要的各派出所至运营商机房、运营商机房至滨湖公安机房的裸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（5）机柜租赁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本项目原租赁运营商机房2个机柜放置中心设备，现继续租赁运营商机房2个机柜。租赁期限1年。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bookmarkStart w:id="203" w:name="_Toc71948935"/>
      <w:r>
        <w:rPr>
          <w:rFonts w:hint="eastAsia" w:ascii="宋体" w:hAnsi="宋体" w:eastAsia="宋体" w:cs="宋体"/>
          <w:sz w:val="24"/>
          <w:szCs w:val="24"/>
          <w:lang w:val="en-US" w:eastAsia="zh-CN" w:bidi="ar"/>
        </w:rPr>
        <w:t xml:space="preserve">（6）零星更换摄像机费</w:t>
      </w:r>
      <w:bookmarkEnd w:id="203"/>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因公安治安监控担负着治安防范和打击犯罪的重要作用，维保要求高，相关视频监控级联市公安局、省公安厅和公安部，无锡市公安局对此有严格的考核要求和指标，需时刻保持相关系统、设备的稳定运行，经逐个预览查看，发现有部分道路监控球型摄像机和高清球机图像质量下降，已严重影响业务部门的使用，为此在项目中需零星更换部分摄像机。</w:t>
      </w:r>
      <w:r/>
    </w:p>
    <w:tbl>
      <w:tblPr>
        <w:tblStyle w:val="779"/>
        <w:tblW w:w="495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51"/>
        <w:gridCol w:w="1301"/>
        <w:gridCol w:w="5240"/>
        <w:gridCol w:w="953"/>
        <w:gridCol w:w="632"/>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288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性能参数</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单位</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超低照度人脸抓拍机</w:t>
            </w:r>
            <w:r/>
          </w:p>
        </w:tc>
        <w:tc>
          <w:tcPr>
            <w:shd w:val="clear" w:color="auto" w:fill="auto"/>
            <w:tcBorders>
              <w:top w:val="single" w:color="000000" w:sz="4" w:space="0"/>
              <w:left w:val="single" w:color="000000" w:sz="4" w:space="0"/>
              <w:bottom w:val="single" w:color="000000" w:sz="4" w:space="0"/>
              <w:right w:val="single" w:color="000000" w:sz="4" w:space="0"/>
            </w:tcBorders>
            <w:tcW w:w="288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黑光护罩一体机， 基于视网膜成像原理，采用双sensor架构和双光融合技术，提供卓越的图像视觉体验，在极低亮度下，呈现如在白昼中的彩色画质</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采用深度学习算法，以海量图片及视频资源为路基，通过机器自身提取目标特征，形成深层可供学习的人脸图像。极大的提升了目标人脸的检出率。</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支持智能资源模式切换：全结构化（默认）、人脸抓拍、人脸比对、道路监控、Smart事件</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专业智能：支持背景大图图片字符叠加功能，支持设备编号、抓拍时间、监测点信息</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图像相关：支持2688×1520@30fps实时帧率，图像更流畅</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图像相关：支持120dB宽动态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图像相关：支持透雾、电子防抖</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接口功能：支持标准的256G Micro SD/Micro SDHC/Micro SDXC卡存储</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接口功能：支持1路音频输入，1路音频输出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接口功能：支持2路报警输入，2路报警输出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安全服务：支持三级用户权限管理，支持授权的用户和密码，支持IP地址过滤</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接口功能：支持10M/100M/1000M自适应网口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安全服务：支持GB35114安全加密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传感器类型：1/1.8” Progressive Scan 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最大图像尺寸：2688 × 1520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最低照度：彩色：0.0002 Lux @（F1.2, AGC ON）</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宽动态：120 dB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焦距：11-40mm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补光灯类型：混合补光（支持白光模式和混光模式），750 nm+暖白光</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补光距离：混光模式：普通监控：最远可达100 m，人脸抓拍/识别：最远可达15 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白光模式：普通监控：最远可达70 m，人脸抓拍/识别：最远可达15 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防补光过曝：支持防补光过曝开启和关闭，开启下支持自动和手动，手动支持根据距离等级控制补光灯亮度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视频压缩标准：H.265/H.264/MJPEG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视频输出：1 Vp-p Composite Output（75 Ω/CVBS）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网络：1个RJ45 10 M/100 M/1000 M自适应以太网口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音频：1路输入（Line in），1路输出（Line out）</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报警：2路输入，2路输出（报警输入支持开关量，报警输出最大支持AC/DC24 V，1 A）</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RS-485：1个RS-485接口，采用半双工模式，支持自适应HIKVISION，PELCO-P和PELCO-D协议</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复位：支持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防护：IP66 </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全局结构化抓拍摄像机</w:t>
            </w:r>
            <w:r/>
          </w:p>
        </w:tc>
        <w:tc>
          <w:tcPr>
            <w:shd w:val="clear" w:color="auto" w:fill="auto"/>
            <w:tcBorders>
              <w:top w:val="single" w:color="000000" w:sz="4" w:space="0"/>
              <w:left w:val="single" w:color="000000" w:sz="4" w:space="0"/>
              <w:bottom w:val="single" w:color="000000" w:sz="4" w:space="0"/>
              <w:right w:val="single" w:color="000000" w:sz="4" w:space="0"/>
            </w:tcBorders>
            <w:tcW w:w="288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全景镜头和细节传感器均采用1/1.8＂ CMOS,全景镜头采用6mm定焦镜头，细节镜头采用13-52mm瞬晰变焦黑光镜头。</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支持人脸抓拍，非机动车识别、机动车车牌识别等全结构化功能</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支持三种智能资源模式切换：混合目标检测-全结构化模式（全景）、混合目标检测-人脸+人体模式（细节）、人脸抓拍模式（细节）</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动点镜头支持瞬晰聚焦，从最小倍到最大倍变倍时间为0.1秒</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AISP降噪功能：采用去噪卷积神经网络将深度结构、学习算法用于图像去噪，最终使画面成像更新清晰，噪点更小图像更干净</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支持算法比对机制,降低人脸抓拍重复率</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支持GB35114安全加密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传感器类型：【全景】1/1.8＂ progressive scan CMOS,【细节】双1/1.8＂ progressive scan 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最低照度：【全景】彩色：0.0005 Lux @（F1.0，AGC ON），黑白：0.0001 Lux @（F1.0，AGC ON）；【细节】彩色：0.0005Lux @（F1.6，AGC ON），黑白：0.0001Lux @（F1.6，AGC ON）</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宽动态：120 dB超宽动态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焦距：【全景】定焦6 mm，【细节】13 mm~52 mm，4倍光学变倍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防补光过曝：支持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水平范围：【细节】0~210°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垂直范围：【细节】-15°~22°</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主码流帧率分辨率：50 Hz：25 fps（2560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60 Hz：30 fps（2560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视频压缩标准：H.265;H.264;MJPEG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网络接口：自适应10M/100M/1000M网络数据;RJ45网口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SD卡扩展：内置Micro SD卡插槽;最大支持256G</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报警：1路报警输入，1路报警输出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音频：1路音频输入，1路音频输出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除雾：加热除雾</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防护：IP66 </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安装辅材</w:t>
            </w:r>
            <w:r/>
          </w:p>
        </w:tc>
        <w:tc>
          <w:tcPr>
            <w:shd w:val="clear" w:color="auto" w:fill="auto"/>
            <w:tcBorders>
              <w:top w:val="single" w:color="000000" w:sz="4" w:space="0"/>
              <w:left w:val="single" w:color="000000" w:sz="4" w:space="0"/>
              <w:bottom w:val="single" w:color="000000" w:sz="4" w:space="0"/>
              <w:right w:val="single" w:color="000000" w:sz="4" w:space="0"/>
            </w:tcBorders>
            <w:tcW w:w="288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前端设备更换过程中使用的线缆、紧固件等</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项</w:t>
            </w:r>
            <w:r/>
          </w:p>
        </w:tc>
      </w:tr>
    </w:tbl>
    <w:p>
      <w:pPr>
        <w:numPr>
          <w:ilvl w:val="0"/>
          <w:numId w:val="20"/>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（1）日常运维保障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1）提供7×24小时不间断的运维服务，对设备及系统运行情况进行24小时监督，每天应人工巡查两次以上，主动发现相关故障并及时修复，主动发现、修剪、处理因绿化遮挡等原因造成的对前端点位的影响。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2）维护服务单位为本项目至少派驻1名维护人员，工作时间为维护期内每周一至周六上午9：00至下午17：00，工作地点为滨湖公安分局。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3）1名驻场人员每日完成前端视频巡查及后台设备巡查工作2轮，确保公安分局视频在线率及图像质量，发现故障需立即处置，外场服务人员进行排查维修，驻场人员在分局进行平台端操作及确认。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维护服务单位自行提供故障管理系统，有统一的障碍申告号码，自行提供系统运行监控系统，自动监测视频监控系统的运行状态，维护人员能通过电脑和手机接收故障单，自动传输故障信息，及时维护并定期反馈运维情况，实现运维记录透明化。</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在7×8小时工作时间内设置由专人职守的热线电话，接听项目单位的服务请求，并记录服务台事件处理结果；在非工作时间设置有专人7×24小时接听的移动电话热线，用于解决项目单位的技术问题以及接听7×24小时项目单位的突发情况汇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安排资深技术顾问进行服务对接，提供7×24小时电话支持（节假日安排专人职守），接到电话后立即进行问题处理，如果4小时内问题还未解决则安排技术人员进行上门服务，提供电话、邮件等方式进行问题处理。针对一些疑难问题（无法远程解决）或重大问题（系统瘫痪影响正常业务运转），则提供1小时到达现场支撑服务，要求安排技术人员上门进行问题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7）监控中心维护操作：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网络应用终端维护：常用软件（office及基本的上网软件等）故障排除及恢复、病毒防范及消除、硬盘垃圾清理、电脑外设安装调试、系统安装调试与维护、应急、系统恢复及日常维护等。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网络服务系统维护：包括服务器软硬件系统、网络线缆线路、网络交换路由设备、备用电源检测等。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客户机房监控中心温度、湿度测量，机柜内温度情况，各类电源及稳压电源电压情况；各类接线头是否牢固、锈蚀检查。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存储操作系统检查、版本升级、补丁升级、运行情况，硬盘录像机存储空间检查。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检查监控中心设备软件版本、客户端监控软件版本及运行情况；机柜内涉及到监控的设备全部清洁；各类关键设备参数备份。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机房内电源接地电阻情况检查；用户端机房UPS电源供电检查，供电状态检查。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客户监控中心（中心机房）所有设备均应接地，系统的接地宜采用一点接地方式。接地母线应采用铜制线，表面应完整，无明显损伤和残余焊剂渣，铜带母线光滑无毛刺，绝缘线的绝缘层不得有老化龟裂现象。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8）传输线路维护：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检查各类线路完好率、是否有其它线路影响。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在用户允许中断电路的情况下，检查网络传输性能是否达到指标，网络速率是否达到要求。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检查光电设备运行是否良好、交换机端口是否正常，网络设备温度是否正常等。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设备清洁，摆放是否有序，线缆标签粘贴时应保证标签位置准确，方向端正，粘贴牢固；应注意所用标签完整干净，不能破损；标签尺寸大小适中，可用时间一般应保证三年。如已粘贴标签剥落、破损、陈旧，维护人员应及时予以更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所有线缆两端应贴有标签，要求粘贴在线缆末端距离端头2cm处。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音视频线标签内容包括摄像机、编码器及矩阵的输入输出端口等信息；机房或监控中心内部的控制线标签内容应包括对应的摄像机位置、ID以及编码器编号、端口等信息；网络线标签内容应包括交换机端口及对应的编码器、解码器端口信息。</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布放槽道线缆时，可以不绑扎，槽内线缆应顺直，尽量不交叉，线缆不得超出槽道。在线缆进出槽道部位和线缆转弯处应绑扎或用塑料卡捆扎固定。</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（2）定期巡检与保养</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1）机房环境维护：每周一次周巡检；每日4次日巡检（上班前、中午上下班前、下班前机房环境系统巡检）。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2）网络及安全系统运维：每周一次周巡检；每日4次日巡检（上班前、中午上下班前、下班前机房环境系统巡检）。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服务器及存储系统运维：每周一次周巡检；每日4次日巡检（上班前重要应用系统、上班后硬件设备及操作系统、中午上班前重要应用、下班前硬件及操作系统巡检），并对服务器、存储设备提供日常性能和运行状况监控，进行资源利用率分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4）信息系统巡检：每周一次周巡检；每日4次日巡检（上班前、中午上下班前、下班前信息系统巡检）。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5）线路运维：每周一次周巡检；每日4次日巡检（上班前、中午上下班前、下班前机房环境系统巡检）。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前端设备外场巡检：外场维护工程师每日进行外场巡检，与平台运维工程师保持沟通，提供7天×8小时外场巡检。巡检作业项目包括：网管监控（诊断工具扫描，实时）、图像监看（驻场工程师监看，每日）、摄像机检查（诊断工具扫描，实时）、现场电气环境检查（现场，每季度）、摄像头性能检查（现场，每季度）、清洁机柜内设备（现场，每季度）、清洁摄像机外罩、护罩，遮挡树枝（现场，每月）、填写巡检记录、编写客户端巡检报告（现场，每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前端立杆及机箱等设备保养：每三个月为一个保养周期，对表面做防腐处理（表面涂防腐漆），对机箱里的电气设备等进行清洁和检查；每三个月为一个周期进行性能测试，对各类电器设备进行检测并做好参数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接地电阻测试：对接地电阻六个月为一测试周期；在每年的3月份雷雨季节来临前，着重对所有监控点的接地电阻进行测试和数据记录，并检查所有的监控设备的避雷是否正常，更换被雷击穿的避雷器，检查各接地线是否正常。</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（3）应急处置与重大活动保障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客户提供每年365天、每天24小时的支持服务，技术支持人员在解决故障时，会最大限度保护好数据，做好故障恢复的文档，力争恢复到故障点前的业务状态。故障解决后24小时内，提交故障处理报告，说明故障种类、故障原因、故障解决中使用的方法及故障损失等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维护服务单位需在重大安保活动前，对相关区域内的安保设施，包括前端设备、传输设备、中心机房设备等开展细致的临时维护，并根据滨湖公安分局需要，提供重大活动或突发事件现场技术保障，人脸抓拍需提供二次甄别推送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3）对重大节日以及公安安保事件的维护抢修成立专门的“特殊事件维护小组”，提前对指定点位加强巡检、保洁、保养和维护，重要节日每2天巡检1次，特殊重大活动时尽量做到1天1次，保证每两天维护1次。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当发生外部黑客入侵、数据泄露、木马病毒、勒索病毒、通报事件等突发安全事件时，应急响应人员快速响应，及时、准确的解决安全事件，化解安全危机，能够协助用户快速止损，最大化降低安全事件带来的影响，并出具相应事件的事件报告（频率要求：不限次数）。</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灾害天气维护：时刻关注天气变化，遭遇灾害天气，提前检查加固外场设备的安全，及时做好保护措施；在台风多发季节加强对对机箱等容易进水设备的巡查，提前做好保护措施；在雷雨季节来临之前，加强对防雷系统的检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（4）数据共享与对接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1）本项目产生的所有数据应照要求将相关信息资源汇聚到区数据局和城运中心，开展信息资源复用，探索综治、信访、应急等领域场景应用，构建共建共享共治社会治理新格局。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2）服务期内，维护服务单位应免费配合滨湖公安分局做好系统、数据对接开发。</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3）维护服务单位需无条件开放所有的对接接口，供滨湖公安分局指定的第三方系统调用，且不得以数据接口定制开发收取任何额外费用。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（5）专项维护工作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前端系统维护：开展对项目内所建前端感知系统的维护工作，含设备故障修复、损坏替换、图像遮挡处理；开展对前端立杆设施的维护工作，应届解决处理因事故等造成的杆件设施损坏恢复，协同处理因道路修缮等产生的点位迁移等工作；开展对前端设施设备的维护工作，含前端设备损坏替换过程中发生的所有安装辅材，含前端设备箱、避雷器、电源线、网线、支架等辅材的维护更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2）中心系统维护：开展对中心存储设备的维护工作，含设</w:t>
      </w:r>
      <w:r>
        <w:rPr>
          <w:rFonts w:hint="eastAsia" w:ascii="宋体" w:hAnsi="宋体" w:eastAsia="宋体" w:cs="宋体"/>
          <w:sz w:val="24"/>
          <w:szCs w:val="24"/>
          <w:lang w:val="en-US" w:eastAsia="zh-CN" w:bidi="ar"/>
        </w:rPr>
        <w:t xml:space="preserve">备故障修复、损坏替换等所有维护工作，确保整体系统图像可用性，避免录像无法保存的情况；开展对中心服务器设备的维护工作，含设备故障修复、损坏维修、替换等所有维护工作，确保整体系统整体可用性，避免服务器故障造成的长时间系统宕机；开展对中心网络设备的维护工作，含设备故障修复、损坏维修产生的硬件更换、软件配置调试等所有维护工作，确保中心网络系统正常运行；开展对列入维保范围内的应用软件的维护工作，含软件安使用需要开展的配置设置修改及调整、故障排查、问题修复等，确保应用软件的可用性，避免软件系统故障产生的长时间无法使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机房环境系统维护：开展对空调新风系统的维护工作，含机房空调、新风系统内设备的维护工作，含部件更换、冷媒添加等工作；开展对消防系统的维护工作，含机房消防系统内设施设备的维护工作，含药剂更换等工作；开展对机房环境控制及不间断电源系统的维护工作，含机房环控整体设备维护及不间断电源维护，含电池损坏后更换工作；开展对机房基础环境的维护工作，包含机房防雷接地系统、灯光照明系统、综合布线系统以及机房基础设施，在各系统发生故障时及时进行修复，并对因外部因素造成的机房墙面轻微损坏、静电地板损坏等进行修复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4）线路租赁：为确保“滨湖区天眼项目”所建设系统的正常运行，保障前端感知系统采集数据继续向分局中心应用系统汇聚，本项目中继续租赁运营商裸纤实现数据传输，共计需租赁裸纤165条，租赁期限1年。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5）机柜租赁：继续租赁运营商机房2个机柜放置中心设备，租赁期限1年。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每季度开展一次前端摄像头保洁并修剪遮挡、影响前端点位的绿化，工作完成书面报滨湖公安分局确认。摄像头污损、绿化遮挡等影响画面质量的，需在接到维护通知后48小时内清洁、处理完毕，特殊情况及时按滨湖公安分局要求完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维护服务单位保证维护的系统稳定可靠，为保证整体系统可用性达到100%，需要提供相应的备品备件设备，由维护服务单位自行提供，备品备件设备需符合备件数量及性能要求表中所列的设备要求。对无法修复的设备进行免费更换，在开展维护服务工作中，如需进行更换作业的，需在2小时之内完成，并确保视频在线。</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服务期内，维护服务单位应免费对滨湖公安分局负责日常操作的管理人员进行技术培训和指导，提供设备软件升级服务，在网络和设备扩容及软件升级时，需派技术人员免费到场支持。维护服务单位应主动向滨湖公安分局提供系统软件升级和优化，确保相关的软件是最新版本，同时需根据滨湖公安分局的要求进行免费的个性化定制或修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9）维护服务单位负责所有建设前端点位的坐标采集、名称标注、上图展示。维护服务单位按照公安机关要求，负责立杆、设备箱等的颜色和监控标识牌制作。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维护服务单位需自行勘察相关点位的杆件情况，如发现该点位上的原杆件灭失或不符合安全要求，维护服务单位自行免费新建或整改，对于新建杆件的基础，维护服务单位需拍照存档并提交滨湖公安分局，对于新建的杆件需有相关的检测合格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11）对于本项目中的监控点位，在维护期内，滨湖公安分局如有移位、迁移等需求，在点位总数10%以内的，维护服务单位需免费按滨湖公安分局的要求安装至新的点位，超过点位总数10%的，双方协商处理。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12）遇道路临时开挖、改建、施工等情况，设施维修、拆除或重建等所有费用由维护服务单位与施工方协商解决，不得由此影响滨湖公安分局的服务要求。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13）设施设备被偷盗、因交通事故、遭雷击、风暴或地震等恶劣天气损坏，或因其他原因损坏或丢失的，维护服务单位同样需在规定时间内修复或更换，相关费用由维护服务单位承担，不得由此影响滨湖公安分局的服务要求，如有相关责任人，由维护服务单位向相关责任人索赔或追偿，滨湖公安分局予以积极协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14）数据协助服务：为配合滨湖公安分局治安防控体系建设，维护服务单位需要在打处、维稳、反恐等工作中提供大数据支撑服务（法律法规明文规定不允许提供的数据以及技术上无法获取的数据除外），双方就大数据支撑的范围、方式等以补充协议进行约定。</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15）维护服务单位有权根据实际情况需要向滨湖公安分局提出变更申请，在征得滨湖公安分局同意后可进行变更。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16）服务期满后，若由第三方提供后续服务，则维护服务单位应提供便利，并提交相关的建设资料及运维资料。</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17）维护服务单位自合同约定的维护服务开始之日起，即应提供相应维护服务，在此之前应与原维保单位做好交接工作，不得因交接工作影响滨湖公安分局对于系统的正常使用。如产生影响滨湖公安分局对于系统正常使用的情况，因此产生的费用、损失及法律风险，由维护服务单位承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（6）深度潜伏威胁分析与渗透测试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1）深度潜伏威胁分析服务：分析态势感知和APT设备发现高危风险；分析边界防火墙发现高危风险；分析准入发现异常告警；检查日志审计设备活跃度；查看VPN堡垒机僵尸用户（频率要求：每年不少于4次）。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2）渗透测试：通过模拟黑客攻击，使用主流的攻击技术对互联网资产进行模拟攻击测试，提前发现信息系统脆弱环节及潜在的各种高危漏洞，提供渗透测试报告及修复建议（频率要求：每年不少于1次）。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（7）系统集成服务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1）针对本次项目涉及的硬件设备及系统提供系统7×24小时的集成服务，包括：系统割接、数据迁移、软件升级、短期技术保障、数据中心和网络安全设备的日常维护。</w:t>
      </w:r>
      <w:r/>
    </w:p>
    <w:p>
      <w:pPr>
        <w:numPr>
          <w:ilvl w:val="0"/>
          <w:numId w:val="20"/>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（1）系统可用性指标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1）前端设备在线率不低于98%。</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2）前端设备24小时内修复率不低于90%。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3）使用方满意度不低于90%。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4）保证系统每月完好率（前端图像、抓拍图片等在系统内可正常使用）达到98%（不可抗力和免责条款规定的除外）。</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5）保证整体系统可用性达到100%。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6）满足视频存储不低于30天，图片数据存储时间不低于180天。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（2）故障响应与修复时效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1）维护服务单位承诺提供7×24小时服务，确保1小时的服务响应时间。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2）维护服务单位需承诺接到故障后30分钟到达现场。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3）故障响应：在接到公安局电话或书面的检修通知后，指定技术人员15分钟内响应，60分钟内到达故障现场。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4）前端故障修复时间小于24小时。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5）设备更换需在2小时内完成。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6）中心及平台故障修复时间小于8小时（不可抗力除外）。</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7）摄像头污损、绿化遮挡等影响画面质量的，需在接到维护通知后48小时内清洁、处理完毕，特殊情况及时按滨湖公安分局要求完成。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机房环境、网络、服务器等故障：现场15分钟响应，60分钟内提交故障处理方案，8小时以内解决故障。设备故障处理时效：响应时间15分钟；处理时间2小时内不能解决的，提供规避方案；排除时间8小时内完成故障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9）设备或材料产生损坏时，服务商负责送设备至原厂进行维修或更换，维修工作要求2个工作日内处理完成，确实难以在短期内解决的，可以与用户方协商先行使用替代设备或材料，延长处理时间。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10）对于“系统瘫痪，业务系统不能运转”的故障级别，如果不能于到达客户单位查看问题后8小时内解决故障，将在12小时内提出应急方案，确保业务系统的运行。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（3）人员与备件要求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1）组建项目专属服务团队，至少派驻1名维护人员常驻滨湖公安分局。驻场人员与其他项目共用一名驻场人员，响应标准为7×24全天候响应，维护模式为7×8值班维护驻场服务。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机房环境维护配置弱电、强电工程师；业务系统维护配置网络专家、ITSS项目经理等不少于3人；网络及安全系统运维配置网络专家、安全工程师、ITSS项目经理等不少于3人；服务器及存储系统运维配置信息系统管理师、数据库专家、ITSS项目经理等不少于3人；信息系统维护配置网络专家、软件数据库支持工程师（厂家驻场运维1人）、服务提供商ITSS项目经理、服务工程师等不少于4人；通讯类运维配置ITSS服务工程师、网络工程师等不少于5人；前端设备运维配置驻场工程师、厂商支持工程师及外场协助人员若干。</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3）备品备件：备件库中需有高于或等同数量及性能要求的备品备件，具体包括超低照度人脸抓拍机5台、全局结构化抓拍摄像机1台、超低照度人脸抓拍机补光灯10台、云存储存储主机内硬盘(6T)8块。</w:t>
      </w:r>
      <w:r/>
    </w:p>
    <w:tbl>
      <w:tblPr>
        <w:tblStyle w:val="77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84"/>
        <w:gridCol w:w="1102"/>
        <w:gridCol w:w="5967"/>
        <w:gridCol w:w="484"/>
        <w:gridCol w:w="485"/>
      </w:tblGrid>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性能参数</w:t>
            </w:r>
            <w:r/>
          </w:p>
        </w:tc>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单位</w:t>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超低照度人脸抓拍机</w:t>
            </w:r>
            <w:r/>
          </w:p>
        </w:tc>
        <w:tc>
          <w:tcPr>
            <w:shd w:val="clear" w:color="auto" w:fill="auto"/>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黑光护罩一体机， 基于视网膜成像原理，采用双sensor架构和双光融合技术，提供卓越的图像视觉体验，在极低亮度下，呈现如在白昼中的彩色画质</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采用深度学习算法，以海量图片及视频资源为路基，通过机器自身提取目标特征，形成深层可供学习的人脸图像。极大的提升了目标人脸的检出率。</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支持智能资源模式切换：全结构化（默认）、人脸抓拍、人脸比对、道路监控、Smart事件</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专业智能：支持背景大图图片字符叠加功能，支持设备编号、抓拍时间、监测点信息</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图像相关：支持2688×1520@30fps实时帧率，图像更流畅</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图像相关：支持120dB宽动态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图像相关：支持透雾、电子防抖</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接口功能：支持标准的256G Micro SD/Micro SDHC/Micro SDXC卡存储</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接口功能：支持1路音频输入，1路音频输出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接口功能：支持2路报警输入，2路报警输出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安全服务：支持三级用户权限管理，支持授权的用户和密码，支持IP地址过滤</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接口功能：支持10M/100M/1000M自适应网口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安全服务：支持GB35114安全加密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传感器类型：1/1.8” Progressive Scan 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最大图像尺寸：2688 × 1520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最低照度：彩色：0.0002 Lux @（F1.2, AGC ON）</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宽动态：120 dB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焦距：11-40mm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补光灯类型：混合补光（支持白光模式和混光模式），750 nm+暖白光</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补光距离：混光模式：普通监控：最远可达100 m，人脸抓拍/识别：最远可达15 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白光模式：普通监控：最远可达70 m，人脸抓拍/识别：最远可达15 m</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防补光过曝：支持防补光过曝开启和关闭，开启下支持自动和手动，手动支持根据距离等级控制补光灯亮度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视频压缩标准：H.265/H.264/MJPEG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视频输出：1 Vp-p Composite Output（75 Ω/CVBS）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网络：1个RJ45 10 M/100 M/1000 M自适应以太网口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音频：1路输入（Line in），1路输出（Line out）</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报警：2路输入，2路输出（报警输入支持开关量，报警输出最大支持AC/DC24 V，1 A）</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RS-485：1个RS-485接口，采用半双工模式，支持自适应HIKVISION，PELCO-P和PELCO-D协议</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复位：支持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防护：IP66 </w:t>
            </w:r>
            <w:r/>
          </w:p>
        </w:tc>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全局结构化抓拍摄像机</w:t>
            </w:r>
            <w:r/>
          </w:p>
        </w:tc>
        <w:tc>
          <w:tcPr>
            <w:shd w:val="clear" w:color="auto" w:fill="auto"/>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全景镜头和细节传感器均采用1/1.8＂ CMOS,全景镜头采用6mm定焦镜头，细节镜头采用13-52mm瞬晰变焦黑光镜头。</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支持人脸抓拍，非机动车识别、机动车车牌识别等全结构化功能</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支持三种智能资源模式切换：混合目标检测-全结构化模式（全景）、混合目标检测-人脸+人体模式（细节）、人脸抓拍模式（细节）</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动点镜头支持瞬晰聚焦，从最小倍到最大倍变倍时间为0.1秒</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AISP降噪功能：采用去噪卷积神经网络将深度结构、学习算法用于图像去噪，最终使画面成像更新清晰，噪点更小图像更干净</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支持算法比对机制,降低人脸抓拍重复率</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支持GB35114安全加密</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传感器类型：【全景】1/1.8＂ progressive scan CMOS,【细节】双1/1.8＂ progressive scan CMOS</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最低照度：【全景】彩色：0.0005 Lux @（F1.0，AGC ON），黑白：0.0001 Lux @（F1.0，AGC ON）；【细节】彩色：0.0005Lux @（F1.6，AGC ON），黑白：0.0001Lux @（F1.6，AGC ON）</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宽动态：120 dB超宽动态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焦距：【全景】定焦6 mm，【细节】13 mm~52 mm，4倍光学变倍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防补光过曝：支持</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水平范围：【细节】0~210°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垂直范围：【细节】-15°~22°</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主码流帧率分辨率：50 Hz：25 fps（2560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60 Hz：30 fps（2560 × 1440，1920 × 1080，1280 × 960，1280 × 720）</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视频压缩标准：H.265;H.264;MJPEG </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网络接口：自适应10M/100M/1000M网络数据;RJ45网口</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SD卡扩展：内置Micro SD卡插槽;最大支持256G</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报警：1路报警输入，1路报警输出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音频：1路音频输入，1路音频输出</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除雾：加热除雾</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防护：IP66 </w:t>
            </w:r>
            <w:r/>
          </w:p>
        </w:tc>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超低照度人脸抓拍机补光灯</w:t>
            </w:r>
            <w:r/>
          </w:p>
        </w:tc>
        <w:tc>
          <w:tcPr>
            <w:shd w:val="clear" w:color="auto" w:fill="auto"/>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最大功率:33W Max</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输入电压:187Vac~253Vac</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光源类型:混合光源</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中心照度:0.125W/m²@20m，15度</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均匀度:0.5</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光源波长:混合光源(750nm红外+暖白光)</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发光角度:15度</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最佳投射距离:10~20米</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亮度调节: 自动（485控制）</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外壳材质:金属铝</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外壳防尘防水等级:IP66</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安装方式:兼容三脚架，云台，万向节等安装方式</w:t>
            </w:r>
            <w:r/>
          </w:p>
        </w:tc>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台</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云存储存储主机内硬盘(6T)</w:t>
            </w:r>
            <w:r/>
          </w:p>
        </w:tc>
        <w:tc>
          <w:tcPr>
            <w:shd w:val="clear" w:color="auto" w:fill="auto"/>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4T企业级IoT硬盘</w:t>
            </w:r>
            <w:r/>
          </w:p>
        </w:tc>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块</w:t>
            </w:r>
            <w:r/>
          </w:p>
        </w:tc>
      </w:tr>
    </w:tbl>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4）当维修或更换设备所需要的时间超过3个工作日（计算机服务器、网络设备等须在1个工作日内），则必须提供档次不低于送修设备的备件。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（4）安全生产与保密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严格执行相关安全生产的规范条例，维护服务单位应对施工维护人员进行安全教育，维护服务单位应确保合同期内不发生人身伤亡事故和火灾事故，并应参加建筑、安装工程保险，合同期内发生的质量、安全事故及责任和经济损失均由维护服务单位负责。</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传输链路要专用，与其他网络物理隔绝，并不得接入任何其它网络；要求维护服务单位不得擅自改变网络架构及组网方式，每条链路上行带宽不得低于100M。前端点位租赁运营商光纤裸纤链路数量不得少于核定的数量，含链路两端光传输设备及中心端接入交换设备；租赁运营商裸纤链路，带宽100M（部分点位因应用场景需要带宽超过100M，运营商应根据实际需求免费提升带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维护服务单位对本项目所涉及的软硬件技术资料（含文本资料）和监控图像等资料均负有保密义务，未经滨湖公安分局许可，不得提供给第三方；本项目采集的各类数据归滨湖公安分局所有，维护服务单位对本项目采集的各类数据、对接的公安及其他单位的数据负有保密义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严禁“一机两用、一机双网”，不准以任何方式将公安机关内部计算机、网络设备连接国际互联网；严禁泄露工作中接触的公安数据、帐号和密码；计算机如需送出维修，必须将计算机硬盘拆下，将硬盘交公安方管理者，维修方不得将硬盘带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5）前端点位的取电用电、绿化及市政开挖赔补、绿化修剪，行政审批等事宜及相关费用由维护服务单位自行解决，维护服务单位负责项目实施过程中的拆移赔补等其他杂费，并负责与相关部门的协调工作。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（5）运维变更与交接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1）不得擅自改变网络架构及组网方式，每条链路上行带宽不得低于100M。</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2）不得擅自改变前端设备接入的中心系统，不得擅自改变前端设备的接入方式以及中心应用所需涉及的相关平台及安全防护等系统。</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3）为保障公共安全，本项目内相关中心设备必须放置于运营商机房，且未经滨湖公安分局同意，不得擅自变更存放位置。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4）未经滨湖公安分局同意维护服务单位不得擅自在杆件上安装与本项目无关的其他设备。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系统内设施设备经过更换后，如因故障需要进行维修的，维修前后设施设备品牌和型号应保持完全一致。如原有型号已停产，应使用性能等于或高于当前的设备进行替换。系统内设施设备经过维修后，不能丢失或遗漏，设施设备数量必须与维修前保持完全一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6）服务期满后，若由第三方提供后续服务，则维护服务单位应提供便利，并提交相关的建设资料及运维资料。</w:t>
      </w:r>
      <w:r/>
    </w:p>
    <w:p>
      <w:pPr>
        <w:numPr>
          <w:ilvl w:val="0"/>
          <w:numId w:val="20"/>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运维输出物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（1）每日报告与记录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视频监控巡检记录表》（监控系统机房日常维护记录表）：每日填写，记录设备名称、维护单位、维护地点以及分类项目（电力、温度、湿度、防尘、存储、图像、控制、设备连接）的维护内容、检查结果和检查结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2）驻场工程师图像监看评价记录：每日记录，检查监控图像的清晰程度并做好评价记录。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3）日巡检分析报告：每日提交，为服务器及存储系统服务报告内容之一。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4）交接班登记表：每日提交，属于运维服务过程中产生的记录。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5）对设备进行定期检测、保养的检测报告：按需提交，向用户方汇报设备运行状态，报告由用户方确认，双方存底备查。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6）《设备维护档案表格》：按需更新，记录设备名称、编号、制造时间、制造单位、现有数量、设备价格、验收日期，以及每次设备维修/更换零件/年度予检修等记录的工装履历，以便备查。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（2）故障处理与事件记录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1）《系统故障报修单》：每次故障处理时填写，包含故障类别、故障原因、解决办法，并请用户负责人签字，交予运维公司和客户共同留存。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2）故障处理报告：故障解决后24小时内提交，说明故障种类、故障原因、故障解决中使用的方法及故障损失等情况。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3）事件处理分析、解决方案报告：按需提交，为服务器及存储系统服务报告内容之一。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4）《备品备件出库登记表》：按需填写。</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5）《服务申请单》：按需填写，记录工单编号、受理时间、处理完成时间、派单人员、处理人员、申请人信息（姓名、部门、电话）、故障反映、故障类别、故障说明、故障原因、解决办法等信息。</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（3）定期巡检与分析报告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1）周巡检分析报告：每周提交，结合网络、服务器、存储、安全出具，向用户汇报设备运行状态。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2）月巡检分析报告：每月提交，为服务器及存储系统服务报告内容之一。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3）工作月报（《每月维护服务情况汇报》）：每月提交，包含绩效数据指标（绩效项目、绩效目标、实际绩效、达成情况、绩效评分）、工作计划完成情况、下月工作计划、月度总结。</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4）前端设备巡检记录及客户端巡检报告：每月填写提交，包括外场巡检记录。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5）前端摄像头保洁及遮挡绿植修剪书面报告：每季度提交，工作完成书面报滨湖公安分局确认。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6）半年总结分析报告：每半年提交，为服务器及存储系统服务报告内容之一。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7）年度终结分析报告：每年提交，为服务器及存储系统服务报告内容之一。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8）服务年报：服务期结束前提供。</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（4）安全服务及专项报告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1）应急响应事件报告：安全事件发生后提交（频率要求：不限次数），帮助用户正确应对攻击入侵事件。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2）深度潜伏威胁分析报告：每年提交不少于4次。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3）定期维护检查报告：每年提交4次，对重要边界安全设备规则库及重要功能模块进行安全检查，确保规则库的时效性。</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4）渗透测试报告及修复建议：每年提交不少于1次。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5）系统集成服务相关文档：按需提供，包括系统割接方案（含回退方案及紧急联络表）、数据迁移方案、短期技术保障方案等。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6）故障分析处理记录、故障整改方案和建议：按需提交。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7）重大故障记录报告：按需提交。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（5）资产与档案管理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1）所有区域的系统图及点位图：正式维护服务开始前完成绘制并提交。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2）新建杆件基础照片及检测合格报告：新建杆件时提交。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3）操作手册、运行手册、技术方案及图纸：如因维护需要更换新设备或系统的，维护服务单位需提供操作手册、所有系统的运行手册、操作程序和寻找故障的说明、所有系统技术方案及图纸。</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4）网络文档记录：按需提交，包括网络拓扑图、设备配置信息、故障排除记录等。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5）服务器维护过程资料：按需提交，整理和归纳服务器、存储日常维护知识库及整理服务器运维过程资料和相关配套维护文档。</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6）日常维护报告、系统巡检日志、系统维护记录、系统优化记录、各类优化的管理制度：按需或定期提交。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7）服务期满后资料：服务期满后，若由第三方提供后续服务，需提交相关的建设资料及运维资料。</w:t>
      </w:r>
      <w:r/>
    </w:p>
    <w:p>
      <w:pPr>
        <w:numPr>
          <w:ilvl w:val="0"/>
          <w:numId w:val="20"/>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人员驻场要求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维护服务单位为本项目至少派驻1名维护人员，驻场人员需同时接受滨湖公安分局的管理。工作时间：维护期内每周一至周六上午9：00至下午17：00。工作地点：滨湖公安分局。维护服务单位需承诺接到故障后30分钟到达现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名驻场人员作内容主要是：每日完成前端视频巡查及后台设备巡查工作2轮，确保公安分局视频在线率及图像质量。发现故障需立即处置，外场服务人员进行排查维修，驻场人员可在分局进行平台端的操作及确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此外滨湖公安通信科每日对“一眼多维感知平台”中的《人脸抓拍数据监测报表》、《卡口过车数据监测报表》和《设备过车数据监测报表》等报表中出现的问题以及日常工作中发现的问题人工复核后形成问题清单，通报给考核对象（一般发送到“滨湖分局运维考核群”）。考核对象安排相关人员按照清单，对照问题及时整改。</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32</w:t>
      </w:r>
      <w:r>
        <w:rPr>
          <w:rFonts w:hint="eastAsia" w:ascii="宋体" w:hAnsi="宋体" w:eastAsia="宋体" w:cs="宋体"/>
          <w:b/>
          <w:bCs/>
          <w:sz w:val="24"/>
          <w:szCs w:val="24"/>
          <w:lang w:eastAsia="zh-CN"/>
        </w:rPr>
        <w:t xml:space="preserve">：电子签章系统</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运维期限：12个月（2026年9月1日-2027年8月31日）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服务使用单位：无锡市滨湖区人民政府办公室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运维范围覆盖滨湖区电子签章系统全平台，核心目标为通过构建专业化、标准化的运维服务体系，确保区电子签章系统7×24小时稳定运行，严格遵循《电子签名法》《密码法》等法规要求，实现签章业务可靠、高效、持续、安全运行，系统可用性达99%、用户满意度达99%。</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故障处理时间要求：</w:t>
      </w:r>
      <w:r/>
    </w:p>
    <w:tbl>
      <w:tblPr>
        <w:tblStyle w:val="779"/>
        <w:tblW w:w="856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213"/>
        <w:gridCol w:w="1458"/>
        <w:gridCol w:w="2123"/>
        <w:gridCol w:w="1769"/>
      </w:tblGrid>
      <w:tr>
        <w:trPr>
          <w:jc w:val="center"/>
          <w:tblHeader/>
        </w:trPr>
        <w:tc>
          <w:tcPr>
            <w:shd w:val="pct10" w:color="auto" w:fill="ffffff"/>
            <w:tcBorders>
              <w:top w:val="single" w:color="auto" w:sz="4" w:space="0"/>
              <w:left w:val="single" w:color="auto" w:sz="4" w:space="0"/>
              <w:bottom w:val="single" w:color="auto" w:sz="4" w:space="0"/>
              <w:right w:val="single" w:color="auto" w:sz="4" w:space="0"/>
            </w:tcBorders>
            <w:tcW w:w="3216"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故障级别</w:t>
            </w:r>
            <w:r/>
          </w:p>
        </w:tc>
        <w:tc>
          <w:tcPr>
            <w:shd w:val="pct10" w:color="auto" w:fill="ffffff"/>
            <w:tcBorders>
              <w:top w:val="single" w:color="auto" w:sz="4" w:space="0"/>
              <w:left w:val="none" w:color="000000" w:sz="4" w:space="0"/>
              <w:bottom w:val="single" w:color="auto" w:sz="4" w:space="0"/>
              <w:right w:val="single" w:color="auto" w:sz="4" w:space="0"/>
            </w:tcBorders>
            <w:tcW w:w="1460"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远程响应</w:t>
            </w:r>
            <w:r/>
          </w:p>
        </w:tc>
        <w:tc>
          <w:tcPr>
            <w:shd w:val="pct10" w:color="auto" w:fill="ffffff"/>
            <w:tcBorders>
              <w:top w:val="single" w:color="auto" w:sz="4" w:space="0"/>
              <w:left w:val="none" w:color="000000" w:sz="4" w:space="0"/>
              <w:bottom w:val="single" w:color="auto" w:sz="4" w:space="0"/>
              <w:right w:val="single" w:color="auto" w:sz="4" w:space="0"/>
            </w:tcBorders>
            <w:tcW w:w="2125"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现场响应时间</w:t>
            </w:r>
            <w:r/>
          </w:p>
        </w:tc>
        <w:tc>
          <w:tcPr>
            <w:shd w:val="pct10" w:color="auto" w:fill="ffffff"/>
            <w:tcBorders>
              <w:top w:val="single" w:color="auto" w:sz="4" w:space="0"/>
              <w:left w:val="none" w:color="000000" w:sz="4" w:space="0"/>
              <w:bottom w:val="single" w:color="auto" w:sz="4" w:space="0"/>
              <w:right w:val="single" w:color="auto" w:sz="4" w:space="0"/>
            </w:tcBorders>
            <w:tcW w:w="1771"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故障解决时间</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216"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I级：属于紧急问题；其具体现象为：系统崩溃导致业务停止、数据丢失。</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立即响应</w:t>
            </w:r>
            <w:r/>
          </w:p>
        </w:tc>
        <w:tc>
          <w:tcPr>
            <w:shd w:val="clear" w:color="auto" w:fill="auto"/>
            <w:tcBorders>
              <w:top w:val="none" w:color="000000" w:sz="4" w:space="0"/>
              <w:left w:val="none" w:color="000000" w:sz="4" w:space="0"/>
              <w:bottom w:val="single" w:color="auto" w:sz="4" w:space="0"/>
              <w:right w:val="single" w:color="auto" w:sz="4" w:space="0"/>
            </w:tcBorders>
            <w:tcW w:w="2125"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30分钟内到现场</w:t>
            </w:r>
            <w:r/>
          </w:p>
        </w:tc>
        <w:tc>
          <w:tcPr>
            <w:shd w:val="clear" w:color="auto" w:fill="auto"/>
            <w:tcBorders>
              <w:top w:val="none" w:color="000000" w:sz="4" w:space="0"/>
              <w:left w:val="none" w:color="000000" w:sz="4" w:space="0"/>
              <w:bottom w:val="single" w:color="auto" w:sz="4" w:space="0"/>
              <w:right w:val="single" w:color="auto" w:sz="4" w:space="0"/>
            </w:tcBorders>
            <w:tcW w:w="1771"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到达现场后&lt;1小时</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216"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II级：属于严重问题；其具体现象为：出现部分部件失效、系统性能下降但能正常运行，不影响正常业务运作。</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立即响应</w:t>
            </w:r>
            <w:r/>
          </w:p>
        </w:tc>
        <w:tc>
          <w:tcPr>
            <w:shd w:val="clear" w:color="auto" w:fill="auto"/>
            <w:tcBorders>
              <w:top w:val="none" w:color="000000" w:sz="4" w:space="0"/>
              <w:left w:val="none" w:color="000000" w:sz="4" w:space="0"/>
              <w:bottom w:val="single" w:color="auto" w:sz="4" w:space="0"/>
              <w:right w:val="single" w:color="auto" w:sz="4" w:space="0"/>
            </w:tcBorders>
            <w:tcW w:w="2125"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30分钟内到现场</w:t>
            </w:r>
            <w:r/>
          </w:p>
        </w:tc>
        <w:tc>
          <w:tcPr>
            <w:shd w:val="clear" w:color="auto" w:fill="auto"/>
            <w:tcBorders>
              <w:top w:val="none" w:color="000000" w:sz="4" w:space="0"/>
              <w:left w:val="none" w:color="000000" w:sz="4" w:space="0"/>
              <w:bottom w:val="single" w:color="auto" w:sz="4" w:space="0"/>
              <w:right w:val="single" w:color="auto" w:sz="4" w:space="0"/>
            </w:tcBorders>
            <w:tcW w:w="1771"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到达现场后&lt;1小时</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216"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III级：属于较严重问题；其具体现象为：出现系统报错或警告，但业务系统能继续运行且性能不受影响。</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立即响应</w:t>
            </w:r>
            <w:r/>
          </w:p>
        </w:tc>
        <w:tc>
          <w:tcPr>
            <w:shd w:val="clear" w:color="auto" w:fill="auto"/>
            <w:tcBorders>
              <w:top w:val="none" w:color="000000" w:sz="4" w:space="0"/>
              <w:left w:val="none" w:color="000000" w:sz="4" w:space="0"/>
              <w:bottom w:val="single" w:color="auto" w:sz="4" w:space="0"/>
              <w:right w:val="single" w:color="auto" w:sz="4" w:space="0"/>
            </w:tcBorders>
            <w:tcW w:w="2125"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1小时内到现场</w:t>
            </w:r>
            <w:r/>
          </w:p>
        </w:tc>
        <w:tc>
          <w:tcPr>
            <w:shd w:val="clear" w:color="auto" w:fill="auto"/>
            <w:tcBorders>
              <w:top w:val="none" w:color="000000" w:sz="4" w:space="0"/>
              <w:left w:val="none" w:color="000000" w:sz="4" w:space="0"/>
              <w:bottom w:val="single" w:color="auto" w:sz="4" w:space="0"/>
              <w:right w:val="single" w:color="auto" w:sz="4" w:space="0"/>
            </w:tcBorders>
            <w:tcW w:w="1771"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到达现场后&lt;2小时</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216"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IV级：属于普通问题；其具体现象为：系统技术功能、安装或配置咨询，或其他显然不影响业务的预约服务。</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立即响应</w:t>
            </w:r>
            <w:r/>
          </w:p>
        </w:tc>
        <w:tc>
          <w:tcPr>
            <w:shd w:val="clear" w:color="auto" w:fill="auto"/>
            <w:tcBorders>
              <w:top w:val="none" w:color="000000" w:sz="4" w:space="0"/>
              <w:left w:val="none" w:color="000000" w:sz="4" w:space="0"/>
              <w:bottom w:val="single" w:color="auto" w:sz="4" w:space="0"/>
              <w:right w:val="single" w:color="auto" w:sz="4" w:space="0"/>
            </w:tcBorders>
            <w:tcW w:w="2125"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2小时内到现场</w:t>
            </w:r>
            <w:r/>
          </w:p>
        </w:tc>
        <w:tc>
          <w:tcPr>
            <w:shd w:val="clear" w:color="auto" w:fill="auto"/>
            <w:tcBorders>
              <w:top w:val="none" w:color="000000" w:sz="4" w:space="0"/>
              <w:left w:val="none" w:color="000000" w:sz="4" w:space="0"/>
              <w:bottom w:val="single" w:color="auto" w:sz="4" w:space="0"/>
              <w:right w:val="single" w:color="auto" w:sz="4" w:space="0"/>
            </w:tcBorders>
            <w:tcW w:w="1771"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到达现场后&lt;3小时</w:t>
            </w:r>
            <w:r/>
          </w:p>
        </w:tc>
      </w:tr>
    </w:tbl>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日常维护：对系统软件、服务器、网络和安全产品等设备开展现场维护、维修服务，包含软件漏洞更新、数据库备份、系统安装配置、故障处理，服务器操作系统及应用系统管理员账号密码管理，非法入侵故障排障，各项操作均需如实记录归档。</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（2）服务器设备维护：对服务器及相关主要设备开展日常维护，及时处理服务故障、服务器硬件故障，故障排除后第一时间对重要文件、数据、程序进行备份并全面检查系统运行环境。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（3）网络故障排除：及时排查网卡硬件问题，联合网络管理部门处置网络故障，故障排除后核验应用服务、数据库访问及备份文件完整性。</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（4）定期巡检：每季度开展一次现场巡检，检查内容涵盖系统电源状态、磁盘状态、CPU使用率、数据库服务、用户权限、密码强度、内网连通性、系统日志、申请印章功能、盖章功能、验章功能等。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（5）应急响应：故障发生后第一时间赶往现场，根据故障级别调度人员协同处置，确保系统在限定时限内恢复正常运行。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根据网络部署要求，由区政府办公室技术人员开展不定期巡检，确认电子签章服务功能正常。系统发生故障后，服务单位响应时间不超过4小时，且需在6小时内排除系统故障，恢复系统正常运行。若发生硬件损坏，提供成本价维修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响应时效要求：工作时间设专人职守热线，非工作时间设7×24小时移动热线；分级响应故障，I/II级故障30分钟内到现场，III级故障1小时内到现场，IV级故障2小时内到现场；故障解决后24小时内提交故障处理报告，无法2小时内解决的一级故障8小时内出具应急方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（2）服务规范要求：遵守甲方各项规章制度及工作流程，对系统密码、核心参数、业务数据严格保密，操作全程留痕、事事反馈，重大问题及时汇报，巡检按要求出具巡检报告。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（3）质量考核要求：故障处理遵循先抢通后修复、先核心后边缘原则，全年服务无重大网络安全责任事故，系统可用性及用户满意度达标。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4、团队配置要求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（1）项目部采用项目经理负责制，配置项目经理1名，全权负责项目运维管理工作。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（2）配置运维区域主管、维护工程师、运维管理主管、服务台接线员、故障派单员、故障分析员、监督员、资料管理员、后台技术支持工程师，各岗位明确对应职责，现场维护设置A/B角互补保障服务连续性。</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33</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rPr>
        <w:t xml:space="preserve">IT</w:t>
      </w:r>
      <w:r>
        <w:rPr>
          <w:rFonts w:hint="eastAsia" w:ascii="宋体" w:hAnsi="宋体" w:eastAsia="宋体" w:cs="宋体"/>
          <w:b/>
          <w:bCs/>
          <w:sz w:val="24"/>
          <w:szCs w:val="24"/>
          <w:lang w:eastAsia="zh-CN"/>
        </w:rPr>
        <w:t xml:space="preserve">硬件运维服务外包项目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运维期限：12个月（2026年9月1日-2027年8月31日）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服务使用单位：无锡市滨湖区档案史志馆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硬件基础设施运维：包括机房及其配套设施、网络和信息安全设备（含防火墙、交换机、调制解调器、路由器、网关、认证设备等）、服务器与存储系统、桌面设备（含电脑、扫描仪、打印机等）的运维。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运维范围覆盖中心机房内所有IT设备，包含服务器、存</w:t>
      </w:r>
      <w:r>
        <w:rPr>
          <w:rFonts w:hint="eastAsia" w:ascii="宋体" w:hAnsi="宋体" w:eastAsia="宋体" w:cs="宋体"/>
          <w:sz w:val="24"/>
          <w:szCs w:val="24"/>
          <w:lang w:val="en-US" w:eastAsia="zh-CN" w:bidi="ar"/>
        </w:rPr>
        <w:t xml:space="preserve">储、交换机、网络安全设备、机房配套设施及馆内所有办公终端设备。运维工作包含基础设施巡检、故障处置、性能优化、数据备份、安全防护、应急响应全流程服务，覆盖机房环境、网络链路、安全设备、计算存储资源、终端设备全层级运维支撑。核心目标为对全馆IT基础设施开展全周期运维管理，及时排查处置各类故障隐患，保障各类设备稳定运行满足日常办公、档案查询利用、档案存储备份等业务开展需求，确保系统全年可用性达99.99%，用户满意度达100%，打造可知、可控、可管、可溯的IT运行环境，保障馆内各类业务可靠、高效、持续、安全运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（1）机房及其配套设施运维事项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1）每月检测各项技术参数监控传输、线路质量，处理故障隐患，协助用户设定使用级别等各种数据。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2）对容易老化的机房IT设备部件每月一次进行全面检查，发现老化及时更换、维修。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3）对业务系统及设备的运行情况进行监控，分析运行情况，及时发现并排除故障。网络设备、服务器系统及各种终端外设。基础维护每月一次，日常问题到达故障现场不超2小时。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4）每月定期对业务系统和设备进行优化：合理安排网络需求，如带宽、IP地址等限制。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5）提供每月一次的系统网络性能检测，包括网络的连通性、稳定性及带宽的利用率等。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6）实时检测所有可能影响业务网络设备的外来网络攻击，实时监控各服务器运行状态、流量及入侵监控等。对异常情况进行核查并处理。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7）根据用户需要进行网络的规划、优化；协助处理服务器软硬件故障及进行相关硬件软件的拆装等。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（2）网络和信息安全设备维护事项（含防火墙、交换机、调制解调器、路由器、网关、认证设备等）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1）网络故障排查：在内部单位网络出现故障、卡顿、无法上网等影响办公的网络问题时，进行网络故障排查。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2）网络设备硬件状态检查：每月一次巡检，对内部所有硬件设备进行状态查看。</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3）网络流量监测：每月一次巡检或发生网络异常情况时，给出流量监测情况说明。</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4）安全策略配置及配置优化：根据用户需求设备安全策略配置，根据单位使用要求进行优化。</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5）网络设备资料整理：每年1次网络设备资产整理并形成报表。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6）设备基础性能检测：每月巡检对设备进行一次检测（cpu、内存使用情况监测）。</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7）网络设备配置策略备份：在修改任何设备前进行配置备份，修改完毕后进行备份。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8）网络拓扑链路状态监测：在网络出现变化后编制新网络拓扑。</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（3）服务器与存储系统运维事项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1）CPU性能管理：查看引起GPU过高原因，做虚机迁移等操作减轻服务器压力。</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2）内存使用情况管理：内存使用率过大时，及时扩充内存资源或回收不再使用的虚机资源。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3）硬盘利用情况管理：定期清理服务器临时文件或扩充服务器硬盘。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4）系统进程管理：查看进程异常原因。</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5）实时监控主机电源、风扇的使用情况及主机机箱内部温度：电源状态异常或风扇异常时与厂商联系查看硬件。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6）监控主机硬盘运行状态：查看是否硬盘压力过大，考虑更换存储类型。</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7）监控主机网卡等硬件状态：硬件异常时联系厂商做硬件检测。</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8）监控主机HA运行状况：查看引起HA异常的原因，逐步排除。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9）服务响应时间7*24小时。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（4）桌面设备维护（含电脑、扫描仪、打印机等）事项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1）每日维护：开机前检查设备外观是否有异常；确认所有连接线是否牢固。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2）每周维护：对设备进行表面清洁，去除灰尘；检查设备运行状态，如无异常声音或发热。</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3）每月维护：深入清洁设备内部，特别是风扇、散热孔等易积灰部位；检查并更新设备的驱动程序和固件。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4）每季度维护：对设备进行全面检查，包括电缆、接口、机械部件等；进行性能测试，确保设备处于最佳工作状态。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5）季节性维护：在潮湿季节（春季和夏季）增加除湿和防霉措施，如使用干燥剂；在干燥季节（秋季和冬季）注意静电防护，可使用防静电垫。</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6）特殊天气维护：在雷雨天气尽量避免使用设备并拔掉电源插头以防雷击；在高温或低温天气注意调整室内温度，保持设备在适宜的工作温度范围内。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7）日常维护具体要求：定期清洁设备表面和内部；检查连接线确保稳定；更新驱动程序和固件。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（5）月度巡检事项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1）每月定期进行日常巡检工作，对现场各网段应用系统和硬件进行检查检测。</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2）针对每次出现的问题进行归档记录，制定纠正措施并执行。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3）对现有以及后来添加的设备使用情况做出统计。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4）月度巡检主要针对中心机房的系统日志文件、服务器、存储、防火墙、IDS、漏洞扫描、核心交换机、接入交换机等设备。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（6）响应机制事项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1）根据故障级别（I级紧急问题、II级严重问题、III级较严重问题、IV级普通问题）在规定时间内响应和提交故障处理方案，并在规定故障解决时间内完成。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2）服务响应时间：均为10分钟；I级和II级30分钟内提交故障处理方案，III级和IV级分别为30分钟内和2小时内提交故障处理方案。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3）故障解决时间：I级2小时以内，II级4小时以内，III级6小时以内，IV级24小时以内。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（1）系统可用性：99.99%。</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（2）用户满意度：100%。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（3）故障处理时间要求：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1）普通故障：远程响应立即响应，现场响应2小时内到现场，故障解决时间到达现场后&lt;3小时。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2）重大故障：远程响应立即响应，现场响应1小时内到现场，故障解决时间到达现场后&lt;2小时。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3）特大故障：远程响应立即响应，现场响应30分钟内到现场，故障解决时间到达现场后&lt;1小时。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（4）人员要求：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1）网络和信息安全设备维护人员要求：服务人员不低于2人，工作经验不低于5年，学历大专及以上，具备华为网络工程师HCIP证书。</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2）服务器与存储系统运维人员要求：服务人员不低于2人，工作经验不低于5年，学历大专及以上，具备CISP证书。</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（5）服务响应时间要求：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1）I级（紧急问题，系统崩溃导致业务停止、数据丢失）：响应时间10分钟，30分钟内提交故障处理方案，故障解决时间2小时以内。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2）II级（严重问题，部分部件失效、系统性能下降但能正常运行，不影响正常业务运作）：响应时间10分钟，30分钟内提交故障处理方案，故障解决时间4小时以内。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3）III级（较严重问题，系统报错或警告，但业务系统能继续运行且性能不受影响）：响应时间10分钟，30分钟内提交故障处理方案，故障解决时间6小时以内。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4）IV级（普通问题，技术功能、安装或配置咨询，或其他不影响业务的预约服务）：响应时间10分钟，2小时内提交故障处理方案，故障解决时间24小时以内。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巡检要求：每月定期进行日常巡检，对现场各网段应用系统和硬件进行检查检测，对问题归档记录，制定纠正措施并执行，对设备使用情况做出统计。月度巡检主要针对中心机房的系统日志文件、服务器、存储、防火墙、IDS、漏洞扫描、核心交换机、接入交换机等设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（7）保密要求：执行团队需遵守保密原则，对用户的网络、主机、系统软件、应用软件等的密码、核心参数、业务数据等负有保密责任，不得随意复制和传播。</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（8）运维记录要求：每次日常运维服务完成后填写运维记录，双方签字确认，留底备查。</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34</w:t>
      </w:r>
      <w:r>
        <w:rPr>
          <w:rFonts w:hint="eastAsia" w:ascii="宋体" w:hAnsi="宋体" w:eastAsia="宋体" w:cs="宋体"/>
          <w:b/>
          <w:bCs/>
          <w:sz w:val="24"/>
          <w:szCs w:val="24"/>
          <w:lang w:eastAsia="zh-CN"/>
        </w:rPr>
        <w:t xml:space="preserve">：校园卫士综合管理云平台维保项目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运维期限：12个月（2026年9月1日-2027年8月31日）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服务使用单位：无锡市滨湖区教育局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滨湖区“校园卫士综合管理云平台”项目建设各类校园监控 1701路，人脸识别监控 81 路，智能访客系统 84 套，以及相关中心系统（含平台软件、服务器、存储设备及硬盘）、网络传输系统等。另外前期有 81 路学校门口百米监控由各学校自行维护，这部分监控已全部接入滨湖区“校园卫士综合管理云平台”，本次也由滨湖区“校园卫士综合管理云平台”项目运维单位进行统一维护。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前端系统维护：对项目内所建前端系统进行维护，含设备故障修复、损坏替换、图像遮挡处理；对前端立杆设施维护，处理因事故等造成的杆件损坏恢复，协同处理因道路修等产生的点位迁移；对前端设施设备维护，含前端设备损坏替换过程中发生的所有安装辅材（前端设备箱、避雷器、电源线、网线、支架等）；对各学校监控系统维护，含学校监控室设备故障修复损坏替换等所有维护工作，确保整体系统图像可用性。</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eastAsia="zh-CN" w:bidi="ar"/>
        </w:rPr>
        <w:t xml:space="preserve">2）中心系统维护：对中心存储设备进行维护（设备故障修复、损坏替换等），确保整体系统图像可用性，避免录像无法保存；对中心服务器设备进行维护（设备故障修复、损坏维修、替换等），确保整体系统整体可用性，避免服务器故障造成的长时间系统宕机；对中心网络设备进行维护（设备故障修复、损坏维修产生的硬件更换、软件配置调试等所有维护工作），确保中心网络系统正常运行；对列入维保范围内的应用软件进行维护（软件安装使用需要开展的配置设置修改及调整、故障排查、问题修复等），确保应用软件的可用性，避免软件系统故障产生的长时间无法使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软件及信息资源维护：协助检查数据库及存储系统平台存储数据量和系统运行的情况；协助定期对数据库、服务器进行优化；协助检查应用软件中间件运行情况，及时优化并处理中间件故障；接受数据维护申请，在建设单</w:t>
      </w:r>
      <w:r>
        <w:rPr>
          <w:rFonts w:hint="eastAsia" w:ascii="宋体" w:hAnsi="宋体" w:eastAsia="宋体" w:cs="宋体"/>
          <w:sz w:val="24"/>
          <w:szCs w:val="24"/>
          <w:lang w:val="en-US" w:eastAsia="zh-CN" w:bidi="ar"/>
        </w:rPr>
        <w:t xml:space="preserve">位的授权下及时进行数据维护处理；配合系统硬件的维护，及时处理涉及数据库和应用软件相关工作；配合完成日常的统计分析报表，完成特殊的查询统计需求；应用软件运维服务（软件安装卸载和升级、重要软件数据备份、软件数据整理、软件故障排除）；业务系统运维服务（协助用户进行各业务系统的周期性巡检、协助用户对业务系统数据进行备份、当业务系统发生故障时为业务系统厂家的修复过程提供必要技术支持、在用户进行新增业务系统部署时提供技术支持）；信息资源维护（本项目中的所有平台及数据，无条件开放所有的对接接口，供指定的第三方系统调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（4）网络与安全系统运维：每日通过统一管理平台核查设备在线状态、画面质量；定期巡查现场设备及机房设备；</w:t>
      </w:r>
      <w:r>
        <w:rPr>
          <w:rFonts w:hint="eastAsia" w:ascii="宋体" w:hAnsi="宋体" w:eastAsia="宋体" w:cs="宋体"/>
          <w:sz w:val="24"/>
          <w:szCs w:val="24"/>
          <w:lang w:val="en-US" w:eastAsia="zh-CN" w:bidi="ar"/>
        </w:rPr>
        <w:t xml:space="preserve">每月检查电源线、网线、视频线，查看接头是否松动氧化、绝缘层是否破损，外露线路加装保护套管；POE供电设备需测试端口供电稳定性；每季度核查网络拓扑结构，确保物联网络与信息网络物理隔离，视频类与非视频类网络独立运行；监测带宽占用情况，对非关键通道优化码率；每月登录管理后台检查设备固件版本，在业务低峰期完成兼容版升级；每周备份设备配置文件；每日查看系统日志，追踪设备离线、传输异常等记录；安全维护：每日核查防火墙、安全网关运行状态，确保端口级访问控制生效；每季度更新防火墙策略，屏蔽非法IP访问，开启入侵防范、恶意代</w:t>
      </w:r>
      <w:r>
        <w:rPr>
          <w:rFonts w:hint="eastAsia" w:ascii="宋体" w:hAnsi="宋体" w:eastAsia="宋体" w:cs="宋体"/>
          <w:sz w:val="24"/>
          <w:szCs w:val="24"/>
          <w:lang w:val="en-US" w:eastAsia="zh-CN" w:bidi="ar"/>
        </w:rPr>
        <w:t xml:space="preserve">码防护功能；严格执行账号分级授权，用户名唯一且口令含3种以上字符、长度≥8位，每90天强制更换；限制管理员登录地址，启用SSH加密管理，设置登录失败3次锁定机制；每周检查存储硬盘SMART状态，及时更换故障硬盘；每月清理冗余录像，确保关键时段录像保存完整；每季度完成数据异地备份，测试恢复功能；机房实行门禁管理，温湿度控制在0-40℃、湿度40%-80%；雷雨季节前检查防雷模块接地情况，外露设备加装防破坏防护壳；维护周期与计划包含日常维护（每日）、定期维护（每周-每月）、季度维护（每季度）、年度维护（每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运维人力服务：提供至少1名驻场人员，负责平台日常巡检、故障登记调度、数据统计上报、现场技术支持等工作；提供7×24小时服务，确保15分钟的服务响应时间（驻场人员具体工作包含日常巡检与状态监控、故障登记调度与闭环跟踪、平台操作技术支持与培训、数据统计与上报、备品备件管理与对接、跨部门沟通协调与资料管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其他专项服务：零星设备更换（包括百米监控球机、红外枪机、重点部位摄像机、硬盘、POE交换机、设备箱、人脸识别摄像机等，按清单更换，更换后免费维保5年）；网络升级改造（在运营商机房新增16光口万兆光口交换机，配备万兆光模块，将相关链路升级至万兆带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（1）前端系统维护事项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1）设备故障修复、损坏替换、图像遮挡处理。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2）前端立杆设施维护，损坏恢复，点位迁移。</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3）前端设备损坏替换过程中发生的所有安装辅材（设备箱、避雷器、电源线、网线、支架等）的维护更换。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4）学校监控室设备故障修复、损坏替换等。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（2）中心系统维护事项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1）中心存储设备故障修复、损坏替换。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2）中心服务器设备故障修复、损坏维修、替换。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3）中心网络设备故障修复、损坏维修产生的硬件更换、软件配置调试等。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4）应用软件配置设置修改及调整、故障排查、问题修复。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（3）软件及信息资源维护事项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1）协助检查数据库及存储系统平台存储数据量和系统运行情况。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2）协助定期对数据库、服务器进行优化。</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3）协助检查应用软件中间件运行情况，及时优化并处理中间件故障。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4）接受数据维护申请，在授权下及时进行数据维护处理。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5）配合系统硬件的维护，及时处理涉及数据库和应用软件相关工作。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6）配合完成日常的统计分析报表，完成特殊的查询统计需求。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7）应用软件运维：软件安装卸载和升级；重要软件数据备份；软件数据整理；软件故障排除。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8）业务系统运维：周期性巡检（定期），协助数据备份（定期，优先使用业务系统自带备份功能），故障时提供技术支持，新增系统部署技术支持。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9）无条件开放所有对接接口供第三方系统调用。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（4）网络与安全系统运维事项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1）每日：通过统一管理平台核查设备在线状态、画面质量；查看系统日志，追踪设备离线、传输异常等记录；每日核查防火墙、安全网关运行状态。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2）每周：备份设备配置文件；检查存储硬盘SMART状态，及时更换故障硬盘。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每月：检查电源线、网线、视频线，查看接头是否松动氧化、绝缘层是否破损，外露线路加装保护套管；测试POE供电端口供电稳定性；登录管理后台检查设备固件版本，在业务低峰期完成兼容版升级；清理冗余录像，确保关键时段录像保存完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每季度：核查网络拓扑结构，确保物联网络与信息网络物理隔离，视频类与非视频类网络独立运行；监测带宽占用情况，对非关键通道优化码率；更新防火墙策略，屏蔽非法IP访问，开启入侵防范、恶意代码防护功能；完成数据异地备份，测试恢复功能；每90天强制更换账号口令；雷雨季节前检查防雷模块接地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5）每年：全面设备检修、网络架构优化、应急演练、系统压力测试。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6）日常落实：账号分级授权（口令复杂度及长度要求），限制管理员登录地址，启用SSH加密管理，设置登录失败3次锁定机制；机房温湿度控制，门禁管理。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（5）运维人力服务事项（驻场人员工作）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日常巡检与状态监控（每日一次通过平台巡检前端设备、中心系统及网络运行状况；每周随机抽取20所学校进行远程画面抽检，每校抽检不少于5个重点点位；前端设备在线率≥98%，画面无黑屏/花屏/遮挡/卡顿，人脸抓拍率≥95%，访客系统功能正常；中心设备CPU/内存使用率≤70%，硬盘存储剩余空间≥20%，网络链路丢包率=0、延迟≤1s，平台联网对接无中断；每日巡检后梳理隐患问题，每周进行周度隐患汇总；极端天气前专项排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故障登记、调度与闭环跟踪（7×24小时接听热线，接收报修及平台自动报警；故障接收后15分钟内完成登记，生成唯一故障编码；按故障类型分级调度：简单故障远程指导，一般故障调度外场人员现场处理，重大故障立即上报并启动应急预案；故障修复后1小时内复核；每日统计，每月底进行月度故障统计分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平台操作技术支持与培训（日常操作技术支持响应时间≤30分钟，现场支持1小时内到达指定学校；每年组织1次平台使用专项培训，新学校接入或新人员上岗时提供一对一岗前培训；培训后考核，通过率100%，培训后7天内回访）。</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数据统计与上报（每日上午10:00前上报前一日运行核心数据；每周一上午11:00前上报上周周报表；每月5日前上报上月运维工作汇报；每季度首月10日前上报上季度运维分析报告；专项数据调取响应时间≤1小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5）备品备件管理与对接（每周三下午进行库存核查，每月底进行月度库存盘点；库存不足安全库存时立即提醒补充；备件出库/入库及时登记，账物相符）。</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运维资料整理与归档（全程收集、整理、归档巡检记录、故障处理记录、培训资料、数据报表、备品备件记录、沟通记录等；纸质资料分类装订存档，电子资料备份至指定服务器；需提供查阅时10分钟内调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（6）零星设备更换事项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1）对清单所列学校及点位进行设备更换（包括百米监控球机、红外枪机、重点部位摄像机、硬盘、8口POE交换机、5口POE交换机、设备箱、人脸识别摄像机），更换后免费维保5年。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（7）网络升级改造事项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1）在运营商机房新增16光口万兆光口交换机，配备万兆光模块，升级相关链路至万兆带宽。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（1）系统可用性要求：为保证整体系统可用性达到100%，需提供相应的备品备件设备。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（2）故障修复时间要求：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1）前端故障修复时间小于48小时（设备更换需在2小时内完成）。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2）中心及平台故障修复时间小于12小时（不可抗力除外）。</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3）故障级别响应时间及解决时间要求：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I级（系统崩溃导致业务停止、数据丢失）：15分钟响应，60分钟达到现场，1小时内提交故障处理方案，到达现场后8小时以内解决。</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II级（部分部件失效、系统性能下降但能正常运行）：15分钟响应，60分钟达到现场，2小时内提交故障处理方案，到达现场后8小时以内解决。</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III级（系统报错或警告但业务能继续运行）：15分钟响应，60分钟达到现场，4小时内提交故障处理方案，到达现场后24小时以内解决。</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IV级（技术功能、安装或配置咨询等）：15分钟响应，60分钟达到现场，12小时内提交故障处理方案，24小时内解决。</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4）、服务响应时间承诺：7×24小时服务，确保15分钟的服务响应时间（驻场人员考核要求故障响应时间≤15分钟）。</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（3）系统完好率要求：保证系统每月完好率（前端图像、抓拍图片等在系统内可正常使用）达到98%（不可抗力和免责条款规定的除外）。</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（4）考核指标要求：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1）确保学校物防建设和校园封闭管理达标率100%。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2）校园视频监控与公安机关和教育部门联网率100%。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3）前端设备在线率不低于98%。</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4）运行六个月内无重大故障≥99.95%。</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5）系统运维期故障及时解决率≥95%。</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（5）驻场人员工作考核指标：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1）日常巡检完成率100%，巡检记录完整准确。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2）故障响应时间≤15分钟，故障登记准确率100%，故障闭环跟踪率100%。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3）平台运行数据上报及时率100%、准确率100%。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4）技术支持服务用户满意度≥95%。</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5）运维资料归档完整率100%。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6）备品备件库存核查准确率100%，账物相符率100%。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（6）维护周期要求：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1）每日：设备在线核查、画面质量监测、日志查看；防火墙/安全网关运行状态核查。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2）每周/每月：线路检查、设备清洁、配置备份、安全策略核查。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3）每季度：固件升级、带宽优化、安全审计、防雷检测、数据异地备份。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4）每年：全面设备检修、网络架构优化、应急演练、系统压力测试。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（7）其他要求：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1）维护服务单位不得擅自改变网络架构及组网方式；不得擅自变更前端设备接入的中心系统及接入方式；不得擅自变更前端设备存放位置。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2）备品备件要求：提供相应备品备件设备，满足紧急更换需求，安全库存标准：摄像机≥10台、硬盘≥20块、POE交换机≥5台。</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3）更换设备要求：维修前后品牌和型号保持一致，如停产则使用性能等于或高于当前的设备替换；设备数量不能丢失或遗漏。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4）取用电、绿化修剪、行政审批等事宜及相关费用由维护服务单位自行解决。</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5）传输链路要专用，与其他网络物理隔绝。</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6）保密要求：对本项目涉及的软硬件技术资料和监控图像等负有保密义务，未经许可不得提供第三方；不得接入任意第三方图像；不得将图像资源提供给第三方；在技术及制度上做好防止泄密工作。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7）安全责任：严格执行安全生产规范，对施工维护人员进行安全教育，参加相关保险，合同期内发生的质量、安全事故及责任和经济损失均由维护服务单位负责。</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8）服务期满后：若由第三方提供后续服务，则维护服务单位应提供便利，提交相关的建设资料及运维资料。</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（8）零星更换设备质保要求：自更换使用之日起免费维保5年。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（9）网络升级改造要求：按照新网络架构图升级，实现万兆带宽。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5、团队配置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该运维项目采用外包的方式，必须十分注重信息化技术队伍的建设，技术力量和人员配置是指根据项目发展需求，对运维人员进行配置、培训等，做到“人员配备适当 ”，能全流程管理运维任务。</w:t>
      </w:r>
      <w:r/>
    </w:p>
    <w:tbl>
      <w:tblPr>
        <w:tblStyle w:val="779"/>
        <w:tblW w:w="852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707"/>
        <w:gridCol w:w="2385"/>
        <w:gridCol w:w="708"/>
        <w:gridCol w:w="3584"/>
        <w:gridCol w:w="1138"/>
      </w:tblGrid>
      <w:tr>
        <w:trPr>
          <w:jc w:val="center"/>
          <w:tblHeader/>
        </w:trPr>
        <w:tc>
          <w:tcPr>
            <w:shd w:val="clear" w:color="auto" w:fill="auto"/>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序号</w:t>
            </w:r>
            <w:r/>
          </w:p>
        </w:tc>
        <w:tc>
          <w:tcPr>
            <w:shd w:val="clear" w:color="auto" w:fill="auto"/>
            <w:tcBorders>
              <w:top w:val="single" w:color="000000" w:sz="2" w:space="0"/>
              <w:left w:val="single" w:color="000000" w:sz="2" w:space="0"/>
              <w:bottom w:val="single" w:color="000000" w:sz="2" w:space="0"/>
              <w:right w:val="single" w:color="000000" w:sz="2" w:space="0"/>
            </w:tcBorders>
            <w:tcW w:w="23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岗位</w:t>
            </w:r>
            <w:r/>
          </w:p>
        </w:tc>
        <w:tc>
          <w:tcPr>
            <w:shd w:val="clear" w:color="auto" w:fill="auto"/>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人数</w:t>
            </w:r>
            <w:r/>
          </w:p>
        </w:tc>
        <w:tc>
          <w:tcPr>
            <w:shd w:val="clear" w:color="auto" w:fill="auto"/>
            <w:tcBorders>
              <w:top w:val="single" w:color="000000" w:sz="2" w:space="0"/>
              <w:left w:val="single" w:color="000000" w:sz="2" w:space="0"/>
              <w:bottom w:val="single" w:color="000000" w:sz="2" w:space="0"/>
              <w:right w:val="single" w:color="000000" w:sz="2" w:space="0"/>
            </w:tcBorders>
            <w:tcW w:w="358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职责说明</w:t>
            </w:r>
            <w:r/>
          </w:p>
        </w:tc>
        <w:tc>
          <w:tcPr>
            <w:shd w:val="clear" w:color="auto" w:fill="auto"/>
            <w:tcBorders>
              <w:top w:val="single" w:color="000000" w:sz="2" w:space="0"/>
              <w:left w:val="single" w:color="000000" w:sz="2" w:space="0"/>
              <w:bottom w:val="single" w:color="000000" w:sz="2" w:space="0"/>
              <w:right w:val="single" w:color="000000" w:sz="2" w:space="0"/>
            </w:tcBorders>
            <w:tcW w:w="113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工作方式</w:t>
            </w:r>
            <w:r/>
          </w:p>
        </w:tc>
      </w:tr>
      <w:tr>
        <w:trPr>
          <w:jc w:val="center"/>
        </w:trPr>
        <w:tc>
          <w:tcPr>
            <w:shd w:val="clear" w:color="auto" w:fill="auto"/>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2" w:space="0"/>
              <w:left w:val="single" w:color="000000" w:sz="2" w:space="0"/>
              <w:bottom w:val="single" w:color="000000" w:sz="2" w:space="0"/>
              <w:right w:val="single" w:color="000000" w:sz="2" w:space="0"/>
            </w:tcBorders>
            <w:tcW w:w="23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总负责人</w:t>
            </w:r>
            <w:r/>
          </w:p>
        </w:tc>
        <w:tc>
          <w:tcPr>
            <w:shd w:val="clear" w:color="auto" w:fill="auto"/>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2" w:space="0"/>
              <w:left w:val="single" w:color="000000" w:sz="2" w:space="0"/>
              <w:bottom w:val="single" w:color="000000" w:sz="2" w:space="0"/>
              <w:right w:val="single" w:color="000000" w:sz="2" w:space="0"/>
            </w:tcBorders>
            <w:tcW w:w="358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项目总负责、负责项目指导，重大决策</w:t>
            </w:r>
            <w:r/>
          </w:p>
        </w:tc>
        <w:tc>
          <w:tcPr>
            <w:shd w:val="clear" w:color="auto" w:fill="auto"/>
            <w:tcBorders>
              <w:top w:val="single" w:color="000000" w:sz="2" w:space="0"/>
              <w:left w:val="single" w:color="000000" w:sz="2" w:space="0"/>
              <w:bottom w:val="single" w:color="000000" w:sz="2" w:space="0"/>
              <w:right w:val="single" w:color="000000" w:sz="2" w:space="0"/>
            </w:tcBorders>
            <w:tcW w:w="113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负责项目实施</w:t>
            </w:r>
            <w:r/>
          </w:p>
        </w:tc>
      </w:tr>
      <w:tr>
        <w:trPr>
          <w:jc w:val="center"/>
        </w:trPr>
        <w:tc>
          <w:tcPr>
            <w:shd w:val="clear" w:color="auto" w:fill="auto"/>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p>
        </w:tc>
        <w:tc>
          <w:tcPr>
            <w:shd w:val="clear" w:color="auto" w:fill="auto"/>
            <w:tcBorders>
              <w:top w:val="single" w:color="000000" w:sz="2" w:space="0"/>
              <w:left w:val="single" w:color="000000" w:sz="2" w:space="0"/>
              <w:bottom w:val="single" w:color="000000" w:sz="2" w:space="0"/>
              <w:right w:val="single" w:color="000000" w:sz="2" w:space="0"/>
            </w:tcBorders>
            <w:tcW w:w="23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运维服务负责人</w:t>
            </w:r>
            <w:r/>
          </w:p>
        </w:tc>
        <w:tc>
          <w:tcPr>
            <w:shd w:val="clear" w:color="auto" w:fill="auto"/>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2" w:space="0"/>
              <w:left w:val="single" w:color="000000" w:sz="2" w:space="0"/>
              <w:bottom w:val="single" w:color="000000" w:sz="2" w:space="0"/>
              <w:right w:val="single" w:color="000000" w:sz="2" w:space="0"/>
            </w:tcBorders>
            <w:tcW w:w="358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负责项目的运维外包执行</w:t>
            </w:r>
            <w:r/>
          </w:p>
        </w:tc>
        <w:tc>
          <w:tcPr>
            <w:shd w:val="clear" w:color="auto" w:fill="auto"/>
            <w:tcBorders>
              <w:top w:val="single" w:color="000000" w:sz="2" w:space="0"/>
              <w:left w:val="single" w:color="000000" w:sz="2" w:space="0"/>
              <w:bottom w:val="single" w:color="000000" w:sz="2" w:space="0"/>
              <w:right w:val="single" w:color="000000" w:sz="2" w:space="0"/>
            </w:tcBorders>
            <w:tcW w:w="113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负责项目的具体实施</w:t>
            </w:r>
            <w:r/>
          </w:p>
        </w:tc>
      </w:tr>
      <w:tr>
        <w:trPr>
          <w:jc w:val="center"/>
        </w:trPr>
        <w:tc>
          <w:tcPr>
            <w:shd w:val="clear" w:color="auto" w:fill="auto"/>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w:t>
            </w:r>
            <w:r/>
          </w:p>
        </w:tc>
        <w:tc>
          <w:tcPr>
            <w:shd w:val="clear" w:color="auto" w:fill="auto"/>
            <w:tcBorders>
              <w:top w:val="single" w:color="000000" w:sz="2" w:space="0"/>
              <w:left w:val="single" w:color="000000" w:sz="2" w:space="0"/>
              <w:bottom w:val="single" w:color="000000" w:sz="2" w:space="0"/>
              <w:right w:val="single" w:color="000000" w:sz="2" w:space="0"/>
            </w:tcBorders>
            <w:tcW w:w="23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技术负责（外包）</w:t>
            </w:r>
            <w:r/>
          </w:p>
        </w:tc>
        <w:tc>
          <w:tcPr>
            <w:shd w:val="clear" w:color="auto" w:fill="auto"/>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2" w:space="0"/>
              <w:left w:val="single" w:color="000000" w:sz="2" w:space="0"/>
              <w:bottom w:val="single" w:color="000000" w:sz="2" w:space="0"/>
              <w:right w:val="single" w:color="000000" w:sz="2" w:space="0"/>
            </w:tcBorders>
            <w:tcW w:w="358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负责项目平台运维的具体实施（运营商运维团队项目经理、技术负责人），无条件提供给业务方有关的技术咨询。服务方承诺提供 7 ×24小时服务，确保 15 分钟的服务响应时间。严格执行相关安全生产的规范条例，服务方应对施工维护人员进行安全教育，服务方应确保合同期内不发生人身伤亡事故和火灾事故，并应参加建筑、安装工程保险，合同期内发生的质量、安全事故及责任和经济损失均由中标人负责。</w:t>
            </w:r>
            <w:r/>
          </w:p>
        </w:tc>
        <w:tc>
          <w:tcPr>
            <w:shd w:val="clear" w:color="auto" w:fill="auto"/>
            <w:tcBorders>
              <w:top w:val="single" w:color="000000" w:sz="2" w:space="0"/>
              <w:left w:val="single" w:color="000000" w:sz="2" w:space="0"/>
              <w:bottom w:val="single" w:color="000000" w:sz="2" w:space="0"/>
              <w:right w:val="single" w:color="000000" w:sz="2" w:space="0"/>
            </w:tcBorders>
            <w:tcW w:w="113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负责组织协调、服务流程闭环监督</w:t>
            </w:r>
            <w:r/>
          </w:p>
        </w:tc>
      </w:tr>
      <w:tr>
        <w:trPr>
          <w:jc w:val="center"/>
        </w:trPr>
        <w:tc>
          <w:tcPr>
            <w:shd w:val="clear" w:color="auto" w:fill="auto"/>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W w:w="23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业务协助（外包）</w:t>
            </w:r>
            <w:r/>
          </w:p>
        </w:tc>
        <w:tc>
          <w:tcPr>
            <w:shd w:val="clear" w:color="auto" w:fill="auto"/>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2" w:space="0"/>
              <w:left w:val="single" w:color="000000" w:sz="2" w:space="0"/>
              <w:bottom w:val="single" w:color="000000" w:sz="2" w:space="0"/>
              <w:right w:val="single" w:color="000000" w:sz="2" w:space="0"/>
            </w:tcBorders>
            <w:tcW w:w="358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作为滨湖区教育局与外包运维团队的现场对接枢纽、 日常运维执行岗、故障快速响应岗，全权负责平台日常巡检、故障登记调度、数据统计上报、现场技术支持等工作，保障“校园卫士综合管理云平台 ”前端设备、中心系统、网络链路的日常稳定运行。</w:t>
            </w:r>
            <w:r/>
          </w:p>
        </w:tc>
        <w:tc>
          <w:tcPr>
            <w:shd w:val="clear" w:color="auto" w:fill="auto"/>
            <w:tcBorders>
              <w:top w:val="single" w:color="000000" w:sz="2" w:space="0"/>
              <w:left w:val="single" w:color="000000" w:sz="2" w:space="0"/>
              <w:bottom w:val="single" w:color="000000" w:sz="2" w:space="0"/>
              <w:right w:val="single" w:color="000000" w:sz="2" w:space="0"/>
            </w:tcBorders>
            <w:tcW w:w="113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驻场负责平台巡检</w:t>
            </w:r>
            <w:r/>
          </w:p>
        </w:tc>
      </w:tr>
      <w:tr>
        <w:trPr>
          <w:jc w:val="center"/>
        </w:trPr>
        <w:tc>
          <w:tcPr>
            <w:shd w:val="clear" w:color="auto" w:fill="auto"/>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w:t>
            </w:r>
            <w:r/>
          </w:p>
        </w:tc>
        <w:tc>
          <w:tcPr>
            <w:shd w:val="clear" w:color="auto" w:fill="auto"/>
            <w:tcBorders>
              <w:top w:val="single" w:color="000000" w:sz="2" w:space="0"/>
              <w:left w:val="single" w:color="000000" w:sz="2" w:space="0"/>
              <w:bottom w:val="single" w:color="000000" w:sz="2" w:space="0"/>
              <w:right w:val="single" w:color="000000" w:sz="2" w:space="0"/>
            </w:tcBorders>
            <w:tcW w:w="23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业务协助（外包）</w:t>
            </w:r>
            <w:r/>
          </w:p>
        </w:tc>
        <w:tc>
          <w:tcPr>
            <w:shd w:val="clear" w:color="auto" w:fill="auto"/>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W w:w="358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负责前端故障、心中系统故障的维修、处理（运营商运维外包服务外场服务人员）。前端故障包括且不限于监控系统摄像机、人脸采集设备、手持访客客户端、移动终端信息采集设备、光传输设备、光纤资源等前端设备和服务器、存储设备、网络设备、数据库、平台软件等后台设备出现故障造成监控图像丢失、不能控制或图像不清无法使用、无录像；人脸无法采集、</w:t>
            </w:r>
            <w:r/>
          </w:p>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存储、比对，无法预警；访客系统无法采集、比对身份证信息，无法进行预约、登记等达不到原设计功能或原性能要求的情形。中心平台故障是指：内外网传输中断，应用管理平台无法操作使用、存储出现故障无法调取的、级联服务器出现故障无法调取的、相关模块功能无法运行等情形。</w:t>
            </w:r>
            <w:r/>
          </w:p>
        </w:tc>
        <w:tc>
          <w:tcPr>
            <w:shd w:val="clear" w:color="auto" w:fill="auto"/>
            <w:tcBorders>
              <w:top w:val="single" w:color="000000" w:sz="2" w:space="0"/>
              <w:left w:val="single" w:color="000000" w:sz="2" w:space="0"/>
              <w:bottom w:val="single" w:color="000000" w:sz="2" w:space="0"/>
              <w:right w:val="single" w:color="000000" w:sz="2" w:space="0"/>
            </w:tcBorders>
            <w:tcW w:w="113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校园巡检</w:t>
            </w:r>
            <w:r/>
          </w:p>
        </w:tc>
      </w:tr>
    </w:tbl>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6、驻场人员要求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因滨湖区“校园卫士综合管理云平台”担负着校园安全防范的重要作用，维保要求高，相关视频监控级联区、市教育局、公安局，有严格的考核要求和指标，需时刻保持相关系统、设备的稳定运行，为此，本项目需要配备 1 名驻场人员。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本项目驻场人员工作地点为滨湖区教育局，工作时间为每周一至周五 9:00-17:00，实行 7×24 小时线上待命机制。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作为滨湖区教育局与外包运维团队的现场对接枢纽、日常运维执行岗、故障快速响应岗，全权负责平台日常巡检、故障登记调度、数据统计上报、现场技术支持等工作，保障“校园卫士综合管理云平台”前端设备、中心系统、网络链路的日常稳定运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人员要求：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大专及以上学历（计算机、安防工程、网络工程相关专业），具备 2 年及以上公安、教育行业视频监控系统运维经验，熟练操作平台管理后台、网络检测工具（测线仪、光功率计等），熟悉 GB/T28181协议及平台对接流程，能独立完成日常巡检、简单故障排查及跨部门沟通协调。</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35</w:t>
      </w:r>
      <w:r>
        <w:rPr>
          <w:rFonts w:hint="eastAsia" w:ascii="宋体" w:hAnsi="宋体" w:eastAsia="宋体" w:cs="宋体"/>
          <w:b/>
          <w:bCs/>
          <w:sz w:val="24"/>
          <w:szCs w:val="24"/>
          <w:lang w:eastAsia="zh-CN"/>
        </w:rPr>
        <w:t xml:space="preserve">：行政执法人员网上培训及考试服务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运维期限：12个月（2026年9月1日-2027年8月31日）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服务使用单位：无锡市滨湖区司法局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（1）软硬件基础设施运维：包括机房及其配套设施运维、网络与安全系统运维、服务器与存储系统运维。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（2）信息系统运维：包括对“行政执法人员网上培训及考试服务”平台的日常监控、性能优化、用户支持、版本发布、专项保障、基础数据维护、业务内容维护、接口数据维护等。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（3）数据资源运维：包括业务数据库、日志库、备份数据的日常维护，数据备份、完整性检查、历史数据归档等。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（4）通讯类运维：提供链路租用、互联网出口、VPN等通信资源运维服务，包含线路监控、故障报修协调、通信质量评估及费用管理。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（5）其他运维：包括数据服务运维、安全服务运维、运维咨询服务、项目管理运维。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（6）运维制度与规范：包括运维人员管理制度、操作规程、日志记录制度、报告制度、故障分级及升级规范、信息安全保密制度、运维流程与单据管理。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（7）运维服务质量考核：建立考核机制，从响应时效、故障处理效果、服务规范性、用户满意度等方面考核。</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（1）机房及其配套设施运维事项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1）巡检：按日/月/季巡检周期，对机房核心系统及配套设施开展全面巡检。具体包括：</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机房环境巡检：记录温度、湿度数据，检查灰尘、积水、异味等异常。</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供配电系统巡检：检查UPS运行状态、电池组电压/温度，配电柜指示灯、开关状态，测量电压电流，排查线路老化松动。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空调系统巡检：检查空调运行模式、出风口温度，清洁滤网，排查制冷剂泄漏、风机异响。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消防系统巡检：检查烟感/温感探测器、手动报警按钮，测试报警主机通讯，核查灭火器、气体灭火装置压力及有效期。</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安防系统巡检：检查监控摄像头画面清晰度、存储设备状态，核查门禁通行记录，测试红外报警灵敏度。</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网络及机柜巡检：检查设备指示灯状态，清理灰尘，检查线缆连接牢固度及标识完整性。</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2）故障响应与处理：受理供配电、空调、消防、安防、环境异常、机柜等故障。遵循“先止损、后修复”原则，重大故障启动应急处置流程。</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3）建立7×24小时故障报修热线。</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（2）网络与安全系统运维事项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巡检：按照日、月、季分级巡检，对网络设备（交换机、路由器、无线AP等）、安全设备（防火墙、IPS、WAF、防病毒网关等）、网络链路、系统配置、安全策略、日志信息等进行全面检查；重点监测硬件状态、性能指标、网络连通性、安全告警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2）故障响应与处理：针对设备宕机、网络中断、链路故障、安全攻击、配置错误等，开展定位、分析、处置与恢复；故障后进行复盘分析。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3）保障7×24小时不间断运维支持。电话响应时限：核心业务场景15分钟内，非核心业务场景30分钟内。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（3）服务器与存储系统运维事项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1）日巡检：每日监测系统负载、硬件指示灯状态、关键服务运行情况。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2）月巡检：每月开展硬件健康状态检测、系统日志分析、存储容量监控、性能指标汇总。</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3）季巡检：每季度进行硬件部件损耗检查、系统配置合规性核查、存储阵列性能优化评估、灾备系统有效性验证。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4）故障响应与处理：针对设备宕机、网络中断、链路故障、安全攻击、配置错误等，开展故障定位、分析、处置与恢复；故障后进行复盘分析。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5）采用7×24小时全天候服务响应模式。电话响应时限：核心业务场景15分钟内，非核心业务场景30分钟内。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（4）其他软硬件运维事项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1）每日巡检：针对核心业务服务器、网络核心设备、关键业务终端开展每日巡检。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2）每月巡检：对全量服务器、网络设备、存储设备、安全设备及通用办公终端进行全面巡检，重点核查性能参数、日志信息、硬件健康状态。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3）每季度巡检：开展深度巡检，包括系统漏洞扫描、硬件设备损耗评估、网络链路质量检测、数据存储容量规划核查，形成季度巡检分析报告。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4）系统备份：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核心数据备份：全量备份每周执行1次（建议每周日凌晨非业务高峰时段）；增量备份每日执行1次（建议每日凌晨00:00-04:00）。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系统环境备份：操作系统、数据库系统及应用服务器环境每月执行1次全量备份；若系统配置发生重大变更，变更后24小时内额外执行1次专项全量备份。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非核心数据备份：每周执行1次全量备份。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（5）信息系统运维事项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1）日常监控与健康检查：每日对应用服务器的CPU、内存、磁盘、网络资源使用率进行监控；检查关键服务进程状态、数据库连接池状态及应用日志错误信息。</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2）性能优化与容量管理：每周分析系统性能趋势，在考试季前进行专项容量评估与扩容准备；每年至少进行2次全链路压力测试。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3）用户支持与服务台：设立统一运维服务热线与在线支持渠道，解答用户操作问题；建立常见问题（FAQ）知识库并定期更新。</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4）版本发布与变更管理：负责系统补丁、小版本更新的测试、发布与回滚，所有变更在非业务时段进行并提前公告；管理测试、预生产、生产环境。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5）专项保障：在重要培训项目或全市统一执法资格考试期间，制定专项保障预案，安排技术骨干现场或远程值守，实时监控系统负载与业务流水。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6）基础数据维护：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用户信息管理：协助进行执法人员账号的批量创建、导入、权限分配（学员、教员、管理员）、停用/启用及组织架构调整。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权限审核与审计：定期审核系统角色与权限配置，确保最小权限原则；对所有敏感操作（成绩修改、试卷导出）进行日志审计。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7）业务内容维护：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培训资源管理：支持培训课程、课件、视频等学习资源的分类上传、发布、更新与下架。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试题库维护：协助业务单位对试题进行批量导入、分类（法律门类、题型、难度）、审核与版本管理。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培训计划与考试安排：在后台协助配置培训班次、考试计划、设定考试规则（如时长、切屏限制）。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8）接口数据维护：维护与“江苏省行政执法监督平台”、“江苏省统一身份认证系统”等外部系统的数据交换接口，确保执法人员信息、成绩数据准确及时同步。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9）数据质量监控：每日核查关键业务数据（学习完成记录、考试成绩）的完整性与一致性；每月运行数据质量检查脚本，发现并修复脏数据、异常记录。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10）数据备份与恢复：执行与应用系统相关的数据库备份策略，每季度进行一次针对关键业务表（用户表、成绩表）的恢复演练。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11）、数据统计分析支持：根据管理需求编写SQL脚本或配置报表工具，提供各类统计报表（各区县学习进度统计、考试成绩分布、课程热度排名等）；保障领导驾驶舱或数据可视化大屏的数据准确与及时更新。</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12）数据安全与隐私保护：在应用层面落实数据脱敏策略，严格控制所有数据导出功能，导出操作须经审批并记录操作日志。</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（6）数据资源运维事项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1）维护范围：业务数据库、日志库、备份数据。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2）日常维护时间：每日定时维护，重大操作在业务低峰期进行。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3）维护内容：数据备份、数据完整性检查、历史数据归档。</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（7）通讯类运维事项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1）线路监控、故障报修协调、通信质量评估及费用管理等（按需）。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（8）其他运维方案事项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1）数据服务运维：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数据统计与分析服务：对用户学习行为、考试参与情况、成绩分布等进行统计分析。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数据质量管理：定期开展数据完整性、一致性检查，发现并修正异常数据。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数据整理与归档：按业务周期对历史考试数据、培训数据进行归档管理。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数据支撑服务：按需提供数据查询、导出、报表定制等技术支持。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工时参考：日常数据统计与维护约2人日/月；专项数据分析与报表支撑约1人日/次；年度数据归档整理约5人日/年。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2）安全服务运维：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安全巡检与风险排查：定期对系统主机、应用、数据库进行安全检查。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漏洞管理与安全加固：配合漏洞扫描结果，实施补丁更新、安全配置加固。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安全事件应急响应：发生安全事件时协助开展应急处置、原因分析和整改。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安全合规支撑：配合开展网络安全等级保护测评、审计检查等工作。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工时参考：日常安全巡检与加固约2人日/月；安全漏洞整改约1人日/次；等保测评配合与整改支撑约5人日/年。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3）运维咨询服务：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运维管理咨询：提供运维管理模式、制度优化等方面的咨询建议。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系统优化与扩展咨询：针对性能瓶颈、并发能力提升等提出建议。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技术方案评审支持：参与重大技术方案、系统升级方案的评审。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工作标准：咨询成果形成书面报告或建议文档；建议具备可实施性和针对性；服务响应及时。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工时参考：日常运维咨询支持约1人日/月；专项技术咨询或评审约2人日/次。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4）项目管理运维：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运维计划与协调管理：编制年度、季度运维计划，协调资源。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运维进度与质量管理：跟踪任务执行情况，监督服务质量。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沟通与汇报管理：定期向建设单位汇报运维工作进展、风险和改进建议。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文档与档案管理：统一管理运维文档、报告和台账。</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工时参考：日常项目管理与协调约2人日/月；运维会议与汇报材料编制约1人日/次；年度运维总结与评估约3人日/年。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（9）运维制度与规范执行事项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1）执行运维人员管理制度（岗位责任制、资质要求、值班交接制度）。</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2）执行运维操作规程（标准化操作流程、变更操作规范、高风险操作双人复核）。</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3）执行运维日志与记录管理制度（运行日志记录、运维操作记录、日志保存与审计）。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4）执行运维报告制度：月度运维报告、季度运维分析报告、年度运维总结报告，以及专项报告。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5）执行故障分级及升级规范（一级/重大、二级/重要、三级/一般故障，及升级机制、复盘机制）。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6）、执行信息安全与保密制度（信息安全管理、数据保密与隐私保护、保密责任约束）。</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7）执行运维流程与单据管理（问题受理流程、运维服务单、故障处理单、变更申请单、巡检记录表等）。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（1）系统可用性：100%（来自运维目标中的具体目标1）。</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（2）用户满意度：100%（来自运维目标中的具体目标2）。</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（3）故障处理时间要求：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1）普通故障：远程响应立即响应，现场响应2小时内到现场，故障解决时间到达现场后&lt;3小时。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2）重大故障：远程响应立即响应，现场响应1小时内到现场，故障解决时间到达现场后&lt;2小时。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3）特大故障：远程响应立即响应，现场响应30分钟内到现场，故障解决时间到达现场后&lt;1小时。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（4）信息系统运维服务标准要求：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1）服务时间：监控与应急响应7×24小时；业务支持与运维操作工作日8:30-17:30；法定节假日及全市性统一考试期间提供全程增强保障。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2）故障分级与响应时限：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一级（致命故障）：系统完全不可用、大规模考试中断、核心数据错误或丢失。要求5分钟内响应，30分钟内启动应急方案，2小时内恢复核心业务。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二级（严重故障）：关键功能模块（考试交卷、在线评分、视频播放）异常，影响部分用户。要求15分钟内响应，1小时内定位问题，4小时内解决。</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三级（一般故障）：非核心功能异常、页面显示错误、个别用户操作问题。要求1小时内响应，8小时内解决。</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3）系统可用性指标：核心业务系统年度可用率不低于99.5%。</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4）人员要求：配备至少2名熟悉平台技术架构的专职应用运维工程师，并指定1名熟悉行政执法业务流程的项目经理。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（5）网络与安全系统运维人员要求：配备不少于2名具备网络安全运维经验的专业技术人员，具备相关从业资格和实际运维能力。</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（6）服务器与存储系统运维人员要求：配备不少于1名具备服务器与存储系统运维项目管理经验的专业技术人员，具备相关从业资格和实际运维能力。</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（7）机房运维人员要求：配备不少于2名具备机房运维经验的专业技术人员，具备相关从业资格和实际运维能力；具备自动化运维能力（如Shell/Python/Java），熟悉云服务器核心产品（ECS、SLB、RDS等）。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（8）数据资源关键指标：数据完整率、备份成功率、恢复可用率；按月检查、按季度评估数据运维质量。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（9）运维模式：采用外包服务模式，按需服务。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（10）考核要求：建立运维服务质量考核机制，从响应时效、故障处理效果、服务规范性、用户满意度等方面综合考核，明确考核指标和约束措施，确保运维服务质量持续达标。</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36</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rPr>
        <w:t xml:space="preserve">IT</w:t>
      </w:r>
      <w:r>
        <w:rPr>
          <w:rFonts w:hint="eastAsia" w:ascii="宋体" w:hAnsi="宋体" w:eastAsia="宋体" w:cs="宋体"/>
          <w:b/>
          <w:bCs/>
          <w:sz w:val="24"/>
          <w:szCs w:val="24"/>
          <w:lang w:eastAsia="zh-CN"/>
        </w:rPr>
        <w:t xml:space="preserve">设备续保及运维服务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运维期限：12个月（2026年9月1日-2027年8月31日）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服务使用单位：无锡市滨湖区财政局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对滨湖区财政局现有的信息系统基础资源进行监控和管理，及时掌握网络信息系统资源现状和配置信息，反映信息系统资源的可用性情况和健康状况，创建一个可知可控的IT环境，从而保证用户信息系统的各类业务应用系统的可靠、高效、持续、安全运行。主要涉及：滨湖区财政局中心机房所有IT设备（服务器、存储、交换机、网络安全设备等），局内办公区域所有交换机、路由器、电脑、打印机、扫描仪等办公设备，保证设备在日常办公期间可以正常使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服务器及存储12台、安全设备10台、网络设备17台。</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（1）机房及其配套设施运维事项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1）每月检测各项技术参数监控传输、线路质量，处理故障隐患，协助用户设定使用级别等各种数据。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2）对容易老化的机房IT设备部件每月一次进行全面检查，发现老化及时更换、维修。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3）对业务系统及设备的运行情况进行监控，分析运行情况，及时发现并排除故障。网络设备、服务器系统及各种终端外设。基础维护每月一次，日常问题到达故障现场不超2小时。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4）每月定期对业务系统和设备进行优化：合理安排网络需求，如带宽、IP地址等限制。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5）提供每月一次的系统网络性能检测，包括网络的连通性、稳定性及带宽的利用率等。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6）实时检测所有可能影响业务网络设备的外来网络攻击，实时监控各服务器运行状态、流量及入侵监控等。对异常情况进行核查并处理。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7）根据用户需要进行网络的规划、优化；协助处理服务器软硬件故障及进行相关硬件软件的拆装等。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（2）网络与安全系统运维事项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1）网络故障排查：在内部单位网络出现故障、卡顿、无法上网等影响办公的网络问题时，进行网络故障排查。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2）网络设备硬件状态检查：每月一次巡检，对内部所有硬件设备进行状态查看并出具巡检报告。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3）网络流量监测：每月一次巡检或发生网络异常情况时，给出流量监测情况说明。</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4）安全策略配置及配置优化：根据用户需求设备安全策略配置，根据单位使用要求进行优化。</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5）网络设备资料整理：每年1次网络设备资产整理并形成报表。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6）设备基础性能检测：每月巡检对设备进行一次检测（CPU、内存使用情况监测）并出具巡检报告。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7）网络设备配置策略备份：在修改任何设备前进行配置备份，修改完毕后进行备份。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8）网络拓扑链路状态监测：在网络出现变化后编制新网络拓扑。</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（3）服务器与存储系统运维事项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1）CPU性能管理：查看引起CPU过高原因，做虚机迁移等操作减轻服务器压力。</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2）内存使用情况管理：内存使用率过大时，及时扩充内存资源或回收不再使用的虚机资源。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3）硬盘利用情况管理：定期清理服务器临时文件或扩充服务器硬盘。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4）系统进程管理：查看进程异常原因。</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5）实时监控主机电源、风扇的使用情况及主机机箱内部温度：电源状态异常或风扇异常时与厂商联系查看硬件。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6）监控主机硬盘运行状态：查看是否硬盘压力过大，考虑更换存储类型SSD等。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7）监控主机网卡等硬件状态：硬件异常时联系厂商做硬件检测。</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8）监控主机HA运行状况：查看引起HA异常的原因，逐步排除。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（4）运维制度与规范事项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1）在7×24小时工作时间内设置专人职守热线电话，记录服务台事件处理结果。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2）在非工作时间设置专人7×24小时接听移动电话热线，用于解决技术问题及接听机房突发情况汇报。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服务响应时间按故障级别（I级、II级、III级、IV级）执行：响应时间10分钟，I级/II级30分钟内提交故障处理方案，III级30分钟内、IV级2小时内提交故障处理方案；故障解决时间：I级2小时以内，II级4小时以内，III级6小时以内，IV级24小时以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4）行为规范：遵守规章制度，协同工作，及时报告，遵守保密原则（不得随意复制和传播密码、核心参数、业务数据等），每次日常运维服务完成后填写运维记录并交客户签字确认。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月度巡检：针对每次出现的问题进行归档记录，以月度巡检为定期，对现有及后来添加的设备使用情况做出统计并通过邮件发送汇报给用户。月度巡检主要针对中心机房设备：服务器、存储、防火墙、IDS、漏洞扫描、核心交换机、接入交换机等设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（5）运维服务质量考核事项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1）月度考核（每月5日前提交材料，每月10日前反馈结果，每月15日前整改）。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2）年度综合考核（每年9月上旬以12个月月度考核成绩计算年度综合得分）。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3）考核维度包括：服务器存储维护（30分）、网络设备维护（20分）、机房设备巡检（10分）、网络安全设备维护（30分）。各维度下有具体扣分规则。</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（6）团队运作模式事项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1）两名运维工程师进行AB岗服务。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2）每两周进行一次现场例行检查（定期预防性维护服务）。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3）一月一次的系统运行健康检查（按计划由专家对主机系统性能进行诊断，出具性能诊断报告，经同意后调整参数）。</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4）月度巡检时对系统运行状况分析。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5）每年一次向用户提交详细的系统可用性、安全性、运行状况分析等预防性维护策略、报告和总结。</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（1）系统可用性：99.99%。</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（2）用户满意度：100%。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（3）故障处理时间要求：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1）普通故障：远程响应立即响应，现场响应2小时内到现场，故障解决时间到达现场后&lt;3小时。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2）重大故障：远程响应立即响应，现场响应1小时内到现场，故障解决时间到达现场后&lt;2小时。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3）特大故障：远程响应立即响应，现场响应30分钟内到现场，故障解决时间到达现场后&lt;1小时。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（4）服务响应时间：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1）I级（紧急问题，系统崩溃导致业务停止、数据丢失）：响应时间10分钟，30分钟内提交故障处理方案，故障解决时间2小时以内。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2）II级（严重问题，部分部件失效、系统性能下降但能正常运行）：响应时间10分钟，30分钟内提交故障处理方案，故障解决时间4小时以内。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3）III级（较严重问题，系统报错或警告，但业务系统能继续运行）：响应时间10分钟，30分钟内提交故障处理方案，故障解决时间6小时以内。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4）IV级（普通问题，技术功能、安装或配置咨询等）：响应时间10分钟，2小时内提交故障处理方案，故障解决时间24小时以内。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（5）网络与安全系统人员要求：服务人员不低于2人，工作经验不低于5年，学历大专及以上，具备网络工程师HCIP证书。</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（6）服务器与存储系统人员要求：服务人员不低于2人，工作经验不低于5年，学历大专及以上，具备CISP证书。</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（7）运维模式：完全外包服务，工程师电话上门服务。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（8）考核要求：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1）服务器存储维护（30分）：服务电话接听率≥99%，服务请求及时率≥99%，故障解决效率≥99%，安全操作规范无事故，服务态度满意率≥99%。具体扣分规则按文档。</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2）网络设备维护（20分）：网络故障处理及时率≥99%（楼层网络故障恢复≤3小时，机房核心网络故障恢复≤3.5小时）；系统按需调整及时率≥99%。</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3）机房设备巡检（10分）：定期巡检实施率100%（每月1次全量巡检并提交报告）；隐患排查有效性，无因巡检不到位引发的设备故障。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4）网络安全设备维护（30分）：安全设备故障处理及时率≥99%，安全需求调整及时率≥99%。</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（10）保密要求：遵守保密原则，对网络、主机、系统软件、应用软件等的密码、核心参数、业务数据等负有保密责任，不得随意复制和传播。</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4、运维输出物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（1）巡检报告：每月一次网络设备硬件状态检查、设备基础性能检测后出具巡检报告。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（2）流量监测情况说明：每月一次巡检或发生网络异常情况时出具。</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（3）网络设备资产整理报表：每年1次。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（4）配置备份文件：在修改任何设备前进行配置备份，修改完毕后备份（作为输出物保存）。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（5）新网络拓扑图：在网络出现变化后编制。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（6）运维记录（日常）：每次日常运维服务完成后填写运维记录，双方签字确认，留底备查。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（7）故障处理方案及解决记录：按故障级别提交。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（8）月度巡检报告：每月一次，针对中心机房设备（服务器、存储、防火墙、IDS、漏洞扫描、核心交换机、接入交换机等），统计设备使用情况，通过邮件发送汇报。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（9）系统运行健康检查报告：一月一次，由专家出具性能诊断报告。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（10）年度系统可用性、安全性、运行状况分析等预防性维护策略、报告和总结：每年一次。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（11）考核材料：每月5日前提交的服务工单、故障处理台账、巡检报告、设备调整验收单等；年度综合得分。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（12）整改方案：考核发现问题后制定，报财政局办公室备案。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5、团队配置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本次项目运维模式完全外包服务，工程师电话上门服务。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本次信息系统保障机制采用服务外包方式运维，要求运维团队拥有强大的技术支持力量，拥有稳定的专业化的技术支持服务队伍，完善的技术支持服务体系，本次项目提供两名运维工程师进行AB岗服务。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运维服务人员负责网络、服务器、存储、安全设备的监控、简单故障的解决，接听技术服务热线。</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运维服务人员按照运维计划对现场网络、服务器设备、存储、网络安全等设备等进行每月一次例行巡检。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运维服务公司技术专家负责重大故障的处理，定期对运行情况进行分析，并提出整改或优化方案和建议。</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37</w:t>
      </w:r>
      <w:r>
        <w:rPr>
          <w:rFonts w:hint="eastAsia" w:ascii="宋体" w:hAnsi="宋体" w:eastAsia="宋体" w:cs="宋体"/>
          <w:b/>
          <w:bCs/>
          <w:sz w:val="24"/>
          <w:szCs w:val="24"/>
          <w:lang w:eastAsia="zh-CN"/>
        </w:rPr>
        <w:t xml:space="preserve">：智慧城管硬件扩容网络链路运维服务租赁项目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运维期限：10个月（2026年11月1日-2027年8月31日）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服务使用单位：无锡市滨湖区城市管理局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numPr>
          <w:ilvl w:val="0"/>
          <w:numId w:val="21"/>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无锡市滨湖区城市管理局于2023年完成智慧城管硬件扩容项目验收，2026年已正常使用智慧城管硬件扩容网络链路，本次申请运维服务租赁项目(2026延续)包含IDC机房机柜托管服务10个月、439条带宽50M的VPN线路通信服务10个月。主要为生活垃圾分类房、公厕、违停球、渣土车等监控提供数据链路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（1）IDC机柜托管事项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提供1个IDC机柜的物理空间及电力、制冷等基础环境保障。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（2）VPN线路维护事项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保障439条50M的VPN专线的通信质量与稳定性。</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（2）机房及其配套设施运维事项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1）UPS主机及电池维护：协助对产生故障的UPS 主机及电池进行诊断，监控UPS  系统运行情况，查看重要系统参数，并做好记录；监控记录和系统相关日志进行分析，及时发现安全漏洞和安全隐患，及时处置各类突发故障。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2）UPS系统状况监测服务：定期或实时监测UPS系统工作状况，检查机房温湿度、UPS设备外壳温度、设备有无异味，判断工作状况是否正常，追踪异常情况，定期提供监测报告。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（4）网络与安全系统运维事项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1）接收服务请求和咨询：在7×24小时工作时间内设置专人值守热线电话，接听内部服务请求，记录服务台事件处理结果。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服务响应及故障处理：对于“系统瘫痪，业务系统不能运转”的故障级别，1小时内未能解决故障的，需在12小时内提出应急方案确保业务运行；故障解决后24小时内提交故障处理报告（含故障种类、原因、解决方法、损失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3）现场巡检服务：对设备及网络进行全面检查，最大可能发现隐患，提出预警及解决建议。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4）网络运行分析与管理服务：周期性检查、分析网络运行状况及问题，提出指导性建议。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5）重要时刻专人值守服务：在重大会议期间或其他可能对系统运行产生重大影响的时刻，安排专人值守。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（5）日常人工巡查事项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每天应人工巡查两次以上，主动发现相关故障并在查明故障原因后及时修复，主动发现处理因各种原因造成的对前端点位的影响。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（6）巡检记录事项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巡检维护情况应当做好记录供滨湖区城市管理局检查。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（1）系统可用性：100%。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（2）用户满意度：100%。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（3）故障处理时间要求：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1）普通故障：远程响应立即响应，现场响应2小时内到现场，故障解决时间到达现场后&lt;3小时。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2）重大故障：远程响应立即响应，现场响应1小时内到现场，故障解决时间到达现场后&lt;2小时。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3）特大故障：远程响应立即响应，现场响应30分钟内到现场，故障解决时间到达现场后&lt;1小时。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（4）服务响应时间要求：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1）对于“系统瘫痪，业务系统不能运转”的故障级别，若1小时内无法解决，需在12小时内提出应急方案。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2）故障解决后24小时内提交故障处理报告。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（5）巡检频次要求：每天应人工巡查两次以上。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（6）服务团队要求：运维团队提供7×24小时服务，确保1小时的服务响应时间，提供及时优质服务，保障所有系统功能正常运行，负责故障全程处理。运维团队需对运行情况进行24小时监督。</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4、团队配置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团队提供7×24小时服务，确保1小时的服务响应时间提供及时优质的服务，保障本项目所有系统各项功能正常运行，负责故障的全程处理。中标供应商运维团队需对运行情况进行24小时监督，每天应人工巡查两次以上，主动发现相关故障并在查明故障原因后及时修复，主动发现和处理因各种原因造成的对前端点位的影响，巡检维护情况应当做好记录。</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38</w:t>
      </w:r>
      <w:r>
        <w:rPr>
          <w:rFonts w:hint="eastAsia" w:ascii="宋体" w:hAnsi="宋体" w:eastAsia="宋体" w:cs="宋体"/>
          <w:b/>
          <w:bCs/>
          <w:sz w:val="24"/>
          <w:szCs w:val="24"/>
          <w:lang w:eastAsia="zh-CN"/>
        </w:rPr>
        <w:t xml:space="preserve">：智慧城管平台延续服务采购项目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运维期限：8个月（2027年1月1日-2027年8月31日）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服务使用单位：无锡市滨湖区城市管理局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（1）通讯链路服务：200M互联网专线1条、前端监控专线123条（视频监控专线105条、渣土车监控专线14条、违停监控专线4条）、100M数据专线1条、数据通讯卡15张、机柜托管1台。</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（2）物联网资源维护服务：智慧井盖监测设备5套、视频监控设备105路、渣土车视频监控设备14路、违停视频监控设备4路、太阳能视频监控设备15路，包括满足设备及平台使用的其他事项。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智慧城管平台运维服务：基础业务平台（含无线数据采集、业务受理、协同工作、监督指挥、综合评价、地理编码、基础数据管理、应用维护、数据交换共享、统一门户管理、物联网设备管控、视频资源共享、智能识别算法、AI案件分派机器人、IM即时通讯、大数据分析及预警等16个子系统）、人工智能视频识别（含基础场景及拓展功能）、工程车辆监控及电子抓拍、合格区创建、违建动态监管、环卫作业监管、公厕管理、市民信息互动、智慧井盖检测（物联网应用）、系统对接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（4）信息网络安全服务：要求智慧城管平台满足二级等保要求。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（5）服务器及相关设备维护：对租赁的服务器及操作系统进行全生命周期管理和日常运维，包括基础管理、日常巡检、日志清理、安全防护、故障处理、操作系统运维服务。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（6）网络和信息安全设备维护：包括防火墙、路由器、交换机等设备的日常检查、故障处理、定期维护。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（7）网络通信维护：保障通信链路7×24小时通畅。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（8）前端设备维护：包括摄像机、补光灯、立杆支架、光端机、传输线路、硬盘录像机、存储阵列、监控平台等。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（9）应用平台运维：个性化功能模块维护、系统集成与接口维护、版本与配置管理。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（10）数据库运维：包括安装配置、性能优化、备份恢复、故障排除、预防性巡检、权限管理。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（11）中间件运维：包括前置库PgSql、中台Hive、共享库StarRocks、Mysql、nginx等的基础管理、性能优化、故障处理。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（1）服务器及相关设备运维事项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1）服务器基本信息登记、变更登记、注销登记。</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2）日常巡检：实时监控服务器状态、磁盘空间、CPU使用率等；及时发现并解决潜在问题。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3）服务器日志清理：定期检查日志文件，对快要占满或已占满的进行分析处理，清理前备份重要日志。</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4）服务器安全防护：包括防火墙策略、密码策略、补丁更新、权限限制、应用程序安全审计等。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5）服务器故障处理：故障识别、分析、恢复、预防。</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6）操作系统运维：故障修复、优化建议、日常维护（用户管理、权限检查、漏洞检查、日志清理）、故障处理、性能监控（CPU、JOB、RAM）、操作系统升级（补丁测试、安装等）。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（2）网络和信息安全设备运维事项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1）防火墙维护：定期检查运行状态指示灯、配置（访问控制列表）、日志分析、固件更新。</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2）路由器维护：定期检查CPU/内存利用率、路由表、网络连接速度、硬件检查。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3）交换机维护：定期检查端口连接状态、端口流量、VLAN配置、固件更新。</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4）日常检查：通过网管系统每日查看设备运行状态（CPU、内存、端口）、用ping测试关键节点连通性、浏览日志。</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5）故障处理：上报、排查、修复、记录。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6）定期维护：配置备份、设备清洁、日志分析报告、散热检查、固件/病毒库更新、网络性能测试和优化。</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（3）网络通信运维事项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保障7×24小时通畅，若出现问题需在72小时内恢复，紧急情况24小时内恢复。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（4）前端设备及传输设备运维事项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1）摄像机运维：定期远程检查画面质量、实地检查安装牢固性、清理镜头、测试红外夜视、检查供电线路、全面检测。</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2）补光灯运维：定期检查亮度、安装情况、供电线路、测试寿命。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3）立杆支架运维：定期检查锈蚀、垂直度、连接牢固性。</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4）光端机运维：定期检查指示灯、传输性能、光纤接口、散热、固件升级。</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5）光纤、网线运维：定期检查连接牢固性、光衰测试、户外巡检、管道检查。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6）硬盘录像机运维：定期检查工作状态、存储容量、回放功能、硬盘健康检测、固件更新。</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7）存储阵列运维：定期监控CPU/内存/磁盘使用率、检查RAID状态、数据完整性检查、清理灰尘、更新补丁。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8）监控平台运维：检查登录、画面显示、设备控制、日志分析、数据库备份、权限检查、性能优化、版本升级。</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9）日常巡检：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远程巡检：运维人员通过监控平台对前端设备、传输设备、后端设备的运行状态进行全面检查，记录设备的运行参数、异常情况，对发现的轻微故障（如摄像机镜头有灰尘导致画面模糊）及时进行远程处理或安排人员实地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实地巡检：按照预定的巡检路线，对重点路段、关键设备进行实地检查，包括前端设备的安装情况、传输线路的铺设情况、后端设备的运行环境等，对远程巡检中发现的问题进行现场核实和处理。​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综合巡检：对整个监控系统进行一次全面的综合检查，包括设备的性能指标、系统的稳定性、数据的完整性等。</w:t>
      </w:r>
      <w:r/>
    </w:p>
    <w:p>
      <w:pPr>
        <w:numPr>
          <w:ilvl w:val="0"/>
          <w:numId w:val="22"/>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故障处理：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故障发现：通过日常巡检、监控平台告警、用户反馈等方式发现故障，详细记录故障发生的时间、地点、设备名称、故障现象等信息。​ 故障诊断：运维人员根据故障现象，结合设备手册、历史故障记录等进行分析，确定故障原因和故障点。对于复杂故障，组织技术人员进行会诊。​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故障排除：根据故障诊断结果，制定故障排除方案，安排运维人员携带必要的工具和备件进行现场处理。如更换故障的摄像机、修复断裂的传输线路、重启或更换故障的服务器等。​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故障验证：故障排除后，对设备和系统进行测试，确认故障已解决，设备运行正常，系统功能恢复。​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故障归档：将故障处理的全过程记录存档，包括故障信息、诊断过程、排除方法、处理结果等，为后续的运维工作提供参考。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11）定期维护：固件/软件版本检查、每月用户日志清理；网络拓扑梳理、技术培训、每季度备件盘点；前端设备参数校准、每半年传输性能测试；全面性能评估、运维方案修订、年度总结，提出改进建议。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（5）应用平台运维事项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1）个性化功能模块维护：定期通过后台监控功能巡检、定期全流程操作测试、功能适配调整、定期收集改进建议。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2）系统集成与接口维护：实时监控接口连接状态和数据传输，定期生成接口运行报告，接口适配，每年至少一次全面兼容性测试。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3）版本与配置管理：制定版本更新计划、专项测试、保存配置历史版本、定期检查配置参数。</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（6）数据库运维事项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1）数据库基础管理：信息登记、变更登记、注销登记。</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2）数据库巡检：实时监控服务器状态、磁盘空间、CPU、实例状态、数据文件状态、连接端口、归档空间、主备状态等。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3）数据库安装：按稳定版本安装，更新补丁，调整参数，配置归档及自动化备份脚本。</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4）数据库权限管理：严格审批流程，控制账户密码和操作权限。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5）数据库故障处理：检查、分析、形成处理方案、总结。</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6）数据库备份恢复：</w:t>
      </w:r>
      <w:r/>
    </w:p>
    <w:p>
      <w:pPr>
        <w:numPr>
          <w:ilvl w:val="0"/>
          <w:numId w:val="23"/>
        </w:numPr>
        <w:ind w:left="42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全量备份：每周六或周日执行一次。</w:t>
      </w:r>
      <w:r/>
    </w:p>
    <w:p>
      <w:pPr>
        <w:numPr>
          <w:ilvl w:val="0"/>
          <w:numId w:val="23"/>
        </w:numPr>
        <w:ind w:left="42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增量备份：其他工作日（周一至周五）执行。</w:t>
      </w:r>
      <w:r/>
    </w:p>
    <w:p>
      <w:pPr>
        <w:numPr>
          <w:ilvl w:val="0"/>
          <w:numId w:val="23"/>
        </w:numPr>
        <w:ind w:left="42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逻辑备份：针对重要表按需导出。</w:t>
      </w:r>
      <w:r/>
    </w:p>
    <w:p>
      <w:pPr>
        <w:numPr>
          <w:ilvl w:val="0"/>
          <w:numId w:val="23"/>
        </w:numPr>
        <w:ind w:left="42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监控本地备份空间：持续监控。</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7）数据库性能优化：根据业务变化调整数据库级参数，对大数据量表添加索引、分区，对历史表执行VACUUM等。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（7）中间件运维事项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1）基础管理：环境搭建与配置、安全性保障、版本升级与维护。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2）性能优化：性能分析与监控、优化策略（冷热数据分离、索引优化等）、配置参数调整。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3）故障处理：诊断、处理、预防。</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（8）运维报告制度事项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1）每月生成一次维护月报，总结本月维护工作情况（日常检查、故障处理、设备运行状态等），分析运行趋势，提出下月计划。</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2）每年生成一次维护年报，全面总结全年维护工作，评估方案有效性，提出下年度目标和改进措施。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（1）硬件可用性：保证123路监控、5台智能井盖、15路太阳能监控在线率不低于98%。其中123路监控、智能井盖、太阳能监控各占考核分值，在线率低于98%时，差1个百分点扣1分。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（2）软件可用性：保证智慧城管平台8个子系统可用性100%。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（3）网络安全配合：如有漏洞则配合整改并出具整改报告。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（4）服务满意度：用户单位满意度考评达到100%。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（5）通信链路故障恢复时限：若出现问题需在72小时内回复，紧急情况需在24小时内恢复。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4、团队配置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运维模式：完全外包服务。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服务模式：按需服务。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本项目的运维服务基于无锡市滨湖区城市管理局智慧城管平台现状，通过日常巡检、系统优化、应急响应等服务，对智慧城管平台软硬件进行全面监测，提升日常业务管理水平。</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次智慧城管运维工作需要运维管理团队和运维执行团队同步开展工作，其中运维管理团队由我单位工作人员组成，对执行团队工作进行指导和监督，及时发现和解决出现的问题，确保项目按照计划和要求顺利实施。运维执行工作由外包单位负责具体的技术实施。</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39</w:t>
      </w:r>
      <w:r>
        <w:rPr>
          <w:rFonts w:hint="eastAsia" w:ascii="宋体" w:hAnsi="宋体" w:eastAsia="宋体" w:cs="宋体"/>
          <w:b/>
          <w:bCs/>
          <w:sz w:val="24"/>
          <w:szCs w:val="24"/>
          <w:lang w:eastAsia="zh-CN"/>
        </w:rPr>
        <w:t xml:space="preserve">：滨湖区城市管理局执法车辆车载监控系统项目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运维期限：3个月（2027年6月1日-2027年8月31日）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服务使用单位：无锡市滨湖区城市管理局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（1）车载监控设备维护：对13套车载监控设备（含全景取证主机、全景云台、触摸高清屏、手控器、三防PAD等）提供日常巡检、故障维修、设备拆除安装等服务。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（2）线上日常巡检：监控画面巡检、设备在线率巡检，检查前端是否有图像丢失、模糊、停顿、延时等故障。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线下巡检：每半年完成一次车载监控设备线下巡检，包括设备故障查询、故障维修、设备安全性巡查、维护摄像头、检查设备完整性和牢固性，消除人为或自然原因影响安全和功能使用的隐患，作好巡检记录。不能修复的予以更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（4）设备拆除安装：在安装车辆年检时，将车载监控设备进行拆除，并在车辆完成年检后完成设备的安装和调试。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（5）流量卡服务：提供13张4G流量卡，每张20G/月。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（1）线上日常巡检事项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1）每日监控画面巡检：检查前端是否有图像丢失、模糊、停顿、延时等故障。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2）每日设备在线率巡检：检查设备是否在线。</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（2）线下巡检事项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1）每半年完成一次车载监控设备线下巡检。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2）线下巡检内容：设备故障查询、设备故障维修、设备安全性巡查、维护摄像头、检查设备的完整性和牢固性，消除人为或自然原因影响安全和功能使用的隐患。</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3）发现损坏、破坏、图像质量不好等现象时，及时予以修复、调整，不能修复的予以更换。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4）作好巡检记录。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（3）设备拆除安装事项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1）安装车辆年检时，将车载监控设备进行拆除。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2）车辆完成年检后，完成设备的安装和调试。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（4）故障维修事项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1）设备发生故障后，2小时内响应，1天内完成设备故障维修。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2）若1天内无法完成维修的，应使用同类型同规格产品进行替换，确保设备在线率。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（1）车载监控设备在线率：100%。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（2）故障处理时间要求：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1）普通故障：远程响应立即响应，现场响应2小时内到现场，故障解决时间到达现场后&lt;24小时。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2）重大故障：远程响应立即响应，现场响应1小时内到现场，故障解决时间到达现场后&lt;24小时。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3）特大故障：远程响应立即响应，现场响应30分钟内到现场，故障解决时间到达现场后&lt;12小时。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（3）运维服务时间：提供7×24小时的技术服务保障。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（4）运维模式：由设备供应商全权负责与本项目有关的硬件资源的相关维护工作。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（5）考核标准：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1）人员配置：配备设备维护人员不少于2人。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2）设备线下巡检：每半年完成100%数量的线下巡查，及时提供运维报告。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3）设备维修：对于设备维修工单，应及时响应，24小时内完成故障设备维修。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（7）运维档案要求：建立设备运行、维护、保养等环节的档案，严格按规定进行设备的维护、保养和检测。</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（8）安全操作要求：制定安全操作规程、维护保养检测责任制，对维护人员进行专项培训。</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（9）专人负责制：设备运行与维护坚持“设备专人负责、共同管理”的原则，保障设备安全，专人调离后立即配备新的负责人。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（10）记录存档要求：认真做好设施、设备维护管理过程中的记录工作，每个环节维护人员都要填写规定的记录表格和文档，并对记录资料进行存档保存。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4、团队配置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为保障本单位信息系统的正常运行，将成立运维管理团队及运维执行团队。运维管理团队由无锡市滨湖区城市管理局相关领导任组长，无锡市滨湖区城市管理监督指挥中心相关负责信息化工作的同志任组员。</w:t>
      </w:r>
      <w:r/>
    </w:p>
    <w:p>
      <w:pPr>
        <w:pStyle w:val="799"/>
        <w:ind w:left="0" w:right="0" w:firstLine="480"/>
        <w:jc w:val="both"/>
        <w:keepLines w:val="0"/>
        <w:keepNext w:val="0"/>
        <w:spacing w:before="0" w:beforeAutospacing="0" w:after="57"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运维团队配置不少于2名专业运维人员，负责日常巡检、故障处置、设备拆装、运维记录提交等工作。</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40</w:t>
      </w:r>
      <w:r>
        <w:rPr>
          <w:rFonts w:hint="eastAsia" w:ascii="宋体" w:hAnsi="宋体" w:eastAsia="宋体" w:cs="宋体"/>
          <w:b/>
          <w:bCs/>
          <w:sz w:val="24"/>
          <w:szCs w:val="24"/>
          <w:lang w:eastAsia="zh-CN"/>
        </w:rPr>
        <w:t xml:space="preserve">：动态称重系统云存储租赁服务项目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运维期限：12个月（2026年9月1日-2027年8月31日）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服务使用单位：无锡市滨湖区交通运输综合行政执法大队</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为无锡市滨湖区交通运输综合行政执法大队动态称重系统云存储租赁服务项目，运维目标为保障动态称重系统、云存储平台及配套资源稳定运行，支撑超限超载治理数据存储、交互及执法工作开展，强化重点货运源头监管，有效保护路桥运行、保障道路交通安全、维护道路运输市场秩序，系统可用性100%，用户满意度100%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 边缘云存储服务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高性能存储服务，容量85TB云存储，云安全服务，出口部署高性能防火墙。 </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 VPN</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VPN专线网络服务，带宽为100M。 </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 IDC服务器托管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服务器机房托管服务，空间18U。</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 软件服务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中心软件运维服务，7*24小时不间断服务。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质保服务：提供原厂保修服务。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巡检服务：每日进行巡检并每季度出具巡检报告。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维修电话响应时间：7*24小时，2小时响应，提供24小时服务热线和工程师电话。</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现场维修服务时间：7*24小时，3小时内安排工程师赶往现场解决问题，4小时内提出解决方案，进行现场服务时间依据客户计划时间提供，没有时间限制。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人员配备：现场服务维保单位技术人员接到电话必须第一时间到达现场。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备品备件服务：在当地或公司储备一定数量的备件，以确保用户的备件供应或使用，对于损坏的设备，提供备件置换服务，时间以不影响业务连续性为准。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特殊服务：根据用户的特殊需求，提供某种服务或保障，如：节假日或重大会议期间派人守局；针对重要关键设备提供专用备件准备等。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（1）日常巡检服务：每日开展云存储、网络、系统、设备运行状态巡检，排查故障隐患，每季度出具巡检报告。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（2）云资源运维：负责边缘云存储资源扩容调整、防火墙安全策略优化、VPN链路保障、IDC机房设备托管运维，保障存储性能、网络连通性、数据安全。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（3）软件运维：负责中心软件日常维护、版本更新、补丁修复、性能优化，保障系统功能正常、运行稳定。</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（4）故障快速处置：分级响应处置各级故障，无法快速修复的提供备件置换服务，保障业务连续性；重要会议、节假日等特殊时期安排专人值守，提供应急处置保障。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（5）配套服务：定期提供运维技术培训，协助开展应急演练，配合完成上级检查及跨部门数据对接工作。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响应时效要求：普通故障立即响应，2小时内到现场，到达后3小时内解决；重大故障立即响应，1小时内到现场，到达后2小时内解决；特大故障立即响应，30分钟内到现场，到达后1小时内解决；提供7*24小时服务热线，线上实时响应。</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（2）服务质量要求：系统可用性100%，用户满意度100%，数据存储安全无泄露、无丢失，运维操作全程留痕，所有台账记录完整，符合政务数据安全保密要求。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4、团队配置要求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配置专业运维团队，含项目经理、运维管理主管、硬件运维工程师、软件运维工程师、技术支持专员，负责日常巡检、故障处置、资源维护、值守保障、培训服务等运维工作，确保服务响应及时，服务质量达标。</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41</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rPr>
        <w:t xml:space="preserve">2026</w:t>
      </w:r>
      <w:r>
        <w:rPr>
          <w:rFonts w:hint="eastAsia" w:ascii="宋体" w:hAnsi="宋体" w:eastAsia="宋体" w:cs="宋体"/>
          <w:b/>
          <w:bCs/>
          <w:sz w:val="24"/>
          <w:szCs w:val="24"/>
          <w:lang w:eastAsia="zh-CN"/>
        </w:rPr>
        <w:t xml:space="preserve">年水利防汛信息化网络服务及维护保养项目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运维期限：9个月（2026年12月1日-2027年8月31日）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服务使用单位：无锡市滨湖区水利局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服务范围覆盖指挥中心显示系统、机房系统、计算机网络系统、视频监控系统、水雨情自动测报系统、综合会商视频会议系统、信息化平台软件系统全链路及配套传输线路、43条VPN专线租赁、固定IP域名，核心目标是保障各系统可靠、高效、持续、安全运行，支撑水旱灾害防御、水量调度、监测预警、应急抢险技术支撑等业务开展，实现传输链路离线不超2个自然日、设备正常运行率98%以上、定期巡查巡检率98%以上、异常情况处理率100%、用户满意度100%的运维指标。5月1日至9月30日防汛期按需派驻驻场人员协助运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（1）软硬件系统维护保养</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基础设备主要包括：各类监控摄像机及配套的杆件、设备箱、连接线缆，视频会议系统的服务器、终端、摄像机，服务器及相关配套设备，UPS 供电系统，空调，水雨情系统的雨量计、水位计及配套的杆件，太阳能供电设备，辖区内各个站点的电脑等设备及设施。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软件及信息资源维护内容主要包含：计算机网络系统、水雨情自动测报系统、综合会商视频会议系统、信息化平台软件系统、微信小程序、视频综合管理平台。</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本工程前端的全部传输线路、管道，包含电源线、光缆、网线、水雨情采集设备信号线缆、光纤接续设备、光交箱、光纤配线架等光纤配线设备。包括1）采集信号传输电话卡月租费等费用。2）移动运营商 VPN 专线运营（定期巡检、故障报修）。3） 固定 IP 及域名维护，包括相关租赁费用等。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（2）网络服务采购</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主要内容为：互联网专线 1 条、VPN 专线 42 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软硬件基础设施运维：机房及配套设施汛期每2周巡检1次、非汛期每月巡检1次，开展设备状态核查、环境管控、线路维护、安全检查、配置备份；服务器与存储系统汛期每周巡检1次、非汛期每月巡检2次，开展硬件清灰、性能排查、补丁更新、数据备份、参数优化；音视频设备、水雨情测报设备每月巡检2次，开展画面巡检、设备保养、精度校准、性能测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（2）信息系统运维：常态化开展安全策略优化、账户权限管控、应用软件功能适配、漏洞修复，配合完成等保评估、网安数据上报。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（3）通讯类运维：定期开展线路巡检、隐患排查，保障42条VPN专线、1条互联网专线稳定运行，维护固定IP及域名，承担采集信号传输电话卡运维服务，故障处置遵循先抢通后修复原则。</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（4）应急处置：汛前1个月完成全系统巡查整改，全时段接收故障报修，按需提供备用设备更换，保障业务不中断。</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（5）网络与安全运维：7*24小时监控平台网络连通性，定期开展渗透测试、漏洞扫描，提供安全加固建议，排查修复网络故障，保障数据传输稳定安全。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（1）响应时效要求：普通故障立即响应，4小时内到现场，到达后8小时内解决；重大故障立即响应，2小时内到现场，到达后4小时内解决；特大故障立即响应，1小时内到现场，到达后2小时内解决。</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质量管控要求：运维全流程留痕，每年提交不少于2次运维报告，储备不低于各系统设备总数2%的易损备品备件，设备突发故障时先更换备用设备再维修损坏件，更换设备参数不低于原设备标准，500元以下小额设备更换免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（3）安全合规要求：严格遵守水利系统数据保密规定，严禁擅自篡改、泄露业务数据，配合完成网络安全漏洞修补、等保评估工作，符合政务信息系统安全管理要求。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4、团队配置要求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设立专门维保服务点，长期配备2名以上固定专业技术维修人员，提供7*24小时服务热线，5月1日至9月30日期间安排熟悉系统的人员驻场协助防汛系统使用和维护，负责日常运维、故障处置、巡检优化、技术支持、用户培训等工作。</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42</w:t>
      </w:r>
      <w:r>
        <w:rPr>
          <w:rFonts w:hint="eastAsia" w:ascii="宋体" w:hAnsi="宋体" w:eastAsia="宋体" w:cs="宋体"/>
          <w:b/>
          <w:bCs/>
          <w:sz w:val="24"/>
          <w:szCs w:val="24"/>
          <w:lang w:eastAsia="zh-CN"/>
        </w:rPr>
        <w:t xml:space="preserve">：滨湖区渔政指挥调度中心项目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运维期限：12个月（2026年9月1日-2027年8月31日）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服务使用单位：无锡市滨湖区农业农村局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服务范围覆盖渔政指挥调度中心服务器存储设备、9台前端监控设备、海防雷达、渔政指挥调度软件全链路运维保障，以及11条数据专线租赁。核心目标是确保系统全年可用率99.5%以上、用户满意度95%以上，支撑渔政监管、执法调度、禁捕管控等业务正常开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软硬件基础设施运维：服务器存储设备每日监控运行状态、每月巡检、半年维保；前端监控设备每日远程核查画面、每月现场巡检（三山岛点位除外）、半年开展清灰防腐及故障维修；海防雷达每日远程监测运行参数、每季度现场巡检、半年开展参数校准维保；11条数据专线全时段监控，故障处置遵循先抢通后修复原则。</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（2）信息系统运维：渔政指挥调度平台每日监控运行状态，每月开展雷视联动校准、视频数据完整性核验、系统功能优化，季度开展安全漏洞扫描、账户权限清理、全量数据备份。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（3）巡检维保服务：三山岛、红沙湾雷达等8个偏远点位每半年开展1次登高维保，包含设备清灰、立杆防腐、参数校准，解决设备进场难问题。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（4）应急处置服务：7×24小时响应故障报修，恶劣天气前后开展专项巡检，故障修复后24小时内提交处置报告，特大故障6小时未解决需12小时内出具应急方案保障业务不中断。</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（1）响应时效要求：所有故障10分钟内响应，普通故障24小时内到达现场、3小时内解决；重大故障12小时内到达现场、2小时内恢复基本功能；特大故障6小时内到达现场、1小时内恢复基本功能。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（2）质量管控要求：采用半年考核+年终综合考核机制，考核维度涵盖响应时效、系统可用性、文档完整性、用户满意度，500元以下零配件更换免费，考核不达标按比例扣除服务费用，连续不合格终止合作。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（3）安全合规要求：所有运维人员签署保密协议，严格遵守政务网络安全规范，按季度开展安全自查、漏洞修复、日志审计，配合完成网络安全评估，数据加密存储保障渔政业务数据安全。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4、团队配置要求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（1）甲方团队：由渔政牧政科牵头管理，负责需求对接、服务监督、验收考核、日常协调工作。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乙方团队：配置5人专业运维团队，包含1名运维主管、1名软件工程师、1名网络工程师、2名硬件维护工程师，所有人员需熟悉渔政指挥调度系统业务流程，具备野外设备运维、登高作业资质，保障运维服务高效开展。</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43</w:t>
      </w:r>
      <w:r>
        <w:rPr>
          <w:rFonts w:hint="eastAsia" w:ascii="宋体" w:hAnsi="宋体" w:eastAsia="宋体" w:cs="宋体"/>
          <w:b/>
          <w:bCs/>
          <w:sz w:val="24"/>
          <w:szCs w:val="24"/>
          <w:lang w:eastAsia="zh-CN"/>
        </w:rPr>
        <w:t xml:space="preserve">：网络</w:t>
      </w:r>
      <w:r>
        <w:rPr>
          <w:rFonts w:hint="eastAsia" w:ascii="宋体" w:hAnsi="宋体" w:eastAsia="宋体" w:cs="宋体"/>
          <w:b/>
          <w:bCs/>
          <w:sz w:val="24"/>
          <w:szCs w:val="24"/>
          <w:lang w:val="en-US"/>
        </w:rPr>
        <w:t xml:space="preserve">IT</w:t>
      </w:r>
      <w:r>
        <w:rPr>
          <w:rFonts w:hint="eastAsia" w:ascii="宋体" w:hAnsi="宋体" w:eastAsia="宋体" w:cs="宋体"/>
          <w:b/>
          <w:bCs/>
          <w:sz w:val="24"/>
          <w:szCs w:val="24"/>
          <w:lang w:eastAsia="zh-CN"/>
        </w:rPr>
        <w:t xml:space="preserve">外包服务项目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运维期限：12个月（2026年9月1日-2027年8月31日）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服务使用单位：无锡市滨湖区市场监督管理局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为无锡市滨湖区市场监督管理局及下属7个分局提供全品类IT运维服务，核心目标是保障全局各类信息化设备、网络系统、机房环境稳定运行，及时处置各类软硬件故障，落实网络安全防护措施，为全局日常办公提供可靠的信息化支撑。运维范围覆盖全局所有服务器、存储设备、桌面办公设备、网络安全设备、机房配套设施、音视频设备，以及设备相关操作系统、常用办公软件、安全防护体系等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（1）基础设施运维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1）服务器及存储设备维护：梳理设备台账，制定设备管理制度并监督执行，开展设备调试、操作培训及维修保养，协调解决日常运行过程中的信息安全及技术问题，保障系统安全稳定运行。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2）桌面设备维护：提供电脑、扫描仪、打印机等设备的运维服务，负责操作系统安装、驱动安装、补丁升级、OFFICE等常用办公软件安装服务。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3）网络及安全设备维护：覆盖防火墙、交换机、调制解调器、路由器、网关、认证设备等全品类网络设备，开展日常维修维护，对硬件故障进行测试诊断并提供解决方案。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4）机房环境维护：负责机房布线、不间断电源、空调、消防、防雷、监控等配套设施的日常维修维护，及时排查处置故障问题。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5）音视频设备维护：覆盖监控系统、数字会议系统、教学多媒体平台、呼叫中心、大屏幕拼接墙等设备，提供日常维修、故障诊断及解决方案服务。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（2）安全管理服务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严格执行国家及省市有关网络信息技术安全的法律法规，对接通信管理及网络安全监管部门，及时处置信息技术安全问题，保障系统安全稳定可靠运行；制定信息技术安全保密制度和工作流程，落实安全保密责任制，责任到人；落实软硬件双重安全防护措施，在网络边界和计算机之间设置硬件安全设备，所有工作站安装防病毒软件，防范病毒和黑客攻击；制定并实施信息技术安全应急处理预案，高效处置各类安全事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（3）配套管理服务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负责全局信息化系统及各类设备的使用培训，及时响应解决用户使用过程中出现的各类问题；拟定IT设备和软件购买计划书，明确采购数量、品牌规格、技术参数；制定设备和软件操作规程及应用管理制度并监督执行；负责IT设备和软件的安装、调试、验收及维修保养；负责系统及设备保密口令的设置和保存，口令设置后报相关部门备案，定期更新保密口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（1）质量管控要求：所有运维服务严格遵循相关技术规范，故障排查准确高效，解决方案具备可操作性，保障各类设备及系统持续稳定运行，不影响日常办公开展。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（2）安全合规要求：所有运维操作符合网络安全相关法律法规及单位内部管理制度要求，严格遵守保密规定，严禁泄露单位各类敏感信息，保障系统及数据安全。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（3）响应时效要求：用户提交的各类故障及需求第一时间响应处置，保障服务时效性。</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4、团队配置要求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团队至少配备2名专业技术人员，所有人员具备3年以上运维经验，熟悉机房设备及系统操作；设立由无锡市滨湖区市场监督管理局与运维服务商共同组成的管理团队，由甲方相关负责人统筹全局运维总体工作，负责监督检查运维服务质量，运维技术人员负责具体运维工作落地。</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44</w:t>
      </w:r>
      <w:r>
        <w:rPr>
          <w:rFonts w:hint="eastAsia" w:ascii="宋体" w:hAnsi="宋体" w:eastAsia="宋体" w:cs="宋体"/>
          <w:b/>
          <w:bCs/>
          <w:sz w:val="24"/>
          <w:szCs w:val="24"/>
          <w:lang w:eastAsia="zh-CN"/>
        </w:rPr>
        <w:t xml:space="preserve">：滨湖区城市运行管理中心保障服务项目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运维期限：12个月（2026年9月1日-2027年8月31日）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服务使用单位：无锡市滨湖区数据局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numPr>
          <w:ilvl w:val="0"/>
          <w:numId w:val="24"/>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滨湖区城市运行管理中心是未来城市新一代的数字基础设施、现代化治理和服务的智能中枢，是未来城市治理的核心，需要保证7*24小时不间断运行。本次项目为一年的运维保障服务。主要保障智能化设备设施及系统的正常运转，并提供相关技术支持、维护升级、巡检、性能调优等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具体包括：1．解决项目中信息化系统日常运行中的应用类问题；2．定期巡检信息化系统和设备的运行状态；3．信息化设备故障诊断及维修服务；4．各类会议测试、保障服务；5．相关技术保障及应急演练服务；6．信息化系统性能调优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详细内容如下：</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提升日常联勤联动、应急处置等城市运行管理应用场景，提供数据和平台支撑保障的</w:t>
      </w:r>
      <w:r>
        <w:rPr>
          <w:rFonts w:hint="eastAsia" w:ascii="宋体" w:hAnsi="宋体" w:eastAsia="宋体" w:cs="宋体"/>
          <w:sz w:val="24"/>
          <w:szCs w:val="24"/>
          <w:lang w:val="en-US" w:eastAsia="zh-CN" w:bidi="ar"/>
        </w:rPr>
        <w:t xml:space="preserve">能力；具备跨部门、跨区域、跨层级重大事项应急处置快速靠前支撑的能力。本次项目常态化对机房基础设施、前端接入网络设备、综合布线及安防监控系统巡检，保障核心设备稳定运行；快速定位并修复网络中断、安防告警、显示控制异常等突发故障，最小化业务中断影响，开展安全设备、物联终端、视频会议系统等预防性维护（清洁除尘、固件升级、参数校准）；全流程保障多媒体会议，包括会前设备联调、会中实时技术支撑及会后问题复盘，依托能耗监测数据优化机房空调、UPS电源等设施运行策略；协同供应商完成设备维保、智慧物联平台功能验证及新系统部署。</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负责以下系统日常维护工作：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1、综合布线系统：日常巡检、定期维护检查、除尘、包含线路通讯及维修质保；</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2、机房工程系统：机房设备、供电系统日常巡检、定期维护检查、除尘、包含线路通讯、供电及维修质保；</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3、安防系统：日常巡检、定期维护检查、除尘、包含线路通讯及维修质保；</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4、大屏显示系统：日常巡检、定期维护检查、除尘、包含线路通讯及维修质保；</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5、显示控制系统：日常巡检、定期维护检查、除尘、包含线路通讯及维修质保；</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6、多媒体会议系统：日常巡检、定期维护检查、除尘、包含线路通讯及维修质保；</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7、视频会议系统：日常巡检、定期维护检查、除尘、包含线路通讯及维修，同步协助拟建和已建项目的设备线路的更新升级、维护质保；</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8、视频汇聚系统：日常巡检、定期维护检查、除尘、包含线路通讯及维修针对不通应急保障情形，定制不通数据管理和展示的场景预案，同步对设备系统、平台的维护和质保；</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9、智慧物联：日常巡检、定期维护检查、除尘、包含线路通讯及维修与质保；</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具体需达到的目标如下：</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1.系统可用性：99%</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2.用户满意度：98%</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3.故障处理时间要求：</w:t>
      </w:r>
      <w:r/>
    </w:p>
    <w:tbl>
      <w:tblPr>
        <w:tblStyle w:val="779"/>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35"/>
        <w:gridCol w:w="1535"/>
        <w:gridCol w:w="2556"/>
        <w:gridCol w:w="2893"/>
      </w:tblGrid>
      <w:tr>
        <w:trPr>
          <w:jc w:val="center"/>
          <w:tblHeader/>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故障级别</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远程响应</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现场响应</w:t>
            </w:r>
            <w:r/>
          </w:p>
        </w:tc>
        <w:tc>
          <w:tcPr>
            <w:shd w:val="clear" w:color="auto" w:fill="auto"/>
            <w:tcBorders>
              <w:top w:val="single" w:color="auto" w:sz="4" w:space="0"/>
              <w:left w:val="single" w:color="auto" w:sz="4" w:space="0"/>
              <w:bottom w:val="single" w:color="auto" w:sz="4" w:space="0"/>
              <w:right w:val="single" w:color="auto" w:sz="4" w:space="0"/>
            </w:tcBorders>
            <w:tcW w:w="289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故障解决时间</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普通故障</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立即响应</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2小时内到现场</w:t>
            </w:r>
            <w:r/>
          </w:p>
        </w:tc>
        <w:tc>
          <w:tcPr>
            <w:shd w:val="clear" w:color="auto" w:fill="auto"/>
            <w:tcBorders>
              <w:top w:val="single" w:color="auto" w:sz="4" w:space="0"/>
              <w:left w:val="single" w:color="auto" w:sz="4" w:space="0"/>
              <w:bottom w:val="single" w:color="auto" w:sz="4" w:space="0"/>
              <w:right w:val="single" w:color="auto" w:sz="4" w:space="0"/>
            </w:tcBorders>
            <w:tcW w:w="289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到达现场后&lt;3小时</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重大故障</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立即响应</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1小时内到现场</w:t>
            </w:r>
            <w:r/>
          </w:p>
        </w:tc>
        <w:tc>
          <w:tcPr>
            <w:shd w:val="clear" w:color="auto" w:fill="auto"/>
            <w:tcBorders>
              <w:top w:val="single" w:color="auto" w:sz="4" w:space="0"/>
              <w:left w:val="single" w:color="auto" w:sz="4" w:space="0"/>
              <w:bottom w:val="single" w:color="auto" w:sz="4" w:space="0"/>
              <w:right w:val="single" w:color="auto" w:sz="4" w:space="0"/>
            </w:tcBorders>
            <w:tcW w:w="289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到达现场后&lt;2小时</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特大故障</w:t>
            </w:r>
            <w:r/>
          </w:p>
        </w:tc>
        <w:tc>
          <w:tcPr>
            <w:shd w:val="clear" w:color="auto" w:fill="auto"/>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立即响应</w:t>
            </w:r>
            <w:r/>
          </w:p>
        </w:tc>
        <w:tc>
          <w:tcPr>
            <w:shd w:val="clear" w:color="auto" w:fill="auto"/>
            <w:tcBorders>
              <w:top w:val="single" w:color="auto" w:sz="4" w:space="0"/>
              <w:left w:val="single" w:color="auto" w:sz="4" w:space="0"/>
              <w:bottom w:val="single" w:color="auto" w:sz="4" w:space="0"/>
              <w:right w:val="single" w:color="auto" w:sz="4" w:space="0"/>
            </w:tcBorders>
            <w:tcW w:w="255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30分钟内到现场</w:t>
            </w:r>
            <w:r/>
          </w:p>
        </w:tc>
        <w:tc>
          <w:tcPr>
            <w:shd w:val="clear" w:color="auto" w:fill="auto"/>
            <w:tcBorders>
              <w:top w:val="single" w:color="auto" w:sz="4" w:space="0"/>
              <w:left w:val="single" w:color="auto" w:sz="4" w:space="0"/>
              <w:bottom w:val="single" w:color="auto" w:sz="4" w:space="0"/>
              <w:right w:val="single" w:color="auto" w:sz="4" w:space="0"/>
            </w:tcBorders>
            <w:tcW w:w="289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到达现场后&lt;1小时</w:t>
            </w:r>
            <w:r/>
          </w:p>
        </w:tc>
      </w:tr>
    </w:tbl>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软硬件基础设施运维：覆盖机房配套设施、网络与安全系统、服务器与存储系统、安防系统、大屏显示系统、分布式控制系统、多媒体会议系统、视频会议系统、视频汇聚系统、智慧物联系统共10类系统的日常巡检、故障排查处置、定期深度维护、应急预案制定与实战演练全流程工作；同时覆盖OA系统日常功能巡检、用户需求受理、组织体系账号维护、功能页面优化、审批节点调整、操作问题答疑等全场景支撑。</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专项运维服务：完成7类安全设备特征库年度升级优化，筑牢安全防护屏障；按需提供桌面通信接口全流程调整、设备标签规范化梳理、强弱电线路优化调整服务；面向重大节日、重点活动、恶劣天气及战时场景提供技术支撑保障，年累计63天现场值守（含节日33天、重大活动15天、恶劣天气15天）；配套完成应急预案专项编制、应急演练统筹组织、区街四级点调体系搭建、前线视频点调环境快速部署等专项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（3）运维体系标准化管理：建立健全标准化运维制度、操作规范、全流程台账，所有运维操作全程记录留痕可追溯，按要求提交各类巡检报告、故障处置报告、定期维护报告。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响应时效要求：普通故障立即响应，2小时内到场处置，到场后3小时内完成问题修复；重大故障立即响应，1小时内到场处置，到场后2小时内完成问题修复；特大故障立即响应，30分钟内到场处置，到场后1小时内完成问题修复；提供7*24小时全天候技术支撑，重要会议、重点活动提前2小时完成全系统联调校验，确保零失误运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质量管控要求：执行分级巡检机制，核心运行参数每日巡检校验，关键设备每月开展1次深度巡检排查，系统整体性能每季度开展1次全面检测评估，整体架构每年开展1次专项风险检测；每日执行数据增量备份，每周执行数据全量备份，数据可恢复至6个月内任意时间点，每年至少开展1次数据恢复实战演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安全保密要求：运维人员严格遵守国家保密法律法规及单位内部保密管理规定，对接触到的系统参数、业务数据、涉密敏感信息严格保密，不得擅自泄露、复制、传播相关内容，所有运维操作全程留痕可溯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4、团队配置：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采用“完全外包服务”模式，由运行管理科统筹整体运维工作，运维公司负责具体实施。运维团队涵盖机房、网络、安防、音视频、软件等专业运维工程师，负责各系统日常运维、故障处置、应急响应等工作。</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按需提供现场服务，重大节日/活动及战时安排专业技术人员驻场值守；日常运维以远程巡检、故障响应为主，接到故障需求后按级别时限抵达现场；运维人员需着装规范、遵守行为准则，具备相应专业技能与应急处置能力。</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45</w:t>
      </w:r>
      <w:r>
        <w:rPr>
          <w:rFonts w:hint="eastAsia" w:ascii="宋体" w:hAnsi="宋体" w:eastAsia="宋体" w:cs="宋体"/>
          <w:b/>
          <w:bCs/>
          <w:sz w:val="24"/>
          <w:szCs w:val="24"/>
          <w:lang w:eastAsia="zh-CN"/>
        </w:rPr>
        <w:t xml:space="preserve">：硬件及网络运行安全维护项目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运维期限：12个月（2026年9月1日-2027年8月31日）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服务使用单位：无锡市滨湖区数据局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numPr>
          <w:ilvl w:val="0"/>
          <w:numId w:val="25"/>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对滨湖区数据局政务服务中心及2号院网络总出口现有的信息系统基础资源进行监控和管理，及时掌握网络信息系统资源现状和配置信息，反映信息系统资源的可用性情况和健康状况，创建一个可知可控的IT环境，从而保证用户信息系统的各类业务应用系统的可靠、高效、持续、安全运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（1）定性目标；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滨湖区数据局政务服务中心提供的运行维护服务包括，主机设备、操作系统、网络安全设备、存储设备、不间断电源、门禁系统、监控系统、电脑等终端设备的运行维护服务，保证平台的正常运行，降低整体管理成本，提高平台的整体服务水平。同时根据日常维护的数据和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滨湖区数据局政务服务中心运维的组成主要可分为两类：硬件设备和软件系统。硬件设备包括网络设备、安全设备、主机设备、存储设备等；软件设备可分为备份系统、操作系统等。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（2）可量化、可考核的定量目标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服务项目范围覆盖的信息系统资源以下方面的关键状态及定量目标：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运行状态直观显示、故障情况迅速定位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配置信息有据可查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可用性情况及健康状况性能指标一目了然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发生故障迅速解决</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具体需达到的目标如下：</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1.系统可用性：99.9%</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2.用户满意度：100%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3.故障处理时间要求：工作日驻场，第一时间响应解决。</w:t>
      </w:r>
      <w:r/>
    </w:p>
    <w:tbl>
      <w:tblPr>
        <w:tblStyle w:val="779"/>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713"/>
        <w:gridCol w:w="1713"/>
        <w:gridCol w:w="1713"/>
        <w:gridCol w:w="3380"/>
      </w:tblGrid>
      <w:tr>
        <w:trPr>
          <w:jc w:val="center"/>
          <w:tblHeader/>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故障级别</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远程响应</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现场响应</w:t>
            </w:r>
            <w:r/>
          </w:p>
        </w:tc>
        <w:tc>
          <w:tcPr>
            <w:shd w:val="clear" w:color="auto" w:fill="auto"/>
            <w:tcBorders>
              <w:top w:val="single" w:color="auto" w:sz="4" w:space="0"/>
              <w:left w:val="single" w:color="auto" w:sz="4" w:space="0"/>
              <w:bottom w:val="single" w:color="auto" w:sz="4" w:space="0"/>
              <w:right w:val="single" w:color="auto" w:sz="4" w:space="0"/>
            </w:tcBorders>
            <w:tcW w:w="33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故障解决时间</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普通故障</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立即响应</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立即响应</w:t>
            </w:r>
            <w:r/>
          </w:p>
        </w:tc>
        <w:tc>
          <w:tcPr>
            <w:shd w:val="clear" w:color="auto" w:fill="auto"/>
            <w:tcBorders>
              <w:top w:val="single" w:color="auto" w:sz="4" w:space="0"/>
              <w:left w:val="single" w:color="auto" w:sz="4" w:space="0"/>
              <w:bottom w:val="single" w:color="auto" w:sz="4" w:space="0"/>
              <w:right w:val="single" w:color="auto" w:sz="4" w:space="0"/>
            </w:tcBorders>
            <w:tcW w:w="33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到达现场后&lt;1小时</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重大故障</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立即响应</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立即响应</w:t>
            </w:r>
            <w:r/>
          </w:p>
        </w:tc>
        <w:tc>
          <w:tcPr>
            <w:shd w:val="clear" w:color="auto" w:fill="auto"/>
            <w:tcBorders>
              <w:top w:val="single" w:color="auto" w:sz="4" w:space="0"/>
              <w:left w:val="single" w:color="auto" w:sz="4" w:space="0"/>
              <w:bottom w:val="single" w:color="auto" w:sz="4" w:space="0"/>
              <w:right w:val="single" w:color="auto" w:sz="4" w:space="0"/>
            </w:tcBorders>
            <w:tcW w:w="33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到达现场后&lt;30分钟</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特大故障</w:t>
            </w:r>
            <w:r/>
          </w:p>
        </w:tc>
        <w:tc>
          <w:tcPr>
            <w:shd w:val="clear" w:color="auto" w:fill="auto"/>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立即响应</w:t>
            </w:r>
            <w:r/>
          </w:p>
        </w:tc>
        <w:tc>
          <w:tcPr>
            <w:shd w:val="clear" w:color="auto" w:fill="auto"/>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立即响应</w:t>
            </w:r>
            <w:r/>
          </w:p>
        </w:tc>
        <w:tc>
          <w:tcPr>
            <w:shd w:val="clear" w:color="auto" w:fill="auto"/>
            <w:tcBorders>
              <w:top w:val="single" w:color="auto" w:sz="4" w:space="0"/>
              <w:left w:val="single" w:color="auto" w:sz="4" w:space="0"/>
              <w:bottom w:val="single" w:color="auto" w:sz="4" w:space="0"/>
              <w:right w:val="single" w:color="auto" w:sz="4" w:space="0"/>
            </w:tcBorders>
            <w:tcW w:w="33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到达现场后&lt;10分钟</w:t>
            </w:r>
            <w:r/>
          </w:p>
        </w:tc>
      </w:tr>
    </w:tbl>
    <w:p>
      <w:pPr>
        <w:numPr>
          <w:ilvl w:val="0"/>
          <w:numId w:val="25"/>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机房及其配套设施运维：每日开展机房日常巡检，检查机房环境、设备运行状态、UPS、空调、消防等配套设施；每季度开展深度巡检，对机房设施全面检查维护；负责故障处置、设备保修、应急备件顶替、变更管理、应急预案演练及专业检测工作，备件替换后同步更新备件库存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网络与安全系统运维：每日开展网络设备巡检，每周开展安全系统（防火墙、入侵检测系统等）巡检，每季度开展网络与安全系统深度巡检；负责7*24小时热线支持、故障处置、设备保修、应急备件顶替、配置管理、变更管理、网络优化、数据备份、应急预案演练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服务器与存储系统运维：每日开展硬件状态检查、操作系统日志排查、核心服务校验；即时响应处置硬件及操作系统故障；每月清理设备灰尘、备份操作系统关键配置，每季度检查更新硬件固件、测试操作系统应急启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数据资源运维：每日8:30至17:30开展数据日常维护，检查数据备份、校验数据一致性、优化数据库查询性能；每季度开展一次数据资源运维评估，每年开展一次全面数据资源健康检查，确保数据完整性、准确性、时效性，不影响业务系统正常运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（1）响应时效要求：工作日驻场第一时间响应，普通故障到达现场后1小时内解决，重大故障到达现场后30分钟内解决，特大故障到达现场后10分钟内解决。</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质量管控要求：数据备份成功率不低于99%，数据恢复时间不超过2小时，数据库查询平均响应时间不超过800毫秒；系统可用率不低于99.99%，客户满意度不低于90分；执行每半年一次的运维服务质量考核，考核结果与服务费用结算、合同续签直接挂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（3）安全保密要求：所有运维人员签署保密协议，严格遵守保密制度，不得泄露系统信息及用户数据，敏感数据加密存储传输，运维日志记录保存至少1年，发生泄密事件承担全部责任。</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（4）合规操作要求：运维人员需经培训考核合格后上岗，严格按照标准化操作规程执行操作，所有运维操作、系统事件均如实记录，运维报告定期提交分管领导。</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4、团队配置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（1）管理团队：滨湖区数据局政务服务中心与IT运维公司共同组成，负责总体运行管理、协调、督查。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（2）运维执行团队：IT运维公司，负责IT设备运行维护，保障系统稳定顺畅。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（3）机房运维人员：至少3名，具备3年以上机房运维经验，熟悉机房设备操作。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（4）网络与安全运维人员：至少3名，具备CCNP、CISSP等资质，5年以上相关运维经验。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（5）服务器与存储运维人员：熟悉服务器存储硬件及操作系统，具备故障快速处置能力。</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实行7*24小时应急技术支持、工作日驻场服务模式。驻场人员需具备相应专业资质与工作经验，严格遵守运维制度与保密规定，按流程开展巡检、故障处理等工作，快速响应解决问题，确保系统稳定运行。</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46</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rPr>
        <w:t xml:space="preserve">2026</w:t>
      </w:r>
      <w:r>
        <w:rPr>
          <w:rFonts w:hint="eastAsia" w:ascii="宋体" w:hAnsi="宋体" w:eastAsia="宋体" w:cs="宋体"/>
          <w:b/>
          <w:bCs/>
          <w:sz w:val="24"/>
          <w:szCs w:val="24"/>
          <w:lang w:eastAsia="zh-CN"/>
        </w:rPr>
        <w:t xml:space="preserve">年区数据局统一运维项目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运维期限：8个月（2027年1月1日-2027年8月31日）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服务使用单位：无锡市滨湖区数据局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numPr>
          <w:ilvl w:val="0"/>
          <w:numId w:val="26"/>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本项目运维服务整合了数据安全运维、网络安全运维、</w:t>
      </w:r>
      <w:r>
        <w:rPr>
          <w:rFonts w:hint="eastAsia" w:ascii="宋体" w:hAnsi="宋体" w:eastAsia="宋体" w:cs="宋体"/>
          <w:sz w:val="24"/>
          <w:szCs w:val="24"/>
          <w:lang w:val="en-US" w:eastAsia="zh-CN" w:bidi="ar"/>
        </w:rPr>
        <w:t xml:space="preserve">数据治理服务、政务外网维护、滨湖区办公系统运维、无锡市12345系统平台（滨湖区板块）运维6个子项，覆盖全区政务信息化各类系统、网络、数据资源，在延续原有服务标准基础上新增3项服务内容：一是数据资产台账年度动态更新，二是全年4次数据安全专项培训，三是政务外网终端故障上门服务响应时效提升30%。核心运维目标为保障各业务系统稳定可靠运行，需达到系统可用性95%、用户满意度95%、运维服务及时率95%的量化指标；故障分级响应标准为普通故障到场后3小时内解决，重大故障到场后2小时内解决，特大故障到场后1小时内解决。</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数据安全运维：覆盖31个MySQL、54个HIVE、52个Postgres、9个Tdsql数据库，涉及12763张数据表、200600个字段，数据总量超4.55亿条。服务内容包括数据分类分级、日常安全监测、权限管控、加密脱敏运维、API安全审计、数据防泄漏监测、数据安全追溯、年度数据安全风险评估、全年托管运营、按需重保值守、每年2次数据安全应急演练、每年1次数据安全制度体系更新、每年1次全员数据安全培训、年度数据资产台账动态更新。</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网络安全运维：覆盖全区80套业务系统、318台服务器。服务内容包括年度常态化模拟攻击检测、每月1次漏洞扫描、按需重保值守、每年2次安全意识培训、每年2次攻防技术培训、每年4次应急响应、每年1次应急演练、全年安全日志分析与响应、日常网络设备运维、每年1次网络安全制度体系更新。</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数据治理运维：覆盖5个基础库、5个主题库、5个专题库存量数据。服务内容包括服务器/数据库/中间件基础运维、政务信息资源目录更新维护、多源数据接入探查、数据标准规范制定、数据清洗治理、调度任务运维、每月出具《无锡市滨湖区大数据中心月度数据质量报告》、数据资源建模建库（2026年新增数据表不低于上年总量10%，新建主专题数据库不少于3个）、数据共享服务（全年共享数据资源不少于20条）、各级考核支撑。</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政务外网运维：覆盖1号院、2号院共2个主机房、86个弱电间，涉及约10000个信息点、10258个政务外网账号、339家政务外网接入单位、2000个办公终端。服务内容包括日常设备巡检、账号/事件处置、分级故障处置、每季度1次应急演练、终端故障上门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（5）滨湖区办公系统运维：覆盖全区4000余名用户，含3500个政务微信终端授权。服务内容包括软硬件日常维护、用户体系/流程权限配置、公文数据分类治理、每日系统巡检、重大活动/节假日安保值守。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（6）无锡市12345系统平台（滨湖区板块）运维：服务内容包括系统日常运行监控、日志/问题优化处理、每日全量+增量数据备份、故障处置、7*24小时技术支持。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（7）专项保障服务：全年承接各级政务活动、重要会议、应急事件等专项保障任务不少于40次，专项保障期间安排专属技术人员7*24小时驻场值守，提前完成系统全量巡检、风险排查，保障期间零故障、零中断。</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（8）考核迎检支撑：承接省级、市级、区级各类信息化考核迎检工作，负责梳理考核佐证材料、完成系统演示支撑、配合完成现场核验，保障考核排名不低于同类区县前3位。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响应时效要求：普通故障到场后3小时内解决，重大故障到场后2小时内解决，特大故障到场后1小时内解决；日常服务需求24小时内响应，紧急需求1小时内响应，政务外网终端故障上门服务响应时效较2025年提升30%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（2）质量管控要求：数据备份成功率≥99%，数据恢复时间≤2小时；系统可用率≥95%，用户满意度≥95%；服务效率较2025年提升10%，任务处理时间缩短10%。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（3）安全保密要求：所有运维人员签订保密协议，严格遵守《网络安全法》《数据安全法》《个人信息保护法》等相关法律法规，运维日志留存不少于1年，敏感数据泄露事件发生率为0。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（4）考核管理要求：执行三级考核机制，考核结果直接与服务费用结算、合同续签挂钩，主管单位满意度需达到100%，信息化考核排名不低于同类区县前3位。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（5）台账管理要求：建立完善的运维台账体系，所有运维操作、故障处置、巡检记录、变更操作均需实时录入运维管理系统，台账留存期限不低于3年，每月底向滨湖区数据局提交运维台账明细。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（6）变更管控要求：所有系统配置变更、网络变更、数据操作均需提前提交变更申请，经滨湖区数据局审批通过后方可执行，变更前制定回退预案，变更失败1小时内完成回滚，避免影响业务正常运行。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4、团队配置要求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本项目采用双方协同管理模式：管理团队由滨湖区数据局与外包单位共同组成，负责项目统筹协调、监督考核、对外对接；</w:t>
      </w:r>
      <w:r>
        <w:rPr>
          <w:rFonts w:hint="eastAsia" w:ascii="宋体" w:hAnsi="宋体" w:eastAsia="宋体" w:cs="宋体"/>
          <w:sz w:val="24"/>
          <w:szCs w:val="24"/>
          <w:lang w:val="en-US" w:eastAsia="zh-CN" w:bidi="ar"/>
        </w:rPr>
        <w:t xml:space="preserve">执行团队由外包单位组建，分为项目管理、数据安全、网络安全、数据治理、网络维护、系统维护6个组别，配备专职驻场人员14名、后端机动技术人员6名。核心岗位资质要求：项目经理需具备PMP认证及5年以上政务信息化运维项目管理经验，数据安全工程师需具备CISP-DP认证，网络安全工程师需具备CISP-P认证，系统运维工程师需具备HCIP或同等资质，所有驻场人员需经过滨湖区数据局背景核查及技术考核合格后方可上岗，人员变动需提前15天提交申请，经审批通过后方可更换，新入职人员需完成7天岗前培训考核合格后方可独立开展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1）执行5×8小时驻场值守，确保工作时间内现场响应</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2）熟悉滨湖区政务系统架构及业务流程，具备相关运维资质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3）严格遵守政务信息保密规定，严禁泄露敏感数据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4）每日提交运维工作日志，配合完成各项运维任务</w:t>
      </w:r>
      <w:r/>
    </w:p>
    <w:p>
      <w:pPr>
        <w:pStyle w:val="770"/>
        <w:numPr>
          <w:ilvl w:val="0"/>
          <w:numId w:val="8"/>
        </w:numPr>
        <w:ind w:left="0" w:firstLine="480"/>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eastAsia="zh-CN"/>
        </w:rPr>
        <w:t xml:space="preserve">链路租赁类项目服务内容及需求</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47</w:t>
      </w:r>
      <w:r>
        <w:rPr>
          <w:rFonts w:hint="eastAsia" w:ascii="宋体" w:hAnsi="宋体" w:eastAsia="宋体" w:cs="宋体"/>
          <w:b/>
          <w:bCs/>
          <w:sz w:val="24"/>
          <w:szCs w:val="24"/>
          <w:lang w:eastAsia="zh-CN"/>
        </w:rPr>
        <w:t xml:space="preserve">：民宗智慧平台专线维保服务项目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服务使用单位：无锡市滨湖区委员会统一战线工作部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链路规格：1条100M互联网数据专线</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48</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rPr>
        <w:t xml:space="preserve">VPN</w:t>
      </w:r>
      <w:r>
        <w:rPr>
          <w:rFonts w:hint="eastAsia" w:ascii="宋体" w:hAnsi="宋体" w:eastAsia="宋体" w:cs="宋体"/>
          <w:b/>
          <w:bCs/>
          <w:sz w:val="24"/>
          <w:szCs w:val="24"/>
          <w:lang w:eastAsia="zh-CN"/>
        </w:rPr>
        <w:t xml:space="preserve">网络链路租赁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服务使用单位：无锡市滨湖区交通运输综合行政执法大队</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链路规格：2条100M互联网专线 + 1条100M政务网专线</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49</w:t>
      </w:r>
      <w:r>
        <w:rPr>
          <w:rFonts w:hint="eastAsia" w:ascii="宋体" w:hAnsi="宋体" w:eastAsia="宋体" w:cs="宋体"/>
          <w:b/>
          <w:bCs/>
          <w:sz w:val="24"/>
          <w:szCs w:val="24"/>
          <w:lang w:eastAsia="zh-CN"/>
        </w:rPr>
        <w:t xml:space="preserve">：数据专线网络链路租赁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服务使用单位：无锡市滨湖区交通运输综合行政执法大队</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链路规格：1条10M数据专线</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50</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rPr>
        <w:t xml:space="preserve">2026</w:t>
      </w:r>
      <w:r>
        <w:rPr>
          <w:rFonts w:hint="eastAsia" w:ascii="宋体" w:hAnsi="宋体" w:eastAsia="宋体" w:cs="宋体"/>
          <w:b/>
          <w:bCs/>
          <w:sz w:val="24"/>
          <w:szCs w:val="24"/>
          <w:lang w:eastAsia="zh-CN"/>
        </w:rPr>
        <w:t xml:space="preserve">年滨湖区政府及区城运中心网络链路统一租赁项目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服务使用单位：无锡市滨湖区数据局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链路规格：22条链路（17条区政府网络链路 + 3条城运中心网络链路 + 2条新增千兆互联网主备线路）</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51</w:t>
      </w:r>
      <w:r>
        <w:rPr>
          <w:rFonts w:hint="eastAsia" w:ascii="宋体" w:hAnsi="宋体" w:eastAsia="宋体" w:cs="宋体"/>
          <w:b/>
          <w:bCs/>
          <w:sz w:val="24"/>
          <w:szCs w:val="24"/>
          <w:lang w:eastAsia="zh-CN"/>
        </w:rPr>
        <w:t xml:space="preserve">：数据专线</w:t>
      </w:r>
      <w:r>
        <w:rPr>
          <w:rFonts w:hint="eastAsia" w:ascii="宋体" w:hAnsi="宋体" w:eastAsia="宋体" w:cs="宋体"/>
          <w:b/>
          <w:bCs/>
          <w:sz w:val="24"/>
          <w:szCs w:val="24"/>
          <w:lang w:val="en-US"/>
        </w:rPr>
        <w:t xml:space="preserve">C2C</w:t>
      </w:r>
      <w:r>
        <w:rPr>
          <w:rFonts w:hint="eastAsia" w:ascii="宋体" w:hAnsi="宋体" w:eastAsia="宋体" w:cs="宋体"/>
          <w:b/>
          <w:bCs/>
          <w:sz w:val="24"/>
          <w:szCs w:val="24"/>
          <w:lang w:eastAsia="zh-CN"/>
        </w:rPr>
        <w:t xml:space="preserve">业务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服务使用单位：无锡市滨湖区融媒体中心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链路规格：1条上下行均1G的C2C专属数据专线</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链路租赁类项目运维内容：以保障各链路及数据传输稳定、高速、安全运行为核心目标，支撑各项业务可靠高效开展，明确租用链路全年可用性要求：关键专线需达到100%，一般链路不低于95%。建立故障分级响应机制，根据故障影响范围和严重程度分级处置，确保故障及时修复、业务快速恢复。对租用链路开展日常巡检、状态监控、性能优化，及时发现并处置潜在隐患，运维服务用户满意度整体不低于95%，其中关键专线要求达到100%。</w:t>
      </w:r>
      <w:r/>
    </w:p>
    <w:p>
      <w:pPr>
        <w:pStyle w:val="770"/>
        <w:numPr>
          <w:ilvl w:val="0"/>
          <w:numId w:val="8"/>
        </w:numPr>
        <w:ind w:left="0" w:firstLine="480"/>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eastAsia="zh-CN"/>
        </w:rPr>
        <w:t xml:space="preserve">网络安全类项目服务内容及需求</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52</w:t>
      </w:r>
      <w:r>
        <w:rPr>
          <w:rFonts w:hint="eastAsia" w:ascii="宋体" w:hAnsi="宋体" w:eastAsia="宋体" w:cs="宋体"/>
          <w:b/>
          <w:bCs/>
          <w:sz w:val="24"/>
          <w:szCs w:val="24"/>
          <w:lang w:eastAsia="zh-CN"/>
        </w:rPr>
        <w:t xml:space="preserve">：无锡市滨湖区城管局网络安全维护服务项目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运维期限：12个月（2026年9月1日-2027年8月31日）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服务使用单位：无锡市滨湖区城市管理局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numPr>
          <w:ilvl w:val="0"/>
          <w:numId w:val="27"/>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本项目服务目标为准确识别信息安全各种风险和威胁，规避或减少信息安全事件造成的不良影响和损失。确保客户网络系统的安全性、稳定性和可用性。</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需达到的目标如下：</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1）系统可用性：100% </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2）用户满意度：100%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3）服务时间要求：</w:t>
      </w:r>
      <w:r/>
    </w:p>
    <w:tbl>
      <w:tblPr>
        <w:tblStyle w:val="779"/>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37"/>
        <w:gridCol w:w="1539"/>
        <w:gridCol w:w="2565"/>
        <w:gridCol w:w="2878"/>
      </w:tblGrid>
      <w:tr>
        <w:trPr>
          <w:jc w:val="center"/>
          <w:tblHeader/>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故障级别</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远程响应</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现场响应</w:t>
            </w:r>
            <w:r/>
          </w:p>
        </w:tc>
        <w:tc>
          <w:tcPr>
            <w:shd w:val="clear" w:color="auto" w:fill="auto"/>
            <w:tcBorders>
              <w:top w:val="single" w:color="auto" w:sz="4" w:space="0"/>
              <w:left w:val="single" w:color="auto" w:sz="4" w:space="0"/>
              <w:bottom w:val="single" w:color="auto" w:sz="4" w:space="0"/>
              <w:right w:val="single" w:color="auto" w:sz="4" w:space="0"/>
            </w:tcBorders>
            <w:tcW w:w="287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故障解决时间</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普通故障</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立即响应</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2小时内到现场</w:t>
            </w:r>
            <w:r/>
          </w:p>
        </w:tc>
        <w:tc>
          <w:tcPr>
            <w:shd w:val="clear" w:color="auto" w:fill="auto"/>
            <w:tcBorders>
              <w:top w:val="single" w:color="auto" w:sz="4" w:space="0"/>
              <w:left w:val="single" w:color="auto" w:sz="4" w:space="0"/>
              <w:bottom w:val="single" w:color="auto" w:sz="4" w:space="0"/>
              <w:right w:val="single" w:color="auto" w:sz="4" w:space="0"/>
            </w:tcBorders>
            <w:tcW w:w="287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到达现场后&lt;3小时</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重大故障</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立即响应</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1小时内到现场</w:t>
            </w:r>
            <w:r/>
          </w:p>
        </w:tc>
        <w:tc>
          <w:tcPr>
            <w:shd w:val="clear" w:color="auto" w:fill="auto"/>
            <w:tcBorders>
              <w:top w:val="single" w:color="auto" w:sz="4" w:space="0"/>
              <w:left w:val="single" w:color="auto" w:sz="4" w:space="0"/>
              <w:bottom w:val="single" w:color="auto" w:sz="4" w:space="0"/>
              <w:right w:val="single" w:color="auto" w:sz="4" w:space="0"/>
            </w:tcBorders>
            <w:tcW w:w="287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到达现场后&lt;2小时</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特大故障</w:t>
            </w:r>
            <w:r/>
          </w:p>
        </w:tc>
        <w:tc>
          <w:tcPr>
            <w:shd w:val="clear" w:color="auto" w:fill="auto"/>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立即响应</w:t>
            </w:r>
            <w:r/>
          </w:p>
        </w:tc>
        <w:tc>
          <w:tcPr>
            <w:shd w:val="clear" w:color="auto" w:fill="auto"/>
            <w:tcBorders>
              <w:top w:val="single" w:color="auto" w:sz="4" w:space="0"/>
              <w:left w:val="single" w:color="auto" w:sz="4" w:space="0"/>
              <w:bottom w:val="single" w:color="auto" w:sz="4" w:space="0"/>
              <w:right w:val="single" w:color="auto" w:sz="4" w:space="0"/>
            </w:tcBorders>
            <w:tcW w:w="256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30分钟内到现场</w:t>
            </w:r>
            <w:r/>
          </w:p>
        </w:tc>
        <w:tc>
          <w:tcPr>
            <w:shd w:val="clear" w:color="auto" w:fill="auto"/>
            <w:tcBorders>
              <w:top w:val="single" w:color="auto" w:sz="4" w:space="0"/>
              <w:left w:val="single" w:color="auto" w:sz="4" w:space="0"/>
              <w:bottom w:val="single" w:color="auto" w:sz="4" w:space="0"/>
              <w:right w:val="single" w:color="auto" w:sz="4" w:space="0"/>
            </w:tcBorders>
            <w:tcW w:w="287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到达现场后&lt;1小时</w:t>
            </w:r>
            <w:r/>
          </w:p>
        </w:tc>
      </w:tr>
    </w:tbl>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pacing w:val="4"/>
          <w:sz w:val="24"/>
          <w:szCs w:val="24"/>
          <w:lang w:val="en-US"/>
        </w:rPr>
        <w:suppressLineNumbers w:val="0"/>
      </w:pPr>
      <w:r>
        <w:rPr>
          <w:rFonts w:hint="eastAsia" w:ascii="宋体" w:hAnsi="宋体" w:eastAsia="宋体" w:cs="宋体"/>
          <w:sz w:val="24"/>
          <w:szCs w:val="24"/>
          <w:lang w:val="en-US" w:eastAsia="zh-CN" w:bidi="ar"/>
        </w:rPr>
        <w:t xml:space="preserve">通过网络安全服务的定期漏洞扫描、渗透测试、风险评估等安全服务，对局内安全漏洞、安全隐患进行全面检测，</w:t>
      </w:r>
      <w:bookmarkStart w:id="204" w:name="_Hlk217633690"/>
      <w:r>
        <w:rPr>
          <w:rFonts w:hint="eastAsia" w:ascii="宋体" w:hAnsi="宋体" w:eastAsia="宋体" w:cs="宋体"/>
          <w:sz w:val="24"/>
          <w:szCs w:val="24"/>
          <w:lang w:val="en-US" w:eastAsia="zh-CN" w:bidi="ar"/>
        </w:rPr>
        <w:t xml:space="preserve">强化滨湖区城市管理局的信息安全防范能力</w:t>
      </w:r>
      <w:bookmarkEnd w:id="204"/>
      <w:r>
        <w:rPr>
          <w:rFonts w:hint="eastAsia" w:ascii="宋体" w:hAnsi="宋体" w:eastAsia="宋体" w:cs="宋体"/>
          <w:sz w:val="24"/>
          <w:szCs w:val="24"/>
          <w:lang w:val="en-US" w:eastAsia="zh-CN" w:bidi="ar"/>
        </w:rPr>
        <w:t xml:space="preserve">。完善系统运维安全管理的措施和手段，对网络安全设备运行监控、配置信息系统安全访问策略、及时响应信息系统故障并协助处置、排除网络信息系统安全隐患，以减少局内信息安全风险、提升日常信息安全管理水平。</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（1）互联网资产暴露面梳理服务：对滨湖区城市管理局的互联网资产暴露面进行梳理，识别资产范围及风险。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（2）漏洞扫描服务：定期对系统进行漏洞扫描和评估，提供修复建议和实施方案，跟踪修复进度。</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（3）弱口令检测服务：检测系统、设备及应用的弱口令情况，协助整改。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（4）渗透测试服务：模拟攻击者对系统进行渗透测试，发现安全漏洞和隐患。</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（5）应急响应服务：建立安全事件响应机制，提供7×24小时事件响应支持，进行事件分析和报告，提出改进措施。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（6）迎检协助服务：配合甲方迎接上级网络安全检查，提供技术支持及文档准备。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（7）内网安全检测服务：对内网进行安全检测，发现潜在风险。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（8）终端设备安全维护：对终端设备进行安全维护，包括故障诊断、系统监测、日志分析、漏洞和隐患处置。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（9）通报预警服务：及时推送网络安全通报和预警信息。</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（10）网络安全意识培训：组织网络安全意识培训，提升人员安全意识。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（11）网络安全应急演练：定期开展应急演练，检验应急响应能力。</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（12）网络监控：实时监控网络流量、设备状态和安全事件。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（13）安全策略优化：定期评估现有安全策略的有效性，优化安全策略和配置。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（14）现场巡检：对设备及网络进行全面检查，发现隐患并预警。</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（15）网络运行分析与管理：周期性检查、分析网络运行状况，提出指导性建议。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（16）重要时刻专人值守：在重大会议或重要时期安排专人值守，保障设备稳定运行。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（1）互联网资产暴露面梳理服务事项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每年开展1次互联网资产暴露面梳理，识别并记录资产暴露面情况。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（2）漏洞扫描服务事项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1）每年开展2次漏洞扫描。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2）提供漏洞修复建议和实施方案。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3）跟踪漏洞修复进度，确保及时修复。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（3）弱口令检测服务事项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每年开展2次弱口令检测。</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（4）渗透测试服务事项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每年开展2次渗透测试。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（5）应急响应服务事项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1）提供7×24小时事件响应支持。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2）按需提供应急响应服务。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3）进行事件分析和报告，提出改进措施。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（6）迎检协助服务事项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按需提供迎检协助服务。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（7）内网安全检测服务事项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每年开展2次内网安全检测。</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（8）终端设备安全维护事项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1）每年提供6次终端设备安全维护服务。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2）协助对故障终端设备进行诊断，监控运行情况，记录系统参数。</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3）分析监控记录和日志，及时发现安全漏洞和隐患，处置突发故障。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4）定期或实时监测终端设备工作状况，检查温湿度、外壳温度、异味等，提供监测报告。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（9）通报预警服务事项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每年提供不少于2次通报预警服务。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（10）网络安全意识培训事项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每年开展2次网络安全意识培训。</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（11）网络安全应急演练事项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每年开展1次网络安全应急演练。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（12）网络监控事项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1）实时监控网络流量、设备状态和安全事件。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2）使用先进监控工具，确保及时发现异常行为。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（13）漏洞管理事项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1）定期进行漏洞扫描和评估。</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2）提供修复建议和实施方案。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3）跟踪修复进度。</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（14）安全策略优化事项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1）定期评估现有安全策略的有效性。</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2）根据评估结果优化安全策略和配置。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3）提供安全培训和意识提升计划。</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（15）现场巡检事项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1）每月对系统进行巡检，高峰期每周巡检。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2）对设备及网络进行全面检查，发现隐患，提出预警及解决建议。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3）出具巡检报告。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（16）网络运行分析与管理事项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周期性检查、分析网络运行状况和问题，提出指导性建议。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（17）重要时刻专人值守事项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在重大会议或其他可能对系统运行产生重大影响的时刻，安排专人值守。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（1）系统可用性：100%。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（2）用户满意度：100%。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（3）故障处理时间要求：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1）普通故障：远程响应立即响应，现场响应2小时内到现场，故障解决时间到达现场后&lt;3小时。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2）重大故障：远程响应立即响应，现场响应1小时内到现场，故障解决时间到达现场后&lt;2小时。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3）特大故障：远程响应立即响应，现场响应30分钟内到现场，故障解决时间到达现场后&lt;1小时。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（4）网络、安全系统服务时间要求：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1）接收服务请求和咨询：7×24小时设置专人值守热线电话，记录服务台事件处理结果。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2）对于“系统瘫痪，业务系统不能运转”的故障级别，若1小时内不能解决，需在12小时内提出应急方案确保业务运行。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3）故障解决后24小时内提交故障处理报告（含故障种类、原因、解决方法、损失情况）。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（5）终端设备维护要求：对终端设备工作状况进行定期或实时监测，定期提供监测报告。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（6）运维模式：完全外包服务，按需服务。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（7）保密与安全要求：技术支持人员需保护好数据，做好故障恢复文档。</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（8）对于修复后可能会影响系统正常运行的漏洞，经甲方确认后可不做修复，但需出具情况说明。</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4、团队配置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运维团队配置专业7*24小时值守运维团队，负责安全检测、漏洞处置、应急响应、日常巡检、安全培训、值守保障等运维工作，确保服务响应及时，安全服务达标。</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53</w:t>
      </w:r>
      <w:r>
        <w:rPr>
          <w:rFonts w:hint="eastAsia" w:ascii="宋体" w:hAnsi="宋体" w:eastAsia="宋体" w:cs="宋体"/>
          <w:b/>
          <w:bCs/>
          <w:sz w:val="24"/>
          <w:szCs w:val="24"/>
          <w:lang w:eastAsia="zh-CN"/>
        </w:rPr>
        <w:t xml:space="preserve">：网络安全态势感知服务项目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运维期限：10个月（2026年11月1日-2027年8月31日）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服务使用单位：无锡市滨湖区委宣传部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一、运维内容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（1）互联网资产探测管理服务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1）基于网络扫描、搜索引擎、互联网基础数据引擎主动探测全区各单位在互联网上暴露的资产，形成明确的资产清单。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2）利用技术手段对网络中的资产进行全面、细致地探测和识别，获取目标主机的设备属性信息和应用属性信息，包括但不限于IP存活性、端口/服务、操作系统、流量、别名解析、DNS以及应用类型。</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通过数据挖掘和调研确定单位资产范围，进行主动精准探测深度发现暴露在外的IT设备、端口以及应用服务，对每个业务系统梳理分析，结合业务特点对资产重要程度、业务安全需求进行归纳，形成全区各单位的资产画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4）探测与识别后，基于网络资产的存活状态、指纹信息、安全状态等信息构建互联网资产列表。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5）具体探测方式包括：IP存活性探测、端口/服务探测、操作系统探测、别名解析和DNS探测、资产属性识别（设备组件识别、应用组件识别、业务类型推断）、无主资产和僵尸资产探测。</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（2）网络安全态势感知服务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1）对滨湖区互联网资产进行实时监测，多视角全方位感知攻击对象、攻击过程等，及时发现安全隐患。</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2）实时监测：采用监测工具和技术（如防火墙、入侵检测系统、漏洞扫描工具等）对网络流量、日志和事件进行实时监测。</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3）数据收集：收集网络数据，包括网络流量、日志、事件，关注网络流量、终端行为、内容负载等方面，覆盖时间维度和内容维度。</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数据分析：对收集到的数据进行分析，提取信息和特征，利用数据挖掘、机器学习、人工智能等技术发现网络中的异常行为和模式，识别潜在威胁和攻击（包括DDoS攻击、SQL注入、XSS等网络攻击以及系统或应用程序中的安全漏洞）；通过对历史数据和趋势的分析，预测可能发生的安全事件并对潜在安全威胁进行评估和预警。</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5）威胁分析：对威胁相关的影响范围、攻击路径、目的、手段进行快速判别，总结网络安全态势。</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6）态势感知：对网络攻击、漏洞利用、恶意代码传播、信息泄漏等安全事件进行实时监控和分析，评估潜在威胁的可能性和对组织影响的严重性。</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7）安全预警与风险管理：根据态势感知结果及时发出安全预警。</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（3）常态化漏洞扫描与通报处置服务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1）常态化漏洞扫描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使用漏洞扫描工具对全区各单位互联网资产进行全面的漏洞、端口、弱口令扫描，涵盖网络设备和系统（如路由器、交换机、防火墙、操作系统、数据库、业务系统等）。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扫描完成后进行漏洞确认测试，并提出整改建议；为每个发现的漏洞提供详细分析，包括漏洞说明、影响的系统、危险级别等。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2）网络安全情况通报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发现漏洞和隐患后，向有关单位报告情况并触发应急响应；报告内容包括漏洞的基本信息、性质和等级、原因和发生机理。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通报方式：通过发文的形式向主管单位及时通报。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通报内容：主要包括漏洞的基本情况、影响范围、应对措施，内容精确、准确，突出警示教育作用。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3）处置反馈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特别重大、重大、较大隐患的处置情况应在接到事件通报后4小时内向相关部门反馈；一般隐患的处置情况应在5个工作日内反馈。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反馈内容包括用户已处置的IP地址和恶意域名、单位名称、用户未处置的IP地址和恶意域名及未处置的原因等。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协助隐患处置，处置完成后协助相关责任单位进行事后整改报告，总结事件教训，研判安全现状、排查安全隐患，并加强制度建设、安全设施建设。</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（4）重要时间节点专项技术支持服务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1）在年度重要时间节点前对滨湖区党政机关和重点企事业单位互联网资产开展漏洞扫描，针对问题严重的互联网资产进行深度检测。</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2）采用安全检测工具和手工方式，模拟黑客的攻击方法对目标系统的技术弱点、缺陷或漏洞进行可控的非破坏性攻击测试。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3）深度检测方法包括信息收集、端口扫描、远程溢出、口令猜测、本地溢出、单位用户端攻击、中间人攻击、web脚本渗透、B/S或C/S应用程序测试、社会工程等。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4）分为五个阶段：测试前期准备阶段、信息收集阶段、测试阶段实施、复测阶段实施、成果汇报阶段。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5）前期准备阶段：与区委宣传部沟通技术细节，确认深度检测方案（包括范围、对象、测试方式、时间等）。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6）信息收集阶段：通过安全测试工具收集操作系统类型、网络拓扑结构、端口扫描、服务识别等信息。</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测试实施阶段：使用自动化的安全扫描工具完成初步信息收集、服务判断、版本判断、补丁判断；以人工方式对扫描结果进行确认和分析，并进行深入检测，尝试由普通权限提升为管理员权限，循环进行直至测试完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8）回归测试阶段：初次深度检测报告提交后，等待各单位整改；整改后进行回归测试（二次复测），复测结束后提交复测报告并进行沟通。</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9）成果汇报阶段：根据初次深度检测和二次复测结果整理专项技术支持服务输出成果。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10）风险控制措施：不使用含有拒绝服务的测试策略；检测时间尽量安排在业务量不大的时段或晚上；若系统无响应立即停止测试并分析恢复；测试者和单位管理员保持良好沟通。</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（5）应急响应服务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1）在突发安全事件发生后，提供安全事件预警与通告、安全事件分析与处理、安全事件总结等服务。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采取行动限制事件扩散和影响范围，在限制潜在损失与破坏服务的基础上协助检查所有受影响的系统，准确判断安全事件原因，提出基于安全事件的整体解决方案，排除系统安全风险并协助追查事件来源、提出解决方案、协助后续处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3）发生病毒传播、黑客攻击、网络入侵和安全故障等安全威胁事件后，迅速采取措施恢复系统的保密性、完整性和可用性。</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4）遇到黑客入侵等紧急情况时启动紧急响应服务程序，指派专人至现场进行紧急响应，利用取证和分析技术迅速降低影响并追溯原因，提供全面解决方案。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5）重要信息系统和门户网站出现被入侵、挂马、篡改等安全事件后，提供分析、取证、追踪、恢复、加固等全方位的技术支持服务，使用高级安全工具和方法修补应用系统漏洞，完善安全策略。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（6）安全咨询服务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1）针对各级网络安全主管部门提出的各类安全自查、安全整改要求提供技术咨询服务。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2）针对现有信息化建设方面在网络安全方面存在的隐患和改良提出建议，包括云安全咨询、信息系统安全规划建设咨询、信息安全管理体系咨询、数据安全咨询以及安全开发生命周期咨询。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3）提供网络安全评估与风险分析：对系统进行全面安全评估和风险分析，识别潜在的安全漏洞和风险点并评估损失和影响，提供改进意见和建议。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4）安全策略制定与实施：根据需求和安全状况制定个性化网络安全策略，提供策略实施的技术支持和指导，定期审查和更新安全策略。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（7）重要时期安全保障服务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1）在春节、两会、元旦等重要时间节点加强网络安全保障，开展值班值守，协助做好全区各单位互联网资产的安全加固。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2）远程保障互联网资产安全，发现安全事件及时通报主管单位并提供修复建议，确保无重大安全事故。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重保期间，技术团队通过值班值守和网络安全监测系统进行持续的安全监测，结合网络流量分析、异常行为检测和高级威胁情报，快速识别并报告可疑活动；一旦检测到潜在恶意行为，立即通知运维人员提供遏制措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二、运维要求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（1）互联网资产探测管理服务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1）服务频次：每半年开展1次互联网资产探测管理服务，对全区互联网资产进行全面排查及管理。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2）服务质量：形成明确的资产清单。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（2）网络安全态势感知服务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1）服务频次：日常持续性开展网络安全态势感知，发现重要情况主动及时向区委宣传部报告。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2）服务质量：对滨湖区互联网资产进行实时监测，多视角全方位感知攻击对象、攻击过程等，及时发现安全风险。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（3）常态化漏洞扫描与通报处置服务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1）服务频次：每月定期开展常态化漏洞扫描与通报处置服务。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2）服务质量：服务期内提供有效网络安全报告数量不少于40份。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（4）重要时间节点专项技术支持服务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1）服务频次：年度重要时间节点前开展1次专项技术支持服务。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2）服务质量：提供有效网络安全通报报告数量不少于20份。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（5）应急响应服务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1）服务频次：每年提供5次网络安全应急响应服务。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2）服务质量：协助进行安全事件分析与处理，追溯原因，提供解决方案，快速降低影响。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（6）安全咨询服务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1）服务频次：不定期进行，按年开展服务。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2）服务质量：提供技术咨询服务，协助评估网络安全风险，确保系统的稳定运行和数据安全。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（7）重要时期安全保障服务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1）服务频次：每年提供5次重要时期网络安全值班保障服务。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2）服务质量：安排安全工程师值班值守，发现安全事件及时通报给主管单位，并提供修复建议，确保重要时期无重大安全事故。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（8）运维服务质量考核要求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1）考核内容及分值（总分100分）：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安全感知（20分）：开展资产探测、安全态势感知等，做好资产管理和预警。对照运维服务项目未达到服务标准，每项扣5分。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安全监测（40分）：开展常态化漏洞扫描与通报处置服务和重要时间节点专项技术支持服务，及时发现各类互联网资产及其安全隐患，对发现的安全问题及时监督整改。对照运维服务项目未达到服务标准，每项扣5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安全管理（25分）：开展应急响应、安全咨询、重保值班服务，保障全区党政机关单位和重点国企的互联网资产正常运行。每发生一次因工作不到位导致的安全事件，扣3分。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技术能力（10分）：技术人员素质、技术支持能力。每发生一次服务投诉，扣2分。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合作态度（5分）：沟通和配合、问题处理态度。合作程度=月及时沟通处理次数/月沟通处理总次数×100%，每低1%扣1分。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2）考核结果应用：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年度考核得分90分及以上：次年优先考虑续签合同。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年度考核得分80—89分：可正常续签合同。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年度考核得分70—79分：需在续签合同前提交详细的改进计划，经区委宣传部审核通过后方可续签。</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年度考核得分低于70分：扣除2%的运维经费，不再续签合同。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3）加分项：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提出有效的安全防护建议并被采纳的，每条加3—5分，具体分值根据建议的重要性和实施效果确定。</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在应对重大网络安全事件中表现突出，成功避免重大损失的，一次加10—20分。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4）扣分项：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出现重大安全事故（如因运维服务不到位导致国家秘密泄露、重大经济损失等）的，一次扣50分，并追究相关责任。</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泄露区委宣传部相关信息的，一次扣30分，并终止合同，情节严重的追究法律责任。</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5）投诉处理要求：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服务人员与区委宣传部意见不一致时，区委宣传部首先向项目经理投诉，由项目经理进行内部协调；协调未果，可向销售或商务人员投诉，乙方应立即协调后台资源解决问题。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因乙方工作人员失职造成的过失，应更换其他安全服务人员进行服务，协助完成剩余服务内容，并在五个工作日内给予区委宣传部满意的答复。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6）交付物质量控制：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所有交付文档、报告和表格，严格按照区委宣传部的标准模板或依据乙方模板修改，填写内容须经区委宣传部和乙方项目经理达成共识后方可使用。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7）项目汇报要求：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外包单位项目经理定期（一般为每月）向区委宣传部进行工作汇报，内容包括：项目整体推进进度、各项服务推进进度、延期原因及改进（若有）、上一阶段工作内容和工作效果、下一阶段工作内容和预期效果、上一阶段针对其他安全需求的执行情况、近期IT资产更新情况、网络安全攻击事件及整改情况。若发生其他突发事件，需第一时间向区委宣传部反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三、运维输出物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1、互联网资产探测管理服务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（1）输出物名称：《滨湖区互联网资产清单》。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（2）交付频次：每半年1次（服务期内每半年提供更新的互联网资产清单1份）。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2、常态化漏洞扫描与通报处置服务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（1）输出物名称：《滨湖区网络安全通报》。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（2）交付频次：每月定期开展，服务期内提供网络安全通报报告不少于40份。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3、重要时间节点专项技术支持服务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（1）输出物名称：《滨湖区网络安全通报》。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（2）交付频次：年度重要时间节点前开展1次，服务期内提供网络安全通报报告不少于20份。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四、团队配置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本项目外包单位执行团队主要由实施组、安全组、培训组组成。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实施组在项目经理的领导下负责对IT资产进行实时网络安全监测，一旦发现攻击行为，立即向项目经理汇报，并将信息同步转交给分析团队进行攻击行为的深度分析。同时承担着安全责任，通过深入分析监测日志，详细阐明攻击对象、攻击来源、攻击成功与否以及已采取的防护措施等技术细节。除此之外，还承担着事件处置监督任务，监督各类安全事件的处置，确保网络安全稳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安全组致力于在项目经理的领导下，通过常态化服务，确保各信息系统的安全运行。定期向项目经理报告服务成果，并提出改进建议，以进一步加强系统的安全性，保障网络信息资产的完整性和可靠性。</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培训组致力于在项目经理的领导下，通过网络安全意识培训和网络安全技术培训，提升各单位的网络安全意识和技能水平。通过生动有趣的培训形式和案例分析，帮助了解网络安全的重要性，掌握基本的网络安全知识和技能。定期向培训主管报告培训成果，包括培训效果评估和学员反馈，并提出改进建议，以不断改进培训内容和方法，确保培训的有效性和实效性。</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外包单位项目经理需要定期（一般为每月）向区委宣传部进行工作汇报，具体内容包括：项目整体推进进度、各项服务的推进进度、延期原因及改进（若有）、上一阶段工作内容和工作效果、下一阶段工作内容和预期效果、上一阶段针对其他安全需求的执行情况、网络安全攻击事件及整改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若在项目实施过程中有其他突发事件外包单位项目经理需第一时间向区委宣传部反馈。</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54</w:t>
      </w:r>
      <w:r>
        <w:rPr>
          <w:rFonts w:hint="eastAsia" w:ascii="宋体" w:hAnsi="宋体" w:eastAsia="宋体" w:cs="宋体"/>
          <w:b/>
          <w:bCs/>
          <w:sz w:val="24"/>
          <w:szCs w:val="24"/>
          <w:lang w:eastAsia="zh-CN"/>
        </w:rPr>
        <w:t xml:space="preserve">：云安全运维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运维期限：12个月（2026年9月1日-2027年8月31日）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服务使用单位：无锡市滨湖区妇幼保健计划生育服务中心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服务范围覆盖云主机、网络设备、业务系统全链路安全运维，包含基础设施维护、安全防护体系搭建、人力支撑服务三类核心内容，核心目标为保障系统稳定、安全、高效、可靠运行，避免医疗敏感数据泄露，支撑妇幼保健、计生服务等核心业务有序开展，量化指标为系统可用性100%、用户满意度100%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基础设施运维服务：每月1次开展网络设备清洁、散热检查，每季度1次开展固件升级，配置设备登录认证、远程管理限制、用户权限分级机制，每周1次备份设备配置，每日1次备份业务数据，部署5M弹性带宽、20M PON专线，配置8核16G云主机及500G数据存储空间，按需开展云资源扩容调整。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安全防护运维服务：部署云WAF、基础版防火墙+入侵检测系统，实时识别拦截11大类超3500种网络攻击行为，配置ACL访问控制列表、防火墙过滤规则，启用VPN、HTTPS等加密通信协议，开启安全日志全量留存，每月1次开展漏洞扫描，每季度1次开展安全风险排查，及时修复系统安全漏洞。</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（3）故障响应处置服务：按故障级别分级响应处置，提供7×24小时热线支持、远程技术支持、上门运维服务，每月1次开展主动电话回访，每季度1次开展现场需求沟通，按需开展用户操作培训、需求对接收集。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响应时效要求：一级紧急故障10分钟内响应、15分钟内远程介入处置；二级重大故障30分钟内响应、45分钟内远程介入处置；三级一般故障1小时内响应、3小时内远程介入处置；四级轻微故障3小时内响应、8小时内远程介入处置；所有需现场处置的故障2小时内安排人员上门服务，关键故障抽调骨干技术团队组建临时处置小组加快问题解决。</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（2）质量管控要求：系统全年可用性达100%，用户服务满意度达100%，运维服务严格按照无锡市政务信息化运维预算标准执行，服务过程全程留痕可追溯。</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（3）安全防护要求：严格遵守医疗数据保密相关规定，患者病历、诊疗信息等敏感数据全程加密存储传输，严禁私自导出泄露用户信息，全年无重大安全事故发生，非法访问拦截率100%。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（4）合规性要求：所有运维操作符合网络安全等级保护、政务信息化运维相关规范要求，固件升级、配置变更等操作提前测试评估，避免影响业务系统正常运行。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4、团队配置要求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（1）管理团队：项目牵头处室为办公室，项目负责人吴敏鹿、项目责任人袁圆，负责统筹运维需求确认、服务质量考核、权限管理、验收确认等工作，监督乙方运维服务按规范开展。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团队：配置实施团队与售后服务团队，分别负责项目标准化实施、进度管控、风险评估，以及7×24小时热线支持、远程/现场故障处置、用户培训等工作，所有运维人员具备政务医疗类系统运维经验，熟悉医疗数据保密要求。</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55</w:t>
      </w:r>
      <w:r>
        <w:rPr>
          <w:rFonts w:hint="eastAsia" w:ascii="宋体" w:hAnsi="宋体" w:eastAsia="宋体" w:cs="宋体"/>
          <w:b/>
          <w:bCs/>
          <w:sz w:val="24"/>
          <w:szCs w:val="24"/>
          <w:lang w:eastAsia="zh-CN"/>
        </w:rPr>
        <w:t xml:space="preserve">：云方舟服务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运维期限：12个月（2026年9月1日-2027年8月31日）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服务使用单位：无锡市滨湖区住房城乡建设局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（1）云WAF信息系统运维：对天翼云客户网站（无锡市滨湖区建设工程质量监督站网站、无锡市滨湖区住房和城乡建设局OA系统）提供7×24小时实时防护，阻断SQL注入、跨站脚本、Web Shell、应用层CC等攻击。</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（2）攻击行为智能检测：通过智能识别和分析HTTP/HTTPS，发现和阻断安全威胁，保障业务系统安全。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（3）有效防范非正常的访问：依据特征模型对业务流量进行检测，阻断不符合业务特征的流量访问。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（4）Web访问控制：通过设置针对特定域名、URL的访问频率和IP黑/白名单策略，限制相关源的访问行为。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（5）可编程扩展插件：提供自定义扩展插件功能，支持Lua脚本语言编写扩展插件，能够构建可与用户其他系统互动的业务安全防护体系。</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（6）信誉库与威胁情报：支持信誉库评价体系，汇聚多方威胁情报并进行综合的威胁情报数据供分析研判。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（7）IPv4/IPv6双协议栈：同时支持IPv4与IPv6网络协议，满足IPv4向IPv6过渡阶段的网络部署需求。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（1）运行管理和控制事项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1）划分运行管理角色，授予管理权限，定义人员职责，输出《运行管理人员角色和职责表》。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2）建立操作规程，操作过程记录，输出各类运行管理操作规程。</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（2）变更管理和控制事项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1）变更需求和影响分析：分析变更内容、资源需求、范围、必要性、可行性，判断影响大小，确定变更类别（局部调整或重大变更），制定变更方案。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2）变更过程控制：变更内容审核和审批，建立变更过程日志，形成变更结果报告。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（3）安全状态监控事项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1）监控对象确定：分析安全关键点，形成监控对象列表（按需）。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2）监控对象状态信息收集：选择监控工具，7×24小时持续收集网络流量、日志信息、安全报警、性能状况等状态信息。</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3）监控状态分析和报告：分析安全状态信息，及时发现险情、隐患或安全事件，分析影响，形成安全状态分析报告。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（4）安全事件处置和应急预案事项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1）安全事件分级：调查分析安全事件类型、影响范围、敏感程度、恢复时间，划分事件等级，制定安全事件报告程序。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2）应急预案制定：确定应急预案对象，明确各部门职责，制定应急预案程序及其执行条件，说明启动条件及流程措施，定期开展演练。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3）安全事件处置：根据安全状态分析报告上报安全事件，确定是否启动应急预案；按应急预案响应机制处置；对未知安全事件制定处置方案；处置后进行事件记录、总结，形成安全事件处置报告。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（5）安全检查和持续改进事项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1）安全状态检查：确定检查对象和方法，制定检查计划和方案，实施安全检查，形成安全检查报告。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2）改进方案制定：根据安全检查结果确定改进策略，制定安全改进方案。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3）安全改进实施：实施安全方案，进行测试与验收，修订配套技术文件和管理制度，形成测试或验收报告。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（6）运维服务质量考核事项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制定对外包服务提供商的考核标准、约束措施等具体内容。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（1）系统可用性：全年可用率不低于99.9%。</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（2）用户满意度：99%。</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（3）故障处理时间要求：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1）普通故障：远程响应立即响应，故障解决时间响应后&lt;3小时。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2）重大故障：远程响应立即响应，故障解决时间响应后&lt;2小时。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3）特大故障：远程响应立即响应，故障解决时间响应后&lt;1小时。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（4）运维模式：完全外包服务，为网站提供7×24小时实时防护。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（5）服务项目要求：必须提供攻击行为智能检测、防范非正常访问、Web访问控制、可编程扩展插件、信誉库与威胁情报、IPv4/IPv6双协议栈等服务内容。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（7）考核要求：应根据运维项目实际情况制订运维质量与考核方案，明确对外包服务提供商的考核标准、约束措施等具体内容。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4、团队配置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完全外包服务，为网站提供7*24小时实时防护，能阻断SQL注入、跨站脚本、WebShell、应用层CC等攻击。</w:t>
      </w:r>
      <w:r/>
    </w:p>
    <w:p>
      <w:pPr>
        <w:pStyle w:val="770"/>
        <w:numPr>
          <w:ilvl w:val="0"/>
          <w:numId w:val="8"/>
        </w:numPr>
        <w:ind w:left="0" w:firstLine="480"/>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eastAsia="zh-CN"/>
        </w:rPr>
        <w:t xml:space="preserve">等保测评类项目服务内容及需求</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56</w:t>
      </w:r>
      <w:r>
        <w:rPr>
          <w:rFonts w:hint="eastAsia" w:ascii="宋体" w:hAnsi="宋体" w:eastAsia="宋体" w:cs="宋体"/>
          <w:b/>
          <w:bCs/>
          <w:sz w:val="24"/>
          <w:szCs w:val="24"/>
          <w:lang w:eastAsia="zh-CN"/>
        </w:rPr>
        <w:t xml:space="preserve">：网络安全等级保护测评服务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运维期限：12个月（2026年9月1日-2027年8月31日）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服务使用单位：无锡市滨湖区档案史志馆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（1）网络安全等级保护测评服务：对无锡市滨湖区档案史志馆“数字档案馆综合管理系统”、“电子文件接收及处理系统”、“数字档案馆室一体化系统”三个信息系统开展二级等级保护测评工作。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查找差距与风险分析：查找信息系统各安全层面与相应安全保护等级标准的差距，明确存在的安全问题及现有安全措施的有效性，并针对安全问题关联的资产、威胁、脆弱性，综合分析信息系统面临的安全风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（3）整改支持：寻求风险降低或规避的方法、提出建设整改建议、编制建设整改方案、提供整改实施技术支持。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（4）验证与测评：在整改实施完成后，通过开展等级测评工作，验证建设整改的效果及与标准的符合度，明确信息系统是否达到了相应安全保护等级的防护能力。</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（5）报告编制：编制提交无锡市滨湖区档案史志馆网络安全等级测评报告，为以后的安全决策、安全管理、安全运维、持续整改提供依据。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（1）测评准备过程事项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1）组建等级测评项目组，从资料、人员、计划安排等方面为等级测评项目实施做好准备。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2）向被测单位介绍等级测评的意义和作用、测评工作的基本流程和工作方法，揭示测评风险并说明风险规避方法。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3）了解被测单位的信息化建设状况与发展，初步了解被测系统，获得被测系统的背景信息和联络方式。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4）指出被测单位应提供的基本资料，包括被测系统总体描述文件、详细描述文件、安全保护等级定级报告、系统验收报告、安全需求分析报告、安全总体方案等。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5）根据测评双方签订的委托测评协议书和系统规模，编制项目计划书（包含项目概述、工作依据、技术思路、工作内容和项目组织等）。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6）通过查阅被测系统已有资料或使用调查表单的方式，收集和分析系统构成及保护情况。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7）分析被测单位提供的系统相关文件，将需补充了解的内容编制成调查表并发放给被测系统运行维护人员，协助填写并收回分析。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对调查了解到的信息进行综合分析及整理，形成被测系统基本情况分析报告（至少包括行业特征、主管机构、业务范围、地理位置、背景信息、联络方式、组织管理结构、管理策略、部门设置和职责、岗位职责、物理环境、网络拓扑结构、硬件设备部署情况、范围及边界、业务种类及特性、业务流程、业务安全保护等级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9）调试、熟悉测评工具（漏洞扫描工具、渗透性测试工具、性能测试工具、协议分析工具等）。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10）准备和打印文档：现场测评授权书、测评结果记录表格（含测评人员入场和离场确认）、文档交接单等。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（2）方案编制过程事项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1）确定测评对象：根据被测系统信息，分析整个系统和各测评业务系统，确定测评对象。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2）确定被测系统的整体结构并加以描述（包括标识、物理环境、网络拓扑结构和外部边界连接情况，给出网络拓扑图）。</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3）确定被测系统的边界并加以描述（包括与其他网络外部连接的边界连接方式如光纤、无线、专线，描述各边界主要设备如防火墙、路由器或服务器）。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4）确定被测系统的网络区域并加以描述（包括区域划分、每个区域内主要业务应用、业务流程、区域边界及连接情况）。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5）确定被测系统的重要节点：以区域为线索描述各区域内计算机硬件设备、网络硬件设备、通信线路和应用系统软件等，说明节点间主要连接情况。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6）确定被测系统并加以描述（以网络拓扑结构为基础，采用总分式描述方法）。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7）确定测评对象并分门别类描述（包括网络和网络设备、服务器和主机、应用系统等，列表说明所属区域、设备名称、用途、设备信息、抽查说明等）。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8）确定测评指标：根据被测系统定级结果，从《网络安全等级保护基本要求》中选择相应等级的安全要求作为测评指标，包括ASG三类安全要求。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9）针对三个系统分别描述定级结果和指标选择（列表形式）：</w:t>
      </w:r>
      <w:r/>
    </w:p>
    <w:p>
      <w:pPr>
        <w:numPr>
          <w:ilvl w:val="0"/>
          <w:numId w:val="28"/>
        </w:numPr>
        <w:ind w:left="1260" w:right="0" w:firstLine="480"/>
        <w:jc w:val="both"/>
        <w:keepLines w:val="0"/>
        <w:keepNext w:val="0"/>
        <w:spacing w:before="0" w:beforeAutospacing="0" w:after="0" w:afterAutospacing="0" w:line="360" w:lineRule="auto"/>
        <w:widowControl w:val="off"/>
        <w:tabs>
          <w:tab w:val="clear" w:pos="840" w:leader="none"/>
          <w:tab w:val="left" w:pos="1260" w:leader="none"/>
        </w:tabs>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数字档案馆综合管理系统：二级</w:t>
      </w:r>
      <w:r/>
    </w:p>
    <w:p>
      <w:pPr>
        <w:numPr>
          <w:ilvl w:val="0"/>
          <w:numId w:val="28"/>
        </w:numPr>
        <w:ind w:left="1260" w:right="0" w:firstLine="480"/>
        <w:jc w:val="both"/>
        <w:keepLines w:val="0"/>
        <w:keepNext w:val="0"/>
        <w:spacing w:before="0" w:beforeAutospacing="0" w:after="0" w:afterAutospacing="0" w:line="360" w:lineRule="auto"/>
        <w:widowControl w:val="off"/>
        <w:tabs>
          <w:tab w:val="clear" w:pos="840" w:leader="none"/>
          <w:tab w:val="left" w:pos="1260" w:leader="none"/>
        </w:tabs>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电子文件接收及处理系统：二级</w:t>
      </w:r>
      <w:r/>
    </w:p>
    <w:p>
      <w:pPr>
        <w:numPr>
          <w:ilvl w:val="0"/>
          <w:numId w:val="28"/>
        </w:numPr>
        <w:ind w:left="1260" w:right="0" w:firstLine="480"/>
        <w:jc w:val="both"/>
        <w:keepLines w:val="0"/>
        <w:keepNext w:val="0"/>
        <w:spacing w:before="0" w:beforeAutospacing="0" w:after="0" w:afterAutospacing="0" w:line="360" w:lineRule="auto"/>
        <w:widowControl w:val="off"/>
        <w:tabs>
          <w:tab w:val="clear" w:pos="840" w:leader="none"/>
          <w:tab w:val="left" w:pos="1260" w:leader="none"/>
        </w:tabs>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数字档案馆室一体化系统：二级</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确定测评工具的接入点：确定需要进行功能测试和渗透测试的测评对象及测试工具，确定接入方式（从外到内、从其他网络到本地网段逐步逐点接入：被测系统边界外接入、内部跨网段接入、同一网段内接入），结合网络拓扑图描述接入点、测试目的、测试途径和测试对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11）确定测评内容：技术部分包括物理安全（7个测评单元）、网络安全（3个测评单元）、主机安全（4个测评单元）、应用安全（4个测评单元）、数据安全（2个测评单元）；管理部分包括安全管理制度（2个测评单元）、安全管理机构（4个测评单元）、人员安全管理（4个测评单元）、系统建设管理（9个测评单元）、系统运维管理（9个测评单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12）开发测评实施手册：描述单个测评对象（名称、IP地址、用途、管理人员等），根据GB/T 22239-2019确定测评过程（测评项、测评方法、操作步骤和预期结果），单元测评以表格形式设计，系统测评以文字描述或测试用例方式组织。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13）编制测评方案文稿：包括项目概述、测评对象、测评指标、测评工具的接入点、单元测评实施、系统测评实施及配套的测评实施手册等，并加入项目来源、依据标准、工作量估算、人员安排、测评计划（避开业务高峰期，说明所需条件和配合人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14）评审测评方案初稿，修改后提交被测单位签字认可。</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（3）测评实施过程事项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1）测评实施准备：召开测评现场首次会，介绍工作，明确方案内容、时间安排等；确认现场测评所需资源（配合人员和条件）；被测单位签署现场测评授权书；更新测评结果记录表单和测评程序。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2）现场测评和结果记录，包括：</w:t>
      </w:r>
      <w:r/>
    </w:p>
    <w:p>
      <w:pPr>
        <w:numPr>
          <w:ilvl w:val="0"/>
          <w:numId w:val="29"/>
        </w:numPr>
        <w:ind w:left="42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访谈：覆盖物理安全、网络安全、系统安全、应用安全、数据安全、安全管理等方面，访谈对象包括系统负责人、机房管理员、系统管理员、网络管理员、开发人员、应用业务人员、文档管理员等。访谈深度包括通用问题及高级探索性问题。</w:t>
      </w:r>
      <w:r/>
    </w:p>
    <w:p>
      <w:pPr>
        <w:numPr>
          <w:ilvl w:val="0"/>
          <w:numId w:val="29"/>
        </w:numPr>
        <w:ind w:left="42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检查（文档核查及配置核查）：覆盖物理安全、网络安全、主机系统安全、应用安全、数据安全及安全管理。数量上抽样覆盖网络设备、安全设备、主机设备、应用软件、管理制度文档等；深度上包括总体/概要、详细设计及实现信息。</w:t>
      </w:r>
      <w:r/>
    </w:p>
    <w:p>
      <w:pPr>
        <w:numPr>
          <w:ilvl w:val="0"/>
          <w:numId w:val="29"/>
        </w:numPr>
        <w:ind w:left="42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工具测试（案例验证测试、漏洞扫描测试、渗透性测试）：覆盖网络安全、主机系统安全、应用安全、数据安全。验证测试通过工具或案例验证安全功能；漏洞扫描测试分析网络设备、操作系统、数据库等安全漏洞。</w:t>
      </w:r>
      <w:r/>
    </w:p>
    <w:p>
      <w:pPr>
        <w:numPr>
          <w:ilvl w:val="0"/>
          <w:numId w:val="29"/>
        </w:numPr>
        <w:ind w:left="42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实地察看：到系统运行现场观察人员行为、技术设施和物理环境状况，判断安全意识、业务操作、管理程序和物理环境安全情况。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3）结果确定和资料归还：汇总现场测评记录，对漏掉或需进一步验证的内容实施补充测评；双方对发现的问题进行现场确认；归还所有借阅文档资料并由提供者签字确认。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（4）分析与报告编制过程事项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单项测评结果判定：针对每个测评项，分析所对抗的威胁是否存在（不适用则标为不适用）；将测评结果与预期结果比较，得出每个测评项对应的测评结果（符合、部分符合、不符合）。按照文档规定的六种情况采用“优势证据”法进行判定。</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2）系统整体测评分析：</w:t>
      </w:r>
      <w:r/>
    </w:p>
    <w:p>
      <w:pPr>
        <w:numPr>
          <w:ilvl w:val="0"/>
          <w:numId w:val="29"/>
        </w:numPr>
        <w:ind w:left="42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从安全控制间、层面间、区域间出发，针对“部分符合”及“不符合”的单项测评项，分析与相关其他安全控制、其他层面、其他区域的关联作用是否可以“弥补”不足。</w:t>
      </w:r>
      <w:r/>
    </w:p>
    <w:p>
      <w:pPr>
        <w:numPr>
          <w:ilvl w:val="0"/>
          <w:numId w:val="29"/>
        </w:numPr>
        <w:ind w:left="42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从安全角度分析被测系统整体结构的安全性，从系统角度分析整体安全防范的合理性，形成分析结论表格。</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测评报告编制：内容包括概述、被测系统描述、测评对象说明、测评指标说明、测评内容和方法说明、单元测评结果及初步分析、结果汇总分析、系统整体测评分析、风险分析与评价、综合结论、改进建议和附录等。针对存在安全隐患从系统安全角度提出改进建议。一个被测单位形成一份测评报告，如有多个被测系统分别描述。列表给出现场测评文档清单、单项测评记录及判定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4）测评报告评审：编制完成后，根据测评协议书、提交文档、原始记录和其他辅助信息对报告进行评审。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5）评审通过后由项目负责人签字确认并提交被测单位。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（1）服务质量要求：严格按照《GB/T 22239-2019 信息安全技术 网络安全等级保护基本要求》等国家标准开展测评工作，测评过程覆盖所有要求的技术和管理层面，保证测评结果客观、准确、无遗漏，符合绩效指标要求。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（2）响应时效要求：服务期内服务响应时间≤5分钟，安全事件响应时间≤1小时，现场测评工作安排避开业务高峰期，避免影响系统正常运行。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合规安全要求：严格遵守保密协议，对测评过程中获取的系统配置、业务数据、安全隐患等所有信息严格保密，不得泄露、传播；测评过程严格按照规范操作，提前告知测评工具用途及可能造成的影响，征得同意后方可实施，测评前配合做好关键数据备份，避免对系统正常运行造成影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4、团队配置要求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（1）甲方团队：配置至少1名无锡市滨湖区档案史志馆人员，负责项目整体进度和质量的监督验收，配合提供测评所需的系统资料、对接相关运维人员，协调现场测评相关工作。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乙方团队：配置至少3名技术人员，其中项目经理需具备等保测评相关资格认证及同类项目管理成功经验，负责项目整体管理、协调及进度把控，其余技术人员负责测评准备、方案编制、现场实施、报告编制、整改支持等具体工作落地，团队人员需熟悉等保测评相关标准及操作流程。</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57</w:t>
      </w:r>
      <w:r>
        <w:rPr>
          <w:rFonts w:hint="eastAsia" w:ascii="宋体" w:hAnsi="宋体" w:eastAsia="宋体" w:cs="宋体"/>
          <w:b/>
          <w:bCs/>
          <w:sz w:val="24"/>
          <w:szCs w:val="24"/>
          <w:lang w:eastAsia="zh-CN"/>
        </w:rPr>
        <w:t xml:space="preserve">：无锡市滨湖区农业农村局大数据平台（一期）项目等保测评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运维期限：12个月（2026年9月1日-2027年8月31日）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服务使用单位：无锡市滨湖区农业农村局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服务范围覆盖滨湖区农业农村局大数据平台二级网络安全等级保护测评及全流程安全管理支撑，核心目标是查找系统安全层面与二级等保标准的差距，综合分析安全风险，输出整改方案并提供技术支持，最终验证系统达到二级等保防护要求，满足《网络安全法》等法律法规合规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等级保护测评服务（1次）：完成测评准备、方案编制、现场测评、分析与报告编制全流程工作，覆盖物理安全、网络安全、主机安全、应用安全、数据安全、安全管理全维度测评，最终出具符合规范的《信息系统安全等级测评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（2）漏洞扫描与管理服务（4次/年）：对应用程序开展全面安全评估，排查安全隐患和漏洞，提供改进建议及防护措施，出具《漏洞扫描报告》。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（3）安全体系规划咨询服务（1次/年）：围绕业务与合规要求，开展网络现状评估、安全架构设计、制度流程梳理工作，输出《网络安全体系建设报告》《安全制度规范》。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（4）员工安全意识培训服务（1次/年）：提供网络安全和数据安全意识专项培训，输出《网络安全培训报告》。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（1）流程规范要求：严格遵循等保2.0相关标准（GB/T 22239-2019等）开展测评工作，确保测评过程合规、结果准确，测评过程避开业务高峰期，上机验证操作由甲方技术人员执行，测评前完成系统及数据备份，避免影响业务正常运行。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（2）质量管控要求：测评结果真实准确，整改建议可落地，测评报告符合公安等保监管要求，满足合规备案需求。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（3）安全保密要求：双方签署合规保密协议，所有测评过程中获取的系统信息、业务数据严格保密，测评完成后归还所有借阅资料，交回操作特权，杜绝敏感信息泄露。</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（4）时效要求：按计划节点完成各阶段工作，现场测评工作10日内完成，报告编制10日内提交，总周期不超过12个月。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4、团队配置要求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（1）甲方团队：安排熟悉系统架构、网络配置、安全管理的相关人员配合信息收集、现场测评、结果确认等工作，提供办公场地、机房出入权限、设备操作支持等保障。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（2）乙方团队：需具备网络安全等级保护测评资质，组建专业测评项目组，配置熟悉政务系统等保测评的技术人员，按规范开展各环节工作，确保测评结果合规有效。</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58</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rPr>
        <w:t xml:space="preserve">2026</w:t>
      </w:r>
      <w:r>
        <w:rPr>
          <w:rFonts w:hint="eastAsia" w:ascii="宋体" w:hAnsi="宋体" w:eastAsia="宋体" w:cs="宋体"/>
          <w:b/>
          <w:bCs/>
          <w:sz w:val="24"/>
          <w:szCs w:val="24"/>
          <w:lang w:eastAsia="zh-CN"/>
        </w:rPr>
        <w:t xml:space="preserve">年“数字滨湖”软件平台一期项目及政务机房等保测评项目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运维期限：12个月（2026年9月1日-2027年8月31日）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服务使用单位：无锡市滨湖区数据局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numPr>
          <w:ilvl w:val="0"/>
          <w:numId w:val="30"/>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目标为保障滨湖区数字底座、数据共享编目系统等7个系统/机房通过等保测评，通过等级保护测评工作发现"数字滨湖"软件平台一期项目及区政府政务机房、区城运中心机房在网络安全方面的不足之处，通过持续化、专业化的等保运维，保障平台、机房在运营过程中的机密性、完整性和可用性，防范化解信息安全风险，满足主管部门备案及合规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建立7×24小时安全监测机制，防范安全事件；达到测评报告交付及时率≥95%、安全漏洞整改建议采纳率≥90%、用户满意度≥95分。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具体服务清单如下：</w:t>
      </w:r>
      <w:r/>
    </w:p>
    <w:tbl>
      <w:tblPr>
        <w:tblStyle w:val="77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01"/>
        <w:gridCol w:w="1909"/>
        <w:gridCol w:w="2724"/>
        <w:gridCol w:w="1382"/>
        <w:gridCol w:w="1606"/>
      </w:tblGrid>
      <w:tr>
        <w:trPr>
          <w:jc w:val="center"/>
          <w:tblHeader/>
        </w:trPr>
        <w:tc>
          <w:tcPr>
            <w:shd w:val="clear" w:color="auto" w:fill="auto"/>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服务内容</w:t>
            </w:r>
            <w:r/>
          </w:p>
        </w:tc>
        <w:tc>
          <w:tcPr>
            <w:shd w:val="clear" w:color="auto" w:fill="auto"/>
            <w:tcBorders>
              <w:top w:val="single" w:color="auto" w:sz="4" w:space="0"/>
              <w:left w:val="single" w:color="auto" w:sz="4" w:space="0"/>
              <w:bottom w:val="single" w:color="auto" w:sz="4" w:space="0"/>
              <w:right w:val="single" w:color="auto" w:sz="4" w:space="0"/>
            </w:tcBorders>
            <w:tcW w:w="2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服务对象</w:t>
            </w:r>
            <w:r/>
          </w:p>
        </w:tc>
        <w:tc>
          <w:tcPr>
            <w:shd w:val="clear" w:color="auto" w:fill="auto"/>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服务次数</w:t>
            </w:r>
            <w:r/>
          </w:p>
        </w:tc>
        <w:tc>
          <w:tcPr>
            <w:shd w:val="clear" w:color="auto" w:fill="auto"/>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备注</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三级等级保护测评服务</w:t>
            </w:r>
            <w:r/>
          </w:p>
        </w:tc>
        <w:tc>
          <w:tcPr>
            <w:shd w:val="clear" w:color="auto" w:fill="auto"/>
            <w:tcBorders>
              <w:top w:val="single" w:color="auto" w:sz="4" w:space="0"/>
              <w:left w:val="single" w:color="auto" w:sz="4" w:space="0"/>
              <w:bottom w:val="single" w:color="auto" w:sz="4" w:space="0"/>
              <w:right w:val="single" w:color="auto" w:sz="4" w:space="0"/>
            </w:tcBorders>
            <w:tcW w:w="2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滨湖区数字底座</w:t>
            </w:r>
            <w:r/>
          </w:p>
        </w:tc>
        <w:tc>
          <w:tcPr>
            <w:shd w:val="clear" w:color="auto" w:fill="auto"/>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2次</w:t>
            </w:r>
            <w:r/>
          </w:p>
        </w:tc>
        <w:tc>
          <w:tcPr>
            <w:shd w:val="clear" w:color="auto" w:fill="auto"/>
            <w:tcBorders>
              <w:top w:val="single" w:color="auto" w:sz="4" w:space="0"/>
              <w:left w:val="single" w:color="auto" w:sz="4" w:space="0"/>
              <w:bottom w:val="single" w:color="auto" w:sz="4" w:space="0"/>
              <w:right w:val="single" w:color="auto" w:sz="4" w:space="0"/>
            </w:tcBorders>
            <w:tcW w:w="1605" w:type="dxa"/>
            <w:vAlign w:val="center"/>
            <w:vMerge w:val="restart"/>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等级保护测评报告</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三级等级保护测评服务</w:t>
            </w:r>
            <w:r/>
          </w:p>
        </w:tc>
        <w:tc>
          <w:tcPr>
            <w:shd w:val="clear" w:color="auto" w:fill="auto"/>
            <w:tcBorders>
              <w:top w:val="single" w:color="auto" w:sz="4" w:space="0"/>
              <w:left w:val="single" w:color="auto" w:sz="4" w:space="0"/>
              <w:bottom w:val="single" w:color="auto" w:sz="4" w:space="0"/>
              <w:right w:val="single" w:color="auto" w:sz="4" w:space="0"/>
            </w:tcBorders>
            <w:tcW w:w="2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数据共享编目系统</w:t>
            </w:r>
            <w:r/>
          </w:p>
        </w:tc>
        <w:tc>
          <w:tcPr>
            <w:shd w:val="clear" w:color="auto" w:fill="auto"/>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2次</w:t>
            </w:r>
            <w:r/>
          </w:p>
        </w:tc>
        <w:tc>
          <w:tcPr>
            <w:shd w:val="clear" w:color="auto" w:fill="auto"/>
            <w:tcBorders>
              <w:top w:val="single" w:color="auto" w:sz="4" w:space="0"/>
              <w:left w:val="single" w:color="auto" w:sz="4" w:space="0"/>
              <w:bottom w:val="single" w:color="auto" w:sz="4" w:space="0"/>
              <w:right w:val="single" w:color="auto" w:sz="4" w:space="0"/>
            </w:tcBorders>
            <w:tcW w:w="1605"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二级等级保护测评服务</w:t>
            </w:r>
            <w:r/>
          </w:p>
        </w:tc>
        <w:tc>
          <w:tcPr>
            <w:shd w:val="clear" w:color="auto" w:fill="auto"/>
            <w:tcBorders>
              <w:top w:val="single" w:color="auto" w:sz="4" w:space="0"/>
              <w:left w:val="single" w:color="auto" w:sz="4" w:space="0"/>
              <w:bottom w:val="single" w:color="auto" w:sz="4" w:space="0"/>
              <w:right w:val="single" w:color="auto" w:sz="4" w:space="0"/>
            </w:tcBorders>
            <w:tcW w:w="2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一网统管平台</w:t>
            </w:r>
            <w:r/>
          </w:p>
        </w:tc>
        <w:tc>
          <w:tcPr>
            <w:shd w:val="clear" w:color="auto" w:fill="auto"/>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1次</w:t>
            </w:r>
            <w:r/>
          </w:p>
        </w:tc>
        <w:tc>
          <w:tcPr>
            <w:shd w:val="clear" w:color="auto" w:fill="auto"/>
            <w:tcBorders>
              <w:top w:val="single" w:color="auto" w:sz="4" w:space="0"/>
              <w:left w:val="single" w:color="auto" w:sz="4" w:space="0"/>
              <w:bottom w:val="single" w:color="auto" w:sz="4" w:space="0"/>
              <w:right w:val="single" w:color="auto" w:sz="4" w:space="0"/>
            </w:tcBorders>
            <w:tcW w:w="1605"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二级等级保护测评服务</w:t>
            </w:r>
            <w:r/>
          </w:p>
        </w:tc>
        <w:tc>
          <w:tcPr>
            <w:shd w:val="clear" w:color="auto" w:fill="auto"/>
            <w:tcBorders>
              <w:top w:val="single" w:color="auto" w:sz="4" w:space="0"/>
              <w:left w:val="single" w:color="auto" w:sz="4" w:space="0"/>
              <w:bottom w:val="single" w:color="auto" w:sz="4" w:space="0"/>
              <w:right w:val="single" w:color="auto" w:sz="4" w:space="0"/>
            </w:tcBorders>
            <w:tcW w:w="2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综合业务应用平台</w:t>
            </w:r>
            <w:r/>
          </w:p>
        </w:tc>
        <w:tc>
          <w:tcPr>
            <w:shd w:val="clear" w:color="auto" w:fill="auto"/>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1次</w:t>
            </w:r>
            <w:r/>
          </w:p>
        </w:tc>
        <w:tc>
          <w:tcPr>
            <w:shd w:val="clear" w:color="auto" w:fill="auto"/>
            <w:tcBorders>
              <w:top w:val="single" w:color="auto" w:sz="4" w:space="0"/>
              <w:left w:val="single" w:color="auto" w:sz="4" w:space="0"/>
              <w:bottom w:val="single" w:color="auto" w:sz="4" w:space="0"/>
              <w:right w:val="single" w:color="auto" w:sz="4" w:space="0"/>
            </w:tcBorders>
            <w:tcW w:w="1605"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二级等级保护测评服务</w:t>
            </w:r>
            <w:r/>
          </w:p>
        </w:tc>
        <w:tc>
          <w:tcPr>
            <w:shd w:val="clear" w:color="auto" w:fill="auto"/>
            <w:tcBorders>
              <w:top w:val="single" w:color="auto" w:sz="4" w:space="0"/>
              <w:left w:val="single" w:color="auto" w:sz="4" w:space="0"/>
              <w:bottom w:val="single" w:color="auto" w:sz="4" w:space="0"/>
              <w:right w:val="single" w:color="auto" w:sz="4" w:space="0"/>
            </w:tcBorders>
            <w:tcW w:w="2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滨湖政务信息化全流程管理平台</w:t>
            </w:r>
            <w:r/>
          </w:p>
        </w:tc>
        <w:tc>
          <w:tcPr>
            <w:shd w:val="clear" w:color="auto" w:fill="auto"/>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1次</w:t>
            </w:r>
            <w:r/>
          </w:p>
        </w:tc>
        <w:tc>
          <w:tcPr>
            <w:shd w:val="clear" w:color="auto" w:fill="auto"/>
            <w:tcBorders>
              <w:top w:val="single" w:color="auto" w:sz="4" w:space="0"/>
              <w:left w:val="single" w:color="auto" w:sz="4" w:space="0"/>
              <w:bottom w:val="single" w:color="auto" w:sz="4" w:space="0"/>
              <w:right w:val="single" w:color="auto" w:sz="4" w:space="0"/>
            </w:tcBorders>
            <w:tcW w:w="1605"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二级等级保护测评服务</w:t>
            </w:r>
            <w:r/>
          </w:p>
        </w:tc>
        <w:tc>
          <w:tcPr>
            <w:shd w:val="clear" w:color="auto" w:fill="auto"/>
            <w:tcBorders>
              <w:top w:val="single" w:color="auto" w:sz="4" w:space="0"/>
              <w:left w:val="single" w:color="auto" w:sz="4" w:space="0"/>
              <w:bottom w:val="single" w:color="auto" w:sz="4" w:space="0"/>
              <w:right w:val="single" w:color="auto" w:sz="4" w:space="0"/>
            </w:tcBorders>
            <w:tcW w:w="2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城运中心机房</w:t>
            </w:r>
            <w:r/>
          </w:p>
        </w:tc>
        <w:tc>
          <w:tcPr>
            <w:shd w:val="clear" w:color="auto" w:fill="auto"/>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1次</w:t>
            </w:r>
            <w:r/>
          </w:p>
        </w:tc>
        <w:tc>
          <w:tcPr>
            <w:shd w:val="clear" w:color="auto" w:fill="auto"/>
            <w:tcBorders>
              <w:top w:val="single" w:color="auto" w:sz="4" w:space="0"/>
              <w:left w:val="single" w:color="auto" w:sz="4" w:space="0"/>
              <w:bottom w:val="single" w:color="auto" w:sz="4" w:space="0"/>
              <w:right w:val="single" w:color="auto" w:sz="4" w:space="0"/>
            </w:tcBorders>
            <w:tcW w:w="1605"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二级等级保护测评服务</w:t>
            </w:r>
            <w:r/>
          </w:p>
        </w:tc>
        <w:tc>
          <w:tcPr>
            <w:shd w:val="clear" w:color="auto" w:fill="auto"/>
            <w:tcBorders>
              <w:top w:val="single" w:color="auto" w:sz="4" w:space="0"/>
              <w:left w:val="single" w:color="auto" w:sz="4" w:space="0"/>
              <w:bottom w:val="single" w:color="auto" w:sz="4" w:space="0"/>
              <w:right w:val="single" w:color="auto" w:sz="4" w:space="0"/>
            </w:tcBorders>
            <w:tcW w:w="2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区政府政务机房</w:t>
            </w:r>
            <w:r/>
          </w:p>
        </w:tc>
        <w:tc>
          <w:tcPr>
            <w:shd w:val="clear" w:color="auto" w:fill="auto"/>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1次</w:t>
            </w:r>
            <w:r/>
          </w:p>
        </w:tc>
        <w:tc>
          <w:tcPr>
            <w:shd w:val="clear" w:color="auto" w:fill="auto"/>
            <w:tcBorders>
              <w:top w:val="single" w:color="auto" w:sz="4" w:space="0"/>
              <w:left w:val="single" w:color="auto" w:sz="4" w:space="0"/>
              <w:bottom w:val="single" w:color="auto" w:sz="4" w:space="0"/>
              <w:right w:val="single" w:color="auto" w:sz="4" w:space="0"/>
            </w:tcBorders>
            <w:tcW w:w="1605"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r>
    </w:tbl>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（1）信息系统网络安全等级保护现状测评工作：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信息收集：对项目涉及的所有信息系统开展调研工作，明确物理环境、网络架构、设备部署、应用系统、业务流程、数据流向等情况，并建立基础台账；</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方案编制：根据收集的基础信息，识别各信息系统网络结构、资产、威胁，明确检测评估目的及流程、对象及指标、方法及工具、实施计划；</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现场检测评估实施：通过访谈、检查、测试、实地查看等方法开展现场检测评估活动；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数据汇总分析：按照安全物理环境、安全通信网络、安全区域边界、安全计算环境、安全管理中心等安全层面汇总分析；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安全问题交流：通过交流会形式沟通安全问题，提出初步建设整改建议；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建设整改方案设计：编制建设整改方案；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（2）信息系统安全建设整改工作：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提供建设整改方案咨询；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整改实施技术支持服务；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协助安全策略配置优化、安全防护措施部署等安全加固服务；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（3）信息系统网络安全等级保护符合性测评工作：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针对现状测评过程中存在的安全差距开展符合性测评工作；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编制提交《网络安全等级保护等级测评报告》；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（4）技术支持和服务保障：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提供相关网络安全等级保护技术咨询支持服务；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协助完成信息系统安全整改；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提供复测测评服务；</w:t>
      </w:r>
      <w:r/>
    </w:p>
    <w:p>
      <w:pPr>
        <w:numPr>
          <w:ilvl w:val="0"/>
          <w:numId w:val="30"/>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（1）合规性要求：严格遵循国家等保标准及相关法律法规，确保测评流程合规、结果准确。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（2）响应时效要求：评估过程中发现的安全问题及时反馈，接到整改复测需求1小时内响应，对用户咨询24小时内答复。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（3）服务质量要求：达到测评报告交付及时率≥95%、安全漏洞整改建议采纳率≥90%、用户满意度≥95分。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（4）安全保密要求：签订保密协议，严格保护测评过程中涉及的敏感信息，运维日志保存不少于180天。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（5）流程规范要求：落实三权分立机制，关键操作双人复核，仅授予测评团队受限访问权限。</w:t>
      </w:r>
      <w:r/>
    </w:p>
    <w:p>
      <w:pPr>
        <w:ind w:left="42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4、团队配置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（1）项目领导小组：由无锡市滨湖区数据局与服务单位领导共同组成，负责项目整体决策与统筹协调。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（2）双方项目经理：各1名，本单位项目经理负责履约监督、质量评定；服务单位项目经理负责执行计划制定、进度管控与资源调配。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（3）测评工程师：中级以上等保测评师，负责现场测评、报告编制等核心工作。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（4）安全分析师：负责安全风险分析、整改方案设计与技术支持。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（5）运维支撑人员：负责文档整理、沟通协调与后勤保障。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服务单位需建立7×24小时响应机制；测评工程师按需赴现场开展测评工作，接到用户需求或安全事件通知后及时响应处置，确保项目按计划推进。</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59</w:t>
      </w:r>
      <w:r>
        <w:rPr>
          <w:rFonts w:hint="eastAsia" w:ascii="宋体" w:hAnsi="宋体" w:eastAsia="宋体" w:cs="宋体"/>
          <w:b/>
          <w:bCs/>
          <w:sz w:val="24"/>
          <w:szCs w:val="24"/>
          <w:lang w:eastAsia="zh-CN"/>
        </w:rPr>
        <w:t xml:space="preserve">：网络安全运维服务项目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运维期限：12个月（2026年9月1日-2027年8月31日）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服务使用单位：无锡市自然资源和规划局滨湖分局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numPr>
          <w:ilvl w:val="0"/>
          <w:numId w:val="31"/>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目标为提升局内信息系统安全防护能力，对滨湖区产业用地可利用资源管理系统、滨湖区自然资源规划数据中心2个二级系统开展安全管理与防护服务，排查系统薄弱环节并指导整改，保障业务正常开展，营造安全稳定的网络环境，核心量化指标为系统可用性95%，用户满意度90%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（1）漏洞扫描服务：频次为每年4次，覆盖网络设备、操作系统、中间件、数据库、Web应用等全维度，完成漏洞扫描、人工核验、风险等级评估、修复指导及复测工作，交付《漏洞扫描报告》。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渗透测试服务：频次为每年1次，模拟黑客攻击从网络、应用、主机、社会工程学层面开展全流程渗透检测，验证现有安全防护措施有效性，识别安全风险及攻击路径，提出优化整改建议，交付《渗透测试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（3）基线核查服务：频次为每年1次，对安全设备、操作系统、数据库、网络设备等开展安全配置参数核查，出具合规性报表及加固建议，完成修复后复测，交付《基线核查报告》。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（4）等级保护测评服务：频次为1次，完成2个二级系统全流程等保服务，涵盖定级、备案、差距评估、整改方案制定、协助测评等环节，交付《等保测评报告》。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（5）故障响应处置：提供7*24小时技术支持，普通故障2小时内到场、到场后3小时内解决，重大故障1小时内到场、到场后2小时内解决，特大故障30分钟内到场、到场后1小时内解决。</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 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（1）响应时效要求：所有运维需求30分钟内响应，严格按照分级故障处理时效标准完成处置，故障解决后及时提交处置报告，明确故障原因、解决措施等内容。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质量管控要求：所有服务过程安全可控，不得影响业务系统正常运行，交付物需符合局方规范标准；按考核指标开展服务评估，考核得分≥85分为合格，60-85分取消下一年度运维资格并罚款1000元/次，低于60分直接取消下一年度运维资格并罚款3000元/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（3）安全保密要求：运维人员严格遵守局方各项规章制度，对接触到的系统配置、核心参数、业务数据等严格保密，不得擅自复制、传播相关信息。</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（4）过程管理要求：所有运维工作全程留痕，问题处置闭环管理，外包方每两周向局方汇报项目推进情况，突发事件第一时间上报。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4、团队配置要求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（1）项目管理团队：由局方负责人、信息化科室人员及外包单位项目负责人共同组成，负责项目整体统筹、进度监督、文档审核及验收交付工作。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执行团队：外包单位配置项目经理1名，下设实施组、安全组、培训组，实施组负责安全监测、事件处置与监督，安全组负责常态化安全运维与优化建议输出，培训组负责开展网络安全意识与技能培训，团队需7*24小时待命响应各类安全事件。</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60</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rPr>
        <w:t xml:space="preserve">2026</w:t>
      </w:r>
      <w:r>
        <w:rPr>
          <w:rFonts w:hint="eastAsia" w:ascii="宋体" w:hAnsi="宋体" w:eastAsia="宋体" w:cs="宋体"/>
          <w:b/>
          <w:bCs/>
          <w:sz w:val="24"/>
          <w:szCs w:val="24"/>
          <w:lang w:eastAsia="zh-CN"/>
        </w:rPr>
        <w:t xml:space="preserve">年“数字滨湖”软件平台一期项目商用密码应用安全性评估与数据安全评估服务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运维期限：12个月（2026年9月1日-2027年8月31日）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服务使用单位：无锡市滨湖区数据局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numPr>
          <w:ilvl w:val="0"/>
          <w:numId w:val="32"/>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目标为保障数字底座和大数据中心系统通过等保测评，满足国家网络安全等级保护标准，完成公安部门备案；建立7×24小时安全监测机制，防范安全事件；达到测评报告交付及时率≥95%、安全漏洞整改建议采纳率≥90%、用户满意度≥95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次2026年数字滨湖”软件平台一期项目商用密码应用安全性评估与数据安全评估服务，包括数字滨湖一期项目-数字底座和大数据中心进行商用密码应用安全性评估，数字滨湖一期项目进行数据安全风险评估。具体内容如下：</w:t>
      </w:r>
      <w:r/>
    </w:p>
    <w:p>
      <w:pPr>
        <w:numPr>
          <w:ilvl w:val="0"/>
          <w:numId w:val="33"/>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测评系统范围</w:t>
      </w:r>
      <w:r/>
    </w:p>
    <w:p>
      <w:pPr>
        <w:ind w:left="42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本次参与测评的系统：</w:t>
      </w:r>
      <w:r/>
    </w:p>
    <w:tbl>
      <w:tblPr>
        <w:tblStyle w:val="779"/>
        <w:tblW w:w="94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98"/>
        <w:gridCol w:w="2576"/>
        <w:gridCol w:w="1460"/>
        <w:gridCol w:w="1576"/>
        <w:gridCol w:w="1460"/>
        <w:gridCol w:w="1460"/>
      </w:tblGrid>
      <w:tr>
        <w:trPr>
          <w:jc w:val="center"/>
          <w:tblHeader/>
        </w:trPr>
        <w:tc>
          <w:tcPr>
            <w:shd w:val="clear" w:color="auto" w:fill="auto"/>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系统名称</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系统数量</w:t>
            </w:r>
            <w:r/>
          </w:p>
        </w:tc>
        <w:tc>
          <w:tcPr>
            <w:shd w:val="clear" w:color="auto" w:fill="auto"/>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服务内容</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服务时间</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服务地点</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数字滨湖一期项目-数字底座和大数据中心</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商用密码应用安全性评估</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2026年</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现场服务+远程服务</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数字滨湖一期项目-数字底座和大数据中心</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商用密码应用安全性评估</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2027年</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现场服务+远程服务</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数字滨湖一期项目</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数据安全风险评估</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2026年</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现场服务+远程服务</w:t>
            </w:r>
            <w:r/>
          </w:p>
        </w:tc>
      </w:tr>
    </w:tbl>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（二）商用密码应用安全性测评要求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(1)密码技术应用测评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主要包括物理安全密码测评、网络安全密码测评、主机安全密码测评、应用安全密码测评、数据安全及备份恢复密码测评。测评验证不同安全等级信息系统的商用密码应用是否达到具有相应安全等级的安全保护能力，是否满足相应安全等级的保护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(2)密钥管理测评。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检测信息系统密钥管理各环节，包括对密钥的生成、存储、分发、导入、导出、使用、备份、恢复、归档与销毁等环节进行管理和策略制定的全过程是否符合要求。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(3)安全管理测评。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对制度、人员、实施和应急等四个方面安全管理的测评，并指导采购人完善商用密码应用安全性管理制度以及和商用密码相关的系统运维管理制度。</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(4)形成密码应用安全性评估相关报告。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针对每个被评估系统编制密码应用安全性评估报告，报告按照国家密码管理局要求包含的内容编制或参考模板编制。协助被评估单位认清风险，查找漏洞，找出差距，提出有针对性的加强完善密码安全管理和防护建议，指导并督促采购人现场信息系统供应商按照要求改进进行整改落实。</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（三）数据安全评估要求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(1)数据处理活动分析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依据被评估单位实际业务情况与安全需求，识别被评估单位数据处理活动（包括数据收集、存储、使用、加工、传输、提供等）及各处理活动对应的数据名称、类别、级别、规模、处理方式和方式、使用范围、涉及的接收方及数据载体情况等，形成重要数据的《数据处理活动分析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(2)合规性评估</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依据相关法律法规、标准文件对数据处理活动的正当必要性、基础性安全管理情况（覆盖安全管理制度、组织机构、人员保障、数据分类分级、权限管理、系统与设备安全管理、供应链数据安全管理等方面）、数据全生命周期安全管理情况进行评估，形成合规性评估结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(3)综合安全风险分析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在合规性评估的结果基础上，进一步进行风险源识别、安全影响分析，并最终进行综合风险研判，形成量化的安全风险等级，给出总体评估结论，编制形成《数据安全风险评估报告》。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(4)数据安全风险评估整改咨询服务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测评过程中和测评结束后，协助建设单位对已识别到的风险进行整改，提供整改意见和风险复测，保障整改过程顺利有效推进。</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(5)数据安全回归性测试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对数据安全整改后的情况进行回归性测试，验证数据安全防护措施的有效性以及数据安全管理体系的安全性与合规性，确保数据安全防护水平得到切实提高。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(6)形成数据安全风险评估报告。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针对每个被评估系统编制数据安全风险评估报告，发现数据面临的安全隐患，针对性地提出整改意见。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（1）合规性要求：严格遵循国家等保标准及相关法律法规，确保测评流程合规、结果准确。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（2）响应时效要求：评估过程中发现的安全问题及时反馈，接到整改复测需求1小时内响应，对用户咨询24小时内答复。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（3）服务质量要求：达到测评报告交付及时率≥95%、安全漏洞整改建议采纳率≥90%、用户满意度≥95分。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（4）安全保密要求：签订保密协议，严格保护测评过程中涉及的敏感信息，运维日志保存不少于180天。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（5）流程规范要求：落实三权分立机制，关键操作双人复核，仅授予测评团队受限访问权限。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3、团队配置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（1）项目领导小组组长：1名，统筹协调项目所需的各类资源，审定项目重大决策、应急预案及年度计划。</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（2）项目管理组组长：1名，制定项目实施细则、进度计划，与外包执行团队对接日常工作，监督评估工作合规性、进度及质量。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（3）管理组组员：2-3名，负责资料收发、整理归档，跟踪项目进度并做好记录，协助组织工作例会、专题会议。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（4）外包服务项目经理：1名，具备5年以上密评或数据安全评估项目管理经验，持有相关高级资质证书，统筹外包执行团队开展评估工作。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（5）密码应用评估工程师：≥2名，熟悉GB/T39786-2021标准，具备密码应用评估实操能力，持有密评相关资质证书。</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（6）数据安全评估工程师：≥2名，熟悉《江苏省数据安全风险评估规范（试行）》，具备数据安全风险识别、分析能力。</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服务单位需建立7×24小时响应机制；评估工程师按需赴现场开展测评工作，接到用户需求或安全事件通知后及时响应处置，确保项目按计划推进。</w:t>
      </w:r>
      <w:r/>
    </w:p>
    <w:p>
      <w:pPr>
        <w:pStyle w:val="770"/>
        <w:numPr>
          <w:ilvl w:val="0"/>
          <w:numId w:val="8"/>
        </w:numPr>
        <w:ind w:left="0" w:firstLine="480"/>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eastAsia="zh-CN"/>
        </w:rPr>
        <w:t xml:space="preserve">数据服务类项目服务内容及需求</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61</w:t>
      </w:r>
      <w:r>
        <w:rPr>
          <w:rFonts w:hint="eastAsia" w:ascii="宋体" w:hAnsi="宋体" w:eastAsia="宋体" w:cs="宋体"/>
          <w:b/>
          <w:bCs/>
          <w:sz w:val="24"/>
          <w:szCs w:val="24"/>
          <w:lang w:eastAsia="zh-CN"/>
        </w:rPr>
        <w:t xml:space="preserve">：滨湖区手机</w:t>
      </w:r>
      <w:r>
        <w:rPr>
          <w:rFonts w:hint="eastAsia" w:ascii="宋体" w:hAnsi="宋体" w:eastAsia="宋体" w:cs="宋体"/>
          <w:b/>
          <w:bCs/>
          <w:sz w:val="24"/>
          <w:szCs w:val="24"/>
          <w:lang w:val="en-US"/>
        </w:rPr>
        <w:t xml:space="preserve">APP</w:t>
      </w:r>
      <w:r>
        <w:rPr>
          <w:rFonts w:hint="eastAsia" w:ascii="宋体" w:hAnsi="宋体" w:eastAsia="宋体" w:cs="宋体"/>
          <w:b/>
          <w:bCs/>
          <w:sz w:val="24"/>
          <w:szCs w:val="24"/>
          <w:lang w:eastAsia="zh-CN"/>
        </w:rPr>
        <w:t xml:space="preserve">访问数据服务采购（</w:t>
      </w:r>
      <w:r>
        <w:rPr>
          <w:rFonts w:hint="eastAsia" w:ascii="宋体" w:hAnsi="宋体" w:eastAsia="宋体" w:cs="宋体"/>
          <w:b/>
          <w:bCs/>
          <w:sz w:val="24"/>
          <w:szCs w:val="24"/>
          <w:lang w:val="en-US"/>
        </w:rPr>
        <w:t xml:space="preserve">2026</w:t>
      </w:r>
      <w:r>
        <w:rPr>
          <w:rFonts w:hint="eastAsia" w:ascii="宋体" w:hAnsi="宋体" w:eastAsia="宋体" w:cs="宋体"/>
          <w:b/>
          <w:bCs/>
          <w:sz w:val="24"/>
          <w:szCs w:val="24"/>
          <w:lang w:eastAsia="zh-CN"/>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运维期限：7个月（2027年2月1日-2027年8月31日）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服务使用单位：无锡市滨湖区公安分局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通过独立的第三方云推送平台，提供的移动消息服务SDK支持Android、iOS、MACOS、WinPhone等主流移动操作系统。通过被集成可为各类应用APP提供免费推送通知、消息等服务。</w:t>
      </w:r>
      <w:r/>
    </w:p>
    <w:tbl>
      <w:tblPr>
        <w:tblStyle w:val="77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00"/>
        <w:gridCol w:w="1355"/>
        <w:gridCol w:w="6167"/>
      </w:tblGrid>
      <w:tr>
        <w:trPr>
          <w:jc w:val="center"/>
          <w:tblHeader/>
        </w:trPr>
        <w:tc>
          <w:tcPr>
            <w:shd w:val="clear" w:color="auto" w:fill="auto"/>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分项名称</w:t>
            </w:r>
            <w:r/>
          </w:p>
        </w:tc>
        <w:tc>
          <w:tcPr>
            <w:shd w:val="clear" w:color="auto" w:fill="auto"/>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功能指标</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特定行政区域标签设备查询提取</w:t>
            </w:r>
            <w:r/>
          </w:p>
        </w:tc>
        <w:tc>
          <w:tcPr>
            <w:shd w:val="clear" w:color="auto" w:fill="auto"/>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可以通过标签组合提取符合相关组合区域条件的全量设备，包含设备四码、常住地（省市区县等）、设备品牌、型号、系统语言、设备标签、设备WiFi、设备机卡记录、设备IP、设备轨迹（GPS轨迹、WiFi轨迹、IP轨迹、基站轨迹）、设备APP（APP名称、APP包名、最早安装时间、最近上报时间、安装状态）等信息。</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设备轨迹查询提取</w:t>
            </w:r>
            <w:r/>
          </w:p>
        </w:tc>
        <w:tc>
          <w:tcPr>
            <w:shd w:val="clear" w:color="auto" w:fill="auto"/>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设备通过wifi、ip、基站、gps关联的轨迹信息提取。</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设备WiFi查询提取</w:t>
            </w:r>
            <w:r/>
          </w:p>
        </w:tc>
        <w:tc>
          <w:tcPr>
            <w:shd w:val="clear" w:color="auto" w:fill="auto"/>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设备近半年WiFi信息主要包含设备品牌、设备IMEI、设备MAC、PHONE、IMSI、常住地、WiFi名称、WiFimac、关联时间、关联类型（连接、扫描）等，通过对此类信息的实时监控，为公共安全部门提供相应的办案线索支撑。</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35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设备IP查询提取</w:t>
            </w:r>
            <w:r/>
          </w:p>
        </w:tc>
        <w:tc>
          <w:tcPr>
            <w:shd w:val="clear" w:color="auto" w:fill="auto"/>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设备近半年IP信息主要包含设备品牌、设备IMEI、设备MAC、PHONE、IMSI、常住地、关联时间等。</w:t>
            </w:r>
            <w:r/>
          </w:p>
        </w:tc>
      </w:tr>
    </w:tbl>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（1）长期技术咨询和系统支持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对现有系统改进的要求，提供新技术咨询，为更新改进原有系统提供建议。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（2）技术服务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在系统对接过程中，对每个模块给予技术说明，并且嵌入程序中，以便于使用者方便查找。</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为保障系统的正常运行，定期上门对整个系统给予安全测试维护，并且对重要数据给予备份。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（3）软件的升级服务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各种系统软件在质保期内提供免费升级服务，提供系统升级后的最新软件版本。</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（4）系统运行优化指导服务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在系统使用过程中不断优化系统性能,提高业务开展质量。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（5）新应用开展指导服务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根据系统特点，充分结合具体需求，提出新业务开展的指导性建议。</w:t>
      </w:r>
      <w:r/>
    </w:p>
    <w:p>
      <w:pPr>
        <w:ind w:left="42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（1）数据对接运维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1）完成设备标签信息、轨迹位置信息、APP应用信息、WiFi信息、IP信息等全量数据的采集、整理与推送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2）每日对推送数据进行校验，确保数据准确性、完整性</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（2）常规运维服务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1）提供7*24小时线上技术咨询与系统支持，针对数据使用问题及时答复解决</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2）定期对数据服务系统进行安全测试维护，对重要数据进行备份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3）质保期内提供系统软件升级服务，结合用户需求提供系统运行优化、新业务开展指导建议</w:t>
      </w:r>
      <w:r/>
    </w:p>
    <w:p>
      <w:pPr>
        <w:ind w:left="42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（1）响应时效要求：日常问题分钟级监测，1小时内专业人员响应，1天内解决，7*24小时线上服务；线上无法解决的问题24小时内安排技术人员到场支撑</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（2）安全保密要求：严格遵守《中华人民共和国保守国家秘密法》等相关法律法规，双方签订保密协议，项目涉及的所有数据、技术参数等涉密信息仅用于本项目，不得向第三方泄露，违约方承担全部经济损失</w:t>
      </w:r>
      <w:r/>
    </w:p>
    <w:p>
      <w:pPr>
        <w:ind w:left="42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4.团队配置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本次项目采用数据推送服务模式，将数据定期进行推送。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提供专业的运行维护和技术支持本地团队，配置云计算、网络、存储、安全等方面的专业运维工程师和架构设计师。</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62</w:t>
      </w:r>
      <w:r>
        <w:rPr>
          <w:rFonts w:hint="eastAsia" w:ascii="宋体" w:hAnsi="宋体" w:eastAsia="宋体" w:cs="宋体"/>
          <w:b/>
          <w:bCs/>
          <w:sz w:val="24"/>
          <w:szCs w:val="24"/>
          <w:lang w:eastAsia="zh-CN"/>
        </w:rPr>
        <w:t xml:space="preserve">：企业征信工具数据服务采购（</w:t>
      </w:r>
      <w:r>
        <w:rPr>
          <w:rFonts w:hint="eastAsia" w:ascii="宋体" w:hAnsi="宋体" w:eastAsia="宋体" w:cs="宋体"/>
          <w:b/>
          <w:bCs/>
          <w:sz w:val="24"/>
          <w:szCs w:val="24"/>
          <w:lang w:val="en-US"/>
        </w:rPr>
        <w:t xml:space="preserve">2026</w:t>
      </w:r>
      <w:r>
        <w:rPr>
          <w:rFonts w:hint="eastAsia" w:ascii="宋体" w:hAnsi="宋体" w:eastAsia="宋体" w:cs="宋体"/>
          <w:b/>
          <w:bCs/>
          <w:sz w:val="24"/>
          <w:szCs w:val="24"/>
          <w:lang w:eastAsia="zh-CN"/>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运维期限：9个月（2026年12月1日-2027年8月31日）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服务使用单位：无锡市滨湖区公安分局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numPr>
          <w:ilvl w:val="0"/>
          <w:numId w:val="34"/>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整合全量企业信息及董监高法人员，完整覆盖中国境内所有企业，根据涉案人身份信息查询名下公司，对企业基本信息</w:t>
      </w:r>
      <w:r>
        <w:rPr>
          <w:rFonts w:hint="eastAsia" w:ascii="宋体" w:hAnsi="宋体" w:eastAsia="宋体" w:cs="宋体"/>
          <w:sz w:val="24"/>
          <w:szCs w:val="24"/>
          <w:lang w:val="en-US" w:eastAsia="zh-CN" w:bidi="ar"/>
        </w:rPr>
        <w:t xml:space="preserve">、关联公司、资质荣誉、历史变革、人才需求、能力评价、知识产权、违法违规、经营行为、新闻资讯等100余项情报数据进行清洗、加工、融合、分类和关联。通过董监高法身份信息，可快速查阅其名下关联所有企业，包括但不限于担任法人、高管对外投资、最终受益企业、实际控制企业，协助干警找出全部有关线索。将数据、图谱、事业时间轴相结合，可利用性大大增加。利用合作次数计算权重的方式，提供董监高法的事业伙伴，使隐密关联得以放大。可根据企业信息反查董监高法身份信息，此功能适合各警种应用，快捷、高效、准确，不再面临目标对象重名的困扰。</w:t>
      </w:r>
      <w:r/>
    </w:p>
    <w:tbl>
      <w:tblPr>
        <w:tblStyle w:val="779"/>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79"/>
        <w:gridCol w:w="7243"/>
      </w:tblGrid>
      <w:tr>
        <w:trPr>
          <w:jc w:val="center"/>
          <w:tblHeader/>
        </w:trPr>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功能模块</w:t>
            </w:r>
            <w:r/>
          </w:p>
        </w:tc>
        <w:tc>
          <w:tcPr>
            <w:shd w:val="clear" w:color="auto" w:fill="auto"/>
            <w:tcBorders>
              <w:top w:val="single" w:color="000000" w:sz="4" w:space="0"/>
              <w:left w:val="single" w:color="000000" w:sz="4" w:space="0"/>
              <w:bottom w:val="single" w:color="000000" w:sz="4" w:space="0"/>
              <w:right w:val="single" w:color="000000" w:sz="4" w:space="0"/>
            </w:tcBorders>
            <w:tcW w:w="724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技术规格</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企业查询</w:t>
            </w:r>
            <w:r/>
          </w:p>
        </w:tc>
        <w:tc>
          <w:tcPr>
            <w:shd w:val="clear" w:color="auto" w:fill="auto"/>
            <w:tcBorders>
              <w:top w:val="single" w:color="000000" w:sz="4" w:space="0"/>
              <w:left w:val="single" w:color="000000" w:sz="4" w:space="0"/>
              <w:bottom w:val="single" w:color="000000" w:sz="4" w:space="0"/>
              <w:right w:val="single" w:color="000000" w:sz="4" w:space="0"/>
            </w:tcBorders>
            <w:tcW w:w="724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对企业工商注册信息、变更基本信息、风险信息等100余项情报数据进行清洗、加工、融合、分类和关联</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人员查询</w:t>
            </w:r>
            <w:r/>
          </w:p>
        </w:tc>
        <w:tc>
          <w:tcPr>
            <w:shd w:val="clear" w:color="auto" w:fill="auto"/>
            <w:tcBorders>
              <w:top w:val="single" w:color="000000" w:sz="4" w:space="0"/>
              <w:left w:val="single" w:color="000000" w:sz="4" w:space="0"/>
              <w:bottom w:val="single" w:color="000000" w:sz="4" w:space="0"/>
              <w:right w:val="single" w:color="000000" w:sz="4" w:space="0"/>
            </w:tcBorders>
            <w:tcW w:w="724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董监高法人员信息双向查询及其周边企业关联关系</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开户行查询</w:t>
            </w:r>
            <w:r/>
          </w:p>
        </w:tc>
        <w:tc>
          <w:tcPr>
            <w:shd w:val="clear" w:color="auto" w:fill="auto"/>
            <w:tcBorders>
              <w:top w:val="single" w:color="000000" w:sz="4" w:space="0"/>
              <w:left w:val="single" w:color="000000" w:sz="4" w:space="0"/>
              <w:bottom w:val="single" w:color="000000" w:sz="4" w:space="0"/>
              <w:right w:val="single" w:color="000000" w:sz="4" w:space="0"/>
            </w:tcBorders>
            <w:tcW w:w="724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企业对公账户开户行双向、批量查询</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族谱分析</w:t>
            </w:r>
            <w:r/>
          </w:p>
        </w:tc>
        <w:tc>
          <w:tcPr>
            <w:shd w:val="clear" w:color="auto" w:fill="auto"/>
            <w:tcBorders>
              <w:top w:val="single" w:color="000000" w:sz="4" w:space="0"/>
              <w:left w:val="single" w:color="000000" w:sz="4" w:space="0"/>
              <w:bottom w:val="single" w:color="000000" w:sz="4" w:space="0"/>
              <w:right w:val="single" w:color="000000" w:sz="4" w:space="0"/>
            </w:tcBorders>
            <w:tcW w:w="724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协助快速分析1家企业的多层周边关系</w:t>
            </w:r>
            <w:r/>
          </w:p>
        </w:tc>
      </w:tr>
      <w:tr>
        <w:trPr>
          <w:jc w:val="center"/>
          <w:trHeight w:val="1605"/>
        </w:trPr>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关联分析与探寻</w:t>
            </w:r>
            <w:r/>
          </w:p>
        </w:tc>
        <w:tc>
          <w:tcPr>
            <w:shd w:val="clear" w:color="auto" w:fill="auto"/>
            <w:tcBorders>
              <w:top w:val="single" w:color="000000" w:sz="4" w:space="0"/>
              <w:left w:val="single" w:color="000000" w:sz="4" w:space="0"/>
              <w:bottom w:val="single" w:color="000000" w:sz="4" w:space="0"/>
              <w:right w:val="single" w:color="000000" w:sz="4" w:space="0"/>
            </w:tcBorders>
            <w:tcW w:w="724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多目标关联关系分析，6种复杂网络分析模型6种，32.4亿个节点，65.8亿条关系，构建了最为完整的企业社交关系和企业复杂关系网</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集群分析</w:t>
            </w:r>
            <w:r/>
          </w:p>
        </w:tc>
        <w:tc>
          <w:tcPr>
            <w:shd w:val="clear" w:color="auto" w:fill="auto"/>
            <w:tcBorders>
              <w:top w:val="single" w:color="000000" w:sz="4" w:space="0"/>
              <w:left w:val="single" w:color="000000" w:sz="4" w:space="0"/>
              <w:bottom w:val="single" w:color="000000" w:sz="4" w:space="0"/>
              <w:right w:val="single" w:color="000000" w:sz="4" w:space="0"/>
            </w:tcBorders>
            <w:tcW w:w="724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案件涉及多个目标对象时，平台可分析不超过100个人和企业，秒级出报告，除人员和企业的基本分析外，空壳公司分析和关联分析给诸多干警提供便携服务。千万级数据库不仅可以关联已掌握线索，而且可将未掌握的企业线索一并关联</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辖区监管</w:t>
            </w:r>
            <w:r/>
          </w:p>
        </w:tc>
        <w:tc>
          <w:tcPr>
            <w:shd w:val="clear" w:color="auto" w:fill="auto"/>
            <w:tcBorders>
              <w:top w:val="single" w:color="000000" w:sz="4" w:space="0"/>
              <w:left w:val="single" w:color="000000" w:sz="4" w:space="0"/>
              <w:bottom w:val="single" w:color="000000" w:sz="4" w:space="0"/>
              <w:right w:val="single" w:color="000000" w:sz="4" w:space="0"/>
            </w:tcBorders>
            <w:tcW w:w="724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平台具有1000+的维度指标，分析人员可以利用服务平台预置方案中涉诉纠纷、虚开发票风险、洗钱风险、传销风险、非法集资风险、走私风险、侵权风险、金融诈骗、注册空壳公司风险等对某一行业、某一区域企业进行态势研判</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监控</w:t>
            </w:r>
            <w:r/>
          </w:p>
        </w:tc>
        <w:tc>
          <w:tcPr>
            <w:shd w:val="clear" w:color="auto" w:fill="auto"/>
            <w:tcBorders>
              <w:top w:val="single" w:color="000000" w:sz="4" w:space="0"/>
              <w:left w:val="single" w:color="000000" w:sz="4" w:space="0"/>
              <w:bottom w:val="single" w:color="000000" w:sz="4" w:space="0"/>
              <w:right w:val="single" w:color="000000" w:sz="4" w:space="0"/>
            </w:tcBorders>
            <w:tcW w:w="724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案件研判过程中，可实现对涉案企业、涉及风险企业及企业相关人员批量添加监控其风险动态(司法风险、工商风险、监管风险、经营风险),以及舆情动态(企业信用、政府监察、机构监管、企业经营、企业管理、抵押担保等)的监控</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报告下载</w:t>
            </w:r>
            <w:r/>
          </w:p>
        </w:tc>
        <w:tc>
          <w:tcPr>
            <w:shd w:val="clear" w:color="auto" w:fill="auto"/>
            <w:tcBorders>
              <w:top w:val="single" w:color="000000" w:sz="4" w:space="0"/>
              <w:left w:val="single" w:color="000000" w:sz="4" w:space="0"/>
              <w:bottom w:val="single" w:color="000000" w:sz="4" w:space="0"/>
              <w:right w:val="single" w:color="000000" w:sz="4" w:space="0"/>
            </w:tcBorders>
            <w:tcW w:w="724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平台支持各个模块的数据导出服务，包括工商数据的全量字短信息，方便干警在移动桌面二次加工进行分析</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数据更新</w:t>
            </w:r>
            <w:r/>
          </w:p>
        </w:tc>
        <w:tc>
          <w:tcPr>
            <w:shd w:val="clear" w:color="auto" w:fill="auto"/>
            <w:tcBorders>
              <w:top w:val="single" w:color="000000" w:sz="4" w:space="0"/>
              <w:left w:val="single" w:color="000000" w:sz="4" w:space="0"/>
              <w:bottom w:val="single" w:color="000000" w:sz="4" w:space="0"/>
              <w:right w:val="single" w:color="000000" w:sz="4" w:space="0"/>
            </w:tcBorders>
            <w:tcW w:w="724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企业征信增量数据T+1更新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小程序</w:t>
            </w:r>
            <w:r/>
          </w:p>
        </w:tc>
        <w:tc>
          <w:tcPr>
            <w:shd w:val="clear" w:color="auto" w:fill="auto"/>
            <w:tcBorders>
              <w:top w:val="single" w:color="000000" w:sz="4" w:space="0"/>
              <w:left w:val="single" w:color="000000" w:sz="4" w:space="0"/>
              <w:bottom w:val="single" w:color="000000" w:sz="4" w:space="0"/>
              <w:right w:val="single" w:color="000000" w:sz="4" w:space="0"/>
            </w:tcBorders>
            <w:tcW w:w="724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企业查询、人员查询、开户行查询</w:t>
            </w:r>
            <w:r/>
          </w:p>
        </w:tc>
      </w:tr>
    </w:tbl>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（1）长期技术咨询和系统支持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提供新技术咨询，为更新改进原有系统提供建议。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（2）技术服务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对于系统的使用技术服务，对每个模块使用说明给予解释，并且嵌入程序中，以便于使用者方便查找。</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为保障系统的正常运行，定期上门对整个系统给予安全测试维护，并且对重要数据给予备份。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（3）软件的升级服务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对系统软件在质保期内提供免费升级服务，提供系统升级后的最新软件版本。</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（4）系统运行优化指导服务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根据本系统的特点，在系统使用过程中不断优化系统性能,提高业务开展质量。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（5）新应用开展指导服务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充分结合具体需求，提出新业务开展的指导性建议。</w:t>
      </w:r>
      <w:r/>
    </w:p>
    <w:p>
      <w:pPr>
        <w:numPr>
          <w:ilvl w:val="0"/>
          <w:numId w:val="34"/>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（1）响应时效要求：日常问题分钟级监测，1小时内专业人员响应，1天内解决，7*24小时线上服务；线上无法解决的问题24小时内安排技术人员到场支撑。</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（2）安全</w:t>
      </w:r>
      <w:r>
        <w:rPr>
          <w:rFonts w:hint="eastAsia" w:ascii="宋体" w:hAnsi="宋体" w:eastAsia="宋体" w:cs="宋体"/>
          <w:sz w:val="24"/>
          <w:szCs w:val="24"/>
          <w:lang w:val="en-US" w:eastAsia="zh-CN" w:bidi="ar"/>
        </w:rPr>
        <w:t xml:space="preserve">保密要求：严格遵守《中华人民共和国保守国家秘密法》《科学技术保密规定》《计算机软件保护条例》《商用密码管理条例》等相关法律法规，双方签订保密协议，项目涉及的商务信息、售前交流文档、过程文档、收集文档、交付物、数据资源等所有涉密信息仅用于本项目，不得向第三方泄露，确因法律需求需向有关部门披露的，需提前书面告知对方并获得书面许可；违约方承担全部经济损失，赔偿额按甲方实际损失或违约方所得收益（含第三方因泄密获得的收益）的较高者计算，若涉密信息完全公开的需赔偿全部价值，同时承担甲方调查及处置侵害行为产生的合理费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规范管理要求：供应商需建立完备运维管理体系，针对数据服务维护、运维操作、应急管理等流程制定标准规范并持续优化；建立事件管理、问题管理、变更管理、资产管理等服务管理机制，明确项目组织管理措施，确保运维团队稳定、服务有效。</w:t>
      </w:r>
      <w:r/>
    </w:p>
    <w:p>
      <w:pPr>
        <w:numPr>
          <w:ilvl w:val="0"/>
          <w:numId w:val="34"/>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团队配置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本次项目采用平台服务模式访问企业数据。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供应商应提供专业的运行维护和技术支持本地团队，配置云计算、网络、存储、安全等方面的专业运维工程师和架构设计师。</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63</w:t>
      </w:r>
      <w:r>
        <w:rPr>
          <w:rFonts w:hint="eastAsia" w:ascii="宋体" w:hAnsi="宋体" w:eastAsia="宋体" w:cs="宋体"/>
          <w:b/>
          <w:bCs/>
          <w:sz w:val="24"/>
          <w:szCs w:val="24"/>
          <w:lang w:eastAsia="zh-CN"/>
        </w:rPr>
        <w:t xml:space="preserve">：数字战警</w:t>
      </w:r>
      <w:r>
        <w:rPr>
          <w:rFonts w:hint="eastAsia" w:ascii="宋体" w:hAnsi="宋体" w:eastAsia="宋体" w:cs="宋体"/>
          <w:b/>
          <w:bCs/>
          <w:sz w:val="24"/>
          <w:szCs w:val="24"/>
          <w:lang w:val="en-US"/>
        </w:rPr>
        <w:t xml:space="preserve">AI</w:t>
      </w:r>
      <w:r>
        <w:rPr>
          <w:rFonts w:hint="eastAsia" w:ascii="宋体" w:hAnsi="宋体" w:eastAsia="宋体" w:cs="宋体"/>
          <w:b/>
          <w:bCs/>
          <w:sz w:val="24"/>
          <w:szCs w:val="24"/>
          <w:lang w:eastAsia="zh-CN"/>
        </w:rPr>
        <w:t xml:space="preserve">机器人数据服务项目（</w:t>
      </w:r>
      <w:r>
        <w:rPr>
          <w:rFonts w:hint="eastAsia" w:ascii="宋体" w:hAnsi="宋体" w:eastAsia="宋体" w:cs="宋体"/>
          <w:b/>
          <w:bCs/>
          <w:sz w:val="24"/>
          <w:szCs w:val="24"/>
          <w:lang w:val="en-US"/>
        </w:rPr>
        <w:t xml:space="preserve">2026</w:t>
      </w:r>
      <w:r>
        <w:rPr>
          <w:rFonts w:hint="eastAsia" w:ascii="宋体" w:hAnsi="宋体" w:eastAsia="宋体" w:cs="宋体"/>
          <w:b/>
          <w:bCs/>
          <w:sz w:val="24"/>
          <w:szCs w:val="24"/>
          <w:lang w:eastAsia="zh-CN"/>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运维期限：8个月（2027年1月1日-2027年8月31日）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服务使用单位：无锡市滨湖区公安分局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numPr>
          <w:ilvl w:val="0"/>
          <w:numId w:val="35"/>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通过建设反诈数字战警平台，实现国反平台预警数据实时获取、任务智能派发、银行账户快速查询、涉案资金保护性自动止付及异常行为监测预警等核心功能。平台建成后将以全天候无间断模式支撑反诈实战工作，通过引入AI数字警员替代民辅警重复性工作，每个数字警员对应一名真实民警，通过岗位技能深度学习，在民警监管授权下使用PKI认证操作各警务系统，所有操作全程留痕可回溯。核心目标是有效释放基层警力，实现警务工作减负增效与技战法创新，构建智能化反诈工作新格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（1）预警数据归集场景</w:t>
      </w:r>
      <w:r>
        <w:rPr>
          <w:rFonts w:hint="eastAsia" w:ascii="宋体" w:hAnsi="宋体" w:eastAsia="宋体" w:cs="宋体"/>
          <w:sz w:val="24"/>
          <w:szCs w:val="24"/>
          <w:lang w:val="en-US" w:eastAsia="zh-CN" w:bidi="ar"/>
        </w:rPr>
        <w:tab/>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实时自动从无锡公安智慧侦查办案平台读取下发的预警数据，提取后归档入库，去除重复、重复预警周期重置、清除无效的数据。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（2）指定银行账号查询场景</w:t>
      </w:r>
      <w:r>
        <w:rPr>
          <w:rFonts w:hint="eastAsia" w:ascii="宋体" w:hAnsi="宋体" w:eastAsia="宋体" w:cs="宋体"/>
          <w:sz w:val="24"/>
          <w:szCs w:val="24"/>
          <w:lang w:val="en-US" w:eastAsia="zh-CN" w:bidi="ar"/>
        </w:rPr>
        <w:tab/>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对受害人名下指定的28家银行账号及云闪付获取的银行账号提交查询申请。</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（3）当日保护性止付场景</w:t>
      </w:r>
      <w:r>
        <w:rPr>
          <w:rFonts w:hint="eastAsia" w:ascii="宋体" w:hAnsi="宋体" w:eastAsia="宋体" w:cs="宋体"/>
          <w:sz w:val="24"/>
          <w:szCs w:val="24"/>
          <w:lang w:val="en-US" w:eastAsia="zh-CN" w:bidi="ar"/>
        </w:rPr>
        <w:tab/>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对无锡指挥侦查办案平台下发的，当日需要止付的账号进行优先止付操作，基于辅警账号自动实现国反平台登录、提交待止付账号信息、上传止付文书、选择经办民警及提交止付申请。</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（4）全量保护性止付场景</w:t>
      </w:r>
      <w:r>
        <w:rPr>
          <w:rFonts w:hint="eastAsia" w:ascii="宋体" w:hAnsi="宋体" w:eastAsia="宋体" w:cs="宋体"/>
          <w:sz w:val="24"/>
          <w:szCs w:val="24"/>
          <w:lang w:val="en-US" w:eastAsia="zh-CN" w:bidi="ar"/>
        </w:rPr>
        <w:tab/>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根据受害人名下的指定银行账号及云闪付获取的银行账号在国家反诈平台中进行全量保护性止付操作。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（5）循环止付场景</w:t>
      </w:r>
      <w:r>
        <w:rPr>
          <w:rFonts w:hint="eastAsia" w:ascii="宋体" w:hAnsi="宋体" w:eastAsia="宋体" w:cs="宋体"/>
          <w:sz w:val="24"/>
          <w:szCs w:val="24"/>
          <w:lang w:val="en-US" w:eastAsia="zh-CN" w:bidi="ar"/>
        </w:rPr>
        <w:tab/>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对受害人相关银行卡账号进行指定次数的循环止付，一般以止付15次为基准，对受害者账户连续止付31天。基于辅警账号自动实现平台登录、提交待止付账号、上传止付文书、选择责任民警及提交止付申请，并记录止付时间、止付次数。</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（6）自动审核场景</w:t>
      </w:r>
      <w:r>
        <w:rPr>
          <w:rFonts w:hint="eastAsia" w:ascii="宋体" w:hAnsi="宋体" w:eastAsia="宋体" w:cs="宋体"/>
          <w:sz w:val="24"/>
          <w:szCs w:val="24"/>
          <w:lang w:val="en-US" w:eastAsia="zh-CN" w:bidi="ar"/>
        </w:rPr>
        <w:tab/>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对查询指定银行的银行卡、提交保护性止付两种场景申请进行自动审核。</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（7）追逃人员比对场景</w:t>
      </w:r>
      <w:r>
        <w:rPr>
          <w:rFonts w:hint="eastAsia" w:ascii="宋体" w:hAnsi="宋体" w:eastAsia="宋体" w:cs="宋体"/>
          <w:sz w:val="24"/>
          <w:szCs w:val="24"/>
          <w:lang w:val="en-US" w:eastAsia="zh-CN" w:bidi="ar"/>
        </w:rPr>
        <w:tab/>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从全国刑侦综合应用系统下载在逃人员照片，分别上传至全国公安部视频图像信息综合应用平台、云鉴系统进行人像比对，筛选相似度大于85%的人员。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（8）布控人员在逃情况筛选场景</w:t>
      </w:r>
      <w:r>
        <w:rPr>
          <w:rFonts w:hint="eastAsia" w:ascii="宋体" w:hAnsi="宋体" w:eastAsia="宋体" w:cs="宋体"/>
          <w:sz w:val="24"/>
          <w:szCs w:val="24"/>
          <w:lang w:val="en-US" w:eastAsia="zh-CN" w:bidi="ar"/>
        </w:rPr>
        <w:tab/>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从无锡感知平台的预警信息中导出匹配度大于一定阈值的人员名单，通过在在逃库中搜索名单中的身份证，筛选该人员是否在逃或已撤网。</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（9）回流人员预警场景</w:t>
      </w:r>
      <w:r>
        <w:rPr>
          <w:rFonts w:hint="eastAsia" w:ascii="宋体" w:hAnsi="宋体" w:eastAsia="宋体" w:cs="宋体"/>
          <w:sz w:val="24"/>
          <w:szCs w:val="24"/>
          <w:lang w:val="en-US" w:eastAsia="zh-CN" w:bidi="ar"/>
        </w:rPr>
        <w:tab/>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根据提供的人员信息EXCEL，通过身份证在云搜查询人员的全部轨迹记录，最新的铁路售票记录（排除退票记录）、出入境记录、民航离港记录和旅客信息记录更新至EXCEL中。</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（10）多系统查询人员信息</w:t>
      </w:r>
      <w:r>
        <w:rPr>
          <w:rFonts w:hint="eastAsia" w:ascii="宋体" w:hAnsi="宋体" w:eastAsia="宋体" w:cs="宋体"/>
          <w:sz w:val="24"/>
          <w:szCs w:val="24"/>
          <w:lang w:val="en-US" w:eastAsia="zh-CN" w:bidi="ar"/>
        </w:rPr>
        <w:tab/>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通过云智达、云搜、云图搜、一眼多维感知平台、部交管系统、云镜、慧眼识车、部视综平台查询人员信息并汇总查询结果。（具体以分局实际查询权限为准）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（11）嫌疑人涉诈账户关联关系分析</w:t>
      </w:r>
      <w:r>
        <w:rPr>
          <w:rFonts w:hint="eastAsia" w:ascii="宋体" w:hAnsi="宋体" w:eastAsia="宋体" w:cs="宋体"/>
          <w:sz w:val="24"/>
          <w:szCs w:val="24"/>
          <w:lang w:val="en-US" w:eastAsia="zh-CN" w:bidi="ar"/>
        </w:rPr>
        <w:tab/>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根据制定规则逻辑在相关系统中分析出嫌疑人涉诈账户相关联账户，用于研判分析。</w:t>
      </w:r>
      <w:r/>
    </w:p>
    <w:p>
      <w:pPr>
        <w:numPr>
          <w:ilvl w:val="0"/>
          <w:numId w:val="35"/>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应用服务性能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（1）在网络稳定的环境下，登录、录入、修改、删除等事务性操作平均响应时间&lt;2秒；单笔记录查询平均响应时间&lt;=2秒；统计或大数据量查询，单笔统计的平均响应时间&lt;=5秒；</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（2）支持正常情况下约500个同时在线、500个并发访问的性能要求，平均响应时间&lt;=3秒</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（3）7*24不停机运行。平台需要7*24小时不停机运行，系统维护、数据维护等工作必须在线执行。平均年故障时间＜1天，平均故障修复时间＜60分钟，并应建设应急响应预案。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（4）系统构件化设计，面向对象，可做到灵活扩展，分布式部署。系统采用三层架构体系，充分考虑到以后纵向和横向的发展在网络稳定的环境下操作性界面的系统响应时间均要求小于2秒；</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（5）应具有较强的系统扩展能力，可以通过增加服务器资源应对高并发需求。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基本性能：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（1）系统总体可用率&gt;99.99%%，数据库应用可用率&gt;=99.99%%，WEB应用可用率&gt;=99.99%%。（或7×24小时不间断运行）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（2）在100M局域网环境下进行增、删、改业务（不含大对象数据类型）响应时间在3秒以内。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（3）在100M局域网环境下查询操作的响应时间要求在3秒以内。（4）系统支持同时在线数500左右，并发用户数500左右。</w:t>
      </w:r>
      <w:r/>
    </w:p>
    <w:p>
      <w:pPr>
        <w:numPr>
          <w:ilvl w:val="0"/>
          <w:numId w:val="35"/>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团队配置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成立项目领导小组，下设办公室、项目管理机构、建设机构、运行维护机构，全面负责项目重大事项决策、建设目标确定、建设方案审查、项目实施组织、进度监督、考核管理等工作，项目办公室负责立项申报、经费管理、协调对接、人员培训、技术管理等日常实施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配置熟悉公安反诈业务、具备AI系统运维经验的专业运维团队，配备专属售后、售前支撑人员提供全周期服务，对人员录用、离岗、考核、培训统一管理，各专业岗位定员定岗，具备高效运维、故障处置与系统持续优化的技术能力。</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64</w:t>
      </w:r>
      <w:r>
        <w:rPr>
          <w:rFonts w:hint="eastAsia" w:ascii="宋体" w:hAnsi="宋体" w:eastAsia="宋体" w:cs="宋体"/>
          <w:b/>
          <w:bCs/>
          <w:sz w:val="24"/>
          <w:szCs w:val="24"/>
          <w:lang w:eastAsia="zh-CN"/>
        </w:rPr>
        <w:t xml:space="preserve">：滨湖区政务新媒体测评服务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运维期限：12个月（2026年9月1日-2027年8月31日）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服务使用单位：无锡市滨湖区人民政府办公室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bookmarkStart w:id="205" w:name="OLE_LINK5"/>
      <w:r/>
      <w:bookmarkStart w:id="206" w:name="OLE_LINK6"/>
      <w:r>
        <w:rPr>
          <w:rFonts w:hint="eastAsia" w:ascii="宋体" w:hAnsi="宋体" w:eastAsia="宋体" w:cs="宋体"/>
          <w:sz w:val="24"/>
          <w:szCs w:val="24"/>
          <w:lang w:val="en-US" w:eastAsia="zh-CN" w:bidi="ar"/>
        </w:rPr>
        <w:t xml:space="preserve">1、运维内容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本项目为无锡市滨湖区政务新媒体提供检测运维服务，服务覆盖</w:t>
      </w:r>
      <w:r>
        <w:rPr>
          <w:rFonts w:hint="eastAsia" w:ascii="宋体" w:hAnsi="宋体" w:eastAsia="宋体" w:cs="宋体"/>
          <w:sz w:val="24"/>
          <w:szCs w:val="24"/>
          <w:lang w:val="en-US" w:eastAsia="zh-CN" w:bidi="ar"/>
        </w:rPr>
        <w:t xml:space="preserve">区政府办公室备案的所有</w:t>
      </w:r>
      <w:r>
        <w:rPr>
          <w:rFonts w:hint="eastAsia" w:ascii="宋体" w:hAnsi="宋体" w:eastAsia="宋体" w:cs="宋体"/>
          <w:sz w:val="24"/>
          <w:szCs w:val="24"/>
          <w:lang w:val="en-US" w:eastAsia="zh-CN" w:bidi="ar"/>
        </w:rPr>
        <w:t xml:space="preserve">政务新媒体账号,截至目前共有29个账号。项目严格遵照《国务院办公厅关于推进政务新媒体健康有序发展的意见》《江苏省政务新媒体考核管理办法》《无锡市政务新媒体测评标准》规范开展</w:t>
      </w:r>
      <w:bookmarkStart w:id="207" w:name="OLE_LINK7"/>
      <w:r/>
      <w:bookmarkStart w:id="208" w:name="OLE_LINK8"/>
      <w:r>
        <w:rPr>
          <w:rFonts w:hint="eastAsia" w:ascii="宋体" w:hAnsi="宋体" w:eastAsia="宋体" w:cs="宋体"/>
          <w:sz w:val="24"/>
          <w:szCs w:val="24"/>
          <w:lang w:val="en-US" w:eastAsia="zh-CN" w:bidi="ar"/>
        </w:rPr>
        <w:t xml:space="preserve">运维</w:t>
      </w:r>
      <w:bookmarkEnd w:id="207"/>
      <w:r/>
      <w:bookmarkEnd w:id="208"/>
      <w:r>
        <w:rPr>
          <w:rFonts w:hint="eastAsia" w:ascii="宋体" w:hAnsi="宋体" w:eastAsia="宋体" w:cs="宋体"/>
          <w:sz w:val="24"/>
          <w:szCs w:val="24"/>
          <w:lang w:val="en-US" w:eastAsia="zh-CN" w:bidi="ar"/>
        </w:rPr>
        <w:t xml:space="preserve">检测。严格贴合国办、省、市政务新媒体检查要求开展测评，经过检测与修复后，杜绝否决项出现，减少扣分项，保障滨湖区在各级政务新媒体抽查、检测中全部达标，确保政务新媒体发布信息内容安全准确。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故障处理时间要求： </w:t>
      </w:r>
      <w:r/>
    </w:p>
    <w:tbl>
      <w:tblPr>
        <w:tblStyle w:val="779"/>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58"/>
        <w:gridCol w:w="1558"/>
        <w:gridCol w:w="2535"/>
        <w:gridCol w:w="2868"/>
      </w:tblGrid>
      <w:tr>
        <w:trPr>
          <w:jc w:val="center"/>
          <w:tblHeader/>
        </w:trPr>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故障级别</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远程响应</w:t>
            </w:r>
            <w:r/>
          </w:p>
        </w:tc>
        <w:tc>
          <w:tcPr>
            <w:shd w:val="clear" w:color="auto" w:fill="auto"/>
            <w:tcBorders>
              <w:top w:val="single" w:color="auto" w:sz="4" w:space="0"/>
              <w:left w:val="single" w:color="auto" w:sz="4" w:space="0"/>
              <w:bottom w:val="single" w:color="auto" w:sz="4" w:space="0"/>
              <w:right w:val="single" w:color="auto" w:sz="4" w:space="0"/>
            </w:tcBorders>
            <w:tcW w:w="2535"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现场响应</w:t>
            </w:r>
            <w:r/>
          </w:p>
        </w:tc>
        <w:tc>
          <w:tcPr>
            <w:shd w:val="clear" w:color="auto" w:fill="auto"/>
            <w:tcBorders>
              <w:top w:val="single" w:color="auto" w:sz="4" w:space="0"/>
              <w:left w:val="single" w:color="auto" w:sz="4" w:space="0"/>
              <w:bottom w:val="single" w:color="auto" w:sz="4" w:space="0"/>
              <w:right w:val="single" w:color="auto" w:sz="4" w:space="0"/>
            </w:tcBorders>
            <w:tcW w:w="2868"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故障解决时间</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普通故障</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立即响应</w:t>
            </w:r>
            <w:r/>
          </w:p>
        </w:tc>
        <w:tc>
          <w:tcPr>
            <w:shd w:val="clear" w:color="auto" w:fill="auto"/>
            <w:tcBorders>
              <w:top w:val="single" w:color="auto" w:sz="4" w:space="0"/>
              <w:left w:val="single" w:color="auto" w:sz="4" w:space="0"/>
              <w:bottom w:val="single" w:color="auto" w:sz="4" w:space="0"/>
              <w:right w:val="single" w:color="auto" w:sz="4" w:space="0"/>
            </w:tcBorders>
            <w:tcW w:w="2535"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2小时内到现场</w:t>
            </w:r>
            <w:r/>
          </w:p>
        </w:tc>
        <w:tc>
          <w:tcPr>
            <w:shd w:val="clear" w:color="auto" w:fill="auto"/>
            <w:tcBorders>
              <w:top w:val="single" w:color="auto" w:sz="4" w:space="0"/>
              <w:left w:val="single" w:color="auto" w:sz="4" w:space="0"/>
              <w:bottom w:val="single" w:color="auto" w:sz="4" w:space="0"/>
              <w:right w:val="single" w:color="auto" w:sz="4" w:space="0"/>
            </w:tcBorders>
            <w:tcW w:w="2868"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到达现场后&lt;3小时</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重大故障</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立即响应</w:t>
            </w:r>
            <w:r/>
          </w:p>
        </w:tc>
        <w:tc>
          <w:tcPr>
            <w:shd w:val="clear" w:color="auto" w:fill="auto"/>
            <w:tcBorders>
              <w:top w:val="single" w:color="auto" w:sz="4" w:space="0"/>
              <w:left w:val="single" w:color="auto" w:sz="4" w:space="0"/>
              <w:bottom w:val="single" w:color="auto" w:sz="4" w:space="0"/>
              <w:right w:val="single" w:color="auto" w:sz="4" w:space="0"/>
            </w:tcBorders>
            <w:tcW w:w="2535"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1小时内到现场</w:t>
            </w:r>
            <w:r/>
          </w:p>
        </w:tc>
        <w:tc>
          <w:tcPr>
            <w:shd w:val="clear" w:color="auto" w:fill="auto"/>
            <w:tcBorders>
              <w:top w:val="single" w:color="auto" w:sz="4" w:space="0"/>
              <w:left w:val="single" w:color="auto" w:sz="4" w:space="0"/>
              <w:bottom w:val="single" w:color="auto" w:sz="4" w:space="0"/>
              <w:right w:val="single" w:color="auto" w:sz="4" w:space="0"/>
            </w:tcBorders>
            <w:tcW w:w="2868"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到达现场后&lt;2小时</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特大故障</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立即响应</w:t>
            </w:r>
            <w:r/>
          </w:p>
        </w:tc>
        <w:tc>
          <w:tcPr>
            <w:shd w:val="clear" w:color="auto" w:fill="auto"/>
            <w:tcBorders>
              <w:top w:val="single" w:color="auto" w:sz="4" w:space="0"/>
              <w:left w:val="single" w:color="auto" w:sz="4" w:space="0"/>
              <w:bottom w:val="single" w:color="auto" w:sz="4" w:space="0"/>
              <w:right w:val="single" w:color="auto" w:sz="4" w:space="0"/>
            </w:tcBorders>
            <w:tcW w:w="2535"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30分钟内到现场</w:t>
            </w:r>
            <w:r/>
          </w:p>
        </w:tc>
        <w:tc>
          <w:tcPr>
            <w:shd w:val="clear" w:color="auto" w:fill="auto"/>
            <w:tcBorders>
              <w:top w:val="single" w:color="auto" w:sz="4" w:space="0"/>
              <w:left w:val="single" w:color="auto" w:sz="4" w:space="0"/>
              <w:bottom w:val="single" w:color="auto" w:sz="4" w:space="0"/>
              <w:right w:val="single" w:color="auto" w:sz="4" w:space="0"/>
            </w:tcBorders>
            <w:tcW w:w="2868"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到达现场后&lt;1小时</w:t>
            </w:r>
            <w:r/>
          </w:p>
        </w:tc>
      </w:tr>
    </w:tbl>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tabs>
          <w:tab w:val="left" w:pos="312" w:leader="none"/>
        </w:tabs>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本项目核心工作为区政务新媒体常态化合规检测、问题核查、整改复核闭环管理，具体工作流程如下：</w:t>
      </w:r>
      <w:r/>
    </w:p>
    <w:p>
      <w:pPr>
        <w:pStyle w:val="799"/>
        <w:ind w:left="0" w:right="0" w:firstLine="480"/>
        <w:jc w:val="both"/>
        <w:keepLines w:val="0"/>
        <w:keepNext w:val="0"/>
        <w:spacing w:before="0" w:beforeAutospacing="0" w:after="57"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标准化测评核查。测评人员对照《政务新媒体自查自纠表》及《政务新媒体运行情况评估指标》中的每一项指标，逐项开展合规性核查，一旦发现不符合评分细则的问题，需立即完成四项核心操作：一是对问题场景进行截图留存，确保证据可视化；二是准确记录问题对应网址（如为平台功能类问题则标注功能模块）；三是详细描述问题具体表现、发生位置及关联指标项；四是依据评分细则明确对应扣分/加分额度、单项否决情形等关键信息，确保记录要素完整、可追溯。</w:t>
      </w:r>
      <w:r/>
    </w:p>
    <w:p>
      <w:pPr>
        <w:pStyle w:val="799"/>
        <w:ind w:left="0" w:right="0" w:firstLine="480"/>
        <w:jc w:val="both"/>
        <w:keepLines w:val="0"/>
        <w:keepNext w:val="0"/>
        <w:spacing w:before="0" w:beforeAutospacing="0" w:after="57"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多层级审核复核。审核人员对测评人员提交的全部指标数据、问题记录及佐证材料进行逐一项复核。重点核查问题判定是否符合评分细则、扣分/加分额度是否准确、佐证材料是否完整有效、记录信息是否清晰规范。若发现数据不完善、判定依据不充分、佐证材料缺失等情况，立即将该指标项发回测评人员重新核查补正，直至符合复核标准。</w:t>
      </w:r>
      <w:r/>
    </w:p>
    <w:p>
      <w:pPr>
        <w:pStyle w:val="799"/>
        <w:ind w:left="0" w:right="0" w:firstLine="480"/>
        <w:jc w:val="both"/>
        <w:keepLines w:val="0"/>
        <w:keepNext w:val="0"/>
        <w:spacing w:before="0" w:beforeAutospacing="0" w:after="57"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问题整改闭环复查。当所有指标的测评与审核工作全部完成后，运维团队将及时导出标准化测评报表，同步提交至滨湖区政府信息中心，供其对照指标开展问题整改。整改周期设定为两个工作日，整改期满后，检测公司将依据原指标体系开展专项复查，重点核查整改完成情况、未整改问题的原因说明及后续优化措施，形成复查结果报告并反馈至滨湖区政府信息中心，确保问题整改闭环、运维服务落地见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（1）响应时效：7*24小时全天候响应，严重违规问题发现后立即电话告知甲方，1小时内协助完成处置。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安全保密：所有运维人员上岗前签订保密承诺书，严禁泄露政务新媒体检测数据、问题信息、账号后台权限等内容，所有检测数据仅用于本项目工作，项目结束后全部数据移交甲方，不得留存任何副本，严禁利用检测数据谋取私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（3）质量管控：所有检测结果准确率100%，无漏检、误检情况，政务新媒体每月定期检测，并出具检测报告。更新检测每天检测，并实时提醒。甲方提出的临时检测需求及时出具检测结果。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w:t>
      </w:r>
      <w:bookmarkStart w:id="209" w:name="OLE_LINK4"/>
      <w:r>
        <w:rPr>
          <w:rFonts w:hint="eastAsia" w:ascii="宋体" w:hAnsi="宋体" w:eastAsia="宋体" w:cs="宋体"/>
          <w:sz w:val="24"/>
          <w:szCs w:val="24"/>
          <w:lang w:val="en-US" w:eastAsia="zh-CN" w:bidi="ar"/>
        </w:rPr>
        <w:t xml:space="preserve">考核要求：围绕每日巡检、月度测评和专人对接执行，一是开展每日巡检，做到按时更新及互动回应巡检，确保报告报送及时、提醒到位；二是落实月度测评，严格按照规定指标实现测评全覆盖，保证每份报告格式规范、内容完整、要素无遗漏；三是实行专人专项对接，高效响应业务诉求，及时对接反馈额外工作需求。若出现服务遗漏、报告失实、响应滞后等重大问题，将根据情节轻重依规退赔相应项目资金。</w:t>
      </w:r>
      <w:bookmarkEnd w:id="209"/>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4、团队配置要求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（1）管理团队：由区政府信息中心配置项目负责人1名、对接专员1名，负责日常需求对接、考核组织、整改督办、验收工作；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服务团队：配置项目总负责人1名，具备3年以上政务新媒体检测服务经验，熟悉各级监管要求，负责项目整体统筹、对接汇报；配置专职检测专员4名，均通过政务内容安全培训合格，2名负责日常检测，2名负责报告复核及整改跟进；所有人员无违法违纪记录，审查合格后上岗。</w:t>
      </w:r>
      <w:bookmarkEnd w:id="205"/>
      <w:r/>
      <w:bookmarkEnd w:id="206"/>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65</w:t>
      </w:r>
      <w:r>
        <w:rPr>
          <w:rFonts w:hint="eastAsia" w:ascii="宋体" w:hAnsi="宋体" w:eastAsia="宋体" w:cs="宋体"/>
          <w:b/>
          <w:bCs/>
          <w:sz w:val="24"/>
          <w:szCs w:val="24"/>
          <w:lang w:eastAsia="zh-CN"/>
        </w:rPr>
        <w:t xml:space="preserve">：滨湖区政府网站检测服务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运维期限：12个月（2026年9月1日-2027年8月31日）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服务使用单位：无锡市滨湖区人民政府办公室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运维对象为无锡市滨湖区人民政府网站，运维目标为对网站信息发布及时性、内容准确性、功能可用性、互动有效性及功能设计合理性开展全维度监测，及时发现网站运行短板，加强网站日常维护，全面提升信息内容质量，降低信息错误率、减少内容缺失量，畅通互动交流渠道，提升网站服务能力和公众满意度，达标国家、省、市对政府网站建设维护的相关要求，避免在上级检测抽查中出现不合格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服务期内，项目实施计划如下：</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鉴于全市政府网站季度监测于每季度第一个月开展，计划于每季度第三个月开展下一季度网站监测，即每年的3月1日--3月30日、6月1日--6月30日、9月1日--9月30日、12月1日--12月31日安排对区政府网站开展1次人工核查和1次自动检测（通过自动化工具对网站的断链、错链、暗链和严重表述错误进行检测），具体监测开展日期可根据实际工作需求确定。</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每季度网站监测工作开始后十个工作日内，结合人工核查和自动检测情况，出具网站问题报告书（含错误类别、栏目路径、网址链接、截图、情况说明等），并在网站问题整改、优化完善的过程中，提供答疑释惑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（3）在网站日常维护工作中，对网站建设、网站监测进行答疑释惑。</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（1）按照国家和省级政府网站监测工作相关要求制定标准化检查标准、操作流程和记录模板，严格遵循权威性、专业性、标准化、持续性原则开展监测工作。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（2）每季度开展一次网站监测，其中2次采用国务院办公厅秘书局《政府网站检查指标》、2次采用省政府办公厅季度监测指标实施，监测指标根据国家、省、市最新要求动态调整。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监测分为自动检测和人工核查两部分，自动检测采用专业政府网站自动监测软件，开展站点可用性检测、断链错链暗链检测、严重表述错误检测、反动暴力色情等违规内容链接检测，自动定位问题位置并生成检测结果；人工核查严格对照对应指标体系逐项核验网站发布解读、办事服务、互动交流、功能设计等全维度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（4）结合自动检测和人工核查结果编制网站问题报告书，明确错误类别、栏目路径、网址链接、截图及情况说明，提出针对性整改建议。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（5）为网站日常运维、问题整改提供全程答疑咨询服务，对整改情况开展复检。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（6）配合甲方做好项目全过程管理、进度反馈、质量考核相关工作。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（1）人员资质要求：项目实施方需组建专属项目实施小组，项目管理人员、项目实施成员均为实施单位正式员工，有人员调整需及时公开新配置人员信息。</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实施进度要求：需制定详细项目实施计划及工作日程表，明确每季度监测工作完成时限，经甲方审定后严格执行，按节点主动反馈工作进度，如期保质交付工作成果，指标调整或计划变动需与甲方协商确认后调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服务质量要求：监测工作需全面细致，不得出现报告缺失、问题疏漏，不得转包分包项目，若因监测不到位导致网站存在的严重问题未被发现，造成网站在上级监测中被通报或产生其他不良影响的，需承担相应责任。</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4.团队配置要求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项目实施方需就无锡市滨湖区人民政府网站监测服务项目成立专门的项目实施小组，公开项目小组架构、人员资质和工作分工，小组成员均应对政府网站建设有较深的理解。若项目小组成员有调整，调整完成后及时公开新的项目人员配置信息。</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66</w:t>
      </w:r>
      <w:r>
        <w:rPr>
          <w:rFonts w:hint="eastAsia" w:ascii="宋体" w:hAnsi="宋体" w:eastAsia="宋体" w:cs="宋体"/>
          <w:b/>
          <w:bCs/>
          <w:sz w:val="24"/>
          <w:szCs w:val="24"/>
          <w:lang w:eastAsia="zh-CN"/>
        </w:rPr>
        <w:t xml:space="preserve">：滨湖区教育系统新媒体群以及网站群检测服务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运维期限：12个月（2026年9月1日-2027年8月31日）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服务使用单位：无锡市滨湖区教育局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本项目为全区教育系统新媒体平台提供专项内容安全监测服务，聚焦于对已发布内容的专业检测与监督，不涉及平台建设与系统开发、内容编辑与制作、日常运维管理、制度建设与管理、硬件设施维护等工作。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监测对象包括：对2个区级平台（“无锡滨湖教育”微信公众号、网站）和114个学校平台（60个微信公众号、54个网站）的发布内容进行专业化的检查、预警与监督。</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实时敏感词扫描与预警（如对政治性表述错误、涉密信息、违法违规内容等进行实时监测）、内容合规性自动评分（如依据政务新媒体管理规范，对发布内容进行合规性评估等）、互动响应监测与提醒（如对留言、评论等互动内容进行监测，发现敏感内容及时预警等）、可视化报告生成与错误定位（如自动生成包含问题内容、错误类型、具体位置的可视化报告等）、专项检测项目支持（如严重政治性表述错误检测、国家秘密泄漏风险识别、反动、暴力、色情等违规内容监测、错别字及不规范用语识别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应用系统维护：（1）智能监测系统：保障系统7×24小时稳定运行，支持全区教育系统所有在运营新媒体平台的内容抓取与扫描；（2）报告管理系统：按月/季度生成内容风险监测报告，支持按单位、平台、错误类型分类统计；（3）预警通知系统：实现内容更新提醒、敏感内容预警、互动超时提醒等功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信息资源维护：（1）敏感词库维护：每月更新不少于一次，支持自定义词条添加；（2）历史数据管理：完整保存全年监测数据，支持追溯与比对分析。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微信公众号需每月开展1次内容监测；网站每季度开展1次全面监测；历史内容每月抽样复查，形成常态化监测机制。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需建立“监测—反馈—整改—复核”的全流程闭环管理机制，确保发现问题及时推送至责任单位，督促整改并跟踪复核结果，实现风险防控的全程可追溯、可验证；需具备7×24小时应急响应能力，对突发舆情、重大内容风险等情况，确保在30分钟内启动应急响应程序，实现风险早发现、早预警、早处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每月1份微信公众号内容监测报告；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每季度1份网站全面监测报告。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3、团队配置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（1）外包服务团队：系统运维工程师（1人）：负责监测系统日常维护；内容审核专员（2人）：负责人工复核与报告撰写；客户支持专员（1人）：负责问题响应与沟通协调。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（2）内部管理团队：项目负责人（1人）：统筹协调、监督执行、审核报告；各校平台管理员（各1人）：负责接收监测报告、组织整改并反馈结果。</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67</w:t>
      </w:r>
      <w:r>
        <w:rPr>
          <w:rFonts w:hint="eastAsia" w:ascii="宋体" w:hAnsi="宋体" w:eastAsia="宋体" w:cs="宋体"/>
          <w:b/>
          <w:bCs/>
          <w:sz w:val="24"/>
          <w:szCs w:val="24"/>
          <w:lang w:eastAsia="zh-CN"/>
        </w:rPr>
        <w:t xml:space="preserve">：网络舆情（视频类）监测分析系统运维项目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运维期限：12个月（2026年9月1日—2027年8月31日）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服务使用单位：无锡市滨湖区委宣传部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通过使用舆情监测系统，来实现对全网平台，如网站、论坛、贴吧、社交媒体等平台的舆情信息监测、分析工作，帮助贵单位解决全网平台舆情监测的重点、难点问题，其主要在以下方面协助贵单位舆情工作开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在重点突出舆情发现方面：首先，系统对指定用户信息进行监测，因在互联网平台中存在多个发声平台和用户，通过这个功能，可以帮助各舆情监测人员在系统中同时监测多个网络虚拟用户言论信息，无需再去各个平台查看。其次，开展主题监测，对社交网络、今日头条、微信公众号等重点舆情平台的中文图文信息进行识别转换，同时，系统能够对关键词进行归纳整理，形成地域、领域等标签监测的功能，通过标签实现对指定地域、领域的舆情信息进行监测，如“#滨湖区”和“#维稳”即可对有关滨湖区维稳的舆情信息包括：上访、维权、实名举报等，进行快速监测。</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然后，系统对论坛、贴吧、门户网站、微信公众号以及社交媒体等平台进行全面覆盖，比如针对人民网开展专项监测，只需要在系统中指定该网站，再配合关注的敏感关键词（如：#people.com.cn恶势力），即可对人民网中与恶势力有关的信息进行监测。</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系统需要通过标签的方式实现对领导人负面信息进行监测。</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在重点突出舆情速报和预警方面：在监测到有疑似造谣、恶意诽谤等信息时，不仅需要通过系统的速报功能将重要舆情信息发送到用户微信中，还需要在系统中可以通过新消息、只看负面消息、关键词二次告警、隐私曝光和群体聚焦事件告警功能，来实现弹窗、微信、邮箱等多种方式预警，及时通知相关人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在舆情分析方面：需要对舆情信息多角度、多层次分析，比如舆情发展态势、舆情事件话题演化、舆情事件溯源、传播路径、社交关系分析、重点网民等深度分析功能，为了解事件脉络，找到关键人物提供帮助，为正确舆论引导，提供数据和分析依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在舆情报告方面：提供舆情报告，可供查看阅读，包括热点舆情报告、专题报告和AI智能报告。除此之外，还支持对监测的事件一键生成报告模板，帮助用户了解社情民意、把握舆情动向、对突发事件做出快速响应和处理，维护政府形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按照业务工作需求，系统以简要的文字、列表和图表等形式（包括统计图表和数据表格，如总量图、趋势图等；数据表格是对舆情信息的数理统计，以数字的形式记录各项数据）进行展现，生成舆情简报。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系统功能实时监测新闻网站、论坛、博客、视频网站、社交媒体、微信公众号、新闻客户端、网络数字报、百科、问答等互联网媒体，社交媒体数据更新频率达到秒级，网页数据更新频率达到分钟级。支持元搜索，可以将来自百度、360等搜索引擎的数据引入系统数据中，可以通过在线代理的方式实现对国外网站的访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（1）日常监测：系统支持根据用户设定的地域智能推荐本地的舆情、本地及全国乃至全球的突发事件和热门事件，此外，根据用户浏览历史，提供个性化推荐内容。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业务分类信息监测：可自定义与业务相关的敏感信息关键词组合进行监测，包括涉及领导或个人、涉及本单位等，支持多种组合语法，实时推送需要重点关注的舆情信息。支持按照地域标签、行业标签、领域标签等标签对信息进行实时分类和推送。并支持标签查询，方便用户监测。</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事件监测：可针对关注的事件在互联网媒体上的传播进行全方位监测，自动对事件相关信息进行聚类，自动统计数据结果，并进行分类、归纳，提取网民或媒体的主要观点，便于及时掌握最新舆论动态，作出应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（4）重点对象监测：可针对网上重点监测的意见领袖、敏感人物以及本单位重点关注的人物，实时监测其所有相关的网上舆论信息，包括社交媒体、微信公众号、新闻文章、论坛发帖、博客文章信息等。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重点网站监测：可针对重点网站（包括新闻网站、移动客户端、视频网站等）进行全方位的实时监测，通过设置主题的方式，自动推送该网站需要重点关注的舆情信息，确保与业务相关的重要信息第一时间捕获。</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微信公众平台信息监测：可针对腾讯微信公众平台的内容进行监测，通过设置主题，自动推送微信公众平台需要重点关注的舆情信息，确保与业务相关的重要信息第一时间捕获。此外还可以针对单个公众号进行监测。</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（7）多语种监测及翻译：系统支持多语种主题、语种标签、小语种（藏语、维语、蒙语）监测，且通过系统内置翻译，可以将非简体中文语种信息翻译成简体中文，实现对非简体中文信息的监测。</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（8）搜一搜：系统支持搜一搜功能，可通过搜一搜进行创建主题前的关键词优化和临时性查询，并支持对信息进行快速分析。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（9）图文识别：系统支持社交媒体、微信公众号、今日头条等重点平台的敏感图文信息进行识别转换，协助用户对图片信息中包含的舆情信息进行甄别、监测。</w:t>
      </w:r>
      <w:r/>
    </w:p>
    <w:p>
      <w:pPr>
        <w:ind w:left="42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做好全年重点时间节点值班值守（实行24小时值班制度）。1小时内不及时响应，绩效考核扣1分。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做好日常值班值守（实行7*10小时值班制度）。未通过微信、电话等方式预警舆情，每超过1天，绩效考核扣1分。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一年提供舆情报告12份（含）以上，舆情分析报告每少1份，绩效考核扣1分。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开展支撑培训工作。每个季度未开展本地支撑、培训等工作，绩效考核扣3分。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具体需达到的目标如下：</w:t>
      </w:r>
      <w:r/>
    </w:p>
    <w:p>
      <w:pPr>
        <w:numPr>
          <w:ilvl w:val="0"/>
          <w:numId w:val="36"/>
        </w:numPr>
        <w:ind w:left="425" w:right="0" w:hanging="425"/>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系统可用性：90%</w:t>
      </w:r>
      <w:r/>
    </w:p>
    <w:p>
      <w:pPr>
        <w:numPr>
          <w:ilvl w:val="0"/>
          <w:numId w:val="36"/>
        </w:numPr>
        <w:ind w:left="425" w:right="0" w:hanging="425"/>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故障处理时间要求：</w:t>
      </w:r>
      <w:r/>
    </w:p>
    <w:tbl>
      <w:tblPr>
        <w:tblStyle w:val="77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58"/>
        <w:gridCol w:w="1558"/>
        <w:gridCol w:w="2536"/>
        <w:gridCol w:w="2870"/>
      </w:tblGrid>
      <w:tr>
        <w:trPr>
          <w:jc w:val="center"/>
          <w:tblHeader/>
        </w:trPr>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故障级别</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远程响应</w:t>
            </w:r>
            <w:r/>
          </w:p>
        </w:tc>
        <w:tc>
          <w:tcPr>
            <w:shd w:val="clear" w:color="auto" w:fill="auto"/>
            <w:tcBorders>
              <w:top w:val="single" w:color="auto" w:sz="4" w:space="0"/>
              <w:left w:val="single" w:color="auto" w:sz="4" w:space="0"/>
              <w:bottom w:val="single" w:color="auto" w:sz="4" w:space="0"/>
              <w:right w:val="single" w:color="auto" w:sz="4" w:space="0"/>
            </w:tcBorders>
            <w:tcW w:w="2536"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现场响应</w:t>
            </w:r>
            <w:r/>
          </w:p>
        </w:tc>
        <w:tc>
          <w:tcPr>
            <w:shd w:val="clear" w:color="auto" w:fill="auto"/>
            <w:tcBorders>
              <w:top w:val="single" w:color="auto" w:sz="4" w:space="0"/>
              <w:left w:val="single" w:color="auto" w:sz="4" w:space="0"/>
              <w:bottom w:val="single" w:color="auto" w:sz="4" w:space="0"/>
              <w:right w:val="single" w:color="auto" w:sz="4" w:space="0"/>
            </w:tcBorders>
            <w:tcW w:w="286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故障解决时间</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普通故障</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立即响应</w:t>
            </w:r>
            <w:r/>
          </w:p>
        </w:tc>
        <w:tc>
          <w:tcPr>
            <w:shd w:val="clear" w:color="auto" w:fill="auto"/>
            <w:tcBorders>
              <w:top w:val="single" w:color="auto" w:sz="4" w:space="0"/>
              <w:left w:val="single" w:color="auto" w:sz="4" w:space="0"/>
              <w:bottom w:val="single" w:color="auto" w:sz="4" w:space="0"/>
              <w:right w:val="single" w:color="auto" w:sz="4" w:space="0"/>
            </w:tcBorders>
            <w:tcW w:w="2536"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2小时内到现场</w:t>
            </w:r>
            <w:r/>
          </w:p>
        </w:tc>
        <w:tc>
          <w:tcPr>
            <w:shd w:val="clear" w:color="auto" w:fill="auto"/>
            <w:tcBorders>
              <w:top w:val="single" w:color="auto" w:sz="4" w:space="0"/>
              <w:left w:val="single" w:color="auto" w:sz="4" w:space="0"/>
              <w:bottom w:val="single" w:color="auto" w:sz="4" w:space="0"/>
              <w:right w:val="single" w:color="auto" w:sz="4" w:space="0"/>
            </w:tcBorders>
            <w:tcW w:w="286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到达现场后&lt;3小时</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重大故障</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立即响应</w:t>
            </w:r>
            <w:r/>
          </w:p>
        </w:tc>
        <w:tc>
          <w:tcPr>
            <w:shd w:val="clear" w:color="auto" w:fill="auto"/>
            <w:tcBorders>
              <w:top w:val="single" w:color="auto" w:sz="4" w:space="0"/>
              <w:left w:val="single" w:color="auto" w:sz="4" w:space="0"/>
              <w:bottom w:val="single" w:color="auto" w:sz="4" w:space="0"/>
              <w:right w:val="single" w:color="auto" w:sz="4" w:space="0"/>
            </w:tcBorders>
            <w:tcW w:w="2536"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1小时内到现场</w:t>
            </w:r>
            <w:r/>
          </w:p>
        </w:tc>
        <w:tc>
          <w:tcPr>
            <w:shd w:val="clear" w:color="auto" w:fill="auto"/>
            <w:tcBorders>
              <w:top w:val="single" w:color="auto" w:sz="4" w:space="0"/>
              <w:left w:val="single" w:color="auto" w:sz="4" w:space="0"/>
              <w:bottom w:val="single" w:color="auto" w:sz="4" w:space="0"/>
              <w:right w:val="single" w:color="auto" w:sz="4" w:space="0"/>
            </w:tcBorders>
            <w:tcW w:w="286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到达现场后&lt;2小时</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特大故障</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立即响应</w:t>
            </w:r>
            <w:r/>
          </w:p>
        </w:tc>
        <w:tc>
          <w:tcPr>
            <w:shd w:val="clear" w:color="auto" w:fill="auto"/>
            <w:tcBorders>
              <w:top w:val="single" w:color="auto" w:sz="4" w:space="0"/>
              <w:left w:val="single" w:color="auto" w:sz="4" w:space="0"/>
              <w:bottom w:val="single" w:color="auto" w:sz="4" w:space="0"/>
              <w:right w:val="single" w:color="auto" w:sz="4" w:space="0"/>
            </w:tcBorders>
            <w:tcW w:w="2536"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30分钟内到现场</w:t>
            </w:r>
            <w:r/>
          </w:p>
        </w:tc>
        <w:tc>
          <w:tcPr>
            <w:shd w:val="clear" w:color="auto" w:fill="auto"/>
            <w:tcBorders>
              <w:top w:val="single" w:color="auto" w:sz="4" w:space="0"/>
              <w:left w:val="single" w:color="auto" w:sz="4" w:space="0"/>
              <w:bottom w:val="single" w:color="auto" w:sz="4" w:space="0"/>
              <w:right w:val="single" w:color="auto" w:sz="4" w:space="0"/>
            </w:tcBorders>
            <w:tcW w:w="2869"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到达现场后&lt;1小时</w:t>
            </w:r>
            <w:r/>
          </w:p>
        </w:tc>
      </w:tr>
    </w:tbl>
    <w:p>
      <w:pPr>
        <w:numPr>
          <w:ilvl w:val="0"/>
          <w:numId w:val="36"/>
        </w:numPr>
        <w:ind w:left="425" w:right="0" w:hanging="425"/>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全年重点时间节点值班（24小时）。</w:t>
      </w:r>
      <w:r/>
    </w:p>
    <w:p>
      <w:pPr>
        <w:numPr>
          <w:ilvl w:val="0"/>
          <w:numId w:val="36"/>
        </w:numPr>
        <w:ind w:left="425" w:right="0" w:hanging="425"/>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日常值班时间：7*10（8:00-18:00）</w:t>
      </w:r>
      <w:r/>
    </w:p>
    <w:p>
      <w:pPr>
        <w:ind w:left="42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4、团队配置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为保障本单位信息系统正常运行，应成立运维管理团队和运维执行团队。</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统筹做好：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1）做好全年重点时间节点值班值守（实行24小时值班制度）。</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2）做好全年工作日常值班值守（实行7*10小时值班制度）。</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3）一年提供舆情报告12份以上。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（1）项目领导小组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为顺利实施本项目工作，拟成立滨湖区委宣传部网络舆情监测服务领导小组，统筹网络舆情服务工作。领导小组由网络管理股负责人以及涉及管理、商务、服务负责人组成。领导小组负责项目具体任务推进，并协调资源、推进整个项目如期部署。按不同的分工范围，领导组细分为管理团队、产品团队、商务团队、服务小组等，同步推进实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（2）产品工作组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主要负责与滨湖区委宣传部讨论需求，了解滨湖区委宣传部的使用场景。深度挖掘需求，根据要求完成产品规划，并提供产品介绍文档、操作手册等。与客户保持良好沟通，实时把握客户需求，定期保持沟通，了解使用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（3）运维工作组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运维团队负责提供培训和技术支持，以及系统问题的处理解决、系统优化、升级等，确保系统安全、顺畅运行，快速处理和解决系统故障，并逐步改善系统的运行效率。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（4）服务及支撑工作组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负责解答滨湖区委宣传部在使用过程中的疑问，保证服务的一致性和连续性。负责协助优化设置系统功能，随时在线解决用户在使用系统过程中的操作疑问和售后服务管理。</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68</w:t>
      </w:r>
      <w:r>
        <w:rPr>
          <w:rFonts w:hint="eastAsia" w:ascii="宋体" w:hAnsi="宋体" w:eastAsia="宋体" w:cs="宋体"/>
          <w:b/>
          <w:bCs/>
          <w:sz w:val="24"/>
          <w:szCs w:val="24"/>
          <w:lang w:eastAsia="zh-CN"/>
        </w:rPr>
        <w:t xml:space="preserve">：电子档案数据保全服务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运维期限：8个月（2027年1月1日-2027年8月31日）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服务使用单位：无锡市滨湖区档案史志馆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numPr>
          <w:ilvl w:val="0"/>
          <w:numId w:val="37"/>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本项目服务内容为对馆藏电子档</w:t>
      </w:r>
      <w:r>
        <w:rPr>
          <w:rFonts w:hint="eastAsia" w:ascii="宋体" w:hAnsi="宋体" w:eastAsia="宋体" w:cs="宋体"/>
          <w:sz w:val="24"/>
          <w:szCs w:val="24"/>
          <w:lang w:val="en-US" w:eastAsia="zh-CN" w:bidi="ar"/>
        </w:rPr>
        <w:t xml:space="preserve">案按照国家标准《DA/T 97-2023电子档案证据效力维护规范》要求开展档案数据固化、保全存储、第三方存证服务，核心目标为通过“管理+技术”手段，满足电子档案“真实性、完整性、可用性和安全性”的管理要求，有效维护电子档案证据价值，实现电子档案的长期安全保管。技术上以档案数据保全中心自研档案数据保全系统为依托，实现对档案数据的“实时监测、实时预警、实时保全、实施修复”功能；在硬件配置上采用在线存储服务器集群，动态监测数据状态；采用内部专网联控，实现对数据的日常管理；在数据安全上采用物理方式实现与内部专网的隔</w:t>
      </w:r>
      <w:r>
        <w:rPr>
          <w:rFonts w:hint="eastAsia" w:ascii="宋体" w:hAnsi="宋体" w:eastAsia="宋体" w:cs="宋体"/>
          <w:sz w:val="24"/>
          <w:szCs w:val="24"/>
          <w:lang w:val="en-US" w:eastAsia="zh-CN" w:bidi="ar"/>
        </w:rPr>
        <w:t xml:space="preserve">离，部署权限管理服务器配置权限表，锁定数据操作权限层级，采用磁盘管理系统实现交付数据的独立仓储；在数据可信性上，采用Hash函数采集数据包特征值，将特征值上传公证处区块链，实现第三方认证和验真。管理上以档案数据保全中心流程管理体系和工作指导说明文件为基础，依照国家档案局档案管理要求及最高法、公安部对电子证据采信、取证的规定实现对入库保全档案数据的证据性价值维系，形成电子档案数据保全整体性解决方案，对馆藏电子档案存量部分数据实现档案数据保全备份，采用数据保全模式实现电子档案“四性”管理，维护电子档案证据价值。</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本项目内容为对无锡市滨湖区档案史志馆馆藏电子档案按照国家标准《DA/T 97-2023电子档案证据效力维护规范》要求开展档案数据固化、保全存储、第三方存证服务。主要服务流程如下：</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（1）馆藏数据清库：无锡市滨湖区档案史志馆负责对待备份保全数据进行数据清点工作，清点数据总量及详单，保证档案数据及描述数据准确，关联性数据未失联。</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馆藏数据复制：档案数据保全中心可接受的数据中转介质为移动硬盘、机械硬盘、服务器硬盘。馆藏数据采用脱机备份模式进行复制，制作中转盘，复制完成后需检查数据完整性、准确性、安全性。馆藏数据复制可自行完成，亦可由保全中心工作人员协助完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（3）数据中转交验：档案数据保全中心在接到移交方联系后，根据地理区位与移交方沟通确定运输路线，并安排专人对数据进行押运。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（4）数据入库处理：数据在正式上链前，由中心技术人员进行数据拷贝、数据校验、数据备份、格式检测等入库处理工作。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（5）数据上链：数据入库处理完成后，由档案数据保全中心技术人员实施数据上链操作，经Hash运算工具同步生成特征值，并上传苏州公证区块链。数据上链完成后，双方签署《数据交接清单》。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（6）数据监管及例外情况处置：档案数据保全中心根据合同约定，依照移交方对数据分级管理要求，设置监控周期，实施日常数据监管。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数据调取：若移交方提出数据调取需求，由移交方携带数据调取证明文件，经身份验证后办理数据调取。档案数据保全中心对待调取数据所在的存储批次办理统一调出，并根据数据完整性校验值对调取数据原始性进行验证，形成数据验证结果证明随调取数据一并出库。</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（8）数据退出：移交方提出终止档案数据保全服务后，由双方见证共同办理数据退出手续，包括数据出库及验真、存储盘数据销毁（确有必要的实施物理处置）、出具数据退出安全性检测报告。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（9）技术方案中的系统功能保障：电子档案数据保全系统需实现数据入库、存证上链、周期化数据监测、自动化数据恢复、格式管理、数据调取、数据销毁等功能。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服务质量考核要求：档案数据量维度考核要求入库报表完整无遗漏，验收报表与入库报表核对一致；档案数据特征值维度考核要求合同到期前即时监测执行结果无异常；定期推送的保全结果维度考核要求服务期限内四个季度的监测报告无缺失，保全结果在每一季度结束后的次月内发送至指定联系人；服务流程维度考核要求严格遵守服务流程操作规范，各类服务记录（出入登记表、巡检表等）完整、准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技术服务要求：系统自动恢复数据异常3次失败后需立即通知管理员手动处置；数据上链、监测、恢复、调取、销毁全流程操作需符合系统规范，操作记录完整可追溯；数据保全系统需具备数据入库、存证上链、周期化数据监测、自动化数据恢复、格式管理、数据调取、数据销毁七大功能，满足全流程保全业务开展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合规安全要求：严格遵守档案管理相关法律法规及保密规定，对所有保全数据严格保密，不得泄露、复制、传播非授权获取的档案数据；技术操作需符合电子档案管理相关国家标准，保障电子档案“四性”符合管理要求，电子证据符合司法采信标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4、团队配置要求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（1）项目建设单位方团队：项目负责人负责整个项目沟通，以及数据入库保全前对待备份保全数据进行数据清点工作，清点数据总量及详单，保证档案数据及描述数据准确，关联性数据未失联。</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外包方团队：管理人员负责沟通数据保全方案，安排数据保全各个环节的人员及工作内容，确保各项档案数据保全措施得到有效执行；技术人员负责数据复制、数据中转交验、数据入库、数据上链、数据监管及例外情况处置、数据调取、数据销毁等技术操作，同时负责数据保全硬件设备检查及数据保全系统运维，具备扎实的技术基础和解决问题的能力，确保电子档案数据在存储、传输和处理过程中的安全性。</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69</w:t>
      </w:r>
      <w:r>
        <w:rPr>
          <w:rFonts w:hint="eastAsia" w:ascii="宋体" w:hAnsi="宋体" w:eastAsia="宋体" w:cs="宋体"/>
          <w:b/>
          <w:bCs/>
          <w:sz w:val="24"/>
          <w:szCs w:val="24"/>
          <w:lang w:eastAsia="zh-CN"/>
        </w:rPr>
        <w:t xml:space="preserve">：滨湖区乐采云采购系统数据服务运行维护项目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运维期限：12个月（2026年9月1日-2027年8月31日）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服务使用单位：无锡市滨湖区公共资源交易中心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numPr>
          <w:ilvl w:val="0"/>
          <w:numId w:val="38"/>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服务目标为保障乐采云采购系统持续、稳定、高效、安全运行，避免发生影响日常使用的重大故障或系统瘫痪，为全区公共资源采购全流程电子化提供技术支撑。核心量化指标为系统可用性不低于99.95%，全年单个应用失效时间累计不超过262.8分钟。</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故障处理时间要求：</w:t>
      </w:r>
      <w:r/>
    </w:p>
    <w:tbl>
      <w:tblPr>
        <w:tblStyle w:val="77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58"/>
        <w:gridCol w:w="1558"/>
        <w:gridCol w:w="2536"/>
        <w:gridCol w:w="2870"/>
      </w:tblGrid>
      <w:tr>
        <w:trPr>
          <w:jc w:val="center"/>
          <w:tblHeader/>
        </w:trPr>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bookmarkStart w:id="210" w:name="OLE_LINK83"/>
            <w:r/>
            <w:bookmarkStart w:id="211" w:name="OLE_LINK82"/>
            <w:r>
              <w:rPr>
                <w:rFonts w:hint="eastAsia" w:ascii="宋体" w:hAnsi="宋体" w:eastAsia="宋体" w:cs="宋体"/>
                <w:sz w:val="24"/>
                <w:szCs w:val="24"/>
                <w:lang w:val="en-US" w:eastAsia="zh-CN" w:bidi="ar"/>
              </w:rPr>
              <w:t xml:space="preserve">故障级别</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远程响应</w:t>
            </w:r>
            <w:r/>
          </w:p>
        </w:tc>
        <w:tc>
          <w:tcPr>
            <w:shd w:val="clear" w:color="auto" w:fill="auto"/>
            <w:tcBorders>
              <w:top w:val="single" w:color="auto" w:sz="4" w:space="0"/>
              <w:left w:val="single" w:color="auto" w:sz="4" w:space="0"/>
              <w:bottom w:val="single" w:color="auto" w:sz="4" w:space="0"/>
              <w:right w:val="single" w:color="auto" w:sz="4" w:space="0"/>
            </w:tcBorders>
            <w:tcW w:w="253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现场响应</w:t>
            </w:r>
            <w:r/>
          </w:p>
        </w:tc>
        <w:tc>
          <w:tcPr>
            <w:shd w:val="clear" w:color="auto" w:fill="auto"/>
            <w:tcBorders>
              <w:top w:val="single" w:color="auto" w:sz="4" w:space="0"/>
              <w:left w:val="single" w:color="auto" w:sz="4" w:space="0"/>
              <w:bottom w:val="single" w:color="auto" w:sz="4" w:space="0"/>
              <w:right w:val="single" w:color="auto" w:sz="4" w:space="0"/>
            </w:tcBorders>
            <w:tcW w:w="286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故障解决时间</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普通故障</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立即响应</w:t>
            </w:r>
            <w:r/>
          </w:p>
        </w:tc>
        <w:tc>
          <w:tcPr>
            <w:shd w:val="clear" w:color="auto" w:fill="auto"/>
            <w:tcBorders>
              <w:top w:val="single" w:color="auto" w:sz="4" w:space="0"/>
              <w:left w:val="single" w:color="auto" w:sz="4" w:space="0"/>
              <w:bottom w:val="single" w:color="auto" w:sz="4" w:space="0"/>
              <w:right w:val="single" w:color="auto" w:sz="4" w:space="0"/>
            </w:tcBorders>
            <w:tcW w:w="253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当天到达现场</w:t>
            </w:r>
            <w:r/>
          </w:p>
        </w:tc>
        <w:tc>
          <w:tcPr>
            <w:shd w:val="clear" w:color="auto" w:fill="auto"/>
            <w:tcBorders>
              <w:top w:val="single" w:color="auto" w:sz="4" w:space="0"/>
              <w:left w:val="single" w:color="auto" w:sz="4" w:space="0"/>
              <w:bottom w:val="single" w:color="auto" w:sz="4" w:space="0"/>
              <w:right w:val="single" w:color="auto" w:sz="4" w:space="0"/>
            </w:tcBorders>
            <w:tcW w:w="286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到达现场后&lt;3小时</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重大故障</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立即响应</w:t>
            </w:r>
            <w:r/>
          </w:p>
        </w:tc>
        <w:tc>
          <w:tcPr>
            <w:shd w:val="clear" w:color="auto" w:fill="auto"/>
            <w:tcBorders>
              <w:top w:val="single" w:color="auto" w:sz="4" w:space="0"/>
              <w:left w:val="single" w:color="auto" w:sz="4" w:space="0"/>
              <w:bottom w:val="single" w:color="auto" w:sz="4" w:space="0"/>
              <w:right w:val="single" w:color="auto" w:sz="4" w:space="0"/>
            </w:tcBorders>
            <w:tcW w:w="253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1小时内到现场</w:t>
            </w:r>
            <w:r/>
          </w:p>
        </w:tc>
        <w:tc>
          <w:tcPr>
            <w:shd w:val="clear" w:color="auto" w:fill="auto"/>
            <w:tcBorders>
              <w:top w:val="single" w:color="auto" w:sz="4" w:space="0"/>
              <w:left w:val="single" w:color="auto" w:sz="4" w:space="0"/>
              <w:bottom w:val="single" w:color="auto" w:sz="4" w:space="0"/>
              <w:right w:val="single" w:color="auto" w:sz="4" w:space="0"/>
            </w:tcBorders>
            <w:tcW w:w="286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到达现场后&lt;2小时</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特大故障</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立即响应</w:t>
            </w:r>
            <w:r/>
          </w:p>
        </w:tc>
        <w:tc>
          <w:tcPr>
            <w:shd w:val="clear" w:color="auto" w:fill="auto"/>
            <w:tcBorders>
              <w:top w:val="single" w:color="auto" w:sz="4" w:space="0"/>
              <w:left w:val="single" w:color="auto" w:sz="4" w:space="0"/>
              <w:bottom w:val="single" w:color="auto" w:sz="4" w:space="0"/>
              <w:right w:val="single" w:color="auto" w:sz="4" w:space="0"/>
            </w:tcBorders>
            <w:tcW w:w="253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30分钟内到现场</w:t>
            </w:r>
            <w:r/>
          </w:p>
        </w:tc>
        <w:tc>
          <w:tcPr>
            <w:shd w:val="clear" w:color="auto" w:fill="auto"/>
            <w:tcBorders>
              <w:top w:val="single" w:color="auto" w:sz="4" w:space="0"/>
              <w:left w:val="single" w:color="auto" w:sz="4" w:space="0"/>
              <w:bottom w:val="single" w:color="auto" w:sz="4" w:space="0"/>
              <w:right w:val="single" w:color="auto" w:sz="4" w:space="0"/>
            </w:tcBorders>
            <w:tcW w:w="286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到达现场后&lt;1小时</w:t>
            </w:r>
            <w:bookmarkEnd w:id="210"/>
            <w:r/>
            <w:bookmarkEnd w:id="211"/>
            <w:r/>
            <w:r/>
          </w:p>
        </w:tc>
      </w:tr>
    </w:tbl>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核心数据建设运维：负责专家库、代理机构库、采购人库、供应商库核心数据的录入、审核、动态更新与资质校验；开展招投标系统数据展示维护、数据库运维、业务数据分类标准化处理、历史数据归档、数据质量校验与异常数据清理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（2）系统配置与数据服务：负责系统组织机构、人员岗位、角色权限、流程节点动态调整；开展数据整理校正推送、数据库性能监控优化、数据迁移备份恢复、数据信息通知、应急数据修复工作。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（3）系统运行保障服务：提供7*24小时技术支持，每日开展系统硬件、软件、数据、应用巡检；负责故障分级处置、网络运行监测、重要任务全程值守、运维台账全记录、系统bug快速修复。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集群与安全升级运维：负责生产环境Web服务、中间件、数据库集群的日常监控、故障处置、性能调优；定期开展系统安全防护升级加固，政策变动类升级需在实施节点前完成，故障类功能升级需在2日内完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（5）配套支撑服务：开通客户服务热线响应咨询需求，按需提供系统操作、运维技能培训，服务期结束或人员变动时完成规范运维交接。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响应时效要求：普通故障立即响应、当天到场、到场后3小时内解决；重大故障立即响应、1小时内到场、到场后2小时内解决；特大故障立即响应、30分钟内到场、到场后1小时内解决；一般性问题即时解决，技术难度较大的问题0.5小时内回复、当天解决完毕，重大保障特殊时期提供7*24小时驻场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（2）质量管控要求：系统可用率≥99.95%，用户满意度≥95%，运维服务及时率≥95%；每天生成1次数据全量备份，实时生成增量备份，可恢复至6个月内任意时间点，每月开展1次数据恢复演练。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（3）安全保密要求：运维单位需与采购方签订保密协议，严格遵守国家、省、市信息系统安全保密规定，对接触到的所有业务信息、数据资料严格保密，不得向第三方泄露，不得擅自使用相关数据。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（4）考核管理要求：因运维服务问题导致系统瘫痪或造成重大负面影响的，每发生1次扣除总服务费的5%；运维单位需定期向采购方汇报工作进度、问题整改情况及后续计划，突发事件第一时间反馈。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4、团队配置要求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本次项目采用完全外包模式。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1、要求服务方每天安排2名工程师提供远程服务，保障数据运维服务的及时、高效、安全；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2、如遇突发系统故障等紧急情况，根据用户要求，可随时派遣工程师进行现场故障排查、问题处理；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3、其它时间，提供7*24小时的远程、电话、微信、QQ、邮件等方式的在线服务、技术支持；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建立技术运维体系以及提供技术支持与服务的重要性，为有效地管理此系统，</w:t>
      </w:r>
      <w:bookmarkStart w:id="212" w:name="OLE_LINK67"/>
      <w:r/>
      <w:bookmarkStart w:id="213" w:name="OLE_LINK66"/>
      <w:r>
        <w:rPr>
          <w:rFonts w:hint="eastAsia" w:ascii="宋体" w:hAnsi="宋体" w:eastAsia="宋体" w:cs="宋体"/>
          <w:sz w:val="24"/>
          <w:szCs w:val="24"/>
          <w:lang w:val="en-US" w:eastAsia="zh-CN" w:bidi="ar"/>
        </w:rPr>
        <w:t xml:space="preserve">运维公司</w:t>
      </w:r>
      <w:bookmarkEnd w:id="212"/>
      <w:r/>
      <w:bookmarkEnd w:id="213"/>
      <w:r>
        <w:rPr>
          <w:rFonts w:hint="eastAsia" w:ascii="宋体" w:hAnsi="宋体" w:eastAsia="宋体" w:cs="宋体"/>
          <w:sz w:val="24"/>
          <w:szCs w:val="24"/>
          <w:lang w:val="en-US" w:eastAsia="zh-CN" w:bidi="ar"/>
        </w:rPr>
        <w:t xml:space="preserve">将为本系统提供全面完善的技术支持与服务，其目标就是及时发现问题，解决问题，降低负担。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技术运维团队受过良好培训并富有经验，对支持此系统中可能出现的技术问题已经做好了充分的准备。具有完善的运维服务体系和强大的技术实力来保证处理所有售后服务，提供7*24小时的服务，一般性问题即时解决，技术难度较大的问题0.5小时回复，当天解决完毕。在重大保障特殊时期提供7*24小时驻场服务。</w:t>
      </w:r>
      <w:r/>
    </w:p>
    <w:p>
      <w:pPr>
        <w:pStyle w:val="771"/>
        <w:ind w:left="0" w:firstLine="482"/>
        <w:spacing w:line="360" w:lineRule="auto"/>
        <w:widowControl/>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项目需求</w:t>
      </w:r>
      <w:r>
        <w:rPr>
          <w:rFonts w:hint="eastAsia" w:ascii="宋体" w:hAnsi="宋体" w:eastAsia="宋体" w:cs="宋体"/>
          <w:b/>
          <w:bCs/>
          <w:sz w:val="24"/>
          <w:szCs w:val="24"/>
          <w:lang w:val="en-US"/>
        </w:rPr>
        <w:t xml:space="preserve">70</w:t>
      </w:r>
      <w:r>
        <w:rPr>
          <w:rFonts w:hint="eastAsia" w:ascii="宋体" w:hAnsi="宋体" w:eastAsia="宋体" w:cs="宋体"/>
          <w:b/>
          <w:bCs/>
          <w:sz w:val="24"/>
          <w:szCs w:val="24"/>
          <w:lang w:eastAsia="zh-CN"/>
        </w:rPr>
        <w:t xml:space="preserve">：梁溪河</w:t>
      </w:r>
      <w:r>
        <w:rPr>
          <w:rFonts w:hint="eastAsia" w:ascii="宋体" w:hAnsi="宋体" w:eastAsia="宋体" w:cs="宋体"/>
          <w:b/>
          <w:bCs/>
          <w:sz w:val="24"/>
          <w:szCs w:val="24"/>
          <w:lang w:val="en-US"/>
        </w:rPr>
        <w:t xml:space="preserve">7</w:t>
      </w:r>
      <w:r>
        <w:rPr>
          <w:rFonts w:hint="eastAsia" w:ascii="宋体" w:hAnsi="宋体" w:eastAsia="宋体" w:cs="宋体"/>
          <w:b/>
          <w:bCs/>
          <w:sz w:val="24"/>
          <w:szCs w:val="24"/>
          <w:lang w:eastAsia="zh-CN"/>
        </w:rPr>
        <w:t xml:space="preserve">个不稳定支浜自动监测数据项目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运维期限：12个月（2026年9月1日-2027年8月31日）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服务使用单位：无锡市滨湖生态环境局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运维内容及需求：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1、运维内容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服务目标为保障梁溪河沿线7个不稳定支浜自动监测系统稳定运行，通过数据质量全流程管控，确保监测数据“真、准、全、有效”，支撑梁溪河—太湖流域水质精准管控、污染溯源与动态评估，为治理决策与考核评估提供可靠依据，核心量化指标为有效数据捕获率≥90%（除去不可抗拒因素）、用户满意度100%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2、运维事项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（1）远程维护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运维人员应每天通过平台查看监测数据，对微型站运行状态和数据质量进行相应判断，对站点的运维情况及相关信息进行统计和评价。</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（2）远程巡视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每日对微型站运行条件及设备运行状况进行远程查看，具体工作如下:</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①检查数据采集与传输状况，确认是否获取了微型站全部仪器的监测数据和过程日志；</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②根据仪器质控结果、过程日志判断仪器运行情况及数据的可靠性；</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③对前一天监测数据有效性进行审核并对异常数据进行标记，形成监测数据审核日志。</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（3）远程控制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①通过远程控制，可对监测仪器进行校时、复位、水样/标样测试、校准、清洗等工作；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②当监测数据出现异常时，运维人员远程发送必要的质控测试命令，根据测试结果综合判断数据有效性。一旦确定水质发生重大变化或仪器设备故障，应及时赴现场处理。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（4）现场维护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1）例行巡检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①检查采水点水体颜色、嗅味、漂浮物、水位变化及杂物存在情况，并及时进行清理；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②检查水泵及空压机固定情况，避免设备振动的影响；检查空压机、不间断电源（UPS）等辅助设备运行状态，及时更换耗材；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③检查电路系统是否正常，接地线路是否可靠，检查采样和排水管路是否有漏液或堵塞现象；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④检查采配水单元是否正常；需要时应清洗采配水单元，对于无法清洗干净的应及时更换；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⑤检查控制单元运行状态是否正常，工控机操作系统及软件有无中毒现象；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⑥检查上传至平台的数据与现场数据的一致性；检查仪器与控制单元的通讯线路是否正常；</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⑦查看水质监测仪器及辅助设备的运行状态，判断运行是否正常；检查有无漏液；</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⑧检查试剂状况，是否需要添加或更换试剂。所用纯水和试剂须达到相关技术要求，更换周期不得超过规定的试剂保质期；</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⑨完成废液收集并按相关规定要求做好处置工作，且留档备查；保持机柜及各仪器干净整洁。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2）定期养护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定期养护项目及最低频次不得低于下表要求。</w:t>
      </w:r>
      <w:r/>
    </w:p>
    <w:tbl>
      <w:tblPr>
        <w:tblStyle w:val="779"/>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357"/>
        <w:gridCol w:w="2393"/>
        <w:gridCol w:w="457"/>
        <w:gridCol w:w="457"/>
        <w:gridCol w:w="699"/>
        <w:gridCol w:w="699"/>
        <w:gridCol w:w="457"/>
      </w:tblGrid>
      <w:tr>
        <w:trPr>
          <w:jc w:val="center"/>
          <w:tblHeader/>
        </w:trPr>
        <w:tc>
          <w:tcPr>
            <w:gridSpan w:val="2"/>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工作内容</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周</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月</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季度</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半年</w:t>
            </w:r>
            <w:r/>
          </w:p>
        </w:tc>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年</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3357" w:type="dxa"/>
            <w:vAlign w:val="center"/>
            <w:vMerge w:val="restart"/>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机柜</w:t>
            </w: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内外柜体维护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3357"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柜体清洁</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3357" w:type="dxa"/>
            <w:vAlign w:val="center"/>
            <w:vMerge w:val="restart"/>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采配水单元</w:t>
            </w: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采水泵清洗</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3357"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采水辅助设施</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3357"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沉降池清洗</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3357"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过滤器清洗</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3357"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水样杯清洗</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3357" w:type="dxa"/>
            <w:vAlign w:val="center"/>
            <w:vMerge w:val="restart"/>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分析单元</w:t>
            </w: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试剂更换</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3357"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耗材及配件更换</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3357"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废液处置</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3357"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保养检修</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3357"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试剂贮存箱温度检查</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3357" w:type="dxa"/>
            <w:vAlign w:val="center"/>
            <w:vMerge w:val="restart"/>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控制单元及数据采集传输单元</w:t>
            </w: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网络通讯设备检查</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3357"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工控机检查</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3357" w:type="dxa"/>
            <w:vAlign w:val="center"/>
            <w:vMerge w:val="restart"/>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辅助设备</w:t>
            </w: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稳压电源检查</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3357"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UPS检查</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3357"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空压机检查</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r>
      <w:tr>
        <w:trPr>
          <w:jc w:val="center"/>
        </w:trPr>
        <w:tc>
          <w:tcPr>
            <w:gridSpan w:val="2"/>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数据备份</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r>
      <w:tr>
        <w:trPr>
          <w:jc w:val="center"/>
        </w:trPr>
        <w:tc>
          <w:tcPr>
            <w:gridSpan w:val="2"/>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备机维护</w:t>
            </w:r>
            <w:r/>
          </w:p>
        </w:tc>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shd w:val="clear" w:color="auto" w:fill="auto"/>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r>
    </w:tbl>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3）分析单元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①定期按需对监测仪器进行校准；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②应定期更换易耗品及备品备件；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③定期清洗和更换仪器管路；</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④建立零配件库，根据不同零配件和易耗件的使用情况提前备货；</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⑤应根据试剂的更换周期定期更换试剂，试剂的更换周期原则上不得超过30天；试剂更换后应按需求进行仪器校准或标液核查，同时更换时应做好记录；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⑥应根据使用寿命定期更换监测仪器的光源、电极、泵、阀、传感器等关键零部件；定期对监测仪器光路、液路、电路板和各种接头及插座等进行检查和清洁处理。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4）控制单元及通讯单元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①定期复位工控机查看是否可以自动启动，并运行操作系统、加载现场监控软件，查看串口通讯是否正常；</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②定期对网络通讯设备进行重启，查看启动后是否通讯正常；</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③每月检查开机过程中硬件自检过程是否有异常数据传输和报警；</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④每月对工控机操作系统及软件进行一次杀毒操作，保证软件正常运行； </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⑤每月对监测数据进行一次备份，备份数据单独存储。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（5）应急维护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1）数据异常处置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出现以下情况的可确认为数据异常</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①监测中断的数据；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②监测仪器设备状态参数异常、过程日志异常或监测仪器设备故障的监测数据；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③通过监测项目之间相关性分析、气象条件、微型站所在地历史数据分析认为明显违背常理的监测数据。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2）数据异常处理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发生数据异常情况时，根据现场情况应采取标样核查、现场排查、实际水样比对等措施进行排查，查明并分析原因，记录备案并上报；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当水质监测数据异常或水质下降至水质类别发生变化时应启动留样，留样后应按照应急维护要求执行。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3）微型站系统异常处理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①当微型站出现故障时运维单位应在规定时间内响应并解决；</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②对于在现场能够诊断明确且可通过更换备件解决的问题则在现场进行检修；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③对于其它不易诊断和检修的故障，或48小时内无法排除的仪器故障，应采用备用仪器替代发生故障的仪器，同时对备机开展标样核查。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（6）质量控制管理：严格按规范开展零点核查、跨度核查、多点线性核查、实际水样比对等多级质控工作，确保数据质量符合技术要求。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（7）数据运维服务：负责数据采集、传输、存储、审核与上报，确保数据实时上传至指定平台，对异常数据开展溯源处理，每月开展数据备份。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（8）应急处置服务：针对设备故障、数据断连、水质异常预警、极端天气等场景，第一时间响应处置，按要求开展留样、排查、上报工作。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（9）档案管理服务：建立完整运维档案，包含巡检记录、校准记录、故障处理记录、质控报告、设备台账等，按要求提交业主单位存档。</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3、运维要求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（1）响应时效要求：设备故障白天响应≤2小时、现场处置≤4小时，夜间响应≤8小时、现场处置≤12小时，故障修复≤48小时，非工作时段安排值班人员响应应急需求。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质量管控要求：按站点月数据有效率≥90%、单台分析仪器月数据有效率≥90%的标准考核，数据有效率达标全额拨付当月服务款，未达标按有效运行率比例折算支付，运维过程中不得弄虚作假修改原始数据和控制参数。</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1）定期更换微型水质自动监测站仪表所需试剂。水站所用试剂更换周期一般不超过一个月，校准使用液不得超过一个月。使用纯水和试剂须达到相关技术要求。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2）提供并定期更换微型水质自动监测站系统和仪表所需零配件，关键部件不能超期使用，更换各类易损部件应重新标定仪器。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3）对微型水质自动监测站系统和仪表进行定期检修、保养。每月至少清洗 1 次取水管路、测量池、沉淀池、测量杯、过滤芯、配水管路，每周清洗 1 次测量电极或探头。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4）及时排除微型水质自动监测站系统和仪表的故障（由于地震、洪水、战争等不可抗拒因素造成的水站系统及仪器损坏除外）。</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5）对微型水质自动监测站仪表进行定期校准、核查、比对、性能测试。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6）配合采购人进行水站质量保证和质量质控工作，随时接受采购人工作考核及质量考核。</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7）建立水质自动监测仪器操作规程，运行维护人员必须严格按规范操作，不得以任何理由弄虚作假、修改监测的原始数据和控制参数。</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8）每周应对各水站例行巡回检查至少1次，如果有异常情况发生应及时解决。认真、及时做好维护记录，汇总各水站每周巡检的作业情况、维护记录。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9）负责前端通讯设备以及监控软件的维护和完善，确保从仪器到监控软件的存储，以及到指定服务器数据传输稳定准确。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10）不论何时，成交单位都应承担监测数据的保密责任；成交单位按照采购人的要求，进行报告和传输有关的监测数据，均不得以任何方式和渠道向外界传递任何监测数据。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（3）安全保密要求：运维人员严格遵守保密规定，承担监测数据保密责任，不得以任何方式向外界泄露监测数据；落实作业安全管理机制，规范危废分类收集与合规处置，杜绝安全事故与二次污染。</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（4）合规性要求：运维工作严格遵循《水质自动在线监测系统运行技术规范》《江苏省环境水质（地表水）自动监测预警系统运行管理办法》等相关规范要求，试剂、校准、质控等环节符合国家水质检测标准。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（5）备品备件要求：建立本地化备品备件库，储备传感器、泵管、密封件等易损件，与设备厂商建立24小时技术支持通道，保障故障快速处置。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4、团队配置要求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（1）管理团队：由项目负责人牵头，统筹运维战略规划、审定重大运维问题解决方案；下设监督考核人员，负责对运维流程合规性、数据真实性、服务质量进行常态化监督，每季度组织运维考核。</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运维执行团队：配置专职运维人员负责现场巡检、设备校准、故障排查等实操工作，配置应急保障人员专项处理设备重大故障、水质异常预警等应急场景，所有运维人员需熟悉水质自动监测站运维流程与技术要求，严格按规范开展工作。</w:t>
      </w:r>
      <w:r/>
    </w:p>
    <w:p>
      <w:pPr>
        <w:pStyle w:val="784"/>
        <w:numPr>
          <w:ilvl w:val="0"/>
          <w:numId w:val="7"/>
        </w:numPr>
        <w:ind w:left="0" w:right="0" w:firstLine="420"/>
        <w:jc w:val="left"/>
        <w:keepLines w:val="0"/>
        <w:keepNext w:val="0"/>
        <w:spacing w:before="0" w:beforeAutospacing="0" w:after="0" w:afterAutospacing="0" w:line="360" w:lineRule="auto"/>
        <w:widowControl/>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eastAsia="zh-CN"/>
        </w:rPr>
        <w:t xml:space="preserve">保密要求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中标人对采购人数据有保守秘密的义务，需要做到以下几点：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服务技术支持人员保证遵守国家有关的政策、法律、法规和制度。</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服务技术支持人员保证按照工作规范进行工作，凡接收到的重大服务请求在未经用户同意的情况下不做任何处理。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服务技术支持人员保证不向外泄漏任何业务和相关数据。</w:t>
      </w:r>
      <w:r/>
    </w:p>
    <w:p>
      <w:pPr>
        <w:pStyle w:val="784"/>
        <w:numPr>
          <w:ilvl w:val="0"/>
          <w:numId w:val="7"/>
        </w:numPr>
        <w:ind w:left="0" w:right="0" w:firstLine="420"/>
        <w:jc w:val="left"/>
        <w:keepLines w:val="0"/>
        <w:keepNext w:val="0"/>
        <w:spacing w:before="0" w:beforeAutospacing="0" w:after="0" w:afterAutospacing="0" w:line="360" w:lineRule="auto"/>
        <w:widowControl/>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eastAsia="zh-CN"/>
        </w:rPr>
        <w:t xml:space="preserve">考核要求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根据不同运维项目的具体情况，各方责任及具体考核办法将在合同签订后，由招标人、中标人、项目管理单位协商签订三方协议进行具体约定。</w:t>
      </w:r>
      <w:r/>
    </w:p>
    <w:p>
      <w:pPr>
        <w:pStyle w:val="784"/>
        <w:numPr>
          <w:ilvl w:val="0"/>
          <w:numId w:val="7"/>
        </w:numPr>
        <w:ind w:left="0" w:right="0" w:firstLine="420"/>
        <w:jc w:val="left"/>
        <w:keepLines w:val="0"/>
        <w:keepNext w:val="0"/>
        <w:spacing w:before="0" w:beforeAutospacing="0" w:after="0" w:afterAutospacing="0" w:line="360" w:lineRule="auto"/>
        <w:widowControl/>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eastAsia="zh-CN"/>
        </w:rPr>
        <w:t xml:space="preserve">其他要求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所有子项目需使用本地化部署的专业运维平台工具进行统一运维管理，实现运维概况、资产、人员、项目、工单、作业、报告、伙伴及移动端等全功能实时监测与全流程闭环管理，达到运维数据可视化、任务执行自动化、绩效评估可量化的高效规范运维效果。</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br w:type="page" w:clear="all"/>
      </w:r>
      <w:r/>
    </w:p>
    <w:p>
      <w:pPr>
        <w:ind w:firstLine="602"/>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第二部分  有关说明</w:t>
      </w:r>
      <w:r/>
    </w:p>
    <w:p>
      <w:pPr>
        <w:numPr>
          <w:ilvl w:val="1"/>
          <w:numId w:val="39"/>
        </w:numPr>
        <w:ind w:left="0" w:right="0" w:firstLine="480"/>
        <w:jc w:val="both"/>
        <w:keepLines w:val="0"/>
        <w:keepNext w:val="0"/>
        <w:spacing w:before="0" w:beforeAutospacing="0" w:after="0" w:afterAutospacing="0" w:line="360" w:lineRule="auto"/>
        <w:widowControl w:val="off"/>
        <w:tabs>
          <w:tab w:val="left" w:pos="525" w:leader="none"/>
          <w:tab w:val="left" w:pos="945" w:leader="none"/>
        </w:tabs>
        <w:rPr>
          <w:rFonts w:hint="eastAsia" w:ascii="宋体" w:hAnsi="Times New Roman" w:eastAsia="宋体" w:cs="宋体"/>
          <w:bCs/>
          <w:color w:val="000000"/>
          <w:sz w:val="24"/>
          <w:szCs w:val="24"/>
          <w:lang w:val="en-US"/>
        </w:rPr>
        <w:suppressLineNumbers w:val="0"/>
      </w:pPr>
      <w:r>
        <w:rPr>
          <w:rFonts w:hint="eastAsia" w:ascii="宋体" w:hAnsi="宋体" w:eastAsia="宋体" w:cs="宋体"/>
          <w:bCs/>
          <w:color w:val="000000"/>
          <w:sz w:val="24"/>
          <w:szCs w:val="24"/>
          <w:lang w:val="en-US" w:eastAsia="zh-CN" w:bidi="ar"/>
        </w:rPr>
        <w:t xml:space="preserve">投标总报价包括满足本项目服务要求的从项目中标起到项目正式交付以及服务期内所发生的一切费用。</w:t>
      </w:r>
      <w:r/>
    </w:p>
    <w:p>
      <w:pPr>
        <w:numPr>
          <w:ilvl w:val="1"/>
          <w:numId w:val="39"/>
        </w:numPr>
        <w:ind w:left="0" w:right="0" w:firstLine="480"/>
        <w:jc w:val="both"/>
        <w:keepLines w:val="0"/>
        <w:keepNext w:val="0"/>
        <w:spacing w:before="0" w:beforeAutospacing="0" w:after="0" w:afterAutospacing="0" w:line="360" w:lineRule="auto"/>
        <w:widowControl w:val="off"/>
        <w:tabs>
          <w:tab w:val="left" w:pos="525" w:leader="none"/>
          <w:tab w:val="left" w:pos="945" w:leader="none"/>
        </w:tabs>
        <w:rPr>
          <w:rFonts w:hint="eastAsia" w:ascii="宋体" w:hAnsi="Times New Roman" w:eastAsia="宋体" w:cs="宋体"/>
          <w:bCs/>
          <w:color w:val="000000"/>
          <w:sz w:val="24"/>
          <w:szCs w:val="24"/>
          <w:lang w:val="en-US"/>
        </w:rPr>
        <w:suppressLineNumbers w:val="0"/>
      </w:pPr>
      <w:r>
        <w:rPr>
          <w:rFonts w:hint="eastAsia" w:ascii="宋体" w:hAnsi="宋体" w:eastAsia="宋体" w:cs="宋体"/>
          <w:bCs/>
          <w:color w:val="000000"/>
          <w:sz w:val="24"/>
          <w:szCs w:val="24"/>
          <w:lang w:val="en-US" w:eastAsia="zh-CN" w:bidi="ar"/>
        </w:rPr>
        <w:t xml:space="preserve">通过中国海关报关验放进入中国境内且产自中国境外的产品不在本项目的报价范围。</w:t>
      </w:r>
      <w:r/>
    </w:p>
    <w:p>
      <w:pPr>
        <w:numPr>
          <w:ilvl w:val="1"/>
          <w:numId w:val="39"/>
        </w:numPr>
        <w:ind w:left="0" w:right="0" w:firstLine="480"/>
        <w:jc w:val="both"/>
        <w:keepLines w:val="0"/>
        <w:keepNext w:val="0"/>
        <w:spacing w:before="0" w:beforeAutospacing="0" w:after="0" w:afterAutospacing="0" w:line="360" w:lineRule="auto"/>
        <w:widowControl w:val="off"/>
        <w:tabs>
          <w:tab w:val="left" w:pos="525" w:leader="none"/>
          <w:tab w:val="left" w:pos="945" w:leader="none"/>
        </w:tabs>
        <w:rPr>
          <w:rFonts w:hint="eastAsia" w:ascii="宋体" w:hAnsi="Times New Roman" w:eastAsia="宋体" w:cs="宋体"/>
          <w:bCs/>
          <w:color w:val="000000"/>
          <w:sz w:val="24"/>
          <w:szCs w:val="24"/>
          <w:lang w:val="en-US"/>
        </w:rPr>
        <w:suppressLineNumbers w:val="0"/>
      </w:pPr>
      <w:r>
        <w:rPr>
          <w:rFonts w:hint="eastAsia" w:ascii="宋体" w:hAnsi="Times New Roman" w:eastAsia="宋体" w:cs="宋体"/>
          <w:bCs/>
          <w:color w:val="000000"/>
          <w:sz w:val="24"/>
          <w:szCs w:val="24"/>
          <w:lang w:val="en-US" w:eastAsia="zh-CN" w:bidi="ar"/>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39"/>
        </w:numPr>
        <w:ind w:left="0" w:right="0" w:firstLine="480"/>
        <w:jc w:val="both"/>
        <w:keepLines w:val="0"/>
        <w:keepNext w:val="0"/>
        <w:spacing w:before="0" w:beforeAutospacing="0" w:after="0" w:afterAutospacing="0" w:line="360" w:lineRule="auto"/>
        <w:widowControl w:val="off"/>
        <w:tabs>
          <w:tab w:val="left" w:pos="525" w:leader="none"/>
          <w:tab w:val="left" w:pos="945" w:leader="none"/>
        </w:tabs>
        <w:rPr>
          <w:rFonts w:hint="eastAsia" w:ascii="宋体" w:hAnsi="Times New Roman" w:eastAsia="宋体" w:cs="宋体"/>
          <w:bCs/>
          <w:color w:val="000000"/>
          <w:sz w:val="24"/>
          <w:szCs w:val="24"/>
          <w:lang w:val="en-US"/>
        </w:rPr>
        <w:suppressLineNumbers w:val="0"/>
      </w:pPr>
      <w:r>
        <w:rPr>
          <w:rFonts w:hint="eastAsia" w:ascii="宋体" w:hAnsi="宋体" w:eastAsia="宋体" w:cs="宋体"/>
          <w:bCs/>
          <w:color w:val="000000"/>
          <w:sz w:val="24"/>
          <w:szCs w:val="24"/>
          <w:lang w:val="en-US" w:eastAsia="zh-CN" w:bidi="ar"/>
        </w:rPr>
        <w:t xml:space="preserve">投标人必须在满足招标文件要求的基础上进行报价，如有技术偏离请于投标偏离表中说明。</w:t>
      </w:r>
      <w:r/>
    </w:p>
    <w:p>
      <w:pPr>
        <w:numPr>
          <w:ilvl w:val="1"/>
          <w:numId w:val="39"/>
        </w:numPr>
        <w:ind w:left="0" w:right="0" w:firstLine="480"/>
        <w:jc w:val="both"/>
        <w:keepLines w:val="0"/>
        <w:keepNext w:val="0"/>
        <w:spacing w:before="0" w:beforeAutospacing="0" w:after="0" w:afterAutospacing="0" w:line="360" w:lineRule="auto"/>
        <w:widowControl w:val="off"/>
        <w:tabs>
          <w:tab w:val="left" w:pos="525" w:leader="none"/>
          <w:tab w:val="left" w:pos="630" w:leader="none"/>
          <w:tab w:val="left" w:pos="735" w:leader="none"/>
          <w:tab w:val="left" w:pos="945" w:leader="none"/>
        </w:tabs>
        <w:rPr>
          <w:rFonts w:hint="eastAsia" w:ascii="宋体" w:hAnsi="Times New Roman" w:eastAsia="宋体" w:cs="宋体"/>
          <w:bCs/>
          <w:color w:val="000000"/>
          <w:sz w:val="24"/>
          <w:szCs w:val="24"/>
          <w:lang w:val="en-US"/>
        </w:rPr>
        <w:suppressLineNumbers w:val="0"/>
      </w:pPr>
      <w:r>
        <w:rPr>
          <w:rFonts w:hint="eastAsia" w:ascii="宋体" w:hAnsi="宋体" w:eastAsia="宋体" w:cs="宋体"/>
          <w:bCs/>
          <w:color w:val="000000"/>
          <w:sz w:val="24"/>
          <w:szCs w:val="24"/>
          <w:lang w:val="en-US" w:eastAsia="zh-CN" w:bidi="ar"/>
        </w:rPr>
        <w:t xml:space="preserve">服务期限：周期为1年，自合同签订之日起算。</w:t>
      </w:r>
      <w:r/>
    </w:p>
    <w:p>
      <w:pPr>
        <w:numPr>
          <w:ilvl w:val="1"/>
          <w:numId w:val="39"/>
        </w:numPr>
        <w:ind w:left="0" w:right="0" w:firstLine="480"/>
        <w:jc w:val="both"/>
        <w:keepLines w:val="0"/>
        <w:keepNext w:val="0"/>
        <w:spacing w:before="0" w:beforeAutospacing="0" w:after="0" w:afterAutospacing="0" w:line="360" w:lineRule="auto"/>
        <w:widowControl w:val="off"/>
        <w:tabs>
          <w:tab w:val="left" w:pos="525" w:leader="none"/>
          <w:tab w:val="left" w:pos="630" w:leader="none"/>
          <w:tab w:val="left" w:pos="735" w:leader="none"/>
          <w:tab w:val="left" w:pos="945" w:leader="none"/>
        </w:tabs>
        <w:rPr>
          <w:rFonts w:hint="eastAsia" w:ascii="宋体" w:hAnsi="Times New Roman" w:eastAsia="宋体" w:cs="宋体"/>
          <w:bCs/>
          <w:color w:val="000000"/>
          <w:sz w:val="24"/>
          <w:szCs w:val="24"/>
          <w:lang w:val="en-US"/>
        </w:rPr>
        <w:suppressLineNumbers w:val="0"/>
      </w:pPr>
      <w:r>
        <w:rPr>
          <w:rFonts w:hint="eastAsia" w:ascii="宋体" w:hAnsi="宋体" w:eastAsia="宋体" w:cs="宋体"/>
          <w:bCs/>
          <w:color w:val="000000"/>
          <w:sz w:val="24"/>
          <w:szCs w:val="24"/>
          <w:lang w:val="en-US" w:eastAsia="zh-CN" w:bidi="ar"/>
        </w:rPr>
        <w:t xml:space="preserve">付款方式（</w:t>
      </w:r>
      <w:r>
        <w:rPr>
          <w:rFonts w:hint="eastAsia" w:ascii="Times New Roman" w:hAnsi="宋体" w:eastAsia="宋体" w:cs="宋体"/>
          <w:bCs/>
          <w:sz w:val="24"/>
          <w:szCs w:val="21"/>
          <w:lang w:val="en-US" w:eastAsia="zh-CN" w:bidi="ar"/>
        </w:rPr>
        <w:t xml:space="preserve">项目如发生特殊情况，子项目运维期限发生变化或停止运维，所产生的运维费用</w:t>
      </w:r>
      <w:r>
        <w:rPr>
          <w:rFonts w:hint="default" w:ascii="Times New Roman" w:hAnsi="宋体" w:eastAsia="宋体" w:cs="宋体"/>
          <w:bCs/>
          <w:sz w:val="24"/>
          <w:szCs w:val="21"/>
          <w:lang w:val="en-US" w:eastAsia="zh-CN" w:bidi="ar"/>
        </w:rPr>
        <w:t xml:space="preserve"> </w:t>
      </w:r>
      <w:r>
        <w:rPr>
          <w:rFonts w:hint="eastAsia" w:ascii="Times New Roman" w:hAnsi="宋体" w:eastAsia="宋体" w:cs="宋体"/>
          <w:bCs/>
          <w:sz w:val="24"/>
          <w:szCs w:val="21"/>
          <w:lang w:val="en-US" w:eastAsia="zh-CN" w:bidi="ar"/>
        </w:rPr>
        <w:t xml:space="preserve">按实际运维周期结算</w:t>
      </w:r>
      <w:r>
        <w:rPr>
          <w:rFonts w:hint="eastAsia" w:ascii="宋体" w:hAnsi="宋体" w:eastAsia="宋体" w:cs="宋体"/>
          <w:bCs/>
          <w:color w:val="000000"/>
          <w:sz w:val="24"/>
          <w:szCs w:val="24"/>
          <w:lang w:val="en-US" w:eastAsia="zh-CN" w:bidi="ar"/>
        </w:rPr>
        <w:t xml:space="preserve">）：</w:t>
      </w:r>
      <w:r/>
    </w:p>
    <w:p>
      <w:pPr>
        <w:pStyle w:val="799"/>
        <w:ind w:left="420" w:right="0"/>
        <w:jc w:val="both"/>
        <w:keepLines w:val="0"/>
        <w:keepNext w:val="0"/>
        <w:spacing w:before="0" w:beforeAutospacing="0" w:after="120" w:afterAutospacing="0" w:line="360" w:lineRule="auto"/>
        <w:widowControl w:val="off"/>
        <w:rPr>
          <w:rFonts w:hint="eastAsia" w:ascii="宋体" w:hAnsi="宋体" w:eastAsia="宋体" w:cs="宋体"/>
          <w:bCs/>
          <w:color w:val="000000"/>
          <w:sz w:val="24"/>
          <w:szCs w:val="24"/>
          <w:lang w:val="en-US"/>
        </w:rPr>
        <w:suppressLineNumbers w:val="0"/>
      </w:pPr>
      <w:r>
        <w:rPr>
          <w:rFonts w:hint="eastAsia" w:ascii="宋体" w:hAnsi="宋体" w:eastAsia="宋体" w:cs="宋体"/>
          <w:bCs/>
          <w:color w:val="000000"/>
          <w:sz w:val="24"/>
          <w:szCs w:val="24"/>
          <w:lang w:val="en-US" w:eastAsia="zh-CN" w:bidi="ar"/>
        </w:rPr>
        <w:t xml:space="preserve">本项目由滨湖区数据局统一签约、统一结算，统一执行以下付款规则：</w:t>
      </w:r>
      <w:r/>
    </w:p>
    <w:p>
      <w:pPr>
        <w:pStyle w:val="799"/>
        <w:ind w:left="420" w:right="0"/>
        <w:jc w:val="both"/>
        <w:keepLines w:val="0"/>
        <w:keepNext w:val="0"/>
        <w:spacing w:before="0" w:beforeAutospacing="0" w:after="120" w:afterAutospacing="0" w:line="360" w:lineRule="auto"/>
        <w:widowControl w:val="off"/>
        <w:rPr>
          <w:rFonts w:hint="eastAsia" w:ascii="宋体" w:hAnsi="宋体" w:eastAsia="宋体" w:cs="宋体"/>
          <w:bCs/>
          <w:color w:val="000000"/>
          <w:sz w:val="24"/>
          <w:szCs w:val="24"/>
          <w:lang w:val="en-US"/>
        </w:rPr>
        <w:suppressLineNumbers w:val="0"/>
      </w:pPr>
      <w:r>
        <w:rPr>
          <w:rFonts w:hint="eastAsia" w:ascii="宋体" w:hAnsi="宋体" w:eastAsia="宋体" w:cs="宋体"/>
          <w:bCs/>
          <w:color w:val="000000"/>
          <w:sz w:val="24"/>
          <w:szCs w:val="24"/>
          <w:lang w:val="en-US" w:eastAsia="zh-CN" w:bidi="ar"/>
        </w:rPr>
        <w:t xml:space="preserve">预付款支付方式：合同签订生效后30日内，支付合同金额的40%；</w:t>
      </w:r>
      <w:r/>
    </w:p>
    <w:p>
      <w:pPr>
        <w:pStyle w:val="799"/>
        <w:ind w:left="420" w:right="0"/>
        <w:jc w:val="both"/>
        <w:keepLines w:val="0"/>
        <w:keepNext w:val="0"/>
        <w:spacing w:before="0" w:beforeAutospacing="0" w:after="120" w:afterAutospacing="0" w:line="360" w:lineRule="auto"/>
        <w:widowControl w:val="off"/>
        <w:rPr>
          <w:rFonts w:hint="eastAsia" w:ascii="宋体" w:hAnsi="宋体" w:eastAsia="宋体" w:cs="宋体"/>
          <w:bCs/>
          <w:color w:val="000000"/>
          <w:sz w:val="24"/>
          <w:szCs w:val="24"/>
          <w:lang w:val="en-US"/>
        </w:rPr>
        <w:suppressLineNumbers w:val="0"/>
      </w:pPr>
      <w:r>
        <w:rPr>
          <w:rFonts w:hint="eastAsia" w:ascii="宋体" w:hAnsi="宋体" w:eastAsia="宋体" w:cs="宋体"/>
          <w:bCs/>
          <w:color w:val="000000"/>
          <w:sz w:val="24"/>
          <w:szCs w:val="24"/>
          <w:lang w:val="en-US" w:eastAsia="zh-CN" w:bidi="ar"/>
        </w:rPr>
        <w:t xml:space="preserve">进度款支付方式：合同签订生效后满9个月后30日内，支付合同金额的30%；</w:t>
      </w:r>
      <w:r/>
    </w:p>
    <w:p>
      <w:pPr>
        <w:pStyle w:val="799"/>
        <w:ind w:left="420" w:right="0"/>
        <w:jc w:val="both"/>
        <w:keepLines w:val="0"/>
        <w:keepNext w:val="0"/>
        <w:spacing w:before="0" w:beforeAutospacing="0" w:after="120" w:afterAutospacing="0" w:line="360" w:lineRule="auto"/>
        <w:widowControl w:val="off"/>
        <w:rPr>
          <w:rFonts w:hint="eastAsia" w:ascii="宋体" w:hAnsi="宋体" w:eastAsia="宋体" w:cs="宋体"/>
          <w:bCs/>
          <w:color w:val="000000"/>
          <w:sz w:val="24"/>
          <w:szCs w:val="24"/>
          <w:lang w:val="en-US"/>
        </w:rPr>
        <w:suppressLineNumbers w:val="0"/>
      </w:pPr>
      <w:r>
        <w:rPr>
          <w:rFonts w:hint="eastAsia" w:ascii="宋体" w:hAnsi="宋体" w:eastAsia="宋体" w:cs="宋体"/>
          <w:bCs/>
          <w:color w:val="000000"/>
          <w:sz w:val="24"/>
          <w:szCs w:val="24"/>
          <w:lang w:val="en-US" w:eastAsia="zh-CN" w:bidi="ar"/>
        </w:rPr>
        <w:t xml:space="preserve">尾款支付方式：运维期满30日内，根据运维考核情况，支付剩余金额。</w:t>
      </w:r>
      <w:r/>
    </w:p>
    <w:p>
      <w:pPr>
        <w:numPr>
          <w:ilvl w:val="1"/>
          <w:numId w:val="39"/>
        </w:numPr>
        <w:ind w:left="0" w:right="0" w:firstLine="480"/>
        <w:jc w:val="both"/>
        <w:keepLines w:val="0"/>
        <w:keepNext w:val="0"/>
        <w:spacing w:before="0" w:beforeAutospacing="0" w:after="0" w:afterAutospacing="0" w:line="360" w:lineRule="auto"/>
        <w:widowControl w:val="off"/>
        <w:tabs>
          <w:tab w:val="left" w:pos="525" w:leader="none"/>
          <w:tab w:val="left" w:pos="630" w:leader="none"/>
          <w:tab w:val="left" w:pos="735" w:leader="none"/>
          <w:tab w:val="left" w:pos="945" w:leader="none"/>
        </w:tabs>
        <w:rPr>
          <w:rFonts w:hint="eastAsia" w:ascii="宋体" w:hAnsi="Times New Roman" w:eastAsia="宋体" w:cs="宋体"/>
          <w:bCs/>
          <w:color w:val="000000"/>
          <w:sz w:val="24"/>
          <w:szCs w:val="24"/>
          <w:lang w:val="en-US"/>
        </w:rPr>
        <w:suppressLineNumbers w:val="0"/>
      </w:pPr>
      <w:r>
        <w:rPr>
          <w:rFonts w:hint="eastAsia" w:ascii="宋体" w:hAnsi="宋体" w:eastAsia="宋体" w:cs="宋体"/>
          <w:bCs/>
          <w:color w:val="000000"/>
          <w:sz w:val="24"/>
          <w:szCs w:val="24"/>
          <w:lang w:val="en-US" w:eastAsia="zh-CN" w:bidi="ar"/>
        </w:rPr>
        <w:t xml:space="preserve">本项目合同履行地点：无锡市，具体地点以合同书约定为准。</w:t>
      </w:r>
      <w:r/>
    </w:p>
    <w:p>
      <w:pPr>
        <w:numPr>
          <w:ilvl w:val="1"/>
          <w:numId w:val="39"/>
        </w:numPr>
        <w:ind w:left="0" w:right="0" w:firstLine="480"/>
        <w:jc w:val="both"/>
        <w:keepLines w:val="0"/>
        <w:keepNext w:val="0"/>
        <w:spacing w:before="0" w:beforeAutospacing="0" w:after="0" w:afterAutospacing="0" w:line="360" w:lineRule="auto"/>
        <w:widowControl w:val="off"/>
        <w:tabs>
          <w:tab w:val="left" w:pos="525" w:leader="none"/>
          <w:tab w:val="left" w:pos="630" w:leader="none"/>
          <w:tab w:val="left" w:pos="735" w:leader="none"/>
          <w:tab w:val="left" w:pos="945" w:leader="none"/>
        </w:tabs>
        <w:rPr>
          <w:rFonts w:hint="eastAsia" w:ascii="宋体" w:hAnsi="Times New Roman" w:eastAsia="宋体" w:cs="宋体"/>
          <w:bCs/>
          <w:color w:val="000000"/>
          <w:sz w:val="24"/>
          <w:szCs w:val="24"/>
          <w:lang w:val="en-US"/>
        </w:rPr>
        <w:suppressLineNumbers w:val="0"/>
      </w:pPr>
      <w:r>
        <w:rPr>
          <w:rFonts w:hint="eastAsia" w:ascii="宋体" w:hAnsi="Times New Roman" w:eastAsia="宋体" w:cs="宋体"/>
          <w:bCs/>
          <w:color w:val="000000"/>
          <w:sz w:val="24"/>
          <w:szCs w:val="24"/>
          <w:lang w:val="en-US" w:eastAsia="zh-CN" w:bidi="ar"/>
        </w:rPr>
        <w:t xml:space="preserve">根据《关于推</w:t>
      </w:r>
      <w:r>
        <w:rPr>
          <w:rFonts w:hint="eastAsia" w:ascii="宋体" w:hAnsi="Times New Roman" w:eastAsia="宋体" w:cs="宋体"/>
          <w:bCs/>
          <w:color w:val="000000"/>
          <w:sz w:val="24"/>
          <w:szCs w:val="24"/>
          <w:lang w:val="en-US" w:eastAsia="zh-CN" w:bidi="ar"/>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39"/>
        </w:numPr>
        <w:ind w:left="0" w:right="0" w:firstLine="480"/>
        <w:jc w:val="both"/>
        <w:keepLines w:val="0"/>
        <w:keepNext w:val="0"/>
        <w:spacing w:before="0" w:beforeAutospacing="0" w:after="0" w:afterAutospacing="0" w:line="360" w:lineRule="auto"/>
        <w:widowControl w:val="off"/>
        <w:tabs>
          <w:tab w:val="left" w:pos="525" w:leader="none"/>
          <w:tab w:val="left" w:pos="630" w:leader="none"/>
          <w:tab w:val="left" w:pos="735" w:leader="none"/>
          <w:tab w:val="left" w:pos="945" w:leader="none"/>
        </w:tabs>
        <w:rPr>
          <w:rFonts w:hint="eastAsia" w:ascii="宋体" w:hAnsi="Times New Roman" w:eastAsia="宋体" w:cs="宋体"/>
          <w:bCs/>
          <w:color w:val="000000"/>
          <w:sz w:val="24"/>
          <w:szCs w:val="24"/>
          <w:lang w:val="en-US"/>
        </w:rPr>
        <w:suppressLineNumbers w:val="0"/>
      </w:pPr>
      <w:r>
        <w:rPr>
          <w:rFonts w:hint="eastAsia" w:ascii="宋体" w:hAnsi="宋体" w:eastAsia="宋体" w:cs="宋体"/>
          <w:bCs/>
          <w:color w:val="000000"/>
          <w:sz w:val="24"/>
          <w:szCs w:val="24"/>
          <w:lang w:val="en-US" w:eastAsia="zh-CN" w:bidi="ar"/>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ascii="Times New Roman" w:hAnsi="Times New Roman" w:eastAsia="宋体" w:cs="宋体"/>
          <w:color w:val="000000"/>
          <w:sz w:val="24"/>
          <w:szCs w:val="24"/>
          <w:lang w:val="en-US" w:eastAsia="zh-CN" w:bidi="ar"/>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39"/>
        </w:numPr>
        <w:ind w:left="0" w:right="0" w:firstLine="480"/>
        <w:jc w:val="both"/>
        <w:keepLines w:val="0"/>
        <w:keepNext w:val="0"/>
        <w:spacing w:before="0" w:beforeAutospacing="0" w:after="0" w:afterAutospacing="0" w:line="360" w:lineRule="auto"/>
        <w:widowControl w:val="off"/>
        <w:tabs>
          <w:tab w:val="left" w:pos="525" w:leader="none"/>
          <w:tab w:val="left" w:pos="630" w:leader="none"/>
          <w:tab w:val="left" w:pos="735" w:leader="none"/>
          <w:tab w:val="left" w:pos="945" w:leader="none"/>
        </w:tabs>
        <w:rPr>
          <w:rFonts w:hint="eastAsia" w:ascii="宋体" w:hAnsi="Times New Roman" w:eastAsia="宋体" w:cs="宋体"/>
          <w:bCs/>
          <w:color w:val="000000"/>
          <w:sz w:val="24"/>
          <w:szCs w:val="24"/>
          <w:lang w:val="en-US"/>
        </w:rPr>
        <w:suppressLineNumbers w:val="0"/>
      </w:pPr>
      <w:r>
        <w:rPr>
          <w:rFonts w:hint="eastAsia" w:ascii="宋体" w:hAnsi="宋体" w:eastAsia="宋体" w:cs="宋体"/>
          <w:bCs/>
          <w:color w:val="000000"/>
          <w:sz w:val="24"/>
          <w:szCs w:val="21"/>
          <w:lang w:val="en-US" w:eastAsia="zh-CN" w:bidi="ar"/>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39"/>
        </w:numPr>
        <w:ind w:left="0" w:right="0" w:firstLine="480"/>
        <w:jc w:val="both"/>
        <w:keepLines w:val="0"/>
        <w:keepNext w:val="0"/>
        <w:spacing w:before="0" w:beforeAutospacing="0" w:after="0" w:afterAutospacing="0" w:line="360" w:lineRule="auto"/>
        <w:widowControl w:val="off"/>
        <w:tabs>
          <w:tab w:val="left" w:pos="525" w:leader="none"/>
          <w:tab w:val="left" w:pos="630" w:leader="none"/>
          <w:tab w:val="left" w:pos="735" w:leader="none"/>
          <w:tab w:val="left" w:pos="945" w:leader="none"/>
        </w:tabs>
        <w:rPr>
          <w:rFonts w:hint="eastAsia" w:ascii="宋体" w:hAnsi="Times New Roman" w:eastAsia="宋体" w:cs="宋体"/>
          <w:bCs/>
          <w:color w:val="000000"/>
          <w:sz w:val="24"/>
          <w:szCs w:val="24"/>
          <w:lang w:val="en-US"/>
        </w:rPr>
        <w:suppressLineNumbers w:val="0"/>
      </w:pPr>
      <w:r>
        <w:rPr>
          <w:rFonts w:hint="eastAsia" w:ascii="宋体" w:hAnsi="Times New Roman" w:eastAsia="宋体" w:cs="宋体"/>
          <w:bCs/>
          <w:color w:val="000000"/>
          <w:sz w:val="24"/>
          <w:szCs w:val="24"/>
          <w:lang w:val="en-US" w:eastAsia="zh-CN" w:bidi="ar"/>
        </w:rPr>
        <w:t xml:space="preserve">依据《政府采购促进中小企业发展管理办法》规定享受扶持政策获得政府采购合同的，小微企业不得将合同分包给大中型企业，中型企业不得将合同分包给大型企业。</w:t>
      </w:r>
      <w:r/>
    </w:p>
    <w:p>
      <w:pPr>
        <w:numPr>
          <w:ilvl w:val="1"/>
          <w:numId w:val="39"/>
        </w:numPr>
        <w:ind w:left="0" w:right="0" w:firstLine="480"/>
        <w:jc w:val="both"/>
        <w:keepLines w:val="0"/>
        <w:keepNext w:val="0"/>
        <w:spacing w:before="0" w:beforeAutospacing="0" w:after="0" w:afterAutospacing="0" w:line="360" w:lineRule="auto"/>
        <w:widowControl w:val="off"/>
        <w:tabs>
          <w:tab w:val="left" w:pos="525" w:leader="none"/>
          <w:tab w:val="left" w:pos="630" w:leader="none"/>
          <w:tab w:val="left" w:pos="735" w:leader="none"/>
          <w:tab w:val="left" w:pos="945" w:leader="none"/>
        </w:tabs>
        <w:rPr>
          <w:rFonts w:hint="eastAsia" w:ascii="宋体" w:hAnsi="宋体" w:eastAsia="宋体" w:cs="宋体"/>
          <w:bCs/>
          <w:color w:val="000000"/>
          <w:sz w:val="24"/>
          <w:szCs w:val="21"/>
          <w:lang w:val="en-US"/>
        </w:rPr>
        <w:suppressLineNumbers w:val="0"/>
      </w:pPr>
      <w:r>
        <w:rPr>
          <w:rFonts w:hint="eastAsia" w:ascii="宋体" w:hAnsi="宋体" w:eastAsia="宋体" w:cs="宋体"/>
          <w:bCs/>
          <w:color w:val="000000"/>
          <w:sz w:val="24"/>
          <w:szCs w:val="21"/>
          <w:lang w:val="en-US" w:eastAsia="zh-CN" w:bidi="ar"/>
        </w:rPr>
        <w:t xml:space="preserve">开标后，投标人须自行准备设备（包括但不限于笔记本电脑、无线网络）登录</w:t>
      </w:r>
      <w:r>
        <w:rPr>
          <w:rFonts w:hint="eastAsia" w:ascii="宋体" w:hAnsi="宋体" w:eastAsia="宋体" w:cs="宋体"/>
          <w:bCs/>
          <w:color w:val="000000"/>
          <w:sz w:val="24"/>
          <w:szCs w:val="24"/>
          <w:lang w:val="en-US" w:eastAsia="zh-CN" w:bidi="ar"/>
        </w:rPr>
        <w:t xml:space="preserve">“苏采云”系统</w:t>
      </w:r>
      <w:r>
        <w:rPr>
          <w:rFonts w:hint="eastAsia" w:ascii="宋体" w:hAnsi="宋体" w:eastAsia="宋体" w:cs="宋体"/>
          <w:bCs/>
          <w:color w:val="000000"/>
          <w:sz w:val="24"/>
          <w:szCs w:val="21"/>
          <w:lang w:val="en-US" w:eastAsia="zh-CN" w:bidi="ar"/>
        </w:rPr>
        <w:t xml:space="preserve">，按招标文件规定时间解密后，在评标过程中保持在线，等待评标委员会的询标和评标结果，中途不得离开。如未按要求应答，由此所产生的损失及风险由投标人自行承担。</w:t>
      </w:r>
      <w:r/>
    </w:p>
    <w:p>
      <w:pPr>
        <w:ind w:firstLine="602"/>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br w:type="page" w:clear="all"/>
      </w:r>
      <w:r/>
    </w:p>
    <w:p>
      <w:pPr>
        <w:ind w:left="420"/>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highlight w:val="none"/>
        </w:rPr>
      </w:pPr>
      <w:r>
        <w:rPr>
          <w:rFonts w:hint="eastAsia" w:ascii="宋体" w:hAnsi="宋体"/>
          <w:b/>
          <w:color w:val="000000"/>
          <w:sz w:val="30"/>
          <w:szCs w:val="30"/>
          <w:highlight w:val="none"/>
        </w:rPr>
        <w:t xml:space="preserve">第三部分  政府采购政策（包括但不限于下列具体政策要求）</w:t>
      </w:r>
      <w:r/>
    </w:p>
    <w:p>
      <w:pPr>
        <w:numPr>
          <w:ilvl w:val="1"/>
          <w:numId w:val="40"/>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40"/>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40"/>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40"/>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有关中小企业政策，如</w:t>
      </w:r>
      <w:r>
        <w:rPr>
          <w:rFonts w:hint="eastAsia" w:ascii="宋体" w:hAnsi="宋体"/>
          <w:color w:val="000000"/>
          <w:sz w:val="24"/>
          <w:szCs w:val="24"/>
          <w:highlight w:val="none"/>
        </w:rPr>
        <w:t xml:space="preserve">落实政府采购政策需满足的资格要求以及落实政府采购政策的价格调整的相关内容可详见本文件其他章节。</w:t>
      </w:r>
      <w:r/>
    </w:p>
    <w:p>
      <w:pPr>
        <w:numPr>
          <w:ilvl w:val="1"/>
          <w:numId w:val="40"/>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中标、成交供应商可采用合同融资形式，中标人可凭政府采购合同办理融资贷款，详见政府采购网“政采贷”专栏。</w:t>
      </w:r>
      <w:r/>
    </w:p>
    <w:p>
      <w:pPr>
        <w:numPr>
          <w:ilvl w:val="1"/>
          <w:numId w:val="40"/>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40"/>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hAnsi="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highlight w:val="none"/>
        </w:rPr>
        <w:t xml:space="preserve">采购人可在合同中约定，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履约验收管理时，可对所提供的七种软硬件进行验收，必要时可以委托依法取得检测、认证资质的机构进行检测、认证。</w:t>
      </w:r>
      <w:r/>
    </w:p>
    <w:p>
      <w:pPr>
        <w:numPr>
          <w:ilvl w:val="1"/>
          <w:numId w:val="40"/>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采购人原则上应当自收到发票后10个工作日内将资金支付到合同约定的供应商账户。</w:t>
      </w:r>
      <w:r/>
    </w:p>
    <w:p>
      <w:pPr>
        <w:numPr>
          <w:ilvl w:val="1"/>
          <w:numId w:val="40"/>
        </w:numPr>
        <w:ind w:left="0" w:firstLine="480"/>
        <w:spacing w:line="360" w:lineRule="auto"/>
        <w:tabs>
          <w:tab w:val="left" w:pos="525" w:leader="none"/>
          <w:tab w:val="left" w:pos="945" w:leader="none"/>
        </w:tabs>
        <w:rPr>
          <w:rFonts w:hint="eastAsia" w:ascii="宋体"/>
          <w:bCs/>
          <w:color w:val="000000"/>
          <w:sz w:val="24"/>
          <w:szCs w:val="24"/>
          <w:highlight w:val="none"/>
          <w:lang w:val="en"/>
        </w:rPr>
      </w:pPr>
      <w:r>
        <w:rPr>
          <w:rFonts w:hint="eastAsia" w:ascii="宋体"/>
          <w:bCs/>
          <w:color w:val="000000"/>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40"/>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w:t>
      </w:r>
      <w:bookmarkStart w:id="214" w:name="OLE_LINK2"/>
      <w:r/>
      <w:bookmarkStart w:id="215" w:name="OLE_LINK1"/>
      <w:r>
        <w:rPr>
          <w:rFonts w:hint="eastAsia" w:ascii="宋体"/>
          <w:bCs/>
          <w:color w:val="000000"/>
          <w:sz w:val="24"/>
          <w:szCs w:val="24"/>
          <w:highlight w:val="none"/>
        </w:rPr>
        <w:t xml:space="preserve">《保障中小企业款项支付条例》（中华人民共和国国务院令第802号）</w:t>
      </w:r>
      <w:bookmarkEnd w:id="214"/>
      <w:r/>
      <w:bookmarkEnd w:id="215"/>
      <w:r>
        <w:rPr>
          <w:rFonts w:hint="eastAsia" w:ascii="宋体"/>
          <w:bCs/>
          <w:color w:val="000000"/>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机关、事业单位和大型企业采购货物、工程、服务支付中小企业款项，应当遵守《保障中小企业款项支付条例》（中华人民共和国国务院令第802号）。</w:t>
      </w:r>
      <w:r/>
    </w:p>
    <w:p>
      <w:pPr>
        <w:numPr>
          <w:ilvl w:val="1"/>
          <w:numId w:val="40"/>
        </w:numPr>
        <w:ind w:left="0" w:firstLine="480"/>
        <w:spacing w:line="360" w:lineRule="auto"/>
        <w:tabs>
          <w:tab w:val="left" w:pos="525" w:leader="none"/>
          <w:tab w:val="left" w:pos="945" w:leader="none"/>
        </w:tabs>
        <w:rPr>
          <w:rFonts w:hint="eastAsia" w:ascii="宋体"/>
          <w:bCs/>
          <w:color w:val="000000"/>
          <w:sz w:val="24"/>
          <w:szCs w:val="24"/>
          <w:highlight w:val="none"/>
          <w:lang w:val="en"/>
        </w:rPr>
      </w:pPr>
      <w:r>
        <w:rPr>
          <w:rFonts w:hint="eastAsia" w:ascii="宋体"/>
          <w:bCs/>
          <w:color w:val="000000"/>
          <w:sz w:val="24"/>
          <w:szCs w:val="24"/>
          <w:highlight w:val="none"/>
        </w:rPr>
        <w:t xml:space="preserve">根据《关于推动解决政府采购异常低价问题相关工作的通知》（苏财购〔2025〕62号）要求，</w:t>
      </w:r>
      <w:r>
        <w:rPr>
          <w:rFonts w:hint="eastAsia" w:ascii="宋体"/>
          <w:bCs/>
          <w:color w:val="000000"/>
          <w:sz w:val="24"/>
          <w:szCs w:val="24"/>
          <w:highlight w:val="none"/>
          <w:lang w:val="en"/>
        </w:rPr>
        <w:t xml:space="preserve">采购人应当加强对信息化建设、耗材使用量大的仪器设备等采购项目的管理。对于信息化建设项目，采购人应当要求供应商严格落实相关开放性、兼容性标准和规范要求，按合同约定提供服务，在系统运行过程中，不得在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numPr>
          <w:ilvl w:val="0"/>
          <w:numId w:val="0"/>
        </w:numPr>
        <w:ind w:left="480"/>
        <w:spacing w:line="360" w:lineRule="auto"/>
        <w:tabs>
          <w:tab w:val="left" w:pos="525" w:leader="none"/>
          <w:tab w:val="left" w:pos="945" w:leader="none"/>
        </w:tabs>
        <w:rPr>
          <w:rFonts w:hint="eastAsia" w:ascii="宋体"/>
          <w:bCs/>
          <w:color w:val="000000"/>
          <w:sz w:val="24"/>
          <w:szCs w:val="24"/>
          <w:highlight w:val="none"/>
          <w:lang w:val="en"/>
        </w:rPr>
      </w:pPr>
      <w:r>
        <w:rPr>
          <w:rFonts w:hint="eastAsia" w:ascii="宋体"/>
          <w:bCs/>
          <w:color w:val="000000"/>
          <w:sz w:val="24"/>
          <w:szCs w:val="24"/>
          <w:highlight w:val="none"/>
          <w:lang w:val="en"/>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r>
      <w:r/>
    </w:p>
    <w:p>
      <w:pPr>
        <w:jc w:val="center"/>
        <w:spacing w:line="360" w:lineRule="auto"/>
        <w:tabs>
          <w:tab w:val="left" w:pos="1440" w:leader="none"/>
        </w:tabs>
        <w:rPr>
          <w:rFonts w:hint="eastAsia" w:ascii="黑体" w:hAnsi="黑体" w:eastAsia="黑体"/>
          <w:color w:val="000000"/>
          <w:sz w:val="36"/>
          <w:szCs w:val="36"/>
          <w:highlight w:val="none"/>
        </w:rPr>
        <w:outlineLvl w:val="0"/>
      </w:pPr>
      <w:r>
        <w:rPr>
          <w:rFonts w:ascii="宋体"/>
          <w:bCs/>
          <w:color w:val="000000"/>
          <w:sz w:val="24"/>
          <w:szCs w:val="24"/>
          <w:highlight w:val="none"/>
        </w:rPr>
        <w:br w:type="page" w:clear="all"/>
      </w:r>
      <w:bookmarkStart w:id="216" w:name="_Toc120614281"/>
      <w:r>
        <w:rPr>
          <w:rFonts w:hint="eastAsia" w:ascii="黑体" w:hAnsi="黑体" w:eastAsia="黑体"/>
          <w:color w:val="000000"/>
          <w:sz w:val="36"/>
          <w:szCs w:val="36"/>
          <w:highlight w:val="none"/>
        </w:rPr>
        <w:t xml:space="preserve">第五章  评标方法与评标标准</w:t>
      </w:r>
      <w:r/>
    </w:p>
    <w:p>
      <w:pPr>
        <w:pStyle w:val="1044"/>
        <w:ind w:firstLine="602"/>
        <w:spacing w:before="0" w:after="0" w:line="360" w:lineRule="auto"/>
        <w:rPr>
          <w:rFonts w:hint="eastAsia" w:cs="Arial"/>
          <w:b/>
          <w:color w:val="000000"/>
          <w:sz w:val="30"/>
          <w:szCs w:val="30"/>
          <w:highlight w:val="none"/>
        </w:rPr>
      </w:pPr>
      <w:r>
        <w:rPr>
          <w:rFonts w:hint="eastAsia" w:cs="Arial"/>
          <w:b/>
          <w:color w:val="000000"/>
          <w:sz w:val="30"/>
          <w:szCs w:val="30"/>
          <w:highlight w:val="none"/>
        </w:rPr>
        <w:t xml:space="preserve">第一部分  评标方法</w:t>
      </w:r>
      <w:r/>
    </w:p>
    <w:p>
      <w:pPr>
        <w:pStyle w:val="1044"/>
        <w:spacing w:before="0" w:after="0" w:line="360" w:lineRule="auto"/>
        <w:rPr>
          <w:rFonts w:hint="eastAsia" w:cs="Arial"/>
          <w:color w:val="000000"/>
          <w:highlight w:val="none"/>
        </w:rPr>
      </w:pPr>
      <w:r>
        <w:rPr>
          <w:rFonts w:hint="eastAsia" w:cs="Arial"/>
          <w:color w:val="000000"/>
          <w:highlight w:val="none"/>
        </w:rPr>
        <w:t xml:space="preserve">投标人通过初审的，方可进入比较与评价程序。</w:t>
      </w:r>
      <w:r/>
    </w:p>
    <w:p>
      <w:pPr>
        <w:pStyle w:val="1044"/>
        <w:spacing w:before="0" w:after="0" w:line="360" w:lineRule="auto"/>
        <w:rPr>
          <w:rFonts w:hint="eastAsia" w:cs="Arial"/>
          <w:color w:val="000000"/>
          <w:highlight w:val="none"/>
        </w:rPr>
      </w:pPr>
      <w:r>
        <w:rPr>
          <w:rFonts w:hint="eastAsia" w:cs="Arial"/>
          <w:color w:val="000000"/>
          <w:highlight w:val="none"/>
        </w:rPr>
        <w:t xml:space="preserve">比较与评价采用综合评分法。</w:t>
      </w:r>
      <w:r/>
    </w:p>
    <w:p>
      <w:pPr>
        <w:pStyle w:val="1044"/>
        <w:spacing w:before="0" w:after="0" w:line="360" w:lineRule="auto"/>
        <w:rPr>
          <w:rFonts w:hint="eastAsia" w:ascii="宋体" w:hAnsi="宋体"/>
          <w:bCs/>
          <w:color w:val="000000"/>
          <w:highlight w:val="none"/>
        </w:rPr>
      </w:pPr>
      <w:r>
        <w:rPr>
          <w:rFonts w:hint="eastAsia" w:ascii="宋体" w:hAnsi="宋体"/>
          <w:bCs/>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1044"/>
        <w:spacing w:before="0" w:after="0" w:line="360" w:lineRule="auto"/>
        <w:rPr>
          <w:rFonts w:hint="eastAsia" w:ascii="宋体" w:hAnsi="宋体"/>
          <w:bCs/>
          <w:color w:val="000000"/>
          <w:highlight w:val="none"/>
        </w:rPr>
      </w:pPr>
      <w:r>
        <w:rPr>
          <w:rFonts w:hint="eastAsia" w:ascii="宋体" w:hAnsi="宋体"/>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44"/>
        <w:spacing w:before="0" w:after="0" w:line="360" w:lineRule="auto"/>
        <w:rPr>
          <w:rFonts w:hint="eastAsia" w:cs="Arial"/>
          <w:b/>
          <w:color w:val="000000"/>
          <w:sz w:val="30"/>
          <w:szCs w:val="30"/>
          <w:highlight w:val="none"/>
        </w:rPr>
      </w:pPr>
      <w:r>
        <w:rPr>
          <w:rFonts w:cs="Arial"/>
          <w:color w:val="000000"/>
          <w:highlight w:val="none"/>
          <w:shd w:val="clear" w:color="ffffff" w:fill="d9d9d9"/>
        </w:rPr>
        <w:br w:type="page" w:clear="all"/>
      </w:r>
      <w:r>
        <w:rPr>
          <w:rFonts w:hint="eastAsia" w:cs="Arial"/>
          <w:b/>
          <w:color w:val="000000"/>
          <w:sz w:val="30"/>
          <w:szCs w:val="30"/>
          <w:highlight w:val="none"/>
        </w:rPr>
        <w:t xml:space="preserve">第二部分  评标标准</w:t>
      </w:r>
      <w:r/>
    </w:p>
    <w:p>
      <w:pPr>
        <w:pStyle w:val="1044"/>
        <w:ind w:firstLine="562"/>
        <w:spacing w:before="0" w:after="0" w:line="36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p>
    <w:p>
      <w:pPr>
        <w:ind w:firstLine="482"/>
        <w:jc w:val="left"/>
        <w:spacing w:line="360" w:lineRule="auto"/>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1.对小型和微型企业产品的价格给予10</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rPr>
        <w:t xml:space="preserve">（财库﹝2020﹞46 号）</w:t>
      </w:r>
      <w:r>
        <w:rPr>
          <w:rFonts w:hint="eastAsia" w:ascii="宋体" w:hAnsi="宋体"/>
          <w:bCs/>
          <w:color w:val="000000" w:themeColor="text1"/>
          <w:sz w:val="24"/>
          <w:szCs w:val="24"/>
          <w:highlight w:val="none"/>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rPr>
        <w:t xml:space="preserve">2011</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300</w:t>
      </w:r>
      <w:r>
        <w:rPr>
          <w:rFonts w:hint="eastAsia" w:ascii="宋体" w:hAnsi="宋体"/>
          <w:bCs/>
          <w:color w:val="000000" w:themeColor="text1"/>
          <w:sz w:val="24"/>
          <w:szCs w:val="24"/>
          <w:highlight w:val="none"/>
        </w:rPr>
        <w:t xml:space="preserve">号）。</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4.残疾人福利单位、监狱企业属于小型、微型企业的，不重复享受政策。</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5.如允许联合体投标的项目，且存在联合投标的</w:t>
      </w:r>
      <w:r>
        <w:rPr>
          <w:rFonts w:ascii="宋体" w:hAnsi="宋体"/>
          <w:bCs/>
          <w:color w:val="000000" w:themeColor="text1"/>
          <w:sz w:val="24"/>
          <w:szCs w:val="24"/>
          <w:highlight w:val="none"/>
        </w:rPr>
        <w:t xml:space="preserve">，联合协议中约定，小型、微型企业（</w:t>
      </w:r>
      <w:r>
        <w:rPr>
          <w:rFonts w:hint="eastAsia" w:ascii="宋体" w:hAnsi="宋体"/>
          <w:bCs/>
          <w:color w:val="000000" w:themeColor="text1"/>
          <w:sz w:val="24"/>
          <w:szCs w:val="24"/>
          <w:highlight w:val="none"/>
        </w:rPr>
        <w:t xml:space="preserve">监狱</w:t>
      </w:r>
      <w:r>
        <w:rPr>
          <w:rFonts w:ascii="宋体" w:hAnsi="宋体"/>
          <w:bCs/>
          <w:color w:val="000000" w:themeColor="text1"/>
          <w:sz w:val="24"/>
          <w:szCs w:val="24"/>
          <w:highlight w:val="none"/>
        </w:rPr>
        <w:t xml:space="preserve">企业、残疾人福利性单位视同小型、微型企业，下同）</w:t>
      </w:r>
      <w:r>
        <w:rPr>
          <w:rFonts w:hint="eastAsia" w:ascii="宋体" w:hAnsi="宋体"/>
          <w:bCs/>
          <w:color w:val="000000" w:themeColor="text1"/>
          <w:sz w:val="24"/>
          <w:szCs w:val="24"/>
          <w:highlight w:val="none"/>
        </w:rPr>
        <w:t xml:space="preserve">的</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合同</w:t>
      </w:r>
      <w:r>
        <w:rPr>
          <w:rFonts w:ascii="宋体" w:hAnsi="宋体"/>
          <w:bCs/>
          <w:color w:val="000000" w:themeColor="text1"/>
          <w:sz w:val="24"/>
          <w:szCs w:val="24"/>
          <w:highlight w:val="none"/>
        </w:rPr>
        <w:t xml:space="preserve">金额占到联合体协议合同总金额</w:t>
      </w:r>
      <w:r>
        <w:rPr>
          <w:rFonts w:hint="eastAsia" w:ascii="宋体" w:hAnsi="宋体"/>
          <w:bCs/>
          <w:color w:val="000000" w:themeColor="text1"/>
          <w:sz w:val="24"/>
          <w:szCs w:val="24"/>
          <w:highlight w:val="none"/>
        </w:rPr>
        <w:t xml:space="preserve">30</w:t>
      </w:r>
      <w:r>
        <w:rPr>
          <w:rFonts w:ascii="宋体" w:hAnsi="宋体"/>
          <w:bCs/>
          <w:color w:val="000000" w:themeColor="text1"/>
          <w:sz w:val="24"/>
          <w:szCs w:val="24"/>
          <w:highlight w:val="none"/>
        </w:rPr>
        <w:t xml:space="preserve">%以上的，可给予联合体</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%的价格扣除，</w:t>
      </w:r>
      <w:r>
        <w:rPr>
          <w:rFonts w:hint="eastAsia" w:ascii="宋体" w:hAnsi="宋体"/>
          <w:bCs/>
          <w:color w:val="000000" w:themeColor="text1"/>
          <w:sz w:val="24"/>
          <w:szCs w:val="24"/>
          <w:highlight w:val="none"/>
        </w:rPr>
        <w:t xml:space="preserve">用扣除后的价格参与评审。投标人须在《联合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》中明确，否则不得享受价格扣除。联合体</w:t>
      </w:r>
      <w:r>
        <w:rPr>
          <w:rFonts w:ascii="宋体" w:hAnsi="宋体"/>
          <w:bCs/>
          <w:color w:val="000000" w:themeColor="text1"/>
          <w:sz w:val="24"/>
          <w:szCs w:val="24"/>
          <w:highlight w:val="none"/>
        </w:rPr>
        <w:t xml:space="preserve">各方均为小型、微型企业的，联合体视同为小型、微型企业按规定享受价格扣除</w:t>
      </w:r>
      <w:r>
        <w:rPr>
          <w:rFonts w:hint="eastAsia" w:ascii="宋体" w:hAnsi="宋体"/>
          <w:bCs/>
          <w:color w:val="000000" w:themeColor="text1"/>
          <w:sz w:val="24"/>
          <w:szCs w:val="24"/>
          <w:highlight w:val="none"/>
        </w:rPr>
        <w:t xml:space="preserve">。</w:t>
      </w:r>
      <w:r/>
    </w:p>
    <w:p>
      <w:pPr>
        <w:ind w:firstLine="480"/>
        <w:jc w:val="left"/>
        <w:spacing w:line="360" w:lineRule="auto"/>
        <w:rPr>
          <w:color w:val="000000" w:themeColor="text1"/>
          <w:highlight w:val="none"/>
        </w:rPr>
      </w:pPr>
      <w:r>
        <w:rPr>
          <w:rFonts w:hint="eastAsia" w:ascii="宋体" w:hAnsi="宋体"/>
          <w:bCs/>
          <w:color w:val="000000" w:themeColor="text1"/>
          <w:sz w:val="24"/>
          <w:szCs w:val="24"/>
          <w:highlight w:val="none"/>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rPr>
        <w:t xml:space="preserve">。投标人</w:t>
      </w:r>
      <w:r>
        <w:rPr>
          <w:rFonts w:ascii="宋体" w:hAnsi="宋体"/>
          <w:bCs/>
          <w:color w:val="000000" w:themeColor="text1"/>
          <w:sz w:val="24"/>
          <w:szCs w:val="24"/>
          <w:highlight w:val="none"/>
        </w:rPr>
        <w:t xml:space="preserve">须在</w:t>
      </w:r>
      <w:r>
        <w:rPr>
          <w:rFonts w:hint="eastAsia" w:ascii="宋体" w:hAnsi="宋体"/>
          <w:bCs/>
          <w:color w:val="000000" w:themeColor="text1"/>
          <w:sz w:val="24"/>
          <w:szCs w:val="24"/>
          <w:highlight w:val="none"/>
        </w:rPr>
        <w:t xml:space="preserve">《联合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w:t>
      </w:r>
      <w:r>
        <w:rPr>
          <w:rFonts w:ascii="宋体" w:hAnsi="宋体"/>
          <w:bCs/>
          <w:color w:val="000000" w:themeColor="text1"/>
          <w:sz w:val="24"/>
          <w:szCs w:val="24"/>
          <w:highlight w:val="none"/>
        </w:rPr>
        <w:t xml:space="preserve">明确联合体各方是否存在</w:t>
      </w:r>
      <w:r>
        <w:rPr>
          <w:rFonts w:hint="eastAsia" w:ascii="宋体" w:hAnsi="宋体"/>
          <w:bCs/>
          <w:color w:val="000000" w:themeColor="text1"/>
          <w:sz w:val="24"/>
          <w:szCs w:val="24"/>
          <w:highlight w:val="none"/>
        </w:rPr>
        <w:t xml:space="preserve">上述</w:t>
      </w:r>
      <w:r>
        <w:rPr>
          <w:rFonts w:ascii="宋体" w:hAnsi="宋体"/>
          <w:bCs/>
          <w:color w:val="000000" w:themeColor="text1"/>
          <w:sz w:val="24"/>
          <w:szCs w:val="24"/>
          <w:highlight w:val="none"/>
        </w:rPr>
        <w:t xml:space="preserve">关系，如未进行明确的亦不得享受价格扣除</w:t>
      </w:r>
      <w:r>
        <w:rPr>
          <w:rFonts w:hint="eastAsia" w:ascii="宋体" w:hAnsi="宋体"/>
          <w:bCs/>
          <w:color w:val="000000" w:themeColor="text1"/>
          <w:sz w:val="24"/>
          <w:szCs w:val="24"/>
          <w:highlight w:val="none"/>
        </w:rPr>
        <w:t xml:space="preserve">。</w:t>
      </w:r>
      <w:r/>
    </w:p>
    <w:p>
      <w:pPr>
        <w:pStyle w:val="1044"/>
        <w:numPr>
          <w:ilvl w:val="0"/>
          <w:numId w:val="41"/>
        </w:numPr>
        <w:ind w:firstLine="360"/>
        <w:spacing w:before="0" w:after="0" w:line="360" w:lineRule="auto"/>
        <w:rPr>
          <w:rFonts w:hint="eastAsia" w:ascii="宋体" w:hAnsi="宋体"/>
          <w:b/>
          <w:color w:val="000000"/>
          <w:sz w:val="28"/>
          <w:szCs w:val="28"/>
          <w:highlight w:val="none"/>
        </w:rPr>
      </w:pPr>
      <w:r>
        <w:rPr>
          <w:rFonts w:ascii="宋体" w:hAnsi="宋体"/>
          <w:color w:val="000000"/>
          <w:highlight w:val="none"/>
          <w:shd w:val="clear" w:color="ffffff" w:fill="d9d9d9"/>
        </w:rPr>
        <w:br w:type="page" w:clear="all"/>
      </w:r>
      <w:r>
        <w:rPr>
          <w:rFonts w:hint="eastAsia" w:ascii="宋体" w:hAnsi="宋体"/>
          <w:b/>
          <w:color w:val="000000"/>
          <w:sz w:val="28"/>
          <w:szCs w:val="28"/>
          <w:highlight w:val="none"/>
        </w:rPr>
        <w:t xml:space="preserve">评分标准</w:t>
      </w:r>
      <w:r/>
    </w:p>
    <w:p>
      <w:pPr>
        <w:pStyle w:val="1044"/>
        <w:numPr>
          <w:ilvl w:val="0"/>
          <w:numId w:val="0"/>
        </w:numPr>
        <w:ind w:firstLine="562"/>
        <w:spacing w:before="0" w:after="0" w:line="360" w:lineRule="auto"/>
        <w:rPr>
          <w:rFonts w:hint="eastAsia" w:ascii="宋体" w:hAnsi="宋体"/>
          <w:b/>
          <w:color w:val="000000"/>
          <w:sz w:val="28"/>
          <w:szCs w:val="28"/>
          <w:highlight w:val="none"/>
        </w:rPr>
      </w:pPr>
      <w:r>
        <w:rPr>
          <w:rFonts w:hint="eastAsia" w:ascii="宋体" w:hAnsi="宋体" w:eastAsia="宋体" w:cs="宋体"/>
          <w:b/>
          <w:sz w:val="28"/>
          <w:szCs w:val="28"/>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ind w:firstLine="120"/>
        <w:spacing w:line="360" w:lineRule="auto"/>
        <w:rPr>
          <w:rFonts w:cs="宋体" w:asciiTheme="minorEastAsia" w:hAnsiTheme="minorEastAsia"/>
          <w:sz w:val="24"/>
        </w:rPr>
      </w:pPr>
      <w:r/>
      <w:bookmarkStart w:id="217" w:name="_Hlk165208115"/>
      <w:r>
        <w:rPr>
          <w:rFonts w:hint="eastAsia" w:cs="宋体" w:asciiTheme="minorEastAsia" w:hAnsiTheme="minorEastAsia"/>
          <w:sz w:val="24"/>
        </w:rPr>
        <w:t xml:space="preserve">（一）评分项目及总分（总分100分）</w:t>
      </w:r>
      <w:r/>
    </w:p>
    <w:p>
      <w:pPr>
        <w:ind w:left="0" w:right="0" w:firstLine="718"/>
        <w:jc w:val="both"/>
        <w:keepLines w:val="0"/>
        <w:keepNext w:val="0"/>
        <w:spacing w:before="0" w:beforeAutospacing="0" w:after="0" w:afterAutospacing="0" w:line="360" w:lineRule="auto"/>
        <w:widowControl w:val="off"/>
        <w:rPr>
          <w:rFonts w:hint="eastAsia" w:ascii="宋体" w:hAnsi="宋体" w:eastAsia="宋体" w:cs="宋体"/>
          <w:b/>
          <w:bCs/>
          <w:sz w:val="24"/>
          <w:szCs w:val="21"/>
          <w:lang w:val="en-US"/>
        </w:rPr>
        <w:suppressLineNumbers w:val="0"/>
      </w:pPr>
      <w:r/>
      <w:bookmarkStart w:id="218" w:name="_Hlk165208094"/>
      <w:r>
        <w:rPr>
          <w:rFonts w:hint="eastAsia" w:ascii="宋体" w:hAnsi="宋体" w:eastAsia="宋体" w:cs="宋体"/>
          <w:b/>
          <w:bCs/>
          <w:sz w:val="24"/>
          <w:szCs w:val="21"/>
          <w:lang w:val="en-US" w:eastAsia="zh-CN" w:bidi="ar"/>
        </w:rPr>
        <w:t xml:space="preserve">1、价格                       23分</w:t>
      </w:r>
      <w:r/>
    </w:p>
    <w:p>
      <w:pPr>
        <w:ind w:left="0" w:right="0" w:firstLine="718"/>
        <w:jc w:val="both"/>
        <w:keepLines w:val="0"/>
        <w:keepNext w:val="0"/>
        <w:spacing w:before="0" w:beforeAutospacing="0" w:after="0" w:afterAutospacing="0" w:line="360" w:lineRule="auto"/>
        <w:widowControl w:val="off"/>
        <w:rPr>
          <w:rFonts w:hint="eastAsia" w:ascii="宋体" w:hAnsi="宋体" w:eastAsia="宋体" w:cs="宋体"/>
          <w:b/>
          <w:bCs/>
          <w:sz w:val="24"/>
          <w:szCs w:val="21"/>
          <w:lang w:val="en-US"/>
        </w:rPr>
        <w:suppressLineNumbers w:val="0"/>
      </w:pPr>
      <w:r>
        <w:rPr>
          <w:rFonts w:hint="eastAsia" w:ascii="宋体" w:hAnsi="宋体" w:eastAsia="宋体" w:cs="宋体"/>
          <w:b/>
          <w:bCs/>
          <w:sz w:val="24"/>
          <w:szCs w:val="21"/>
          <w:lang w:val="en-US" w:eastAsia="zh-CN" w:bidi="ar"/>
        </w:rPr>
        <w:t xml:space="preserve">2、人员                       5分</w:t>
      </w:r>
      <w:r/>
    </w:p>
    <w:p>
      <w:pPr>
        <w:ind w:left="0" w:right="0" w:firstLine="718"/>
        <w:jc w:val="both"/>
        <w:keepLines w:val="0"/>
        <w:keepNext w:val="0"/>
        <w:spacing w:before="0" w:beforeAutospacing="0" w:after="0" w:afterAutospacing="0" w:line="360" w:lineRule="auto"/>
        <w:widowControl w:val="off"/>
        <w:rPr>
          <w:rFonts w:hint="eastAsia" w:ascii="宋体" w:hAnsi="宋体" w:eastAsia="宋体" w:cs="宋体"/>
          <w:b/>
          <w:bCs/>
          <w:sz w:val="24"/>
          <w:szCs w:val="21"/>
          <w:lang w:val="en-US"/>
        </w:rPr>
        <w:suppressLineNumbers w:val="0"/>
      </w:pPr>
      <w:r>
        <w:rPr>
          <w:rFonts w:hint="eastAsia" w:ascii="宋体" w:hAnsi="宋体" w:eastAsia="宋体" w:cs="宋体"/>
          <w:b/>
          <w:bCs w:val="0"/>
          <w:sz w:val="24"/>
          <w:szCs w:val="21"/>
          <w:lang w:val="en-US" w:eastAsia="zh-CN" w:bidi="ar"/>
        </w:rPr>
        <w:t xml:space="preserve">3、投标人综合情况</w:t>
      </w:r>
      <w:r>
        <w:rPr>
          <w:rFonts w:hint="eastAsia" w:ascii="宋体" w:hAnsi="宋体" w:eastAsia="宋体" w:cs="宋体"/>
          <w:b/>
          <w:bCs/>
          <w:sz w:val="24"/>
          <w:szCs w:val="21"/>
          <w:lang w:val="en-US" w:eastAsia="zh-CN" w:bidi="ar"/>
        </w:rPr>
        <w:t xml:space="preserve">             12分</w:t>
      </w:r>
      <w:r/>
    </w:p>
    <w:p>
      <w:pPr>
        <w:ind w:left="0" w:right="0" w:firstLine="718"/>
        <w:jc w:val="both"/>
        <w:keepLines w:val="0"/>
        <w:keepNext w:val="0"/>
        <w:spacing w:before="0" w:beforeAutospacing="0" w:after="0" w:afterAutospacing="0" w:line="360" w:lineRule="auto"/>
        <w:widowControl w:val="off"/>
        <w:rPr>
          <w:rFonts w:hint="eastAsia" w:ascii="宋体" w:hAnsi="宋体" w:eastAsia="宋体" w:cs="宋体"/>
          <w:b/>
          <w:bCs/>
          <w:sz w:val="24"/>
          <w:szCs w:val="21"/>
          <w:lang w:val="en-US"/>
        </w:rPr>
        <w:suppressLineNumbers w:val="0"/>
      </w:pPr>
      <w:r>
        <w:rPr>
          <w:rFonts w:hint="eastAsia" w:ascii="宋体" w:hAnsi="宋体" w:eastAsia="宋体" w:cs="宋体"/>
          <w:b/>
          <w:bCs/>
          <w:sz w:val="24"/>
          <w:szCs w:val="21"/>
          <w:lang w:val="en-US" w:eastAsia="zh-CN" w:bidi="ar"/>
        </w:rPr>
        <w:t xml:space="preserve">4、演示                       5分</w:t>
      </w:r>
      <w:r/>
    </w:p>
    <w:p>
      <w:pPr>
        <w:ind w:left="0" w:right="0" w:firstLine="718"/>
        <w:jc w:val="both"/>
        <w:keepLines w:val="0"/>
        <w:keepNext w:val="0"/>
        <w:spacing w:before="0" w:beforeAutospacing="0" w:after="0" w:afterAutospacing="0" w:line="360" w:lineRule="auto"/>
        <w:widowControl w:val="off"/>
        <w:rPr>
          <w:rFonts w:hint="eastAsia" w:ascii="宋体" w:hAnsi="宋体" w:eastAsia="宋体" w:cs="宋体"/>
          <w:b/>
          <w:bCs w:val="0"/>
          <w:sz w:val="24"/>
          <w:szCs w:val="21"/>
          <w:lang w:val="en-US"/>
        </w:rPr>
        <w:suppressLineNumbers w:val="0"/>
      </w:pPr>
      <w:r>
        <w:rPr>
          <w:rFonts w:hint="eastAsia" w:ascii="宋体" w:hAnsi="宋体" w:eastAsia="宋体" w:cs="宋体"/>
          <w:b/>
          <w:bCs w:val="0"/>
          <w:sz w:val="24"/>
          <w:szCs w:val="21"/>
          <w:lang w:val="en-US" w:eastAsia="zh-CN" w:bidi="ar"/>
        </w:rPr>
        <w:t xml:space="preserve">5、</w:t>
      </w:r>
      <w:r>
        <w:rPr>
          <w:rFonts w:hint="eastAsia" w:ascii="宋体" w:hAnsi="宋体" w:eastAsia="宋体" w:cs="宋体"/>
          <w:b/>
          <w:bCs/>
          <w:sz w:val="24"/>
          <w:szCs w:val="21"/>
          <w:lang w:val="en-US" w:eastAsia="zh-CN" w:bidi="ar"/>
        </w:rPr>
        <w:t xml:space="preserve">服务方案                   55分</w:t>
      </w:r>
      <w:bookmarkEnd w:id="218"/>
      <w:r/>
      <w:bookmarkEnd w:id="217"/>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sz w:val="24"/>
          <w:szCs w:val="21"/>
          <w:lang w:val="en-US"/>
        </w:rPr>
        <w:suppressLineNumbers w:val="0"/>
      </w:pPr>
      <w:r>
        <w:rPr>
          <w:rFonts w:hint="eastAsia" w:ascii="宋体" w:hAnsi="宋体" w:eastAsia="宋体" w:cs="宋体"/>
          <w:sz w:val="24"/>
          <w:szCs w:val="21"/>
          <w:lang w:val="en-US" w:eastAsia="zh-CN" w:bidi="ar"/>
        </w:rPr>
        <w:t xml:space="preserve">（二）各项目评分标准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outlineLvl w:val="1"/>
        <w:suppressLineNumbers w:val="0"/>
      </w:pPr>
      <w:r>
        <w:rPr>
          <w:rFonts w:hint="eastAsia" w:ascii="宋体" w:hAnsi="宋体" w:eastAsia="宋体" w:cs="宋体"/>
          <w:sz w:val="24"/>
          <w:szCs w:val="24"/>
          <w:lang w:val="en-US" w:eastAsia="zh-CN" w:bidi="ar"/>
        </w:rPr>
        <w:t xml:space="preserve">（一）商务部分（45分）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outlineLvl w:val="2"/>
        <w:suppressLineNumbers w:val="0"/>
      </w:pPr>
      <w:r>
        <w:rPr>
          <w:rFonts w:hint="eastAsia" w:ascii="宋体" w:hAnsi="宋体" w:eastAsia="宋体" w:cs="宋体"/>
          <w:sz w:val="24"/>
          <w:szCs w:val="24"/>
          <w:lang w:val="en-US" w:eastAsia="zh-CN" w:bidi="ar"/>
        </w:rPr>
        <w:t xml:space="preserve">1. 价格（23分）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采用低价优先法计算，即满足招标文件要求且投标价格最低的投标报价为评标基准价，其价格分为满分。其他投标人的价格分统一按照下列公式计算：</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投标报价得分=(评标基准价／投标报价)×价格权值×100。</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outlineLvl w:val="2"/>
        <w:suppressLineNumbers w:val="0"/>
      </w:pPr>
      <w:r>
        <w:rPr>
          <w:rFonts w:hint="eastAsia" w:ascii="宋体" w:hAnsi="宋体" w:eastAsia="宋体" w:cs="宋体"/>
          <w:sz w:val="24"/>
          <w:szCs w:val="24"/>
          <w:lang w:val="en-US" w:eastAsia="zh-CN" w:bidi="ar"/>
        </w:rPr>
        <w:t xml:space="preserve">2. 项目人员配置情况（5分）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考察投标人为本项目配备的人员情况，人员以填列的《项目人员配置清单》为准（格式见附件），并按评分标准要求提供相应证明材料扫描件及表格要求提供所填人员近三个月任意一个月的社保证明，否则不得分。以下人员均不得兼任。</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outlineLvl w:val="3"/>
        <w:suppressLineNumbers w:val="0"/>
      </w:pPr>
      <w:r>
        <w:rPr>
          <w:rFonts w:hint="eastAsia" w:ascii="宋体" w:hAnsi="宋体" w:eastAsia="宋体" w:cs="宋体"/>
          <w:sz w:val="24"/>
          <w:szCs w:val="24"/>
          <w:lang w:val="en-US" w:eastAsia="zh-CN" w:bidi="ar"/>
        </w:rPr>
        <w:t xml:space="preserve">2.1项目成员（5分）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投标人为本项目配备一名项目负责人，对项目整体交付进行全过程管理，该负责人具有信息系统项目管理师、网络与信息安全管理员、中级及以上工程师(电子、计算机等相关方向)证书的，每提供一类证书扫描件得1分，最高得3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投标人为本项目配备一名项目技术负责人，管理所有运维子项目运维质量、控制运维成本、管控运维数据的保存与安全。该负责人具有软件工程造价师证书和数据安全评估师证书，每提供一类证书扫描件得1分，最高得2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color w:val="000000"/>
          <w:sz w:val="24"/>
          <w:szCs w:val="24"/>
          <w:lang w:val="en-US"/>
        </w:rPr>
        <w:outlineLvl w:val="2"/>
        <w:suppressLineNumbers w:val="0"/>
      </w:pPr>
      <w:r>
        <w:rPr>
          <w:rFonts w:hint="eastAsia" w:ascii="宋体" w:hAnsi="宋体" w:eastAsia="宋体" w:cs="宋体"/>
          <w:color w:val="000000"/>
          <w:sz w:val="24"/>
          <w:szCs w:val="24"/>
          <w:lang w:val="en-US" w:eastAsia="zh-CN" w:bidi="ar"/>
        </w:rPr>
        <w:t xml:space="preserve">3. 投标人综合情况（12分）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color w:val="000000"/>
          <w:sz w:val="24"/>
          <w:szCs w:val="24"/>
          <w:lang w:val="en-US"/>
        </w:rPr>
        <w:outlineLvl w:val="3"/>
        <w:suppressLineNumbers w:val="0"/>
      </w:pPr>
      <w:r>
        <w:rPr>
          <w:rFonts w:hint="eastAsia" w:ascii="宋体" w:hAnsi="宋体" w:eastAsia="宋体" w:cs="宋体"/>
          <w:color w:val="000000"/>
          <w:sz w:val="24"/>
          <w:szCs w:val="24"/>
          <w:lang w:val="en-US" w:eastAsia="zh-CN" w:bidi="ar"/>
        </w:rPr>
        <w:t xml:space="preserve">3.1类似业绩（6分）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投标人近三年(自2023年7月1日以来)具有信息化运维服务相关项目案例的，每提供一个有效业绩得2分，最高得6分。须提供合同扫描件。</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3.2投标人能力（4分）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信息安全管理体系认证、隐私信息管理体系认证、信息技术服务管理体系认证、质量管理体系认证证书的，提供证书扫描件并加盖公章，每有一张证书，得1分，最高得4分。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color w:val="000000"/>
          <w:sz w:val="24"/>
          <w:szCs w:val="24"/>
          <w:lang w:val="en-US"/>
        </w:rPr>
        <w:outlineLvl w:val="3"/>
        <w:suppressLineNumbers w:val="0"/>
      </w:pPr>
      <w:r>
        <w:rPr>
          <w:rFonts w:hint="eastAsia" w:ascii="宋体" w:hAnsi="宋体" w:eastAsia="宋体" w:cs="宋体"/>
          <w:color w:val="000000"/>
          <w:sz w:val="24"/>
          <w:szCs w:val="24"/>
          <w:lang w:val="en-US" w:eastAsia="zh-CN" w:bidi="ar"/>
        </w:rPr>
        <w:t xml:space="preserve">3.3服务能力承诺（2分）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为保障本项目的顺利实施，投标人需承诺为本项目派驻不少于2人的专属驻场管理团队（即不包含其他子项目所需驻场人员），协助采购人进行项目日常管理工作。投标人须提供承诺函扫描件（格式自拟）并加盖投标人公章。</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outlineLvl w:val="2"/>
        <w:suppressLineNumbers w:val="0"/>
      </w:pPr>
      <w:r>
        <w:rPr>
          <w:rFonts w:hint="eastAsia" w:ascii="宋体" w:hAnsi="宋体" w:eastAsia="宋体" w:cs="宋体"/>
          <w:sz w:val="24"/>
          <w:szCs w:val="24"/>
          <w:lang w:val="en-US" w:eastAsia="zh-CN" w:bidi="ar"/>
        </w:rPr>
        <w:t xml:space="preserve">4. 项目演示（5分）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演示（5分）：投标人须按照招标文件规定的演示内容制作演示视频文件，演示视频中</w:t>
      </w:r>
      <w:r>
        <w:rPr>
          <w:rFonts w:hint="eastAsia" w:ascii="宋体" w:hAnsi="宋体" w:eastAsia="宋体" w:cs="宋体"/>
          <w:sz w:val="24"/>
          <w:szCs w:val="24"/>
          <w:lang w:val="en-US" w:eastAsia="zh-CN" w:bidi="ar"/>
        </w:rPr>
        <w:t xml:space="preserve">的演示形式可以采用真实环境、Demo、PPT等形式演示。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根据投标人视频演示情况和以下功能得分点进行打分，未按要求进行演示或未提供演示视频的不得分。投标人使用专业运维管理平台，针对项目所涵盖所有子项目进行统一运维纳管，针对所使用运维平台工具进行功能点演示，演示功能如下：</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outlineLvl w:val="1"/>
        <w:suppressLineNumbers w:val="0"/>
      </w:pPr>
      <w:r>
        <w:rPr>
          <w:rFonts w:hint="eastAsia" w:ascii="宋体" w:hAnsi="宋体" w:eastAsia="宋体" w:cs="宋体"/>
          <w:sz w:val="24"/>
          <w:szCs w:val="24"/>
          <w:lang w:val="en-US" w:eastAsia="zh-CN" w:bidi="ar"/>
        </w:rPr>
        <w:t xml:space="preserve">4.1  统一运维驾驶舱主屏功能展示（1分）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能够对运维概况、资产概况、运维人员资源、项目运维、工单概况、主动服务模块的实时数据监测。本项全部按要求进行演示的得1分，未按要求进行演示或演示功能点不全或未进行演示的，均不得分。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outlineLvl w:val="1"/>
        <w:suppressLineNumbers w:val="0"/>
      </w:pPr>
      <w:r>
        <w:rPr>
          <w:rFonts w:hint="eastAsia" w:ascii="宋体" w:hAnsi="宋体" w:eastAsia="宋体" w:cs="宋体"/>
          <w:sz w:val="24"/>
          <w:szCs w:val="24"/>
          <w:lang w:val="en-US" w:eastAsia="zh-CN" w:bidi="ar"/>
        </w:rPr>
        <w:t xml:space="preserve">4.2 作业管理功能展示（1分）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作业计划、作业任务、作业类别三大功能。作业计划功能支持按作业状态、作业类别、计划类型、所属项目等多条件筛选作业计划，根据任务执行</w:t>
      </w:r>
      <w:r>
        <w:rPr>
          <w:rFonts w:hint="eastAsia" w:ascii="宋体" w:hAnsi="宋体" w:eastAsia="宋体" w:cs="宋体"/>
          <w:sz w:val="24"/>
          <w:szCs w:val="24"/>
          <w:lang w:val="en-US" w:eastAsia="zh-CN" w:bidi="ar"/>
        </w:rPr>
        <w:t xml:space="preserve">到期时间自动识别超期状态，同时可查看计划详情及关联作业记录，创建时可明确作业类别、计划类型、项目名称与作业内容，灵活配置周期性及一次性作业计划。系统需依据作业计划自动生成作业任务并分发至指定运维人员，支持待办与已办任务切换查看，待办任务可进行执行、转派操作并填写执行内容、上传附件，已办任务支持执行记录追溯与数据批量导出，快超期及已超期任务需进行醒目提示；作业类别支持新增、编辑、停用操作，可配置类别名称、状态等基础信息。本项全部按要求进行演示的得1分，未按要求进行演示或演示功能点不全或未进行演示的，均不得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outlineLvl w:val="1"/>
        <w:suppressLineNumbers w:val="0"/>
      </w:pPr>
      <w:r>
        <w:rPr>
          <w:rFonts w:hint="eastAsia" w:ascii="宋体" w:hAnsi="宋体" w:eastAsia="宋体" w:cs="宋体"/>
          <w:sz w:val="24"/>
          <w:szCs w:val="24"/>
          <w:lang w:val="en-US" w:eastAsia="zh-CN" w:bidi="ar"/>
        </w:rPr>
        <w:t xml:space="preserve">4.3  生态伙伴管理功能展示（1分）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支持新增、编辑、查询生态伙伴信息，完整记录单位名称、单位简称、单位地址、信用代码、单位负责人、运维负责人及联系方式等核心信息。支持对生态伙伴进行项目权限分配，支持关联项目与运维人员数据。本项全部按要求进行演示的得1分，未按要求进行演示或演示功能点不全或未进行演示的，均不得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outlineLvl w:val="1"/>
        <w:suppressLineNumbers w:val="0"/>
      </w:pPr>
      <w:r>
        <w:rPr>
          <w:rFonts w:hint="eastAsia" w:ascii="宋体" w:hAnsi="宋体" w:eastAsia="宋体" w:cs="宋体"/>
          <w:sz w:val="24"/>
          <w:szCs w:val="24"/>
          <w:lang w:val="en-US" w:eastAsia="zh-CN" w:bidi="ar"/>
        </w:rPr>
        <w:t xml:space="preserve">4.4  运维人员管理功能展示（1分）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支持人员查询、人</w:t>
      </w:r>
      <w:r>
        <w:rPr>
          <w:rFonts w:hint="eastAsia" w:ascii="宋体" w:hAnsi="宋体" w:eastAsia="宋体" w:cs="宋体"/>
          <w:sz w:val="24"/>
          <w:szCs w:val="24"/>
          <w:lang w:val="en-US" w:eastAsia="zh-CN" w:bidi="ar"/>
        </w:rPr>
        <w:t xml:space="preserve">员统计、人员报表三大功能。人员查询支持按人员信息、运维单位、用工性质、所属项目、服务地点、服务时间、专业方向和项目批次等多条件筛选检索，可查看运维人员基本信息、项目权限、专业方向、服务内容类别、进场退场时间及驻场状态等详情；同时支持人员信息新增、编辑、项目授权、批量导入。人员统计可按项目人员、专业能力、生态商人员、一人多项目等维度进行图表化统计分析，统计结果可批量导出。人员报表支持多类型可视化与多维度统计运维人员数据。本项全部按要求进行演示的得1分，未按要求进行演示或演示功能点不全或未进行演示的，均不得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outlineLvl w:val="1"/>
        <w:suppressLineNumbers w:val="0"/>
      </w:pPr>
      <w:r>
        <w:rPr>
          <w:rFonts w:hint="eastAsia" w:ascii="宋体" w:hAnsi="宋体" w:eastAsia="宋体" w:cs="宋体"/>
          <w:sz w:val="24"/>
          <w:szCs w:val="24"/>
          <w:lang w:val="en-US" w:eastAsia="zh-CN" w:bidi="ar"/>
        </w:rPr>
        <w:t xml:space="preserve">4.5  移动端功能展示（1分）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支持首页功能、业务功能和个人中心功能。</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首页功能支持公告通知、工单概况、任务概况。工单概况展示待办工单、快超期工单和已超期工单数量；任务概况展示待执行任务总数、作业任务待执行数、快超期任务和已超期任务数量。业务功能支持项目资料、资源管理和运维工单。项目资料支持项目查询和项目详情，项目查询支持按项目类别、项目类型、建设年份和建设单位进行筛选；项目详情支持查看基本信息、合同信息、信息系统和项目联系人。资源管理包括资源查询和资源详情，资源查询支持按建设单位、实施机构、项目名称、建设年份进行筛选；资源详情支持基本信息和模型信息查看。运维工单包括登记</w:t>
      </w:r>
      <w:r>
        <w:rPr>
          <w:rFonts w:hint="eastAsia" w:ascii="宋体" w:hAnsi="宋体" w:eastAsia="宋体" w:cs="宋体"/>
          <w:sz w:val="24"/>
          <w:szCs w:val="24"/>
          <w:lang w:val="en-US" w:eastAsia="zh-CN" w:bidi="ar"/>
        </w:rPr>
        <w:t xml:space="preserve">工单、我的登记、我的工单和工单查询，登记工单支持故障维修、运维服务、告警工单、补单流程四类。我的登记支持查询本人登记的工单，我的工单支持查询本人待办理和已办理工单，工单查询支持按工单状态、工单类型筛选查询。个人中心功能支持个人信息、修改密码、使用帮助。个人信息支持展示账号、姓名、手机号码、邮箱、所属单位和角色。修改密码支持录入原密码、新密码和重复密码。使用帮助支持展示使用帮助操作文档。支持展示服务台电话和统一运维邮箱。本项全部按要求进行演示的得1分，未按要求进行演示或演示功能点不全或未进行演示的，均不得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outlineLvl w:val="1"/>
        <w:suppressLineNumbers w:val="0"/>
      </w:pPr>
      <w:r>
        <w:rPr>
          <w:rFonts w:hint="eastAsia" w:ascii="宋体" w:hAnsi="宋体" w:eastAsia="宋体" w:cs="宋体"/>
          <w:sz w:val="24"/>
          <w:szCs w:val="24"/>
          <w:lang w:val="en-US" w:eastAsia="zh-CN" w:bidi="ar"/>
        </w:rPr>
        <w:t xml:space="preserve">（二）技术部分（55分）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注：技术部分属于暗标，投标人在制作技术部分相关内容时不得有体现投标人身份的内容，否则投标无效。</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outlineLvl w:val="1"/>
        <w:suppressLineNumbers w:val="0"/>
      </w:pPr>
      <w:r>
        <w:rPr>
          <w:rFonts w:hint="eastAsia" w:ascii="宋体" w:hAnsi="宋体" w:eastAsia="宋体" w:cs="宋体"/>
          <w:sz w:val="24"/>
          <w:szCs w:val="24"/>
          <w:lang w:val="en-US" w:eastAsia="zh-CN" w:bidi="ar"/>
        </w:rPr>
        <w:t xml:space="preserve">5. 项目方案（55分）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考察投标人项目技术方案，在响应采购文件需求的基础上针对下列各部分进行评价，要求体现科学合理性、条理性、可行性、完善性、针对性，无方案不得分。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outlineLvl w:val="1"/>
        <w:suppressLineNumbers w:val="0"/>
      </w:pPr>
      <w:r>
        <w:rPr>
          <w:rFonts w:hint="eastAsia" w:ascii="宋体" w:hAnsi="宋体" w:eastAsia="宋体" w:cs="宋体"/>
          <w:sz w:val="24"/>
          <w:szCs w:val="24"/>
          <w:lang w:val="en-US" w:eastAsia="zh-CN" w:bidi="ar"/>
        </w:rPr>
        <w:t xml:space="preserve">5.1分类运维服务方案（46分）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outlineLvl w:val="1"/>
        <w:suppressLineNumbers w:val="0"/>
      </w:pPr>
      <w:r>
        <w:rPr>
          <w:rFonts w:hint="eastAsia" w:ascii="宋体" w:hAnsi="宋体" w:eastAsia="宋体" w:cs="宋体"/>
          <w:sz w:val="24"/>
          <w:szCs w:val="24"/>
          <w:lang w:val="en-US" w:eastAsia="zh-CN" w:bidi="ar"/>
        </w:rPr>
        <w:t xml:space="preserve">5.1.1针对软件类项目（22个子项目），投标人需结合使用单位需求针对每个项目单独提出切实具体保障项目运维需求，维护系统平稳运行的针对性方案（22分）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方案内容包括：针对性的运维服务流程及措施、针对性的运维服务标准。根据方案情况综合打分。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单个子项目方案清晰、合理、详细、全面、针对性强、可行性强，且全部提供上述2方面内容的，得1分；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单个子项目方案清晰、合理、详细、全面、针对性强、可行性一般，且全部提供上述2方面内容的，得0.5分；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未提供方案或针对性不强、不清晰、不合理、不详细的，不得分；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每个子项目方案单独计分，最高得22分。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outlineLvl w:val="1"/>
        <w:suppressLineNumbers w:val="0"/>
      </w:pPr>
      <w:r>
        <w:rPr>
          <w:rFonts w:hint="eastAsia" w:ascii="宋体" w:hAnsi="宋体" w:eastAsia="宋体" w:cs="宋体"/>
          <w:sz w:val="24"/>
          <w:szCs w:val="24"/>
          <w:lang w:val="en-US" w:eastAsia="zh-CN" w:bidi="ar"/>
        </w:rPr>
        <w:t xml:space="preserve">5.1.2针对基础设施及软硬件类项目（24个子项目），投标人需提出切实具体保障项目运维方案，维护基础设施及软硬件平稳运行。（8分）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方案内容包括：运维服务流程及措施、运维服务标准。根据方案情况综合打分。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方案清晰、合理、详细、全面、针对性强、可行性强，且2项内容方案均齐全的，得8分；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方案较清晰、较合理、较详细、较全面、针对性较强、可行性较强，能够提供2项内容方案的，得6分；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方案清晰度、合理性、详细性、全面性、针对性、可行性均一般，能够提供1-2项内容方案的，得3分；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方案内容基本满足要求，能够提供1-2项内容方案的，得1分；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未按要求提供方案内容或无方案的，均不得分。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outlineLvl w:val="1"/>
        <w:suppressLineNumbers w:val="0"/>
      </w:pPr>
      <w:r>
        <w:rPr>
          <w:rFonts w:hint="eastAsia" w:ascii="宋体" w:hAnsi="宋体" w:eastAsia="宋体" w:cs="宋体"/>
          <w:sz w:val="24"/>
          <w:szCs w:val="24"/>
          <w:lang w:val="en-US" w:eastAsia="zh-CN" w:bidi="ar"/>
        </w:rPr>
        <w:t xml:space="preserve">5.1.3网络安全类项目（4个子项目），投标人需提出切实具体保障项目运维方案，维护网络安全。（3分）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方案内容包括：运维服务流程及措施、运维服务标准。根据方案情况综合打分。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方案清晰、合理、详细、全面、针对性强、可行性强，且2项内容方案均齐全的，得3分；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方案较清晰、较合理、较详细、较全面、针对性较强、可行性较强，能够提供2项内容方案的，得2分；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方案内容基本满足要求，能够提供1-2项内容方案的，得1分；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未按要求提供方案内容或无方案的，均不得分。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outlineLvl w:val="1"/>
        <w:suppressLineNumbers w:val="0"/>
      </w:pPr>
      <w:r>
        <w:rPr>
          <w:rFonts w:hint="eastAsia" w:ascii="宋体" w:hAnsi="宋体" w:eastAsia="宋体" w:cs="宋体"/>
          <w:sz w:val="24"/>
          <w:szCs w:val="24"/>
          <w:lang w:val="en-US" w:eastAsia="zh-CN" w:bidi="ar"/>
        </w:rPr>
        <w:t xml:space="preserve">5.1.4等保测评类项目（5个子项目），投标人需提出切实具体保障项目运维方案，维护网络安全。（3分）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方案内容包括：运维服务流程及措施、运维服务标准。根据方案情况综合打分。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方案清晰、合理、详细、全面、针对性强、可行性强，且2项内容方案均齐全的，得3分；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方案较清晰、较合理、较详细、较全面、针对性较强、可行性较强，能够提供2项内容方案的，得2分；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方案内容基本满足要求，能够提供1-2项内容方案的，得1分；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未按要求提供方案内容或无方案的，均不得分。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outlineLvl w:val="1"/>
        <w:suppressLineNumbers w:val="0"/>
      </w:pPr>
      <w:r>
        <w:rPr>
          <w:rFonts w:hint="eastAsia" w:ascii="宋体" w:hAnsi="宋体" w:eastAsia="宋体" w:cs="宋体"/>
          <w:sz w:val="24"/>
          <w:szCs w:val="24"/>
          <w:lang w:val="en-US" w:eastAsia="zh-CN" w:bidi="ar"/>
        </w:rPr>
        <w:t xml:space="preserve">5.1.5针对数据服务类项目（10个子项目），投标人需结合使用单位需求针对每个项目单独提出切实具体保障项目运维需求，维护系统平稳运行的针对性方案（10分）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方案内容包括：针对性的运维服务流程及措施、针对性的运维服务标准。根据方案情况综合打分。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单个子项目方案清晰、合理、详细、全面、针对性强、可行性强，且全部提供上述2方面内容的，得1分；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单个子项目方案清晰、合理、详细、全面、针对性强、可行性一般，且全部提供上述2方面内容的，得0.5分；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未提供方案或针对性不强、不清晰、不合理、不详细的，不得分；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每个子项目方案单独计分，最高得10分。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outlineLvl w:val="1"/>
        <w:suppressLineNumbers w:val="0"/>
      </w:pPr>
      <w:r>
        <w:rPr>
          <w:rFonts w:hint="eastAsia" w:ascii="宋体" w:hAnsi="宋体" w:eastAsia="宋体" w:cs="宋体"/>
          <w:sz w:val="24"/>
          <w:szCs w:val="24"/>
          <w:lang w:val="en-US" w:eastAsia="zh-CN" w:bidi="ar"/>
        </w:rPr>
        <w:t xml:space="preserve">5.2服务保障方案（3分）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考察投标人的服务保障方案，方案内容包括：①应急响应；②客户培训；③现场支撑。根据方案情况综合打分。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方案清晰、合理、详细、全面、针对性强、可行性强，且上述3项内容方案均齐全的，得3分；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方案清晰度、合理性、详细性、全面性、针对性、可行性均一般，能够提供2-3项内容方案的，得2分；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方案内容基本满足要求，能够提供1-3项内容方案的，得1分；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未按要求提供方案内容或无方案的，均不得分。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outlineLvl w:val="1"/>
        <w:suppressLineNumbers w:val="0"/>
      </w:pPr>
      <w:r>
        <w:rPr>
          <w:rFonts w:hint="eastAsia" w:ascii="宋体" w:hAnsi="宋体" w:eastAsia="宋体" w:cs="宋体"/>
          <w:sz w:val="24"/>
          <w:szCs w:val="24"/>
          <w:lang w:val="en-US" w:eastAsia="zh-CN" w:bidi="ar"/>
        </w:rPr>
        <w:t xml:space="preserve">5.3统一运维纳管方案（6分）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考察投标人的服务保障方案，方案内容包括：①纳管工作数据的流转、统计、存储等；②服务成果展示方案。根据方案情况综合打分。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方案清晰、合理、详细、全面、针对性强、可行性强，且2项内容方案均齐全的，得6分；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方案较清晰、较合理、较详细、较全面、针对性较强、可行性较强，能够提供1-2项内容方案的，得4分；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方案清晰度、合理性、详细性、全面性、针对性、可行性均一般，能够提供1-2项内容方案的，得2分；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方案内容基本满足要求，能够提供1-2项内容方案的，得1分；</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未按要求提供方案内容或无方案的，均不得分。</w:t>
      </w:r>
      <w:r/>
    </w:p>
    <w:p>
      <w:pPr>
        <w:pStyle w:val="799"/>
        <w:ind w:left="0" w:right="0" w:firstLine="422"/>
        <w:jc w:val="left"/>
        <w:keepLines w:val="0"/>
        <w:keepNext w:val="0"/>
        <w:spacing w:before="0" w:beforeAutospacing="0" w:after="0" w:afterAutospacing="0" w:line="360" w:lineRule="auto"/>
        <w:widowControl w:val="off"/>
        <w:rPr>
          <w:rFonts w:hint="eastAsia" w:ascii="宋体" w:hAnsi="宋体" w:eastAsia="宋体" w:cs="宋体"/>
          <w:b/>
          <w:bCs w:val="0"/>
          <w:sz w:val="28"/>
          <w:szCs w:val="28"/>
          <w:highlight w:val="none"/>
          <w:u w:val="single"/>
          <w:lang w:val="en-US"/>
        </w:rPr>
        <w:suppressLineNumbers w:val="0"/>
      </w:pPr>
      <w:r>
        <w:rPr>
          <w:rFonts w:hint="eastAsia" w:ascii="宋体" w:hAnsi="宋体" w:eastAsia="宋体" w:cs="宋体"/>
          <w:b/>
          <w:bCs w:val="0"/>
          <w:sz w:val="28"/>
          <w:szCs w:val="28"/>
          <w:highlight w:val="none"/>
          <w:u w:val="single"/>
          <w:lang w:val="en-US" w:eastAsia="zh-CN" w:bidi="ar"/>
        </w:rPr>
        <w:t xml:space="preserve">注：技术部分属于暗标，投标人在制作技术部分相关内容时不得有体现投标人身份的内容，否则投标无效。</w:t>
      </w:r>
      <w:r/>
    </w:p>
    <w:p>
      <w:pPr>
        <w:spacing w:line="360" w:lineRule="auto"/>
        <w:rPr>
          <w:rFonts w:hint="eastAsia" w:ascii="黑体" w:hAnsi="黑体" w:eastAsia="黑体"/>
          <w:color w:val="000000"/>
          <w:sz w:val="36"/>
          <w:szCs w:val="36"/>
          <w:highlight w:val="none"/>
        </w:rPr>
      </w:pPr>
      <w:r>
        <w:rPr>
          <w:rFonts w:hint="eastAsia" w:ascii="黑体" w:hAnsi="黑体" w:eastAsia="黑体"/>
          <w:color w:val="000000"/>
          <w:sz w:val="36"/>
          <w:szCs w:val="36"/>
          <w:highlight w:val="none"/>
        </w:rPr>
        <w:br w:type="page" w:clear="all"/>
      </w:r>
      <w:r/>
    </w:p>
    <w:p>
      <w:pPr>
        <w:ind w:firstLine="720"/>
        <w:jc w:val="left"/>
        <w:spacing w:line="360" w:lineRule="auto"/>
        <w:tabs>
          <w:tab w:val="left" w:pos="1440" w:leader="none"/>
        </w:tabs>
        <w:rPr>
          <w:rFonts w:hint="eastAsia" w:ascii="黑体" w:hAnsi="黑体" w:eastAsia="黑体"/>
          <w:color w:val="000000"/>
          <w:sz w:val="36"/>
          <w:szCs w:val="36"/>
          <w:highlight w:val="none"/>
        </w:rPr>
        <w:outlineLvl w:val="0"/>
      </w:pPr>
      <w:r>
        <w:rPr>
          <w:rFonts w:hint="eastAsia" w:ascii="黑体" w:hAnsi="黑体" w:eastAsia="黑体"/>
          <w:color w:val="000000"/>
          <w:sz w:val="36"/>
          <w:szCs w:val="36"/>
          <w:highlight w:val="none"/>
        </w:rPr>
        <w:t xml:space="preserve">第六章  </w:t>
      </w:r>
      <w:bookmarkEnd w:id="186"/>
      <w:r/>
      <w:bookmarkEnd w:id="187"/>
      <w:r/>
      <w:bookmarkEnd w:id="216"/>
      <w:r>
        <w:rPr>
          <w:rFonts w:hint="eastAsia" w:ascii="黑体" w:hAnsi="黑体" w:eastAsia="黑体"/>
          <w:color w:val="000000"/>
          <w:sz w:val="36"/>
          <w:szCs w:val="36"/>
          <w:highlight w:val="none"/>
        </w:rPr>
        <w:t xml:space="preserve">投标文件内容与格式</w:t>
      </w:r>
      <w:r/>
    </w:p>
    <w:p>
      <w:pPr>
        <w:pStyle w:val="1044"/>
        <w:ind w:firstLine="602"/>
        <w:spacing w:before="0" w:after="0" w:line="360" w:lineRule="auto"/>
        <w:rPr>
          <w:rFonts w:hint="eastAsia" w:cs="Arial"/>
          <w:b/>
          <w:color w:val="000000"/>
          <w:sz w:val="30"/>
          <w:szCs w:val="30"/>
          <w:highlight w:val="none"/>
        </w:rPr>
      </w:pPr>
      <w:r/>
      <w:bookmarkStart w:id="219" w:name="_Hlt26955039"/>
      <w:r/>
      <w:bookmarkEnd w:id="219"/>
      <w:r/>
      <w:bookmarkStart w:id="220" w:name="_Hlt26671244"/>
      <w:r/>
      <w:bookmarkEnd w:id="220"/>
      <w:r/>
      <w:bookmarkStart w:id="221" w:name="_Toc26554094"/>
      <w:r/>
      <w:bookmarkStart w:id="222" w:name="_Toc49090576"/>
      <w:r/>
      <w:bookmarkStart w:id="223" w:name="_Toc120614282"/>
      <w:r>
        <w:rPr>
          <w:rFonts w:hint="eastAsia" w:cs="Arial"/>
          <w:b/>
          <w:color w:val="000000"/>
          <w:sz w:val="30"/>
          <w:szCs w:val="30"/>
          <w:highlight w:val="none"/>
        </w:rPr>
        <w:t xml:space="preserve">第一部分  投标文件内容</w:t>
      </w:r>
      <w:r/>
    </w:p>
    <w:p>
      <w:pPr>
        <w:pStyle w:val="1044"/>
        <w:ind w:firstLine="0"/>
        <w:spacing w:before="0" w:after="0" w:line="360" w:lineRule="auto"/>
        <w:rPr>
          <w:rFonts w:hint="eastAsia"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p>
    <w:tbl>
      <w:tblPr>
        <w:tblStyle w:val="77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44"/>
              <w:ind w:left="0" w:right="0" w:firstLine="0"/>
              <w:jc w:val="center"/>
              <w:keepLines w:val="0"/>
              <w:keepNext w:val="0"/>
              <w:spacing w:before="0" w:beforeAutospacing="0" w:after="0" w:afterAutospacing="0" w:line="360" w:lineRule="auto"/>
              <w:rPr>
                <w:rFonts w:hint="eastAsia" w:ascii="宋体" w:hAnsi="宋体" w:cs="宋体"/>
                <w:b/>
                <w:color w:val="000000"/>
                <w:highlight w:val="none"/>
              </w:rPr>
              <w:suppressLineNumbers w:val="0"/>
            </w:pPr>
            <w:r>
              <w:rPr>
                <w:rFonts w:hint="eastAsia" w:ascii="宋体" w:hAnsi="宋体" w:cs="宋体"/>
                <w:b/>
                <w:color w:val="000000"/>
                <w:highlight w:val="none"/>
              </w:rPr>
              <w:t xml:space="preserve">序号</w:t>
            </w:r>
            <w:r/>
          </w:p>
        </w:tc>
        <w:tc>
          <w:tcPr>
            <w:tcW w:w="6104" w:type="dxa"/>
            <w:vAlign w:val="center"/>
            <w:textDirection w:val="lrTb"/>
            <w:noWrap w:val="false"/>
          </w:tcPr>
          <w:p>
            <w:pPr>
              <w:pStyle w:val="1044"/>
              <w:ind w:left="0" w:right="0"/>
              <w:jc w:val="center"/>
              <w:keepLines w:val="0"/>
              <w:keepNext w:val="0"/>
              <w:spacing w:before="0" w:beforeAutospacing="0" w:after="0" w:afterAutospacing="0" w:line="360" w:lineRule="auto"/>
              <w:rPr>
                <w:rFonts w:hint="eastAsia" w:ascii="宋体" w:hAnsi="宋体" w:cs="宋体"/>
                <w:b/>
                <w:color w:val="000000"/>
                <w:highlight w:val="none"/>
              </w:rPr>
              <w:suppressLineNumbers w:val="0"/>
            </w:pPr>
            <w:r>
              <w:rPr>
                <w:rFonts w:hint="eastAsia" w:ascii="宋体" w:hAnsi="宋体" w:cs="宋体"/>
                <w:b/>
                <w:color w:val="000000"/>
                <w:highlight w:val="none"/>
              </w:rPr>
              <w:t xml:space="preserve">评审项目及评审要求</w:t>
            </w:r>
            <w:r/>
          </w:p>
        </w:tc>
        <w:tc>
          <w:tcPr>
            <w:tcW w:w="2449" w:type="dxa"/>
            <w:vAlign w:val="center"/>
            <w:textDirection w:val="lrTb"/>
            <w:noWrap w:val="false"/>
          </w:tcPr>
          <w:p>
            <w:pPr>
              <w:pStyle w:val="1044"/>
              <w:ind w:left="0" w:right="0" w:firstLine="0"/>
              <w:jc w:val="center"/>
              <w:keepLines w:val="0"/>
              <w:keepNext w:val="0"/>
              <w:spacing w:before="0" w:beforeAutospacing="0" w:after="0" w:afterAutospacing="0" w:line="360" w:lineRule="auto"/>
              <w:rPr>
                <w:rFonts w:hint="eastAsia" w:ascii="宋体" w:hAnsi="宋体" w:cs="宋体"/>
                <w:b/>
                <w:color w:val="000000"/>
                <w:highlight w:val="none"/>
              </w:rPr>
              <w:suppressLineNumbers w:val="0"/>
            </w:pPr>
            <w:r>
              <w:rPr>
                <w:rFonts w:hint="eastAsia" w:ascii="宋体" w:hAnsi="宋体" w:cs="宋体"/>
                <w:b/>
                <w:color w:val="000000"/>
                <w:highlight w:val="none"/>
              </w:rPr>
              <w:t xml:space="preserve">审查因素</w:t>
            </w:r>
            <w:r/>
          </w:p>
        </w:tc>
      </w:tr>
      <w:tr>
        <w:trPr>
          <w:jc w:val="center"/>
          <w:trHeight w:val="1335"/>
        </w:trPr>
        <w:tc>
          <w:tcPr>
            <w:tcW w:w="719" w:type="dxa"/>
            <w:vAlign w:val="center"/>
            <w:textDirection w:val="lrTb"/>
            <w:noWrap w:val="false"/>
          </w:tcPr>
          <w:p>
            <w:pPr>
              <w:pStyle w:val="1044"/>
              <w:ind w:left="0" w:right="0" w:firstLine="0"/>
              <w:jc w:val="center"/>
              <w:keepLines w:val="0"/>
              <w:keepNext w:val="0"/>
              <w:spacing w:before="0" w:beforeAutospacing="0" w:after="0" w:afterAutospacing="0" w:line="360" w:lineRule="auto"/>
              <w:rPr>
                <w:rFonts w:hint="eastAsia" w:ascii="宋体" w:hAnsi="宋体" w:cs="宋体"/>
                <w:color w:val="000000"/>
                <w:highlight w:val="none"/>
              </w:rPr>
              <w:suppressLineNumbers w:val="0"/>
            </w:pPr>
            <w:r>
              <w:rPr>
                <w:rFonts w:hint="eastAsia" w:ascii="宋体" w:hAnsi="宋体" w:cs="宋体"/>
                <w:color w:val="000000"/>
                <w:highlight w:val="none"/>
              </w:rPr>
              <w:t xml:space="preserve">1</w:t>
            </w:r>
            <w:r/>
          </w:p>
        </w:tc>
        <w:tc>
          <w:tcPr>
            <w:tcW w:w="6104" w:type="dxa"/>
            <w:vAlign w:val="center"/>
            <w:textDirection w:val="lrTb"/>
            <w:noWrap w:val="false"/>
          </w:tcPr>
          <w:p>
            <w:pPr>
              <w:pStyle w:val="1044"/>
              <w:ind w:left="0" w:right="0" w:firstLine="0"/>
              <w:jc w:val="both"/>
              <w:keepLines w:val="0"/>
              <w:keepNext w:val="0"/>
              <w:spacing w:before="0" w:beforeAutospacing="0" w:after="0" w:afterAutospacing="0" w:line="360" w:lineRule="auto"/>
              <w:rPr>
                <w:rFonts w:hint="eastAsia" w:ascii="宋体" w:hAnsi="宋体" w:cs="宋体"/>
                <w:color w:val="000000"/>
                <w:highlight w:val="none"/>
              </w:rPr>
              <w:suppressLineNumbers w:val="0"/>
            </w:pPr>
            <w:r>
              <w:rPr>
                <w:rFonts w:hint="eastAsia" w:ascii="宋体" w:hAnsi="宋体" w:cs="宋体"/>
                <w:color w:val="000000"/>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44"/>
              <w:ind w:left="0" w:right="0" w:firstLine="0"/>
              <w:keepLines w:val="0"/>
              <w:keepNext w:val="0"/>
              <w:spacing w:before="0" w:beforeAutospacing="0" w:after="0" w:afterAutospacing="0" w:line="360" w:lineRule="auto"/>
              <w:rPr>
                <w:rFonts w:hint="eastAsia" w:ascii="宋体" w:hAnsi="宋体" w:cs="宋体"/>
                <w:color w:val="000000"/>
                <w:highlight w:val="none"/>
              </w:rPr>
              <w:suppressLineNumbers w:val="0"/>
            </w:pPr>
            <w:r>
              <w:rPr>
                <w:rFonts w:hint="eastAsia" w:ascii="宋体" w:hAnsi="宋体" w:cs="宋体"/>
                <w:color w:val="000000"/>
                <w:highlight w:val="none"/>
              </w:rPr>
              <w:t xml:space="preserve">满足《中华人民共和国政府采购法》第二十二条规定</w:t>
            </w:r>
            <w:r/>
          </w:p>
        </w:tc>
      </w:tr>
      <w:tr>
        <w:trPr>
          <w:jc w:val="center"/>
          <w:trHeight w:val="812"/>
        </w:trPr>
        <w:tc>
          <w:tcPr>
            <w:tcW w:w="719" w:type="dxa"/>
            <w:vAlign w:val="center"/>
            <w:textDirection w:val="lrTb"/>
            <w:noWrap w:val="false"/>
          </w:tcPr>
          <w:p>
            <w:pPr>
              <w:pStyle w:val="1044"/>
              <w:ind w:left="0" w:right="0" w:firstLine="0"/>
              <w:jc w:val="center"/>
              <w:keepLines w:val="0"/>
              <w:keepNext w:val="0"/>
              <w:spacing w:before="0" w:beforeAutospacing="0" w:after="0" w:afterAutospacing="0" w:line="360" w:lineRule="auto"/>
              <w:rPr>
                <w:rFonts w:hint="eastAsia" w:ascii="宋体" w:hAnsi="宋体" w:cs="宋体"/>
                <w:color w:val="000000"/>
                <w:highlight w:val="none"/>
              </w:rPr>
              <w:suppressLineNumbers w:val="0"/>
            </w:pPr>
            <w:r>
              <w:rPr>
                <w:rFonts w:hint="eastAsia" w:ascii="宋体" w:hAnsi="宋体" w:cs="宋体"/>
                <w:color w:val="000000"/>
                <w:highlight w:val="none"/>
              </w:rPr>
              <w:t xml:space="preserve">2</w:t>
            </w:r>
            <w:r/>
          </w:p>
        </w:tc>
        <w:tc>
          <w:tcPr>
            <w:tcW w:w="6104" w:type="dxa"/>
            <w:vAlign w:val="center"/>
            <w:textDirection w:val="lrTb"/>
            <w:noWrap w:val="false"/>
          </w:tcPr>
          <w:p>
            <w:pPr>
              <w:pStyle w:val="1044"/>
              <w:ind w:left="0" w:right="0" w:firstLine="0"/>
              <w:jc w:val="both"/>
              <w:keepLines w:val="0"/>
              <w:keepNext w:val="0"/>
              <w:spacing w:before="0" w:beforeAutospacing="0" w:after="0" w:afterAutospacing="0" w:line="360" w:lineRule="auto"/>
              <w:rPr>
                <w:rFonts w:hint="eastAsia" w:ascii="宋体" w:hAnsi="宋体" w:cs="宋体"/>
                <w:color w:val="000000"/>
                <w:highlight w:val="none"/>
              </w:rPr>
              <w:suppressLineNumbers w:val="0"/>
            </w:pPr>
            <w:r>
              <w:rPr>
                <w:rFonts w:hint="eastAsia" w:ascii="宋体" w:hAnsi="宋体" w:cs="宋体"/>
                <w:color w:val="000000"/>
                <w:highlight w:val="none"/>
              </w:rPr>
              <w:t xml:space="preserve">《授权委托书》（给定格式；投标人如是自然人情形的，可不提供）。</w:t>
            </w:r>
            <w:r/>
          </w:p>
        </w:tc>
        <w:tc>
          <w:tcPr>
            <w:tcW w:w="2449" w:type="dxa"/>
            <w:vAlign w:val="center"/>
            <w:vMerge w:val="continue"/>
            <w:textDirection w:val="lrTb"/>
            <w:noWrap w:val="false"/>
          </w:tcPr>
          <w:p>
            <w:pPr>
              <w:pStyle w:val="1044"/>
              <w:ind w:left="0" w:right="0" w:firstLine="0"/>
              <w:keepLines w:val="0"/>
              <w:keepNext w:val="0"/>
              <w:spacing w:before="0" w:beforeAutospacing="0" w:after="0" w:afterAutospacing="0" w:line="240" w:lineRule="auto"/>
              <w:rPr>
                <w:rFonts w:hint="eastAsia" w:ascii="宋体" w:hAnsi="宋体" w:cs="宋体"/>
                <w:color w:val="000000"/>
                <w:highlight w:val="none"/>
              </w:rPr>
              <w:suppressLineNumbers w:val="0"/>
            </w:pPr>
            <w:r>
              <w:rPr>
                <w:rFonts w:hint="eastAsia" w:ascii="宋体" w:hAnsi="宋体" w:cs="宋体"/>
                <w:color w:val="000000"/>
                <w:highlight w:val="none"/>
              </w:rPr>
            </w:r>
            <w:r/>
          </w:p>
        </w:tc>
      </w:tr>
      <w:tr>
        <w:trPr>
          <w:jc w:val="center"/>
          <w:trHeight w:val="1684"/>
        </w:trPr>
        <w:tc>
          <w:tcPr>
            <w:tcW w:w="719" w:type="dxa"/>
            <w:vAlign w:val="center"/>
            <w:textDirection w:val="lrTb"/>
            <w:noWrap w:val="false"/>
          </w:tcPr>
          <w:p>
            <w:pPr>
              <w:pStyle w:val="1044"/>
              <w:ind w:left="0" w:right="0" w:firstLine="0"/>
              <w:jc w:val="center"/>
              <w:keepLines w:val="0"/>
              <w:keepNext w:val="0"/>
              <w:spacing w:before="0" w:beforeAutospacing="0" w:after="0" w:afterAutospacing="0" w:line="360" w:lineRule="auto"/>
              <w:rPr>
                <w:rFonts w:hint="eastAsia" w:ascii="宋体" w:hAnsi="宋体" w:cs="宋体"/>
                <w:color w:val="000000"/>
                <w:highlight w:val="none"/>
              </w:rPr>
              <w:suppressLineNumbers w:val="0"/>
            </w:pPr>
            <w:r>
              <w:rPr>
                <w:rFonts w:hint="eastAsia" w:ascii="宋体" w:hAnsi="宋体" w:cs="宋体"/>
                <w:color w:val="000000"/>
                <w:highlight w:val="none"/>
              </w:rPr>
              <w:t xml:space="preserve">3</w:t>
            </w:r>
            <w:r/>
          </w:p>
        </w:tc>
        <w:tc>
          <w:tcPr>
            <w:tcW w:w="6104" w:type="dxa"/>
            <w:vAlign w:val="center"/>
            <w:textDirection w:val="lrTb"/>
            <w:noWrap w:val="false"/>
          </w:tcPr>
          <w:p>
            <w:pPr>
              <w:pStyle w:val="1044"/>
              <w:ind w:left="0" w:right="0" w:firstLine="0"/>
              <w:jc w:val="both"/>
              <w:keepLines w:val="0"/>
              <w:keepNext w:val="0"/>
              <w:spacing w:before="0" w:beforeAutospacing="0" w:after="0" w:afterAutospacing="0" w:line="360" w:lineRule="auto"/>
              <w:rPr>
                <w:rFonts w:hint="eastAsia" w:ascii="宋体" w:hAnsi="宋体" w:cs="宋体"/>
                <w:color w:val="000000"/>
                <w:highlight w:val="none"/>
              </w:rPr>
              <w:suppressLineNumbers w:val="0"/>
            </w:pPr>
            <w:r>
              <w:rPr>
                <w:rFonts w:hint="eastAsia" w:ascii="宋体" w:hAnsi="宋体" w:cs="宋体"/>
                <w:color w:val="000000"/>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33"/>
                <w:rFonts w:hint="eastAsia" w:ascii="宋体" w:hAnsi="宋体" w:cs="宋体"/>
                <w:color w:val="000000"/>
                <w:sz w:val="24"/>
                <w:szCs w:val="24"/>
                <w:highlight w:val="none"/>
              </w:rPr>
              <w:t xml:space="preserve">。</w:t>
            </w:r>
            <w:r/>
          </w:p>
        </w:tc>
        <w:tc>
          <w:tcPr>
            <w:tcW w:w="2449" w:type="dxa"/>
            <w:vAlign w:val="center"/>
            <w:vMerge w:val="continue"/>
            <w:textDirection w:val="lrTb"/>
            <w:noWrap w:val="false"/>
          </w:tcPr>
          <w:p>
            <w:pPr>
              <w:pStyle w:val="1044"/>
              <w:ind w:left="0" w:right="0" w:firstLine="0"/>
              <w:keepLines w:val="0"/>
              <w:keepNext w:val="0"/>
              <w:spacing w:before="0" w:beforeAutospacing="0" w:after="0" w:afterAutospacing="0" w:line="240" w:lineRule="auto"/>
              <w:rPr>
                <w:rFonts w:hint="eastAsia" w:ascii="宋体" w:hAnsi="宋体" w:cs="宋体"/>
                <w:color w:val="000000"/>
                <w:highlight w:val="none"/>
              </w:rPr>
              <w:suppressLineNumbers w:val="0"/>
            </w:pPr>
            <w:r>
              <w:rPr>
                <w:rFonts w:hint="eastAsia" w:ascii="宋体" w:hAnsi="宋体" w:cs="宋体"/>
                <w:color w:val="000000"/>
                <w:highlight w:val="none"/>
              </w:rPr>
            </w:r>
            <w:r/>
          </w:p>
        </w:tc>
      </w:tr>
      <w:tr>
        <w:trPr>
          <w:jc w:val="center"/>
          <w:trHeight w:val="963"/>
        </w:trPr>
        <w:tc>
          <w:tcPr>
            <w:tcW w:w="719" w:type="dxa"/>
            <w:vAlign w:val="center"/>
            <w:textDirection w:val="lrTb"/>
            <w:noWrap w:val="false"/>
          </w:tcPr>
          <w:p>
            <w:pPr>
              <w:pStyle w:val="1044"/>
              <w:ind w:left="0" w:right="0" w:firstLine="0"/>
              <w:jc w:val="center"/>
              <w:keepLines w:val="0"/>
              <w:keepNext w:val="0"/>
              <w:spacing w:before="0" w:beforeAutospacing="0" w:after="0" w:afterAutospacing="0" w:line="360" w:lineRule="auto"/>
              <w:rPr>
                <w:rFonts w:hint="eastAsia" w:ascii="宋体" w:hAnsi="宋体" w:cs="宋体"/>
                <w:color w:val="000000"/>
                <w:highlight w:val="none"/>
              </w:rPr>
              <w:suppressLineNumbers w:val="0"/>
            </w:pPr>
            <w:r>
              <w:rPr>
                <w:rFonts w:hint="eastAsia" w:ascii="宋体" w:hAnsi="宋体" w:cs="宋体"/>
                <w:color w:val="000000"/>
                <w:highlight w:val="none"/>
              </w:rPr>
              <w:t xml:space="preserve">4</w:t>
            </w:r>
            <w:r/>
          </w:p>
        </w:tc>
        <w:tc>
          <w:tcPr>
            <w:tcW w:w="6104" w:type="dxa"/>
            <w:vAlign w:val="center"/>
            <w:textDirection w:val="lrTb"/>
            <w:noWrap w:val="false"/>
          </w:tcPr>
          <w:p>
            <w:pPr>
              <w:pStyle w:val="1044"/>
              <w:ind w:left="0" w:right="0" w:firstLine="0"/>
              <w:jc w:val="both"/>
              <w:keepLines w:val="0"/>
              <w:keepNext w:val="0"/>
              <w:spacing w:before="0" w:beforeAutospacing="0" w:after="0" w:afterAutospacing="0" w:line="360" w:lineRule="auto"/>
              <w:rPr>
                <w:rFonts w:hint="eastAsia" w:ascii="宋体" w:hAnsi="宋体" w:cs="宋体"/>
                <w:color w:val="000000"/>
                <w:highlight w:val="none"/>
              </w:rPr>
              <w:suppressLineNumbers w:val="0"/>
            </w:pPr>
            <w:r>
              <w:rPr>
                <w:rFonts w:hint="eastAsia" w:ascii="宋体" w:hAnsi="宋体" w:cs="宋体"/>
                <w:color w:val="000000"/>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44"/>
              <w:ind w:left="0" w:right="0" w:firstLine="0"/>
              <w:keepLines w:val="0"/>
              <w:keepNext w:val="0"/>
              <w:spacing w:before="0" w:beforeAutospacing="0" w:after="0" w:afterAutospacing="0" w:line="240" w:lineRule="auto"/>
              <w:rPr>
                <w:rFonts w:hint="eastAsia" w:ascii="宋体" w:hAnsi="宋体" w:cs="宋体"/>
                <w:color w:val="000000"/>
                <w:highlight w:val="none"/>
              </w:rPr>
              <w:suppressLineNumbers w:val="0"/>
            </w:pPr>
            <w:r>
              <w:rPr>
                <w:rFonts w:hint="eastAsia" w:ascii="宋体" w:hAnsi="宋体" w:cs="宋体"/>
                <w:color w:val="000000"/>
                <w:highlight w:val="none"/>
              </w:rPr>
            </w:r>
            <w:r/>
          </w:p>
        </w:tc>
      </w:tr>
      <w:tr>
        <w:trPr>
          <w:jc w:val="center"/>
          <w:trHeight w:val="1023"/>
        </w:trPr>
        <w:tc>
          <w:tcPr>
            <w:tcW w:w="719" w:type="dxa"/>
            <w:vAlign w:val="center"/>
            <w:textDirection w:val="lrTb"/>
            <w:noWrap w:val="false"/>
          </w:tcPr>
          <w:p>
            <w:pPr>
              <w:pStyle w:val="1044"/>
              <w:ind w:left="0" w:right="0" w:firstLine="0"/>
              <w:jc w:val="center"/>
              <w:keepLines w:val="0"/>
              <w:keepNext w:val="0"/>
              <w:spacing w:before="0" w:beforeAutospacing="0" w:after="0" w:afterAutospacing="0" w:line="360" w:lineRule="auto"/>
              <w:rPr>
                <w:rFonts w:hint="eastAsia" w:ascii="宋体" w:hAnsi="宋体" w:cs="宋体"/>
                <w:color w:val="000000"/>
                <w:highlight w:val="none"/>
              </w:rPr>
              <w:suppressLineNumbers w:val="0"/>
            </w:pPr>
            <w:r>
              <w:rPr>
                <w:rFonts w:hint="eastAsia" w:ascii="宋体" w:hAnsi="宋体" w:cs="宋体"/>
                <w:color w:val="000000"/>
                <w:highlight w:val="none"/>
              </w:rPr>
              <w:t xml:space="preserve">5</w:t>
            </w:r>
            <w:r/>
          </w:p>
        </w:tc>
        <w:tc>
          <w:tcPr>
            <w:tcW w:w="6104" w:type="dxa"/>
            <w:vAlign w:val="center"/>
            <w:textDirection w:val="lrTb"/>
            <w:noWrap w:val="false"/>
          </w:tcPr>
          <w:p>
            <w:pPr>
              <w:pStyle w:val="1044"/>
              <w:ind w:left="0" w:right="0" w:firstLine="0"/>
              <w:jc w:val="both"/>
              <w:keepLines w:val="0"/>
              <w:keepNext w:val="0"/>
              <w:spacing w:before="0" w:beforeAutospacing="0" w:after="0" w:afterAutospacing="0" w:line="360" w:lineRule="auto"/>
              <w:rPr>
                <w:rFonts w:hint="eastAsia" w:ascii="宋体" w:hAnsi="宋体" w:cs="宋体"/>
                <w:color w:val="000000"/>
                <w:highlight w:val="none"/>
              </w:rPr>
              <w:suppressLineNumbers w:val="0"/>
            </w:pPr>
            <w:r>
              <w:rPr>
                <w:rFonts w:hint="eastAsia" w:ascii="宋体" w:hAnsi="宋体" w:cs="宋体"/>
                <w:color w:val="000000"/>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44"/>
              <w:ind w:left="0" w:right="0" w:firstLine="0"/>
              <w:keepLines w:val="0"/>
              <w:keepNext w:val="0"/>
              <w:spacing w:before="0" w:beforeAutospacing="0" w:after="0" w:afterAutospacing="0" w:line="240" w:lineRule="auto"/>
              <w:rPr>
                <w:rFonts w:hint="eastAsia" w:ascii="宋体" w:hAnsi="宋体" w:cs="宋体"/>
                <w:color w:val="000000"/>
                <w:highlight w:val="none"/>
              </w:rPr>
              <w:suppressLineNumbers w:val="0"/>
            </w:pPr>
            <w:r>
              <w:rPr>
                <w:rFonts w:hint="eastAsia" w:ascii="宋体" w:hAnsi="宋体" w:cs="宋体"/>
                <w:color w:val="000000"/>
                <w:highlight w:val="none"/>
              </w:rPr>
            </w:r>
            <w:r/>
          </w:p>
        </w:tc>
      </w:tr>
      <w:tr>
        <w:trPr>
          <w:jc w:val="center"/>
          <w:trHeight w:val="705"/>
        </w:trPr>
        <w:tc>
          <w:tcPr>
            <w:tcW w:w="719" w:type="dxa"/>
            <w:vAlign w:val="center"/>
            <w:textDirection w:val="lrTb"/>
            <w:noWrap w:val="false"/>
          </w:tcPr>
          <w:p>
            <w:pPr>
              <w:pStyle w:val="1044"/>
              <w:ind w:left="0" w:right="0" w:firstLine="0"/>
              <w:jc w:val="center"/>
              <w:keepLines w:val="0"/>
              <w:keepNext w:val="0"/>
              <w:spacing w:before="0" w:beforeAutospacing="0" w:after="0" w:afterAutospacing="0" w:line="360" w:lineRule="auto"/>
              <w:rPr>
                <w:rFonts w:hint="eastAsia" w:ascii="宋体" w:hAnsi="宋体" w:cs="宋体"/>
                <w:color w:val="000000"/>
                <w:highlight w:val="none"/>
              </w:rPr>
              <w:suppressLineNumbers w:val="0"/>
            </w:pPr>
            <w:r>
              <w:rPr>
                <w:rFonts w:hint="eastAsia" w:ascii="宋体" w:hAnsi="宋体" w:cs="宋体"/>
                <w:color w:val="000000"/>
                <w:highlight w:val="none"/>
              </w:rPr>
              <w:t xml:space="preserve">6</w:t>
            </w:r>
            <w:r/>
          </w:p>
        </w:tc>
        <w:tc>
          <w:tcPr>
            <w:tcW w:w="6104" w:type="dxa"/>
            <w:vAlign w:val="center"/>
            <w:textDirection w:val="lrTb"/>
            <w:noWrap w:val="false"/>
          </w:tcPr>
          <w:p>
            <w:pPr>
              <w:pStyle w:val="1044"/>
              <w:ind w:left="0" w:right="0" w:firstLine="0"/>
              <w:jc w:val="both"/>
              <w:keepLines w:val="0"/>
              <w:keepNext w:val="0"/>
              <w:spacing w:before="0" w:beforeAutospacing="0" w:after="0" w:afterAutospacing="0" w:line="360" w:lineRule="auto"/>
              <w:rPr>
                <w:rFonts w:hint="eastAsia" w:ascii="宋体" w:hAnsi="宋体" w:cs="宋体"/>
                <w:color w:val="000000"/>
                <w:highlight w:val="none"/>
              </w:rPr>
              <w:suppressLineNumbers w:val="0"/>
            </w:pPr>
            <w:r>
              <w:rPr>
                <w:rFonts w:hint="eastAsia" w:ascii="宋体" w:hAnsi="宋体" w:cs="宋体"/>
                <w:color w:val="000000"/>
                <w:highlight w:val="none"/>
              </w:rPr>
              <w:t xml:space="preserve">《资格声明函》（给定格式）。</w:t>
            </w:r>
            <w:r/>
          </w:p>
        </w:tc>
        <w:tc>
          <w:tcPr>
            <w:tcW w:w="2449" w:type="dxa"/>
            <w:vAlign w:val="center"/>
            <w:vMerge w:val="continue"/>
            <w:textDirection w:val="lrTb"/>
            <w:noWrap w:val="false"/>
          </w:tcPr>
          <w:p>
            <w:pPr>
              <w:pStyle w:val="1044"/>
              <w:ind w:left="0" w:right="0" w:firstLine="0"/>
              <w:keepLines w:val="0"/>
              <w:keepNext w:val="0"/>
              <w:spacing w:before="0" w:beforeAutospacing="0" w:after="0" w:afterAutospacing="0" w:line="240" w:lineRule="auto"/>
              <w:rPr>
                <w:rFonts w:hint="eastAsia" w:ascii="宋体" w:hAnsi="宋体" w:cs="宋体"/>
                <w:color w:val="000000"/>
                <w:highlight w:val="none"/>
              </w:rPr>
              <w:suppressLineNumbers w:val="0"/>
            </w:pPr>
            <w:r>
              <w:rPr>
                <w:rFonts w:hint="eastAsia" w:ascii="宋体" w:hAnsi="宋体" w:cs="宋体"/>
                <w:color w:val="000000"/>
                <w:highlight w:val="none"/>
              </w:rPr>
            </w:r>
            <w:r/>
          </w:p>
        </w:tc>
      </w:tr>
      <w:tr>
        <w:trPr>
          <w:jc w:val="center"/>
          <w:trHeight w:val="700"/>
        </w:trPr>
        <w:tc>
          <w:tcPr>
            <w:tcW w:w="719" w:type="dxa"/>
            <w:vAlign w:val="center"/>
            <w:textDirection w:val="lrTb"/>
            <w:noWrap w:val="false"/>
          </w:tcPr>
          <w:p>
            <w:pPr>
              <w:pStyle w:val="1044"/>
              <w:ind w:left="0" w:right="0" w:firstLine="0"/>
              <w:jc w:val="center"/>
              <w:keepLines w:val="0"/>
              <w:keepNext w:val="0"/>
              <w:spacing w:before="0" w:beforeAutospacing="0" w:after="0" w:afterAutospacing="0" w:line="360" w:lineRule="auto"/>
              <w:rPr>
                <w:rFonts w:hint="eastAsia" w:ascii="宋体" w:hAnsi="宋体" w:cs="宋体"/>
                <w:color w:val="000000"/>
                <w:highlight w:val="none"/>
              </w:rPr>
              <w:suppressLineNumbers w:val="0"/>
            </w:pPr>
            <w:r>
              <w:rPr>
                <w:rFonts w:hint="eastAsia" w:ascii="宋体" w:hAnsi="宋体" w:cs="宋体"/>
                <w:color w:val="000000"/>
                <w:highlight w:val="none"/>
              </w:rPr>
              <w:t xml:space="preserve">7</w:t>
            </w:r>
            <w:r/>
          </w:p>
        </w:tc>
        <w:tc>
          <w:tcPr>
            <w:tcW w:w="6104" w:type="dxa"/>
            <w:vAlign w:val="center"/>
            <w:textDirection w:val="lrTb"/>
            <w:noWrap w:val="false"/>
          </w:tcPr>
          <w:p>
            <w:pPr>
              <w:pStyle w:val="1044"/>
              <w:ind w:left="0" w:right="0" w:firstLine="0"/>
              <w:keepLines w:val="0"/>
              <w:keepNext w:val="0"/>
              <w:spacing w:before="0" w:beforeAutospacing="0" w:after="0" w:afterAutospacing="0" w:line="360" w:lineRule="auto"/>
              <w:rPr>
                <w:rFonts w:hint="eastAsia" w:ascii="宋体" w:hAnsi="宋体" w:cs="宋体"/>
                <w:color w:val="000000"/>
                <w:highlight w:val="none"/>
              </w:rPr>
              <w:suppressLineNumbers w:val="0"/>
            </w:pPr>
            <w:r>
              <w:rPr>
                <w:rFonts w:hint="eastAsia" w:ascii="宋体" w:hAnsi="宋体" w:cs="宋体"/>
                <w:color w:val="000000"/>
                <w:highlight w:val="none"/>
              </w:rPr>
              <w:t xml:space="preserve">满足中小企业政策的证明文件（如有中小企业政策要求的）。</w:t>
            </w:r>
            <w:r/>
          </w:p>
        </w:tc>
        <w:tc>
          <w:tcPr>
            <w:tcW w:w="2449" w:type="dxa"/>
            <w:vAlign w:val="center"/>
            <w:textDirection w:val="lrTb"/>
            <w:noWrap w:val="false"/>
          </w:tcPr>
          <w:p>
            <w:pPr>
              <w:pStyle w:val="1044"/>
              <w:ind w:left="0" w:right="0" w:firstLine="0"/>
              <w:keepLines w:val="0"/>
              <w:keepNext w:val="0"/>
              <w:spacing w:before="0" w:beforeAutospacing="0" w:after="0" w:afterAutospacing="0" w:line="360" w:lineRule="auto"/>
              <w:rPr>
                <w:rFonts w:ascii="宋体" w:hAnsi="宋体" w:cs="宋体"/>
                <w:color w:val="000000"/>
                <w:highlight w:val="none"/>
              </w:rPr>
              <w:suppressLineNumbers w:val="0"/>
            </w:pPr>
            <w:r>
              <w:rPr>
                <w:rFonts w:hint="eastAsia" w:ascii="宋体" w:hAnsi="宋体" w:cs="宋体"/>
                <w:color w:val="000000"/>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44"/>
              <w:ind w:left="0" w:right="0" w:firstLine="0"/>
              <w:jc w:val="center"/>
              <w:keepLines w:val="0"/>
              <w:keepNext w:val="0"/>
              <w:spacing w:before="0" w:beforeAutospacing="0" w:after="0" w:afterAutospacing="0" w:line="360" w:lineRule="auto"/>
              <w:rPr>
                <w:rFonts w:hint="eastAsia" w:ascii="宋体" w:hAnsi="宋体" w:cs="宋体"/>
                <w:bCs/>
                <w:color w:val="000000"/>
                <w:highlight w:val="none"/>
              </w:rPr>
              <w:suppressLineNumbers w:val="0"/>
            </w:pPr>
            <w:r>
              <w:rPr>
                <w:rFonts w:hint="eastAsia" w:ascii="宋体" w:hAnsi="宋体" w:cs="宋体"/>
                <w:bCs/>
                <w:color w:val="000000"/>
                <w:highlight w:val="none"/>
              </w:rPr>
              <w:t xml:space="preserve">8</w:t>
            </w:r>
            <w:r/>
          </w:p>
        </w:tc>
        <w:tc>
          <w:tcPr>
            <w:tcW w:w="6104" w:type="dxa"/>
            <w:vAlign w:val="center"/>
            <w:textDirection w:val="lrTb"/>
            <w:noWrap w:val="false"/>
          </w:tcPr>
          <w:p>
            <w:pPr>
              <w:pStyle w:val="1044"/>
              <w:ind w:left="0" w:right="0" w:firstLine="0"/>
              <w:jc w:val="both"/>
              <w:keepLines w:val="0"/>
              <w:keepNext w:val="0"/>
              <w:spacing w:before="0" w:beforeAutospacing="0" w:after="0" w:afterAutospacing="0" w:line="360" w:lineRule="auto"/>
              <w:rPr>
                <w:rFonts w:hint="eastAsia" w:ascii="宋体" w:hAnsi="宋体" w:cs="宋体"/>
                <w:bCs/>
                <w:color w:val="000000"/>
                <w:highlight w:val="none"/>
              </w:rPr>
              <w:suppressLineNumbers w:val="0"/>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w:t>
            </w:r>
            <w:r>
              <w:rPr>
                <w:rFonts w:hint="eastAsia" w:ascii="宋体" w:hAnsi="宋体" w:cs="宋体"/>
                <w:bCs/>
                <w:color w:val="000000"/>
                <w:highlight w:val="none"/>
              </w:rPr>
              <w:t xml:space="preserve">如有</w:t>
            </w:r>
            <w:r>
              <w:rPr>
                <w:rFonts w:hint="eastAsia" w:ascii="宋体" w:hAnsi="宋体" w:cs="宋体"/>
                <w:color w:val="000000"/>
                <w:highlight w:val="none"/>
              </w:rPr>
              <w:t xml:space="preserve">特定资格要求的）。</w:t>
            </w:r>
            <w:r/>
          </w:p>
        </w:tc>
        <w:tc>
          <w:tcPr>
            <w:tcW w:w="2449" w:type="dxa"/>
            <w:vAlign w:val="center"/>
            <w:textDirection w:val="lrTb"/>
            <w:noWrap w:val="false"/>
          </w:tcPr>
          <w:p>
            <w:pPr>
              <w:pStyle w:val="1044"/>
              <w:ind w:left="0" w:right="0" w:firstLine="0"/>
              <w:keepLines w:val="0"/>
              <w:keepNext w:val="0"/>
              <w:spacing w:before="0" w:beforeAutospacing="0" w:after="0" w:afterAutospacing="0" w:line="360" w:lineRule="auto"/>
              <w:rPr>
                <w:rFonts w:hint="eastAsia" w:ascii="宋体" w:hAnsi="宋体" w:cs="宋体"/>
                <w:bCs/>
                <w:color w:val="000000"/>
                <w:highlight w:val="none"/>
              </w:rPr>
              <w:suppressLineNumbers w:val="0"/>
            </w:pPr>
            <w:r>
              <w:rPr>
                <w:rFonts w:hint="eastAsia" w:ascii="宋体" w:hAnsi="宋体" w:cs="宋体"/>
                <w:color w:val="000000"/>
                <w:highlight w:val="none"/>
              </w:rPr>
              <w:t xml:space="preserve">特定资格要求，详见第一章《投标邀请》</w:t>
            </w:r>
            <w:r/>
          </w:p>
        </w:tc>
      </w:tr>
      <w:tr>
        <w:trPr>
          <w:jc w:val="center"/>
          <w:trHeight w:val="632"/>
        </w:trPr>
        <w:tc>
          <w:tcPr>
            <w:tcW w:w="719" w:type="dxa"/>
            <w:vAlign w:val="center"/>
            <w:textDirection w:val="lrTb"/>
            <w:noWrap w:val="false"/>
          </w:tcPr>
          <w:p>
            <w:pPr>
              <w:pStyle w:val="1044"/>
              <w:ind w:left="0" w:right="0" w:firstLine="0"/>
              <w:jc w:val="center"/>
              <w:keepLines w:val="0"/>
              <w:keepNext w:val="0"/>
              <w:spacing w:before="0" w:beforeAutospacing="0" w:after="0" w:afterAutospacing="0" w:line="360" w:lineRule="auto"/>
              <w:rPr>
                <w:rFonts w:hint="eastAsia" w:ascii="宋体" w:hAnsi="宋体" w:cs="宋体"/>
                <w:bCs/>
                <w:color w:val="000000"/>
                <w:highlight w:val="none"/>
              </w:rPr>
              <w:suppressLineNumbers w:val="0"/>
            </w:pPr>
            <w:r>
              <w:rPr>
                <w:rFonts w:hint="eastAsia" w:ascii="宋体" w:hAnsi="宋体" w:cs="宋体"/>
                <w:bCs/>
                <w:color w:val="000000"/>
                <w:highlight w:val="none"/>
              </w:rPr>
              <w:t xml:space="preserve">9</w:t>
            </w:r>
            <w:r/>
          </w:p>
        </w:tc>
        <w:tc>
          <w:tcPr>
            <w:gridSpan w:val="2"/>
            <w:tcW w:w="8553" w:type="dxa"/>
            <w:vAlign w:val="center"/>
            <w:textDirection w:val="lrTb"/>
            <w:noWrap w:val="false"/>
          </w:tcPr>
          <w:p>
            <w:pPr>
              <w:pStyle w:val="1044"/>
              <w:ind w:left="0" w:right="0" w:firstLine="0"/>
              <w:keepLines w:val="0"/>
              <w:keepNext w:val="0"/>
              <w:spacing w:before="0" w:beforeAutospacing="0" w:after="0" w:afterAutospacing="0" w:line="360" w:lineRule="auto"/>
              <w:rPr>
                <w:rFonts w:hint="eastAsia" w:ascii="宋体" w:hAnsi="宋体" w:cs="宋体"/>
                <w:color w:val="000000"/>
                <w:highlight w:val="none"/>
              </w:rPr>
              <w:suppressLineNumbers w:val="0"/>
            </w:pPr>
            <w:r>
              <w:rPr>
                <w:rFonts w:hint="eastAsia" w:ascii="宋体" w:hAnsi="宋体" w:cs="宋体"/>
                <w:bCs/>
                <w:color w:val="000000"/>
                <w:highlight w:val="none"/>
              </w:rPr>
              <w:t xml:space="preserve">《联合体协议》（</w:t>
            </w:r>
            <w:r>
              <w:rPr>
                <w:rFonts w:hint="eastAsia" w:ascii="宋体" w:hAnsi="宋体"/>
                <w:color w:val="000000"/>
                <w:highlight w:val="none"/>
              </w:rPr>
              <w:t xml:space="preserve">如接受联合体投标且投标人为联合体时须提供</w:t>
            </w:r>
            <w:r>
              <w:rPr>
                <w:rFonts w:hint="eastAsia" w:ascii="宋体" w:hAnsi="宋体" w:cs="宋体"/>
                <w:bCs/>
                <w:color w:val="000000"/>
                <w:highlight w:val="none"/>
              </w:rPr>
              <w:t xml:space="preserve">，格式自拟）。</w:t>
            </w:r>
            <w:r/>
          </w:p>
        </w:tc>
      </w:tr>
    </w:tbl>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p>
    <w:p>
      <w:pPr>
        <w:numPr>
          <w:ilvl w:val="0"/>
          <w:numId w:val="42"/>
        </w:numPr>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如遇年检、换证，则必须提供法定年检、换证单位出具的有效证明扫描件。</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），必须提供相关政策规定或相关单位出具的有效证明扫描件；如因新成立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42"/>
        </w:num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42"/>
        </w:num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8项，如本项目有特定资格要求的（详见第一章《投标邀请》），须提供相应的特定资格证明文件。</w:t>
      </w:r>
      <w:r/>
    </w:p>
    <w:p>
      <w:pPr>
        <w:numPr>
          <w:ilvl w:val="0"/>
          <w:numId w:val="42"/>
        </w:num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如项目接受联合体投标且投标人为联合体时，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中：第2、6项可由联合体主体单位（即联合体牵头人）代表联合体提供；第1、3、4、5、7（如有要求）、8（如有要求）项，联合体各方均须提供。</w:t>
      </w:r>
      <w:r/>
    </w:p>
    <w:p>
      <w:pPr>
        <w:spacing w:line="360" w:lineRule="auto"/>
        <w:rPr>
          <w:rFonts w:hint="eastAsia"/>
          <w:b/>
          <w:color w:val="000000"/>
          <w:sz w:val="28"/>
          <w:szCs w:val="28"/>
          <w:highlight w:val="none"/>
        </w:rPr>
      </w:pPr>
      <w:r>
        <w:rPr>
          <w:rFonts w:hint="eastAsia" w:ascii="宋体" w:hAnsi="宋体"/>
          <w:color w:val="000000"/>
          <w:highlight w:val="none"/>
        </w:rPr>
        <w:br w:type="page" w:clear="all"/>
      </w:r>
      <w:r>
        <w:rPr>
          <w:rFonts w:hint="eastAsia"/>
          <w:b/>
          <w:color w:val="000000"/>
          <w:sz w:val="28"/>
          <w:szCs w:val="28"/>
          <w:highlight w:val="none"/>
        </w:rPr>
        <w:t xml:space="preserve">二、符合性证明文件及其他证明文件</w:t>
      </w:r>
      <w:r/>
    </w:p>
    <w:p>
      <w:pPr>
        <w:spacing w:line="360" w:lineRule="auto"/>
        <w:rPr>
          <w:b/>
          <w:color w:val="000000" w:themeColor="text1"/>
          <w:sz w:val="28"/>
          <w:szCs w:val="28"/>
          <w:highlight w:val="none"/>
        </w:rPr>
      </w:pPr>
      <w:r>
        <w:rPr>
          <w:rFonts w:hint="eastAsia"/>
          <w:b/>
          <w:color w:val="000000" w:themeColor="text1"/>
          <w:sz w:val="28"/>
          <w:szCs w:val="28"/>
          <w:highlight w:val="none"/>
        </w:rPr>
        <w:t xml:space="preserve">（一）符合性证明文件</w:t>
      </w:r>
      <w:r/>
    </w:p>
    <w:tbl>
      <w:tblPr>
        <w:tblStyle w:val="7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44"/>
              <w:ind w:firstLine="0"/>
              <w:jc w:val="center"/>
              <w:spacing w:before="0" w:after="0" w:line="360" w:lineRule="auto"/>
              <w:rPr>
                <w:rFonts w:hint="eastAsia" w:cs="Arial"/>
                <w:b/>
                <w:color w:val="000000" w:themeColor="text1"/>
                <w:highlight w:val="none"/>
              </w:rPr>
            </w:pPr>
            <w:r>
              <w:rPr>
                <w:rFonts w:hint="eastAsia" w:cs="Arial"/>
                <w:b/>
                <w:color w:val="000000" w:themeColor="text1"/>
                <w:highlight w:val="none"/>
              </w:rPr>
              <w:t xml:space="preserve">序号</w:t>
            </w:r>
            <w:r/>
          </w:p>
        </w:tc>
        <w:tc>
          <w:tcPr>
            <w:tcW w:w="6095" w:type="dxa"/>
            <w:vAlign w:val="center"/>
            <w:textDirection w:val="lrTb"/>
            <w:noWrap w:val="false"/>
          </w:tcPr>
          <w:p>
            <w:pPr>
              <w:pStyle w:val="1044"/>
              <w:ind w:firstLine="0"/>
              <w:jc w:val="center"/>
              <w:spacing w:before="0" w:after="0" w:line="360" w:lineRule="auto"/>
              <w:rPr>
                <w:rFonts w:hint="eastAsia" w:cs="Arial"/>
                <w:b/>
                <w:color w:val="000000" w:themeColor="text1"/>
                <w:highlight w:val="none"/>
              </w:rPr>
            </w:pPr>
            <w:r>
              <w:rPr>
                <w:rFonts w:hint="eastAsia" w:ascii="宋体" w:hAnsi="宋体" w:cs="宋体"/>
                <w:b/>
                <w:color w:val="000000" w:themeColor="text1"/>
                <w:highlight w:val="none"/>
              </w:rPr>
              <w:t xml:space="preserve">评审项目及评审要求</w:t>
            </w:r>
            <w:r/>
          </w:p>
        </w:tc>
        <w:tc>
          <w:tcPr>
            <w:tcW w:w="1979" w:type="dxa"/>
            <w:vAlign w:val="center"/>
            <w:textDirection w:val="lrTb"/>
            <w:noWrap w:val="false"/>
          </w:tcPr>
          <w:p>
            <w:pPr>
              <w:pStyle w:val="1044"/>
              <w:ind w:firstLine="0"/>
              <w:jc w:val="center"/>
              <w:spacing w:before="0" w:after="0" w:line="360" w:lineRule="auto"/>
              <w:rPr>
                <w:rFonts w:hint="eastAsia" w:cs="Arial"/>
                <w:b/>
                <w:color w:val="000000" w:themeColor="text1"/>
                <w:highlight w:val="none"/>
              </w:rPr>
            </w:pPr>
            <w:r>
              <w:rPr>
                <w:rFonts w:hint="eastAsia" w:cs="Arial"/>
                <w:b/>
                <w:color w:val="000000" w:themeColor="text1"/>
                <w:highlight w:val="none"/>
              </w:rPr>
              <w:t xml:space="preserve">审查因素</w:t>
            </w:r>
            <w:r/>
          </w:p>
        </w:tc>
      </w:tr>
      <w:tr>
        <w:trPr>
          <w:jc w:val="center"/>
          <w:trHeight w:val="567"/>
        </w:trPr>
        <w:tc>
          <w:tcPr>
            <w:tcW w:w="823" w:type="dxa"/>
            <w:vAlign w:val="center"/>
            <w:textDirection w:val="lrTb"/>
            <w:noWrap w:val="false"/>
          </w:tcPr>
          <w:p>
            <w:pPr>
              <w:pStyle w:val="1044"/>
              <w:ind w:firstLine="0"/>
              <w:jc w:val="center"/>
              <w:spacing w:before="0" w:after="0" w:line="36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1</w:t>
            </w:r>
            <w:r/>
          </w:p>
        </w:tc>
        <w:tc>
          <w:tcPr>
            <w:tcW w:w="6095" w:type="dxa"/>
            <w:vAlign w:val="center"/>
            <w:textDirection w:val="lrTb"/>
            <w:noWrap w:val="false"/>
          </w:tcPr>
          <w:p>
            <w:pPr>
              <w:pStyle w:val="1044"/>
              <w:ind w:firstLine="0"/>
              <w:jc w:val="both"/>
              <w:spacing w:before="0" w:after="0" w:line="36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投标函（给定格式）</w:t>
            </w:r>
            <w:r/>
          </w:p>
        </w:tc>
        <w:tc>
          <w:tcPr>
            <w:tcW w:w="1979" w:type="dxa"/>
            <w:vAlign w:val="center"/>
            <w:vMerge w:val="restart"/>
            <w:textDirection w:val="lrTb"/>
            <w:noWrap w:val="false"/>
          </w:tcPr>
          <w:p>
            <w:pPr>
              <w:pStyle w:val="1044"/>
              <w:ind w:firstLine="0"/>
              <w:jc w:val="center"/>
              <w:spacing w:before="0" w:after="0" w:line="360" w:lineRule="auto"/>
              <w:rPr>
                <w:rFonts w:hint="eastAsia" w:cs="Arial"/>
                <w:color w:val="000000" w:themeColor="text1"/>
                <w:highlight w:val="none"/>
              </w:rPr>
            </w:pPr>
            <w:r>
              <w:rPr>
                <w:rFonts w:hint="eastAsia" w:cs="Arial"/>
                <w:color w:val="000000" w:themeColor="text1"/>
                <w:highlight w:val="none"/>
              </w:rPr>
              <w:t xml:space="preserve">商务符合性</w:t>
            </w:r>
            <w:r/>
          </w:p>
        </w:tc>
      </w:tr>
      <w:tr>
        <w:trPr>
          <w:jc w:val="center"/>
          <w:trHeight w:val="567"/>
        </w:trPr>
        <w:tc>
          <w:tcPr>
            <w:shd w:val="clear" w:color="auto" w:fill="auto"/>
            <w:tcW w:w="823" w:type="dxa"/>
            <w:vAlign w:val="center"/>
            <w:textDirection w:val="lrTb"/>
            <w:noWrap w:val="false"/>
          </w:tcPr>
          <w:p>
            <w:pPr>
              <w:pStyle w:val="1044"/>
              <w:ind w:firstLine="0"/>
              <w:jc w:val="center"/>
              <w:spacing w:before="0" w:after="0" w:line="360" w:lineRule="auto"/>
              <w:rPr>
                <w:rFonts w:hint="eastAsia" w:ascii="宋体" w:hAnsi="宋体" w:eastAsia="宋体" w:cs="Arial"/>
                <w:color w:val="000000" w:themeColor="text1"/>
                <w:sz w:val="24"/>
                <w:szCs w:val="24"/>
                <w:highlight w:val="none"/>
                <w:lang w:val="en-US" w:eastAsia="zh-CN" w:bidi="ar-SA"/>
              </w:rPr>
            </w:pPr>
            <w:r>
              <w:rPr>
                <w:rFonts w:hint="eastAsia" w:ascii="宋体" w:hAnsi="宋体" w:cs="Arial"/>
                <w:color w:val="000000" w:themeColor="text1"/>
                <w:highlight w:val="none"/>
              </w:rPr>
              <w:t xml:space="preserve">2</w:t>
            </w:r>
            <w:r/>
          </w:p>
        </w:tc>
        <w:tc>
          <w:tcPr>
            <w:shd w:val="clear" w:color="auto" w:fill="auto"/>
            <w:tcW w:w="6095" w:type="dxa"/>
            <w:vAlign w:val="center"/>
            <w:textDirection w:val="lrTb"/>
            <w:noWrap w:val="false"/>
          </w:tcPr>
          <w:p>
            <w:pPr>
              <w:pStyle w:val="1044"/>
              <w:ind w:firstLine="0"/>
              <w:jc w:val="both"/>
              <w:spacing w:before="0" w:after="0" w:line="360" w:lineRule="auto"/>
              <w:rPr>
                <w:rFonts w:hint="eastAsia" w:ascii="宋体" w:hAnsi="宋体" w:eastAsia="宋体" w:cs="Arial"/>
                <w:color w:val="000000" w:themeColor="text1"/>
                <w:sz w:val="24"/>
                <w:szCs w:val="24"/>
                <w:highlight w:val="none"/>
                <w:lang w:val="en-US" w:eastAsia="zh-CN" w:bidi="ar-SA"/>
              </w:rPr>
            </w:pPr>
            <w:r>
              <w:rPr>
                <w:rFonts w:hint="eastAsia" w:ascii="宋体" w:hAnsi="宋体" w:cs="Arial"/>
                <w:color w:val="000000" w:themeColor="text1"/>
                <w:highlight w:val="none"/>
              </w:rPr>
              <w:t xml:space="preserve">承诺书（给定格式）</w:t>
            </w:r>
            <w:r/>
          </w:p>
        </w:tc>
        <w:tc>
          <w:tcPr>
            <w:tcW w:w="1979" w:type="dxa"/>
            <w:vAlign w:val="center"/>
            <w:vMerge w:val="continue"/>
            <w:textDirection w:val="lrTb"/>
            <w:noWrap w:val="false"/>
          </w:tcPr>
          <w:p>
            <w:pPr>
              <w:pStyle w:val="1044"/>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1044"/>
              <w:ind w:firstLine="0"/>
              <w:jc w:val="center"/>
              <w:spacing w:before="0" w:after="0" w:line="360" w:lineRule="auto"/>
              <w:rPr>
                <w:rFonts w:hint="eastAsia" w:ascii="宋体" w:hAnsi="宋体" w:eastAsia="宋体" w:cs="Arial"/>
                <w:color w:val="000000" w:themeColor="text1"/>
                <w:highlight w:val="none"/>
                <w:lang w:val="en-US" w:eastAsia="zh-CN"/>
              </w:rPr>
            </w:pPr>
            <w:r>
              <w:rPr>
                <w:rFonts w:hint="eastAsia" w:ascii="宋体" w:hAnsi="宋体" w:cs="Arial"/>
                <w:color w:val="000000" w:themeColor="text1"/>
                <w:highlight w:val="none"/>
                <w:lang w:val="en-US" w:eastAsia="zh-CN"/>
              </w:rPr>
              <w:t xml:space="preserve">3</w:t>
            </w:r>
            <w:r/>
          </w:p>
        </w:tc>
        <w:tc>
          <w:tcPr>
            <w:tcW w:w="6095" w:type="dxa"/>
            <w:vAlign w:val="center"/>
            <w:textDirection w:val="lrTb"/>
            <w:noWrap w:val="false"/>
          </w:tcPr>
          <w:p>
            <w:pPr>
              <w:pStyle w:val="1044"/>
              <w:ind w:firstLine="0"/>
              <w:jc w:val="both"/>
              <w:spacing w:before="0" w:after="0" w:line="36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项目人员配置考察表（给定格式）</w:t>
            </w:r>
            <w:r/>
          </w:p>
        </w:tc>
        <w:tc>
          <w:tcPr>
            <w:tcW w:w="1979" w:type="dxa"/>
            <w:vAlign w:val="center"/>
            <w:vMerge w:val="continue"/>
            <w:textDirection w:val="lrTb"/>
            <w:noWrap w:val="false"/>
          </w:tcPr>
          <w:p>
            <w:pPr>
              <w:pStyle w:val="1044"/>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1044"/>
              <w:ind w:firstLine="0"/>
              <w:jc w:val="center"/>
              <w:spacing w:before="0" w:after="0" w:line="360" w:lineRule="auto"/>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4</w:t>
            </w:r>
            <w:r/>
          </w:p>
        </w:tc>
        <w:tc>
          <w:tcPr>
            <w:tcW w:w="6095" w:type="dxa"/>
            <w:vAlign w:val="center"/>
            <w:textDirection w:val="lrTb"/>
            <w:noWrap w:val="false"/>
          </w:tcPr>
          <w:p>
            <w:pPr>
              <w:pStyle w:val="1044"/>
              <w:ind w:firstLine="0"/>
              <w:jc w:val="both"/>
              <w:spacing w:before="0" w:after="0" w:line="360" w:lineRule="auto"/>
              <w:rPr>
                <w:rFonts w:hint="eastAsia" w:ascii="宋体" w:hAnsi="宋体" w:cs="Arial"/>
                <w:color w:val="000000" w:themeColor="text1"/>
                <w:highlight w:val="none"/>
              </w:rPr>
            </w:pPr>
            <w:r>
              <w:rPr>
                <w:rFonts w:hint="eastAsia" w:ascii="宋体" w:hAnsi="宋体"/>
                <w:color w:val="000000" w:themeColor="text1"/>
                <w:highlight w:val="none"/>
              </w:rPr>
              <w:t xml:space="preserve">开标一览表（“苏采云”系统中给定格式）</w:t>
            </w:r>
            <w:r/>
          </w:p>
        </w:tc>
        <w:tc>
          <w:tcPr>
            <w:tcW w:w="1979" w:type="dxa"/>
            <w:vAlign w:val="center"/>
            <w:vMerge w:val="restart"/>
            <w:textDirection w:val="lrTb"/>
            <w:noWrap w:val="false"/>
          </w:tcPr>
          <w:p>
            <w:pPr>
              <w:pStyle w:val="1044"/>
              <w:ind w:firstLine="0"/>
              <w:jc w:val="center"/>
              <w:spacing w:before="0" w:after="0" w:line="360" w:lineRule="auto"/>
              <w:rPr>
                <w:rFonts w:hint="eastAsia" w:cs="Arial"/>
                <w:color w:val="000000" w:themeColor="text1"/>
                <w:highlight w:val="none"/>
              </w:rPr>
            </w:pPr>
            <w:r>
              <w:rPr>
                <w:rFonts w:hint="eastAsia" w:cs="Arial"/>
                <w:color w:val="000000" w:themeColor="text1"/>
                <w:highlight w:val="none"/>
              </w:rPr>
              <w:t xml:space="preserve">报价符合性</w:t>
            </w:r>
            <w:r/>
          </w:p>
        </w:tc>
      </w:tr>
      <w:tr>
        <w:trPr>
          <w:jc w:val="center"/>
          <w:trHeight w:val="567"/>
        </w:trPr>
        <w:tc>
          <w:tcPr>
            <w:tcW w:w="823" w:type="dxa"/>
            <w:vAlign w:val="center"/>
            <w:textDirection w:val="lrTb"/>
            <w:noWrap w:val="false"/>
          </w:tcPr>
          <w:p>
            <w:pPr>
              <w:pStyle w:val="1044"/>
              <w:ind w:firstLine="0"/>
              <w:jc w:val="center"/>
              <w:spacing w:before="0" w:after="0" w:line="360" w:lineRule="auto"/>
              <w:rPr>
                <w:rFonts w:hint="default"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5</w:t>
            </w:r>
            <w:r/>
          </w:p>
        </w:tc>
        <w:tc>
          <w:tcPr>
            <w:tcW w:w="6095" w:type="dxa"/>
            <w:vAlign w:val="center"/>
            <w:textDirection w:val="lrTb"/>
            <w:noWrap w:val="false"/>
          </w:tcPr>
          <w:p>
            <w:pPr>
              <w:pStyle w:val="1044"/>
              <w:ind w:firstLine="0"/>
              <w:jc w:val="both"/>
              <w:spacing w:before="0" w:after="0" w:line="360" w:lineRule="auto"/>
              <w:rPr>
                <w:rFonts w:hint="eastAsia" w:ascii="宋体" w:hAnsi="宋体" w:cs="Arial"/>
                <w:color w:val="000000" w:themeColor="text1"/>
                <w:highlight w:val="none"/>
              </w:rPr>
            </w:pPr>
            <w:r>
              <w:rPr>
                <w:rFonts w:hint="eastAsia" w:ascii="宋体" w:hAnsi="宋体"/>
                <w:color w:val="000000" w:themeColor="text1"/>
                <w:highlight w:val="none"/>
              </w:rPr>
              <w:t xml:space="preserve">分项报价表（给定格式）</w:t>
            </w:r>
            <w:r/>
          </w:p>
        </w:tc>
        <w:tc>
          <w:tcPr>
            <w:tcW w:w="1979" w:type="dxa"/>
            <w:vAlign w:val="center"/>
            <w:vMerge w:val="continue"/>
            <w:textDirection w:val="lrTb"/>
            <w:noWrap w:val="false"/>
          </w:tcPr>
          <w:p>
            <w:pPr>
              <w:pStyle w:val="1044"/>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1044"/>
              <w:ind w:firstLine="0"/>
              <w:jc w:val="center"/>
              <w:spacing w:before="0" w:after="0" w:line="360" w:lineRule="auto"/>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6</w:t>
            </w:r>
            <w:r/>
          </w:p>
        </w:tc>
        <w:tc>
          <w:tcPr>
            <w:tcW w:w="6095" w:type="dxa"/>
            <w:vAlign w:val="center"/>
            <w:textDirection w:val="lrTb"/>
            <w:noWrap w:val="false"/>
          </w:tcPr>
          <w:p>
            <w:pPr>
              <w:pStyle w:val="1044"/>
              <w:ind w:firstLine="0"/>
              <w:jc w:val="both"/>
              <w:spacing w:before="0" w:after="0" w:line="360" w:lineRule="auto"/>
              <w:rPr>
                <w:rFonts w:ascii="宋体" w:hAnsi="宋体" w:cs="Arial"/>
                <w:color w:val="000000" w:themeColor="text1"/>
                <w:highlight w:val="none"/>
              </w:rPr>
            </w:pPr>
            <w:r>
              <w:rPr>
                <w:rFonts w:hint="eastAsia" w:ascii="宋体" w:hAnsi="宋体"/>
                <w:color w:val="000000" w:themeColor="text1"/>
                <w:highlight w:val="none"/>
              </w:rPr>
              <w:t xml:space="preserve">投标偏离表（给定格式）</w:t>
            </w:r>
            <w:r/>
          </w:p>
        </w:tc>
        <w:tc>
          <w:tcPr>
            <w:tcW w:w="1979" w:type="dxa"/>
            <w:vAlign w:val="center"/>
            <w:vMerge w:val="restart"/>
            <w:textDirection w:val="lrTb"/>
            <w:noWrap w:val="false"/>
          </w:tcPr>
          <w:p>
            <w:pPr>
              <w:pStyle w:val="1044"/>
              <w:ind w:firstLine="0"/>
              <w:jc w:val="center"/>
              <w:spacing w:before="0" w:after="0" w:line="360" w:lineRule="auto"/>
              <w:rPr>
                <w:rFonts w:hint="eastAsia" w:cs="Arial"/>
                <w:color w:val="000000" w:themeColor="text1"/>
                <w:highlight w:val="none"/>
              </w:rPr>
            </w:pPr>
            <w:r>
              <w:rPr>
                <w:rFonts w:hint="eastAsia" w:cs="Arial"/>
                <w:color w:val="000000" w:themeColor="text1"/>
                <w:highlight w:val="none"/>
              </w:rPr>
              <w:t xml:space="preserve">技术符合性</w:t>
            </w:r>
            <w:r/>
          </w:p>
        </w:tc>
      </w:tr>
      <w:tr>
        <w:trPr>
          <w:jc w:val="center"/>
          <w:trHeight w:val="567"/>
        </w:trPr>
        <w:tc>
          <w:tcPr>
            <w:tcW w:w="823" w:type="dxa"/>
            <w:vAlign w:val="center"/>
            <w:textDirection w:val="lrTb"/>
            <w:noWrap w:val="false"/>
          </w:tcPr>
          <w:p>
            <w:pPr>
              <w:pStyle w:val="1044"/>
              <w:ind w:firstLine="0"/>
              <w:jc w:val="center"/>
              <w:spacing w:before="0" w:after="0" w:line="360" w:lineRule="auto"/>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7</w:t>
            </w:r>
            <w:r/>
          </w:p>
        </w:tc>
        <w:tc>
          <w:tcPr>
            <w:tcW w:w="6095" w:type="dxa"/>
            <w:vAlign w:val="center"/>
            <w:textDirection w:val="lrTb"/>
            <w:noWrap w:val="false"/>
          </w:tcPr>
          <w:p>
            <w:pPr>
              <w:pStyle w:val="1044"/>
              <w:ind w:firstLine="0"/>
              <w:jc w:val="both"/>
              <w:spacing w:before="0" w:after="0" w:line="360" w:lineRule="auto"/>
              <w:rPr>
                <w:rFonts w:hint="eastAsia" w:ascii="宋体" w:hAnsi="宋体"/>
                <w:color w:val="000000" w:themeColor="text1"/>
                <w:highlight w:val="none"/>
              </w:rPr>
            </w:pPr>
            <w:r>
              <w:rPr>
                <w:rFonts w:hint="eastAsia" w:ascii="宋体" w:hAnsi="宋体"/>
                <w:color w:val="000000" w:themeColor="text1"/>
                <w:highlight w:val="none"/>
              </w:rPr>
              <w:t xml:space="preserve">《采购需求》中要求提供的证明材料（如有）</w:t>
            </w:r>
            <w:r/>
          </w:p>
        </w:tc>
        <w:tc>
          <w:tcPr>
            <w:tcW w:w="1979" w:type="dxa"/>
            <w:vAlign w:val="center"/>
            <w:vMerge w:val="continue"/>
            <w:textDirection w:val="lrTb"/>
            <w:noWrap w:val="false"/>
          </w:tcPr>
          <w:p>
            <w:pPr>
              <w:pStyle w:val="1044"/>
              <w:ind w:firstLine="0"/>
              <w:jc w:val="center"/>
              <w:spacing w:before="0" w:after="0" w:line="240" w:lineRule="auto"/>
              <w:rPr>
                <w:rFonts w:hint="eastAsia" w:cs="Arial"/>
              </w:rPr>
            </w:pPr>
            <w:r>
              <w:rPr>
                <w:rFonts w:hint="eastAsia" w:cs="Arial"/>
              </w:rPr>
            </w:r>
            <w:r/>
          </w:p>
        </w:tc>
      </w:tr>
    </w:tbl>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p>
    <w:p>
      <w:pPr>
        <w:numPr>
          <w:ilvl w:val="0"/>
          <w:numId w:val="43"/>
        </w:num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cs="Arial"/>
          <w:color w:val="000000" w:themeColor="text1"/>
          <w:sz w:val="24"/>
          <w:szCs w:val="24"/>
          <w:highlight w:val="none"/>
        </w:rPr>
        <w:t xml:space="preserve">符合性证明文件第</w:t>
      </w: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lang w:val="en-US" w:eastAsia="zh-CN"/>
        </w:rPr>
        <w:t xml:space="preserve">6</w:t>
      </w:r>
      <w:r>
        <w:rPr>
          <w:rFonts w:hint="eastAsia" w:ascii="宋体" w:hAnsi="宋体"/>
          <w:color w:val="000000" w:themeColor="text1"/>
          <w:sz w:val="24"/>
          <w:szCs w:val="24"/>
          <w:highlight w:val="none"/>
        </w:rPr>
        <w:t xml:space="preserve">项必须按要求全部提供（有给定格式的，必须按给定格式的要求正确填报并提供，相应格式见本章第二部分），否则投标文件无效。</w:t>
      </w:r>
      <w:r/>
    </w:p>
    <w:p>
      <w:pPr>
        <w:numPr>
          <w:ilvl w:val="0"/>
          <w:numId w:val="43"/>
        </w:num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ascii="宋体" w:hAnsi="宋体" w:cs="Arial"/>
          <w:color w:val="000000" w:themeColor="text1"/>
          <w:sz w:val="24"/>
          <w:szCs w:val="24"/>
          <w:highlight w:val="none"/>
        </w:rPr>
        <w:t xml:space="preserve">符合性证明文件第</w:t>
      </w:r>
      <w:r>
        <w:rPr>
          <w:rFonts w:hint="eastAsia" w:ascii="宋体" w:hAnsi="宋体" w:cs="Arial"/>
          <w:color w:val="000000" w:themeColor="text1"/>
          <w:sz w:val="24"/>
          <w:szCs w:val="24"/>
          <w:highlight w:val="none"/>
          <w:lang w:val="en-US" w:eastAsia="zh-CN"/>
        </w:rPr>
        <w:t xml:space="preserve">7</w:t>
      </w:r>
      <w:r>
        <w:rPr>
          <w:rFonts w:hint="eastAsia" w:ascii="宋体" w:hAnsi="宋体" w:cs="Arial"/>
          <w:color w:val="000000" w:themeColor="text1"/>
          <w:sz w:val="24"/>
          <w:szCs w:val="24"/>
          <w:highlight w:val="none"/>
        </w:rPr>
        <w:t xml:space="preserve">项，《采购需求》中如有要求提供证明材料的，须按要求提供，否则投标文件无效。</w:t>
      </w:r>
      <w:r/>
    </w:p>
    <w:p>
      <w:pPr>
        <w:numPr>
          <w:ilvl w:val="0"/>
          <w:numId w:val="43"/>
        </w:num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如项目接受联合体投标，且投标人为联合体时，上述</w:t>
      </w:r>
      <w:r>
        <w:rPr>
          <w:rFonts w:hint="eastAsia" w:cs="Arial"/>
          <w:color w:val="000000" w:themeColor="text1"/>
          <w:sz w:val="24"/>
          <w:szCs w:val="24"/>
          <w:highlight w:val="none"/>
        </w:rPr>
        <w:t xml:space="preserve">符合性证明文件</w:t>
      </w:r>
      <w:r>
        <w:rPr>
          <w:rFonts w:hint="eastAsia" w:ascii="宋体" w:hAnsi="宋体" w:cs="宋体"/>
          <w:color w:val="000000" w:themeColor="text1"/>
          <w:sz w:val="24"/>
          <w:szCs w:val="24"/>
          <w:highlight w:val="none"/>
        </w:rPr>
        <w:t xml:space="preserve">第1～</w:t>
      </w: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rPr>
        <w:t xml:space="preserve">项可由联合体主体单位（即联合体牵头人）代表联合体提供。第</w:t>
      </w:r>
      <w:r>
        <w:rPr>
          <w:rFonts w:hint="eastAsia" w:ascii="宋体" w:hAnsi="宋体" w:cs="宋体"/>
          <w:color w:val="000000" w:themeColor="text1"/>
          <w:sz w:val="24"/>
          <w:szCs w:val="24"/>
          <w:highlight w:val="none"/>
          <w:lang w:val="en-US" w:eastAsia="zh-CN"/>
        </w:rPr>
        <w:t xml:space="preserve">7</w:t>
      </w:r>
      <w:r>
        <w:rPr>
          <w:rFonts w:hint="eastAsia" w:ascii="宋体" w:hAnsi="宋体" w:cs="宋体"/>
          <w:color w:val="000000" w:themeColor="text1"/>
          <w:sz w:val="24"/>
          <w:szCs w:val="24"/>
          <w:highlight w:val="none"/>
        </w:rPr>
        <w:t xml:space="preserve">项按《采购需求》中的相应要求（如有）进行提供。</w:t>
      </w:r>
      <w:r/>
    </w:p>
    <w:p>
      <w:pPr>
        <w:spacing w:line="360" w:lineRule="auto"/>
        <w:rPr>
          <w:rFonts w:hint="eastAsia"/>
          <w:b/>
          <w:color w:val="000000"/>
          <w:sz w:val="28"/>
          <w:szCs w:val="28"/>
          <w:highlight w:val="none"/>
        </w:rPr>
      </w:pPr>
      <w:r/>
      <w:bookmarkStart w:id="230" w:name="_GoBack"/>
      <w:r/>
      <w:bookmarkEnd w:id="230"/>
      <w:r/>
      <w:r/>
    </w:p>
    <w:p>
      <w:pPr>
        <w:spacing w:line="360" w:lineRule="auto"/>
        <w:rPr>
          <w:rFonts w:hint="eastAsia"/>
          <w:b/>
          <w:color w:val="000000"/>
          <w:sz w:val="28"/>
          <w:szCs w:val="28"/>
          <w:highlight w:val="none"/>
        </w:rPr>
      </w:pPr>
      <w:r>
        <w:rPr>
          <w:rFonts w:hint="eastAsia"/>
          <w:b/>
          <w:color w:val="000000"/>
          <w:sz w:val="28"/>
          <w:szCs w:val="28"/>
          <w:highlight w:val="none"/>
        </w:rPr>
        <w:t xml:space="preserve">（二）其他证明文件</w:t>
      </w:r>
      <w:r/>
    </w:p>
    <w:p>
      <w:pPr>
        <w:ind w:left="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1.《评标方法与评标标准》中涉及的证明文件。</w:t>
      </w:r>
      <w:r/>
    </w:p>
    <w:p>
      <w:pPr>
        <w:ind w:left="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2.投标人认为如有其他应附的文件可自拟并自行添加。</w:t>
      </w:r>
      <w:r/>
    </w:p>
    <w:p>
      <w:pPr>
        <w:spacing w:line="360" w:lineRule="auto"/>
        <w:rPr>
          <w:rFonts w:hint="eastAsia"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 xml:space="preserve">第二部分  投标文件格式</w:t>
      </w:r>
      <w:r/>
    </w:p>
    <w:p>
      <w:pPr>
        <w:pStyle w:val="1044"/>
        <w:ind w:firstLine="0"/>
        <w:spacing w:before="0" w:after="0" w:line="360" w:lineRule="auto"/>
        <w:rPr>
          <w:rFonts w:cs="Arial"/>
          <w:b/>
          <w:color w:val="000000"/>
          <w:sz w:val="28"/>
          <w:szCs w:val="28"/>
          <w:highlight w:val="none"/>
        </w:rPr>
      </w:pPr>
      <w:r>
        <w:rPr>
          <w:rFonts w:hint="eastAsia" w:cs="Arial"/>
          <w:b/>
          <w:color w:val="000000"/>
          <w:sz w:val="28"/>
          <w:szCs w:val="28"/>
          <w:highlight w:val="none"/>
        </w:rPr>
        <w:t xml:space="preserve">一、封面格式（参考格式）：</w:t>
      </w:r>
      <w:r/>
    </w:p>
    <w:p>
      <w:pPr>
        <w:jc w:val="center"/>
        <w:spacing w:line="360" w:lineRule="auto"/>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spacing w:line="360" w:lineRule="auto"/>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spacing w:line="360" w:lineRule="auto"/>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投  标  文  件</w:t>
      </w:r>
      <w:r/>
    </w:p>
    <w:p>
      <w:pPr>
        <w:jc w:val="center"/>
        <w:spacing w:line="360" w:lineRule="auto"/>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spacing w:line="360" w:lineRule="auto"/>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spacing w:line="360" w:lineRule="auto"/>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spacing w:line="360" w:lineRule="auto"/>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ind w:firstLine="1800"/>
        <w:spacing w:line="360" w:lineRule="auto"/>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项目编号：</w:t>
      </w:r>
      <w:r/>
    </w:p>
    <w:p>
      <w:pPr>
        <w:ind w:firstLine="1800"/>
        <w:spacing w:line="360" w:lineRule="auto"/>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项目名称：</w:t>
      </w:r>
      <w:r/>
    </w:p>
    <w:p>
      <w:pPr>
        <w:ind w:firstLine="1800"/>
        <w:spacing w:line="360" w:lineRule="auto"/>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投 标 人：</w:t>
      </w:r>
      <w:r/>
    </w:p>
    <w:p>
      <w:pPr>
        <w:ind w:firstLine="1800"/>
        <w:spacing w:line="360" w:lineRule="auto"/>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p>
    <w:p>
      <w:pPr>
        <w:spacing w:line="360" w:lineRule="auto"/>
        <w:rPr>
          <w:rFonts w:hint="eastAsia" w:ascii="Arial" w:hAnsi="Arial"/>
          <w:b/>
          <w:color w:val="000000"/>
          <w:sz w:val="28"/>
          <w:szCs w:val="28"/>
          <w:highlight w:val="none"/>
        </w:rPr>
      </w:pPr>
      <w:r>
        <w:rPr>
          <w:rFonts w:ascii="黑体" w:hAnsi="华文中宋" w:eastAsia="黑体"/>
          <w:bCs/>
          <w:color w:val="000000"/>
          <w:sz w:val="30"/>
          <w:szCs w:val="30"/>
          <w:highlight w:val="none"/>
        </w:rPr>
        <w:br w:type="page" w:clear="all"/>
      </w:r>
      <w:r>
        <w:rPr>
          <w:rFonts w:hint="eastAsia" w:ascii="宋体" w:hAnsi="宋体" w:cs="宋体"/>
          <w:b/>
          <w:color w:val="000000"/>
          <w:sz w:val="28"/>
          <w:szCs w:val="28"/>
          <w:highlight w:val="none"/>
        </w:rPr>
        <w:t xml:space="preserve">二、授权委托书（给定格式）：</w:t>
      </w:r>
      <w:r/>
    </w:p>
    <w:p>
      <w:pPr>
        <w:jc w:val="center"/>
        <w:spacing w:line="360" w:lineRule="auto"/>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p>
    <w:p>
      <w:pPr>
        <w:pStyle w:val="1042"/>
        <w:ind w:firstLine="480"/>
        <w:spacing w:line="360" w:lineRule="auto"/>
        <w:rPr>
          <w:rFonts w:hint="eastAsia"/>
          <w:color w:val="000000"/>
          <w:sz w:val="24"/>
          <w:szCs w:val="24"/>
          <w:highlight w:val="none"/>
        </w:rPr>
      </w:pPr>
      <w:r>
        <w:rPr>
          <w:rFonts w:hint="eastAsia"/>
          <w:color w:val="000000"/>
          <w:sz w:val="24"/>
          <w:szCs w:val="24"/>
          <w:highlight w:val="none"/>
        </w:rPr>
        <w:t xml:space="preserve">我公司（单位、联合体）针对</w:t>
      </w:r>
      <w:r>
        <w:rPr>
          <w:rFonts w:hint="eastAsia"/>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项目，兹授权：</w:t>
      </w:r>
      <w:r/>
    </w:p>
    <w:p>
      <w:pPr>
        <w:pStyle w:val="1042"/>
        <w:ind w:firstLine="480"/>
        <w:spacing w:line="360" w:lineRule="auto"/>
        <w:rPr>
          <w:rFonts w:hint="eastAsia"/>
          <w:color w:val="000000"/>
          <w:sz w:val="24"/>
          <w:szCs w:val="24"/>
          <w:highlight w:val="none"/>
        </w:rPr>
      </w:pPr>
      <w:r>
        <w:rPr>
          <w:rFonts w:hint="eastAsia"/>
          <w:color w:val="000000"/>
          <w:sz w:val="24"/>
          <w:szCs w:val="24"/>
          <w:highlight w:val="none"/>
        </w:rPr>
        <w:t xml:space="preserve">被授权人的姓名：</w:t>
      </w:r>
      <w:r>
        <w:rPr>
          <w:rFonts w:hint="eastAsia"/>
          <w:color w:val="000000"/>
          <w:sz w:val="24"/>
          <w:szCs w:val="24"/>
          <w:highlight w:val="none"/>
          <w:u w:val="single"/>
        </w:rPr>
        <w:t xml:space="preserve">      </w:t>
      </w:r>
      <w:r>
        <w:rPr>
          <w:rFonts w:hint="eastAsia"/>
          <w:color w:val="000000"/>
          <w:sz w:val="24"/>
          <w:szCs w:val="24"/>
          <w:highlight w:val="none"/>
        </w:rPr>
        <w:t xml:space="preserve">；性别：</w:t>
      </w:r>
      <w:r>
        <w:rPr>
          <w:rFonts w:hint="eastAsia"/>
          <w:color w:val="000000"/>
          <w:sz w:val="24"/>
          <w:szCs w:val="24"/>
          <w:highlight w:val="none"/>
          <w:u w:val="single"/>
        </w:rPr>
        <w:t xml:space="preserve">    </w:t>
      </w:r>
      <w:r>
        <w:rPr>
          <w:rFonts w:hint="eastAsia"/>
          <w:color w:val="000000"/>
          <w:sz w:val="24"/>
          <w:szCs w:val="24"/>
          <w:highlight w:val="none"/>
        </w:rPr>
        <w:t xml:space="preserve">；年龄：</w:t>
      </w:r>
      <w:r>
        <w:rPr>
          <w:rFonts w:hint="eastAsia"/>
          <w:color w:val="000000"/>
          <w:sz w:val="24"/>
          <w:szCs w:val="24"/>
          <w:highlight w:val="none"/>
          <w:u w:val="single"/>
        </w:rPr>
        <w:t xml:space="preserve">    </w:t>
      </w:r>
      <w:r>
        <w:rPr>
          <w:rFonts w:hint="eastAsia"/>
          <w:color w:val="000000"/>
          <w:sz w:val="24"/>
          <w:szCs w:val="24"/>
          <w:highlight w:val="none"/>
        </w:rPr>
        <w:t xml:space="preserve">；职务：</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pStyle w:val="1042"/>
        <w:ind w:firstLine="480"/>
        <w:spacing w:line="360" w:lineRule="auto"/>
        <w:rPr>
          <w:rFonts w:hint="eastAsia"/>
          <w:color w:val="000000"/>
          <w:sz w:val="24"/>
          <w:szCs w:val="24"/>
          <w:highlight w:val="none"/>
        </w:rPr>
      </w:pPr>
      <w:r>
        <w:rPr>
          <w:rFonts w:hint="eastAsia"/>
          <w:color w:val="000000"/>
          <w:sz w:val="24"/>
          <w:szCs w:val="24"/>
          <w:highlight w:val="none"/>
        </w:rPr>
        <w:t xml:space="preserve">被授权人的身份证号码：</w:t>
      </w:r>
      <w:r>
        <w:rPr>
          <w:rFonts w:hint="eastAsia"/>
          <w:color w:val="000000"/>
          <w:sz w:val="24"/>
          <w:szCs w:val="24"/>
          <w:highlight w:val="none"/>
          <w:u w:val="single"/>
        </w:rPr>
        <w:t xml:space="preserve">                  </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pStyle w:val="1042"/>
        <w:ind w:firstLine="480"/>
        <w:spacing w:line="360" w:lineRule="auto"/>
        <w:rPr>
          <w:rFonts w:hint="eastAsia"/>
          <w:color w:val="000000"/>
          <w:sz w:val="24"/>
          <w:szCs w:val="24"/>
          <w:highlight w:val="none"/>
        </w:rPr>
      </w:pPr>
      <w:r>
        <w:rPr>
          <w:rFonts w:hint="eastAsia"/>
          <w:color w:val="000000"/>
          <w:sz w:val="24"/>
          <w:szCs w:val="24"/>
          <w:highlight w:val="none"/>
        </w:rPr>
        <w:t xml:space="preserve">为我方合法代理人，以本单位名义全权处理</w:t>
      </w:r>
      <w:r>
        <w:rPr>
          <w:rFonts w:hint="eastAsia" w:ascii="宋体" w:hAnsi="宋体"/>
          <w:bCs/>
          <w:color w:val="000000"/>
          <w:sz w:val="24"/>
          <w:szCs w:val="24"/>
          <w:highlight w:val="none"/>
        </w:rPr>
        <w:t xml:space="preserve">针对本次项目的投标、参与开标、评标、签约等具体工作，并签署全部有关的文件、协议及合同以及其他</w:t>
      </w:r>
      <w:r>
        <w:rPr>
          <w:rFonts w:hint="eastAsia"/>
          <w:color w:val="000000"/>
          <w:sz w:val="24"/>
          <w:szCs w:val="24"/>
          <w:highlight w:val="none"/>
        </w:rPr>
        <w:t xml:space="preserve">一切与该项目采购有关的事务。</w:t>
      </w:r>
      <w:r/>
    </w:p>
    <w:p>
      <w:pPr>
        <w:pStyle w:val="1042"/>
        <w:ind w:firstLine="480"/>
        <w:spacing w:line="360" w:lineRule="auto"/>
        <w:rPr>
          <w:rFonts w:hint="eastAsia" w:ascii="宋体" w:hAnsi="宋体"/>
          <w:bCs/>
          <w:color w:val="000000"/>
          <w:sz w:val="24"/>
          <w:szCs w:val="24"/>
          <w:highlight w:val="none"/>
        </w:rPr>
      </w:pPr>
      <w:r>
        <w:rPr>
          <w:rFonts w:hint="eastAsia"/>
          <w:color w:val="000000"/>
          <w:sz w:val="24"/>
          <w:szCs w:val="24"/>
          <w:highlight w:val="none"/>
        </w:rPr>
        <w:t xml:space="preserve">本授权委托书自授权之日起生效，</w:t>
      </w:r>
      <w:r>
        <w:rPr>
          <w:rFonts w:hint="eastAsia" w:ascii="宋体" w:hAnsi="宋体"/>
          <w:bCs/>
          <w:color w:val="000000"/>
          <w:sz w:val="24"/>
          <w:szCs w:val="24"/>
          <w:highlight w:val="none"/>
        </w:rPr>
        <w:t xml:space="preserve">在撤销授权的书面通知送达你处以前，本授权书一直有效，被授权人签署的所有文件（在</w:t>
      </w:r>
      <w:r>
        <w:rPr>
          <w:rFonts w:hint="eastAsia"/>
          <w:color w:val="000000"/>
          <w:sz w:val="24"/>
          <w:szCs w:val="24"/>
          <w:highlight w:val="none"/>
        </w:rPr>
        <w:t xml:space="preserve">授权委托</w:t>
      </w:r>
      <w:r>
        <w:rPr>
          <w:rFonts w:hint="eastAsia" w:ascii="宋体" w:hAnsi="宋体"/>
          <w:bCs/>
          <w:color w:val="000000"/>
          <w:sz w:val="24"/>
          <w:szCs w:val="24"/>
          <w:highlight w:val="none"/>
        </w:rPr>
        <w:t xml:space="preserve">书有效期内签署的）不因授权的撤销而失效。</w:t>
      </w:r>
      <w:r/>
    </w:p>
    <w:p>
      <w:pPr>
        <w:pStyle w:val="1042"/>
        <w:ind w:firstLine="480"/>
        <w:spacing w:line="360" w:lineRule="auto"/>
        <w:rPr>
          <w:rFonts w:hint="eastAsia"/>
          <w:color w:val="000000"/>
          <w:sz w:val="24"/>
          <w:szCs w:val="24"/>
          <w:highlight w:val="none"/>
        </w:rPr>
      </w:pPr>
      <w:r>
        <w:rPr>
          <w:rFonts w:hint="eastAsia"/>
          <w:color w:val="000000"/>
          <w:sz w:val="24"/>
          <w:szCs w:val="24"/>
          <w:highlight w:val="none"/>
        </w:rPr>
        <w:t xml:space="preserve">特此授权委托。</w:t>
      </w:r>
      <w:r/>
    </w:p>
    <w:p>
      <w:pPr>
        <w:pStyle w:val="1042"/>
        <w:ind w:firstLine="0"/>
        <w:spacing w:line="360" w:lineRule="auto"/>
        <w:rPr>
          <w:rFonts w:hint="eastAsia"/>
          <w:color w:val="000000"/>
          <w:sz w:val="24"/>
          <w:szCs w:val="24"/>
          <w:highlight w:val="none"/>
          <w:u w:val="single"/>
        </w:rPr>
      </w:pPr>
      <w:r>
        <w:rPr>
          <w:rFonts w:hint="eastAsia"/>
          <w:color w:val="000000"/>
          <w:sz w:val="24"/>
          <w:szCs w:val="24"/>
          <w:highlight w:val="none"/>
        </w:rPr>
        <w:t xml:space="preserve">授权日期：</w:t>
      </w:r>
      <w:r>
        <w:rPr>
          <w:rFonts w:hint="eastAsia"/>
          <w:color w:val="000000"/>
          <w:sz w:val="24"/>
          <w:szCs w:val="24"/>
          <w:highlight w:val="none"/>
          <w:u w:val="single"/>
        </w:rPr>
        <w:t xml:space="preserve">    </w:t>
      </w:r>
      <w:r>
        <w:rPr>
          <w:rFonts w:hint="eastAsia"/>
          <w:color w:val="000000"/>
          <w:sz w:val="24"/>
          <w:szCs w:val="24"/>
          <w:highlight w:val="none"/>
        </w:rPr>
        <w:t xml:space="preserve">年</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rPr>
        <w:t xml:space="preserve">日                     投标人名称</w:t>
      </w:r>
      <w:r>
        <w:rPr>
          <w:rFonts w:hint="eastAsia" w:ascii="宋体" w:hAnsi="宋体"/>
          <w:bCs/>
          <w:color w:val="000000"/>
          <w:sz w:val="24"/>
          <w:szCs w:val="24"/>
          <w:highlight w:val="none"/>
        </w:rPr>
        <w:t xml:space="preserve">（盖章）</w:t>
      </w:r>
      <w:r>
        <w:rPr>
          <w:rFonts w:hint="eastAsia"/>
          <w:color w:val="000000"/>
          <w:sz w:val="24"/>
          <w:szCs w:val="24"/>
          <w:highlight w:val="none"/>
        </w:rPr>
        <w:t xml:space="preserve">：</w:t>
      </w:r>
      <w:r/>
    </w:p>
    <w:p>
      <w:pPr>
        <w:pStyle w:val="1042"/>
        <w:ind w:firstLine="0"/>
        <w:spacing w:line="360" w:lineRule="auto"/>
        <w:rPr>
          <w:rFonts w:hint="eastAsia"/>
          <w:color w:val="000000"/>
          <w:sz w:val="24"/>
          <w:szCs w:val="24"/>
          <w:highlight w:val="none"/>
        </w:rPr>
      </w:pPr>
      <w:r>
        <w:rPr>
          <w:rFonts w:hint="eastAsia"/>
          <w:color w:val="000000"/>
          <w:sz w:val="24"/>
          <w:szCs w:val="24"/>
          <w:highlight w:val="none"/>
        </w:rPr>
        <w:t xml:space="preserve">法定代表人签字或盖章：</w:t>
      </w:r>
      <w:r>
        <w:rPr>
          <w:rFonts w:hint="eastAsia"/>
          <w:color w:val="000000"/>
          <w:sz w:val="24"/>
          <w:szCs w:val="24"/>
          <w:highlight w:val="none"/>
          <w:u w:val="single"/>
        </w:rPr>
        <w:t xml:space="preserve">        </w:t>
      </w:r>
      <w:r>
        <w:rPr>
          <w:rFonts w:hint="eastAsia"/>
          <w:color w:val="000000"/>
          <w:sz w:val="24"/>
          <w:szCs w:val="24"/>
          <w:highlight w:val="none"/>
        </w:rPr>
        <w:t xml:space="preserve">             被授权人签字或盖章：</w:t>
      </w:r>
      <w:r>
        <w:rPr>
          <w:rFonts w:hint="eastAsia"/>
          <w:color w:val="000000"/>
          <w:sz w:val="24"/>
          <w:szCs w:val="24"/>
          <w:highlight w:val="none"/>
          <w:u w:val="single"/>
        </w:rPr>
        <w:t xml:space="preserve">        </w:t>
      </w:r>
      <w:r/>
    </w:p>
    <w:p>
      <w:pPr>
        <w:pStyle w:val="1042"/>
        <w:ind w:firstLine="0"/>
        <w:spacing w:line="360" w:lineRule="auto"/>
        <w:rPr>
          <w:rFonts w:hint="eastAsia"/>
          <w:color w:val="000000"/>
          <w:sz w:val="24"/>
          <w:szCs w:val="24"/>
          <w:highlight w:val="none"/>
        </w:rPr>
      </w:pPr>
      <w:r>
        <w:rPr>
          <w:rFonts w:hint="eastAsia" w:ascii="宋体" w:hAnsi="宋体" w:cs="宋体"/>
          <w:b/>
          <w:color w:val="000000"/>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1042"/>
        <w:ind w:firstLine="0"/>
        <w:spacing w:line="360" w:lineRule="auto"/>
        <w:rPr>
          <w:rFonts w:hint="eastAsia"/>
          <w:color w:val="000000"/>
          <w:sz w:val="21"/>
          <w:szCs w:val="21"/>
          <w:highlight w:val="none"/>
        </w:rPr>
      </w:pPr>
      <w:r>
        <w:rPr>
          <w:rFonts w:hint="eastAsia"/>
          <w:color w:val="000000"/>
          <w:sz w:val="21"/>
          <w:szCs w:val="21"/>
          <w:highlight w:val="none"/>
        </w:rPr>
      </w:r>
      <w:r/>
    </w:p>
    <w:p>
      <w:pPr>
        <w:pStyle w:val="1042"/>
        <w:ind w:firstLine="0"/>
        <w:spacing w:line="360" w:lineRule="auto"/>
        <w:rPr>
          <w:rFonts w:hint="eastAsia"/>
          <w:color w:val="000000"/>
          <w:sz w:val="21"/>
          <w:szCs w:val="21"/>
          <w:highlight w:val="none"/>
        </w:rPr>
      </w:pPr>
      <w:r>
        <w:rPr>
          <w:rFonts w:hint="eastAsia"/>
          <w:color w:val="000000"/>
          <w:sz w:val="21"/>
          <w:szCs w:val="21"/>
          <w:highlight w:val="none"/>
        </w:rPr>
        <w:t xml:space="preserve">说明：</w:t>
      </w:r>
      <w:r/>
    </w:p>
    <w:p>
      <w:pPr>
        <w:pStyle w:val="1042"/>
        <w:numPr>
          <w:ilvl w:val="0"/>
          <w:numId w:val="44"/>
        </w:numPr>
        <w:ind w:firstLine="420"/>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若</w:t>
      </w:r>
      <w:r>
        <w:rPr>
          <w:rFonts w:hint="eastAsia" w:ascii="宋体" w:hAnsi="宋体"/>
          <w:color w:val="000000"/>
          <w:sz w:val="21"/>
          <w:szCs w:val="21"/>
          <w:highlight w:val="none"/>
        </w:rPr>
        <w:t xml:space="preserve">投标人</w:t>
      </w:r>
      <w:r>
        <w:rPr>
          <w:rFonts w:ascii="宋体" w:hAnsi="宋体"/>
          <w:color w:val="000000"/>
          <w:sz w:val="21"/>
          <w:szCs w:val="21"/>
          <w:highlight w:val="none"/>
        </w:rPr>
        <w:t xml:space="preserve">为事业单位或其他组织或分支机构（仅</w:t>
      </w:r>
      <w:r>
        <w:rPr>
          <w:rFonts w:hint="eastAsia" w:ascii="宋体" w:hAnsi="宋体"/>
          <w:color w:val="000000"/>
          <w:sz w:val="21"/>
          <w:szCs w:val="21"/>
          <w:highlight w:val="none"/>
        </w:rPr>
        <w:t xml:space="preserve">限招标</w:t>
      </w:r>
      <w:r>
        <w:rPr>
          <w:rFonts w:ascii="宋体" w:hAnsi="宋体"/>
          <w:color w:val="000000"/>
          <w:sz w:val="21"/>
          <w:szCs w:val="21"/>
          <w:highlight w:val="none"/>
        </w:rPr>
        <w:t xml:space="preserve">文件注明允许分支机构</w:t>
      </w:r>
      <w:r>
        <w:rPr>
          <w:rFonts w:hint="eastAsia" w:ascii="宋体" w:hAnsi="宋体"/>
          <w:color w:val="000000"/>
          <w:sz w:val="21"/>
          <w:szCs w:val="21"/>
          <w:highlight w:val="none"/>
        </w:rPr>
        <w:t xml:space="preserve">投标情形</w:t>
      </w:r>
      <w:r>
        <w:rPr>
          <w:rFonts w:ascii="宋体" w:hAnsi="宋体"/>
          <w:color w:val="000000"/>
          <w:sz w:val="21"/>
          <w:szCs w:val="21"/>
          <w:highlight w:val="none"/>
        </w:rPr>
        <w:t xml:space="preserve">的），则法定代表人</w:t>
      </w:r>
      <w:r>
        <w:rPr>
          <w:rFonts w:hint="eastAsia" w:ascii="宋体" w:hAnsi="宋体"/>
          <w:color w:val="000000"/>
          <w:sz w:val="21"/>
          <w:szCs w:val="21"/>
          <w:highlight w:val="none"/>
        </w:rPr>
        <w:t xml:space="preserve">处</w:t>
      </w:r>
      <w:r>
        <w:rPr>
          <w:rFonts w:ascii="宋体" w:hAnsi="宋体"/>
          <w:color w:val="000000"/>
          <w:sz w:val="21"/>
          <w:szCs w:val="21"/>
          <w:highlight w:val="none"/>
        </w:rPr>
        <w:t xml:space="preserve">的签</w:t>
      </w:r>
      <w:r>
        <w:rPr>
          <w:rFonts w:hint="eastAsia" w:ascii="宋体" w:hAnsi="宋体"/>
          <w:color w:val="000000"/>
          <w:sz w:val="21"/>
          <w:szCs w:val="21"/>
          <w:highlight w:val="none"/>
        </w:rPr>
        <w:t xml:space="preserve">字</w:t>
      </w:r>
      <w:r>
        <w:rPr>
          <w:rFonts w:ascii="宋体" w:hAnsi="宋体"/>
          <w:color w:val="000000"/>
          <w:sz w:val="21"/>
          <w:szCs w:val="21"/>
          <w:highlight w:val="none"/>
        </w:rPr>
        <w:t xml:space="preserve">人可为单位负责人</w:t>
      </w:r>
      <w:r>
        <w:rPr>
          <w:rFonts w:hint="eastAsia" w:ascii="宋体" w:hAnsi="宋体"/>
          <w:color w:val="000000"/>
          <w:sz w:val="21"/>
          <w:szCs w:val="21"/>
          <w:highlight w:val="none"/>
        </w:rPr>
        <w:t xml:space="preserve">。</w:t>
      </w:r>
      <w:r/>
    </w:p>
    <w:p>
      <w:pPr>
        <w:pStyle w:val="1042"/>
        <w:numPr>
          <w:ilvl w:val="0"/>
          <w:numId w:val="44"/>
        </w:numPr>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1042"/>
        <w:numPr>
          <w:ilvl w:val="0"/>
          <w:numId w:val="44"/>
        </w:numPr>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供应商为自然人情形的，可不提供本</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授权委托书</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w:t>
      </w:r>
      <w:r/>
    </w:p>
    <w:p>
      <w:pPr>
        <w:pStyle w:val="1042"/>
        <w:numPr>
          <w:ilvl w:val="0"/>
          <w:numId w:val="44"/>
        </w:numPr>
        <w:ind w:firstLine="420"/>
        <w:spacing w:line="360" w:lineRule="auto"/>
        <w:rPr>
          <w:rFonts w:hint="eastAsia" w:ascii="宋体" w:hAnsi="宋体"/>
          <w:color w:val="000000"/>
          <w:sz w:val="21"/>
          <w:szCs w:val="21"/>
          <w:highlight w:val="none"/>
        </w:rPr>
      </w:pPr>
      <w:r>
        <w:rPr>
          <w:rFonts w:hint="eastAsia" w:ascii="宋体" w:hAnsi="宋体"/>
          <w:bCs/>
          <w:color w:val="000000"/>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1042"/>
        <w:ind w:firstLine="0"/>
        <w:spacing w:line="360" w:lineRule="auto"/>
        <w:rPr>
          <w:rFonts w:hint="eastAsia"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p>
    <w:p>
      <w:pPr>
        <w:jc w:val="center"/>
        <w:spacing w:line="360" w:lineRule="auto"/>
        <w:rPr>
          <w:rFonts w:ascii="黑体" w:eastAsia="黑体"/>
          <w:bCs/>
          <w:color w:val="000000"/>
          <w:sz w:val="28"/>
          <w:szCs w:val="28"/>
          <w:highlight w:val="none"/>
        </w:rPr>
        <w:outlineLvl w:val="0"/>
      </w:pPr>
      <w:r/>
      <w:bookmarkStart w:id="224" w:name="报价方关于资格的声明函（格式）"/>
      <w:r/>
      <w:bookmarkEnd w:id="224"/>
      <w:r>
        <w:rPr>
          <w:rFonts w:hint="eastAsia" w:ascii="黑体" w:eastAsia="黑体"/>
          <w:bCs/>
          <w:color w:val="000000"/>
          <w:sz w:val="28"/>
          <w:szCs w:val="28"/>
          <w:highlight w:val="none"/>
        </w:rPr>
        <w:t xml:space="preserve">资格声明函</w:t>
      </w:r>
      <w:r/>
    </w:p>
    <w:p>
      <w:pPr>
        <w:jc w:val="center"/>
        <w:spacing w:line="360" w:lineRule="auto"/>
        <w:rPr>
          <w:rFonts w:ascii="宋体"/>
          <w:bCs/>
          <w:color w:val="000000"/>
          <w:sz w:val="24"/>
          <w:szCs w:val="24"/>
          <w:highlight w:val="none"/>
        </w:rPr>
      </w:pPr>
      <w:r>
        <w:rPr>
          <w:rFonts w:ascii="宋体"/>
          <w:bCs/>
          <w:color w:val="000000"/>
          <w:sz w:val="24"/>
          <w:szCs w:val="24"/>
          <w:highlight w:val="none"/>
        </w:rPr>
      </w:r>
      <w:r/>
    </w:p>
    <w:p>
      <w:pPr>
        <w:spacing w:line="360" w:lineRule="auto"/>
        <w:rPr>
          <w:rFonts w:ascii="宋体"/>
          <w:bCs/>
          <w:color w:val="000000"/>
          <w:sz w:val="24"/>
          <w:szCs w:val="24"/>
          <w:highlight w:val="none"/>
        </w:rPr>
      </w:pPr>
      <w:r>
        <w:rPr>
          <w:rFonts w:hint="eastAsia" w:ascii="宋体" w:hAnsi="宋体"/>
          <w:bCs/>
          <w:color w:val="000000"/>
          <w:sz w:val="24"/>
          <w:szCs w:val="24"/>
          <w:highlight w:val="none"/>
          <w:lang w:eastAsia="zh-CN"/>
        </w:rPr>
        <w:t xml:space="preserve">无锡市滨湖区公共资源交易中心</w:t>
      </w:r>
      <w:r>
        <w:rPr>
          <w:rFonts w:hint="eastAsia"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我公司（单位、联合体）针对本次项目</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进行投标，并作如下声明</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2.本公司（单位、联合体）具备本次项目履行合同所必需的设备和专业技术能力。</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360" w:lineRule="auto"/>
        <w:rPr>
          <w:rFonts w:ascii="宋体"/>
          <w:bCs/>
          <w:color w:val="000000"/>
          <w:sz w:val="24"/>
          <w:szCs w:val="24"/>
          <w:highlight w:val="none"/>
        </w:rPr>
      </w:pPr>
      <w:r>
        <w:rPr>
          <w:rFonts w:ascii="宋体"/>
          <w:bCs/>
          <w:color w:val="000000"/>
          <w:sz w:val="24"/>
          <w:szCs w:val="24"/>
          <w:highlight w:val="none"/>
        </w:rPr>
      </w:r>
      <w:r/>
    </w:p>
    <w:p>
      <w:pPr>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p>
    <w:p>
      <w:pPr>
        <w:spacing w:line="360" w:lineRule="auto"/>
        <w:rPr>
          <w:rFonts w:hint="eastAsia" w:ascii="宋体" w:hAnsi="宋体" w:cs="宋体"/>
          <w:b/>
          <w:color w:val="000000"/>
          <w:sz w:val="28"/>
          <w:szCs w:val="28"/>
          <w:highlight w:val="none"/>
        </w:rPr>
      </w:pP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四、中小企业声明函（给定格式）：</w:t>
      </w:r>
      <w:r/>
    </w:p>
    <w:p>
      <w:pPr>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p>
    <w:p>
      <w:pPr>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ind w:firstLine="420"/>
        <w:spacing w:line="360" w:lineRule="auto"/>
        <w:rPr>
          <w:rFonts w:hint="eastAsia"/>
          <w:color w:val="000000"/>
          <w:highlight w:val="none"/>
        </w:rPr>
      </w:pPr>
      <w:r>
        <w:rPr>
          <w:rFonts w:hint="eastAsia"/>
          <w:color w:val="000000"/>
          <w:highlight w:val="none"/>
        </w:rPr>
      </w:r>
      <w:r/>
    </w:p>
    <w:p>
      <w:pPr>
        <w:ind w:firstLine="420"/>
        <w:spacing w:line="360" w:lineRule="auto"/>
        <w:rPr>
          <w:rFonts w:hint="eastAsia"/>
          <w:color w:val="000000"/>
          <w:highlight w:val="none"/>
        </w:rPr>
      </w:pPr>
      <w:r>
        <w:rPr>
          <w:rFonts w:hint="eastAsia"/>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highlight w:val="none"/>
        </w:rPr>
      </w:pPr>
      <w:r>
        <w:rPr>
          <w:rFonts w:hint="eastAsia"/>
          <w:color w:val="000000"/>
          <w:highlight w:val="none"/>
        </w:rPr>
        <w:t xml:space="preserve">（2）</w:t>
      </w:r>
      <w:r>
        <w:rPr>
          <w:color w:val="000000"/>
          <w:highlight w:val="none"/>
        </w:rPr>
        <w:t xml:space="preserve">从业人员、营业收入、资产总额填报上一年度数据，无上一年度数据的新成立企业可不填报。</w:t>
      </w:r>
      <w:r/>
    </w:p>
    <w:p>
      <w:pPr>
        <w:ind w:firstLine="420"/>
        <w:spacing w:line="360" w:lineRule="auto"/>
        <w:rPr>
          <w:rFonts w:hint="eastAsia"/>
          <w:color w:val="000000"/>
          <w:highlight w:val="none"/>
        </w:rPr>
      </w:pPr>
      <w:r>
        <w:rPr>
          <w:rFonts w:hint="eastAsia"/>
          <w:color w:val="000000"/>
          <w:highlight w:val="none"/>
        </w:rPr>
        <w:t xml:space="preserve">（3）中标供应商的《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000000"/>
          <w:sz w:val="28"/>
          <w:szCs w:val="28"/>
          <w:highlight w:val="none"/>
        </w:rPr>
      </w:pPr>
      <w:r>
        <w:rPr>
          <w:rFonts w:hint="eastAsia"/>
          <w:color w:val="000000"/>
          <w:highlight w:val="none"/>
        </w:rPr>
        <w:br w:type="page" w:clear="all"/>
      </w: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p>
    <w:p>
      <w:pPr>
        <w:ind w:firstLine="482"/>
        <w:spacing w:line="360" w:lineRule="auto"/>
        <w:rPr>
          <w:rFonts w:ascii="Arial" w:hAnsi="Arial"/>
          <w:b/>
          <w:color w:val="000000"/>
          <w:sz w:val="24"/>
          <w:highlight w:val="none"/>
        </w:rPr>
      </w:pPr>
      <w:r>
        <w:rPr>
          <w:rFonts w:ascii="Arial" w:hAnsi="Arial"/>
          <w:b/>
          <w:color w:val="000000"/>
          <w:sz w:val="24"/>
          <w:highlight w:val="none"/>
        </w:rPr>
      </w:r>
      <w:r/>
    </w:p>
    <w:p>
      <w:pPr>
        <w:jc w:val="center"/>
        <w:spacing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p>
    <w:p>
      <w:pPr>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六</w:t>
      </w:r>
      <w:r>
        <w:rPr>
          <w:b/>
          <w:color w:val="000000"/>
          <w:sz w:val="28"/>
          <w:szCs w:val="28"/>
          <w:highlight w:val="none"/>
        </w:rPr>
        <w:t xml:space="preserve">、投标函</w:t>
      </w:r>
      <w:r>
        <w:rPr>
          <w:rFonts w:hint="eastAsia"/>
          <w:b/>
          <w:color w:val="000000"/>
          <w:sz w:val="28"/>
          <w:szCs w:val="28"/>
          <w:highlight w:val="none"/>
        </w:rPr>
        <w:t xml:space="preserve">（给定格式）：</w:t>
      </w:r>
      <w:r/>
    </w:p>
    <w:p>
      <w:pPr>
        <w:jc w:val="center"/>
        <w:spacing w:line="360" w:lineRule="auto"/>
        <w:rPr>
          <w:rFonts w:ascii="宋体"/>
          <w:bCs/>
          <w:color w:val="000000"/>
          <w:sz w:val="24"/>
          <w:szCs w:val="24"/>
          <w:highlight w:val="none"/>
        </w:rPr>
      </w:pPr>
      <w:r>
        <w:rPr>
          <w:rFonts w:hint="eastAsia" w:ascii="黑体" w:eastAsia="黑体"/>
          <w:bCs/>
          <w:color w:val="000000"/>
          <w:sz w:val="28"/>
          <w:szCs w:val="28"/>
          <w:highlight w:val="none"/>
        </w:rPr>
        <w:t xml:space="preserve">投标函</w:t>
      </w:r>
      <w:r/>
    </w:p>
    <w:p>
      <w:pPr>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无锡市滨湖区公共资源交易中心</w:t>
      </w:r>
      <w:r>
        <w:rPr>
          <w:rFonts w:hint="eastAsia" w:ascii="宋体" w:hAnsi="宋体"/>
          <w:bCs/>
          <w:color w:val="000000"/>
          <w:sz w:val="24"/>
          <w:szCs w:val="24"/>
          <w:highlight w:val="none"/>
        </w:rPr>
        <w:t xml:space="preserve">：</w:t>
      </w:r>
      <w:r/>
    </w:p>
    <w:p>
      <w:pPr>
        <w:ind w:firstLine="480"/>
        <w:spacing w:line="360" w:lineRule="auto"/>
        <w:rPr>
          <w:rFonts w:ascii="宋体"/>
          <w:bCs/>
          <w:color w:val="000000"/>
          <w:sz w:val="24"/>
          <w:szCs w:val="24"/>
          <w:highlight w:val="none"/>
        </w:rPr>
      </w:pPr>
      <w:r>
        <w:rPr>
          <w:rFonts w:ascii="宋体"/>
          <w:bCs/>
          <w:color w:val="000000"/>
          <w:sz w:val="24"/>
          <w:szCs w:val="24"/>
          <w:highlight w:val="none"/>
        </w:rPr>
      </w:r>
      <w:r/>
    </w:p>
    <w:p>
      <w:pPr>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招标文件，经仔细阅读和研究，我方决定参加此项目的投标。</w:t>
      </w:r>
      <w:r/>
    </w:p>
    <w:p>
      <w:pPr>
        <w:numPr>
          <w:ilvl w:val="0"/>
          <w:numId w:val="43"/>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p>
    <w:p>
      <w:pPr>
        <w:numPr>
          <w:ilvl w:val="0"/>
          <w:numId w:val="43"/>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031"/>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无锡市滨湖区公共资源交易中心</w:t>
      </w:r>
      <w:r>
        <w:rPr>
          <w:rFonts w:hint="eastAsia" w:ascii="宋体" w:hAnsi="宋体"/>
          <w:bCs/>
          <w:color w:val="000000"/>
          <w:sz w:val="24"/>
          <w:szCs w:val="24"/>
          <w:highlight w:val="none"/>
        </w:rPr>
        <w:t xml:space="preserve">在招标文件中要求的文件、资料。</w:t>
      </w:r>
      <w:r/>
    </w:p>
    <w:p>
      <w:pPr>
        <w:numPr>
          <w:ilvl w:val="0"/>
          <w:numId w:val="4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我方同意按招标文件中的规定，从规定的开标日期起遵循本投标文件，并在规定的投标有效期期满之前均具有约束力。</w:t>
      </w:r>
      <w:r/>
    </w:p>
    <w:p>
      <w:pPr>
        <w:numPr>
          <w:ilvl w:val="0"/>
          <w:numId w:val="4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p>
    <w:p>
      <w:pPr>
        <w:numPr>
          <w:ilvl w:val="0"/>
          <w:numId w:val="4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p>
    <w:p>
      <w:pPr>
        <w:numPr>
          <w:ilvl w:val="0"/>
          <w:numId w:val="4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numPr>
          <w:ilvl w:val="0"/>
          <w:numId w:val="4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p>
    <w:p>
      <w:pPr>
        <w:numPr>
          <w:ilvl w:val="0"/>
          <w:numId w:val="4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4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4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p>
    <w:p>
      <w:pPr>
        <w:ind w:firstLine="480"/>
        <w:spacing w:line="360" w:lineRule="auto"/>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p>
    <w:p>
      <w:pPr>
        <w:spacing w:line="360" w:lineRule="auto"/>
        <w:rPr>
          <w:rFonts w:hint="eastAsia"/>
          <w:b/>
          <w:color w:val="000000"/>
          <w:sz w:val="28"/>
          <w:szCs w:val="28"/>
          <w:highlight w:val="none"/>
        </w:rPr>
      </w:pPr>
      <w:r>
        <w:rPr>
          <w:rFonts w:hint="eastAsia" w:ascii="宋体" w:hAnsi="宋体"/>
          <w:bCs/>
          <w:color w:val="000000"/>
          <w:sz w:val="24"/>
          <w:szCs w:val="24"/>
          <w:highlight w:val="none"/>
        </w:rPr>
        <w:br w:type="page" w:clear="all"/>
      </w:r>
      <w:r>
        <w:rPr>
          <w:rFonts w:hint="eastAsia"/>
          <w:b/>
          <w:color w:val="000000"/>
          <w:sz w:val="28"/>
          <w:szCs w:val="28"/>
          <w:highlight w:val="none"/>
        </w:rPr>
        <w:t xml:space="preserve">七、承诺书（给定格式）：</w:t>
      </w:r>
      <w:r/>
    </w:p>
    <w:p>
      <w:pPr>
        <w:jc w:val="cente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承诺书</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投标人</w:t>
      </w:r>
      <w:r>
        <w:rPr>
          <w:rFonts w:hint="eastAsia" w:ascii="宋体" w:hAnsi="宋体"/>
          <w:color w:val="000000"/>
          <w:sz w:val="24"/>
          <w:szCs w:val="24"/>
          <w:highlight w:val="none"/>
        </w:rPr>
        <w:t xml:space="preserve">名称）针对本项目</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在此承诺：</w:t>
      </w:r>
      <w:r/>
    </w:p>
    <w:p>
      <w:pPr>
        <w:ind w:firstLine="480"/>
        <w:spacing w:line="360" w:lineRule="auto"/>
        <w:rPr>
          <w:rFonts w:ascii="宋体" w:hAnsi="宋体"/>
          <w:bCs/>
          <w:color w:val="000000"/>
          <w:sz w:val="24"/>
          <w:szCs w:val="24"/>
          <w:highlight w:val="none"/>
        </w:rPr>
      </w:pPr>
      <w:r>
        <w:rPr>
          <w:rFonts w:hint="eastAsia" w:ascii="宋体" w:hAnsi="宋体"/>
          <w:color w:val="000000"/>
          <w:sz w:val="24"/>
          <w:szCs w:val="24"/>
          <w:highlight w:val="none"/>
        </w:rPr>
        <w:t xml:space="preserve">1.本公司（单位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对本项目所提供的货物均为原厂全新合格产品，提供的服务符合招标文件要求。</w:t>
      </w:r>
      <w:r/>
    </w:p>
    <w:p>
      <w:pPr>
        <w:ind w:firstLine="480"/>
        <w:spacing w:line="360" w:lineRule="auto"/>
        <w:rPr>
          <w:rFonts w:hint="eastAsia" w:ascii="宋体"/>
          <w:bCs/>
          <w:color w:val="000000"/>
          <w:sz w:val="24"/>
          <w:szCs w:val="24"/>
          <w:highlight w:val="none"/>
        </w:rPr>
      </w:pPr>
      <w:r>
        <w:rPr>
          <w:rFonts w:hint="eastAsia" w:ascii="宋体"/>
          <w:bCs/>
          <w:color w:val="000000"/>
          <w:sz w:val="24"/>
          <w:szCs w:val="24"/>
          <w:highlight w:val="none"/>
        </w:rPr>
        <w:t xml:space="preserve">2.本项目中如有涉及商品包装、快递包装要求的，本公司（单位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）对于中标产品的包装将严格按《关于印发〈商品包装政府采购需求标准（试行）〉、〈快递包装政府采购需求标准（试行）〉的通知》（财办库〔2020〕123号）文件执行。</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3.本项目中如有涉及数据中心相关设备、运维服务的，本公司（单位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将按规定执行国家和我省VOCs含量限制标准；如非强制性标准的，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hint="eastAsia" w:ascii="宋体" w:hAnsi="宋体" w:cs="宋体"/>
          <w:color w:val="000000"/>
          <w:sz w:val="24"/>
          <w:szCs w:val="24"/>
          <w:highlight w:val="none"/>
        </w:rPr>
      </w:pPr>
      <w:r>
        <w:rPr>
          <w:rFonts w:hint="eastAsia" w:ascii="宋体"/>
          <w:bCs/>
          <w:color w:val="000000"/>
          <w:sz w:val="24"/>
          <w:szCs w:val="24"/>
          <w:highlight w:val="none"/>
        </w:rPr>
        <w:t xml:space="preserve">5.</w:t>
      </w:r>
      <w:r>
        <w:rPr>
          <w:rFonts w:hint="eastAsia" w:ascii="宋体" w:hAnsi="宋体" w:cs="宋体"/>
          <w:color w:val="000000"/>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）将所投产品符合相关要求和标准。在满足</w:t>
      </w:r>
      <w:r>
        <w:rPr>
          <w:rFonts w:hint="eastAsia" w:ascii="宋体" w:hAnsi="宋体" w:cs="宋体"/>
          <w:color w:val="000000"/>
          <w:sz w:val="24"/>
          <w:szCs w:val="24"/>
          <w:highlight w:val="none"/>
        </w:rPr>
        <w:t xml:space="preserve">《需求标准》的前提下，如招标文件中对七种软硬件有其他要求的，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）所投产品将</w:t>
      </w:r>
      <w:r>
        <w:rPr>
          <w:rFonts w:hint="eastAsia" w:ascii="宋体" w:hAnsi="宋体" w:cs="宋体"/>
          <w:color w:val="000000"/>
          <w:sz w:val="24"/>
          <w:szCs w:val="24"/>
          <w:highlight w:val="none"/>
        </w:rPr>
        <w:t xml:space="preserve">满足招标文件要求。如采购人在</w:t>
      </w:r>
      <w:r>
        <w:rPr>
          <w:rFonts w:hint="eastAsia" w:ascii="宋体"/>
          <w:bCs/>
          <w:color w:val="000000"/>
          <w:sz w:val="24"/>
          <w:szCs w:val="24"/>
          <w:highlight w:val="none"/>
        </w:rPr>
        <w:t xml:space="preserve">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）将予以配合。</w:t>
      </w:r>
      <w:r/>
    </w:p>
    <w:p>
      <w:pPr>
        <w:ind w:firstLine="480"/>
        <w:spacing w:line="360" w:lineRule="auto"/>
        <w:rPr>
          <w:rFonts w:hint="eastAsia" w:ascii="宋体"/>
          <w:bCs/>
          <w:color w:val="000000"/>
          <w:sz w:val="24"/>
          <w:szCs w:val="24"/>
          <w:highlight w:val="none"/>
        </w:rPr>
      </w:pPr>
      <w:r>
        <w:rPr>
          <w:rFonts w:hint="eastAsia" w:ascii="宋体"/>
          <w:bCs/>
          <w:color w:val="000000"/>
          <w:sz w:val="24"/>
          <w:szCs w:val="24"/>
          <w:highlight w:val="none"/>
        </w:rPr>
      </w:r>
      <w:r/>
    </w:p>
    <w:p>
      <w:pPr>
        <w:ind w:firstLine="480"/>
        <w:spacing w:line="360" w:lineRule="auto"/>
        <w:rPr>
          <w:rFonts w:hint="eastAsia" w:ascii="宋体"/>
          <w:bCs/>
          <w:color w:val="000000"/>
          <w:sz w:val="24"/>
          <w:szCs w:val="24"/>
          <w:highlight w:val="none"/>
        </w:rPr>
      </w:pPr>
      <w:r>
        <w:rPr>
          <w:rFonts w:ascii="宋体"/>
          <w:bCs/>
          <w:color w:val="000000"/>
          <w:sz w:val="24"/>
          <w:szCs w:val="24"/>
          <w:highlight w:val="none"/>
        </w:rPr>
        <w:t xml:space="preserve">……</w:t>
      </w:r>
      <w:r>
        <w:rPr>
          <w:rFonts w:hint="eastAsia" w:ascii="宋体"/>
          <w:bCs/>
          <w:color w:val="000000"/>
          <w:sz w:val="24"/>
          <w:szCs w:val="24"/>
          <w:highlight w:val="none"/>
        </w:rPr>
        <w:t xml:space="preserve">（投标人如有其他承诺的可在此处添加）</w:t>
      </w:r>
      <w:r/>
    </w:p>
    <w:p>
      <w:pPr>
        <w:ind w:firstLine="480"/>
        <w:spacing w:line="360" w:lineRule="auto"/>
        <w:rPr>
          <w:rFonts w:hint="eastAsia" w:ascii="宋体"/>
          <w:bCs/>
          <w:color w:val="000000"/>
          <w:sz w:val="24"/>
          <w:szCs w:val="24"/>
          <w:highlight w:val="none"/>
        </w:rPr>
      </w:pPr>
      <w:r>
        <w:rPr>
          <w:rFonts w:hint="eastAsia" w:ascii="宋体"/>
          <w:bCs/>
          <w:color w:val="000000"/>
          <w:sz w:val="24"/>
          <w:szCs w:val="24"/>
          <w:highlight w:val="none"/>
        </w:rPr>
      </w:r>
      <w:r/>
    </w:p>
    <w:p>
      <w:pPr>
        <w:ind w:firstLine="480"/>
        <w:spacing w:line="360" w:lineRule="auto"/>
        <w:rPr>
          <w:rFonts w:ascii="宋体" w:hAnsi="宋体"/>
          <w:color w:val="000000"/>
          <w:sz w:val="24"/>
          <w:szCs w:val="20"/>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将承担一切法律责任。</w:t>
      </w:r>
      <w:r/>
    </w:p>
    <w:p>
      <w:pPr>
        <w:ind w:firstLine="540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372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p>
    <w:p>
      <w:pPr>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八、开标一览表：</w:t>
      </w:r>
      <w:r/>
    </w:p>
    <w:p>
      <w:pPr>
        <w:ind w:firstLine="482"/>
        <w:spacing w:line="360" w:lineRule="auto"/>
        <w:rPr>
          <w:rFonts w:hint="eastAsia" w:ascii="Arial" w:hAnsi="Arial"/>
          <w:b/>
          <w:color w:val="000000"/>
          <w:sz w:val="24"/>
          <w:highlight w:val="none"/>
        </w:rPr>
      </w:pPr>
      <w:r>
        <w:rPr>
          <w:rFonts w:hint="eastAsia" w:ascii="Arial" w:hAnsi="Arial"/>
          <w:b/>
          <w:color w:val="000000"/>
          <w:sz w:val="24"/>
          <w:highlight w:val="none"/>
        </w:rPr>
      </w:r>
      <w:r/>
    </w:p>
    <w:p>
      <w:pPr>
        <w:jc w:val="center"/>
        <w:spacing w:line="360" w:lineRule="auto"/>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p>
    <w:p>
      <w:pPr>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 </w:t>
      </w:r>
      <w:r/>
    </w:p>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w:t>
      </w:r>
      <w:r/>
    </w:p>
    <w:tbl>
      <w:tblPr>
        <w:tblStyle w:val="779"/>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ind w:left="0" w:right="0"/>
              <w:jc w:val="center"/>
              <w:keepLines w:val="0"/>
              <w:keepNext w:val="0"/>
              <w:spacing w:before="0" w:beforeAutospacing="0" w:after="0" w:afterAutospacing="0" w:line="360" w:lineRule="auto"/>
              <w:rPr>
                <w:rFonts w:ascii="宋体"/>
                <w:b/>
                <w:bCs/>
                <w:color w:val="000000"/>
                <w:sz w:val="24"/>
                <w:szCs w:val="24"/>
                <w:highlight w:val="none"/>
              </w:rPr>
              <w:suppressLineNumbers w:val="0"/>
            </w:pPr>
            <w:r>
              <w:rPr>
                <w:rFonts w:hint="eastAsia" w:ascii="宋体" w:hAnsi="宋体"/>
                <w:b/>
                <w:bCs/>
                <w:color w:val="000000"/>
                <w:sz w:val="24"/>
                <w:szCs w:val="24"/>
                <w:highlight w:val="none"/>
              </w:rPr>
              <w:t xml:space="preserve">项目名称</w:t>
            </w:r>
            <w:r/>
          </w:p>
        </w:tc>
        <w:tc>
          <w:tcPr>
            <w:tcW w:w="3188" w:type="dxa"/>
            <w:vAlign w:val="center"/>
            <w:textDirection w:val="lrTb"/>
            <w:noWrap w:val="false"/>
          </w:tcPr>
          <w:p>
            <w:pPr>
              <w:ind w:left="0" w:right="0"/>
              <w:jc w:val="center"/>
              <w:keepLines w:val="0"/>
              <w:keepNext w:val="0"/>
              <w:spacing w:before="0" w:beforeAutospacing="0" w:after="0" w:afterAutospacing="0" w:line="360" w:lineRule="auto"/>
              <w:rPr>
                <w:rFonts w:ascii="宋体"/>
                <w:b/>
                <w:bCs/>
                <w:color w:val="000000"/>
                <w:sz w:val="24"/>
                <w:szCs w:val="24"/>
                <w:highlight w:val="none"/>
              </w:rPr>
              <w:suppressLineNumbers w:val="0"/>
            </w:pPr>
            <w:r>
              <w:rPr>
                <w:rFonts w:hint="eastAsia" w:ascii="宋体" w:hAnsi="宋体"/>
                <w:b/>
                <w:bCs/>
                <w:color w:val="000000"/>
                <w:sz w:val="24"/>
                <w:szCs w:val="24"/>
                <w:highlight w:val="none"/>
              </w:rPr>
              <w:t xml:space="preserve">投标总报价（小写）</w:t>
            </w:r>
            <w:r/>
          </w:p>
        </w:tc>
      </w:tr>
      <w:tr>
        <w:trPr>
          <w:cantSplit/>
          <w:trHeight w:val="1630"/>
        </w:trPr>
        <w:tc>
          <w:tcPr>
            <w:tcW w:w="5697" w:type="dxa"/>
            <w:vAlign w:val="center"/>
            <w:textDirection w:val="lrTb"/>
            <w:noWrap w:val="false"/>
          </w:tcPr>
          <w:p>
            <w:pPr>
              <w:pStyle w:val="1070"/>
              <w:ind w:left="0" w:right="0"/>
              <w:jc w:val="center"/>
              <w:keepLines w:val="0"/>
              <w:keepNext w:val="0"/>
              <w:spacing w:before="0" w:beforeAutospacing="0" w:after="0" w:afterAutospacing="0" w:line="360" w:lineRule="auto"/>
              <w:rPr>
                <w:rFonts w:hint="eastAsia" w:hAnsi="宋体"/>
                <w:bCs/>
                <w:color w:val="000000"/>
                <w:szCs w:val="24"/>
                <w:highlight w:val="none"/>
              </w:rPr>
              <w:suppressLineNumbers w:val="0"/>
            </w:pPr>
            <w:r>
              <w:rPr>
                <w:rFonts w:hint="eastAsia" w:hAnsi="宋体"/>
                <w:bCs/>
                <w:color w:val="000000"/>
                <w:szCs w:val="24"/>
                <w:highlight w:val="none"/>
              </w:rPr>
            </w:r>
            <w:r/>
          </w:p>
        </w:tc>
        <w:tc>
          <w:tcPr>
            <w:tcW w:w="3188" w:type="dxa"/>
            <w:vAlign w:val="center"/>
            <w:textDirection w:val="lrTb"/>
            <w:noWrap w:val="false"/>
          </w:tcPr>
          <w:p>
            <w:pPr>
              <w:pStyle w:val="1070"/>
              <w:ind w:left="0" w:right="0"/>
              <w:jc w:val="center"/>
              <w:keepLines w:val="0"/>
              <w:keepNext w:val="0"/>
              <w:spacing w:before="0" w:beforeAutospacing="0" w:after="0" w:afterAutospacing="0" w:line="360" w:lineRule="auto"/>
              <w:rPr>
                <w:rFonts w:hAnsi="宋体"/>
                <w:b/>
                <w:color w:val="000000"/>
                <w:szCs w:val="24"/>
                <w:highlight w:val="none"/>
              </w:rPr>
              <w:suppressLineNumbers w:val="0"/>
            </w:pPr>
            <w:r>
              <w:rPr>
                <w:rFonts w:hAnsi="宋体"/>
                <w:b/>
                <w:color w:val="000000"/>
                <w:szCs w:val="24"/>
                <w:highlight w:val="none"/>
              </w:rPr>
            </w:r>
            <w:r/>
          </w:p>
        </w:tc>
      </w:tr>
      <w:tr>
        <w:trPr>
          <w:cantSplit/>
          <w:trHeight w:val="780"/>
        </w:trPr>
        <w:tc>
          <w:tcPr>
            <w:gridSpan w:val="2"/>
            <w:tcW w:w="8885" w:type="dxa"/>
            <w:vAlign w:val="center"/>
            <w:textDirection w:val="lrTb"/>
            <w:noWrap w:val="false"/>
          </w:tcPr>
          <w:p>
            <w:pPr>
              <w:ind w:left="0" w:right="0"/>
              <w:keepLines w:val="0"/>
              <w:keepNext w:val="0"/>
              <w:spacing w:before="0" w:beforeAutospacing="0" w:after="0" w:afterAutospacing="0" w:line="360" w:lineRule="auto"/>
              <w:rPr>
                <w:rFonts w:ascii="宋体"/>
                <w:bCs/>
                <w:color w:val="000000"/>
                <w:sz w:val="24"/>
                <w:szCs w:val="24"/>
                <w:highlight w:val="none"/>
              </w:rPr>
              <w:suppressLineNumbers w:val="0"/>
            </w:pPr>
            <w:r>
              <w:rPr>
                <w:rFonts w:hint="eastAsia" w:ascii="黑体" w:eastAsia="黑体"/>
                <w:color w:val="000000"/>
                <w:sz w:val="24"/>
                <w:highlight w:val="none"/>
              </w:rPr>
              <w:t xml:space="preserve">投标总报价（大写）</w:t>
            </w:r>
            <w:r>
              <w:rPr>
                <w:rFonts w:hint="eastAsia" w:ascii="宋体" w:hAnsi="宋体"/>
                <w:bCs/>
                <w:color w:val="000000"/>
                <w:sz w:val="24"/>
                <w:szCs w:val="24"/>
                <w:highlight w:val="none"/>
              </w:rPr>
              <w:t xml:space="preserve">：</w:t>
            </w:r>
            <w:r>
              <w:rPr>
                <w:rFonts w:ascii="宋体"/>
                <w:bCs/>
                <w:color w:val="000000"/>
                <w:sz w:val="24"/>
                <w:szCs w:val="24"/>
                <w:highlight w:val="none"/>
              </w:rPr>
              <w:t xml:space="preserve"> </w:t>
            </w:r>
            <w:r/>
          </w:p>
        </w:tc>
      </w:tr>
    </w:tbl>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p>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color w:val="000000"/>
          <w:sz w:val="28"/>
          <w:szCs w:val="28"/>
          <w:highlight w:val="none"/>
        </w:rPr>
      </w:pPr>
      <w:r>
        <w:rPr>
          <w:rFonts w:hint="eastAsia" w:ascii="黑体" w:eastAsia="黑体"/>
          <w:bCs/>
          <w:color w:val="000000"/>
          <w:sz w:val="24"/>
          <w:szCs w:val="24"/>
          <w:highlight w:val="none"/>
        </w:rPr>
        <w:br w:type="page" w:clear="all"/>
      </w:r>
      <w:r>
        <w:rPr>
          <w:rFonts w:hint="eastAsia"/>
          <w:b/>
          <w:color w:val="000000"/>
          <w:sz w:val="28"/>
          <w:szCs w:val="28"/>
          <w:highlight w:val="none"/>
        </w:rPr>
        <w:t xml:space="preserve">九、分项</w:t>
      </w:r>
      <w:r>
        <w:rPr>
          <w:b/>
          <w:color w:val="000000"/>
          <w:sz w:val="28"/>
          <w:szCs w:val="28"/>
          <w:highlight w:val="none"/>
        </w:rPr>
        <w:t xml:space="preserve">报价表</w:t>
      </w:r>
      <w:r>
        <w:rPr>
          <w:rFonts w:hint="eastAsia"/>
          <w:b/>
          <w:color w:val="000000"/>
          <w:sz w:val="28"/>
          <w:szCs w:val="28"/>
          <w:highlight w:val="none"/>
        </w:rPr>
        <w:t xml:space="preserve">（给定格式）：</w:t>
      </w:r>
      <w:r/>
    </w:p>
    <w:p>
      <w:pPr>
        <w:ind w:left="0" w:right="0"/>
        <w:jc w:val="center"/>
        <w:keepLines w:val="0"/>
        <w:keepNext w:val="0"/>
        <w:spacing w:before="0" w:beforeAutospacing="0" w:after="0" w:afterAutospacing="0" w:line="360" w:lineRule="auto"/>
        <w:widowControl w:val="off"/>
        <w:rPr>
          <w:rFonts w:hint="eastAsia" w:ascii="黑体" w:hAnsi="Times New Roman" w:eastAsia="黑体" w:cs="黑体"/>
          <w:bCs/>
          <w:color w:val="000000"/>
          <w:sz w:val="28"/>
          <w:szCs w:val="28"/>
          <w:lang w:val="en-US"/>
        </w:rPr>
        <w:outlineLvl w:val="0"/>
        <w:suppressLineNumbers w:val="0"/>
      </w:pPr>
      <w:r>
        <w:rPr>
          <w:rFonts w:hint="eastAsia" w:ascii="黑体" w:hAnsi="Times New Roman" w:eastAsia="黑体" w:cs="黑体"/>
          <w:bCs/>
          <w:color w:val="000000"/>
          <w:sz w:val="28"/>
          <w:szCs w:val="28"/>
          <w:lang w:val="en-US" w:eastAsia="zh-CN" w:bidi="ar"/>
        </w:rPr>
        <w:t xml:space="preserve">分项报价表</w:t>
      </w:r>
      <w:r/>
    </w:p>
    <w:p>
      <w:pPr>
        <w:ind w:left="0" w:right="0"/>
        <w:jc w:val="both"/>
        <w:keepLines w:val="0"/>
        <w:keepNext w:val="0"/>
        <w:spacing w:before="0" w:beforeAutospacing="0" w:after="0" w:afterAutospacing="0" w:line="360" w:lineRule="auto"/>
        <w:widowControl w:val="off"/>
        <w:rPr>
          <w:rFonts w:hint="eastAsia" w:ascii="黑体" w:hAnsi="Times New Roman" w:eastAsia="黑体" w:cs="黑体"/>
          <w:bCs/>
          <w:color w:val="000000"/>
          <w:sz w:val="24"/>
          <w:szCs w:val="24"/>
          <w:lang w:val="en-US"/>
        </w:rPr>
        <w:suppressLineNumbers w:val="0"/>
      </w:pPr>
      <w:r>
        <w:rPr>
          <w:rFonts w:hint="eastAsia" w:ascii="黑体" w:hAnsi="Times New Roman" w:eastAsia="黑体" w:cs="黑体"/>
          <w:bCs/>
          <w:color w:val="000000"/>
          <w:sz w:val="24"/>
          <w:szCs w:val="24"/>
          <w:lang w:val="en-US" w:eastAsia="zh-CN" w:bidi="ar"/>
        </w:rPr>
        <w:t xml:space="preserve">项目编号：</w:t>
      </w:r>
      <w:r/>
    </w:p>
    <w:tbl>
      <w:tblPr>
        <w:tblStyle w:val="779"/>
        <w:tblW w:w="94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20"/>
        <w:gridCol w:w="4931"/>
        <w:gridCol w:w="851"/>
        <w:gridCol w:w="850"/>
        <w:gridCol w:w="1135"/>
        <w:gridCol w:w="1276"/>
      </w:tblGrid>
      <w:tr>
        <w:trPr>
          <w:cantSplit/>
          <w:jc w:val="center"/>
          <w:trHeight w:val="49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单报价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分项总报价</w:t>
            </w:r>
            <w:r/>
          </w:p>
        </w:tc>
      </w:tr>
      <w:tr>
        <w:trPr>
          <w:cantSplit/>
          <w:jc w:val="center"/>
          <w:trHeight w:val="71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滨湖区政府网站运维服务（2026）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考勤选课系统网课平台项目维护</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数字档案馆运维服务项目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学校高质量考核平台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区级校园资源共享平台运维服务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教育局OA办公平台运维</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“滨湖工信”工业企业大数据平台运行维护</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滨湖区国家工作人员学法考试平台运维</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办公OA系统运维服务和技术支持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无锡市滨湖区河长制信息化平台维保项目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无锡市滨湖区县域水资源管理保护规范化集成示范项目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无锡市滨湖区农业农村局大数据平台（一期）项目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内控管理业务平台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滨湖自然资源规划数据中心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滨湖区产业用地可利用资源管理系统</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2026年度综合业务管理及办公OA平台运维服务项目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云产品及维护服务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掌上滨湖移动云服务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滨湖区疾病预防控制中心OA办公系统项目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疾病预防控制信息管理平台维护服务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建设工程合同软件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财务软件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信息通信设备维保服务项目（2026）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滨湖区510一期维护服务项目（2026）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滨湖区老小区技防设施改造建设二期及2019年宜居住区技防改造维护服务项目（2026）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滨湖区老小区技防设施改造三期维护服务项目（2026）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滨湖区2020年宜居住区技防改造及2022年滨湖区城镇老旧小区技防改造及惠山森林防火监控维护服务项目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2020年滨湖区智慧技防小区建设项目维护服务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安保监控（510二期）维护服务项目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感知安保二期、三期及3.20工程复建项目维护服务项目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滨湖区天眼项目维护服务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电子签章系统</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IT硬件运维服务外包项目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校园卫士综合管理云平台维保项目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行政执法人员网上培训及考试服务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IT设备续保及运维服务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智慧城管硬件扩容网络链路运维服务租赁项目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智慧城管平台延续服务采购项目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滨湖区城市管理局执法车辆车载监控系统项目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动态称重系统云存储租赁服务项目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2026年水利防汛信息化网络服务及维护保养项目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滨湖区渔政指挥调度中心项目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网络IT外包服务项目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滨湖区城市运行管理中心保障服务项目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硬件及网络运行安全维护项目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2026年区数据局统一运维项目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民宗智慧平台专线维保服务项目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VPN网络链路租赁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数据专线网络链路租赁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2026年滨湖区政府及区城运中心网络链路统一租赁项目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数据专线C2C业务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无锡市滨湖区城管局网络安全维护服务项目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网络安全态势感知服务项目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云安全运维</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云方舟服务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网络安全等级保护测评服务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无锡市滨湖区农业农村局大数据平台（一期）项目等保测评</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2026年“数字滨湖”软件平台一期项目及政务机房等保测评项目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网络安全运维服务项目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2026年“数字滨湖”软件平台一期项目商用密码应用安全性评估与数据安全评估服务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滨湖区手机APP访问数据服务采购（2026）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企业征信工具数据服务采购（2026）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数字战警AI机器人数据服务项目（2026）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滨湖区政务新媒体测评服务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滨湖区政府网站检测服务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滨湖区教育系统新媒体群以及网站群检测服务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网络舆情（视频类）监测分析系统运维项目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电子档案数据保全服务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滨湖区乐采云采购系统数据服务运行维护项目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r>
        <w:trPr>
          <w:cantSplit/>
          <w:jc w:val="center"/>
          <w:trHeight w:val="8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梁溪河7个不稳定支浜自动监测数据项目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5"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rPr>
            </w:r>
            <w:r/>
          </w:p>
        </w:tc>
      </w:tr>
    </w:tbl>
    <w:p>
      <w:pPr>
        <w:ind w:left="0" w:right="0"/>
        <w:jc w:val="both"/>
        <w:keepLines w:val="0"/>
        <w:keepNext w:val="0"/>
        <w:spacing w:before="0" w:beforeAutospacing="0" w:after="0" w:afterAutospacing="0" w:line="360" w:lineRule="auto"/>
        <w:widowControl w:val="off"/>
        <w:rPr>
          <w:rFonts w:hint="eastAsia" w:ascii="黑体" w:hAnsi="Times New Roman" w:eastAsia="黑体" w:cs="黑体"/>
          <w:bCs/>
          <w:color w:val="000000"/>
          <w:sz w:val="24"/>
          <w:szCs w:val="24"/>
          <w:lang w:val="en-US"/>
        </w:rPr>
        <w:suppressLineNumbers w:val="0"/>
      </w:pPr>
      <w:r>
        <w:rPr>
          <w:rFonts w:hint="eastAsia" w:ascii="黑体" w:hAnsi="Times New Roman" w:eastAsia="黑体" w:cs="黑体"/>
          <w:bCs/>
          <w:color w:val="000000"/>
          <w:sz w:val="24"/>
          <w:szCs w:val="24"/>
          <w:lang w:val="en-US"/>
        </w:rPr>
      </w:r>
      <w:r/>
    </w:p>
    <w:p>
      <w:pPr>
        <w:spacing w:line="360" w:lineRule="auto"/>
        <w:rPr>
          <w:rFonts w:hint="eastAsia"/>
          <w:b/>
          <w:color w:val="000000"/>
          <w:sz w:val="30"/>
          <w:szCs w:val="30"/>
          <w:highlight w:val="none"/>
        </w:rPr>
      </w:pPr>
      <w:r>
        <w:rPr>
          <w:rFonts w:hint="eastAsia"/>
          <w:b/>
          <w:color w:val="000000"/>
          <w:sz w:val="30"/>
          <w:szCs w:val="30"/>
          <w:highlight w:val="none"/>
        </w:rPr>
      </w:r>
      <w:r/>
    </w:p>
    <w:p>
      <w:pPr>
        <w:spacing w:before="5" w:line="360" w:lineRule="auto"/>
        <w:rPr>
          <w:b/>
          <w:bCs/>
          <w:color w:val="000000"/>
          <w:sz w:val="24"/>
          <w:szCs w:val="24"/>
          <w:highlight w:val="none"/>
        </w:rPr>
      </w:pPr>
      <w:r>
        <w:rPr>
          <w:rFonts w:hint="eastAsia"/>
          <w:b/>
          <w:bCs/>
          <w:color w:val="000000"/>
          <w:sz w:val="24"/>
          <w:szCs w:val="24"/>
          <w:highlight w:val="none"/>
        </w:rPr>
        <w:t xml:space="preserve">投标人名称（盖章）：</w:t>
      </w:r>
      <w:r/>
    </w:p>
    <w:p>
      <w:pPr>
        <w:spacing w:line="360" w:lineRule="auto"/>
        <w:rPr>
          <w:rFonts w:hint="eastAsia" w:ascii="宋体" w:hAnsi="宋体"/>
          <w:b/>
          <w:color w:val="000000"/>
          <w:highlight w:val="none"/>
        </w:rPr>
        <w:outlineLvl w:val="0"/>
      </w:pPr>
      <w:r>
        <w:rPr>
          <w:rFonts w:hint="eastAsia" w:ascii="宋体" w:hAnsi="宋体"/>
          <w:b/>
          <w:color w:val="000000"/>
          <w:highlight w:val="none"/>
        </w:rPr>
      </w:r>
      <w:r/>
    </w:p>
    <w:p>
      <w:pPr>
        <w:spacing w:line="360" w:lineRule="auto"/>
        <w:rPr>
          <w:rFonts w:ascii="宋体"/>
          <w:bCs/>
          <w:color w:val="000000"/>
          <w:highlight w:val="none"/>
        </w:rPr>
        <w:outlineLvl w:val="0"/>
      </w:pPr>
      <w:r>
        <w:rPr>
          <w:rFonts w:hint="eastAsia" w:ascii="宋体" w:hAnsi="宋体"/>
          <w:b/>
          <w:color w:val="000000"/>
          <w:highlight w:val="none"/>
        </w:rPr>
        <w:t xml:space="preserve">注：</w:t>
      </w:r>
      <w:r>
        <w:rPr>
          <w:rFonts w:hint="eastAsia" w:ascii="宋体" w:hAnsi="宋体"/>
          <w:bCs/>
          <w:color w:val="000000"/>
          <w:highlight w:val="none"/>
        </w:rPr>
        <w:t xml:space="preserve">（</w:t>
      </w:r>
      <w:r>
        <w:rPr>
          <w:rFonts w:ascii="宋体" w:hAnsi="宋体"/>
          <w:bCs/>
          <w:color w:val="000000"/>
          <w:highlight w:val="none"/>
        </w:rPr>
        <w:t xml:space="preserve">1</w:t>
      </w:r>
      <w:r>
        <w:rPr>
          <w:rFonts w:hint="eastAsia" w:ascii="宋体" w:hAnsi="宋体"/>
          <w:bCs/>
          <w:color w:val="000000"/>
          <w:highlight w:val="none"/>
        </w:rPr>
        <w:t xml:space="preserve">）</w:t>
      </w:r>
      <w:r>
        <w:rPr>
          <w:rFonts w:hint="eastAsia" w:ascii="宋体"/>
          <w:bCs/>
          <w:color w:val="000000"/>
          <w:highlight w:val="none"/>
        </w:rPr>
        <w:t xml:space="preserve">投标人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000000"/>
          <w:highlight w:val="none"/>
          <w:lang w:eastAsia="zh-CN"/>
        </w:rPr>
        <w:t xml:space="preserve">无锡市滨湖区公共资源交易中心</w:t>
      </w:r>
      <w:r>
        <w:rPr>
          <w:rFonts w:hint="eastAsia" w:ascii="宋体"/>
          <w:bCs/>
          <w:color w:val="000000"/>
          <w:highlight w:val="none"/>
        </w:rPr>
        <w:t xml:space="preserve">有权将相关内容进行公示；</w:t>
      </w:r>
      <w:r/>
    </w:p>
    <w:p>
      <w:pPr>
        <w:ind w:firstLine="315"/>
        <w:spacing w:line="360" w:lineRule="auto"/>
        <w:rPr>
          <w:rFonts w:ascii="宋体"/>
          <w:bCs/>
          <w:color w:val="000000"/>
          <w:highlight w:val="none"/>
        </w:rPr>
        <w:outlineLvl w:val="0"/>
      </w:pPr>
      <w:r>
        <w:rPr>
          <w:rFonts w:hint="eastAsia" w:ascii="宋体" w:hAnsi="宋体"/>
          <w:bCs/>
          <w:color w:val="000000"/>
          <w:highlight w:val="none"/>
        </w:rPr>
        <w:t xml:space="preserve">（</w:t>
      </w:r>
      <w:r>
        <w:rPr>
          <w:rFonts w:ascii="宋体" w:hAnsi="宋体"/>
          <w:bCs/>
          <w:color w:val="000000"/>
          <w:highlight w:val="none"/>
        </w:rPr>
        <w:t xml:space="preserve">2</w:t>
      </w:r>
      <w:r>
        <w:rPr>
          <w:rFonts w:hint="eastAsia" w:ascii="宋体" w:hAnsi="宋体"/>
          <w:bCs/>
          <w:color w:val="000000"/>
          <w:highlight w:val="none"/>
        </w:rPr>
        <w:t xml:space="preserve">）投标人应当根据“采购需求”的内容在上表中详细填写；</w:t>
      </w:r>
      <w:r/>
    </w:p>
    <w:p>
      <w:pPr>
        <w:ind w:firstLine="315"/>
        <w:spacing w:line="360" w:lineRule="auto"/>
        <w:rPr>
          <w:rFonts w:ascii="宋体" w:hAnsi="宋体"/>
          <w:bCs/>
          <w:color w:val="000000"/>
          <w:highlight w:val="none"/>
        </w:rPr>
        <w:outlineLvl w:val="0"/>
      </w:pPr>
      <w:r>
        <w:rPr>
          <w:rFonts w:hint="eastAsia" w:ascii="宋体" w:hAnsi="宋体"/>
          <w:bCs/>
          <w:color w:val="000000"/>
          <w:highlight w:val="none"/>
        </w:rPr>
        <w:t xml:space="preserve">（</w:t>
      </w:r>
      <w:r>
        <w:rPr>
          <w:rFonts w:ascii="宋体" w:hAnsi="宋体"/>
          <w:bCs/>
          <w:color w:val="000000"/>
          <w:highlight w:val="none"/>
        </w:rPr>
        <w:t xml:space="preserve">3</w:t>
      </w:r>
      <w:r>
        <w:rPr>
          <w:rFonts w:hint="eastAsia" w:ascii="宋体" w:hAnsi="宋体"/>
          <w:bCs/>
          <w:color w:val="000000"/>
          <w:highlight w:val="none"/>
        </w:rPr>
        <w:t xml:space="preserve">）表格不够可自行延长。</w:t>
      </w:r>
      <w:r/>
    </w:p>
    <w:p>
      <w:pPr>
        <w:spacing w:line="360" w:lineRule="auto"/>
        <w:rPr>
          <w:rFonts w:hint="eastAsia"/>
          <w:b/>
          <w:color w:val="000000"/>
          <w:sz w:val="28"/>
          <w:szCs w:val="28"/>
          <w:highlight w:val="none"/>
        </w:rPr>
      </w:pPr>
      <w:r>
        <w:rPr>
          <w:rFonts w:ascii="宋体" w:hAnsi="宋体"/>
          <w:bCs/>
          <w:color w:val="000000"/>
          <w:highlight w:val="none"/>
        </w:rPr>
        <w:br w:type="page" w:clear="all"/>
      </w:r>
      <w:bookmarkEnd w:id="221"/>
      <w:r/>
      <w:bookmarkEnd w:id="222"/>
      <w:r/>
      <w:bookmarkEnd w:id="223"/>
      <w:r/>
      <w:bookmarkStart w:id="225" w:name="_Toc120614284"/>
      <w:r>
        <w:rPr>
          <w:rFonts w:hint="eastAsia"/>
          <w:b/>
          <w:color w:val="000000"/>
          <w:sz w:val="28"/>
          <w:szCs w:val="28"/>
          <w:highlight w:val="none"/>
        </w:rPr>
        <w:t xml:space="preserve">十</w:t>
      </w:r>
      <w:r>
        <w:rPr>
          <w:b/>
          <w:color w:val="000000"/>
          <w:sz w:val="28"/>
          <w:szCs w:val="28"/>
          <w:highlight w:val="none"/>
        </w:rPr>
        <w:t xml:space="preserve">、</w:t>
      </w:r>
      <w:r>
        <w:rPr>
          <w:rFonts w:hint="eastAsia"/>
          <w:b/>
          <w:color w:val="000000"/>
          <w:sz w:val="28"/>
          <w:szCs w:val="28"/>
          <w:highlight w:val="none"/>
        </w:rPr>
        <w:t xml:space="preserve">投标偏离表（给定格式）：</w:t>
      </w:r>
      <w:r/>
    </w:p>
    <w:p>
      <w:pPr>
        <w:ind w:firstLine="490"/>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spacing w:line="360" w:lineRule="auto"/>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p>
    <w:p>
      <w:pPr>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w:t>
      </w:r>
      <w:r/>
    </w:p>
    <w:tbl>
      <w:tblPr>
        <w:tblStyle w:val="779"/>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left="0" w:right="0"/>
              <w:jc w:val="center"/>
              <w:keepLines w:val="0"/>
              <w:keepNext w:val="0"/>
              <w:spacing w:before="0" w:beforeAutospacing="0" w:after="0" w:afterAutospacing="0" w:line="360" w:lineRule="auto"/>
              <w:rPr>
                <w:rFonts w:ascii="宋体"/>
                <w:b/>
                <w:bCs/>
                <w:color w:val="000000"/>
                <w:sz w:val="24"/>
                <w:szCs w:val="24"/>
                <w:highlight w:val="none"/>
              </w:rPr>
              <w:suppressLineNumbers w:val="0"/>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line="360" w:lineRule="auto"/>
              <w:rPr>
                <w:rFonts w:ascii="宋体"/>
                <w:b/>
                <w:bCs/>
                <w:color w:val="000000"/>
                <w:sz w:val="24"/>
                <w:szCs w:val="24"/>
                <w:highlight w:val="none"/>
              </w:rPr>
              <w:suppressLineNumbers w:val="0"/>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line="360" w:lineRule="auto"/>
              <w:rPr>
                <w:rFonts w:ascii="宋体"/>
                <w:b/>
                <w:bCs/>
                <w:color w:val="000000"/>
                <w:sz w:val="24"/>
                <w:szCs w:val="24"/>
                <w:highlight w:val="none"/>
              </w:rPr>
              <w:suppressLineNumbers w:val="0"/>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left="0" w:right="0"/>
              <w:jc w:val="center"/>
              <w:keepLines w:val="0"/>
              <w:keepNext w:val="0"/>
              <w:spacing w:before="0" w:beforeAutospacing="0" w:after="0" w:afterAutospacing="0" w:line="360" w:lineRule="auto"/>
              <w:rPr>
                <w:rFonts w:ascii="宋体"/>
                <w:b/>
                <w:bCs/>
                <w:color w:val="000000"/>
                <w:sz w:val="24"/>
                <w:szCs w:val="24"/>
                <w:highlight w:val="none"/>
              </w:rPr>
              <w:suppressLineNumbers w:val="0"/>
            </w:pPr>
            <w:r>
              <w:rPr>
                <w:rFonts w:hint="eastAsia" w:ascii="宋体" w:hAnsi="宋体"/>
                <w:b/>
                <w:bCs/>
                <w:color w:val="000000"/>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left="0" w:right="0"/>
              <w:jc w:val="center"/>
              <w:keepLines w:val="0"/>
              <w:keepNext w:val="0"/>
              <w:spacing w:before="0" w:beforeAutospacing="0" w:after="0" w:afterAutospacing="0" w:line="360" w:lineRule="auto"/>
              <w:rPr>
                <w:rFonts w:ascii="宋体"/>
                <w:bCs/>
                <w:color w:val="000000"/>
                <w:highlight w:val="none"/>
              </w:rPr>
              <w:suppressLineNumbers w:val="0"/>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keepLines w:val="0"/>
              <w:keepNext w:val="0"/>
              <w:spacing w:before="0" w:beforeAutospacing="0" w:after="0" w:afterAutospacing="0" w:line="360" w:lineRule="auto"/>
              <w:rPr>
                <w:rFonts w:ascii="宋体"/>
                <w:bCs/>
                <w:color w:val="000000"/>
                <w:highlight w:val="none"/>
              </w:rPr>
              <w:suppressLineNumbers w:val="0"/>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line="360" w:lineRule="auto"/>
              <w:rPr>
                <w:rFonts w:ascii="宋体"/>
                <w:bCs/>
                <w:color w:val="000000"/>
                <w:highlight w:val="none"/>
              </w:rPr>
              <w:suppressLineNumbers w:val="0"/>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left="0" w:right="0"/>
              <w:jc w:val="center"/>
              <w:keepLines w:val="0"/>
              <w:keepNext w:val="0"/>
              <w:spacing w:before="0" w:beforeAutospacing="0" w:after="0" w:afterAutospacing="0" w:line="360" w:lineRule="auto"/>
              <w:rPr>
                <w:rFonts w:ascii="宋体"/>
                <w:bCs/>
                <w:color w:val="000000"/>
                <w:highlight w:val="none"/>
              </w:rPr>
              <w:suppressLineNumbers w:val="0"/>
            </w:pPr>
            <w:r>
              <w:rPr>
                <w:rFonts w:ascii="宋体"/>
                <w:bCs/>
                <w:color w:val="000000"/>
                <w:highlight w:val="none"/>
              </w:rPr>
            </w:r>
            <w:r/>
          </w:p>
        </w:tc>
      </w:tr>
    </w:tbl>
    <w:p>
      <w:pPr>
        <w:spacing w:line="360" w:lineRule="auto"/>
        <w:rPr>
          <w:rFonts w:hint="eastAsia"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p>
    <w:p>
      <w:pPr>
        <w:spacing w:line="360" w:lineRule="auto"/>
        <w:rPr>
          <w:rFonts w:ascii="宋体"/>
          <w:bCs/>
          <w:color w:val="000000"/>
          <w:sz w:val="30"/>
          <w:highlight w:val="none"/>
        </w:rPr>
      </w:pPr>
      <w:r>
        <w:rPr>
          <w:rFonts w:ascii="宋体"/>
          <w:bCs/>
          <w:color w:val="000000"/>
          <w:sz w:val="30"/>
          <w:highlight w:val="none"/>
        </w:rPr>
      </w:r>
      <w:r/>
    </w:p>
    <w:p>
      <w:pPr>
        <w:ind w:firstLine="420"/>
        <w:spacing w:line="360" w:lineRule="auto"/>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p>
    <w:p>
      <w:pPr>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）如无任何技术偏离，请于本表 “偏离说明”中注明“无偏离”；</w:t>
      </w:r>
      <w:r/>
    </w:p>
    <w:p>
      <w:pPr>
        <w:ind w:firstLine="420"/>
        <w:spacing w:line="360" w:lineRule="auto"/>
        <w:rPr>
          <w:rFonts w:hint="eastAsia" w:ascii="宋体" w:hAnsi="宋体"/>
          <w:bCs/>
          <w:color w:val="000000"/>
          <w:sz w:val="24"/>
          <w:szCs w:val="24"/>
          <w:highlight w:val="none"/>
        </w:rPr>
        <w:outlineLvl w:val="0"/>
      </w:pPr>
      <w:r>
        <w:rPr>
          <w:rFonts w:hint="eastAsia" w:ascii="宋体" w:hAnsi="宋体"/>
          <w:bCs/>
          <w:color w:val="000000"/>
          <w:sz w:val="24"/>
          <w:szCs w:val="24"/>
          <w:highlight w:val="none"/>
        </w:rPr>
        <w:t xml:space="preserve">   （3）如有技术偏离项，请于本表中列明偏离内容，如需要可自行延长，其余无偏离内容不须赘述。</w:t>
      </w:r>
      <w:bookmarkEnd w:id="184"/>
      <w:r/>
      <w:bookmarkEnd w:id="185"/>
      <w:r/>
      <w:bookmarkEnd w:id="225"/>
      <w:r/>
      <w:bookmarkStart w:id="226" w:name="_Hlt26671374"/>
      <w:r/>
      <w:bookmarkEnd w:id="226"/>
      <w:r/>
      <w:bookmarkStart w:id="227" w:name="_Hlt26955066"/>
      <w:r/>
      <w:bookmarkEnd w:id="227"/>
      <w:r/>
      <w:bookmarkStart w:id="228" w:name="_Hlt26609389"/>
      <w:r/>
      <w:bookmarkEnd w:id="228"/>
      <w:r/>
      <w:bookmarkStart w:id="229" w:name="_格式2__法定代表人授权书"/>
      <w:r/>
      <w:bookmarkEnd w:id="229"/>
      <w:r/>
      <w:r/>
    </w:p>
    <w:p>
      <w:pPr>
        <w:ind w:firstLine="420"/>
        <w:spacing w:line="360" w:lineRule="auto"/>
        <w:rPr>
          <w:rFonts w:hint="eastAsia" w:ascii="宋体" w:hAnsi="宋体"/>
          <w:bCs/>
          <w:color w:val="000000"/>
          <w:sz w:val="24"/>
          <w:szCs w:val="24"/>
          <w:highlight w:val="none"/>
        </w:rPr>
        <w:outlineLvl w:val="0"/>
      </w:pPr>
      <w:r>
        <w:rPr>
          <w:rFonts w:hint="eastAsia" w:ascii="宋体" w:hAnsi="宋体"/>
          <w:bCs/>
          <w:color w:val="000000"/>
          <w:sz w:val="24"/>
          <w:szCs w:val="24"/>
          <w:highlight w:val="none"/>
        </w:rPr>
      </w:r>
      <w:r/>
    </w:p>
    <w:p>
      <w:pPr>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360" w:lineRule="auto"/>
        <w:rPr>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十一、项目人员配置清单（格式）</w:t>
      </w:r>
      <w:r/>
    </w:p>
    <w:p>
      <w:pP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jc w:val="cente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项目人员配置清单</w:t>
      </w:r>
      <w:r/>
    </w:p>
    <w:p>
      <w:pPr>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w:t>
      </w:r>
      <w:r/>
    </w:p>
    <w:tbl>
      <w:tblPr>
        <w:tblStyle w:val="7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ind w:left="0" w:right="0"/>
              <w:jc w:val="center"/>
              <w:keepLines w:val="0"/>
              <w:keepNext w:val="0"/>
              <w:spacing w:before="0" w:beforeAutospacing="0" w:after="0" w:afterAutospacing="0" w:line="360" w:lineRule="auto"/>
              <w:rPr>
                <w:b/>
                <w:color w:val="000000"/>
                <w:sz w:val="24"/>
                <w:highlight w:val="none"/>
              </w:rPr>
              <w:suppressLineNumbers w:val="0"/>
            </w:pPr>
            <w:r>
              <w:rPr>
                <w:rFonts w:hint="eastAsia"/>
                <w:b/>
                <w:color w:val="000000"/>
                <w:sz w:val="24"/>
                <w:highlight w:val="none"/>
              </w:rPr>
              <w:t xml:space="preserve">序号</w:t>
            </w:r>
            <w:r/>
          </w:p>
        </w:tc>
        <w:tc>
          <w:tcPr>
            <w:tcW w:w="1476" w:type="dxa"/>
            <w:vAlign w:val="center"/>
            <w:textDirection w:val="lrTb"/>
            <w:noWrap w:val="false"/>
          </w:tcPr>
          <w:p>
            <w:pPr>
              <w:ind w:left="0" w:right="0"/>
              <w:jc w:val="center"/>
              <w:keepLines w:val="0"/>
              <w:keepNext w:val="0"/>
              <w:spacing w:before="0" w:beforeAutospacing="0" w:after="0" w:afterAutospacing="0" w:line="360" w:lineRule="auto"/>
              <w:rPr>
                <w:b/>
                <w:color w:val="000000"/>
                <w:sz w:val="24"/>
                <w:highlight w:val="none"/>
              </w:rPr>
              <w:suppressLineNumbers w:val="0"/>
            </w:pPr>
            <w:r>
              <w:rPr>
                <w:rFonts w:hint="eastAsia"/>
                <w:b/>
                <w:color w:val="000000"/>
                <w:sz w:val="24"/>
                <w:highlight w:val="none"/>
              </w:rPr>
              <w:t xml:space="preserve">姓名</w:t>
            </w:r>
            <w:r/>
          </w:p>
        </w:tc>
        <w:tc>
          <w:tcPr>
            <w:tcW w:w="720" w:type="dxa"/>
            <w:vAlign w:val="center"/>
            <w:textDirection w:val="lrTb"/>
            <w:noWrap w:val="false"/>
          </w:tcPr>
          <w:p>
            <w:pPr>
              <w:ind w:left="0" w:right="0"/>
              <w:jc w:val="center"/>
              <w:keepLines w:val="0"/>
              <w:keepNext w:val="0"/>
              <w:spacing w:before="0" w:beforeAutospacing="0" w:after="0" w:afterAutospacing="0" w:line="360" w:lineRule="auto"/>
              <w:rPr>
                <w:b/>
                <w:color w:val="000000"/>
                <w:sz w:val="24"/>
                <w:highlight w:val="none"/>
              </w:rPr>
              <w:suppressLineNumbers w:val="0"/>
            </w:pPr>
            <w:r>
              <w:rPr>
                <w:rFonts w:hint="eastAsia"/>
                <w:b/>
                <w:color w:val="000000"/>
                <w:sz w:val="24"/>
                <w:highlight w:val="none"/>
              </w:rPr>
              <w:t xml:space="preserve">年龄</w:t>
            </w:r>
            <w:r/>
          </w:p>
        </w:tc>
        <w:tc>
          <w:tcPr>
            <w:tcW w:w="2520" w:type="dxa"/>
            <w:vAlign w:val="center"/>
            <w:textDirection w:val="lrTb"/>
            <w:noWrap w:val="false"/>
          </w:tcPr>
          <w:p>
            <w:pPr>
              <w:ind w:left="0" w:right="0"/>
              <w:jc w:val="center"/>
              <w:keepLines w:val="0"/>
              <w:keepNext w:val="0"/>
              <w:spacing w:before="0" w:beforeAutospacing="0" w:after="0" w:afterAutospacing="0" w:line="360" w:lineRule="auto"/>
              <w:rPr>
                <w:b/>
                <w:color w:val="000000"/>
                <w:sz w:val="24"/>
                <w:highlight w:val="none"/>
              </w:rPr>
              <w:suppressLineNumbers w:val="0"/>
            </w:pPr>
            <w:r>
              <w:rPr>
                <w:rFonts w:hint="eastAsia"/>
                <w:b/>
                <w:color w:val="000000"/>
                <w:sz w:val="24"/>
                <w:highlight w:val="none"/>
              </w:rPr>
              <w:t xml:space="preserve">本项目职责</w:t>
            </w:r>
            <w:r/>
          </w:p>
        </w:tc>
        <w:tc>
          <w:tcPr>
            <w:tcW w:w="3274" w:type="dxa"/>
            <w:vAlign w:val="center"/>
            <w:textDirection w:val="lrTb"/>
            <w:noWrap w:val="false"/>
          </w:tcPr>
          <w:p>
            <w:pPr>
              <w:ind w:left="0" w:right="0"/>
              <w:jc w:val="center"/>
              <w:keepLines w:val="0"/>
              <w:keepNext w:val="0"/>
              <w:spacing w:before="0" w:beforeAutospacing="0" w:after="0" w:afterAutospacing="0" w:line="360" w:lineRule="auto"/>
              <w:rPr>
                <w:b/>
                <w:color w:val="000000"/>
                <w:sz w:val="24"/>
                <w:highlight w:val="none"/>
              </w:rPr>
              <w:suppressLineNumbers w:val="0"/>
            </w:pPr>
            <w:r>
              <w:rPr>
                <w:rFonts w:hint="eastAsia"/>
                <w:b/>
                <w:color w:val="000000"/>
                <w:sz w:val="24"/>
                <w:highlight w:val="none"/>
              </w:rPr>
              <w:t xml:space="preserve">人员证书名称</w:t>
            </w:r>
            <w:r/>
          </w:p>
        </w:tc>
      </w:tr>
      <w:tr>
        <w:trPr>
          <w:jc w:val="center"/>
          <w:trHeight w:val="680"/>
        </w:trPr>
        <w:tc>
          <w:tcPr>
            <w:tcW w:w="704" w:type="dxa"/>
            <w:vAlign w:val="top"/>
            <w:textDirection w:val="lrTb"/>
            <w:noWrap w:val="false"/>
          </w:tcPr>
          <w:p>
            <w:pPr>
              <w:ind w:left="0" w:right="0"/>
              <w:keepLines w:val="0"/>
              <w:keepNext w:val="0"/>
              <w:spacing w:before="0" w:beforeAutospacing="0" w:after="0" w:afterAutospacing="0" w:line="360" w:lineRule="auto"/>
              <w:rPr>
                <w:rFonts w:ascii="黑体" w:eastAsia="黑体"/>
                <w:bCs/>
                <w:color w:val="000000"/>
                <w:sz w:val="24"/>
                <w:szCs w:val="24"/>
                <w:highlight w:val="none"/>
              </w:rPr>
              <w:outlineLvl w:val="0"/>
              <w:suppressLineNumbers w:val="0"/>
            </w:pPr>
            <w:r>
              <w:rPr>
                <w:rFonts w:ascii="黑体" w:eastAsia="黑体"/>
                <w:bCs/>
                <w:color w:val="000000"/>
                <w:sz w:val="24"/>
                <w:szCs w:val="24"/>
                <w:highlight w:val="none"/>
              </w:rPr>
            </w:r>
            <w:r/>
          </w:p>
        </w:tc>
        <w:tc>
          <w:tcPr>
            <w:tcW w:w="1476" w:type="dxa"/>
            <w:vAlign w:val="top"/>
            <w:textDirection w:val="lrTb"/>
            <w:noWrap w:val="false"/>
          </w:tcPr>
          <w:p>
            <w:pPr>
              <w:ind w:left="0" w:right="0"/>
              <w:keepLines w:val="0"/>
              <w:keepNext w:val="0"/>
              <w:spacing w:before="0" w:beforeAutospacing="0" w:after="0" w:afterAutospacing="0" w:line="360" w:lineRule="auto"/>
              <w:rPr>
                <w:rFonts w:ascii="黑体" w:eastAsia="黑体"/>
                <w:bCs/>
                <w:color w:val="000000"/>
                <w:sz w:val="24"/>
                <w:szCs w:val="24"/>
                <w:highlight w:val="none"/>
              </w:rPr>
              <w:outlineLvl w:val="0"/>
              <w:suppressLineNumbers w:val="0"/>
            </w:pPr>
            <w:r>
              <w:rPr>
                <w:rFonts w:ascii="黑体" w:eastAsia="黑体"/>
                <w:bCs/>
                <w:color w:val="000000"/>
                <w:sz w:val="24"/>
                <w:szCs w:val="24"/>
                <w:highlight w:val="none"/>
              </w:rPr>
            </w:r>
            <w:r/>
          </w:p>
        </w:tc>
        <w:tc>
          <w:tcPr>
            <w:tcW w:w="720" w:type="dxa"/>
            <w:vAlign w:val="top"/>
            <w:textDirection w:val="lrTb"/>
            <w:noWrap w:val="false"/>
          </w:tcPr>
          <w:p>
            <w:pPr>
              <w:ind w:left="0" w:right="0"/>
              <w:keepLines w:val="0"/>
              <w:keepNext w:val="0"/>
              <w:spacing w:before="0" w:beforeAutospacing="0" w:after="0" w:afterAutospacing="0" w:line="360" w:lineRule="auto"/>
              <w:rPr>
                <w:rFonts w:ascii="黑体" w:eastAsia="黑体"/>
                <w:bCs/>
                <w:color w:val="000000"/>
                <w:sz w:val="24"/>
                <w:szCs w:val="24"/>
                <w:highlight w:val="none"/>
              </w:rPr>
              <w:outlineLvl w:val="0"/>
              <w:suppressLineNumbers w:val="0"/>
            </w:pPr>
            <w:r>
              <w:rPr>
                <w:rFonts w:ascii="黑体" w:eastAsia="黑体"/>
                <w:bCs/>
                <w:color w:val="000000"/>
                <w:sz w:val="24"/>
                <w:szCs w:val="24"/>
                <w:highlight w:val="none"/>
              </w:rPr>
            </w:r>
            <w:r/>
          </w:p>
        </w:tc>
        <w:tc>
          <w:tcPr>
            <w:tcW w:w="2520" w:type="dxa"/>
            <w:vAlign w:val="top"/>
            <w:textDirection w:val="lrTb"/>
            <w:noWrap w:val="false"/>
          </w:tcPr>
          <w:p>
            <w:pPr>
              <w:ind w:left="0" w:right="0"/>
              <w:keepLines w:val="0"/>
              <w:keepNext w:val="0"/>
              <w:spacing w:before="0" w:beforeAutospacing="0" w:after="0" w:afterAutospacing="0" w:line="360" w:lineRule="auto"/>
              <w:rPr>
                <w:rFonts w:ascii="黑体" w:eastAsia="黑体"/>
                <w:bCs/>
                <w:color w:val="000000"/>
                <w:sz w:val="24"/>
                <w:szCs w:val="24"/>
                <w:highlight w:val="none"/>
              </w:rPr>
              <w:outlineLvl w:val="0"/>
              <w:suppressLineNumbers w:val="0"/>
            </w:pPr>
            <w:r>
              <w:rPr>
                <w:rFonts w:ascii="黑体" w:eastAsia="黑体"/>
                <w:bCs/>
                <w:color w:val="000000"/>
                <w:sz w:val="24"/>
                <w:szCs w:val="24"/>
                <w:highlight w:val="none"/>
              </w:rPr>
            </w:r>
            <w:r/>
          </w:p>
        </w:tc>
        <w:tc>
          <w:tcPr>
            <w:tcW w:w="3274" w:type="dxa"/>
            <w:vAlign w:val="top"/>
            <w:textDirection w:val="lrTb"/>
            <w:noWrap w:val="false"/>
          </w:tcPr>
          <w:p>
            <w:pPr>
              <w:ind w:left="0" w:right="0"/>
              <w:keepLines w:val="0"/>
              <w:keepNext w:val="0"/>
              <w:spacing w:before="0" w:beforeAutospacing="0" w:after="0" w:afterAutospacing="0" w:line="360" w:lineRule="auto"/>
              <w:rPr>
                <w:rFonts w:ascii="黑体" w:eastAsia="黑体"/>
                <w:bCs/>
                <w:color w:val="000000"/>
                <w:sz w:val="24"/>
                <w:szCs w:val="24"/>
                <w:highlight w:val="none"/>
              </w:rPr>
              <w:outlineLvl w:val="0"/>
              <w:suppressLineNumbers w:val="0"/>
            </w:pPr>
            <w:r>
              <w:rPr>
                <w:rFonts w:ascii="黑体" w:eastAsia="黑体"/>
                <w:bCs/>
                <w:color w:val="000000"/>
                <w:sz w:val="24"/>
                <w:szCs w:val="24"/>
                <w:highlight w:val="none"/>
              </w:rPr>
            </w:r>
            <w:r/>
          </w:p>
        </w:tc>
      </w:tr>
      <w:tr>
        <w:trPr>
          <w:jc w:val="center"/>
          <w:trHeight w:val="680"/>
        </w:trPr>
        <w:tc>
          <w:tcPr>
            <w:tcW w:w="704" w:type="dxa"/>
            <w:vAlign w:val="top"/>
            <w:textDirection w:val="lrTb"/>
            <w:noWrap w:val="false"/>
          </w:tcPr>
          <w:p>
            <w:pPr>
              <w:ind w:left="0" w:right="0"/>
              <w:keepLines w:val="0"/>
              <w:keepNext w:val="0"/>
              <w:spacing w:before="0" w:beforeAutospacing="0" w:after="0" w:afterAutospacing="0" w:line="360" w:lineRule="auto"/>
              <w:rPr>
                <w:rFonts w:ascii="黑体" w:eastAsia="黑体"/>
                <w:bCs/>
                <w:color w:val="000000"/>
                <w:sz w:val="24"/>
                <w:szCs w:val="24"/>
                <w:highlight w:val="none"/>
              </w:rPr>
              <w:outlineLvl w:val="0"/>
              <w:suppressLineNumbers w:val="0"/>
            </w:pPr>
            <w:r>
              <w:rPr>
                <w:rFonts w:ascii="黑体" w:eastAsia="黑体"/>
                <w:bCs/>
                <w:color w:val="000000"/>
                <w:sz w:val="24"/>
                <w:szCs w:val="24"/>
                <w:highlight w:val="none"/>
              </w:rPr>
            </w:r>
            <w:r/>
          </w:p>
        </w:tc>
        <w:tc>
          <w:tcPr>
            <w:tcW w:w="1476" w:type="dxa"/>
            <w:vAlign w:val="top"/>
            <w:textDirection w:val="lrTb"/>
            <w:noWrap w:val="false"/>
          </w:tcPr>
          <w:p>
            <w:pPr>
              <w:ind w:left="0" w:right="0"/>
              <w:keepLines w:val="0"/>
              <w:keepNext w:val="0"/>
              <w:spacing w:before="0" w:beforeAutospacing="0" w:after="0" w:afterAutospacing="0" w:line="360" w:lineRule="auto"/>
              <w:rPr>
                <w:rFonts w:ascii="黑体" w:eastAsia="黑体"/>
                <w:bCs/>
                <w:color w:val="000000"/>
                <w:sz w:val="24"/>
                <w:szCs w:val="24"/>
                <w:highlight w:val="none"/>
              </w:rPr>
              <w:outlineLvl w:val="0"/>
              <w:suppressLineNumbers w:val="0"/>
            </w:pPr>
            <w:r>
              <w:rPr>
                <w:rFonts w:ascii="黑体" w:eastAsia="黑体"/>
                <w:bCs/>
                <w:color w:val="000000"/>
                <w:sz w:val="24"/>
                <w:szCs w:val="24"/>
                <w:highlight w:val="none"/>
              </w:rPr>
            </w:r>
            <w:r/>
          </w:p>
        </w:tc>
        <w:tc>
          <w:tcPr>
            <w:tcW w:w="720" w:type="dxa"/>
            <w:vAlign w:val="top"/>
            <w:textDirection w:val="lrTb"/>
            <w:noWrap w:val="false"/>
          </w:tcPr>
          <w:p>
            <w:pPr>
              <w:ind w:left="0" w:right="0"/>
              <w:keepLines w:val="0"/>
              <w:keepNext w:val="0"/>
              <w:spacing w:before="0" w:beforeAutospacing="0" w:after="0" w:afterAutospacing="0" w:line="360" w:lineRule="auto"/>
              <w:rPr>
                <w:rFonts w:ascii="黑体" w:eastAsia="黑体"/>
                <w:bCs/>
                <w:color w:val="000000"/>
                <w:sz w:val="24"/>
                <w:szCs w:val="24"/>
                <w:highlight w:val="none"/>
              </w:rPr>
              <w:outlineLvl w:val="0"/>
              <w:suppressLineNumbers w:val="0"/>
            </w:pPr>
            <w:r>
              <w:rPr>
                <w:rFonts w:ascii="黑体" w:eastAsia="黑体"/>
                <w:bCs/>
                <w:color w:val="000000"/>
                <w:sz w:val="24"/>
                <w:szCs w:val="24"/>
                <w:highlight w:val="none"/>
              </w:rPr>
            </w:r>
            <w:r/>
          </w:p>
        </w:tc>
        <w:tc>
          <w:tcPr>
            <w:tcW w:w="2520" w:type="dxa"/>
            <w:vAlign w:val="top"/>
            <w:textDirection w:val="lrTb"/>
            <w:noWrap w:val="false"/>
          </w:tcPr>
          <w:p>
            <w:pPr>
              <w:ind w:left="0" w:right="0"/>
              <w:keepLines w:val="0"/>
              <w:keepNext w:val="0"/>
              <w:spacing w:before="0" w:beforeAutospacing="0" w:after="0" w:afterAutospacing="0" w:line="360" w:lineRule="auto"/>
              <w:rPr>
                <w:rFonts w:ascii="黑体" w:eastAsia="黑体"/>
                <w:bCs/>
                <w:color w:val="000000"/>
                <w:sz w:val="24"/>
                <w:szCs w:val="24"/>
                <w:highlight w:val="none"/>
              </w:rPr>
              <w:outlineLvl w:val="0"/>
              <w:suppressLineNumbers w:val="0"/>
            </w:pPr>
            <w:r>
              <w:rPr>
                <w:rFonts w:ascii="黑体" w:eastAsia="黑体"/>
                <w:bCs/>
                <w:color w:val="000000"/>
                <w:sz w:val="24"/>
                <w:szCs w:val="24"/>
                <w:highlight w:val="none"/>
              </w:rPr>
            </w:r>
            <w:r/>
          </w:p>
        </w:tc>
        <w:tc>
          <w:tcPr>
            <w:tcW w:w="3274" w:type="dxa"/>
            <w:vAlign w:val="top"/>
            <w:textDirection w:val="lrTb"/>
            <w:noWrap w:val="false"/>
          </w:tcPr>
          <w:p>
            <w:pPr>
              <w:ind w:left="0" w:right="0"/>
              <w:keepLines w:val="0"/>
              <w:keepNext w:val="0"/>
              <w:spacing w:before="0" w:beforeAutospacing="0" w:after="0" w:afterAutospacing="0" w:line="360" w:lineRule="auto"/>
              <w:rPr>
                <w:rFonts w:ascii="黑体" w:eastAsia="黑体"/>
                <w:bCs/>
                <w:color w:val="000000"/>
                <w:sz w:val="24"/>
                <w:szCs w:val="24"/>
                <w:highlight w:val="none"/>
              </w:rPr>
              <w:outlineLvl w:val="0"/>
              <w:suppressLineNumbers w:val="0"/>
            </w:pPr>
            <w:r>
              <w:rPr>
                <w:rFonts w:ascii="黑体" w:eastAsia="黑体"/>
                <w:bCs/>
                <w:color w:val="000000"/>
                <w:sz w:val="24"/>
                <w:szCs w:val="24"/>
                <w:highlight w:val="none"/>
              </w:rPr>
            </w:r>
            <w:r/>
          </w:p>
        </w:tc>
      </w:tr>
      <w:tr>
        <w:trPr>
          <w:jc w:val="center"/>
          <w:trHeight w:val="680"/>
        </w:trPr>
        <w:tc>
          <w:tcPr>
            <w:tcW w:w="704" w:type="dxa"/>
            <w:vAlign w:val="top"/>
            <w:textDirection w:val="lrTb"/>
            <w:noWrap w:val="false"/>
          </w:tcPr>
          <w:p>
            <w:pPr>
              <w:ind w:left="0" w:right="0"/>
              <w:keepLines w:val="0"/>
              <w:keepNext w:val="0"/>
              <w:spacing w:before="0" w:beforeAutospacing="0" w:after="0" w:afterAutospacing="0" w:line="360" w:lineRule="auto"/>
              <w:rPr>
                <w:rFonts w:ascii="黑体" w:eastAsia="黑体"/>
                <w:bCs/>
                <w:color w:val="000000"/>
                <w:sz w:val="24"/>
                <w:szCs w:val="24"/>
                <w:highlight w:val="none"/>
              </w:rPr>
              <w:outlineLvl w:val="0"/>
              <w:suppressLineNumbers w:val="0"/>
            </w:pPr>
            <w:r>
              <w:rPr>
                <w:rFonts w:ascii="黑体" w:eastAsia="黑体"/>
                <w:bCs/>
                <w:color w:val="000000"/>
                <w:sz w:val="24"/>
                <w:szCs w:val="24"/>
                <w:highlight w:val="none"/>
              </w:rPr>
            </w:r>
            <w:r/>
          </w:p>
        </w:tc>
        <w:tc>
          <w:tcPr>
            <w:tcW w:w="1476" w:type="dxa"/>
            <w:vAlign w:val="top"/>
            <w:textDirection w:val="lrTb"/>
            <w:noWrap w:val="false"/>
          </w:tcPr>
          <w:p>
            <w:pPr>
              <w:ind w:left="0" w:right="0"/>
              <w:keepLines w:val="0"/>
              <w:keepNext w:val="0"/>
              <w:spacing w:before="0" w:beforeAutospacing="0" w:after="0" w:afterAutospacing="0" w:line="360" w:lineRule="auto"/>
              <w:rPr>
                <w:rFonts w:ascii="黑体" w:eastAsia="黑体"/>
                <w:bCs/>
                <w:color w:val="000000"/>
                <w:sz w:val="24"/>
                <w:szCs w:val="24"/>
                <w:highlight w:val="none"/>
              </w:rPr>
              <w:outlineLvl w:val="0"/>
              <w:suppressLineNumbers w:val="0"/>
            </w:pPr>
            <w:r>
              <w:rPr>
                <w:rFonts w:ascii="黑体" w:eastAsia="黑体"/>
                <w:bCs/>
                <w:color w:val="000000"/>
                <w:sz w:val="24"/>
                <w:szCs w:val="24"/>
                <w:highlight w:val="none"/>
              </w:rPr>
            </w:r>
            <w:r/>
          </w:p>
        </w:tc>
        <w:tc>
          <w:tcPr>
            <w:tcW w:w="720" w:type="dxa"/>
            <w:vAlign w:val="top"/>
            <w:textDirection w:val="lrTb"/>
            <w:noWrap w:val="false"/>
          </w:tcPr>
          <w:p>
            <w:pPr>
              <w:ind w:left="0" w:right="0"/>
              <w:keepLines w:val="0"/>
              <w:keepNext w:val="0"/>
              <w:spacing w:before="0" w:beforeAutospacing="0" w:after="0" w:afterAutospacing="0" w:line="360" w:lineRule="auto"/>
              <w:rPr>
                <w:rFonts w:ascii="黑体" w:eastAsia="黑体"/>
                <w:bCs/>
                <w:color w:val="000000"/>
                <w:sz w:val="24"/>
                <w:szCs w:val="24"/>
                <w:highlight w:val="none"/>
              </w:rPr>
              <w:outlineLvl w:val="0"/>
              <w:suppressLineNumbers w:val="0"/>
            </w:pPr>
            <w:r>
              <w:rPr>
                <w:rFonts w:ascii="黑体" w:eastAsia="黑体"/>
                <w:bCs/>
                <w:color w:val="000000"/>
                <w:sz w:val="24"/>
                <w:szCs w:val="24"/>
                <w:highlight w:val="none"/>
              </w:rPr>
            </w:r>
            <w:r/>
          </w:p>
        </w:tc>
        <w:tc>
          <w:tcPr>
            <w:tcW w:w="2520" w:type="dxa"/>
            <w:vAlign w:val="top"/>
            <w:textDirection w:val="lrTb"/>
            <w:noWrap w:val="false"/>
          </w:tcPr>
          <w:p>
            <w:pPr>
              <w:ind w:left="0" w:right="0"/>
              <w:keepLines w:val="0"/>
              <w:keepNext w:val="0"/>
              <w:spacing w:before="0" w:beforeAutospacing="0" w:after="0" w:afterAutospacing="0" w:line="360" w:lineRule="auto"/>
              <w:rPr>
                <w:rFonts w:ascii="黑体" w:eastAsia="黑体"/>
                <w:bCs/>
                <w:color w:val="000000"/>
                <w:sz w:val="24"/>
                <w:szCs w:val="24"/>
                <w:highlight w:val="none"/>
              </w:rPr>
              <w:outlineLvl w:val="0"/>
              <w:suppressLineNumbers w:val="0"/>
            </w:pPr>
            <w:r>
              <w:rPr>
                <w:rFonts w:ascii="黑体" w:eastAsia="黑体"/>
                <w:bCs/>
                <w:color w:val="000000"/>
                <w:sz w:val="24"/>
                <w:szCs w:val="24"/>
                <w:highlight w:val="none"/>
              </w:rPr>
            </w:r>
            <w:r/>
          </w:p>
        </w:tc>
        <w:tc>
          <w:tcPr>
            <w:tcW w:w="3274" w:type="dxa"/>
            <w:vAlign w:val="top"/>
            <w:textDirection w:val="lrTb"/>
            <w:noWrap w:val="false"/>
          </w:tcPr>
          <w:p>
            <w:pPr>
              <w:ind w:left="0" w:right="0"/>
              <w:keepLines w:val="0"/>
              <w:keepNext w:val="0"/>
              <w:spacing w:before="0" w:beforeAutospacing="0" w:after="0" w:afterAutospacing="0" w:line="360" w:lineRule="auto"/>
              <w:rPr>
                <w:rFonts w:ascii="黑体" w:eastAsia="黑体"/>
                <w:bCs/>
                <w:color w:val="000000"/>
                <w:sz w:val="24"/>
                <w:szCs w:val="24"/>
                <w:highlight w:val="none"/>
              </w:rPr>
              <w:outlineLvl w:val="0"/>
              <w:suppressLineNumbers w:val="0"/>
            </w:pPr>
            <w:r>
              <w:rPr>
                <w:rFonts w:ascii="黑体" w:eastAsia="黑体"/>
                <w:bCs/>
                <w:color w:val="000000"/>
                <w:sz w:val="24"/>
                <w:szCs w:val="24"/>
                <w:highlight w:val="none"/>
              </w:rPr>
            </w:r>
            <w:r/>
          </w:p>
        </w:tc>
      </w:tr>
      <w:tr>
        <w:trPr>
          <w:jc w:val="center"/>
          <w:trHeight w:val="680"/>
        </w:trPr>
        <w:tc>
          <w:tcPr>
            <w:tcW w:w="704" w:type="dxa"/>
            <w:vAlign w:val="top"/>
            <w:textDirection w:val="lrTb"/>
            <w:noWrap w:val="false"/>
          </w:tcPr>
          <w:p>
            <w:pPr>
              <w:ind w:left="0" w:right="0"/>
              <w:keepLines w:val="0"/>
              <w:keepNext w:val="0"/>
              <w:spacing w:before="0" w:beforeAutospacing="0" w:after="0" w:afterAutospacing="0" w:line="360" w:lineRule="auto"/>
              <w:rPr>
                <w:rFonts w:ascii="黑体" w:eastAsia="黑体"/>
                <w:bCs/>
                <w:color w:val="000000"/>
                <w:sz w:val="24"/>
                <w:szCs w:val="24"/>
                <w:highlight w:val="none"/>
              </w:rPr>
              <w:outlineLvl w:val="0"/>
              <w:suppressLineNumbers w:val="0"/>
            </w:pPr>
            <w:r>
              <w:rPr>
                <w:rFonts w:ascii="黑体" w:eastAsia="黑体"/>
                <w:bCs/>
                <w:color w:val="000000"/>
                <w:sz w:val="24"/>
                <w:szCs w:val="24"/>
                <w:highlight w:val="none"/>
              </w:rPr>
            </w:r>
            <w:r/>
          </w:p>
        </w:tc>
        <w:tc>
          <w:tcPr>
            <w:tcW w:w="1476" w:type="dxa"/>
            <w:vAlign w:val="top"/>
            <w:textDirection w:val="lrTb"/>
            <w:noWrap w:val="false"/>
          </w:tcPr>
          <w:p>
            <w:pPr>
              <w:ind w:left="0" w:right="0"/>
              <w:keepLines w:val="0"/>
              <w:keepNext w:val="0"/>
              <w:spacing w:before="0" w:beforeAutospacing="0" w:after="0" w:afterAutospacing="0" w:line="360" w:lineRule="auto"/>
              <w:rPr>
                <w:rFonts w:ascii="黑体" w:eastAsia="黑体"/>
                <w:bCs/>
                <w:color w:val="000000"/>
                <w:sz w:val="24"/>
                <w:szCs w:val="24"/>
                <w:highlight w:val="none"/>
              </w:rPr>
              <w:outlineLvl w:val="0"/>
              <w:suppressLineNumbers w:val="0"/>
            </w:pPr>
            <w:r>
              <w:rPr>
                <w:rFonts w:ascii="黑体" w:eastAsia="黑体"/>
                <w:bCs/>
                <w:color w:val="000000"/>
                <w:sz w:val="24"/>
                <w:szCs w:val="24"/>
                <w:highlight w:val="none"/>
              </w:rPr>
            </w:r>
            <w:r/>
          </w:p>
        </w:tc>
        <w:tc>
          <w:tcPr>
            <w:tcW w:w="720" w:type="dxa"/>
            <w:vAlign w:val="top"/>
            <w:textDirection w:val="lrTb"/>
            <w:noWrap w:val="false"/>
          </w:tcPr>
          <w:p>
            <w:pPr>
              <w:ind w:left="0" w:right="0"/>
              <w:keepLines w:val="0"/>
              <w:keepNext w:val="0"/>
              <w:spacing w:before="0" w:beforeAutospacing="0" w:after="0" w:afterAutospacing="0" w:line="360" w:lineRule="auto"/>
              <w:rPr>
                <w:rFonts w:ascii="黑体" w:eastAsia="黑体"/>
                <w:bCs/>
                <w:color w:val="000000"/>
                <w:sz w:val="24"/>
                <w:szCs w:val="24"/>
                <w:highlight w:val="none"/>
              </w:rPr>
              <w:outlineLvl w:val="0"/>
              <w:suppressLineNumbers w:val="0"/>
            </w:pPr>
            <w:r>
              <w:rPr>
                <w:rFonts w:ascii="黑体" w:eastAsia="黑体"/>
                <w:bCs/>
                <w:color w:val="000000"/>
                <w:sz w:val="24"/>
                <w:szCs w:val="24"/>
                <w:highlight w:val="none"/>
              </w:rPr>
            </w:r>
            <w:r/>
          </w:p>
        </w:tc>
        <w:tc>
          <w:tcPr>
            <w:tcW w:w="2520" w:type="dxa"/>
            <w:vAlign w:val="top"/>
            <w:textDirection w:val="lrTb"/>
            <w:noWrap w:val="false"/>
          </w:tcPr>
          <w:p>
            <w:pPr>
              <w:ind w:left="0" w:right="0"/>
              <w:keepLines w:val="0"/>
              <w:keepNext w:val="0"/>
              <w:spacing w:before="0" w:beforeAutospacing="0" w:after="0" w:afterAutospacing="0" w:line="360" w:lineRule="auto"/>
              <w:rPr>
                <w:rFonts w:ascii="黑体" w:eastAsia="黑体"/>
                <w:bCs/>
                <w:color w:val="000000"/>
                <w:sz w:val="24"/>
                <w:szCs w:val="24"/>
                <w:highlight w:val="none"/>
              </w:rPr>
              <w:outlineLvl w:val="0"/>
              <w:suppressLineNumbers w:val="0"/>
            </w:pPr>
            <w:r>
              <w:rPr>
                <w:rFonts w:ascii="黑体" w:eastAsia="黑体"/>
                <w:bCs/>
                <w:color w:val="000000"/>
                <w:sz w:val="24"/>
                <w:szCs w:val="24"/>
                <w:highlight w:val="none"/>
              </w:rPr>
            </w:r>
            <w:r/>
          </w:p>
        </w:tc>
        <w:tc>
          <w:tcPr>
            <w:tcW w:w="3274" w:type="dxa"/>
            <w:vAlign w:val="top"/>
            <w:textDirection w:val="lrTb"/>
            <w:noWrap w:val="false"/>
          </w:tcPr>
          <w:p>
            <w:pPr>
              <w:ind w:left="0" w:right="0"/>
              <w:keepLines w:val="0"/>
              <w:keepNext w:val="0"/>
              <w:spacing w:before="0" w:beforeAutospacing="0" w:after="0" w:afterAutospacing="0" w:line="360" w:lineRule="auto"/>
              <w:rPr>
                <w:rFonts w:ascii="黑体" w:eastAsia="黑体"/>
                <w:bCs/>
                <w:color w:val="000000"/>
                <w:sz w:val="24"/>
                <w:szCs w:val="24"/>
                <w:highlight w:val="none"/>
              </w:rPr>
              <w:outlineLvl w:val="0"/>
              <w:suppressLineNumbers w:val="0"/>
            </w:pPr>
            <w:r>
              <w:rPr>
                <w:rFonts w:ascii="黑体" w:eastAsia="黑体"/>
                <w:bCs/>
                <w:color w:val="000000"/>
                <w:sz w:val="24"/>
                <w:szCs w:val="24"/>
                <w:highlight w:val="none"/>
              </w:rPr>
            </w:r>
            <w:r/>
          </w:p>
        </w:tc>
      </w:tr>
      <w:tr>
        <w:trPr>
          <w:jc w:val="center"/>
          <w:trHeight w:val="680"/>
        </w:trPr>
        <w:tc>
          <w:tcPr>
            <w:tcW w:w="704" w:type="dxa"/>
            <w:vAlign w:val="top"/>
            <w:textDirection w:val="lrTb"/>
            <w:noWrap w:val="false"/>
          </w:tcPr>
          <w:p>
            <w:pPr>
              <w:ind w:left="0" w:right="0"/>
              <w:keepLines w:val="0"/>
              <w:keepNext w:val="0"/>
              <w:spacing w:before="0" w:beforeAutospacing="0" w:after="0" w:afterAutospacing="0" w:line="360" w:lineRule="auto"/>
              <w:rPr>
                <w:rFonts w:ascii="黑体" w:eastAsia="黑体"/>
                <w:bCs/>
                <w:color w:val="000000"/>
                <w:sz w:val="24"/>
                <w:szCs w:val="24"/>
                <w:highlight w:val="none"/>
              </w:rPr>
              <w:outlineLvl w:val="0"/>
              <w:suppressLineNumbers w:val="0"/>
            </w:pPr>
            <w:r>
              <w:rPr>
                <w:rFonts w:ascii="黑体" w:eastAsia="黑体"/>
                <w:bCs/>
                <w:color w:val="000000"/>
                <w:sz w:val="24"/>
                <w:szCs w:val="24"/>
                <w:highlight w:val="none"/>
              </w:rPr>
            </w:r>
            <w:r/>
          </w:p>
        </w:tc>
        <w:tc>
          <w:tcPr>
            <w:tcW w:w="1476" w:type="dxa"/>
            <w:vAlign w:val="top"/>
            <w:textDirection w:val="lrTb"/>
            <w:noWrap w:val="false"/>
          </w:tcPr>
          <w:p>
            <w:pPr>
              <w:ind w:left="0" w:right="0"/>
              <w:keepLines w:val="0"/>
              <w:keepNext w:val="0"/>
              <w:spacing w:before="0" w:beforeAutospacing="0" w:after="0" w:afterAutospacing="0" w:line="360" w:lineRule="auto"/>
              <w:rPr>
                <w:rFonts w:ascii="黑体" w:eastAsia="黑体"/>
                <w:bCs/>
                <w:color w:val="000000"/>
                <w:sz w:val="24"/>
                <w:szCs w:val="24"/>
                <w:highlight w:val="none"/>
              </w:rPr>
              <w:outlineLvl w:val="0"/>
              <w:suppressLineNumbers w:val="0"/>
            </w:pPr>
            <w:r>
              <w:rPr>
                <w:rFonts w:ascii="黑体" w:eastAsia="黑体"/>
                <w:bCs/>
                <w:color w:val="000000"/>
                <w:sz w:val="24"/>
                <w:szCs w:val="24"/>
                <w:highlight w:val="none"/>
              </w:rPr>
            </w:r>
            <w:r/>
          </w:p>
        </w:tc>
        <w:tc>
          <w:tcPr>
            <w:tcW w:w="720" w:type="dxa"/>
            <w:vAlign w:val="top"/>
            <w:textDirection w:val="lrTb"/>
            <w:noWrap w:val="false"/>
          </w:tcPr>
          <w:p>
            <w:pPr>
              <w:ind w:left="0" w:right="0"/>
              <w:keepLines w:val="0"/>
              <w:keepNext w:val="0"/>
              <w:spacing w:before="0" w:beforeAutospacing="0" w:after="0" w:afterAutospacing="0" w:line="360" w:lineRule="auto"/>
              <w:rPr>
                <w:rFonts w:ascii="黑体" w:eastAsia="黑体"/>
                <w:bCs/>
                <w:color w:val="000000"/>
                <w:sz w:val="24"/>
                <w:szCs w:val="24"/>
                <w:highlight w:val="none"/>
              </w:rPr>
              <w:outlineLvl w:val="0"/>
              <w:suppressLineNumbers w:val="0"/>
            </w:pPr>
            <w:r>
              <w:rPr>
                <w:rFonts w:ascii="黑体" w:eastAsia="黑体"/>
                <w:bCs/>
                <w:color w:val="000000"/>
                <w:sz w:val="24"/>
                <w:szCs w:val="24"/>
                <w:highlight w:val="none"/>
              </w:rPr>
            </w:r>
            <w:r/>
          </w:p>
        </w:tc>
        <w:tc>
          <w:tcPr>
            <w:tcW w:w="2520" w:type="dxa"/>
            <w:vAlign w:val="top"/>
            <w:textDirection w:val="lrTb"/>
            <w:noWrap w:val="false"/>
          </w:tcPr>
          <w:p>
            <w:pPr>
              <w:ind w:left="0" w:right="0"/>
              <w:keepLines w:val="0"/>
              <w:keepNext w:val="0"/>
              <w:spacing w:before="0" w:beforeAutospacing="0" w:after="0" w:afterAutospacing="0" w:line="360" w:lineRule="auto"/>
              <w:rPr>
                <w:rFonts w:ascii="黑体" w:eastAsia="黑体"/>
                <w:bCs/>
                <w:color w:val="000000"/>
                <w:sz w:val="24"/>
                <w:szCs w:val="24"/>
                <w:highlight w:val="none"/>
              </w:rPr>
              <w:outlineLvl w:val="0"/>
              <w:suppressLineNumbers w:val="0"/>
            </w:pPr>
            <w:r>
              <w:rPr>
                <w:rFonts w:ascii="黑体" w:eastAsia="黑体"/>
                <w:bCs/>
                <w:color w:val="000000"/>
                <w:sz w:val="24"/>
                <w:szCs w:val="24"/>
                <w:highlight w:val="none"/>
              </w:rPr>
            </w:r>
            <w:r/>
          </w:p>
        </w:tc>
        <w:tc>
          <w:tcPr>
            <w:tcW w:w="3274" w:type="dxa"/>
            <w:vAlign w:val="top"/>
            <w:textDirection w:val="lrTb"/>
            <w:noWrap w:val="false"/>
          </w:tcPr>
          <w:p>
            <w:pPr>
              <w:ind w:left="0" w:right="0"/>
              <w:keepLines w:val="0"/>
              <w:keepNext w:val="0"/>
              <w:spacing w:before="0" w:beforeAutospacing="0" w:after="0" w:afterAutospacing="0" w:line="360" w:lineRule="auto"/>
              <w:rPr>
                <w:rFonts w:ascii="黑体" w:eastAsia="黑体"/>
                <w:bCs/>
                <w:color w:val="000000"/>
                <w:sz w:val="24"/>
                <w:szCs w:val="24"/>
                <w:highlight w:val="none"/>
              </w:rPr>
              <w:outlineLvl w:val="0"/>
              <w:suppressLineNumbers w:val="0"/>
            </w:pPr>
            <w:r>
              <w:rPr>
                <w:rFonts w:ascii="黑体" w:eastAsia="黑体"/>
                <w:bCs/>
                <w:color w:val="000000"/>
                <w:sz w:val="24"/>
                <w:szCs w:val="24"/>
                <w:highlight w:val="none"/>
              </w:rPr>
            </w:r>
            <w:r/>
          </w:p>
        </w:tc>
      </w:tr>
    </w:tbl>
    <w:p>
      <w:pPr>
        <w:spacing w:line="360" w:lineRule="auto"/>
        <w:rPr>
          <w:b/>
          <w:bCs/>
          <w:color w:val="000000"/>
          <w:sz w:val="24"/>
          <w:szCs w:val="24"/>
          <w:highlight w:val="none"/>
        </w:rPr>
      </w:pPr>
      <w:r>
        <w:rPr>
          <w:rFonts w:hint="eastAsia" w:ascii="黑体" w:eastAsia="黑体"/>
          <w:bCs/>
          <w:color w:val="000000"/>
          <w:sz w:val="24"/>
          <w:szCs w:val="24"/>
          <w:highlight w:val="none"/>
        </w:rPr>
        <w:t xml:space="preserve">投标人名称（盖章）</w:t>
      </w:r>
      <w:r/>
    </w:p>
    <w:p>
      <w:pPr>
        <w:spacing w:line="360" w:lineRule="auto"/>
        <w:rPr>
          <w:rFonts w:hint="eastAsia" w:ascii="宋体" w:hAnsi="宋体"/>
          <w:bCs/>
          <w:color w:val="000000"/>
          <w:highlight w:val="none"/>
        </w:rPr>
      </w:pPr>
      <w:r>
        <w:rPr>
          <w:rFonts w:hint="eastAsia" w:ascii="宋体" w:hAnsi="宋体"/>
          <w:bCs/>
          <w:color w:val="000000"/>
          <w:highlight w:val="none"/>
        </w:rPr>
      </w:r>
      <w:r/>
    </w:p>
    <w:p>
      <w:pPr>
        <w:spacing w:line="360" w:lineRule="auto"/>
        <w:rPr>
          <w:rFonts w:ascii="宋体" w:hAnsi="宋体"/>
          <w:bCs/>
          <w:color w:val="000000"/>
          <w:highlight w:val="none"/>
        </w:rPr>
      </w:pPr>
      <w:r>
        <w:rPr>
          <w:rFonts w:hint="eastAsia" w:ascii="宋体" w:hAnsi="宋体"/>
          <w:bCs/>
          <w:color w:val="000000"/>
          <w:highlight w:val="none"/>
        </w:rPr>
        <w:t xml:space="preserve">注：1. 表格不够可自行延长。</w:t>
      </w:r>
      <w:r/>
    </w:p>
    <w:p>
      <w:pPr>
        <w:ind w:firstLine="420"/>
        <w:spacing w:line="360" w:lineRule="auto"/>
        <w:rPr>
          <w:color w:val="000000"/>
          <w:highlight w:val="none"/>
        </w:rPr>
      </w:pPr>
      <w:r>
        <w:rPr>
          <w:rFonts w:hint="eastAsia" w:ascii="宋体" w:hAnsi="宋体"/>
          <w:bCs/>
          <w:color w:val="000000"/>
          <w:highlight w:val="none"/>
        </w:rPr>
        <w:t xml:space="preserve">2.上表内容须提供投标人近一年中任意一个月份（不含投标当月）经社保部门确认的社保缴纳名单复印件（标注各人员所处位置）和相关证书复印件作为填列证明材料，证明材料请附在本表之后。</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rPr>
        <w:rStyle w:val="1029"/>
        <w:rFonts w:ascii="宋体" w:hAnsi="宋体"/>
      </w:rPr>
      <w:framePr w:wrap="around" w:vAnchor="text" w:hAnchor="margin" w:xAlign="center" w:y="1"/>
    </w:pPr>
    <w:r>
      <w:rPr>
        <w:rFonts w:ascii="宋体" w:hAnsi="宋体"/>
      </w:rPr>
      <w:fldChar w:fldCharType="begin"/>
    </w:r>
    <w:r>
      <w:rPr>
        <w:rStyle w:val="1029"/>
        <w:rFonts w:ascii="宋体" w:hAnsi="宋体"/>
      </w:rPr>
      <w:instrText xml:space="preserve">PAGE  </w:instrText>
    </w:r>
    <w:r>
      <w:rPr>
        <w:rFonts w:ascii="宋体" w:hAnsi="宋体"/>
      </w:rPr>
      <w:fldChar w:fldCharType="separate"/>
    </w:r>
    <w:r>
      <w:rPr>
        <w:rStyle w:val="1029"/>
        <w:rFonts w:ascii="宋体" w:hAnsi="宋体"/>
      </w:rPr>
      <w:t xml:space="preserve">２７</w:t>
    </w:r>
    <w:r>
      <w:rPr>
        <w:rFonts w:ascii="宋体" w:hAnsi="宋体"/>
      </w:rPr>
      <w:fldChar w:fldCharType="end"/>
    </w:r>
    <w:r/>
  </w:p>
  <w:p>
    <w:pPr>
      <w:pStyle w:val="1002"/>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rPr>
        <w:rStyle w:val="1029"/>
      </w:rPr>
      <w:framePr w:wrap="around" w:vAnchor="text" w:hAnchor="margin" w:xAlign="center" w:y="1"/>
    </w:pPr>
    <w:r>
      <w:fldChar w:fldCharType="begin"/>
    </w:r>
    <w:r>
      <w:rPr>
        <w:rStyle w:val="1029"/>
      </w:rPr>
      <w:instrText xml:space="preserve">PAGE  </w:instrText>
    </w:r>
    <w:r>
      <w:fldChar w:fldCharType="separate"/>
    </w:r>
    <w:r>
      <w:rPr>
        <w:rStyle w:val="1029"/>
      </w:rPr>
      <w:t xml:space="preserve">1</w:t>
    </w:r>
    <w:r>
      <w:fldChar w:fldCharType="end"/>
    </w:r>
    <w:r/>
  </w:p>
  <w:p>
    <w:pPr>
      <w:pStyle w:val="10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ind w:left="0" w:firstLine="0"/>
      </w:p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1">
    <w:multiLevelType w:val="hybridMultilevel"/>
    <w:lvl w:ilvl="0">
      <w:start w:val="9"/>
      <w:numFmt w:val="decimal"/>
      <w:isLgl w:val="false"/>
      <w:suff w:val="nothing"/>
      <w:lvlText w:val="（%1）"/>
      <w:lvlJc w:val="left"/>
      <w:pPr>
        <w:ind w:left="0" w:firstLine="0"/>
      </w:p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2">
    <w:multiLevelType w:val="hybridMultilevel"/>
    <w:lvl w:ilvl="0">
      <w:start w:val="1"/>
      <w:numFmt w:val="chineseCounting"/>
      <w:isLgl w:val="false"/>
      <w:suff w:val="nothing"/>
      <w:lvlText w:val="（%1）"/>
      <w:lvlJc w:val="left"/>
      <w:pPr>
        <w:ind w:left="0" w:firstLine="0"/>
      </w:p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0"/>
      </w:p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5">
    <w:multiLevelType w:val="hybridMultilevel"/>
    <w:lvl w:ilvl="0">
      <w:start w:val="1"/>
      <w:numFmt w:val="decimal"/>
      <w:isLgl w:val="false"/>
      <w:suff w:val="nothing"/>
      <w:lvlText w:val="%1、"/>
      <w:lvlJc w:val="left"/>
      <w:pPr>
        <w:ind w:left="0" w:firstLine="0"/>
      </w:p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6">
    <w:multiLevelType w:val="hybridMultilevel"/>
    <w:lvl w:ilvl="0">
      <w:start w:val="1"/>
      <w:numFmt w:val="decimal"/>
      <w:isLgl w:val="false"/>
      <w:suff w:val="nothing"/>
      <w:lvlText w:val="%1、"/>
      <w:lvlJc w:val="left"/>
      <w:pPr>
        <w:ind w:left="0" w:firstLine="0"/>
      </w:p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7">
    <w:multiLevelType w:val="hybridMultilevel"/>
    <w:lvl w:ilvl="0">
      <w:start w:val="1"/>
      <w:numFmt w:val="decimal"/>
      <w:isLgl w:val="false"/>
      <w:suff w:val="nothing"/>
      <w:lvlText w:val="%1、"/>
      <w:lvlJc w:val="left"/>
      <w:pPr>
        <w:ind w:left="0" w:firstLine="0"/>
      </w:p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1260" w:hanging="420"/>
        <w:tabs>
          <w:tab w:val="left" w:pos="840" w:leader="none"/>
        </w:tabs>
      </w:pPr>
      <w:rPr>
        <w:rFonts w:hint="default" w:ascii="Wingdings" w:hAnsi="Wingdings" w:cs="Wingdings"/>
      </w:r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10">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0"/>
      </w:p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12">
    <w:multiLevelType w:val="hybridMultilevel"/>
    <w:lvl w:ilvl="0">
      <w:start w:val="1"/>
      <w:numFmt w:val="decimal"/>
      <w:isLgl w:val="false"/>
      <w:suff w:val="nothing"/>
      <w:lvlText w:val="%1、"/>
      <w:lvlJc w:val="left"/>
      <w:pPr>
        <w:ind w:left="0" w:firstLine="0"/>
      </w:p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13">
    <w:multiLevelType w:val="hybridMultilevel"/>
    <w:lvl w:ilvl="0">
      <w:start w:val="1"/>
      <w:numFmt w:val="upperLetter"/>
      <w:pStyle w:val="104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0"/>
      </w:pPr>
      <w:rPr>
        <w:b/>
        <w:bCs/>
      </w:r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15">
    <w:multiLevelType w:val="hybridMultilevel"/>
    <w:lvl w:ilvl="0">
      <w:start w:val="1"/>
      <w:numFmt w:val="japaneseCounting"/>
      <w:isLgl w:val="false"/>
      <w:suff w:val="tab"/>
      <w:lvlText w:val="（%1）"/>
      <w:lvlJc w:val="left"/>
      <w:pPr>
        <w:ind w:left="1080" w:hanging="1080"/>
        <w:tabs>
          <w:tab w:val="left" w:pos="1080" w:leader="none"/>
        </w:tabs>
      </w:pPr>
      <w:rPr>
        <w:rFonts w:cs="Times New Roman"/>
      </w:rPr>
    </w:lvl>
    <w:lvl w:ilvl="1">
      <w:start w:val="1"/>
      <w:numFmt w:val="decimal"/>
      <w:isLgl w:val="false"/>
      <w:suff w:val="tab"/>
      <w:lvlText w:val="%2."/>
      <w:lvlJc w:val="left"/>
      <w:pPr>
        <w:ind w:left="780" w:hanging="360"/>
        <w:tabs>
          <w:tab w:val="left" w:pos="780" w:leader="none"/>
        </w:tabs>
      </w:pPr>
      <w:rPr>
        <w:rFonts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6">
    <w:multiLevelType w:val="hybridMultilevel"/>
    <w:lvl w:ilvl="0">
      <w:start w:val="1"/>
      <w:numFmt w:val="bullet"/>
      <w:isLgl w:val="false"/>
      <w:suff w:val="tab"/>
      <w:lvlText w:val=""/>
      <w:lvlJc w:val="left"/>
      <w:pPr>
        <w:ind w:left="420" w:hanging="420"/>
      </w:pPr>
      <w:rPr>
        <w:rFonts w:hint="default" w:ascii="Wingdings" w:hAnsi="Wingdings" w:cs="Wingdings"/>
      </w:r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17">
    <w:multiLevelType w:val="hybridMultilevel"/>
    <w:lvl w:ilvl="0">
      <w:start w:val="1"/>
      <w:numFmt w:val="decimal"/>
      <w:isLgl w:val="false"/>
      <w:suff w:val="nothing"/>
      <w:lvlText w:val="%1、"/>
      <w:lvlJc w:val="left"/>
      <w:pPr>
        <w:ind w:left="0" w:firstLine="0"/>
      </w:p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18">
    <w:multiLevelType w:val="hybridMultilevel"/>
    <w:lvl w:ilvl="0">
      <w:start w:val="1"/>
      <w:numFmt w:val="decimal"/>
      <w:isLgl w:val="false"/>
      <w:suff w:val="nothing"/>
      <w:lvlText w:val="%1、"/>
      <w:lvlJc w:val="left"/>
      <w:pPr>
        <w:ind w:left="0" w:firstLine="0"/>
      </w:p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1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2"/>
      <w:isLgl w:val="false"/>
      <w:suff w:val="nothing"/>
      <w:lvlText w:val=""/>
      <w:lvlJc w:val="left"/>
      <w:pPr>
        <w:ind w:left="0" w:firstLine="0"/>
      </w:pPr>
      <w:rPr>
        <w:rFonts w:hint="eastAsia"/>
      </w:rPr>
    </w:lvl>
    <w:lvl w:ilvl="6">
      <w:start w:val="1"/>
      <w:numFmt w:val="decimal"/>
      <w:pStyle w:val="963"/>
      <w:isLgl w:val="false"/>
      <w:suff w:val="nothing"/>
      <w:lvlText w:val=""/>
      <w:lvlJc w:val="left"/>
      <w:pPr>
        <w:ind w:left="0" w:firstLine="0"/>
      </w:pPr>
      <w:rPr>
        <w:rFonts w:hint="eastAsia"/>
      </w:rPr>
    </w:lvl>
    <w:lvl w:ilvl="7">
      <w:start w:val="1"/>
      <w:numFmt w:val="decimal"/>
      <w:pStyle w:val="964"/>
      <w:isLgl w:val="false"/>
      <w:suff w:val="nothing"/>
      <w:lvlText w:val=""/>
      <w:lvlJc w:val="left"/>
      <w:pPr>
        <w:ind w:left="0" w:firstLine="0"/>
      </w:pPr>
      <w:rPr>
        <w:rFonts w:hint="eastAsia"/>
      </w:rPr>
    </w:lvl>
    <w:lvl w:ilvl="8">
      <w:start w:val="1"/>
      <w:numFmt w:val="decimal"/>
      <w:pStyle w:val="965"/>
      <w:isLgl w:val="false"/>
      <w:suff w:val="nothing"/>
      <w:lvlText w:val=""/>
      <w:lvlJc w:val="left"/>
      <w:pPr>
        <w:ind w:left="0" w:firstLine="0"/>
      </w:pPr>
      <w:rPr>
        <w:rFonts w:hint="eastAsia"/>
      </w:rPr>
    </w:lvl>
  </w:abstractNum>
  <w:abstractNum w:abstractNumId="20">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1">
    <w:multiLevelType w:val="hybridMultilevel"/>
    <w:lvl w:ilvl="0">
      <w:start w:val="1"/>
      <w:numFmt w:val="decimal"/>
      <w:isLgl w:val="false"/>
      <w:suff w:val="nothing"/>
      <w:lvlText w:val="%1、"/>
      <w:lvlJc w:val="left"/>
      <w:pPr>
        <w:ind w:left="0" w:firstLine="0"/>
      </w:p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22">
    <w:multiLevelType w:val="hybridMultilevel"/>
    <w:lvl w:ilvl="0">
      <w:start w:val="1"/>
      <w:numFmt w:val="decimal"/>
      <w:isLgl w:val="false"/>
      <w:suff w:val="nothing"/>
      <w:lvlText w:val="%1、"/>
      <w:lvlJc w:val="left"/>
      <w:pPr>
        <w:ind w:left="0" w:firstLine="0"/>
      </w:p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23">
    <w:multiLevelType w:val="hybridMultilevel"/>
    <w:lvl w:ilvl="0">
      <w:start w:val="1"/>
      <w:numFmt w:val="decimal"/>
      <w:isLgl w:val="false"/>
      <w:suff w:val="nothing"/>
      <w:lvlText w:val="%1、"/>
      <w:lvlJc w:val="left"/>
      <w:pPr>
        <w:ind w:left="0" w:firstLine="0"/>
      </w:p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24">
    <w:multiLevelType w:val="hybridMultilevel"/>
    <w:lvl w:ilvl="0">
      <w:start w:val="1"/>
      <w:numFmt w:val="decimal"/>
      <w:isLgl w:val="false"/>
      <w:suff w:val="nothing"/>
      <w:lvlText w:val="%1、"/>
      <w:lvlJc w:val="left"/>
      <w:pPr>
        <w:ind w:left="0" w:firstLine="0"/>
      </w:p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25">
    <w:multiLevelType w:val="hybridMultilevel"/>
    <w:lvl w:ilvl="0">
      <w:start w:val="2"/>
      <w:numFmt w:val="decimal"/>
      <w:isLgl w:val="false"/>
      <w:suff w:val="nothing"/>
      <w:lvlText w:val="%1）"/>
      <w:lvlJc w:val="left"/>
      <w:pPr>
        <w:ind w:left="0" w:firstLine="0"/>
      </w:p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26">
    <w:multiLevelType w:val="hybridMultilevel"/>
    <w:lvl w:ilvl="0">
      <w:start w:val="1"/>
      <w:numFmt w:val="decimal"/>
      <w:isLgl w:val="false"/>
      <w:suff w:val="nothing"/>
      <w:lvlText w:val="%1、"/>
      <w:lvlJc w:val="left"/>
      <w:pPr>
        <w:ind w:left="0" w:firstLine="0"/>
      </w:p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27">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chineseCounting"/>
      <w:isLgl w:val="false"/>
      <w:suff w:val="nothing"/>
      <w:lvlText w:val="（%1）"/>
      <w:lvlJc w:val="left"/>
      <w:pPr>
        <w:ind w:left="0" w:firstLine="420"/>
      </w:pPr>
      <w:rPr>
        <w:b/>
        <w:bCs/>
      </w:r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29">
    <w:multiLevelType w:val="hybridMultilevel"/>
    <w:lvl w:ilvl="0">
      <w:start w:val="1"/>
      <w:numFmt w:val="decimal"/>
      <w:isLgl w:val="false"/>
      <w:suff w:val="nothing"/>
      <w:lvlText w:val="%1、"/>
      <w:lvlJc w:val="left"/>
      <w:pPr>
        <w:ind w:left="0" w:firstLine="0"/>
      </w:p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3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1">
    <w:multiLevelType w:val="hybridMultilevel"/>
    <w:lvl w:ilvl="0">
      <w:start w:val="1"/>
      <w:numFmt w:val="bullet"/>
      <w:isLgl w:val="false"/>
      <w:suff w:val="tab"/>
      <w:lvlText w:val=""/>
      <w:lvlJc w:val="left"/>
      <w:pPr>
        <w:ind w:left="420" w:hanging="420"/>
      </w:pPr>
      <w:rPr>
        <w:rFonts w:hint="default" w:ascii="Wingdings" w:hAnsi="Wingdings" w:cs="Wingdings"/>
      </w:r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32">
    <w:multiLevelType w:val="hybridMultilevel"/>
    <w:lvl w:ilvl="0">
      <w:start w:val="1"/>
      <w:numFmt w:val="decimal"/>
      <w:isLgl w:val="false"/>
      <w:suff w:val="nothing"/>
      <w:lvlText w:val="%1、"/>
      <w:lvlJc w:val="left"/>
      <w:pPr>
        <w:ind w:left="0" w:firstLine="0"/>
      </w:p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33">
    <w:multiLevelType w:val="hybridMultilevel"/>
    <w:lvl w:ilvl="0">
      <w:start w:val="1"/>
      <w:numFmt w:val="decimal"/>
      <w:isLgl w:val="false"/>
      <w:suff w:val="nothing"/>
      <w:lvlText w:val="%1、"/>
      <w:lvlJc w:val="left"/>
      <w:pPr>
        <w:ind w:left="0" w:firstLine="0"/>
      </w:p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34">
    <w:multiLevelType w:val="hybridMultilevel"/>
    <w:lvl w:ilvl="0">
      <w:start w:val="1"/>
      <w:numFmt w:val="decimal"/>
      <w:isLgl w:val="false"/>
      <w:suff w:val="nothing"/>
      <w:lvlText w:val="%1、"/>
      <w:lvlJc w:val="left"/>
      <w:pPr>
        <w:ind w:left="0" w:firstLine="0"/>
      </w:p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35">
    <w:multiLevelType w:val="hybridMultilevel"/>
    <w:lvl w:ilvl="0">
      <w:start w:val="1"/>
      <w:numFmt w:val="chineseCounting"/>
      <w:isLgl w:val="false"/>
      <w:suff w:val="nothing"/>
      <w:lvlText w:val="%1、"/>
      <w:lvlJc w:val="left"/>
      <w:pPr>
        <w:ind w:left="0" w:firstLine="420"/>
      </w:p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36">
    <w:multiLevelType w:val="hybridMultilevel"/>
    <w:lvl w:ilvl="0">
      <w:start w:val="1"/>
      <w:numFmt w:val="decimal"/>
      <w:isLgl w:val="false"/>
      <w:suff w:val="tab"/>
      <w:lvlText w:val="(%1)"/>
      <w:lvlJc w:val="left"/>
      <w:pPr>
        <w:ind w:left="425" w:hanging="425"/>
      </w:p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37">
    <w:multiLevelType w:val="hybridMultilevel"/>
    <w:lvl w:ilvl="0">
      <w:start w:val="1"/>
      <w:numFmt w:val="decimal"/>
      <w:pStyle w:val="105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8">
    <w:multiLevelType w:val="hybridMultilevel"/>
    <w:lvl w:ilvl="0">
      <w:start w:val="1"/>
      <w:numFmt w:val="decimal"/>
      <w:isLgl w:val="false"/>
      <w:suff w:val="nothing"/>
      <w:lvlText w:val="%1、"/>
      <w:lvlJc w:val="left"/>
      <w:pPr>
        <w:ind w:left="0" w:firstLine="0"/>
      </w:p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39">
    <w:multiLevelType w:val="hybridMultilevel"/>
    <w:lvl w:ilvl="0">
      <w:start w:val="1"/>
      <w:numFmt w:val="chineseCounting"/>
      <w:isLgl w:val="false"/>
      <w:suff w:val="space"/>
      <w:lvlText w:val="第%1部分"/>
      <w:lvlJc w:val="left"/>
      <w:pPr>
        <w:ind w:left="0" w:firstLine="0"/>
      </w:p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40">
    <w:multiLevelType w:val="hybridMultilevel"/>
    <w:lvl w:ilvl="0">
      <w:start w:val="2"/>
      <w:numFmt w:val="decimal"/>
      <w:isLgl w:val="false"/>
      <w:suff w:val="nothing"/>
      <w:lvlText w:val="（%1）"/>
      <w:lvlJc w:val="left"/>
      <w:pPr>
        <w:ind w:left="0" w:firstLine="0"/>
      </w:p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4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nothing"/>
      <w:lvlText w:val="%1、"/>
      <w:lvlJc w:val="left"/>
      <w:pPr>
        <w:ind w:left="0" w:firstLine="0"/>
      </w:p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43">
    <w:multiLevelType w:val="hybridMultilevel"/>
    <w:lvl w:ilvl="0">
      <w:start w:val="1"/>
      <w:numFmt w:val="decimal"/>
      <w:isLgl w:val="false"/>
      <w:suff w:val="nothing"/>
      <w:lvlText w:val="%1、"/>
      <w:lvlJc w:val="left"/>
      <w:pPr>
        <w:ind w:left="0" w:firstLine="0"/>
      </w:p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num w:numId="1">
    <w:abstractNumId w:val="19"/>
  </w:num>
  <w:num w:numId="2">
    <w:abstractNumId w:val="13"/>
  </w:num>
  <w:num w:numId="3">
    <w:abstractNumId w:val="37"/>
  </w:num>
  <w:num w:numId="4">
    <w:abstractNumId w:val="10"/>
  </w:num>
  <w:num w:numId="5">
    <w:abstractNumId w:val="27"/>
  </w:num>
  <w:num w:numId="6">
    <w:abstractNumId w:val="39"/>
  </w:num>
  <w:num w:numId="7">
    <w:abstractNumId w:val="35"/>
  </w:num>
  <w:num w:numId="8">
    <w:abstractNumId w:val="28"/>
  </w:num>
  <w:num w:numId="9">
    <w:abstractNumId w:val="21"/>
  </w:num>
  <w:num w:numId="10">
    <w:abstractNumId w:val="40"/>
  </w:num>
  <w:num w:numId="11">
    <w:abstractNumId w:val="22"/>
  </w:num>
  <w:num w:numId="12">
    <w:abstractNumId w:val="1"/>
  </w:num>
  <w:num w:numId="13">
    <w:abstractNumId w:val="14"/>
  </w:num>
  <w:num w:numId="14">
    <w:abstractNumId w:val="25"/>
  </w:num>
  <w:num w:numId="15">
    <w:abstractNumId w:val="17"/>
  </w:num>
  <w:num w:numId="16">
    <w:abstractNumId w:val="34"/>
  </w:num>
  <w:num w:numId="17">
    <w:abstractNumId w:val="4"/>
  </w:num>
  <w:num w:numId="18">
    <w:abstractNumId w:val="33"/>
  </w:num>
  <w:num w:numId="19">
    <w:abstractNumId w:val="23"/>
  </w:num>
  <w:num w:numId="20">
    <w:abstractNumId w:val="38"/>
  </w:num>
  <w:num w:numId="21">
    <w:abstractNumId w:val="26"/>
  </w:num>
  <w:num w:numId="22">
    <w:abstractNumId w:val="0"/>
  </w:num>
  <w:num w:numId="23">
    <w:abstractNumId w:val="31"/>
  </w:num>
  <w:num w:numId="24">
    <w:abstractNumId w:val="5"/>
  </w:num>
  <w:num w:numId="25">
    <w:abstractNumId w:val="12"/>
  </w:num>
  <w:num w:numId="26">
    <w:abstractNumId w:val="43"/>
  </w:num>
  <w:num w:numId="27">
    <w:abstractNumId w:val="42"/>
  </w:num>
  <w:num w:numId="28">
    <w:abstractNumId w:val="9"/>
  </w:num>
  <w:num w:numId="29">
    <w:abstractNumId w:val="16"/>
  </w:num>
  <w:num w:numId="30">
    <w:abstractNumId w:val="7"/>
  </w:num>
  <w:num w:numId="31">
    <w:abstractNumId w:val="6"/>
  </w:num>
  <w:num w:numId="32">
    <w:abstractNumId w:val="18"/>
  </w:num>
  <w:num w:numId="33">
    <w:abstractNumId w:val="2"/>
  </w:num>
  <w:num w:numId="34">
    <w:abstractNumId w:val="32"/>
  </w:num>
  <w:num w:numId="35">
    <w:abstractNumId w:val="29"/>
  </w:num>
  <w:num w:numId="36">
    <w:abstractNumId w:val="36"/>
  </w:num>
  <w:num w:numId="37">
    <w:abstractNumId w:val="11"/>
  </w:num>
  <w:num w:numId="38">
    <w:abstractNumId w:val="24"/>
  </w:num>
  <w:num w:numId="39">
    <w:abstractNumId w:val="15"/>
  </w:num>
  <w:num w:numId="40">
    <w:abstractNumId w:val="20"/>
  </w:num>
  <w:num w:numId="41">
    <w:abstractNumId w:val="8"/>
  </w:num>
  <w:num w:numId="42">
    <w:abstractNumId w:val="41"/>
  </w:num>
  <w:num w:numId="43">
    <w:abstractNumId w:val="30"/>
  </w:num>
  <w:num w:numId="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default="1">
    <w:name w:val="Normal"/>
    <w:link w:val="103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69">
    <w:name w:val="Heading 1"/>
    <w:basedOn w:val="768"/>
    <w:next w:val="768"/>
    <w:link w:val="1076"/>
    <w:uiPriority w:val="9"/>
    <w:qFormat/>
    <w:pPr>
      <w:keepLines/>
      <w:keepNext/>
      <w:spacing w:before="480" w:after="200"/>
      <w:outlineLvl w:val="0"/>
    </w:pPr>
    <w:rPr>
      <w:rFonts w:ascii="Arial" w:hAnsi="Arial" w:eastAsia="Arial" w:cs="Arial"/>
      <w:sz w:val="40"/>
      <w:szCs w:val="40"/>
    </w:rPr>
  </w:style>
  <w:style w:type="paragraph" w:styleId="770">
    <w:name w:val="Heading 2"/>
    <w:basedOn w:val="768"/>
    <w:next w:val="768"/>
    <w:link w:val="1074"/>
    <w:uiPriority w:val="9"/>
    <w:unhideWhenUsed/>
    <w:qFormat/>
    <w:pPr>
      <w:keepLines/>
      <w:keepNext/>
      <w:spacing w:before="360" w:after="200"/>
      <w:outlineLvl w:val="1"/>
    </w:pPr>
    <w:rPr>
      <w:rFonts w:ascii="Arial" w:hAnsi="Arial" w:eastAsia="Arial" w:cs="Arial"/>
      <w:sz w:val="34"/>
    </w:rPr>
  </w:style>
  <w:style w:type="paragraph" w:styleId="771">
    <w:name w:val="Heading 3"/>
    <w:basedOn w:val="768"/>
    <w:next w:val="768"/>
    <w:link w:val="1084"/>
    <w:uiPriority w:val="9"/>
    <w:unhideWhenUsed/>
    <w:qFormat/>
    <w:pPr>
      <w:keepLines/>
      <w:keepNext/>
      <w:spacing w:before="320" w:after="200"/>
      <w:outlineLvl w:val="2"/>
    </w:pPr>
    <w:rPr>
      <w:rFonts w:ascii="Arial" w:hAnsi="Arial" w:eastAsia="Arial" w:cs="Arial"/>
      <w:sz w:val="30"/>
      <w:szCs w:val="30"/>
    </w:rPr>
  </w:style>
  <w:style w:type="paragraph" w:styleId="772">
    <w:name w:val="Heading 4"/>
    <w:basedOn w:val="768"/>
    <w:next w:val="768"/>
    <w:link w:val="1085"/>
    <w:uiPriority w:val="9"/>
    <w:unhideWhenUsed/>
    <w:qFormat/>
    <w:pPr>
      <w:keepLines/>
      <w:keepNext/>
      <w:spacing w:before="320" w:after="200"/>
      <w:outlineLvl w:val="3"/>
    </w:pPr>
    <w:rPr>
      <w:rFonts w:ascii="Arial" w:hAnsi="Arial" w:eastAsia="Arial" w:cs="Arial"/>
      <w:b/>
      <w:bCs/>
      <w:sz w:val="26"/>
      <w:szCs w:val="26"/>
    </w:rPr>
  </w:style>
  <w:style w:type="paragraph" w:styleId="773">
    <w:name w:val="Heading 5"/>
    <w:basedOn w:val="768"/>
    <w:next w:val="768"/>
    <w:link w:val="1086"/>
    <w:uiPriority w:val="9"/>
    <w:unhideWhenUsed/>
    <w:qFormat/>
    <w:pPr>
      <w:keepLines/>
      <w:keepNext/>
      <w:spacing w:before="320" w:after="200"/>
      <w:outlineLvl w:val="4"/>
    </w:pPr>
    <w:rPr>
      <w:rFonts w:ascii="Arial" w:hAnsi="Arial" w:eastAsia="Arial" w:cs="Arial"/>
      <w:b/>
      <w:bCs/>
      <w:sz w:val="24"/>
      <w:szCs w:val="24"/>
    </w:rPr>
  </w:style>
  <w:style w:type="paragraph" w:styleId="774">
    <w:name w:val="Heading 6"/>
    <w:basedOn w:val="768"/>
    <w:next w:val="768"/>
    <w:link w:val="1087"/>
    <w:uiPriority w:val="9"/>
    <w:unhideWhenUsed/>
    <w:qFormat/>
    <w:pPr>
      <w:keepLines/>
      <w:keepNext/>
      <w:spacing w:before="320" w:after="200"/>
      <w:outlineLvl w:val="5"/>
    </w:pPr>
    <w:rPr>
      <w:rFonts w:ascii="Arial" w:hAnsi="Arial" w:eastAsia="Arial" w:cs="Arial"/>
      <w:b/>
      <w:bCs/>
      <w:sz w:val="22"/>
      <w:szCs w:val="22"/>
    </w:rPr>
  </w:style>
  <w:style w:type="paragraph" w:styleId="775">
    <w:name w:val="Heading 7"/>
    <w:basedOn w:val="768"/>
    <w:next w:val="768"/>
    <w:link w:val="1072"/>
    <w:uiPriority w:val="9"/>
    <w:unhideWhenUsed/>
    <w:qFormat/>
    <w:pPr>
      <w:keepLines/>
      <w:keepNext/>
      <w:spacing w:before="320" w:after="200"/>
      <w:outlineLvl w:val="6"/>
    </w:pPr>
    <w:rPr>
      <w:rFonts w:ascii="Arial" w:hAnsi="Arial" w:eastAsia="Arial" w:cs="Arial"/>
      <w:b/>
      <w:bCs/>
      <w:i/>
      <w:iCs/>
      <w:sz w:val="22"/>
      <w:szCs w:val="22"/>
    </w:rPr>
  </w:style>
  <w:style w:type="paragraph" w:styleId="776">
    <w:name w:val="Heading 8"/>
    <w:basedOn w:val="768"/>
    <w:next w:val="768"/>
    <w:link w:val="1088"/>
    <w:uiPriority w:val="9"/>
    <w:unhideWhenUsed/>
    <w:qFormat/>
    <w:pPr>
      <w:keepLines/>
      <w:keepNext/>
      <w:spacing w:before="320" w:after="200"/>
      <w:outlineLvl w:val="7"/>
    </w:pPr>
    <w:rPr>
      <w:rFonts w:ascii="Arial" w:hAnsi="Arial" w:eastAsia="Arial" w:cs="Arial"/>
      <w:i/>
      <w:iCs/>
      <w:sz w:val="22"/>
      <w:szCs w:val="22"/>
    </w:rPr>
  </w:style>
  <w:style w:type="paragraph" w:styleId="777">
    <w:name w:val="Heading 9"/>
    <w:basedOn w:val="768"/>
    <w:next w:val="768"/>
    <w:link w:val="1079"/>
    <w:uiPriority w:val="9"/>
    <w:unhideWhenUsed/>
    <w:qFormat/>
    <w:pPr>
      <w:keepLines/>
      <w:keepNext/>
      <w:spacing w:before="320" w:after="200"/>
      <w:outlineLvl w:val="8"/>
    </w:pPr>
    <w:rPr>
      <w:rFonts w:ascii="Arial" w:hAnsi="Arial" w:eastAsia="Arial" w:cs="Arial"/>
      <w:i/>
      <w:iCs/>
      <w:sz w:val="21"/>
      <w:szCs w:val="21"/>
    </w:rPr>
  </w:style>
  <w:style w:type="character" w:styleId="778" w:default="1">
    <w:name w:val="Default Paragraph Font"/>
    <w:uiPriority w:val="1"/>
    <w:semiHidden/>
    <w:unhideWhenUsed/>
    <w:qFormat/>
  </w:style>
  <w:style w:type="table" w:styleId="779"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80">
    <w:name w:val="toc 7"/>
    <w:basedOn w:val="768"/>
    <w:next w:val="768"/>
    <w:uiPriority w:val="39"/>
    <w:unhideWhenUsed/>
    <w:qFormat/>
    <w:pPr>
      <w:ind w:left="1701" w:right="0" w:firstLine="0"/>
      <w:spacing w:after="57"/>
    </w:pPr>
  </w:style>
  <w:style w:type="paragraph" w:styleId="781">
    <w:name w:val="Caption"/>
    <w:basedOn w:val="768"/>
    <w:next w:val="768"/>
    <w:uiPriority w:val="35"/>
    <w:semiHidden/>
    <w:unhideWhenUsed/>
    <w:qFormat/>
    <w:pPr>
      <w:spacing w:line="276" w:lineRule="auto"/>
    </w:pPr>
    <w:rPr>
      <w:b/>
      <w:bCs/>
      <w:color w:val="4f81bd" w:themeColor="accent1"/>
      <w:sz w:val="18"/>
      <w:szCs w:val="18"/>
    </w:rPr>
  </w:style>
  <w:style w:type="paragraph" w:styleId="782">
    <w:name w:val="annotation text"/>
    <w:basedOn w:val="768"/>
    <w:link w:val="1080"/>
    <w:uiPriority w:val="99"/>
    <w:semiHidden/>
    <w:unhideWhenUsed/>
    <w:qFormat/>
    <w:pPr>
      <w:jc w:val="left"/>
    </w:pPr>
  </w:style>
  <w:style w:type="paragraph" w:styleId="783">
    <w:name w:val="Body Text"/>
    <w:basedOn w:val="768"/>
    <w:uiPriority w:val="99"/>
    <w:qFormat/>
    <w:rPr>
      <w:rFonts w:ascii="华文中宋" w:hAnsi="Times New Roman" w:eastAsia="华文中宋" w:cs="Times New Roman"/>
      <w:bCs/>
      <w:sz w:val="28"/>
      <w:szCs w:val="20"/>
    </w:rPr>
  </w:style>
  <w:style w:type="paragraph" w:styleId="784">
    <w:name w:val="Body Text Indent"/>
    <w:basedOn w:val="768"/>
    <w:uiPriority w:val="99"/>
    <w:semiHidden/>
    <w:unhideWhenUsed/>
    <w:qFormat/>
    <w:pPr>
      <w:ind w:left="420" w:right="0"/>
      <w:jc w:val="both"/>
      <w:keepLines w:val="0"/>
      <w:keepNext w:val="0"/>
      <w:spacing w:before="0" w:beforeAutospacing="0" w:after="120" w:afterAutospacing="0"/>
      <w:widowControl w:val="off"/>
      <w:suppressLineNumbers w:val="0"/>
    </w:pPr>
    <w:rPr>
      <w:rFonts w:hint="default" w:ascii="Times New Roman" w:hAnsi="Times New Roman" w:eastAsia="宋体" w:cs="Times New Roman"/>
      <w:sz w:val="21"/>
      <w:szCs w:val="21"/>
      <w:lang w:val="en-US" w:eastAsia="zh-CN" w:bidi="ar"/>
    </w:rPr>
  </w:style>
  <w:style w:type="paragraph" w:styleId="785">
    <w:name w:val="toc 5"/>
    <w:basedOn w:val="768"/>
    <w:next w:val="768"/>
    <w:uiPriority w:val="39"/>
    <w:unhideWhenUsed/>
    <w:qFormat/>
    <w:pPr>
      <w:ind w:left="1134" w:right="0" w:firstLine="0"/>
      <w:spacing w:after="57"/>
    </w:pPr>
  </w:style>
  <w:style w:type="paragraph" w:styleId="786">
    <w:name w:val="toc 3"/>
    <w:basedOn w:val="768"/>
    <w:next w:val="768"/>
    <w:uiPriority w:val="39"/>
    <w:unhideWhenUsed/>
    <w:qFormat/>
    <w:pPr>
      <w:ind w:left="567" w:right="0" w:firstLine="0"/>
      <w:spacing w:after="57"/>
    </w:pPr>
  </w:style>
  <w:style w:type="paragraph" w:styleId="787">
    <w:name w:val="toc 8"/>
    <w:basedOn w:val="768"/>
    <w:next w:val="768"/>
    <w:uiPriority w:val="39"/>
    <w:unhideWhenUsed/>
    <w:qFormat/>
    <w:pPr>
      <w:ind w:left="1984" w:right="0" w:firstLine="0"/>
      <w:spacing w:after="57"/>
    </w:pPr>
  </w:style>
  <w:style w:type="paragraph" w:styleId="788">
    <w:name w:val="endnote text"/>
    <w:basedOn w:val="768"/>
    <w:link w:val="1081"/>
    <w:uiPriority w:val="99"/>
    <w:semiHidden/>
    <w:unhideWhenUsed/>
    <w:qFormat/>
    <w:pPr>
      <w:spacing w:after="0" w:line="240" w:lineRule="auto"/>
    </w:pPr>
    <w:rPr>
      <w:sz w:val="20"/>
    </w:rPr>
  </w:style>
  <w:style w:type="paragraph" w:styleId="789">
    <w:name w:val="Footer"/>
    <w:basedOn w:val="768"/>
    <w:link w:val="1090"/>
    <w:uiPriority w:val="99"/>
    <w:unhideWhenUsed/>
    <w:qFormat/>
    <w:pPr>
      <w:spacing w:after="0" w:line="240" w:lineRule="auto"/>
      <w:tabs>
        <w:tab w:val="center" w:pos="7143" w:leader="none"/>
        <w:tab w:val="right" w:pos="14287" w:leader="none"/>
      </w:tabs>
    </w:pPr>
  </w:style>
  <w:style w:type="paragraph" w:styleId="790">
    <w:name w:val="Header"/>
    <w:basedOn w:val="768"/>
    <w:link w:val="1089"/>
    <w:uiPriority w:val="99"/>
    <w:unhideWhenUsed/>
    <w:qFormat/>
    <w:pPr>
      <w:spacing w:after="0" w:line="240" w:lineRule="auto"/>
      <w:tabs>
        <w:tab w:val="center" w:pos="7143" w:leader="none"/>
        <w:tab w:val="right" w:pos="14287" w:leader="none"/>
      </w:tabs>
    </w:pPr>
  </w:style>
  <w:style w:type="paragraph" w:styleId="791">
    <w:name w:val="toc 1"/>
    <w:basedOn w:val="768"/>
    <w:next w:val="768"/>
    <w:uiPriority w:val="39"/>
    <w:unhideWhenUsed/>
    <w:qFormat/>
    <w:pPr>
      <w:ind w:left="0" w:right="0" w:firstLine="0"/>
      <w:spacing w:after="57"/>
    </w:pPr>
  </w:style>
  <w:style w:type="paragraph" w:styleId="792">
    <w:name w:val="toc 4"/>
    <w:basedOn w:val="768"/>
    <w:next w:val="768"/>
    <w:uiPriority w:val="39"/>
    <w:unhideWhenUsed/>
    <w:qFormat/>
    <w:pPr>
      <w:ind w:left="850" w:right="0" w:firstLine="0"/>
      <w:spacing w:after="57"/>
    </w:pPr>
  </w:style>
  <w:style w:type="paragraph" w:styleId="793">
    <w:name w:val="Subtitle"/>
    <w:basedOn w:val="768"/>
    <w:next w:val="768"/>
    <w:link w:val="1082"/>
    <w:uiPriority w:val="11"/>
    <w:qFormat/>
    <w:pPr>
      <w:spacing w:before="200" w:after="200"/>
    </w:pPr>
    <w:rPr>
      <w:sz w:val="24"/>
      <w:szCs w:val="24"/>
    </w:rPr>
  </w:style>
  <w:style w:type="paragraph" w:styleId="794">
    <w:name w:val="footnote text"/>
    <w:basedOn w:val="768"/>
    <w:link w:val="1083"/>
    <w:uiPriority w:val="99"/>
    <w:semiHidden/>
    <w:unhideWhenUsed/>
    <w:qFormat/>
    <w:pPr>
      <w:spacing w:after="40" w:line="240" w:lineRule="auto"/>
    </w:pPr>
    <w:rPr>
      <w:sz w:val="18"/>
    </w:rPr>
  </w:style>
  <w:style w:type="paragraph" w:styleId="795">
    <w:name w:val="toc 6"/>
    <w:basedOn w:val="768"/>
    <w:next w:val="768"/>
    <w:uiPriority w:val="39"/>
    <w:unhideWhenUsed/>
    <w:qFormat/>
    <w:pPr>
      <w:ind w:left="1417" w:right="0" w:firstLine="0"/>
      <w:spacing w:after="57"/>
    </w:pPr>
  </w:style>
  <w:style w:type="paragraph" w:styleId="796">
    <w:name w:val="table of figures"/>
    <w:basedOn w:val="768"/>
    <w:next w:val="768"/>
    <w:uiPriority w:val="99"/>
    <w:unhideWhenUsed/>
    <w:qFormat/>
    <w:pPr>
      <w:spacing w:after="0" w:afterAutospacing="0"/>
    </w:pPr>
  </w:style>
  <w:style w:type="paragraph" w:styleId="797">
    <w:name w:val="toc 2"/>
    <w:basedOn w:val="768"/>
    <w:next w:val="768"/>
    <w:uiPriority w:val="39"/>
    <w:unhideWhenUsed/>
    <w:qFormat/>
    <w:pPr>
      <w:ind w:left="283" w:right="0" w:firstLine="0"/>
      <w:spacing w:after="57"/>
    </w:pPr>
  </w:style>
  <w:style w:type="paragraph" w:styleId="798">
    <w:name w:val="toc 9"/>
    <w:basedOn w:val="768"/>
    <w:next w:val="768"/>
    <w:uiPriority w:val="39"/>
    <w:unhideWhenUsed/>
    <w:qFormat/>
    <w:pPr>
      <w:ind w:left="2268" w:right="0" w:firstLine="0"/>
      <w:spacing w:after="57"/>
    </w:pPr>
  </w:style>
  <w:style w:type="paragraph" w:styleId="799">
    <w:name w:val="Normal (Web)"/>
    <w:basedOn w:val="768"/>
    <w:uiPriority w:val="99"/>
    <w:semiHidden/>
    <w:unhideWhenUsed/>
    <w:qFormat/>
    <w:rPr>
      <w:sz w:val="24"/>
    </w:rPr>
  </w:style>
  <w:style w:type="paragraph" w:styleId="800">
    <w:name w:val="Title"/>
    <w:basedOn w:val="768"/>
    <w:next w:val="768"/>
    <w:link w:val="1077"/>
    <w:uiPriority w:val="10"/>
    <w:qFormat/>
    <w:pPr>
      <w:contextualSpacing/>
      <w:spacing w:before="300" w:after="200"/>
    </w:pPr>
    <w:rPr>
      <w:sz w:val="48"/>
      <w:szCs w:val="48"/>
    </w:rPr>
  </w:style>
  <w:style w:type="paragraph" w:styleId="801">
    <w:name w:val="annotation subject"/>
    <w:basedOn w:val="782"/>
    <w:next w:val="782"/>
    <w:link w:val="1075"/>
    <w:uiPriority w:val="99"/>
    <w:semiHidden/>
    <w:unhideWhenUsed/>
    <w:qFormat/>
    <w:rPr>
      <w:b/>
    </w:rPr>
  </w:style>
  <w:style w:type="table" w:styleId="802">
    <w:name w:val="Table Grid"/>
    <w:basedOn w:val="77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endnote reference"/>
    <w:uiPriority w:val="99"/>
    <w:semiHidden/>
    <w:unhideWhenUsed/>
    <w:qFormat/>
    <w:rPr>
      <w:vertAlign w:val="superscript"/>
    </w:rPr>
  </w:style>
  <w:style w:type="character" w:styleId="804">
    <w:name w:val="FollowedHyperlink"/>
    <w:basedOn w:val="778"/>
    <w:uiPriority w:val="99"/>
    <w:semiHidden/>
    <w:unhideWhenUsed/>
    <w:qFormat/>
    <w:rPr>
      <w:color w:val="800080"/>
      <w:u w:val="single"/>
    </w:rPr>
  </w:style>
  <w:style w:type="character" w:styleId="805">
    <w:name w:val="Hyperlink"/>
    <w:uiPriority w:val="99"/>
    <w:unhideWhenUsed/>
    <w:qFormat/>
    <w:rPr>
      <w:color w:val="0000ff" w:themeColor="hyperlink"/>
      <w:u w:val="single"/>
    </w:rPr>
  </w:style>
  <w:style w:type="character" w:styleId="806">
    <w:name w:val="annotation reference"/>
    <w:basedOn w:val="778"/>
    <w:uiPriority w:val="99"/>
    <w:semiHidden/>
    <w:unhideWhenUsed/>
    <w:qFormat/>
    <w:rPr>
      <w:sz w:val="21"/>
      <w:szCs w:val="21"/>
    </w:rPr>
  </w:style>
  <w:style w:type="character" w:styleId="807">
    <w:name w:val="footnote reference"/>
    <w:uiPriority w:val="99"/>
    <w:unhideWhenUsed/>
    <w:qFormat/>
    <w:rPr>
      <w:vertAlign w:val="superscript"/>
    </w:rPr>
  </w:style>
  <w:style w:type="character" w:styleId="808" w:customStyle="1">
    <w:name w:val="Heading 1 Char"/>
    <w:link w:val="769"/>
    <w:uiPriority w:val="9"/>
    <w:qFormat/>
    <w:rPr>
      <w:rFonts w:ascii="Arial" w:hAnsi="Arial" w:eastAsia="Arial" w:cs="Arial"/>
      <w:sz w:val="40"/>
      <w:szCs w:val="40"/>
    </w:rPr>
  </w:style>
  <w:style w:type="character" w:styleId="809" w:customStyle="1">
    <w:name w:val="Heading 2 Char"/>
    <w:link w:val="770"/>
    <w:uiPriority w:val="9"/>
    <w:qFormat/>
    <w:rPr>
      <w:rFonts w:ascii="Arial" w:hAnsi="Arial" w:eastAsia="Arial" w:cs="Arial"/>
      <w:sz w:val="34"/>
    </w:rPr>
  </w:style>
  <w:style w:type="character" w:styleId="810" w:customStyle="1">
    <w:name w:val="Heading 3 Char"/>
    <w:link w:val="771"/>
    <w:uiPriority w:val="9"/>
    <w:qFormat/>
    <w:rPr>
      <w:rFonts w:ascii="Arial" w:hAnsi="Arial" w:eastAsia="Arial" w:cs="Arial"/>
      <w:sz w:val="30"/>
      <w:szCs w:val="30"/>
    </w:rPr>
  </w:style>
  <w:style w:type="character" w:styleId="811" w:customStyle="1">
    <w:name w:val="Heading 4 Char"/>
    <w:link w:val="772"/>
    <w:uiPriority w:val="9"/>
    <w:qFormat/>
    <w:rPr>
      <w:rFonts w:ascii="Arial" w:hAnsi="Arial" w:eastAsia="Arial" w:cs="Arial"/>
      <w:b/>
      <w:bCs/>
      <w:sz w:val="26"/>
      <w:szCs w:val="26"/>
    </w:rPr>
  </w:style>
  <w:style w:type="character" w:styleId="812" w:customStyle="1">
    <w:name w:val="Heading 5 Char"/>
    <w:link w:val="773"/>
    <w:uiPriority w:val="9"/>
    <w:qFormat/>
    <w:rPr>
      <w:rFonts w:ascii="Arial" w:hAnsi="Arial" w:eastAsia="Arial" w:cs="Arial"/>
      <w:b/>
      <w:bCs/>
      <w:sz w:val="24"/>
      <w:szCs w:val="24"/>
    </w:rPr>
  </w:style>
  <w:style w:type="character" w:styleId="813" w:customStyle="1">
    <w:name w:val="Heading 6 Char"/>
    <w:link w:val="774"/>
    <w:uiPriority w:val="9"/>
    <w:qFormat/>
    <w:rPr>
      <w:rFonts w:ascii="Arial" w:hAnsi="Arial" w:eastAsia="Arial" w:cs="Arial"/>
      <w:b/>
      <w:bCs/>
      <w:sz w:val="22"/>
      <w:szCs w:val="22"/>
    </w:rPr>
  </w:style>
  <w:style w:type="character" w:styleId="814" w:customStyle="1">
    <w:name w:val="Heading 7 Char"/>
    <w:link w:val="775"/>
    <w:uiPriority w:val="9"/>
    <w:qFormat/>
    <w:rPr>
      <w:rFonts w:ascii="Arial" w:hAnsi="Arial" w:eastAsia="Arial" w:cs="Arial"/>
      <w:b/>
      <w:bCs/>
      <w:i/>
      <w:iCs/>
      <w:sz w:val="22"/>
      <w:szCs w:val="22"/>
    </w:rPr>
  </w:style>
  <w:style w:type="character" w:styleId="815" w:customStyle="1">
    <w:name w:val="Heading 8 Char"/>
    <w:link w:val="776"/>
    <w:uiPriority w:val="9"/>
    <w:qFormat/>
    <w:rPr>
      <w:rFonts w:ascii="Arial" w:hAnsi="Arial" w:eastAsia="Arial" w:cs="Arial"/>
      <w:i/>
      <w:iCs/>
      <w:sz w:val="22"/>
      <w:szCs w:val="22"/>
    </w:rPr>
  </w:style>
  <w:style w:type="character" w:styleId="816" w:customStyle="1">
    <w:name w:val="Heading 9 Char"/>
    <w:link w:val="777"/>
    <w:uiPriority w:val="9"/>
    <w:qFormat/>
    <w:rPr>
      <w:rFonts w:ascii="Arial" w:hAnsi="Arial" w:eastAsia="Arial" w:cs="Arial"/>
      <w:i/>
      <w:iCs/>
      <w:sz w:val="21"/>
      <w:szCs w:val="21"/>
    </w:rPr>
  </w:style>
  <w:style w:type="paragraph" w:styleId="817">
    <w:name w:val="List Paragraph"/>
    <w:basedOn w:val="768"/>
    <w:uiPriority w:val="34"/>
    <w:qFormat/>
    <w:pPr>
      <w:contextualSpacing/>
      <w:ind w:left="720"/>
    </w:pPr>
  </w:style>
  <w:style w:type="paragraph" w:styleId="818">
    <w:name w:val="No Spacing"/>
    <w:uiPriority w:val="1"/>
    <w:qFormat/>
    <w:pPr>
      <w:spacing w:before="0" w:after="0" w:line="240" w:lineRule="auto"/>
    </w:pPr>
    <w:rPr>
      <w:rFonts w:hint="default" w:ascii="Calibri" w:hAnsi="Calibri" w:eastAsia="宋体" w:cs="Times New Roman"/>
    </w:rPr>
  </w:style>
  <w:style w:type="character" w:styleId="819" w:customStyle="1">
    <w:name w:val="Title Char"/>
    <w:link w:val="800"/>
    <w:uiPriority w:val="10"/>
    <w:qFormat/>
    <w:rPr>
      <w:sz w:val="48"/>
      <w:szCs w:val="48"/>
    </w:rPr>
  </w:style>
  <w:style w:type="character" w:styleId="820" w:customStyle="1">
    <w:name w:val="Subtitle Char"/>
    <w:link w:val="793"/>
    <w:uiPriority w:val="11"/>
    <w:qFormat/>
    <w:rPr>
      <w:sz w:val="24"/>
      <w:szCs w:val="24"/>
    </w:rPr>
  </w:style>
  <w:style w:type="paragraph" w:styleId="821">
    <w:name w:val="Quote"/>
    <w:basedOn w:val="768"/>
    <w:next w:val="768"/>
    <w:link w:val="822"/>
    <w:uiPriority w:val="29"/>
    <w:qFormat/>
    <w:pPr>
      <w:ind w:left="720" w:right="720"/>
    </w:pPr>
    <w:rPr>
      <w:i/>
    </w:rPr>
  </w:style>
  <w:style w:type="character" w:styleId="822" w:customStyle="1">
    <w:name w:val="Quote Char"/>
    <w:link w:val="821"/>
    <w:uiPriority w:val="29"/>
    <w:qFormat/>
    <w:rPr>
      <w:i/>
    </w:rPr>
  </w:style>
  <w:style w:type="paragraph" w:styleId="823">
    <w:name w:val="Intense Quote"/>
    <w:basedOn w:val="768"/>
    <w:next w:val="768"/>
    <w:link w:val="8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customStyle="1">
    <w:name w:val="Intense Quote Char"/>
    <w:link w:val="823"/>
    <w:uiPriority w:val="30"/>
    <w:qFormat/>
    <w:rPr>
      <w:i/>
    </w:rPr>
  </w:style>
  <w:style w:type="character" w:styleId="825" w:customStyle="1">
    <w:name w:val="Header Char"/>
    <w:link w:val="790"/>
    <w:uiPriority w:val="99"/>
    <w:qFormat/>
  </w:style>
  <w:style w:type="character" w:styleId="826" w:customStyle="1">
    <w:name w:val="Footer Char"/>
    <w:link w:val="789"/>
    <w:uiPriority w:val="99"/>
    <w:qFormat/>
  </w:style>
  <w:style w:type="character" w:styleId="827" w:customStyle="1">
    <w:name w:val="Caption Char"/>
    <w:link w:val="789"/>
    <w:uiPriority w:val="99"/>
    <w:qFormat/>
  </w:style>
  <w:style w:type="table" w:styleId="828" w:customStyle="1">
    <w:name w:val="Table Grid Light"/>
    <w:basedOn w:val="7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1"/>
    <w:basedOn w:val="77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2"/>
    <w:basedOn w:val="77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3"/>
    <w:basedOn w:val="77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4"/>
    <w:basedOn w:val="77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5"/>
    <w:basedOn w:val="77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6"/>
    <w:basedOn w:val="77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2" w:customStyle="1">
    <w:name w:val="Grid Table 2 - Accent 1"/>
    <w:basedOn w:val="77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3" w:customStyle="1">
    <w:name w:val="Grid Table 2 - Accent 2"/>
    <w:basedOn w:val="77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2 - Accent 3"/>
    <w:basedOn w:val="77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2 - Accent 4"/>
    <w:basedOn w:val="77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2 - Accent 5"/>
    <w:basedOn w:val="77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Grid Table 2 - Accent 6"/>
    <w:basedOn w:val="77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1"/>
    <w:basedOn w:val="77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2"/>
    <w:basedOn w:val="77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3"/>
    <w:basedOn w:val="77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4"/>
    <w:basedOn w:val="77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5"/>
    <w:basedOn w:val="77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6"/>
    <w:basedOn w:val="77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Grid Table 4 - Accent 1"/>
    <w:basedOn w:val="77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7" w:customStyle="1">
    <w:name w:val="Grid Table 4 - Accent 2"/>
    <w:basedOn w:val="77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8" w:customStyle="1">
    <w:name w:val="Grid Table 4 - Accent 3"/>
    <w:basedOn w:val="77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9" w:customStyle="1">
    <w:name w:val="Grid Table 4 - Accent 4"/>
    <w:basedOn w:val="77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0" w:customStyle="1">
    <w:name w:val="Grid Table 4 - Accent 5"/>
    <w:basedOn w:val="77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1" w:customStyle="1">
    <w:name w:val="Grid Table 4 - Accent 6"/>
    <w:basedOn w:val="77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3" w:customStyle="1">
    <w:name w:val="Grid Table 5 Dark- Accent 1"/>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4" w:customStyle="1">
    <w:name w:val="Grid Table 5 Dark - Accent 2"/>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5" w:customStyle="1">
    <w:name w:val="Grid Table 5 Dark - Accent 3"/>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6" w:customStyle="1">
    <w:name w:val="Grid Table 5 Dark- Accent 4"/>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7" w:customStyle="1">
    <w:name w:val="Grid Table 5 Dark - Accent 5"/>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8" w:customStyle="1">
    <w:name w:val="Grid Table 5 Dark - Accent 6"/>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70" w:customStyle="1">
    <w:name w:val="Grid Table 6 Colorful - Accent 1"/>
    <w:basedOn w:val="77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71" w:customStyle="1">
    <w:name w:val="Grid Table 6 Colorful - Accent 2"/>
    <w:basedOn w:val="77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72" w:customStyle="1">
    <w:name w:val="Grid Table 6 Colorful - Accent 3"/>
    <w:basedOn w:val="77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73" w:customStyle="1">
    <w:name w:val="Grid Table 6 Colorful - Accent 4"/>
    <w:basedOn w:val="77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74" w:customStyle="1">
    <w:name w:val="Grid Table 6 Colorful - Accent 5"/>
    <w:basedOn w:val="77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5" w:customStyle="1">
    <w:name w:val="Grid Table 6 Colorful - Accent 6"/>
    <w:basedOn w:val="77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Grid Table 7 Colorful - Accent 1"/>
    <w:basedOn w:val="77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8" w:customStyle="1">
    <w:name w:val="Grid Table 7 Colorful - Accent 2"/>
    <w:basedOn w:val="77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Grid Table 7 Colorful - Accent 3"/>
    <w:basedOn w:val="77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0" w:customStyle="1">
    <w:name w:val="Grid Table 7 Colorful - Accent 4"/>
    <w:basedOn w:val="77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7 Colorful - Accent 5"/>
    <w:basedOn w:val="77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2" w:customStyle="1">
    <w:name w:val="Grid Table 7 Colorful - Accent 6"/>
    <w:basedOn w:val="77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customStyle="1">
    <w:name w:val="List Table 1 Light - Accent 1"/>
    <w:basedOn w:val="77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1 Light - Accent 2"/>
    <w:basedOn w:val="77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6" w:customStyle="1">
    <w:name w:val="List Table 1 Light - Accent 3"/>
    <w:basedOn w:val="77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7" w:customStyle="1">
    <w:name w:val="List Table 1 Light - Accent 4"/>
    <w:basedOn w:val="77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8" w:customStyle="1">
    <w:name w:val="List Table 1 Light - Accent 5"/>
    <w:basedOn w:val="77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9" w:customStyle="1">
    <w:name w:val="List Table 1 Light - Accent 6"/>
    <w:basedOn w:val="77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1" w:customStyle="1">
    <w:name w:val="List Table 2 - Accent 1"/>
    <w:basedOn w:val="77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2" w:customStyle="1">
    <w:name w:val="List Table 2 - Accent 2"/>
    <w:basedOn w:val="77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3" w:customStyle="1">
    <w:name w:val="List Table 2 - Accent 3"/>
    <w:basedOn w:val="77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4" w:customStyle="1">
    <w:name w:val="List Table 2 - Accent 4"/>
    <w:basedOn w:val="77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5" w:customStyle="1">
    <w:name w:val="List Table 2 - Accent 5"/>
    <w:basedOn w:val="77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6" w:customStyle="1">
    <w:name w:val="List Table 2 - Accent 6"/>
    <w:basedOn w:val="77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3 - Accent 1"/>
    <w:basedOn w:val="77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9" w:customStyle="1">
    <w:name w:val="List Table 3 - Accent 2"/>
    <w:basedOn w:val="77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0" w:customStyle="1">
    <w:name w:val="List Table 3 - Accent 3"/>
    <w:basedOn w:val="77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1" w:customStyle="1">
    <w:name w:val="List Table 3 - Accent 4"/>
    <w:basedOn w:val="77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2" w:customStyle="1">
    <w:name w:val="List Table 3 - Accent 5"/>
    <w:basedOn w:val="77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3" w:customStyle="1">
    <w:name w:val="List Table 3 - Accent 6"/>
    <w:basedOn w:val="77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4 - Accent 1"/>
    <w:basedOn w:val="77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6" w:customStyle="1">
    <w:name w:val="List Table 4 - Accent 2"/>
    <w:basedOn w:val="77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7" w:customStyle="1">
    <w:name w:val="List Table 4 - Accent 3"/>
    <w:basedOn w:val="77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8" w:customStyle="1">
    <w:name w:val="List Table 4 - Accent 4"/>
    <w:basedOn w:val="77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9" w:customStyle="1">
    <w:name w:val="List Table 4 - Accent 5"/>
    <w:basedOn w:val="77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0" w:customStyle="1">
    <w:name w:val="List Table 4 - Accent 6"/>
    <w:basedOn w:val="77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12" w:customStyle="1">
    <w:name w:val="List Table 5 Dark - Accent 1"/>
    <w:basedOn w:val="77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3" w:customStyle="1">
    <w:name w:val="List Table 5 Dark - Accent 2"/>
    <w:basedOn w:val="77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14" w:customStyle="1">
    <w:name w:val="List Table 5 Dark - Accent 3"/>
    <w:basedOn w:val="77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15" w:customStyle="1">
    <w:name w:val="List Table 5 Dark - Accent 4"/>
    <w:basedOn w:val="77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6" w:customStyle="1">
    <w:name w:val="List Table 5 Dark - Accent 5"/>
    <w:basedOn w:val="77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7" w:customStyle="1">
    <w:name w:val="List Table 5 Dark - Accent 6"/>
    <w:basedOn w:val="77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19" w:customStyle="1">
    <w:name w:val="List Table 6 Colorful - Accent 1"/>
    <w:basedOn w:val="77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20" w:customStyle="1">
    <w:name w:val="List Table 6 Colorful - Accent 2"/>
    <w:basedOn w:val="77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21" w:customStyle="1">
    <w:name w:val="List Table 6 Colorful - Accent 3"/>
    <w:basedOn w:val="77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22" w:customStyle="1">
    <w:name w:val="List Table 6 Colorful - Accent 4"/>
    <w:basedOn w:val="77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23" w:customStyle="1">
    <w:name w:val="List Table 6 Colorful - Accent 5"/>
    <w:basedOn w:val="77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24" w:customStyle="1">
    <w:name w:val="List Table 6 Colorful - Accent 6"/>
    <w:basedOn w:val="77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2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List Table 7 Colorful - Accent 1"/>
    <w:basedOn w:val="77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7" w:customStyle="1">
    <w:name w:val="List Table 7 Colorful - Accent 2"/>
    <w:basedOn w:val="779"/>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8" w:customStyle="1">
    <w:name w:val="List Table 7 Colorful - Accent 3"/>
    <w:basedOn w:val="779"/>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9" w:customStyle="1">
    <w:name w:val="List Table 7 Colorful - Accent 4"/>
    <w:basedOn w:val="779"/>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List Table 7 Colorful - Accent 5"/>
    <w:basedOn w:val="779"/>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1" w:customStyle="1">
    <w:name w:val="List Table 7 Colorful - Accent 6"/>
    <w:basedOn w:val="77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2" w:customStyle="1">
    <w:name w:val="Lined - Accent"/>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Lined - Accent 1"/>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4" w:customStyle="1">
    <w:name w:val="Lined - Accent 2"/>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5" w:customStyle="1">
    <w:name w:val="Lined - Accent 3"/>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6" w:customStyle="1">
    <w:name w:val="Lined - Accent 4"/>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7" w:customStyle="1">
    <w:name w:val="Lined - Accent 5"/>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8" w:customStyle="1">
    <w:name w:val="Lined - Accent 6"/>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9" w:customStyle="1">
    <w:name w:val="Bordered &amp; Lined - Accent"/>
    <w:basedOn w:val="77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Bordered &amp; Lined - Accent 1"/>
    <w:basedOn w:val="77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1" w:customStyle="1">
    <w:name w:val="Bordered &amp; Lined - Accent 2"/>
    <w:basedOn w:val="77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2" w:customStyle="1">
    <w:name w:val="Bordered &amp; Lined - Accent 3"/>
    <w:basedOn w:val="77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3" w:customStyle="1">
    <w:name w:val="Bordered &amp; Lined - Accent 4"/>
    <w:basedOn w:val="77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Bordered &amp; Lined - Accent 5"/>
    <w:basedOn w:val="77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Bordered &amp; Lined - Accent 6"/>
    <w:basedOn w:val="77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w:basedOn w:val="77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7" w:customStyle="1">
    <w:name w:val="Bordered - Accent 1"/>
    <w:basedOn w:val="77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8" w:customStyle="1">
    <w:name w:val="Bordered - Accent 2"/>
    <w:basedOn w:val="77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9" w:customStyle="1">
    <w:name w:val="Bordered - Accent 3"/>
    <w:basedOn w:val="77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0" w:customStyle="1">
    <w:name w:val="Bordered - Accent 4"/>
    <w:basedOn w:val="77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1" w:customStyle="1">
    <w:name w:val="Bordered - Accent 5"/>
    <w:basedOn w:val="77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2" w:customStyle="1">
    <w:name w:val="Bordered - Accent 6"/>
    <w:basedOn w:val="77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3" w:customStyle="1">
    <w:name w:val="Footnote Text Char"/>
    <w:link w:val="794"/>
    <w:uiPriority w:val="99"/>
    <w:qFormat/>
    <w:rPr>
      <w:sz w:val="18"/>
    </w:rPr>
  </w:style>
  <w:style w:type="character" w:styleId="954" w:customStyle="1">
    <w:name w:val="Endnote Text Char"/>
    <w:link w:val="788"/>
    <w:uiPriority w:val="99"/>
    <w:qFormat/>
    <w:rPr>
      <w:sz w:val="20"/>
    </w:rPr>
  </w:style>
  <w:style w:type="paragraph" w:styleId="955" w:customStyle="1">
    <w:name w:val="TOC Heading"/>
    <w:uiPriority w:val="39"/>
    <w:unhideWhenUsed/>
    <w:qFormat/>
    <w:rPr>
      <w:rFonts w:hint="default" w:ascii="Calibri" w:hAnsi="Calibri" w:eastAsia="宋体" w:cs="Times New Roman"/>
    </w:rPr>
  </w:style>
  <w:style w:type="paragraph" w:styleId="956" w:customStyle="1">
    <w:name w:val="标题 11"/>
    <w:basedOn w:val="768"/>
    <w:next w:val="768"/>
    <w:link w:val="968"/>
    <w:uiPriority w:val="0"/>
    <w:qFormat/>
    <w:pPr>
      <w:jc w:val="center"/>
      <w:keepNext/>
      <w:outlineLvl w:val="0"/>
    </w:pPr>
    <w:rPr>
      <w:rFonts w:ascii="楷体_GB2312" w:eastAsia="楷体_GB2312"/>
      <w:sz w:val="28"/>
      <w:szCs w:val="28"/>
    </w:rPr>
  </w:style>
  <w:style w:type="paragraph" w:styleId="957" w:customStyle="1">
    <w:name w:val="标题 21"/>
    <w:basedOn w:val="768"/>
    <w:next w:val="958"/>
    <w:link w:val="969"/>
    <w:uiPriority w:val="0"/>
    <w:qFormat/>
    <w:pPr>
      <w:jc w:val="center"/>
      <w:keepLines/>
      <w:keepNext/>
      <w:spacing w:before="260" w:after="260" w:line="416" w:lineRule="auto"/>
      <w:outlineLvl w:val="1"/>
    </w:pPr>
    <w:rPr>
      <w:rFonts w:ascii="Arial" w:hAnsi="Arial" w:eastAsia="幼圆"/>
      <w:b/>
      <w:bCs/>
      <w:sz w:val="44"/>
      <w:szCs w:val="44"/>
    </w:rPr>
  </w:style>
  <w:style w:type="paragraph" w:styleId="958" w:customStyle="1">
    <w:name w:val="正文缩进1"/>
    <w:basedOn w:val="768"/>
    <w:link w:val="970"/>
    <w:uiPriority w:val="0"/>
    <w:qFormat/>
    <w:pPr>
      <w:ind w:firstLine="420"/>
    </w:pPr>
    <w:rPr>
      <w:sz w:val="20"/>
    </w:rPr>
  </w:style>
  <w:style w:type="paragraph" w:styleId="959" w:customStyle="1">
    <w:name w:val="标题 31"/>
    <w:basedOn w:val="768"/>
    <w:next w:val="958"/>
    <w:link w:val="971"/>
    <w:uiPriority w:val="0"/>
    <w:qFormat/>
    <w:pPr>
      <w:keepLines/>
      <w:keepNext/>
      <w:spacing w:before="260" w:after="260" w:line="416" w:lineRule="auto"/>
      <w:outlineLvl w:val="2"/>
    </w:pPr>
    <w:rPr>
      <w:b/>
      <w:bCs/>
      <w:sz w:val="32"/>
      <w:szCs w:val="32"/>
    </w:rPr>
  </w:style>
  <w:style w:type="paragraph" w:styleId="960" w:customStyle="1">
    <w:name w:val="标题 41"/>
    <w:basedOn w:val="768"/>
    <w:next w:val="958"/>
    <w:link w:val="972"/>
    <w:uiPriority w:val="0"/>
    <w:qFormat/>
    <w:pPr>
      <w:keepLines/>
      <w:keepNext/>
      <w:spacing w:before="280" w:after="290" w:line="376" w:lineRule="auto"/>
      <w:outlineLvl w:val="3"/>
    </w:pPr>
    <w:rPr>
      <w:rFonts w:ascii="Arial" w:hAnsi="Arial" w:eastAsia="黑体"/>
      <w:b/>
      <w:bCs/>
      <w:sz w:val="28"/>
      <w:szCs w:val="28"/>
    </w:rPr>
  </w:style>
  <w:style w:type="paragraph" w:styleId="961" w:customStyle="1">
    <w:name w:val="标题 51"/>
    <w:basedOn w:val="768"/>
    <w:next w:val="958"/>
    <w:link w:val="973"/>
    <w:uiPriority w:val="0"/>
    <w:qFormat/>
    <w:pPr>
      <w:keepNext/>
      <w:outlineLvl w:val="4"/>
    </w:pPr>
    <w:rPr>
      <w:rFonts w:ascii="宋体"/>
      <w:color w:val="000000"/>
      <w:sz w:val="28"/>
      <w:szCs w:val="28"/>
    </w:rPr>
  </w:style>
  <w:style w:type="paragraph" w:styleId="962" w:customStyle="1">
    <w:name w:val="标题 61"/>
    <w:basedOn w:val="768"/>
    <w:next w:val="768"/>
    <w:link w:val="97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63" w:customStyle="1">
    <w:name w:val="标题 71"/>
    <w:basedOn w:val="768"/>
    <w:next w:val="768"/>
    <w:link w:val="975"/>
    <w:uiPriority w:val="0"/>
    <w:qFormat/>
    <w:pPr>
      <w:numPr>
        <w:ilvl w:val="6"/>
        <w:numId w:val="1"/>
      </w:numPr>
      <w:keepLines/>
      <w:keepNext/>
      <w:spacing w:before="240" w:after="64" w:line="320" w:lineRule="auto"/>
      <w:outlineLvl w:val="6"/>
    </w:pPr>
    <w:rPr>
      <w:b/>
      <w:bCs/>
      <w:sz w:val="24"/>
      <w:szCs w:val="24"/>
    </w:rPr>
  </w:style>
  <w:style w:type="paragraph" w:styleId="964" w:customStyle="1">
    <w:name w:val="标题 81"/>
    <w:basedOn w:val="768"/>
    <w:next w:val="768"/>
    <w:link w:val="97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65" w:customStyle="1">
    <w:name w:val="标题 91"/>
    <w:basedOn w:val="768"/>
    <w:next w:val="768"/>
    <w:link w:val="977"/>
    <w:uiPriority w:val="0"/>
    <w:qFormat/>
    <w:pPr>
      <w:numPr>
        <w:ilvl w:val="8"/>
        <w:numId w:val="1"/>
      </w:numPr>
      <w:keepLines/>
      <w:keepNext/>
      <w:spacing w:before="240" w:after="64" w:line="320" w:lineRule="auto"/>
      <w:outlineLvl w:val="8"/>
    </w:pPr>
    <w:rPr>
      <w:rFonts w:ascii="Arial" w:hAnsi="Arial" w:eastAsia="黑体"/>
      <w:sz w:val="20"/>
    </w:rPr>
  </w:style>
  <w:style w:type="character" w:styleId="966" w:customStyle="1">
    <w:name w:val="默认段落字体1"/>
    <w:link w:val="768"/>
    <w:uiPriority w:val="1"/>
    <w:unhideWhenUsed/>
    <w:qFormat/>
  </w:style>
  <w:style w:type="table" w:styleId="967" w:customStyle="1">
    <w:name w:val="普通表格1"/>
    <w:basedOn w:val="779"/>
    <w:uiPriority w:val="99"/>
    <w:unhideWhenUsed/>
    <w:qFormat/>
    <w:tblPr/>
  </w:style>
  <w:style w:type="character" w:styleId="968" w:customStyle="1">
    <w:name w:val="标题 1 Char"/>
    <w:link w:val="956"/>
    <w:uiPriority w:val="0"/>
    <w:qFormat/>
    <w:rPr>
      <w:rFonts w:ascii="楷体_GB2312" w:hAnsi="Times New Roman" w:eastAsia="楷体_GB2312" w:cs="Times New Roman"/>
      <w:sz w:val="28"/>
      <w:szCs w:val="28"/>
    </w:rPr>
  </w:style>
  <w:style w:type="character" w:styleId="969" w:customStyle="1">
    <w:name w:val="标题 2 Char"/>
    <w:link w:val="957"/>
    <w:uiPriority w:val="0"/>
    <w:qFormat/>
    <w:rPr>
      <w:rFonts w:ascii="Arial" w:hAnsi="Arial" w:eastAsia="幼圆" w:cs="Arial"/>
      <w:b/>
      <w:bCs/>
      <w:sz w:val="44"/>
      <w:szCs w:val="44"/>
    </w:rPr>
  </w:style>
  <w:style w:type="character" w:styleId="970" w:customStyle="1">
    <w:name w:val="正文缩进 Char"/>
    <w:link w:val="958"/>
    <w:uiPriority w:val="0"/>
    <w:qFormat/>
    <w:rPr>
      <w:rFonts w:ascii="Times New Roman" w:hAnsi="Times New Roman" w:eastAsia="宋体" w:cs="Times New Roman"/>
      <w:szCs w:val="21"/>
    </w:rPr>
  </w:style>
  <w:style w:type="character" w:styleId="971" w:customStyle="1">
    <w:name w:val="标题 3 Char"/>
    <w:link w:val="959"/>
    <w:uiPriority w:val="0"/>
    <w:qFormat/>
    <w:rPr>
      <w:rFonts w:ascii="Times New Roman" w:hAnsi="Times New Roman" w:eastAsia="宋体" w:cs="Times New Roman"/>
      <w:b/>
      <w:bCs/>
      <w:sz w:val="32"/>
      <w:szCs w:val="32"/>
    </w:rPr>
  </w:style>
  <w:style w:type="character" w:styleId="972" w:customStyle="1">
    <w:name w:val="标题 4 Char"/>
    <w:link w:val="960"/>
    <w:uiPriority w:val="0"/>
    <w:qFormat/>
    <w:rPr>
      <w:rFonts w:ascii="Arial" w:hAnsi="Arial" w:eastAsia="黑体" w:cs="Arial"/>
      <w:b/>
      <w:bCs/>
      <w:sz w:val="28"/>
      <w:szCs w:val="28"/>
    </w:rPr>
  </w:style>
  <w:style w:type="character" w:styleId="973" w:customStyle="1">
    <w:name w:val="标题 5 Char"/>
    <w:link w:val="961"/>
    <w:uiPriority w:val="0"/>
    <w:qFormat/>
    <w:rPr>
      <w:rFonts w:ascii="宋体" w:hAnsi="Times New Roman" w:eastAsia="宋体" w:cs="Times New Roman"/>
      <w:color w:val="000000"/>
      <w:sz w:val="28"/>
      <w:szCs w:val="28"/>
    </w:rPr>
  </w:style>
  <w:style w:type="character" w:styleId="974" w:customStyle="1">
    <w:name w:val="标题 6 Char"/>
    <w:link w:val="962"/>
    <w:uiPriority w:val="0"/>
    <w:qFormat/>
    <w:rPr>
      <w:rFonts w:ascii="Arial" w:hAnsi="Arial" w:eastAsia="黑体" w:cs="Times New Roman"/>
      <w:b/>
      <w:bCs/>
      <w:sz w:val="24"/>
      <w:szCs w:val="24"/>
    </w:rPr>
  </w:style>
  <w:style w:type="character" w:styleId="975" w:customStyle="1">
    <w:name w:val="标题 7 Char"/>
    <w:link w:val="963"/>
    <w:uiPriority w:val="0"/>
    <w:qFormat/>
    <w:rPr>
      <w:rFonts w:ascii="Times New Roman" w:hAnsi="Times New Roman" w:eastAsia="宋体" w:cs="Times New Roman"/>
      <w:b/>
      <w:bCs/>
      <w:sz w:val="24"/>
      <w:szCs w:val="24"/>
    </w:rPr>
  </w:style>
  <w:style w:type="character" w:styleId="976" w:customStyle="1">
    <w:name w:val="标题 8 Char"/>
    <w:link w:val="964"/>
    <w:uiPriority w:val="0"/>
    <w:qFormat/>
    <w:rPr>
      <w:rFonts w:ascii="Arial" w:hAnsi="Arial" w:eastAsia="黑体" w:cs="Times New Roman"/>
      <w:sz w:val="24"/>
      <w:szCs w:val="24"/>
    </w:rPr>
  </w:style>
  <w:style w:type="character" w:styleId="977" w:customStyle="1">
    <w:name w:val="标题 9 Char"/>
    <w:link w:val="965"/>
    <w:uiPriority w:val="0"/>
    <w:qFormat/>
    <w:rPr>
      <w:rFonts w:ascii="Arial" w:hAnsi="Arial" w:eastAsia="黑体" w:cs="Times New Roman"/>
      <w:szCs w:val="21"/>
    </w:rPr>
  </w:style>
  <w:style w:type="paragraph" w:styleId="978" w:customStyle="1">
    <w:name w:val="列表 31"/>
    <w:basedOn w:val="768"/>
    <w:uiPriority w:val="0"/>
    <w:qFormat/>
    <w:pPr>
      <w:ind w:left="100" w:hanging="200"/>
    </w:pPr>
  </w:style>
  <w:style w:type="paragraph" w:styleId="979" w:customStyle="1">
    <w:name w:val="目录 71"/>
    <w:basedOn w:val="768"/>
    <w:next w:val="768"/>
    <w:uiPriority w:val="0"/>
    <w:semiHidden/>
    <w:qFormat/>
    <w:pPr>
      <w:ind w:left="1260"/>
      <w:jc w:val="left"/>
    </w:pPr>
  </w:style>
  <w:style w:type="paragraph" w:styleId="980" w:customStyle="1">
    <w:name w:val="文档结构图1"/>
    <w:basedOn w:val="768"/>
    <w:link w:val="981"/>
    <w:uiPriority w:val="0"/>
    <w:semiHidden/>
    <w:qFormat/>
    <w:pPr>
      <w:shd w:val="clear" w:color="auto" w:fill="000080"/>
    </w:pPr>
    <w:rPr>
      <w:sz w:val="20"/>
    </w:rPr>
  </w:style>
  <w:style w:type="character" w:styleId="981" w:customStyle="1">
    <w:name w:val="文档结构图 Char"/>
    <w:link w:val="980"/>
    <w:uiPriority w:val="0"/>
    <w:semiHidden/>
    <w:qFormat/>
    <w:rPr>
      <w:rFonts w:ascii="Times New Roman" w:hAnsi="Times New Roman" w:eastAsia="宋体" w:cs="Times New Roman"/>
      <w:szCs w:val="21"/>
      <w:shd w:val="clear" w:color="auto" w:fill="000080"/>
    </w:rPr>
  </w:style>
  <w:style w:type="paragraph" w:styleId="982" w:customStyle="1">
    <w:name w:val="批注文字1"/>
    <w:basedOn w:val="768"/>
    <w:link w:val="983"/>
    <w:uiPriority w:val="0"/>
    <w:semiHidden/>
    <w:qFormat/>
    <w:pPr>
      <w:jc w:val="left"/>
    </w:pPr>
    <w:rPr>
      <w:sz w:val="20"/>
    </w:rPr>
  </w:style>
  <w:style w:type="character" w:styleId="983" w:customStyle="1">
    <w:name w:val="批注文字 Char"/>
    <w:link w:val="982"/>
    <w:uiPriority w:val="0"/>
    <w:semiHidden/>
    <w:qFormat/>
    <w:rPr>
      <w:rFonts w:ascii="Times New Roman" w:hAnsi="Times New Roman" w:eastAsia="宋体" w:cs="Times New Roman"/>
      <w:szCs w:val="21"/>
    </w:rPr>
  </w:style>
  <w:style w:type="paragraph" w:styleId="984" w:customStyle="1">
    <w:name w:val="正文文本 31"/>
    <w:basedOn w:val="768"/>
    <w:link w:val="985"/>
    <w:uiPriority w:val="0"/>
    <w:qFormat/>
    <w:rPr>
      <w:rFonts w:ascii="仿宋_GB2312" w:hAnsi="Arial" w:eastAsia="仿宋_GB2312"/>
      <w:sz w:val="32"/>
      <w:szCs w:val="32"/>
    </w:rPr>
  </w:style>
  <w:style w:type="character" w:styleId="985" w:customStyle="1">
    <w:name w:val="正文文本 3 Char"/>
    <w:link w:val="984"/>
    <w:uiPriority w:val="0"/>
    <w:qFormat/>
    <w:rPr>
      <w:rFonts w:ascii="仿宋_GB2312" w:hAnsi="Arial" w:eastAsia="仿宋_GB2312" w:cs="Times New Roman"/>
      <w:sz w:val="32"/>
      <w:szCs w:val="32"/>
    </w:rPr>
  </w:style>
  <w:style w:type="paragraph" w:styleId="986" w:customStyle="1">
    <w:name w:val="正文文本1"/>
    <w:basedOn w:val="768"/>
    <w:link w:val="987"/>
    <w:uiPriority w:val="0"/>
    <w:qFormat/>
    <w:rPr>
      <w:rFonts w:ascii="楷体_GB2312" w:hAnsi="Arial" w:eastAsia="楷体_GB2312"/>
      <w:sz w:val="28"/>
      <w:szCs w:val="28"/>
    </w:rPr>
  </w:style>
  <w:style w:type="character" w:styleId="987" w:customStyle="1">
    <w:name w:val="正文文本 Char"/>
    <w:link w:val="986"/>
    <w:uiPriority w:val="0"/>
    <w:qFormat/>
    <w:rPr>
      <w:rFonts w:ascii="楷体_GB2312" w:hAnsi="Arial" w:eastAsia="楷体_GB2312" w:cs="Times New Roman"/>
      <w:sz w:val="28"/>
      <w:szCs w:val="28"/>
    </w:rPr>
  </w:style>
  <w:style w:type="paragraph" w:styleId="988" w:customStyle="1">
    <w:name w:val="正文文本缩进1"/>
    <w:basedOn w:val="768"/>
    <w:link w:val="989"/>
    <w:uiPriority w:val="0"/>
    <w:qFormat/>
    <w:pPr>
      <w:ind w:firstLine="645"/>
    </w:pPr>
    <w:rPr>
      <w:rFonts w:ascii="楷体_GB2312" w:eastAsia="楷体_GB2312"/>
      <w:sz w:val="32"/>
      <w:szCs w:val="32"/>
    </w:rPr>
  </w:style>
  <w:style w:type="character" w:styleId="989" w:customStyle="1">
    <w:name w:val="正文文本缩进 Char"/>
    <w:link w:val="988"/>
    <w:uiPriority w:val="0"/>
    <w:qFormat/>
    <w:rPr>
      <w:rFonts w:ascii="楷体_GB2312" w:hAnsi="Times New Roman" w:eastAsia="楷体_GB2312" w:cs="Times New Roman"/>
      <w:sz w:val="32"/>
      <w:szCs w:val="32"/>
    </w:rPr>
  </w:style>
  <w:style w:type="paragraph" w:styleId="990" w:customStyle="1">
    <w:name w:val="列表 21"/>
    <w:basedOn w:val="768"/>
    <w:uiPriority w:val="0"/>
    <w:qFormat/>
    <w:pPr>
      <w:ind w:left="100" w:hanging="200"/>
    </w:pPr>
  </w:style>
  <w:style w:type="paragraph" w:styleId="991" w:customStyle="1">
    <w:name w:val="目录 51"/>
    <w:basedOn w:val="768"/>
    <w:next w:val="768"/>
    <w:uiPriority w:val="0"/>
    <w:semiHidden/>
    <w:qFormat/>
    <w:pPr>
      <w:ind w:left="840"/>
      <w:jc w:val="left"/>
    </w:pPr>
  </w:style>
  <w:style w:type="paragraph" w:styleId="992" w:customStyle="1">
    <w:name w:val="目录 31"/>
    <w:basedOn w:val="768"/>
    <w:next w:val="768"/>
    <w:uiPriority w:val="0"/>
    <w:semiHidden/>
    <w:qFormat/>
    <w:pPr>
      <w:ind w:left="420"/>
      <w:jc w:val="left"/>
    </w:pPr>
    <w:rPr>
      <w:i/>
      <w:iCs/>
      <w:szCs w:val="24"/>
    </w:rPr>
  </w:style>
  <w:style w:type="paragraph" w:styleId="993" w:customStyle="1">
    <w:name w:val="纯文本1"/>
    <w:basedOn w:val="768"/>
    <w:link w:val="994"/>
    <w:uiPriority w:val="0"/>
    <w:qFormat/>
    <w:rPr>
      <w:rFonts w:ascii="宋体" w:hAnsi="Courier New"/>
      <w:sz w:val="20"/>
    </w:rPr>
  </w:style>
  <w:style w:type="character" w:styleId="994" w:customStyle="1">
    <w:name w:val="纯文本 Char"/>
    <w:link w:val="993"/>
    <w:uiPriority w:val="0"/>
    <w:qFormat/>
    <w:rPr>
      <w:rFonts w:ascii="宋体" w:hAnsi="Courier New" w:eastAsia="宋体" w:cs="Courier New"/>
      <w:szCs w:val="21"/>
    </w:rPr>
  </w:style>
  <w:style w:type="paragraph" w:styleId="995" w:customStyle="1">
    <w:name w:val="目录 81"/>
    <w:basedOn w:val="768"/>
    <w:next w:val="768"/>
    <w:uiPriority w:val="0"/>
    <w:semiHidden/>
    <w:qFormat/>
    <w:pPr>
      <w:ind w:left="1470"/>
      <w:jc w:val="left"/>
    </w:pPr>
  </w:style>
  <w:style w:type="paragraph" w:styleId="996" w:customStyle="1">
    <w:name w:val="日期1"/>
    <w:basedOn w:val="768"/>
    <w:next w:val="768"/>
    <w:link w:val="997"/>
    <w:uiPriority w:val="0"/>
    <w:qFormat/>
    <w:rPr>
      <w:sz w:val="24"/>
      <w:szCs w:val="24"/>
    </w:rPr>
  </w:style>
  <w:style w:type="character" w:styleId="997" w:customStyle="1">
    <w:name w:val="日期 Char"/>
    <w:link w:val="996"/>
    <w:uiPriority w:val="0"/>
    <w:qFormat/>
    <w:rPr>
      <w:rFonts w:ascii="Times New Roman" w:hAnsi="Times New Roman" w:eastAsia="宋体" w:cs="Times New Roman"/>
      <w:sz w:val="24"/>
      <w:szCs w:val="24"/>
    </w:rPr>
  </w:style>
  <w:style w:type="paragraph" w:styleId="998" w:customStyle="1">
    <w:name w:val="正文文本缩进 21"/>
    <w:basedOn w:val="768"/>
    <w:link w:val="999"/>
    <w:uiPriority w:val="0"/>
    <w:qFormat/>
    <w:pPr>
      <w:ind w:left="630" w:firstLine="645"/>
    </w:pPr>
    <w:rPr>
      <w:rFonts w:ascii="Arial" w:hAnsi="Arial" w:eastAsia="仿宋_GB2312"/>
      <w:sz w:val="32"/>
      <w:szCs w:val="32"/>
    </w:rPr>
  </w:style>
  <w:style w:type="character" w:styleId="999" w:customStyle="1">
    <w:name w:val="正文文本缩进 2 Char"/>
    <w:link w:val="998"/>
    <w:uiPriority w:val="0"/>
    <w:qFormat/>
    <w:rPr>
      <w:rFonts w:ascii="Arial" w:hAnsi="Arial" w:eastAsia="仿宋_GB2312" w:cs="Arial"/>
      <w:sz w:val="32"/>
      <w:szCs w:val="32"/>
    </w:rPr>
  </w:style>
  <w:style w:type="paragraph" w:styleId="1000" w:customStyle="1">
    <w:name w:val="批注框文本1"/>
    <w:basedOn w:val="768"/>
    <w:link w:val="1001"/>
    <w:uiPriority w:val="0"/>
    <w:semiHidden/>
    <w:qFormat/>
    <w:rPr>
      <w:sz w:val="18"/>
      <w:szCs w:val="18"/>
    </w:rPr>
  </w:style>
  <w:style w:type="character" w:styleId="1001" w:customStyle="1">
    <w:name w:val="批注框文本 Char"/>
    <w:link w:val="1000"/>
    <w:uiPriority w:val="0"/>
    <w:semiHidden/>
    <w:qFormat/>
    <w:rPr>
      <w:rFonts w:ascii="Times New Roman" w:hAnsi="Times New Roman" w:eastAsia="宋体" w:cs="Times New Roman"/>
      <w:sz w:val="18"/>
      <w:szCs w:val="18"/>
    </w:rPr>
  </w:style>
  <w:style w:type="paragraph" w:styleId="1002" w:customStyle="1">
    <w:name w:val="页脚1"/>
    <w:basedOn w:val="768"/>
    <w:link w:val="1003"/>
    <w:uiPriority w:val="0"/>
    <w:qFormat/>
    <w:pPr>
      <w:jc w:val="left"/>
      <w:tabs>
        <w:tab w:val="center" w:pos="4153" w:leader="none"/>
        <w:tab w:val="right" w:pos="8306" w:leader="none"/>
      </w:tabs>
    </w:pPr>
    <w:rPr>
      <w:sz w:val="18"/>
      <w:szCs w:val="18"/>
    </w:rPr>
  </w:style>
  <w:style w:type="character" w:styleId="1003" w:customStyle="1">
    <w:name w:val="页脚 Char"/>
    <w:link w:val="1002"/>
    <w:uiPriority w:val="0"/>
    <w:qFormat/>
    <w:rPr>
      <w:rFonts w:ascii="Times New Roman" w:hAnsi="Times New Roman" w:eastAsia="宋体" w:cs="Times New Roman"/>
      <w:sz w:val="18"/>
      <w:szCs w:val="18"/>
    </w:rPr>
  </w:style>
  <w:style w:type="paragraph" w:styleId="1004" w:customStyle="1">
    <w:name w:val="页眉1"/>
    <w:basedOn w:val="768"/>
    <w:link w:val="1005"/>
    <w:uiPriority w:val="99"/>
    <w:qFormat/>
    <w:pPr>
      <w:jc w:val="center"/>
      <w:tabs>
        <w:tab w:val="center" w:pos="4153" w:leader="none"/>
        <w:tab w:val="right" w:pos="8306" w:leader="none"/>
      </w:tabs>
      <w:pBdr>
        <w:bottom w:val="single" w:color="000000" w:sz="6" w:space="1"/>
      </w:pBdr>
    </w:pPr>
    <w:rPr>
      <w:sz w:val="18"/>
      <w:szCs w:val="18"/>
    </w:rPr>
  </w:style>
  <w:style w:type="character" w:styleId="1005" w:customStyle="1">
    <w:name w:val="页眉 Char"/>
    <w:link w:val="1004"/>
    <w:uiPriority w:val="99"/>
    <w:qFormat/>
    <w:rPr>
      <w:rFonts w:ascii="Times New Roman" w:hAnsi="Times New Roman" w:eastAsia="宋体" w:cs="Times New Roman"/>
      <w:sz w:val="18"/>
      <w:szCs w:val="18"/>
    </w:rPr>
  </w:style>
  <w:style w:type="paragraph" w:styleId="1006" w:customStyle="1">
    <w:name w:val="目录 11"/>
    <w:basedOn w:val="768"/>
    <w:next w:val="768"/>
    <w:uiPriority w:val="0"/>
    <w:semiHidden/>
    <w:qFormat/>
    <w:pPr>
      <w:jc w:val="left"/>
      <w:spacing w:before="120" w:after="120" w:line="400" w:lineRule="exact"/>
      <w:tabs>
        <w:tab w:val="right" w:pos="8720" w:leader="dot"/>
      </w:tabs>
    </w:pPr>
    <w:rPr>
      <w:rFonts w:ascii="宋体" w:hAnsi="宋体"/>
      <w:caps/>
      <w:sz w:val="24"/>
      <w:szCs w:val="24"/>
    </w:rPr>
  </w:style>
  <w:style w:type="paragraph" w:styleId="1007" w:customStyle="1">
    <w:name w:val="目录 41"/>
    <w:basedOn w:val="768"/>
    <w:next w:val="768"/>
    <w:uiPriority w:val="0"/>
    <w:semiHidden/>
    <w:qFormat/>
    <w:pPr>
      <w:ind w:left="630"/>
      <w:jc w:val="left"/>
    </w:pPr>
  </w:style>
  <w:style w:type="paragraph" w:styleId="1008" w:customStyle="1">
    <w:name w:val="列表1"/>
    <w:basedOn w:val="768"/>
    <w:uiPriority w:val="0"/>
    <w:qFormat/>
    <w:pPr>
      <w:ind w:left="200" w:hanging="200"/>
    </w:pPr>
  </w:style>
  <w:style w:type="paragraph" w:styleId="1009" w:customStyle="1">
    <w:name w:val="目录 61"/>
    <w:basedOn w:val="768"/>
    <w:next w:val="768"/>
    <w:uiPriority w:val="0"/>
    <w:semiHidden/>
    <w:qFormat/>
    <w:pPr>
      <w:ind w:left="1050"/>
      <w:jc w:val="left"/>
    </w:pPr>
  </w:style>
  <w:style w:type="paragraph" w:styleId="1010" w:customStyle="1">
    <w:name w:val="正文文本缩进 31"/>
    <w:basedOn w:val="768"/>
    <w:link w:val="1011"/>
    <w:uiPriority w:val="0"/>
    <w:qFormat/>
    <w:pPr>
      <w:ind w:left="645" w:firstLine="645"/>
    </w:pPr>
    <w:rPr>
      <w:rFonts w:ascii="Arial" w:hAnsi="Arial" w:eastAsia="仿宋_GB2312"/>
      <w:color w:val="ffff00"/>
      <w:sz w:val="32"/>
      <w:szCs w:val="32"/>
    </w:rPr>
  </w:style>
  <w:style w:type="character" w:styleId="1011" w:customStyle="1">
    <w:name w:val="正文文本缩进 3 Char"/>
    <w:link w:val="1010"/>
    <w:uiPriority w:val="0"/>
    <w:qFormat/>
    <w:rPr>
      <w:rFonts w:ascii="Arial" w:hAnsi="Arial" w:eastAsia="仿宋_GB2312" w:cs="Arial"/>
      <w:color w:val="ffff00"/>
      <w:sz w:val="32"/>
      <w:szCs w:val="32"/>
    </w:rPr>
  </w:style>
  <w:style w:type="paragraph" w:styleId="1012" w:customStyle="1">
    <w:name w:val="图表目录1"/>
    <w:basedOn w:val="768"/>
    <w:next w:val="768"/>
    <w:uiPriority w:val="0"/>
    <w:semiHidden/>
    <w:qFormat/>
    <w:pPr>
      <w:ind w:left="840" w:hanging="420"/>
    </w:pPr>
  </w:style>
  <w:style w:type="paragraph" w:styleId="1013" w:customStyle="1">
    <w:name w:val="目录 21"/>
    <w:basedOn w:val="768"/>
    <w:next w:val="768"/>
    <w:uiPriority w:val="0"/>
    <w:semiHidden/>
    <w:qFormat/>
    <w:pPr>
      <w:ind w:left="210"/>
      <w:jc w:val="left"/>
    </w:pPr>
    <w:rPr>
      <w:smallCaps/>
      <w:szCs w:val="24"/>
    </w:rPr>
  </w:style>
  <w:style w:type="paragraph" w:styleId="1014" w:customStyle="1">
    <w:name w:val="目录 91"/>
    <w:basedOn w:val="768"/>
    <w:next w:val="768"/>
    <w:uiPriority w:val="0"/>
    <w:semiHidden/>
    <w:qFormat/>
    <w:pPr>
      <w:ind w:left="1680"/>
      <w:jc w:val="left"/>
    </w:pPr>
  </w:style>
  <w:style w:type="paragraph" w:styleId="1015" w:customStyle="1">
    <w:name w:val="正文文本 21"/>
    <w:basedOn w:val="768"/>
    <w:link w:val="1016"/>
    <w:uiPriority w:val="0"/>
    <w:qFormat/>
    <w:pPr>
      <w:jc w:val="center"/>
      <w:widowControl/>
    </w:pPr>
    <w:rPr>
      <w:rFonts w:ascii="楷体_GB2312" w:eastAsia="楷体_GB2312"/>
      <w:sz w:val="28"/>
      <w:szCs w:val="28"/>
    </w:rPr>
  </w:style>
  <w:style w:type="character" w:styleId="1016" w:customStyle="1">
    <w:name w:val="正文文本 2 Char"/>
    <w:link w:val="1015"/>
    <w:uiPriority w:val="0"/>
    <w:qFormat/>
    <w:rPr>
      <w:rFonts w:ascii="楷体_GB2312" w:hAnsi="Times New Roman" w:eastAsia="楷体_GB2312" w:cs="Times New Roman"/>
      <w:sz w:val="28"/>
      <w:szCs w:val="28"/>
    </w:rPr>
  </w:style>
  <w:style w:type="paragraph" w:styleId="1017" w:customStyle="1">
    <w:name w:val="HTML 预设格式1"/>
    <w:basedOn w:val="768"/>
    <w:link w:val="101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1018" w:customStyle="1">
    <w:name w:val="HTML 预设格式 Char"/>
    <w:basedOn w:val="966"/>
    <w:link w:val="1017"/>
    <w:uiPriority w:val="99"/>
    <w:semiHidden/>
    <w:qFormat/>
    <w:rPr>
      <w:rFonts w:ascii="宋体" w:hAnsi="宋体" w:cs="宋体"/>
      <w:sz w:val="24"/>
      <w:szCs w:val="24"/>
    </w:rPr>
  </w:style>
  <w:style w:type="paragraph" w:styleId="1019" w:customStyle="1">
    <w:name w:val="普通(网站)1"/>
    <w:basedOn w:val="768"/>
    <w:uiPriority w:val="99"/>
    <w:qFormat/>
    <w:pPr>
      <w:jc w:val="left"/>
      <w:spacing w:before="100" w:beforeAutospacing="1" w:after="100" w:afterAutospacing="1"/>
      <w:widowControl/>
    </w:pPr>
    <w:rPr>
      <w:rFonts w:ascii="宋体" w:hAnsi="宋体" w:cs="宋体"/>
      <w:sz w:val="24"/>
      <w:szCs w:val="24"/>
    </w:rPr>
  </w:style>
  <w:style w:type="paragraph" w:styleId="1020" w:customStyle="1">
    <w:name w:val="索引 11"/>
    <w:basedOn w:val="768"/>
    <w:next w:val="768"/>
    <w:uiPriority w:val="0"/>
    <w:semiHidden/>
    <w:qFormat/>
    <w:pPr>
      <w:spacing w:line="240" w:lineRule="atLeast"/>
    </w:pPr>
    <w:rPr>
      <w:b/>
      <w:bCs/>
    </w:rPr>
  </w:style>
  <w:style w:type="paragraph" w:styleId="1021" w:customStyle="1">
    <w:name w:val="批注主题1"/>
    <w:basedOn w:val="982"/>
    <w:next w:val="982"/>
    <w:link w:val="1022"/>
    <w:uiPriority w:val="0"/>
    <w:semiHidden/>
    <w:qFormat/>
    <w:rPr>
      <w:b/>
      <w:bCs/>
    </w:rPr>
  </w:style>
  <w:style w:type="character" w:styleId="1022" w:customStyle="1">
    <w:name w:val="批注主题 Char"/>
    <w:link w:val="1021"/>
    <w:uiPriority w:val="0"/>
    <w:semiHidden/>
    <w:qFormat/>
    <w:rPr>
      <w:rFonts w:ascii="Times New Roman" w:hAnsi="Times New Roman" w:eastAsia="宋体" w:cs="Times New Roman"/>
      <w:b/>
      <w:bCs/>
      <w:szCs w:val="21"/>
    </w:rPr>
  </w:style>
  <w:style w:type="paragraph" w:styleId="1023" w:customStyle="1">
    <w:name w:val="正文首行缩进1"/>
    <w:basedOn w:val="768"/>
    <w:link w:val="1024"/>
    <w:uiPriority w:val="0"/>
    <w:qFormat/>
    <w:pPr>
      <w:ind w:firstLine="200"/>
      <w:spacing w:line="360" w:lineRule="auto"/>
    </w:pPr>
    <w:rPr>
      <w:rFonts w:ascii="仿宋_GB2312" w:eastAsia="仿宋_GB2312"/>
      <w:sz w:val="30"/>
      <w:szCs w:val="30"/>
    </w:rPr>
  </w:style>
  <w:style w:type="character" w:styleId="1024" w:customStyle="1">
    <w:name w:val="正文首行缩进 Char"/>
    <w:link w:val="1023"/>
    <w:uiPriority w:val="0"/>
    <w:qFormat/>
    <w:rPr>
      <w:rFonts w:ascii="仿宋_GB2312" w:hAnsi="Times New Roman" w:eastAsia="仿宋_GB2312" w:cs="Times New Roman"/>
      <w:sz w:val="30"/>
      <w:szCs w:val="30"/>
    </w:rPr>
  </w:style>
  <w:style w:type="paragraph" w:styleId="1025" w:customStyle="1">
    <w:name w:val="正文首行缩进 21"/>
    <w:basedOn w:val="988"/>
    <w:link w:val="1026"/>
    <w:uiPriority w:val="0"/>
    <w:qFormat/>
    <w:pPr>
      <w:ind w:firstLine="420"/>
      <w:spacing w:line="360" w:lineRule="auto"/>
    </w:pPr>
    <w:rPr>
      <w:rFonts w:ascii="宋体" w:hAnsi="宋体" w:eastAsia="宋体"/>
      <w:szCs w:val="20"/>
    </w:rPr>
  </w:style>
  <w:style w:type="character" w:styleId="1026" w:customStyle="1">
    <w:name w:val="正文首行缩进 2 Char"/>
    <w:link w:val="1025"/>
    <w:uiPriority w:val="0"/>
    <w:qFormat/>
    <w:rPr>
      <w:rFonts w:ascii="宋体" w:hAnsi="宋体" w:eastAsia="宋体" w:cs="Times New Roman"/>
      <w:sz w:val="32"/>
      <w:szCs w:val="20"/>
    </w:rPr>
  </w:style>
  <w:style w:type="table" w:styleId="1027" w:customStyle="1">
    <w:name w:val="网格型1"/>
    <w:basedOn w:val="967"/>
    <w:uiPriority w:val="0"/>
    <w:qFormat/>
    <w:pPr>
      <w:jc w:val="both"/>
      <w:widowControl w:val="off"/>
    </w:pPr>
    <w:rPr>
      <w:rFonts w:ascii="Times New Roman" w:hAnsi="Times New Roman" w:eastAsia="宋体" w:cs="Times New Roman"/>
      <w:sz w:val="20"/>
      <w:szCs w:val="20"/>
    </w:rPr>
    <w:tblPr/>
  </w:style>
  <w:style w:type="character" w:styleId="1028" w:customStyle="1">
    <w:name w:val="要点1"/>
    <w:link w:val="768"/>
    <w:uiPriority w:val="0"/>
    <w:qFormat/>
    <w:rPr>
      <w:b/>
      <w:bCs/>
    </w:rPr>
  </w:style>
  <w:style w:type="character" w:styleId="1029" w:customStyle="1">
    <w:name w:val="页码1"/>
    <w:link w:val="768"/>
    <w:uiPriority w:val="0"/>
    <w:qFormat/>
  </w:style>
  <w:style w:type="character" w:styleId="1030" w:customStyle="1">
    <w:name w:val="已访问的超链接1"/>
    <w:link w:val="768"/>
    <w:uiPriority w:val="0"/>
    <w:qFormat/>
    <w:rPr>
      <w:color w:val="800080"/>
      <w:u w:val="single"/>
    </w:rPr>
  </w:style>
  <w:style w:type="character" w:styleId="1031" w:customStyle="1">
    <w:name w:val="HTML 打字机1"/>
    <w:link w:val="768"/>
    <w:uiPriority w:val="99"/>
    <w:qFormat/>
    <w:rPr>
      <w:rFonts w:ascii="宋体" w:hAnsi="宋体" w:eastAsia="宋体" w:cs="宋体"/>
      <w:sz w:val="24"/>
      <w:szCs w:val="24"/>
    </w:rPr>
  </w:style>
  <w:style w:type="character" w:styleId="1032" w:customStyle="1">
    <w:name w:val="超链接1"/>
    <w:link w:val="768"/>
    <w:uiPriority w:val="0"/>
    <w:qFormat/>
    <w:rPr>
      <w:color w:val="0000ff"/>
      <w:u w:val="single"/>
    </w:rPr>
  </w:style>
  <w:style w:type="character" w:styleId="1033" w:customStyle="1">
    <w:name w:val="批注引用1"/>
    <w:link w:val="768"/>
    <w:uiPriority w:val="0"/>
    <w:semiHidden/>
    <w:qFormat/>
    <w:rPr>
      <w:sz w:val="21"/>
      <w:szCs w:val="21"/>
    </w:rPr>
  </w:style>
  <w:style w:type="character" w:styleId="1034" w:customStyle="1">
    <w:name w:val="font5 Char"/>
    <w:link w:val="768"/>
    <w:uiPriority w:val="0"/>
    <w:qFormat/>
    <w:rPr>
      <w:rFonts w:ascii="宋体" w:hAnsi="宋体" w:eastAsia="宋体"/>
      <w:sz w:val="28"/>
      <w:szCs w:val="28"/>
      <w:lang w:val="en-US" w:eastAsia="zh-CN" w:bidi="ar-SA"/>
    </w:rPr>
  </w:style>
  <w:style w:type="character" w:styleId="1035" w:customStyle="1">
    <w:name w:val="二级目录 Char"/>
    <w:link w:val="1036"/>
    <w:uiPriority w:val="0"/>
    <w:qFormat/>
    <w:rPr>
      <w:b/>
      <w:sz w:val="30"/>
      <w:szCs w:val="28"/>
      <w:lang w:val="en-US" w:eastAsia="zh-CN" w:bidi="ar-SA"/>
    </w:rPr>
  </w:style>
  <w:style w:type="paragraph" w:styleId="1036" w:customStyle="1">
    <w:name w:val="二级目录"/>
    <w:next w:val="768"/>
    <w:link w:val="1035"/>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037" w:customStyle="1">
    <w:name w:val="列出段落 Char"/>
    <w:link w:val="1038"/>
    <w:uiPriority w:val="0"/>
    <w:qFormat/>
    <w:rPr>
      <w:rFonts w:ascii="Calibri" w:hAnsi="Calibri"/>
      <w:sz w:val="24"/>
      <w:szCs w:val="24"/>
      <w:lang w:eastAsia="en-US" w:bidi="en-US"/>
    </w:rPr>
  </w:style>
  <w:style w:type="paragraph" w:styleId="1038" w:customStyle="1">
    <w:name w:val="列出段落1"/>
    <w:basedOn w:val="768"/>
    <w:link w:val="1037"/>
    <w:uiPriority w:val="0"/>
    <w:qFormat/>
    <w:pPr>
      <w:contextualSpacing/>
      <w:ind w:left="720"/>
      <w:jc w:val="left"/>
      <w:widowControl/>
    </w:pPr>
    <w:rPr>
      <w:rFonts w:ascii="Calibri" w:hAnsi="Calibri"/>
      <w:sz w:val="24"/>
      <w:szCs w:val="24"/>
      <w:lang w:eastAsia="en-US" w:bidi="en-US"/>
    </w:rPr>
  </w:style>
  <w:style w:type="paragraph" w:styleId="1039" w:customStyle="1">
    <w:name w:val="Body Text(ch)"/>
    <w:basedOn w:val="768"/>
    <w:next w:val="986"/>
    <w:uiPriority w:val="0"/>
    <w:qFormat/>
    <w:pPr>
      <w:spacing w:after="120"/>
    </w:pPr>
    <w:rPr>
      <w:rFonts w:ascii="宋体" w:hAnsi="Arial"/>
      <w:bCs/>
      <w:iCs/>
      <w:szCs w:val="24"/>
    </w:rPr>
  </w:style>
  <w:style w:type="paragraph" w:styleId="1040" w:customStyle="1">
    <w:name w:val="xl27"/>
    <w:basedOn w:val="7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1" w:customStyle="1">
    <w:name w:val="xl26"/>
    <w:basedOn w:val="7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2" w:customStyle="1">
    <w:name w:val="Char"/>
    <w:basedOn w:val="768"/>
    <w:uiPriority w:val="0"/>
    <w:qFormat/>
    <w:pPr>
      <w:ind w:firstLine="200"/>
      <w:tabs>
        <w:tab w:val="left" w:pos="360" w:leader="none"/>
      </w:tabs>
    </w:pPr>
    <w:rPr>
      <w:sz w:val="28"/>
      <w:szCs w:val="30"/>
    </w:rPr>
  </w:style>
  <w:style w:type="paragraph" w:styleId="1043" w:customStyle="1">
    <w:name w:val=" Char"/>
    <w:basedOn w:val="980"/>
    <w:uiPriority w:val="0"/>
    <w:qFormat/>
    <w:rPr>
      <w:rFonts w:ascii="Tahoma" w:hAnsi="Tahoma"/>
      <w:sz w:val="24"/>
      <w:szCs w:val="24"/>
    </w:rPr>
  </w:style>
  <w:style w:type="paragraph" w:styleId="1044" w:customStyle="1">
    <w:name w:val="普通正文"/>
    <w:basedOn w:val="768"/>
    <w:uiPriority w:val="0"/>
    <w:qFormat/>
    <w:pPr>
      <w:ind w:firstLine="480"/>
      <w:jc w:val="left"/>
      <w:spacing w:before="120" w:after="120" w:line="360" w:lineRule="auto"/>
    </w:pPr>
    <w:rPr>
      <w:rFonts w:ascii="Arial" w:hAnsi="Arial"/>
      <w:sz w:val="24"/>
      <w:szCs w:val="24"/>
    </w:rPr>
  </w:style>
  <w:style w:type="paragraph" w:styleId="1045" w:customStyle="1">
    <w:name w:val="table_lines"/>
    <w:basedOn w:val="768"/>
    <w:uiPriority w:val="0"/>
    <w:qFormat/>
    <w:pPr>
      <w:jc w:val="left"/>
      <w:widowControl/>
    </w:pPr>
    <w:rPr>
      <w:sz w:val="20"/>
      <w:szCs w:val="20"/>
      <w:lang w:val="de-DE" w:eastAsia="de-DE"/>
    </w:rPr>
  </w:style>
  <w:style w:type="paragraph" w:styleId="104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47" w:customStyle="1">
    <w:name w:val="font7"/>
    <w:basedOn w:val="768"/>
    <w:uiPriority w:val="0"/>
    <w:qFormat/>
    <w:pPr>
      <w:jc w:val="left"/>
      <w:spacing w:before="100" w:beforeAutospacing="1" w:after="100" w:afterAutospacing="1"/>
      <w:widowControl/>
    </w:pPr>
    <w:rPr>
      <w:rFonts w:hint="eastAsia" w:ascii="宋体" w:hAnsi="宋体"/>
      <w:sz w:val="18"/>
      <w:szCs w:val="18"/>
    </w:rPr>
  </w:style>
  <w:style w:type="paragraph" w:styleId="1048" w:customStyle="1">
    <w:name w:val=" Char Char Char Char"/>
    <w:basedOn w:val="980"/>
    <w:uiPriority w:val="0"/>
    <w:qFormat/>
    <w:pPr>
      <w:spacing w:line="360" w:lineRule="auto"/>
    </w:pPr>
    <w:rPr>
      <w:rFonts w:ascii="Tahoma" w:hAnsi="Tahoma"/>
      <w:sz w:val="24"/>
      <w:szCs w:val="24"/>
    </w:rPr>
  </w:style>
  <w:style w:type="paragraph" w:styleId="1049" w:customStyle="1">
    <w:name w:val="列出段落"/>
    <w:basedOn w:val="768"/>
    <w:uiPriority w:val="99"/>
    <w:qFormat/>
    <w:pPr>
      <w:contextualSpacing/>
      <w:ind w:left="720"/>
      <w:jc w:val="left"/>
      <w:widowControl/>
    </w:pPr>
    <w:rPr>
      <w:rFonts w:ascii="Calibri" w:hAnsi="Calibri"/>
      <w:sz w:val="24"/>
      <w:szCs w:val="24"/>
      <w:lang w:eastAsia="en-US" w:bidi="en-US"/>
    </w:rPr>
  </w:style>
  <w:style w:type="paragraph" w:styleId="1050" w:customStyle="1">
    <w:name w:val="4"/>
    <w:basedOn w:val="768"/>
    <w:next w:val="1010"/>
    <w:uiPriority w:val="0"/>
    <w:qFormat/>
    <w:pPr>
      <w:ind w:firstLine="420"/>
      <w:spacing w:line="360" w:lineRule="auto"/>
    </w:pPr>
    <w:rPr>
      <w:color w:val="ff0000"/>
      <w:sz w:val="24"/>
      <w:szCs w:val="24"/>
    </w:rPr>
  </w:style>
  <w:style w:type="paragraph" w:styleId="1051" w:customStyle="1">
    <w:name w:val="普通 (Web)"/>
    <w:basedOn w:val="768"/>
    <w:uiPriority w:val="0"/>
    <w:qFormat/>
    <w:pPr>
      <w:jc w:val="left"/>
      <w:spacing w:before="100" w:beforeAutospacing="1" w:after="100" w:afterAutospacing="1"/>
      <w:widowControl/>
    </w:pPr>
    <w:rPr>
      <w:rFonts w:ascii="宋体" w:hAnsi="宋体"/>
      <w:sz w:val="24"/>
      <w:szCs w:val="24"/>
    </w:rPr>
  </w:style>
  <w:style w:type="paragraph" w:styleId="1052" w:customStyle="1">
    <w:name w:val=" Char Char Char Char Char Char Char Char Char Char"/>
    <w:basedOn w:val="768"/>
    <w:uiPriority w:val="0"/>
    <w:qFormat/>
    <w:pPr>
      <w:spacing w:line="360" w:lineRule="auto"/>
    </w:pPr>
    <w:rPr>
      <w:sz w:val="24"/>
      <w:szCs w:val="20"/>
    </w:rPr>
  </w:style>
  <w:style w:type="paragraph" w:styleId="1053" w:customStyle="1">
    <w:name w:val="样式1"/>
    <w:basedOn w:val="768"/>
    <w:uiPriority w:val="0"/>
    <w:qFormat/>
    <w:pPr>
      <w:numPr>
        <w:ilvl w:val="0"/>
        <w:numId w:val="3"/>
      </w:numPr>
    </w:pPr>
    <w:rPr>
      <w:rFonts w:ascii="宋体" w:hAnsi="宋体"/>
    </w:rPr>
  </w:style>
  <w:style w:type="paragraph" w:styleId="1054" w:customStyle="1">
    <w:name w:val="font6"/>
    <w:basedOn w:val="768"/>
    <w:uiPriority w:val="0"/>
    <w:qFormat/>
    <w:pPr>
      <w:jc w:val="left"/>
      <w:spacing w:before="100" w:beforeAutospacing="1" w:after="100" w:afterAutospacing="1"/>
      <w:widowControl/>
    </w:pPr>
    <w:rPr>
      <w:rFonts w:hint="eastAsia" w:ascii="宋体" w:hAnsi="宋体"/>
      <w:sz w:val="28"/>
      <w:szCs w:val="28"/>
      <w:u w:val="single"/>
    </w:rPr>
  </w:style>
  <w:style w:type="paragraph" w:styleId="1055" w:customStyle="1">
    <w:name w:val="xl25"/>
    <w:basedOn w:val="76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6" w:customStyle="1">
    <w:name w:val="图标"/>
    <w:basedOn w:val="768"/>
    <w:next w:val="76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7" w:customStyle="1">
    <w:name w:val="标题3"/>
    <w:basedOn w:val="768"/>
    <w:next w:val="768"/>
    <w:uiPriority w:val="0"/>
    <w:qFormat/>
    <w:pPr>
      <w:ind w:firstLine="624"/>
      <w:spacing w:line="590" w:lineRule="atLeast"/>
    </w:pPr>
    <w:rPr>
      <w:rFonts w:ascii="方正黑体_GBK" w:eastAsia="方正黑体_GBK"/>
      <w:sz w:val="32"/>
      <w:szCs w:val="32"/>
    </w:rPr>
  </w:style>
  <w:style w:type="paragraph" w:styleId="1058" w:customStyle="1">
    <w:name w:val="xl24"/>
    <w:basedOn w:val="7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9" w:customStyle="1">
    <w:name w:val="xl29"/>
    <w:basedOn w:val="76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0" w:customStyle="1">
    <w:name w:val="Char Char Char Char Char Char Char Char"/>
    <w:basedOn w:val="768"/>
    <w:uiPriority w:val="0"/>
    <w:qFormat/>
    <w:pPr>
      <w:jc w:val="left"/>
      <w:spacing w:after="160" w:line="240" w:lineRule="exact"/>
      <w:widowControl/>
    </w:pPr>
    <w:rPr>
      <w:rFonts w:ascii="Verdana" w:hAnsi="Verdana"/>
      <w:sz w:val="20"/>
      <w:szCs w:val="20"/>
      <w:lang w:eastAsia="en-US"/>
    </w:rPr>
  </w:style>
  <w:style w:type="paragraph" w:styleId="1061" w:customStyle="1">
    <w:name w:val="xl28"/>
    <w:basedOn w:val="76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2" w:customStyle="1">
    <w:name w:val=" Char Char Char Char Char Char Char Char"/>
    <w:basedOn w:val="768"/>
    <w:uiPriority w:val="0"/>
    <w:qFormat/>
    <w:pPr>
      <w:jc w:val="left"/>
      <w:spacing w:after="160" w:line="240" w:lineRule="exact"/>
      <w:widowControl/>
    </w:pPr>
    <w:rPr>
      <w:rFonts w:ascii="Verdana" w:hAnsi="Verdana"/>
      <w:sz w:val="20"/>
      <w:szCs w:val="20"/>
      <w:lang w:eastAsia="en-US"/>
    </w:rPr>
  </w:style>
  <w:style w:type="paragraph" w:styleId="1063" w:customStyle="1">
    <w:name w:val="xl30"/>
    <w:basedOn w:val="768"/>
    <w:uiPriority w:val="0"/>
    <w:qFormat/>
    <w:pPr>
      <w:jc w:val="center"/>
      <w:spacing w:before="100" w:beforeAutospacing="1" w:after="100" w:afterAutospacing="1"/>
      <w:widowControl/>
    </w:pPr>
    <w:rPr>
      <w:rFonts w:ascii="宋体" w:hAnsi="宋体"/>
      <w:b/>
      <w:bCs/>
      <w:sz w:val="36"/>
      <w:szCs w:val="36"/>
    </w:rPr>
  </w:style>
  <w:style w:type="paragraph" w:styleId="1064" w:customStyle="1">
    <w:name w:val="Char Char Char Char"/>
    <w:basedOn w:val="980"/>
    <w:uiPriority w:val="0"/>
    <w:qFormat/>
    <w:pPr>
      <w:spacing w:line="360" w:lineRule="auto"/>
    </w:pPr>
    <w:rPr>
      <w:rFonts w:ascii="Tahoma" w:hAnsi="Tahoma"/>
      <w:sz w:val="24"/>
      <w:szCs w:val="24"/>
    </w:rPr>
  </w:style>
  <w:style w:type="paragraph" w:styleId="1065" w:customStyle="1">
    <w:name w:val="table_1stline"/>
    <w:basedOn w:val="768"/>
    <w:uiPriority w:val="0"/>
    <w:qFormat/>
    <w:pPr>
      <w:jc w:val="left"/>
      <w:spacing w:before="120"/>
      <w:widowControl/>
    </w:pPr>
    <w:rPr>
      <w:bCs/>
      <w:sz w:val="20"/>
      <w:szCs w:val="20"/>
      <w:lang w:val="de-DE" w:eastAsia="de-DE"/>
    </w:rPr>
  </w:style>
  <w:style w:type="paragraph" w:styleId="1066" w:customStyle="1">
    <w:name w:val="font5"/>
    <w:basedOn w:val="768"/>
    <w:uiPriority w:val="0"/>
    <w:qFormat/>
    <w:pPr>
      <w:jc w:val="left"/>
      <w:spacing w:before="100" w:beforeAutospacing="1" w:after="100" w:afterAutospacing="1"/>
      <w:widowControl/>
    </w:pPr>
    <w:rPr>
      <w:rFonts w:hint="eastAsia" w:ascii="宋体" w:hAnsi="宋体"/>
      <w:sz w:val="28"/>
      <w:szCs w:val="28"/>
    </w:rPr>
  </w:style>
  <w:style w:type="paragraph" w:styleId="1067" w:customStyle="1">
    <w:name w:val="标题1"/>
    <w:basedOn w:val="768"/>
    <w:next w:val="76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6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70" w:customStyle="1">
    <w:name w:val="普通文字"/>
    <w:basedOn w:val="768"/>
    <w:next w:val="768"/>
    <w:uiPriority w:val="99"/>
    <w:qFormat/>
    <w:rPr>
      <w:rFonts w:ascii="宋体" w:hAnsi="Times New Roman" w:eastAsia="宋体" w:cs="Times New Roman"/>
      <w:sz w:val="24"/>
      <w:szCs w:val="20"/>
      <w:u w:val="none"/>
    </w:rPr>
  </w:style>
  <w:style w:type="paragraph" w:styleId="1071" w:customStyle="1">
    <w:name w:val="目录 111"/>
    <w:basedOn w:val="768"/>
    <w:next w:val="768"/>
    <w:uiPriority w:val="39"/>
    <w:unhideWhenUsed/>
    <w:qFormat/>
    <w:pPr>
      <w:jc w:val="left"/>
      <w:spacing w:after="100" w:line="259" w:lineRule="auto"/>
      <w:widowControl/>
    </w:pPr>
    <w:rPr>
      <w:rFonts w:ascii="Calibri" w:hAnsi="Calibri" w:eastAsia="宋体"/>
      <w:sz w:val="22"/>
      <w:szCs w:val="22"/>
    </w:rPr>
  </w:style>
  <w:style w:type="character" w:styleId="1072" w:customStyle="1">
    <w:name w:val="标题 7 Char1"/>
    <w:basedOn w:val="778"/>
    <w:link w:val="775"/>
    <w:uiPriority w:val="0"/>
    <w:qFormat/>
    <w:rPr>
      <w:rFonts w:hint="default" w:ascii="Arial" w:hAnsi="Arial" w:eastAsia="Arial" w:cs="Arial"/>
      <w:b/>
      <w:bCs/>
      <w:i/>
      <w:iCs/>
      <w:sz w:val="22"/>
      <w:szCs w:val="22"/>
    </w:rPr>
  </w:style>
  <w:style w:type="character" w:styleId="1073" w:customStyle="1">
    <w:name w:val="引用 Char"/>
    <w:basedOn w:val="778"/>
    <w:uiPriority w:val="0"/>
    <w:qFormat/>
    <w:rPr>
      <w:i/>
      <w:sz w:val="21"/>
      <w:szCs w:val="21"/>
    </w:rPr>
  </w:style>
  <w:style w:type="character" w:styleId="1074" w:customStyle="1">
    <w:name w:val="标题 2 Char1"/>
    <w:basedOn w:val="778"/>
    <w:link w:val="770"/>
    <w:uiPriority w:val="0"/>
    <w:qFormat/>
    <w:rPr>
      <w:rFonts w:hint="default" w:ascii="Arial" w:hAnsi="Arial" w:eastAsia="Arial" w:cs="Arial"/>
      <w:sz w:val="34"/>
      <w:szCs w:val="21"/>
    </w:rPr>
  </w:style>
  <w:style w:type="character" w:styleId="1075" w:customStyle="1">
    <w:name w:val="批注主题 Char1"/>
    <w:basedOn w:val="778"/>
    <w:link w:val="801"/>
    <w:uiPriority w:val="0"/>
    <w:qFormat/>
    <w:rPr>
      <w:b/>
      <w:bCs/>
      <w:sz w:val="21"/>
      <w:szCs w:val="21"/>
    </w:rPr>
  </w:style>
  <w:style w:type="character" w:styleId="1076" w:customStyle="1">
    <w:name w:val="标题 1 Char1"/>
    <w:basedOn w:val="778"/>
    <w:link w:val="769"/>
    <w:uiPriority w:val="0"/>
    <w:qFormat/>
    <w:rPr>
      <w:rFonts w:hint="default" w:ascii="Arial" w:hAnsi="Arial" w:eastAsia="Arial" w:cs="Arial"/>
      <w:sz w:val="40"/>
      <w:szCs w:val="40"/>
    </w:rPr>
  </w:style>
  <w:style w:type="character" w:styleId="1077" w:customStyle="1">
    <w:name w:val="标题 Char"/>
    <w:basedOn w:val="778"/>
    <w:link w:val="800"/>
    <w:uiPriority w:val="0"/>
    <w:qFormat/>
    <w:rPr>
      <w:sz w:val="48"/>
      <w:szCs w:val="48"/>
    </w:rPr>
  </w:style>
  <w:style w:type="character" w:styleId="1078" w:customStyle="1">
    <w:name w:val="明显引用 Char"/>
    <w:basedOn w:val="778"/>
    <w:uiPriority w:val="0"/>
    <w:qFormat/>
    <w:rPr>
      <w:i/>
      <w:sz w:val="21"/>
      <w:szCs w:val="21"/>
      <w:shd w:val="clear" w:color="auto" w:fill="f2f2f2"/>
    </w:rPr>
  </w:style>
  <w:style w:type="character" w:styleId="1079" w:customStyle="1">
    <w:name w:val="标题 9 Char1"/>
    <w:basedOn w:val="778"/>
    <w:link w:val="777"/>
    <w:uiPriority w:val="0"/>
    <w:qFormat/>
    <w:rPr>
      <w:rFonts w:hint="default" w:ascii="Arial" w:hAnsi="Arial" w:eastAsia="Arial" w:cs="Arial"/>
      <w:i/>
      <w:iCs/>
      <w:sz w:val="21"/>
      <w:szCs w:val="21"/>
    </w:rPr>
  </w:style>
  <w:style w:type="character" w:styleId="1080" w:customStyle="1">
    <w:name w:val="批注文字 Char1"/>
    <w:basedOn w:val="778"/>
    <w:link w:val="782"/>
    <w:uiPriority w:val="0"/>
    <w:qFormat/>
    <w:rPr>
      <w:sz w:val="21"/>
      <w:szCs w:val="21"/>
    </w:rPr>
  </w:style>
  <w:style w:type="character" w:styleId="1081" w:customStyle="1">
    <w:name w:val="尾注文本 Char"/>
    <w:basedOn w:val="778"/>
    <w:link w:val="788"/>
    <w:uiPriority w:val="0"/>
    <w:qFormat/>
    <w:rPr>
      <w:szCs w:val="21"/>
    </w:rPr>
  </w:style>
  <w:style w:type="character" w:styleId="1082" w:customStyle="1">
    <w:name w:val="副标题 Char"/>
    <w:basedOn w:val="778"/>
    <w:link w:val="793"/>
    <w:uiPriority w:val="0"/>
    <w:qFormat/>
    <w:rPr>
      <w:sz w:val="24"/>
      <w:szCs w:val="24"/>
    </w:rPr>
  </w:style>
  <w:style w:type="character" w:styleId="1083" w:customStyle="1">
    <w:name w:val="脚注文本 Char"/>
    <w:basedOn w:val="778"/>
    <w:link w:val="794"/>
    <w:uiPriority w:val="0"/>
    <w:qFormat/>
    <w:rPr>
      <w:sz w:val="18"/>
      <w:szCs w:val="21"/>
    </w:rPr>
  </w:style>
  <w:style w:type="character" w:styleId="1084" w:customStyle="1">
    <w:name w:val="标题 3 Char1"/>
    <w:basedOn w:val="778"/>
    <w:link w:val="771"/>
    <w:uiPriority w:val="0"/>
    <w:qFormat/>
    <w:rPr>
      <w:rFonts w:hint="default" w:ascii="Arial" w:hAnsi="Arial" w:eastAsia="Arial" w:cs="Arial"/>
      <w:sz w:val="30"/>
      <w:szCs w:val="30"/>
    </w:rPr>
  </w:style>
  <w:style w:type="character" w:styleId="1085" w:customStyle="1">
    <w:name w:val="标题 4 Char1"/>
    <w:basedOn w:val="778"/>
    <w:link w:val="772"/>
    <w:uiPriority w:val="0"/>
    <w:qFormat/>
    <w:rPr>
      <w:rFonts w:hint="default" w:ascii="Arial" w:hAnsi="Arial" w:eastAsia="Arial" w:cs="Arial"/>
      <w:b/>
      <w:bCs/>
      <w:sz w:val="26"/>
      <w:szCs w:val="26"/>
    </w:rPr>
  </w:style>
  <w:style w:type="character" w:styleId="1086" w:customStyle="1">
    <w:name w:val="标题 5 Char1"/>
    <w:basedOn w:val="778"/>
    <w:link w:val="773"/>
    <w:uiPriority w:val="0"/>
    <w:qFormat/>
    <w:rPr>
      <w:rFonts w:hint="default" w:ascii="Arial" w:hAnsi="Arial" w:eastAsia="Arial" w:cs="Arial"/>
      <w:b/>
      <w:bCs/>
      <w:sz w:val="24"/>
      <w:szCs w:val="24"/>
    </w:rPr>
  </w:style>
  <w:style w:type="character" w:styleId="1087" w:customStyle="1">
    <w:name w:val="标题 6 Char1"/>
    <w:basedOn w:val="778"/>
    <w:link w:val="774"/>
    <w:uiPriority w:val="0"/>
    <w:qFormat/>
    <w:rPr>
      <w:rFonts w:hint="default" w:ascii="Arial" w:hAnsi="Arial" w:eastAsia="Arial" w:cs="Arial"/>
      <w:b/>
      <w:bCs/>
      <w:sz w:val="22"/>
      <w:szCs w:val="22"/>
    </w:rPr>
  </w:style>
  <w:style w:type="character" w:styleId="1088" w:customStyle="1">
    <w:name w:val="标题 8 Char1"/>
    <w:basedOn w:val="778"/>
    <w:link w:val="776"/>
    <w:uiPriority w:val="0"/>
    <w:qFormat/>
    <w:rPr>
      <w:rFonts w:hint="default" w:ascii="Arial" w:hAnsi="Arial" w:eastAsia="Arial" w:cs="Arial"/>
      <w:i/>
      <w:iCs/>
      <w:sz w:val="22"/>
      <w:szCs w:val="22"/>
    </w:rPr>
  </w:style>
  <w:style w:type="character" w:styleId="1089" w:customStyle="1">
    <w:name w:val="页眉 Char1"/>
    <w:basedOn w:val="778"/>
    <w:link w:val="790"/>
    <w:uiPriority w:val="0"/>
    <w:qFormat/>
    <w:rPr>
      <w:sz w:val="21"/>
      <w:szCs w:val="21"/>
    </w:rPr>
  </w:style>
  <w:style w:type="character" w:styleId="1090" w:customStyle="1">
    <w:name w:val="页脚 Char1"/>
    <w:basedOn w:val="778"/>
    <w:link w:val="789"/>
    <w:uiPriority w:val="0"/>
    <w:qFormat/>
    <w:rPr>
      <w:sz w:val="21"/>
      <w:szCs w:val="21"/>
    </w:rPr>
  </w:style>
  <w:style w:type="table" w:styleId="1091" w:customStyle="1">
    <w:name w:val="无格式表格 31"/>
    <w:basedOn w:val="779"/>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0" w:type="dxa"/>
        <w:top w:w="0" w:type="dxa"/>
        <w:right w:w="0" w:type="dxa"/>
        <w:bottom w:w="0" w:type="dxa"/>
      </w:tblCellMar>
    </w:tblPr>
  </w:style>
  <w:style w:type="table" w:styleId="1092" w:customStyle="1">
    <w:name w:val="清单表 5 深色1"/>
    <w:basedOn w:val="779"/>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7F7F7F" w:sz="36" w:space="0"/>
        <w:left w:val="single" w:color="7F7F7F" w:sz="36" w:space="0"/>
        <w:bottom w:val="single" w:color="7F7F7F" w:sz="36" w:space="0"/>
        <w:right w:val="single" w:color="7F7F7F" w:sz="36" w:space="0"/>
      </w:tblBorders>
      <w:tblCellMar>
        <w:left w:w="0" w:type="dxa"/>
        <w:top w:w="0" w:type="dxa"/>
        <w:right w:w="0" w:type="dxa"/>
        <w:bottom w:w="0" w:type="dxa"/>
      </w:tblCellMar>
    </w:tblPr>
    <w:tcPr>
      <w:tcBorders>
        <w:top w:val="single" w:color="7F7F7F" w:sz="36" w:space="0"/>
        <w:left w:val="single" w:color="7F7F7F" w:sz="36" w:space="0"/>
        <w:bottom w:val="single" w:color="7F7F7F" w:sz="36" w:space="0"/>
        <w:right w:val="single" w:color="7F7F7F" w:sz="36" w:space="0"/>
      </w:tcBorders>
    </w:tcPr>
  </w:style>
  <w:style w:type="table" w:styleId="1093" w:customStyle="1">
    <w:name w:val="网格表 31"/>
    <w:basedOn w:val="779"/>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cPr>
      <w:tcBorders>
        <w:top w:val="none" w:color="000000" w:sz="4" w:space="0"/>
        <w:left w:val="none" w:color="000000" w:sz="4" w:space="0"/>
        <w:bottom w:val="single" w:color="6A6A6A" w:sz="4" w:space="0"/>
        <w:right w:val="none" w:color="000000" w:sz="4" w:space="0"/>
      </w:tcBorders>
    </w:tcPr>
  </w:style>
  <w:style w:type="table" w:styleId="1094" w:customStyle="1">
    <w:name w:val="清单表 41"/>
    <w:basedOn w:val="779"/>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cPr>
      <w:tcBorders>
        <w:top w:val="single" w:color="000000" w:sz="4" w:space="0"/>
        <w:left w:val="single" w:color="000000" w:sz="4" w:space="0"/>
        <w:bottom w:val="single" w:color="000000" w:sz="4" w:space="0"/>
        <w:right w:val="single" w:color="000000" w:sz="4" w:space="0"/>
      </w:tcBorders>
    </w:tcPr>
  </w:style>
  <w:style w:type="table" w:styleId="1095" w:customStyle="1">
    <w:name w:val="清单表 6 彩色1"/>
    <w:basedOn w:val="779"/>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7F7F7F" w:sz="4" w:space="0"/>
        <w:bottom w:val="single" w:color="7F7F7F" w:sz="4" w:space="0"/>
      </w:tblBorders>
      <w:tblCellMar>
        <w:left w:w="0" w:type="dxa"/>
        <w:top w:w="0" w:type="dxa"/>
        <w:right w:w="0" w:type="dxa"/>
        <w:bottom w:w="0" w:type="dxa"/>
      </w:tblCellMar>
    </w:tblPr>
    <w:tcPr>
      <w:tcBorders>
        <w:top w:val="single" w:color="7F7F7F" w:sz="4" w:space="0"/>
        <w:left w:val="none" w:color="000000" w:sz="4" w:space="0"/>
        <w:bottom w:val="single" w:color="7F7F7F" w:sz="4" w:space="0"/>
        <w:right w:val="none" w:color="000000" w:sz="4" w:space="0"/>
      </w:tcBorders>
    </w:tcPr>
  </w:style>
  <w:style w:type="table" w:styleId="1096" w:customStyle="1">
    <w:name w:val="网格表 41"/>
    <w:basedOn w:val="779"/>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cPr>
      <w:tcBorders>
        <w:top w:val="single" w:color="6F6F6F" w:sz="4" w:space="0"/>
        <w:left w:val="single" w:color="6F6F6F" w:sz="4" w:space="0"/>
        <w:bottom w:val="single" w:color="6F6F6F" w:sz="4" w:space="0"/>
        <w:right w:val="single" w:color="6F6F6F" w:sz="4" w:space="0"/>
      </w:tcBorders>
    </w:tcPr>
  </w:style>
  <w:style w:type="table" w:styleId="1097" w:customStyle="1">
    <w:name w:val="网格表 1 浅色1"/>
    <w:basedOn w:val="779"/>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cPr>
      <w:tcBorders>
        <w:top w:val="single" w:color="989898" w:sz="4" w:space="0"/>
        <w:left w:val="single" w:color="989898" w:sz="4" w:space="0"/>
        <w:bottom w:val="single" w:color="989898" w:sz="4" w:space="0"/>
        <w:right w:val="single" w:color="989898" w:sz="4" w:space="0"/>
      </w:tcBorders>
    </w:tcPr>
  </w:style>
  <w:style w:type="table" w:styleId="1098" w:customStyle="1">
    <w:name w:val="清单表 31"/>
    <w:basedOn w:val="779"/>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cPr>
      <w:tcBorders>
        <w:top w:val="single" w:color="000000" w:sz="4" w:space="0"/>
        <w:left w:val="single" w:color="000000" w:sz="4" w:space="0"/>
        <w:bottom w:val="single" w:color="000000" w:sz="4" w:space="0"/>
        <w:right w:val="single" w:color="000000" w:sz="4" w:space="0"/>
      </w:tcBorders>
    </w:tcPr>
  </w:style>
  <w:style w:type="table" w:styleId="1099" w:customStyle="1">
    <w:name w:val="清单表 21"/>
    <w:basedOn w:val="779"/>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6F6F6F" w:sz="4" w:space="0"/>
        <w:bottom w:val="single" w:color="6F6F6F" w:sz="4" w:space="0"/>
        <w:insideH w:val="single" w:color="6F6F6F" w:sz="4" w:space="0"/>
      </w:tblBorders>
      <w:tblCellMar>
        <w:left w:w="0" w:type="dxa"/>
        <w:top w:w="0" w:type="dxa"/>
        <w:right w:w="0" w:type="dxa"/>
        <w:bottom w:w="0" w:type="dxa"/>
      </w:tblCellMar>
    </w:tblPr>
    <w:tcPr>
      <w:tcBorders>
        <w:top w:val="single" w:color="6F6F6F" w:sz="4" w:space="0"/>
        <w:left w:val="none" w:color="000000" w:sz="4" w:space="0"/>
        <w:bottom w:val="single" w:color="6F6F6F" w:sz="4" w:space="0"/>
        <w:right w:val="none" w:color="000000" w:sz="4" w:space="0"/>
      </w:tcBorders>
    </w:tcPr>
  </w:style>
  <w:style w:type="table" w:styleId="1100" w:customStyle="1">
    <w:name w:val="网格表 7 彩色1"/>
    <w:basedOn w:val="779"/>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cPr>
      <w:tcBorders>
        <w:top w:val="none" w:color="000000" w:sz="4" w:space="0"/>
        <w:left w:val="none" w:color="000000" w:sz="4" w:space="0"/>
        <w:bottom w:val="single" w:color="7F7F7F" w:sz="4" w:space="0"/>
        <w:right w:val="single" w:color="7F7F7F" w:sz="4" w:space="0"/>
      </w:tcBorders>
    </w:tcPr>
  </w:style>
  <w:style w:type="table" w:styleId="1101" w:customStyle="1">
    <w:name w:val="无格式表格 21"/>
    <w:basedOn w:val="779"/>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000000" w:sz="4" w:space="0"/>
        <w:left w:val="none" w:color="000000" w:sz="0" w:space="0"/>
        <w:bottom w:val="single" w:color="000000" w:sz="4" w:space="0"/>
        <w:right w:val="none" w:color="000000" w:sz="0" w:space="0"/>
      </w:tblBorders>
      <w:tblCellMar>
        <w:left w:w="108" w:type="dxa"/>
        <w:top w:w="0" w:type="dxa"/>
        <w:right w:w="108" w:type="dxa"/>
        <w:bottom w:w="0" w:type="dxa"/>
      </w:tblCellMar>
    </w:tblPr>
    <w:tcPr>
      <w:tcBorders>
        <w:top w:val="single" w:color="000000" w:sz="4" w:space="0"/>
        <w:left w:val="none" w:color="000000" w:sz="4" w:space="0"/>
        <w:bottom w:val="single" w:color="000000" w:sz="4" w:space="0"/>
        <w:right w:val="none" w:color="000000" w:sz="4" w:space="0"/>
      </w:tcBorders>
    </w:tcPr>
  </w:style>
  <w:style w:type="table" w:styleId="1102" w:customStyle="1">
    <w:name w:val="无格式表格 11"/>
    <w:basedOn w:val="779"/>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cPr>
      <w:tcBorders>
        <w:top w:val="single" w:color="AFAFAF" w:sz="4" w:space="0"/>
        <w:left w:val="single" w:color="AFAFAF" w:sz="4" w:space="0"/>
        <w:bottom w:val="single" w:color="AFAFAF" w:sz="4" w:space="0"/>
        <w:right w:val="single" w:color="AFAFAF" w:sz="4" w:space="0"/>
      </w:tcBorders>
    </w:tcPr>
  </w:style>
  <w:style w:type="table" w:styleId="1103" w:customStyle="1">
    <w:name w:val="无格式表格 41"/>
    <w:basedOn w:val="779"/>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0" w:type="dxa"/>
        <w:top w:w="0" w:type="dxa"/>
        <w:right w:w="0" w:type="dxa"/>
        <w:bottom w:w="0" w:type="dxa"/>
      </w:tblCellMar>
    </w:tblPr>
  </w:style>
  <w:style w:type="table" w:styleId="1104" w:customStyle="1">
    <w:name w:val="无格式表格 51"/>
    <w:basedOn w:val="779"/>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0" w:type="dxa"/>
        <w:top w:w="0" w:type="dxa"/>
        <w:right w:w="0" w:type="dxa"/>
        <w:bottom w:w="0" w:type="dxa"/>
      </w:tblCellMar>
    </w:tblPr>
  </w:style>
  <w:style w:type="table" w:styleId="1105" w:customStyle="1">
    <w:name w:val="网格表 21"/>
    <w:basedOn w:val="779"/>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cPr>
      <w:tcBorders>
        <w:top w:val="none" w:color="000000" w:sz="4" w:space="0"/>
        <w:left w:val="none" w:color="000000" w:sz="4" w:space="0"/>
        <w:bottom w:val="single" w:color="6A6A6A" w:sz="4" w:space="0"/>
        <w:right w:val="none" w:color="000000" w:sz="4" w:space="0"/>
      </w:tcBorders>
    </w:tcPr>
  </w:style>
  <w:style w:type="table" w:styleId="1106" w:customStyle="1">
    <w:name w:val="网格表 5 深色1"/>
    <w:basedOn w:val="779"/>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tcBorders>
        <w:top w:val="single" w:color="FFFFFF" w:sz="4" w:space="0"/>
        <w:left w:val="single" w:color="FFFFFF" w:sz="4" w:space="0"/>
        <w:bottom w:val="single" w:color="FFFFFF" w:sz="4" w:space="0"/>
        <w:right w:val="single" w:color="FFFFFF" w:sz="4" w:space="0"/>
      </w:tcBorders>
    </w:tcPr>
  </w:style>
  <w:style w:type="table" w:styleId="1107" w:customStyle="1">
    <w:name w:val="网格表 6 彩色1"/>
    <w:basedOn w:val="779"/>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cPr>
      <w:tcBorders>
        <w:top w:val="single" w:color="7F7F7F" w:sz="4" w:space="0"/>
        <w:left w:val="single" w:color="7F7F7F" w:sz="4" w:space="0"/>
        <w:bottom w:val="single" w:color="7F7F7F" w:sz="4" w:space="0"/>
        <w:right w:val="single" w:color="7F7F7F" w:sz="4" w:space="0"/>
      </w:tcBorders>
    </w:tcPr>
  </w:style>
  <w:style w:type="table" w:styleId="1108" w:customStyle="1">
    <w:name w:val="清单表 1 浅色1"/>
    <w:basedOn w:val="779"/>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0" w:type="dxa"/>
        <w:top w:w="0" w:type="dxa"/>
        <w:right w:w="0" w:type="dxa"/>
        <w:bottom w:w="0" w:type="dxa"/>
      </w:tblCellMar>
    </w:tblPr>
  </w:style>
  <w:style w:type="table" w:styleId="1109" w:customStyle="1">
    <w:name w:val="清单表 7 彩色1"/>
    <w:basedOn w:val="779"/>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right w:val="single" w:color="7F7F7F" w:sz="4" w:space="0"/>
      </w:tblBorders>
      <w:tblCellMar>
        <w:left w:w="0" w:type="dxa"/>
        <w:top w:w="0" w:type="dxa"/>
        <w:right w:w="0" w:type="dxa"/>
        <w:bottom w:w="0" w:type="dxa"/>
      </w:tblCellMar>
    </w:tblPr>
    <w:tcPr>
      <w:tcBorders>
        <w:top w:val="none" w:color="000000" w:sz="4" w:space="0"/>
        <w:left w:val="none" w:color="000000" w:sz="4" w:space="0"/>
        <w:bottom w:val="none" w:color="000000" w:sz="4" w:space="0"/>
        <w:right w:val="single" w:color="7F7F7F" w:sz="4" w:space="0"/>
      </w:tcBorders>
    </w:tcPr>
  </w:style>
  <w:style w:type="table" w:styleId="1110" w:customStyle="1">
    <w:name w:val="Table Normal"/>
    <w:basedOn w:val="779"/>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0" w:type="dxa"/>
        <w:top w:w="0" w:type="dxa"/>
        <w:right w:w="0" w:type="dxa"/>
        <w:bottom w:w="0" w:type="dxa"/>
      </w:tblCellMar>
    </w:tblPr>
  </w:style>
  <w:style w:type="numbering" w:styleId="11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曹宝柱</cp:lastModifiedBy>
  <cp:revision>8</cp:revision>
  <dcterms:created xsi:type="dcterms:W3CDTF">2023-03-16T02:16:00Z</dcterms:created>
  <dcterms:modified xsi:type="dcterms:W3CDTF">2026-08-05T03:05:38Z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eyJoZGlkIjoiOTBlZjUwMGM0MDg2Njg1NzgzZDM3Y2FhODRiZTFhODciLCJ1c2VySWQiOiIxNjAzMzk1MzkxIn0=</vt:lpwstr>
  </property>
  <property fmtid="{D5CDD505-2E9C-101B-9397-08002B2CF9AE}" pid="3" name="KSOProductBuildVer">
    <vt:lpwstr>2052-12.1.0.26895</vt:lpwstr>
  </property>
  <property fmtid="{D5CDD505-2E9C-101B-9397-08002B2CF9AE}" pid="4" name="ICV">
    <vt:lpwstr>976384C5E1BD47AC890715EA229F76A9_12</vt:lpwstr>
  </property>
</Properties>
</file>