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22"/>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30"/>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项目名称：南京市计量监督检测院内控财务互联系统对接开发</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930"/>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cs="Times New Roman"/>
          <w:b/>
          <w:bCs w:val="0"/>
          <w:color w:val="000000"/>
          <w:sz w:val="32"/>
          <w:szCs w:val="32"/>
          <w:highlight w:val="none"/>
          <w:u w:val="none"/>
          <w:lang w:val="en-US" w:eastAsia="zh-CN"/>
        </w:rPr>
        <w:t xml:space="preserve">JSZC-320100-JZCG-C2026-0285</w:t>
      </w:r>
      <w:r>
        <w:rPr>
          <w:color w:val="000000"/>
          <w:highlight w:val="none"/>
        </w:rPr>
      </w:r>
      <w:r/>
    </w:p>
    <w:p>
      <w:pPr>
        <w:pStyle w:val="930"/>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center"/>
        <w:spacing w:line="480" w:lineRule="exact"/>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t xml:space="preserve">（暗标）</w:t>
      </w:r>
      <w:r>
        <w:rPr>
          <w:rFonts w:hint="eastAsia" w:ascii="宋体" w:hAnsi="宋体" w:eastAsia="宋体" w:cs="宋体"/>
          <w:b/>
          <w:bCs/>
          <w:color w:val="000000"/>
          <w:sz w:val="44"/>
          <w:szCs w:val="44"/>
          <w:highlight w:val="none"/>
          <w:lang w:val="en-US" w:eastAsia="zh-CN"/>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2"/>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30"/>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8</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3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3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30"/>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30"/>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30"/>
        <w:spacing w:line="480" w:lineRule="auto"/>
        <w:rPr>
          <w:rFonts w:hint="eastAsia" w:ascii="仿宋_GB2312" w:hAnsi="Arial" w:eastAsia="仿宋_GB2312"/>
          <w:b/>
          <w:color w:val="000000"/>
          <w:sz w:val="28"/>
          <w:szCs w:val="21"/>
          <w:highlight w:val="none"/>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仿宋_GB2312" w:hAnsi="Arial" w:eastAsia="仿宋_GB2312"/>
          <w:b/>
          <w:color w:val="000000"/>
          <w:sz w:val="28"/>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930"/>
        <w:rPr>
          <w:rFonts w:ascii="Times New Roman" w:hAnsi="Times New Roman" w:eastAsia="宋体"/>
          <w:color w:val="000000"/>
          <w:szCs w:val="21"/>
          <w:highlight w:val="none"/>
          <w:lang w:val="en-US" w:eastAsia="zh-CN"/>
        </w:rPr>
      </w:pPr>
      <w:r>
        <w:rPr>
          <w:rFonts w:ascii="Times New Roman" w:hAnsi="Times New Roman" w:eastAsia="宋体"/>
          <w:color w:val="000000"/>
          <w:szCs w:val="21"/>
          <w:highlight w:val="none"/>
          <w:lang w:val="en-US" w:eastAsia="zh-CN"/>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JSZC-320100-JZCG-C2026-0285</w:t>
      </w:r>
      <w:r>
        <w:rPr>
          <w:rFonts w:ascii="宋体" w:hAnsi="宋体"/>
          <w:color w:val="000000"/>
          <w:sz w:val="24"/>
          <w:szCs w:val="24"/>
          <w:highlight w:val="none"/>
        </w:rPr>
      </w:r>
      <w:r/>
    </w:p>
    <w:p>
      <w:pPr>
        <w:pStyle w:val="930"/>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2.项目名称：南京市计量监督检测院内控财务互联系统对接开发</w:t>
      </w:r>
      <w:r>
        <w:rPr>
          <w:rFonts w:hint="eastAsia" w:ascii="宋体" w:hAnsi="宋体" w:eastAsia="宋体"/>
          <w:color w:val="000000"/>
          <w:sz w:val="24"/>
          <w:szCs w:val="24"/>
          <w:highlight w:val="none"/>
          <w:lang w:eastAsia="zh-CN"/>
        </w:rPr>
      </w:r>
      <w:r/>
    </w:p>
    <w:p>
      <w:pPr>
        <w:pStyle w:val="930"/>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930"/>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930"/>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内控与财务互联对接开发项目的核心目标是打破内控与财务之间的信息壁垒，实现资源的高效协同。该项目通过深度对接开发，将采购流程、合同执行、预算管理和审批管理等关键环节无缝衔接，形成从业务发生到财务报销的闭环管理，确保数据同源、实时同步，避免信息孤岛。</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930"/>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rPr>
        <w:t xml:space="preserve">合同签订后120天。</w:t>
      </w:r>
      <w:r>
        <w:rPr>
          <w:rFonts w:ascii="宋体" w:hAnsi="宋体" w:eastAsia="宋体" w:cs="宋体"/>
          <w:color w:val="000000"/>
          <w:sz w:val="24"/>
          <w:szCs w:val="24"/>
          <w:highlight w:val="none"/>
          <w:lang w:val="en-US" w:eastAsia="zh-CN"/>
        </w:rPr>
      </w:r>
      <w:r/>
    </w:p>
    <w:p>
      <w:pPr>
        <w:pStyle w:val="930"/>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930"/>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3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3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3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本项目专门面向中小微企业采购，</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sz w:val="24"/>
          <w:szCs w:val="24"/>
          <w:highlight w:val="none"/>
          <w:lang w:val="zh-CN"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930"/>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30"/>
        <w:spacing w:line="240" w:lineRule="auto"/>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cs="宋体"/>
          <w:b w:val="0"/>
          <w:bCs w:val="0"/>
          <w:color w:val="000000"/>
          <w:sz w:val="24"/>
          <w:szCs w:val="24"/>
          <w:highlight w:val="none"/>
          <w:u w:val="none"/>
          <w:lang w:val="en-US" w:eastAsia="zh-CN"/>
        </w:rPr>
        <w:t xml:space="preserve">   </w:t>
      </w:r>
      <w:r>
        <w:rPr>
          <w:rFonts w:hint="eastAsia" w:ascii="Times New Roman" w:hAnsi="Times New Roman" w:eastAsia="宋体" w:cs="Times New Roman"/>
          <w:b/>
          <w:bCs/>
          <w:color w:val="000000"/>
          <w:sz w:val="24"/>
          <w:szCs w:val="24"/>
          <w:highlight w:val="none"/>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highlight w:val="none"/>
          <w:u w:val="none"/>
        </w:rPr>
        <w:t xml:space="preserve">年</w:t>
      </w:r>
      <w:r>
        <w:rPr>
          <w:rFonts w:hint="eastAsia" w:ascii="Times New Roman" w:hAnsi="Times New Roman" w:eastAsia="宋体" w:cs="Times New Roman"/>
          <w:b/>
          <w:bCs/>
          <w:color w:val="000000"/>
          <w:sz w:val="24"/>
          <w:szCs w:val="24"/>
          <w:highlight w:val="none"/>
          <w:u w:val="none"/>
          <w:lang w:val="en-US" w:eastAsia="zh-CN"/>
        </w:rPr>
        <w:t xml:space="preserve">9</w:t>
      </w:r>
      <w:r>
        <w:rPr>
          <w:rFonts w:hint="eastAsia" w:ascii="Times New Roman" w:hAnsi="Times New Roman" w:eastAsia="Times New Roman" w:cs="Times New Roman"/>
          <w:b/>
          <w:bCs/>
          <w:color w:val="000000"/>
          <w:sz w:val="24"/>
          <w:szCs w:val="24"/>
          <w:highlight w:val="none"/>
          <w:u w:val="none"/>
        </w:rPr>
        <w:t xml:space="preserve">月14</w:t>
      </w:r>
      <w:r>
        <w:rPr>
          <w:rFonts w:hint="eastAsia" w:ascii="Times New Roman" w:hAnsi="Times New Roman" w:eastAsia="Times New Roman" w:cs="Times New Roman"/>
          <w:b/>
          <w:bCs/>
          <w:color w:val="000000"/>
          <w:sz w:val="24"/>
          <w:szCs w:val="24"/>
          <w:highlight w:val="none"/>
          <w:u w:val="none"/>
        </w:rPr>
        <w:t xml:space="preserve">日</w:t>
      </w:r>
      <w:r>
        <w:rPr>
          <w:rFonts w:hint="eastAsia" w:ascii="Times New Roman" w:hAnsi="Times New Roman" w:eastAsia="宋体" w:cs="Times New Roman"/>
          <w:b/>
          <w:bCs/>
          <w:color w:val="000000"/>
          <w:sz w:val="24"/>
          <w:szCs w:val="24"/>
          <w:highlight w:val="none"/>
          <w:u w:val="none"/>
          <w:lang w:val="en-US" w:eastAsia="zh-CN"/>
        </w:rPr>
        <w:t xml:space="preserve">14</w:t>
      </w:r>
      <w:r>
        <w:rPr>
          <w:rFonts w:hint="eastAsia" w:ascii="Times New Roman" w:hAnsi="Times New Roman" w:eastAsia="Times New Roman" w:cs="Times New Roman"/>
          <w:b/>
          <w:bCs/>
          <w:color w:val="000000"/>
          <w:sz w:val="24"/>
          <w:szCs w:val="24"/>
          <w:highlight w:val="none"/>
          <w:u w:val="none"/>
          <w:lang w:val="en-US" w:eastAsia="zh-CN"/>
        </w:rPr>
        <w:t xml:space="preserve">时00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930"/>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30"/>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0"/>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30"/>
        <w:ind w:firstLine="480"/>
        <w:spacing w:line="240" w:lineRule="auto"/>
        <w:widowControl/>
        <w:rPr>
          <w:rFonts w:hint="eastAsia" w:ascii="宋体" w:hAnsi="宋体"/>
          <w:color w:val="000000"/>
          <w:sz w:val="24"/>
          <w:highlight w:val="none"/>
        </w:rPr>
      </w:pPr>
      <w:r>
        <w:rPr>
          <w:rFonts w:hint="eastAsia" w:ascii="宋体" w:hAnsi="宋体"/>
          <w:color w:val="000000"/>
          <w:sz w:val="24"/>
          <w:highlight w:val="none"/>
        </w:rPr>
        <w:t xml:space="preserve">采购人《质疑函》收件人：何侦涛，收件地址：</w:t>
      </w:r>
      <w:r>
        <w:rPr>
          <w:rFonts w:hint="eastAsia" w:ascii="宋体" w:hAnsi="宋体"/>
          <w:color w:val="000000"/>
          <w:sz w:val="24"/>
          <w:szCs w:val="24"/>
          <w:highlight w:val="none"/>
        </w:rPr>
        <w:t xml:space="preserve">南京市栖霞区仙林大道10号三宝科技园南京市计量监督检测院</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联系电话：13776404339。</w:t>
      </w:r>
      <w:r>
        <w:rPr>
          <w:rFonts w:hint="eastAsia" w:ascii="宋体" w:hAnsi="宋体"/>
          <w:color w:val="000000"/>
          <w:sz w:val="24"/>
          <w:highlight w:val="none"/>
        </w:rPr>
      </w:r>
      <w:r/>
    </w:p>
    <w:p>
      <w:pPr>
        <w:pStyle w:val="930"/>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称：南京市计量监督检测院          </w:t>
      </w:r>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址：南京市栖霞区仙林大道10号三宝科技园   </w:t>
      </w:r>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联系人：何侦涛</w:t>
      </w:r>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联系电话：13776404339 </w:t>
      </w:r>
      <w:bookmarkStart w:id="6" w:name="_Toc28359086"/>
      <w:r/>
      <w:bookmarkStart w:id="7" w:name="_Toc28359009"/>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联系人：孙先生 </w:t>
      </w:r>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联系电话：025-68505990 </w:t>
      </w:r>
      <w:r>
        <w:rPr>
          <w:rFonts w:hint="eastAsia" w:ascii="宋体" w:hAnsi="宋体" w:eastAsia="宋体" w:cs="Times New Roman"/>
          <w:color w:val="000000"/>
          <w:sz w:val="24"/>
          <w:szCs w:val="24"/>
          <w:highlight w:val="none"/>
          <w:u w:val="none"/>
          <w:lang w:val="en-US" w:eastAsia="zh-CN"/>
        </w:rPr>
      </w:r>
      <w:r/>
    </w:p>
    <w:p>
      <w:pPr>
        <w:pStyle w:val="930"/>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ascii="宋体" w:hAnsi="宋体" w:eastAsia="宋体" w:cs="Times New Roman"/>
          <w:color w:val="000000"/>
          <w:sz w:val="24"/>
          <w:szCs w:val="24"/>
          <w:highlight w:val="none"/>
          <w:u w:val="none"/>
          <w:lang w:val="en-US" w:eastAsia="zh-CN"/>
        </w:rPr>
      </w:r>
      <w:r/>
    </w:p>
    <w:p>
      <w:pPr>
        <w:pStyle w:val="930"/>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 w:name="_Hlt16619475"/>
      <w:r/>
      <w:bookmarkEnd w:id="8"/>
      <w:r/>
      <w:bookmarkStart w:id="9" w:name="_Toc458694821"/>
      <w:r/>
      <w:bookmarkStart w:id="10" w:name="_Toc513029204"/>
      <w:r/>
      <w:bookmarkStart w:id="11" w:name="_Toc20823276"/>
      <w:r/>
      <w:bookmarkStart w:id="12"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9"/>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 w:name="_Toc16938521"/>
      <w:r/>
      <w:bookmarkStart w:id="14" w:name="_Toc513029205"/>
      <w:r/>
      <w:bookmarkStart w:id="15" w:name="_Toc20823277"/>
      <w:r>
        <w:rPr>
          <w:rFonts w:hint="eastAsia" w:ascii="方正楷体_GBK" w:hAnsi="方正楷体_GBK" w:eastAsia="方正楷体_GBK" w:cs="方正楷体_GBK"/>
          <w:b/>
          <w:bCs/>
          <w:color w:val="000000"/>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6" w:name="_Toc16938522"/>
      <w:r/>
      <w:bookmarkStart w:id="17" w:name="_Toc20823278"/>
      <w:r/>
      <w:bookmarkStart w:id="18" w:name="_Toc513029206"/>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9" w:name="_Toc513029207"/>
      <w:r/>
      <w:bookmarkStart w:id="20" w:name="_Toc20823279"/>
      <w:r/>
      <w:bookmarkStart w:id="21" w:name="_Toc462564067"/>
      <w:r/>
      <w:bookmarkStart w:id="22" w:name="_Toc16938523"/>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513029209"/>
      <w:r/>
      <w:bookmarkStart w:id="24" w:name="_Toc16938525"/>
      <w:r/>
      <w:bookmarkStart w:id="25" w:name="_Toc20823281"/>
      <w:r/>
      <w:bookmarkStart w:id="26" w:name="_Toc120614215"/>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7" w:name="_Toc16938526"/>
      <w:r/>
      <w:bookmarkStart w:id="28" w:name="_Toc513029210"/>
      <w:r/>
      <w:bookmarkStart w:id="29" w:name="_Toc20823282"/>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0" w:name="_Toc513029211"/>
      <w:r/>
      <w:bookmarkStart w:id="31" w:name="_Toc462564070"/>
      <w:r/>
      <w:bookmarkStart w:id="32" w:name="_Toc20823283"/>
      <w:r/>
      <w:bookmarkStart w:id="33" w:name="_Toc16938527"/>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9.响应文件构成</w:t>
      </w:r>
      <w:r>
        <w:rPr>
          <w:rFonts w:hint="eastAsia" w:ascii="方正楷体_GBK" w:hAnsi="方正楷体_GBK" w:eastAsia="方正楷体_GBK" w:cs="方正楷体_GBK"/>
          <w:b/>
          <w:bCs/>
          <w:color w:val="000000"/>
          <w:sz w:val="28"/>
          <w:szCs w:val="28"/>
          <w:highlight w:val="none"/>
          <w:lang w:val="en-US" w:eastAsia="zh-CN"/>
        </w:rPr>
      </w:r>
      <w:r/>
    </w:p>
    <w:p>
      <w:pPr>
        <w:pStyle w:val="930"/>
        <w:spacing w:line="24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0"/>
        <w:spacing w:line="240" w:lineRule="auto"/>
        <w:rPr>
          <w:rFonts w:hint="eastAsia" w:ascii="宋体" w:hAnsi="宋体" w:eastAsia="宋体" w:cs="Times New Roman"/>
          <w:color w:val="000000"/>
          <w:sz w:val="24"/>
          <w:szCs w:val="21"/>
          <w:highlight w:val="none"/>
        </w:rPr>
      </w:pPr>
      <w:r>
        <w:rPr>
          <w:rFonts w:hint="eastAsia" w:ascii="宋体" w:hAnsi="宋体" w:eastAsia="宋体" w:cs="Times New Roman"/>
          <w:b/>
          <w:bCs/>
          <w:color w:val="000000"/>
          <w:sz w:val="24"/>
          <w:szCs w:val="21"/>
          <w:highlight w:val="none"/>
          <w:lang w:val="en-US" w:eastAsia="zh-CN"/>
        </w:rPr>
        <w:t xml:space="preserve">9</w:t>
      </w:r>
      <w:r>
        <w:rPr>
          <w:rFonts w:hint="eastAsia" w:ascii="宋体" w:hAnsi="宋体" w:eastAsia="宋体" w:cs="Times New Roman"/>
          <w:b/>
          <w:bCs/>
          <w:color w:val="000000"/>
          <w:sz w:val="24"/>
          <w:szCs w:val="21"/>
          <w:highlight w:val="none"/>
        </w:rPr>
        <w:t xml:space="preserve">.1.1 本项目设置暗标评审环节，暗标评</w:t>
      </w:r>
      <w:r>
        <w:rPr>
          <w:rFonts w:hint="eastAsia" w:ascii="宋体" w:hAnsi="宋体" w:eastAsia="宋体" w:cs="Times New Roman"/>
          <w:b/>
          <w:bCs/>
          <w:color w:val="000000"/>
          <w:sz w:val="24"/>
          <w:szCs w:val="21"/>
          <w:highlight w:val="none"/>
          <w:lang w:val="en-US" w:eastAsia="zh-CN"/>
        </w:rPr>
        <w:t xml:space="preserve">审项</w:t>
      </w:r>
      <w:r>
        <w:rPr>
          <w:rFonts w:hint="eastAsia" w:ascii="宋体" w:hAnsi="宋体" w:eastAsia="宋体" w:cs="Times New Roman"/>
          <w:b/>
          <w:bCs/>
          <w:color w:val="000000"/>
          <w:sz w:val="24"/>
          <w:szCs w:val="21"/>
          <w:highlight w:val="none"/>
        </w:rPr>
        <w:t xml:space="preserve">的</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文件编制需符合</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文件第五章评</w:t>
      </w:r>
      <w:r>
        <w:rPr>
          <w:rFonts w:hint="eastAsia" w:ascii="宋体" w:hAnsi="宋体" w:eastAsia="宋体" w:cs="Times New Roman"/>
          <w:b/>
          <w:bCs/>
          <w:color w:val="000000"/>
          <w:sz w:val="24"/>
          <w:szCs w:val="21"/>
          <w:highlight w:val="none"/>
          <w:lang w:val="en-US" w:eastAsia="zh-CN"/>
        </w:rPr>
        <w:t xml:space="preserve">审</w:t>
      </w:r>
      <w:r>
        <w:rPr>
          <w:rFonts w:hint="eastAsia" w:ascii="宋体" w:hAnsi="宋体" w:eastAsia="宋体" w:cs="Times New Roman"/>
          <w:b/>
          <w:bCs/>
          <w:color w:val="000000"/>
          <w:sz w:val="24"/>
          <w:szCs w:val="21"/>
          <w:highlight w:val="none"/>
        </w:rPr>
        <w:t xml:space="preserve">方法与评</w:t>
      </w:r>
      <w:r>
        <w:rPr>
          <w:rFonts w:hint="eastAsia" w:ascii="宋体" w:hAnsi="宋体" w:eastAsia="宋体" w:cs="Times New Roman"/>
          <w:b/>
          <w:bCs/>
          <w:color w:val="000000"/>
          <w:sz w:val="24"/>
          <w:szCs w:val="21"/>
          <w:highlight w:val="none"/>
          <w:lang w:val="en-US" w:eastAsia="zh-CN"/>
        </w:rPr>
        <w:t xml:space="preserve">审</w:t>
      </w:r>
      <w:r>
        <w:rPr>
          <w:rFonts w:hint="eastAsia" w:ascii="宋体" w:hAnsi="宋体" w:eastAsia="宋体" w:cs="Times New Roman"/>
          <w:b/>
          <w:bCs/>
          <w:color w:val="000000"/>
          <w:sz w:val="24"/>
          <w:szCs w:val="21"/>
          <w:highlight w:val="none"/>
        </w:rPr>
        <w:t xml:space="preserve">标准中暗标评审的相关要求，暗标评审材料中不得出现</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的名称、标志、标记以及其它能够体现</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身份的任何信息，否则暗标评审项均不得分。</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Hlt26670360"/>
      <w:r/>
      <w:bookmarkEnd w:id="34"/>
      <w:r/>
      <w:bookmarkStart w:id="35" w:name="_Hlt26668975"/>
      <w:r/>
      <w:bookmarkEnd w:id="35"/>
      <w:r/>
      <w:bookmarkStart w:id="36" w:name="_Hlt26954838"/>
      <w:r/>
      <w:bookmarkEnd w:id="36"/>
      <w:r>
        <w:rPr>
          <w:rFonts w:hint="eastAsia" w:ascii="方正楷体_GBK" w:hAnsi="方正楷体_GBK" w:eastAsia="方正楷体_GBK" w:cs="方正楷体_GBK"/>
          <w:b/>
          <w:bCs/>
          <w:color w:val="000000"/>
          <w:sz w:val="28"/>
          <w:szCs w:val="28"/>
          <w:highlight w:val="none"/>
          <w:lang w:val="en-US" w:eastAsia="zh-CN"/>
        </w:rPr>
        <w:t xml:space="preserve">10.磋商报价</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30"/>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7" w:name="_Hlt26954846"/>
      <w:r/>
      <w:bookmarkEnd w:id="37"/>
      <w:r/>
      <w:bookmarkStart w:id="38" w:name="_Hlt26954731"/>
      <w:r/>
      <w:bookmarkEnd w:id="38"/>
      <w:r/>
      <w:bookmarkStart w:id="39" w:name="_Hlt26954848"/>
      <w:r/>
      <w:bookmarkEnd w:id="39"/>
      <w:r/>
      <w:bookmarkStart w:id="40" w:name="_Hlt26670486"/>
      <w:r/>
      <w:bookmarkEnd w:id="40"/>
      <w:r/>
      <w:bookmarkStart w:id="41" w:name="_Hlt26670482"/>
      <w:r/>
      <w:bookmarkEnd w:id="41"/>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34"/>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930"/>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739"/>
      <w:r/>
      <w:bookmarkEnd w:id="44"/>
      <w:r/>
      <w:bookmarkStart w:id="45" w:name="_Hlt26954852"/>
      <w:r/>
      <w:bookmarkEnd w:id="45"/>
      <w:r/>
      <w:bookmarkStart w:id="46" w:name="_Toc120614217"/>
      <w:r/>
      <w:bookmarkStart w:id="47" w:name="_Toc16938540"/>
      <w:r/>
      <w:bookmarkStart w:id="48" w:name="_Toc513029224"/>
      <w:r/>
      <w:bookmarkStart w:id="49"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0" w:name="_Toc16938541"/>
      <w:r/>
      <w:bookmarkStart w:id="51" w:name="_Toc20823297"/>
      <w:r/>
      <w:bookmarkStart w:id="52" w:name="_Toc462564084"/>
      <w:r/>
      <w:bookmarkStart w:id="53" w:name="_Toc513029225"/>
      <w:r>
        <w:rPr>
          <w:rFonts w:hint="eastAsia" w:ascii="方正楷体_GBK" w:hAnsi="方正楷体_GBK" w:eastAsia="方正楷体_GBK" w:cs="方正楷体_GBK"/>
          <w:b/>
          <w:bCs/>
          <w:color w:val="000000"/>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30"/>
        <w:spacing w:line="24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16938542"/>
      <w:r/>
      <w:bookmarkStart w:id="55" w:name="_Toc20823298"/>
      <w:r/>
      <w:bookmarkStart w:id="56"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930"/>
        <w:spacing w:line="240" w:lineRule="auto"/>
        <w:rPr>
          <w:rFonts w:hint="eastAsia" w:ascii="宋体" w:hAnsi="宋体" w:eastAsia="宋体" w:cs="Times New Roman"/>
          <w:color w:val="000000"/>
          <w:sz w:val="24"/>
          <w:szCs w:val="21"/>
          <w:highlight w:val="none"/>
        </w:rPr>
      </w:pPr>
      <w:r>
        <w:rPr>
          <w:rFonts w:hint="eastAsia" w:ascii="宋体" w:hAnsi="宋体" w:eastAsia="宋体" w:cs="Times New Roman"/>
          <w:b/>
          <w:bCs/>
          <w:color w:val="000000"/>
          <w:sz w:val="24"/>
          <w:szCs w:val="21"/>
          <w:highlight w:val="none"/>
          <w:lang w:val="zh-CN"/>
        </w:rPr>
        <w:t xml:space="preserve">1</w:t>
      </w:r>
      <w:r>
        <w:rPr>
          <w:rFonts w:hint="eastAsia" w:ascii="宋体" w:hAnsi="宋体" w:eastAsia="宋体" w:cs="Times New Roman"/>
          <w:b/>
          <w:bCs/>
          <w:color w:val="000000"/>
          <w:sz w:val="24"/>
          <w:szCs w:val="21"/>
          <w:highlight w:val="none"/>
          <w:lang w:val="en-US" w:eastAsia="zh-CN"/>
        </w:rPr>
        <w:t xml:space="preserve">5</w:t>
      </w:r>
      <w:r>
        <w:rPr>
          <w:rFonts w:hint="eastAsia" w:ascii="宋体" w:hAnsi="宋体" w:eastAsia="宋体" w:cs="Times New Roman"/>
          <w:b/>
          <w:bCs/>
          <w:color w:val="000000"/>
          <w:sz w:val="24"/>
          <w:szCs w:val="21"/>
          <w:highlight w:val="none"/>
          <w:lang w:val="zh-CN"/>
        </w:rPr>
        <w:t xml:space="preserve">.1.1 暗标评审</w:t>
      </w:r>
      <w:r>
        <w:rPr>
          <w:rFonts w:hint="eastAsia" w:ascii="宋体" w:hAnsi="宋体" w:eastAsia="宋体" w:cs="Times New Roman"/>
          <w:b/>
          <w:bCs/>
          <w:color w:val="000000"/>
          <w:sz w:val="24"/>
          <w:szCs w:val="21"/>
          <w:highlight w:val="none"/>
          <w:lang w:val="en-US" w:eastAsia="zh-CN"/>
        </w:rPr>
        <w:t xml:space="preserve">项</w:t>
      </w:r>
      <w:r>
        <w:rPr>
          <w:rFonts w:hint="eastAsia" w:ascii="宋体" w:hAnsi="宋体" w:eastAsia="宋体" w:cs="Times New Roman"/>
          <w:b/>
          <w:bCs/>
          <w:color w:val="000000"/>
          <w:sz w:val="24"/>
          <w:szCs w:val="21"/>
          <w:highlight w:val="none"/>
          <w:lang w:val="zh-CN"/>
        </w:rPr>
        <w:t xml:space="preserve">的</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文件需单独编制、加密上传（如苏采云系统有对应要求），编制过程中严格遵循暗标编制规范，不得出现</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身份</w:t>
      </w:r>
      <w:r>
        <w:rPr>
          <w:rFonts w:hint="eastAsia" w:ascii="宋体" w:hAnsi="宋体" w:eastAsia="宋体" w:cs="Times New Roman"/>
          <w:b/>
          <w:bCs/>
          <w:color w:val="000000"/>
          <w:sz w:val="24"/>
          <w:szCs w:val="21"/>
          <w:highlight w:val="none"/>
          <w:lang w:val="en-US" w:eastAsia="zh-CN"/>
        </w:rPr>
        <w:t xml:space="preserve">识别</w:t>
      </w:r>
      <w:r>
        <w:rPr>
          <w:rFonts w:hint="eastAsia" w:ascii="宋体" w:hAnsi="宋体" w:eastAsia="宋体" w:cs="Times New Roman"/>
          <w:b/>
          <w:bCs/>
          <w:color w:val="000000"/>
          <w:sz w:val="24"/>
          <w:szCs w:val="21"/>
          <w:highlight w:val="none"/>
          <w:lang w:val="zh-CN"/>
        </w:rPr>
        <w:t xml:space="preserve">信息。</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7" w:name="_Toc513029228"/>
      <w:r/>
      <w:bookmarkStart w:id="58" w:name="_Toc20823300"/>
      <w:r/>
      <w:bookmarkStart w:id="59" w:name="_Toc16938544"/>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930"/>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30"/>
        <w:ind w:firstLine="422"/>
        <w:rPr>
          <w:rFonts w:hint="eastAsia" w:ascii="宋体" w:hAnsi="宋体" w:eastAsia="宋体" w:cs="Times New Roman"/>
          <w:color w:val="000000"/>
          <w:sz w:val="24"/>
          <w:szCs w:val="21"/>
          <w:highlight w:val="none"/>
        </w:rPr>
      </w:pPr>
      <w:r>
        <w:rPr>
          <w:rFonts w:hint="eastAsia" w:ascii="宋体" w:hAnsi="宋体" w:eastAsia="宋体" w:cs="Times New Roman"/>
          <w:b/>
          <w:bCs/>
          <w:color w:val="000000"/>
          <w:sz w:val="24"/>
          <w:szCs w:val="21"/>
          <w:highlight w:val="none"/>
        </w:rPr>
        <w:t xml:space="preserve">1</w:t>
      </w:r>
      <w:r>
        <w:rPr>
          <w:rFonts w:hint="eastAsia" w:ascii="宋体" w:hAnsi="宋体" w:eastAsia="宋体" w:cs="Times New Roman"/>
          <w:b/>
          <w:bCs/>
          <w:color w:val="000000"/>
          <w:sz w:val="24"/>
          <w:szCs w:val="21"/>
          <w:highlight w:val="none"/>
          <w:lang w:val="en-US" w:eastAsia="zh-CN"/>
        </w:rPr>
        <w:t xml:space="preserve">6</w:t>
      </w:r>
      <w:r>
        <w:rPr>
          <w:rFonts w:hint="eastAsia" w:ascii="宋体" w:hAnsi="宋体" w:eastAsia="宋体" w:cs="Times New Roman"/>
          <w:b/>
          <w:bCs/>
          <w:color w:val="000000"/>
          <w:sz w:val="24"/>
          <w:szCs w:val="21"/>
          <w:highlight w:val="none"/>
        </w:rPr>
        <w:t xml:space="preserve">.2.</w:t>
      </w:r>
      <w:r>
        <w:rPr>
          <w:rFonts w:hint="eastAsia" w:ascii="宋体" w:hAnsi="宋体" w:eastAsia="宋体" w:cs="Times New Roman"/>
          <w:b/>
          <w:bCs/>
          <w:color w:val="000000"/>
          <w:sz w:val="24"/>
          <w:szCs w:val="21"/>
          <w:highlight w:val="none"/>
          <w:lang w:val="en-US" w:eastAsia="zh-CN"/>
        </w:rPr>
        <w:t xml:space="preserve">3</w:t>
      </w:r>
      <w:r>
        <w:rPr>
          <w:rFonts w:hint="eastAsia" w:ascii="宋体" w:hAnsi="宋体" w:eastAsia="宋体" w:cs="Times New Roman"/>
          <w:b/>
          <w:bCs/>
          <w:color w:val="000000"/>
          <w:sz w:val="24"/>
          <w:szCs w:val="21"/>
          <w:highlight w:val="none"/>
        </w:rPr>
        <w:t xml:space="preserve"> 暗标评审</w:t>
      </w:r>
      <w:r>
        <w:rPr>
          <w:rFonts w:hint="eastAsia" w:ascii="宋体" w:hAnsi="宋体" w:eastAsia="宋体" w:cs="Times New Roman"/>
          <w:b/>
          <w:bCs/>
          <w:color w:val="000000"/>
          <w:sz w:val="24"/>
          <w:szCs w:val="21"/>
          <w:highlight w:val="none"/>
          <w:lang w:val="en-US" w:eastAsia="zh-CN"/>
        </w:rPr>
        <w:t xml:space="preserve">项的响应</w:t>
      </w:r>
      <w:r>
        <w:rPr>
          <w:rFonts w:hint="eastAsia" w:ascii="宋体" w:hAnsi="宋体" w:eastAsia="宋体" w:cs="Times New Roman"/>
          <w:b/>
          <w:bCs/>
          <w:color w:val="000000"/>
          <w:sz w:val="24"/>
          <w:szCs w:val="21"/>
          <w:highlight w:val="none"/>
        </w:rPr>
        <w:t xml:space="preserve">文件修改后仍需符合暗标编制要求，不得出现</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身份识别信息。</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20823301"/>
      <w:r/>
      <w:bookmarkStart w:id="61" w:name="_Toc513029229"/>
      <w:r/>
      <w:bookmarkStart w:id="62" w:name="_Toc16938545"/>
      <w:r/>
      <w:bookmarkStart w:id="63"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4" w:name="_Toc513029232"/>
      <w:r/>
      <w:bookmarkStart w:id="65" w:name="_Toc20823304"/>
      <w:r/>
      <w:bookmarkStart w:id="66" w:name="_Toc16938548"/>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7" w:name="_Toc20823305"/>
      <w:r/>
      <w:bookmarkStart w:id="68" w:name="_Toc513029233"/>
      <w:r/>
      <w:bookmarkStart w:id="69" w:name="_Toc16938549"/>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3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zh-CN" w:eastAsia="zh-CN"/>
        </w:rPr>
        <w:t xml:space="preserve">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zh-CN" w:eastAsia="zh-CN"/>
        </w:rPr>
        <w:t xml:space="preserve">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93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30"/>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930"/>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30"/>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93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30"/>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20823307"/>
      <w:r/>
      <w:bookmarkStart w:id="71" w:name="_Toc120614219"/>
      <w:r/>
      <w:bookmarkStart w:id="72" w:name="_Toc16938551"/>
      <w:r/>
      <w:bookmarkStart w:id="73"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30"/>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4" w:name="_Toc513029238"/>
      <w:r/>
      <w:bookmarkStart w:id="75" w:name="_Toc20823310"/>
      <w:r/>
      <w:bookmarkStart w:id="76"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74"/>
      <w:r>
        <w:rPr>
          <w:rFonts w:hint="eastAsia" w:ascii="方正楷体_GBK" w:hAnsi="方正楷体_GBK" w:eastAsia="方正楷体_GBK" w:cs="方正楷体_GBK"/>
          <w:b/>
          <w:bCs/>
          <w:color w:val="000000"/>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7"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30"/>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30"/>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93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4"/>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30"/>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3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30"/>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4"/>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4"/>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4"/>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930"/>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934"/>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30"/>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34"/>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30"/>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30"/>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30"/>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30"/>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30"/>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34"/>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930"/>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94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3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30"/>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930"/>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09"/>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30"/>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30"/>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30"/>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30"/>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30"/>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ind w:left="0" w:right="0" w:firstLine="0"/>
        <w:jc w:val="both"/>
        <w:spacing w:before="0" w:after="0"/>
        <w:rPr>
          <w:rFonts w:hint="eastAsia" w:ascii="宋体" w:hAnsi="宋体" w:eastAsia="宋体" w:cs="Courier New"/>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w:t>
      </w:r>
      <w:r>
        <w:rPr>
          <w:rFonts w:hint="eastAsia" w:ascii="宋体" w:hAnsi="宋体" w:eastAsia="宋体" w:cs="Courier New"/>
          <w:color w:val="000000"/>
          <w:sz w:val="24"/>
          <w:szCs w:val="24"/>
          <w:highlight w:val="none"/>
        </w:rPr>
        <w:t xml:space="preserve">权，由乙方负全部责任。</w:t>
      </w:r>
      <w:r>
        <w:rPr>
          <w:rFonts w:hint="eastAsia" w:ascii="宋体" w:hAnsi="宋体" w:eastAsia="宋体" w:cs="Courier New"/>
          <w:color w:val="000000"/>
          <w:sz w:val="24"/>
          <w:szCs w:val="24"/>
          <w:highlight w:val="none"/>
        </w:rPr>
      </w:r>
      <w:r>
        <w:rPr>
          <w:rFonts w:hint="eastAsia" w:ascii="宋体" w:hAnsi="宋体" w:eastAsia="宋体" w:cs="Courier New"/>
          <w:color w:val="000000"/>
          <w:sz w:val="24"/>
          <w:szCs w:val="24"/>
          <w:highlight w:val="none"/>
        </w:rPr>
      </w:r>
    </w:p>
    <w:p>
      <w:pPr>
        <w:ind w:left="0" w:right="0" w:firstLine="0"/>
        <w:jc w:val="both"/>
        <w:spacing w:before="0" w:after="0"/>
        <w:rPr>
          <w:sz w:val="22"/>
          <w:szCs w:val="22"/>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rPr>
        <w:t xml:space="preserve">4.2 </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rPr>
        <w:t xml:space="preserve">因履行本项目而产生的所有成果的知识产权等权利均归</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rPr>
        <w:t xml:space="preserve">所有，</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rPr>
        <w:t xml:space="preserve">应配合</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rPr>
        <w:t xml:space="preserve">进行相关权利登记或</w:t>
      </w:r>
      <w:r>
        <w:rPr>
          <w:rFonts w:ascii="Segoe UI" w:hAnsi="Segoe UI" w:eastAsia="Segoe UI" w:cs="Segoe UI"/>
          <w:color w:val="000000"/>
          <w:sz w:val="22"/>
          <w:highlight w:val="white"/>
        </w:rPr>
        <w:t xml:space="preserve">申请。未经</w:t>
      </w:r>
      <w:r>
        <w:rPr>
          <w:rFonts w:ascii="SimSun" w:hAnsi="SimSun" w:eastAsia="SimSun" w:cs="SimSun"/>
          <w:color w:val="000000"/>
          <w:sz w:val="22"/>
          <w:highlight w:val="white"/>
        </w:rPr>
        <w:t xml:space="preserve">甲方</w:t>
      </w:r>
      <w:r>
        <w:rPr>
          <w:rFonts w:ascii="Segoe UI" w:hAnsi="Segoe UI" w:eastAsia="Segoe UI" w:cs="Segoe UI"/>
          <w:color w:val="000000"/>
          <w:sz w:val="22"/>
          <w:highlight w:val="white"/>
        </w:rPr>
        <w:t xml:space="preserve">书面同意，</w:t>
      </w:r>
      <w:r>
        <w:rPr>
          <w:rFonts w:ascii="SimSun" w:hAnsi="SimSun" w:eastAsia="SimSun" w:cs="SimSun"/>
          <w:color w:val="000000"/>
          <w:sz w:val="22"/>
          <w:highlight w:val="white"/>
        </w:rPr>
        <w:t xml:space="preserve">乙方</w:t>
      </w:r>
      <w:r>
        <w:rPr>
          <w:rFonts w:ascii="Segoe UI" w:hAnsi="Segoe UI" w:eastAsia="Segoe UI" w:cs="Segoe UI"/>
          <w:color w:val="000000"/>
          <w:sz w:val="22"/>
          <w:highlight w:val="white"/>
        </w:rPr>
        <w:t xml:space="preserve">不得以任何形式使用或许可他人使用本项目成果的相关内容，不得擅自对外公开发表或向任何第三方透露。</w:t>
      </w:r>
      <w:r/>
      <w:r/>
      <w:r>
        <w:rPr>
          <w:rFonts w:hint="eastAsia" w:ascii="宋体" w:hAnsi="宋体" w:eastAsia="宋体" w:cs="Courier New"/>
          <w:color w:val="000000"/>
          <w:sz w:val="24"/>
          <w:szCs w:val="24"/>
          <w:highlight w:val="none"/>
        </w:rPr>
      </w:r>
      <w:r/>
      <w:r/>
      <w:r>
        <w:rPr>
          <w:sz w:val="22"/>
          <w:szCs w:val="22"/>
        </w:rP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2"/>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合同签订且服务团队人员到位后，甲方支付合同总价款的50%作为预付款。</w:t>
      </w:r>
      <w:r>
        <w:rPr>
          <w:rFonts w:hint="eastAsia" w:ascii="宋体" w:hAnsi="宋体" w:eastAsia="宋体" w:cs="Courier New"/>
          <w:color w:val="000000"/>
          <w:sz w:val="24"/>
          <w:szCs w:val="24"/>
          <w:highlight w:val="none"/>
          <w:lang w:val="en-US" w:eastAsia="zh-CN"/>
        </w:rPr>
      </w: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系统完成开发验收合格后，甲方支付合同总价款的50%。</w:t>
      </w:r>
      <w:r>
        <w:rPr>
          <w:rFonts w:hint="eastAsia" w:ascii="宋体" w:hAnsi="宋体" w:eastAsia="宋体" w:cs="Courier New"/>
          <w:color w:val="000000"/>
          <w:sz w:val="24"/>
          <w:szCs w:val="24"/>
          <w:highlight w:val="none"/>
          <w:lang w:val="en-US" w:eastAsia="zh-CN"/>
        </w:rPr>
      </w: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8.1.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每次付款前，乙方须提供等额、符合国家税收法律法规规定的增值税【专用</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普通】发票（明确税率），否则甲方有权延迟付款。甲方收到乙方发票后</w:t>
      </w:r>
      <w:r>
        <w:rPr>
          <w:rFonts w:hint="eastAsia" w:ascii="宋体" w:hAnsi="宋体" w:eastAsia="宋体" w:cs="Courier New"/>
          <w:color w:val="000000"/>
          <w:sz w:val="24"/>
          <w:szCs w:val="24"/>
          <w:highlight w:val="none"/>
          <w:lang w:val="en-US" w:eastAsia="zh-CN"/>
        </w:rPr>
        <w:t xml:space="preserve">10</w:t>
      </w:r>
      <w:r>
        <w:rPr>
          <w:rFonts w:hint="eastAsia" w:ascii="宋体" w:hAnsi="宋体" w:eastAsia="宋体" w:cs="Courier New"/>
          <w:color w:val="000000"/>
          <w:sz w:val="24"/>
          <w:szCs w:val="24"/>
          <w:highlight w:val="none"/>
          <w:lang w:val="en-US" w:eastAsia="zh-CN"/>
        </w:rPr>
        <w:t xml:space="preserve">个工作日内，将合同价款支付至乙方下列账户：</w:t>
      </w:r>
      <w:r>
        <w:rPr>
          <w:rFonts w:ascii="Times New Roman" w:hAnsi="Times New Roman" w:eastAsia="Times New Roman" w:cs="Times New Roman"/>
          <w:sz w:val="22"/>
        </w:rP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户名</w:t>
      </w:r>
      <w:r>
        <w:rPr>
          <w:rFonts w:ascii="Times New Roman" w:hAnsi="Times New Roman" w:eastAsia="Times New Roman" w:cs="Times New Roman"/>
          <w:sz w:val="22"/>
          <w:szCs w:val="22"/>
        </w:rP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开户行</w:t>
      </w:r>
      <w:r>
        <w:rPr>
          <w:rFonts w:ascii="Times New Roman" w:hAnsi="Times New Roman" w:eastAsia="Times New Roman" w:cs="Times New Roman"/>
          <w:sz w:val="22"/>
          <w:szCs w:val="22"/>
        </w:rPr>
      </w:r>
    </w:p>
    <w:p>
      <w:pPr>
        <w:pStyle w:val="972"/>
        <w:keepLines w:val="0"/>
        <w:keepNext w:val="0"/>
        <w:pageBreakBefore w:val="0"/>
        <w:spacing w:before="0" w:after="0" w:line="240" w:lineRule="auto"/>
        <w:widowControl w:val="off"/>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账号</w:t>
      </w:r>
      <w:r>
        <w:rPr>
          <w:rFonts w:hint="eastAsia" w:ascii="宋体" w:hAnsi="宋体" w:eastAsia="宋体" w:cs="Courier New"/>
          <w:color w:val="000000"/>
          <w:sz w:val="24"/>
          <w:szCs w:val="24"/>
          <w:highlight w:val="none"/>
          <w:lang w:val="en-US" w:eastAsia="zh-CN"/>
        </w:rPr>
        <w:t xml:space="preserve"> </w:t>
      </w:r>
      <w:r/>
      <w:r/>
    </w:p>
    <w:p>
      <w:pPr>
        <w:pStyle w:val="97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30"/>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7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2"/>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7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72"/>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7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2"/>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72"/>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30"/>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72"/>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1052"/>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Toc20823346"/>
      <w:r/>
      <w:bookmarkStart w:id="79" w:name="_Toc120614244"/>
      <w:r/>
      <w:bookmarkStart w:id="80" w:name="_Hlt16619350"/>
      <w:r/>
      <w:bookmarkStart w:id="81" w:name="_Toc16938590"/>
      <w:r/>
      <w:bookmarkStart w:id="82" w:name="_Toc479757211"/>
      <w:r/>
      <w:bookmarkStart w:id="83" w:name="_Toc462564139"/>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0"/>
        <w:ind w:firstLine="480"/>
        <w:keepLines w:val="0"/>
        <w:keepNext w:val="0"/>
        <w:pageBreakBefore w:val="0"/>
        <w:spacing w:line="264" w:lineRule="auto"/>
        <w:widowControl w:val="off"/>
        <w:rPr>
          <w:rFonts w:ascii="黑体" w:hAnsi="黑体" w:eastAsia="黑体" w:cs="黑体"/>
          <w:color w:val="000000"/>
          <w:sz w:val="24"/>
          <w:szCs w:val="24"/>
          <w:highlight w:val="none"/>
        </w:rPr>
      </w:pPr>
      <w:r/>
      <w:bookmarkStart w:id="86" w:name="_Toc120614281"/>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ascii="黑体" w:hAnsi="黑体" w:eastAsia="黑体" w:cs="黑体"/>
          <w:color w:val="000000"/>
          <w:sz w:val="24"/>
          <w:szCs w:val="24"/>
          <w:highlight w:val="none"/>
        </w:rPr>
      </w:r>
      <w:r/>
    </w:p>
    <w:p>
      <w:pPr>
        <w:pStyle w:val="930"/>
        <w:ind w:firstLine="480"/>
        <w:keepLines w:val="0"/>
        <w:keepNext w:val="0"/>
        <w:pageBreakBefore w:val="0"/>
        <w:spacing w:line="264" w:lineRule="auto"/>
        <w:widowControl w:val="off"/>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ascii="黑体" w:hAnsi="黑体" w:eastAsia="黑体" w:cs="黑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（一）项目背景</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随着信息化建设的深入推进和业务规模的持续扩大，现有的计量云一体化平台内控管理系统与财务云系统之间存在着信息孤岛和数据壁垒问题。两个系统各自独立运行，导致业务处理流程不连贯、数据重复录入、审批环节冗余，严重影响了工作效率和内部控制的有效性。当前，财务报销、合同支付、差旅报销等核心业务流程需要在两个系统间手动切换和重复操作，不仅增加了员工的工作负担，也带来了数据不一致的风险。为提升整体运营效率、强化内控管理、实现数字化转型的战略目标，亟需开展内控与财务系统的深度对接项目。</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内控与财务互联对接开发项目的核心目标是打破内控与财务之间的信息壁垒，实现资源的高效协同。该项目通过深度对接开发，将采购流程、合同执行、预算管理和审批管理等关键环节无缝衔接，形成从业务发生到财务报销的闭环管理，确保数据同源、实时同步，避免信息孤岛。</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（二）项目建设遵循标准</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CNAS-CL01《检测和校准实验室能力认可准则》及应用说明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CNAS-CL03《能力验证提供者认可准则》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RB/T 214-2017 《检验检测机构资质认定能力评价 检验检测机构通用要求》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JJF1069-2012《法定计量检定机构考核规范》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JJF1033-2016《计量标准考核规范》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《南京市计量监督检测院质量手册》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《南京市计量监督检测院程序文件》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ISO/IEC20000 《IT 服务管理体系标准》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ISO/IEC27001《信息安全管理体系标准》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ISO9001《质量管理体系标准》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GB/T 8567-2006《计算机软件产品开发文件编制规范》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GB/T 9385-88 《计算机软件需求说明编制指南》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GB/T 33780-2017《基于云计算的电子政务公共平台技术规范》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GB/T 22239-2019《信息安全技术网络安全等级保护基本要求》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GB/T 28448-2019《信息安全技术网络安全等级保护测评要求》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GB/T 25070-2019 《信息安全技术网络安全等级保护安全设计技术要求》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以上标准如有修订，以最新标准为依据。除上述规范标准以外，须遵循国家、行业及地方现行的规范和标准要求。</w:t>
      </w:r>
      <w:r>
        <w:rPr>
          <w:rFonts w:ascii="宋体" w:hAnsi="宋体" w:cs="宋体"/>
          <w:color w:val="000000"/>
          <w:sz w:val="24"/>
          <w:szCs w:val="24"/>
          <w:highlight w:val="none"/>
        </w:rPr>
      </w:r>
      <w:r/>
    </w:p>
    <w:p>
      <w:pPr>
        <w:pStyle w:val="930"/>
        <w:numPr>
          <w:ilvl w:val="0"/>
          <w:numId w:val="5"/>
        </w:numPr>
        <w:ind w:firstLine="480"/>
        <w:keepLines w:val="0"/>
        <w:keepNext w:val="0"/>
        <w:pageBreakBefore w:val="0"/>
        <w:spacing w:line="264" w:lineRule="auto"/>
        <w:widowControl w:val="off"/>
        <w:rPr>
          <w:rFonts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项目清单</w:t>
      </w:r>
      <w:r>
        <w:rPr>
          <w:rFonts w:ascii="黑体" w:hAnsi="黑体" w:eastAsia="黑体" w:cs="黑体"/>
          <w:color w:val="000000"/>
          <w:sz w:val="24"/>
          <w:szCs w:val="24"/>
          <w:highlight w:val="none"/>
        </w:rPr>
      </w:r>
      <w:r/>
    </w:p>
    <w:tbl>
      <w:tblPr>
        <w:tblW w:w="497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04"/>
        <w:gridCol w:w="1910"/>
        <w:gridCol w:w="813"/>
        <w:gridCol w:w="860"/>
        <w:gridCol w:w="1891"/>
        <w:gridCol w:w="1874"/>
        <w:gridCol w:w="1459"/>
      </w:tblGrid>
      <w:tr>
        <w:trPr>
          <w:trHeight w:val="831"/>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ascii="宋体" w:hAnsi="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ascii="宋体" w:hAnsi="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ascii="宋体" w:hAnsi="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400" w:lineRule="exact"/>
              <w:widowControl w:val="off"/>
              <w:rPr>
                <w:color w:val="000000"/>
                <w:highlight w:val="none"/>
              </w:rPr>
            </w:pPr>
            <w:r>
              <w:rPr>
                <w:rFonts w:hint="eastAsia"/>
                <w:color w:val="000000"/>
                <w:highlight w:val="none"/>
              </w:rPr>
              <w:t xml:space="preserve">单价上限</w:t>
            </w:r>
            <w:r>
              <w:rPr>
                <w:color w:val="000000"/>
                <w:highlight w:val="none"/>
              </w:rPr>
            </w:r>
            <w:r/>
          </w:p>
          <w:p>
            <w:pPr>
              <w:pStyle w:val="1056"/>
              <w:ind w:firstLine="0"/>
              <w:jc w:val="center"/>
              <w:keepLines w:val="0"/>
              <w:keepNext w:val="0"/>
              <w:pageBreakBefore w:val="0"/>
              <w:spacing w:line="400" w:lineRule="exact"/>
              <w:widowControl w:val="off"/>
              <w:rPr>
                <w:color w:val="000000"/>
                <w:highlight w:val="none"/>
              </w:rPr>
            </w:pPr>
            <w:r>
              <w:rPr>
                <w:rFonts w:hint="eastAsia"/>
                <w:bCs/>
                <w:color w:val="000000"/>
                <w:sz w:val="24"/>
                <w:szCs w:val="24"/>
                <w:highlight w:val="none"/>
              </w:rPr>
              <w:t xml:space="preserve">（元）</w:t>
            </w:r>
            <w:r>
              <w:rPr>
                <w:color w:val="000000"/>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ascii="宋体" w:hAnsi="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rPr>
                <w:rFonts w:hint="eastAsia" w:ascii="宋体" w:hAnsi="宋体" w:cs="宋体"/>
                <w:bCs/>
                <w:color w:val="000000"/>
                <w:sz w:val="24"/>
                <w:szCs w:val="24"/>
                <w:highlight w:val="none"/>
              </w:rPr>
              <w:t xml:space="preserve">属性</w:t>
            </w:r>
            <w:r>
              <w:rPr>
                <w:rFonts w:ascii="宋体" w:hAnsi="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bCs/>
                <w:color w:val="000000"/>
                <w:sz w:val="24"/>
                <w:szCs w:val="24"/>
                <w:highlight w:val="none"/>
              </w:rPr>
            </w:pPr>
            <w:r/>
            <w:bookmarkStart w:id="87" w:name="OLE_LINK3"/>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请款单底表接口开发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40000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费用报销单底表接口开发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40000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差旅报销单底表接口开发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40000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预算明细列表接口开发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合同台账列表接口开发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请款单信息列表接口开发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1058"/>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财务云查看计量云一体化平台单据功能</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28000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1058"/>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财务云回传状态到计量云一体化平台</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BI底表查询接口开发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18000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人员查询接口开发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715"/>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部门查询接口开发</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r>
        <w:trPr>
          <w:trHeight w:val="1431"/>
        </w:trPr>
        <w:tc>
          <w:tcPr>
            <w:tcW w:w="903"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ascii="宋体" w:hAnsi="宋体" w:cs="宋体"/>
                <w:bCs/>
                <w:color w:val="000000"/>
                <w:sz w:val="24"/>
                <w:szCs w:val="24"/>
                <w:highlight w:val="none"/>
              </w:rPr>
            </w:r>
            <w:r/>
          </w:p>
        </w:tc>
        <w:tc>
          <w:tcPr>
            <w:tcW w:w="1907"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为工资系统提供底表增删改接口以及业务配置</w:t>
            </w:r>
            <w:r>
              <w:rPr>
                <w:rFonts w:ascii="宋体" w:hAnsi="宋体" w:cs="宋体"/>
                <w:bCs/>
                <w:color w:val="000000"/>
                <w:sz w:val="24"/>
                <w:szCs w:val="24"/>
                <w:highlight w:val="none"/>
              </w:rPr>
            </w:r>
            <w:r/>
          </w:p>
        </w:tc>
        <w:tc>
          <w:tcPr>
            <w:tcW w:w="812"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859"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ascii="宋体" w:hAnsi="宋体" w:cs="宋体"/>
                <w:bCs/>
                <w:color w:val="000000"/>
                <w:sz w:val="24"/>
                <w:szCs w:val="24"/>
                <w:highlight w:val="none"/>
              </w:rPr>
            </w:r>
            <w:r/>
          </w:p>
        </w:tc>
        <w:tc>
          <w:tcPr>
            <w:tcW w:w="1888"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32000</w:t>
            </w:r>
            <w:r>
              <w:rPr>
                <w:rFonts w:ascii="宋体" w:hAnsi="宋体" w:cs="宋体"/>
                <w:bCs/>
                <w:color w:val="000000"/>
                <w:sz w:val="24"/>
                <w:szCs w:val="24"/>
                <w:highlight w:val="none"/>
              </w:rPr>
            </w:r>
            <w:r/>
          </w:p>
        </w:tc>
        <w:tc>
          <w:tcPr>
            <w:tcW w:w="1871"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1456" w:type="dxa"/>
            <w:vAlign w:val="center"/>
            <w:textDirection w:val="lrTb"/>
            <w:noWrap w:val="false"/>
          </w:tcPr>
          <w:p>
            <w:pPr>
              <w:pStyle w:val="930"/>
              <w:jc w:val="center"/>
              <w:keepLines w:val="0"/>
              <w:keepNext w:val="0"/>
              <w:pageBreakBefore w:val="0"/>
              <w:spacing w:line="264"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r>
    </w:tbl>
    <w:p>
      <w:pPr>
        <w:pStyle w:val="930"/>
        <w:ind w:firstLine="480"/>
        <w:keepLines w:val="0"/>
        <w:keepNext w:val="0"/>
        <w:pageBreakBefore w:val="0"/>
        <w:spacing w:line="264" w:lineRule="auto"/>
        <w:widowControl w:val="off"/>
        <w:rPr>
          <w:rFonts w:ascii="宋体" w:hAnsi="宋体" w:cs="宋体"/>
          <w:b/>
          <w:color w:val="000000"/>
          <w:sz w:val="24"/>
          <w:szCs w:val="24"/>
          <w:highlight w:val="none"/>
        </w:rPr>
        <w:outlineLvl w:val="1"/>
      </w:pPr>
      <w:r/>
      <w:bookmarkEnd w:id="87"/>
      <w:r>
        <w:rPr>
          <w:rFonts w:hint="eastAsia" w:ascii="黑体" w:hAnsi="黑体" w:eastAsia="黑体" w:cs="黑体"/>
          <w:color w:val="000000"/>
          <w:sz w:val="24"/>
          <w:szCs w:val="24"/>
          <w:highlight w:val="none"/>
        </w:rPr>
        <w:t xml:space="preserve">四、拟采购标的需要满足的技术、商务要求</w:t>
      </w:r>
      <w:r>
        <w:rPr>
          <w:rFonts w:ascii="宋体" w:hAnsi="宋体" w:cs="宋体"/>
          <w:b/>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（一）技术要求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▲1．请款单底表接口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财务云提供请款单底表接口，在计量云一体化平台中的合同执行清单/支出执行清单中点击【去支付】按钮,调用财务云请款单底表接口，跳转至财务云“请款单”流程，根据接口参数自动带出对应字段。</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▲2.费用报销单底表接口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费用报销单底表接口，在计量云一体化平台中的合同执行清单/支出执行清单中点击【去报销】按钮，现场检测任务报销中在未产生住宿费的情况下点击【报销】按钮，调用财务云费用报销单底表接口，跳转至财务云“费用报销单”流程，根据接口参数自动带出对应字段。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▲3.差旅报销单底表接口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差旅报销单底表接口，在计量云一体化平台中的外出报销中点击【报销】按钮，现场检测任务报销中在产生住宿费的情况下点击【报销】按钮，调用财务云差旅报销单底表接口，跳转至财务云“差旅报销单”流程，根据接口参数自动带出对应字段。</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4.预算明细列表接口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财务云提供预算明细列表接口，根据分页参数分页查询财务云预算明细主表/明细表相关数据且对于枚举等字段接口处理为正常文本。</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5.合同台账列表接口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财务云提供合同台账列表接口，根据分页参数分页查询财务云合同台账相关列表数据且对于枚举等字段接口处理为正常文本。</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6.请款单信息列表接口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财务云提供请款单信息列表接口，根据分页参数分页查询财务云请款单信息列表相关列表数据且对于枚举等字段接口处理为正常文本。</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7.财务云查看名的单据功能</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计量云一体化平台给财务云回传数据中需要提供一个可以直接打开计量云一体化平台对应单据的链接，财务云存储链接，在“费用报销单”/“差旅报销单”/“请款单”表单中新增【查看】控件（按钮），点击控件，可以直接查看对应单据。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▲8.财务云回传状态到计量云一体化平台</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计量云一体化平台提供状态接口，财务云在处理计量云一体化平台推送的单据后，会根据单据的不同流转状态（包括发起、指定回退、回退、撤销、流程结束、删除），调用计量云一体化平台提供的接口回传状态标记；计量云一体化平台在接收标记后，用于控制对应单据的按钮灰置状态，并在用户点击的时候根据标记类型给出对用提示。</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9.BI底表查询接口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BI相关的元数据给计量云一体化平台，计量云一体化平台拿到元数据后自行加工处理。财务云提供预算，报销，2025年合采购合同，合同台账，科技产生多少费用等未加工的元数据接口给计量云一体化平台,计量云一体化平台接收到数据后财务云协助计量云一体化平台梳理各个元数据之间的业务逻辑关系。</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10.人员查询接口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财务云提供根据人员编码批量查询人员信息的列表接口给工资系统，用于工资系统获取人员信息。 </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11.部门查询接口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财务云提供根据部门编码批量查询部门信息的列表接口给工资系统，用于工资系统获取部门信息。</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12.工资系统提供增删改接口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财务云新建薪酬底表，并向工资系统提供增删改查接口以同步数据；每类底表均配置报销按钮，点击按钮即可触发对应类型的报销流程并带入相关数据。</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★（二）商务要求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eastAsia="zh-CN"/>
        </w:rPr>
        <w:t xml:space="preserve">需承担财务云、计量一体化平台、工资系统三个平台的开发协调费用、接口费用和其他配合费用（</w:t>
      </w:r>
      <w:r>
        <w:rPr>
          <w:rFonts w:hint="eastAsia" w:ascii="宋体" w:hAnsi="宋体" w:eastAsia="宋体" w:cs="宋体"/>
          <w:color w:val="000000"/>
          <w:sz w:val="24"/>
          <w:szCs w:val="24"/>
          <w:highlight w:val="none"/>
          <w:lang w:val="en-US" w:eastAsia="zh-CN"/>
        </w:rPr>
        <w:t xml:space="preserve">报价中需考虑到本项目相关费用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（2）供应商的任何错漏、优惠、竞争性报价不得作为减</w:t>
      </w:r>
      <w:r>
        <w:rPr>
          <w:rFonts w:hint="eastAsia" w:ascii="宋体" w:hAnsi="宋体" w:cs="宋体"/>
          <w:color w:val="000000"/>
          <w:sz w:val="24"/>
          <w:szCs w:val="24"/>
          <w:highlight w:val="none"/>
        </w:rPr>
        <w:t xml:space="preserve">轻责任、减少服务、增加收费、降低服务质量的理由。</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本次项目必须基</w:t>
      </w:r>
      <w:r>
        <w:rPr>
          <w:rFonts w:hint="eastAsia" w:ascii="宋体" w:hAnsi="宋体" w:cs="宋体"/>
          <w:color w:val="000000"/>
          <w:sz w:val="24"/>
          <w:szCs w:val="24"/>
          <w:highlight w:val="none"/>
          <w:lang w:val="en-US" w:eastAsia="zh-CN"/>
        </w:rPr>
        <w:t xml:space="preserve">于我院现有平台</w:t>
      </w:r>
      <w:r>
        <w:rPr>
          <w:rFonts w:ascii="宋体" w:hAnsi="宋体" w:cs="宋体"/>
          <w:color w:val="000000"/>
          <w:sz w:val="24"/>
          <w:szCs w:val="24"/>
          <w:highlight w:val="none"/>
        </w:rPr>
        <w:t xml:space="preserve">平台上进行二次开发、不得搭建第三方平台进行跳转开发，需保持原有用户的使用习惯。</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供应商应具备有利于本项目实施</w:t>
      </w:r>
      <w:r>
        <w:rPr>
          <w:rFonts w:hint="eastAsia" w:ascii="宋体" w:hAnsi="宋体" w:cs="宋体"/>
          <w:color w:val="000000"/>
          <w:sz w:val="24"/>
          <w:szCs w:val="24"/>
          <w:highlight w:val="none"/>
        </w:rPr>
        <w:t xml:space="preserve">的项目经验，具有较好的软件开发实力与企业信用。</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（2）服务要求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采用国际通用的规范化的软件开发、软件工程实施和项目管理方法，提供完整的质量保证体系，对项目实施的全过程进行监控和管理，对项目进度和工程实施进度进行控制；同时应有详细易懂的系统的安装、运行、验收测试的技术文件，所有的技术文件须是中文，并且本项目所有文档应按照所使用的质量管理体系要求编写。</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完成本项目涉及建设内容的开发、安装、培训、投入试运行，并对采购人提出的改进要求完成改进后进行验收。供应商需向采购人提供验收方案和验收文档清单、测试结果报告，系统的安装、运行、使用、测试、诊断和维修的技术文件。所有的技术文件需是中文书写。</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供应商应负责在项目验收时将系统的全部有关产品说明书、部署手册、技术文件、资料、定制开发部分源代码，以及安装、测试、验收报告等文档汇集成册交付采购人。</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系统交付成果由以下几个方面组成：</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项目实施方案</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需求说明书</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用户操作手册、操作视频</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系统安全检测报告（漏扫报告、渗透报告）</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产品安装部署手册、数据字典和系统安装程序</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其他项目相关文档</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（4）维保要求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免费维护期：项目验收后，应提供一年免费维护。</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维护费用：免费维护期内，供应商提供各项维护内容，维护期内发生的任何费用采购人将不再支付。维护期外，与供应商协商且双方同意后或经过政府采购后，确定维护内容及费用并签订相应维护合同。</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维护内容：以远程在线方式（包括但不限于远程连接、电话沟通、短信沟通、及时通讯软件）为主，驻场服务为辅，提供既有流程和表单维护、数据备份和维护、功能维护、权限维护、操作培训等运维服务内容。</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（5）人员要求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针对本次项目成立专门的项目组，设立专职项目经理负责整个项目的协调工作。项目经理能够在现场沟通项目需求和开发进度，并严格管理软件产品，供应商提供满足采购人需求的支持和服务。参与此项目的技术人员应具有相关专业技术资格证书以及同类项目的工作经验，能够与用户进行良好的沟通，具有良好的职业道德和 严谨的工作作风，保证系统开发、部署、测试和试运行阶段的服务质量。</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（6）知识产权及保密要求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①供应商因履行本项目而产生的所有成果的知识产权等权利均归采购人所有，供应商应配合采购人进行相关权利登记或申请。未经采购人书面同意，供应商不得以任何形式使用或许可他人使用本项目成果的相关内容，不得擅自对外公开发表或向任何第三方透露。</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②供应商保证其所提供的服务和交付的成果以及在履行本合同义务中使用到的所有数据、文件、信息不会引起任何第三方在专利权、著作权、商标权、名誉权、隐私权等权益向采购人或采购人的关联方及合作方（包括但不限于采购人的主管单位和采购人的合作单位等）发出侵权指控或提出索赔或使采购人或采购人的关联方及合作方遭受任何政府部门处罚。若有，供应商应负责与第三方解决纠纷，若因此导致采购人损失的，采购人有权要求供应商赔偿采购人因此遭受的全部损失，包括但不限于直接损失、间接损失、诉讼费／仲裁费、律师费、公证费、鉴定费、保全保险费等。</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bookmarkStart w:id="88" w:name="OLE_LINK13"/>
      <w:r>
        <w:rPr>
          <w:rFonts w:hint="eastAsia" w:ascii="宋体" w:hAnsi="宋体" w:cs="宋体"/>
          <w:color w:val="000000"/>
          <w:sz w:val="24"/>
          <w:szCs w:val="24"/>
          <w:highlight w:val="none"/>
        </w:rPr>
        <w:t xml:space="preserve">（7）</w:t>
      </w:r>
      <w:bookmarkStart w:id="89" w:name="OLE_LINK14"/>
      <w:r>
        <w:rPr>
          <w:rFonts w:hint="eastAsia" w:ascii="宋体" w:hAnsi="宋体" w:cs="宋体"/>
          <w:color w:val="000000"/>
          <w:sz w:val="24"/>
          <w:szCs w:val="24"/>
          <w:highlight w:val="none"/>
        </w:rPr>
        <w:t xml:space="preserve">建设成果要求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bookmarkEnd w:id="88"/>
      <w:r/>
      <w:bookmarkEnd w:id="89"/>
      <w:r>
        <w:rPr>
          <w:rFonts w:hint="eastAsia" w:ascii="宋体" w:hAnsi="宋体" w:cs="宋体"/>
          <w:color w:val="000000"/>
          <w:sz w:val="24"/>
          <w:szCs w:val="24"/>
          <w:highlight w:val="none"/>
        </w:rPr>
        <w:t xml:space="preserve">供应商在项目建设的各个阶段及时提交建设成果，主要包括但不限于以下内容：</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①项目启动阶段：项目实施方案。</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②业务需求分析阶段：需求分析说明书。</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③系统设计、开发阶段：系统设计说明书、系统接口说明书。</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④系统实施阶段：系统上线部署方案、系统培训方案、系统培训手册。</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⑤项目验收阶段：测试报告、系统运行报告、项目验收报告。</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⑥运行维护阶段：系统维护方案、系统维护手册、系统运行维护记录。</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bookmarkStart w:id="90" w:name="OLE_LINK18"/>
      <w:r>
        <w:rPr>
          <w:rFonts w:hint="eastAsia" w:ascii="宋体" w:hAnsi="宋体" w:cs="宋体"/>
          <w:color w:val="000000"/>
          <w:sz w:val="24"/>
          <w:szCs w:val="24"/>
          <w:highlight w:val="none"/>
        </w:rPr>
        <w:t xml:space="preserve">（8）培训要求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olor w:val="000000"/>
          <w:sz w:val="24"/>
          <w:szCs w:val="24"/>
          <w:highlight w:val="none"/>
        </w:rPr>
      </w:pPr>
      <w:r/>
      <w:bookmarkEnd w:id="90"/>
      <w:r>
        <w:rPr>
          <w:rFonts w:hint="eastAsia" w:ascii="宋体" w:hAnsi="宋体"/>
          <w:color w:val="000000"/>
          <w:sz w:val="24"/>
          <w:szCs w:val="24"/>
          <w:highlight w:val="none"/>
        </w:rPr>
        <w:t xml:space="preserve">供应商应提供培训服务，采购人将组织相关人员参加培训，相关事项参见下表。</w:t>
      </w:r>
      <w:r>
        <w:rPr>
          <w:rFonts w:ascii="宋体" w:hAnsi="宋体"/>
          <w:color w:val="000000"/>
          <w:sz w:val="24"/>
          <w:szCs w:val="24"/>
          <w:highlight w:val="none"/>
        </w:rPr>
      </w:r>
      <w:r/>
    </w:p>
    <w:tbl>
      <w:tblPr>
        <w:tblW w:w="4951" w:type="pct"/>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97"/>
        <w:gridCol w:w="5367"/>
      </w:tblGrid>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b/>
                <w:bCs/>
                <w:color w:val="000000"/>
                <w:sz w:val="24"/>
                <w:szCs w:val="24"/>
                <w:highlight w:val="none"/>
              </w:rPr>
            </w:pPr>
            <w:r>
              <w:rPr>
                <w:rFonts w:ascii="宋体" w:hAnsi="宋体"/>
                <w:b/>
                <w:bCs/>
                <w:color w:val="000000"/>
                <w:sz w:val="24"/>
                <w:szCs w:val="24"/>
                <w:highlight w:val="none"/>
              </w:rPr>
              <w:t xml:space="preserve">事项</w:t>
            </w:r>
            <w:r>
              <w:rPr>
                <w:rFonts w:ascii="宋体" w:hAnsi="宋体"/>
                <w:b/>
                <w:bCs/>
                <w:color w:val="000000"/>
                <w:sz w:val="24"/>
                <w:szCs w:val="24"/>
                <w:highlight w:val="none"/>
              </w:rPr>
            </w:r>
            <w:r/>
          </w:p>
        </w:tc>
        <w:tc>
          <w:tcPr>
            <w:tcW w:w="2720" w:type="dxa"/>
            <w:vAlign w:val="top"/>
            <w:textDirection w:val="lrTb"/>
            <w:noWrap w:val="false"/>
          </w:tcPr>
          <w:p>
            <w:pPr>
              <w:pStyle w:val="930"/>
              <w:jc w:val="center"/>
              <w:keepLines w:val="0"/>
              <w:keepNext w:val="0"/>
              <w:pageBreakBefore w:val="0"/>
              <w:spacing w:line="360" w:lineRule="auto"/>
              <w:widowControl w:val="off"/>
              <w:rPr>
                <w:rFonts w:ascii="宋体" w:hAnsi="宋体"/>
                <w:b/>
                <w:bCs/>
                <w:color w:val="000000"/>
                <w:sz w:val="24"/>
                <w:szCs w:val="24"/>
                <w:highlight w:val="none"/>
              </w:rPr>
            </w:pPr>
            <w:r>
              <w:rPr>
                <w:rFonts w:ascii="宋体" w:hAnsi="宋体"/>
                <w:b/>
                <w:bCs/>
                <w:color w:val="000000"/>
                <w:sz w:val="24"/>
                <w:szCs w:val="24"/>
                <w:highlight w:val="none"/>
              </w:rPr>
              <w:t xml:space="preserve">建议的安排</w:t>
            </w:r>
            <w:r>
              <w:rPr>
                <w:rFonts w:ascii="宋体" w:hAnsi="宋体"/>
                <w:b/>
                <w:bCs/>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培训对象</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相关职能部门</w:t>
            </w:r>
            <w:r>
              <w:rPr>
                <w:rFonts w:ascii="宋体" w:hAnsi="宋体"/>
                <w:color w:val="000000"/>
                <w:sz w:val="24"/>
                <w:szCs w:val="24"/>
                <w:highlight w:val="none"/>
              </w:rPr>
            </w:r>
            <w:r/>
          </w:p>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信息相关人员</w:t>
            </w:r>
            <w:r>
              <w:rPr>
                <w:rFonts w:ascii="宋体" w:hAnsi="宋体"/>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培训课程</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系统操作</w:t>
            </w:r>
            <w:r>
              <w:rPr>
                <w:rFonts w:ascii="宋体" w:hAnsi="宋体"/>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培训方式</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功能演示</w:t>
            </w:r>
            <w:r>
              <w:rPr>
                <w:rFonts w:ascii="宋体" w:hAnsi="宋体"/>
                <w:color w:val="000000"/>
                <w:sz w:val="24"/>
                <w:szCs w:val="24"/>
                <w:highlight w:val="none"/>
              </w:rPr>
            </w:r>
            <w:r/>
          </w:p>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业务人员上机操作</w:t>
            </w:r>
            <w:r>
              <w:rPr>
                <w:rFonts w:ascii="宋体" w:hAnsi="宋体"/>
                <w:color w:val="000000"/>
                <w:sz w:val="24"/>
                <w:szCs w:val="24"/>
                <w:highlight w:val="none"/>
              </w:rPr>
            </w:r>
            <w:r/>
          </w:p>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答疑</w:t>
            </w:r>
            <w:r>
              <w:rPr>
                <w:rFonts w:ascii="宋体" w:hAnsi="宋体"/>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培训时间</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培训时间安排根据项目具体实施的进度在系统上线之前，对业务人员进行培训</w:t>
            </w:r>
            <w:r>
              <w:rPr>
                <w:rFonts w:ascii="宋体" w:hAnsi="宋体"/>
                <w:color w:val="000000"/>
                <w:sz w:val="24"/>
                <w:szCs w:val="24"/>
                <w:highlight w:val="none"/>
              </w:rPr>
            </w:r>
            <w:r/>
          </w:p>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培训时间为0.5天—1天</w:t>
            </w:r>
            <w:r>
              <w:rPr>
                <w:rFonts w:ascii="宋体" w:hAnsi="宋体"/>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培训地点</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采购人指定地点</w:t>
            </w:r>
            <w:r>
              <w:rPr>
                <w:rFonts w:ascii="宋体" w:hAnsi="宋体"/>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培训教材</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lang w:val="zh-CN"/>
              </w:rPr>
              <w:t xml:space="preserve">系统用户操作手册</w:t>
            </w:r>
            <w:r>
              <w:rPr>
                <w:rFonts w:ascii="宋体" w:hAnsi="宋体"/>
                <w:color w:val="000000"/>
                <w:sz w:val="24"/>
                <w:szCs w:val="24"/>
                <w:highlight w:val="none"/>
              </w:rPr>
            </w:r>
            <w:r/>
          </w:p>
        </w:tc>
      </w:tr>
      <w:tr>
        <w:trPr>
          <w:trHeight w:val="20"/>
        </w:trPr>
        <w:tc>
          <w:tcPr>
            <w:tcW w:w="2279" w:type="dxa"/>
            <w:vAlign w:val="center"/>
            <w:textDirection w:val="lrTb"/>
            <w:noWrap w:val="false"/>
          </w:tcPr>
          <w:p>
            <w:pPr>
              <w:pStyle w:val="930"/>
              <w:jc w:val="center"/>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培训师资</w:t>
            </w:r>
            <w:r>
              <w:rPr>
                <w:rFonts w:ascii="宋体" w:hAnsi="宋体"/>
                <w:color w:val="000000"/>
                <w:sz w:val="24"/>
                <w:szCs w:val="24"/>
                <w:highlight w:val="none"/>
              </w:rPr>
            </w:r>
            <w:r/>
          </w:p>
        </w:tc>
        <w:tc>
          <w:tcPr>
            <w:tcW w:w="2720" w:type="dxa"/>
            <w:vAlign w:val="top"/>
            <w:textDirection w:val="lrTb"/>
            <w:noWrap w:val="false"/>
          </w:tcPr>
          <w:p>
            <w:pPr>
              <w:pStyle w:val="930"/>
              <w:numPr>
                <w:ilvl w:val="0"/>
                <w:numId w:val="6"/>
              </w:numPr>
              <w:jc w:val="left"/>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供应商项目经理</w:t>
            </w:r>
            <w:r>
              <w:rPr>
                <w:rFonts w:ascii="宋体" w:hAnsi="宋体"/>
                <w:color w:val="000000"/>
                <w:sz w:val="24"/>
                <w:szCs w:val="24"/>
                <w:highlight w:val="none"/>
              </w:rPr>
            </w:r>
            <w:r/>
          </w:p>
        </w:tc>
      </w:tr>
    </w:tbl>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olor w:val="000000"/>
          <w:sz w:val="24"/>
          <w:szCs w:val="24"/>
          <w:highlight w:val="none"/>
        </w:rPr>
        <w:t xml:space="preserve">针对上述事项制定详细的培训方案，确保参加培训的相关人员可完全独立的对该系统操作、运行。</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3.付款条件</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以第三章合同文本内容为准。</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4.交付时间及地点</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（1）交付时间：合同签订后</w:t>
      </w:r>
      <w:r>
        <w:rPr>
          <w:rFonts w:ascii="宋体" w:hAnsi="宋体" w:cs="宋体"/>
          <w:color w:val="000000"/>
          <w:sz w:val="24"/>
          <w:szCs w:val="24"/>
          <w:highlight w:val="none"/>
        </w:rPr>
        <w:t xml:space="preserve">120</w:t>
      </w:r>
      <w:r>
        <w:rPr>
          <w:rFonts w:hint="eastAsia" w:ascii="宋体" w:hAnsi="宋体" w:cs="宋体"/>
          <w:color w:val="000000"/>
          <w:sz w:val="24"/>
          <w:szCs w:val="24"/>
          <w:highlight w:val="none"/>
        </w:rPr>
        <w:t xml:space="preserve">天内完成系统开发。</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（2）交付地点：采购人指定地点。</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5.其他要求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（三）演示要求</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1.视频文件的格式为*.mp4或*.avi，供应商须将视频文件压缩为*.zip文件上传（</w:t>
      </w:r>
      <w:r>
        <w:rPr>
          <w:rFonts w:hint="eastAsia" w:ascii="宋体" w:hAnsi="宋体"/>
          <w:color w:val="000000"/>
          <w:sz w:val="24"/>
          <w:szCs w:val="24"/>
          <w:highlight w:val="none"/>
        </w:rPr>
        <w:t xml:space="preserve">单个文件不得大于50M，大于50M的需分段压缩，所有文件合计不得大于300M</w:t>
      </w:r>
      <w:r>
        <w:rPr>
          <w:rFonts w:hint="eastAsia" w:ascii="宋体" w:hAnsi="宋体" w:cs="宋体"/>
          <w:color w:val="000000"/>
          <w:sz w:val="24"/>
          <w:szCs w:val="24"/>
          <w:highlight w:val="none"/>
        </w:rPr>
        <w:t xml:space="preserve">）。文件上传方式见苏采云系统操作指南，上传的演示视频将作为响应文件的组成部分。视频时长总计不超过10分钟。</w:t>
      </w:r>
      <w:r>
        <w:rPr>
          <w:rFonts w:ascii="宋体" w:hAnsi="宋体" w:cs="宋体"/>
          <w:color w:val="000000"/>
          <w:sz w:val="24"/>
          <w:szCs w:val="24"/>
          <w:highlight w:val="none"/>
        </w:rPr>
      </w:r>
      <w:r/>
    </w:p>
    <w:p>
      <w:pPr>
        <w:pStyle w:val="930"/>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2.演示内容详见“第五章 评审方法与评审标准”。</w:t>
      </w:r>
      <w:r>
        <w:rPr>
          <w:rFonts w:ascii="宋体" w:hAnsi="宋体" w:cs="宋体"/>
          <w:color w:val="000000"/>
          <w:sz w:val="24"/>
          <w:szCs w:val="24"/>
          <w:highlight w:val="none"/>
        </w:rPr>
      </w:r>
      <w:r/>
    </w:p>
    <w:p>
      <w:pPr>
        <w:pStyle w:val="942"/>
        <w:numPr>
          <w:ilvl w:val="0"/>
          <w:numId w:val="0"/>
        </w:numPr>
        <w:jc w:val="both"/>
        <w:spacing w:after="0" w:line="264" w:lineRule="auto"/>
        <w:widowControl w:val="off"/>
        <w:rPr>
          <w:rFonts w:hint="eastAsia"/>
          <w:color w:val="000000"/>
          <w:highlight w:val="none"/>
          <w:lang w:val="en-US" w:eastAsia="zh-CN"/>
        </w:rPr>
      </w:pPr>
      <w:r>
        <w:rPr>
          <w:rFonts w:hint="eastAsia"/>
          <w:color w:val="000000"/>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942"/>
        <w:rPr>
          <w:rFonts w:hint="eastAsia"/>
          <w:color w:val="000000"/>
          <w:highlight w:val="none"/>
          <w:lang w:val="en-US" w:eastAsia="zh-CN"/>
        </w:rPr>
      </w:pPr>
      <w:r>
        <w:rPr>
          <w:rFonts w:hint="eastAsia"/>
          <w:color w:val="000000"/>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942"/>
        <w:rPr>
          <w:rFonts w:hint="eastAsia"/>
          <w:color w:val="000000"/>
          <w:highlight w:val="none"/>
          <w:lang w:val="en-US" w:eastAsia="zh-CN"/>
        </w:rPr>
      </w:pPr>
      <w:r>
        <w:rPr>
          <w:rFonts w:hint="eastAsia"/>
          <w:color w:val="000000"/>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942"/>
        <w:rPr>
          <w:rFonts w:hint="eastAsia"/>
          <w:color w:val="000000"/>
          <w:highlight w:val="none"/>
          <w:lang w:val="en-US" w:eastAsia="zh-CN"/>
        </w:rPr>
      </w:pPr>
      <w:r>
        <w:rPr>
          <w:rFonts w:hint="eastAsia"/>
          <w:color w:val="000000"/>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942"/>
        <w:rPr>
          <w:rFonts w:hint="eastAsia"/>
          <w:color w:val="000000"/>
          <w:highlight w:val="none"/>
          <w:lang w:val="en-US" w:eastAsia="zh-CN"/>
        </w:rPr>
      </w:pPr>
      <w:r>
        <w:rPr>
          <w:rFonts w:hint="eastAsia"/>
          <w:color w:val="000000"/>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1052"/>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color w:val="000000"/>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0"/>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30"/>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30"/>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30"/>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W w:w="104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gridCol w:w="900"/>
      </w:tblGrid>
      <w:tr>
        <w:trPr>
          <w:trHeight w:val="501"/>
          <w:tblHeader/>
        </w:trPr>
        <w:tc>
          <w:tcPr>
            <w:tcW w:w="519" w:type="dxa"/>
            <w:vAlign w:val="top"/>
            <w:textDirection w:val="lrTb"/>
            <w:noWrap w:val="false"/>
          </w:tcPr>
          <w:p>
            <w:pPr>
              <w:pStyle w:val="930"/>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top"/>
            <w:textDirection w:val="lrTb"/>
            <w:noWrap w:val="false"/>
          </w:tcPr>
          <w:p>
            <w:pPr>
              <w:pStyle w:val="930"/>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top"/>
            <w:textDirection w:val="lrTb"/>
            <w:noWrap w:val="false"/>
          </w:tcPr>
          <w:p>
            <w:pPr>
              <w:pStyle w:val="930"/>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top"/>
            <w:textDirection w:val="lrTb"/>
            <w:noWrap w:val="false"/>
          </w:tcPr>
          <w:p>
            <w:pPr>
              <w:pStyle w:val="930"/>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top"/>
            <w:textDirection w:val="lrTb"/>
            <w:noWrap w:val="false"/>
          </w:tcPr>
          <w:p>
            <w:pPr>
              <w:pStyle w:val="930"/>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c>
          <w:tcPr>
            <w:tcW w:w="900" w:type="dxa"/>
            <w:vAlign w:val="top"/>
            <w:textDirection w:val="lrTb"/>
            <w:noWrap w:val="false"/>
          </w:tcPr>
          <w:p>
            <w:pPr>
              <w:pStyle w:val="930"/>
              <w:jc w:val="center"/>
              <w:spacing w:before="122" w:line="288" w:lineRule="auto"/>
              <w:rPr>
                <w:rFonts w:ascii="宋体" w:hAnsi="宋体" w:cs="宋体"/>
                <w:b/>
                <w:bCs/>
                <w:color w:val="000000"/>
                <w:spacing w:val="-3"/>
                <w:szCs w:val="21"/>
                <w:highlight w:val="none"/>
              </w:rPr>
            </w:pPr>
            <w:r>
              <w:rPr>
                <w:rFonts w:hint="eastAsia" w:ascii="宋体" w:hAnsi="宋体" w:cs="宋体"/>
                <w:b/>
                <w:bCs/>
                <w:color w:val="000000"/>
                <w:spacing w:val="-3"/>
                <w:szCs w:val="21"/>
                <w:highlight w:val="none"/>
              </w:rPr>
              <w:t xml:space="preserve">是否暗标评审</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930"/>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c>
          <w:tcPr>
            <w:tcW w:w="900" w:type="dxa"/>
            <w:vAlign w:val="top"/>
            <w:textDirection w:val="lrTb"/>
            <w:noWrap w:val="false"/>
          </w:tcPr>
          <w:p>
            <w:pPr>
              <w:pStyle w:val="930"/>
              <w:ind w:left="114"/>
              <w:spacing w:before="122" w:line="264" w:lineRule="auto"/>
              <w:rPr>
                <w:rFonts w:ascii="宋体" w:hAnsi="宋体" w:cs="宋体"/>
                <w:b/>
                <w:bCs/>
                <w:color w:val="000000"/>
                <w:spacing w:val="-3"/>
                <w:highlight w:val="none"/>
              </w:rPr>
            </w:pPr>
            <w:r>
              <w:rPr>
                <w:rFonts w:ascii="宋体" w:hAnsi="宋体" w:cs="宋体"/>
                <w:b/>
                <w:bCs/>
                <w:color w:val="000000"/>
                <w:spacing w:val="-3"/>
                <w:highlight w:val="none"/>
              </w:rPr>
            </w:r>
            <w:r/>
          </w:p>
        </w:tc>
      </w:tr>
      <w:tr>
        <w:trPr>
          <w:trHeight w:val="90"/>
        </w:trPr>
        <w:tc>
          <w:tcPr>
            <w:tcW w:w="519" w:type="dxa"/>
            <w:vAlign w:val="center"/>
            <w:textDirection w:val="lrTb"/>
            <w:noWrap w:val="false"/>
          </w:tcPr>
          <w:p>
            <w:pPr>
              <w:pStyle w:val="930"/>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179" w:type="dxa"/>
            <w:vAlign w:val="center"/>
            <w:textDirection w:val="lrTb"/>
            <w:noWrap w:val="false"/>
          </w:tcPr>
          <w:p>
            <w:pPr>
              <w:pStyle w:val="930"/>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330" w:type="dxa"/>
            <w:vAlign w:val="center"/>
            <w:textDirection w:val="lrTb"/>
            <w:noWrap w:val="false"/>
          </w:tcPr>
          <w:p>
            <w:pPr>
              <w:pStyle w:val="930"/>
              <w:jc w:val="left"/>
              <w:spacing w:line="264" w:lineRule="auto"/>
              <w:rPr>
                <w:color w:val="000000"/>
                <w:highlight w:val="none"/>
              </w:rPr>
            </w:pPr>
            <w:r>
              <w:rPr>
                <w:rFonts w:hint="eastAsia" w:ascii="宋体" w:hAnsi="宋体" w:cs="宋体"/>
                <w:color w:val="000000"/>
                <w:highlight w:val="none"/>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15</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价格分</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bookmarkStart w:id="91" w:name="OLE_LINK4"/>
            <w:r>
              <w:rPr>
                <w:rFonts w:hint="eastAsia" w:ascii="宋体" w:hAnsi="宋体" w:cs="宋体"/>
                <w:color w:val="000000"/>
                <w:highlight w:val="none"/>
              </w:rPr>
              <w:t xml:space="preserve">否</w:t>
            </w:r>
            <w:bookmarkEnd w:id="91"/>
            <w:r>
              <w:rPr>
                <w:rFonts w:ascii="宋体" w:hAnsi="宋体" w:cs="宋体"/>
                <w:color w:val="000000"/>
                <w:highlight w:val="none"/>
              </w:rPr>
            </w:r>
            <w:r/>
          </w:p>
        </w:tc>
      </w:tr>
      <w:tr>
        <w:trPr>
          <w:trHeight w:val="460"/>
        </w:trPr>
        <w:tc>
          <w:tcPr>
            <w:gridSpan w:val="5"/>
            <w:tcW w:w="9575" w:type="dxa"/>
            <w:vAlign w:val="top"/>
            <w:textDirection w:val="lrTb"/>
            <w:noWrap w:val="false"/>
          </w:tcPr>
          <w:p>
            <w:pPr>
              <w:pStyle w:val="930"/>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2.技术</w:t>
            </w:r>
            <w:r>
              <w:rPr>
                <w:rFonts w:ascii="宋体" w:hAnsi="宋体" w:cs="宋体"/>
                <w:color w:val="000000"/>
                <w:highlight w:val="none"/>
              </w:rPr>
            </w:r>
            <w:r/>
          </w:p>
        </w:tc>
        <w:tc>
          <w:tcPr>
            <w:tcW w:w="900" w:type="dxa"/>
            <w:vAlign w:val="top"/>
            <w:textDirection w:val="lrTb"/>
            <w:noWrap w:val="false"/>
          </w:tcPr>
          <w:p>
            <w:pPr>
              <w:pStyle w:val="930"/>
              <w:ind w:left="114"/>
              <w:spacing w:before="123" w:line="264" w:lineRule="auto"/>
              <w:rPr>
                <w:rFonts w:ascii="宋体" w:hAnsi="宋体" w:cs="宋体"/>
                <w:b/>
                <w:bCs/>
                <w:color w:val="000000"/>
                <w:spacing w:val="-3"/>
                <w:highlight w:val="none"/>
              </w:rPr>
            </w:pPr>
            <w:r>
              <w:rPr>
                <w:rFonts w:ascii="宋体" w:hAnsi="宋体" w:cs="宋体"/>
                <w:b/>
                <w:bCs/>
                <w:color w:val="000000"/>
                <w:spacing w:val="-3"/>
                <w:highlight w:val="none"/>
              </w:rPr>
            </w:r>
            <w:r/>
          </w:p>
        </w:tc>
      </w:tr>
      <w:tr>
        <w:trPr>
          <w:trHeight w:val="460"/>
        </w:trPr>
        <w:tc>
          <w:tcPr>
            <w:gridSpan w:val="6"/>
            <w:tcW w:w="10475" w:type="dxa"/>
            <w:vAlign w:val="top"/>
            <w:textDirection w:val="lrTb"/>
            <w:noWrap w:val="false"/>
          </w:tcPr>
          <w:p>
            <w:pPr>
              <w:pStyle w:val="930"/>
              <w:ind w:left="114"/>
              <w:spacing w:before="123" w:line="264" w:lineRule="auto"/>
              <w:rPr>
                <w:rFonts w:ascii="宋体" w:hAnsi="宋体" w:cs="宋体"/>
                <w:b/>
                <w:bCs/>
                <w:color w:val="000000"/>
                <w:spacing w:val="-3"/>
                <w:sz w:val="22"/>
                <w:szCs w:val="24"/>
                <w:highlight w:val="none"/>
              </w:rPr>
            </w:pPr>
            <w:r>
              <w:rPr>
                <w:rFonts w:hint="eastAsia" w:ascii="宋体" w:hAnsi="宋体" w:cs="宋体"/>
                <w:b/>
                <w:bCs/>
                <w:color w:val="000000"/>
                <w:spacing w:val="-3"/>
                <w:sz w:val="22"/>
                <w:szCs w:val="24"/>
                <w:highlight w:val="none"/>
              </w:rPr>
              <w:t xml:space="preserve">下列评分项采用暗标评审的，供应商提供的评审材料中不得出现投供应商名称、标志、标记及其他可识别身份的信息，否则所有暗标评审项均不得分。</w:t>
            </w:r>
            <w:r>
              <w:rPr>
                <w:rFonts w:ascii="宋体" w:hAnsi="宋体" w:cs="宋体"/>
                <w:b/>
                <w:bCs/>
                <w:color w:val="000000"/>
                <w:spacing w:val="-3"/>
                <w:sz w:val="22"/>
                <w:szCs w:val="24"/>
                <w:highlight w:val="none"/>
              </w:rPr>
            </w:r>
            <w:r/>
          </w:p>
        </w:tc>
      </w:tr>
      <w:tr>
        <w:trPr>
          <w:trHeight w:val="479"/>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2.1</w:t>
            </w:r>
            <w:r>
              <w:rPr>
                <w:rFonts w:ascii="宋体" w:hAnsi="宋体" w:cs="宋体"/>
                <w:color w:val="000000"/>
                <w:spacing w:val="-2"/>
                <w:highlight w:val="none"/>
              </w:rPr>
            </w:r>
            <w:r/>
          </w:p>
        </w:tc>
        <w:tc>
          <w:tcPr>
            <w:tcW w:w="1179" w:type="dxa"/>
            <w:vAlign w:val="center"/>
            <w:textDirection w:val="lrTb"/>
            <w:noWrap w:val="false"/>
          </w:tcPr>
          <w:p>
            <w:pPr>
              <w:pStyle w:val="930"/>
              <w:jc w:val="left"/>
              <w:spacing w:before="68" w:line="264" w:lineRule="auto"/>
              <w:rPr>
                <w:rFonts w:ascii="宋体" w:hAnsi="宋体" w:cs="宋体"/>
                <w:color w:val="000000"/>
                <w:spacing w:val="-2"/>
                <w:highlight w:val="none"/>
              </w:rPr>
            </w:pPr>
            <w:r>
              <w:rPr>
                <w:rFonts w:hint="eastAsia"/>
                <w:color w:val="000000"/>
                <w:highlight w:val="none"/>
              </w:rPr>
              <w:t xml:space="preserve">产品技术参数</w:t>
            </w:r>
            <w:r>
              <w:rPr>
                <w:rFonts w:ascii="宋体" w:hAnsi="宋体" w:cs="宋体"/>
                <w:color w:val="000000"/>
                <w:spacing w:val="-2"/>
                <w:highlight w:val="none"/>
              </w:rPr>
            </w:r>
            <w:r/>
          </w:p>
        </w:tc>
        <w:tc>
          <w:tcPr>
            <w:tcW w:w="6330" w:type="dxa"/>
            <w:vAlign w:val="center"/>
            <w:textDirection w:val="lrTb"/>
            <w:noWrap w:val="false"/>
          </w:tcPr>
          <w:p>
            <w:pPr>
              <w:pStyle w:val="930"/>
              <w:jc w:val="left"/>
              <w:spacing w:line="264" w:lineRule="auto"/>
              <w:widowControl/>
              <w:rPr>
                <w:color w:val="000000"/>
                <w:highlight w:val="none"/>
              </w:rPr>
            </w:pPr>
            <w:r>
              <w:rPr>
                <w:rFonts w:hint="eastAsia" w:ascii="宋体" w:hAnsi="宋体" w:cs="宋体"/>
                <w:color w:val="000000"/>
                <w:highlight w:val="none"/>
              </w:rPr>
              <w:t xml:space="preserve">完全响应项目采购需求“技术要求”中列明的12大功能模块</w:t>
            </w:r>
            <w:r>
              <w:rPr>
                <w:rFonts w:ascii="宋体" w:hAnsi="宋体" w:cs="宋体"/>
                <w:color w:val="000000"/>
                <w:highlight w:val="none"/>
              </w:rPr>
              <w:t xml:space="preserve">得满分</w:t>
            </w:r>
            <w:r>
              <w:rPr>
                <w:rFonts w:hint="eastAsia" w:ascii="宋体" w:hAnsi="宋体" w:cs="宋体"/>
                <w:color w:val="000000"/>
                <w:highlight w:val="none"/>
              </w:rPr>
              <w:t xml:space="preserve">，</w:t>
            </w:r>
            <w:r>
              <w:rPr>
                <w:rFonts w:ascii="宋体" w:hAnsi="宋体" w:cs="宋体"/>
                <w:color w:val="000000"/>
                <w:highlight w:val="none"/>
              </w:rPr>
              <w:t xml:space="preserve">打★指标为必须满足项，如有负偏离将作为无效</w:t>
            </w:r>
            <w:r>
              <w:rPr>
                <w:rFonts w:hint="eastAsia" w:ascii="宋体" w:hAnsi="宋体" w:cs="宋体"/>
                <w:color w:val="000000"/>
                <w:highlight w:val="none"/>
              </w:rPr>
              <w:t xml:space="preserve">响应，</w:t>
            </w:r>
            <w:r>
              <w:rPr>
                <w:rFonts w:ascii="宋体" w:hAnsi="宋体" w:cs="宋体"/>
                <w:color w:val="000000"/>
                <w:highlight w:val="none"/>
              </w:rPr>
              <w:t xml:space="preserve">打▲指标为重要指标，有</w:t>
            </w:r>
            <w:r>
              <w:rPr>
                <w:rFonts w:hint="eastAsia" w:ascii="宋体" w:hAnsi="宋体" w:cs="宋体"/>
                <w:color w:val="000000"/>
                <w:highlight w:val="none"/>
              </w:rPr>
              <w:t xml:space="preserve">1</w:t>
            </w:r>
            <w:r>
              <w:rPr>
                <w:rFonts w:ascii="宋体" w:hAnsi="宋体" w:cs="宋体"/>
                <w:color w:val="000000"/>
                <w:highlight w:val="none"/>
              </w:rPr>
              <w:t xml:space="preserve">项负偏离扣</w:t>
            </w:r>
            <w:r>
              <w:rPr>
                <w:rFonts w:hint="eastAsia" w:ascii="宋体" w:hAnsi="宋体" w:cs="宋体"/>
                <w:color w:val="000000"/>
                <w:highlight w:val="none"/>
              </w:rPr>
              <w:t xml:space="preserve">2</w:t>
            </w:r>
            <w:r>
              <w:rPr>
                <w:rFonts w:ascii="宋体" w:hAnsi="宋体" w:cs="宋体"/>
                <w:color w:val="000000"/>
                <w:highlight w:val="none"/>
              </w:rPr>
              <w:t xml:space="preserve">分</w:t>
            </w:r>
            <w:r>
              <w:rPr>
                <w:rFonts w:hint="eastAsia" w:ascii="宋体" w:hAnsi="宋体" w:cs="宋体"/>
                <w:color w:val="000000"/>
                <w:highlight w:val="none"/>
              </w:rPr>
              <w:t xml:space="preserve">，</w:t>
            </w:r>
            <w:r>
              <w:rPr>
                <w:rFonts w:ascii="宋体" w:hAnsi="宋体" w:cs="宋体"/>
                <w:color w:val="000000"/>
                <w:highlight w:val="none"/>
              </w:rPr>
              <w:t xml:space="preserve">其余指标有</w:t>
            </w:r>
            <w:r>
              <w:rPr>
                <w:rFonts w:hint="eastAsia" w:ascii="宋体" w:hAnsi="宋体" w:cs="宋体"/>
                <w:color w:val="000000"/>
                <w:highlight w:val="none"/>
              </w:rPr>
              <w:t xml:space="preserve">1</w:t>
            </w:r>
            <w:r>
              <w:rPr>
                <w:rFonts w:ascii="宋体" w:hAnsi="宋体" w:cs="宋体"/>
                <w:color w:val="000000"/>
                <w:highlight w:val="none"/>
              </w:rPr>
              <w:t xml:space="preserve">项负偏离扣</w:t>
            </w:r>
            <w:r>
              <w:rPr>
                <w:rFonts w:hint="eastAsia" w:ascii="宋体" w:hAnsi="宋体" w:cs="宋体"/>
                <w:color w:val="000000"/>
                <w:highlight w:val="none"/>
              </w:rPr>
              <w:t xml:space="preserve">0.5</w:t>
            </w:r>
            <w:r>
              <w:rPr>
                <w:rFonts w:ascii="宋体" w:hAnsi="宋体" w:cs="宋体"/>
                <w:color w:val="000000"/>
                <w:highlight w:val="none"/>
              </w:rPr>
              <w:t xml:space="preserve">分。</w:t>
            </w:r>
            <w:r>
              <w:rPr>
                <w:color w:val="000000"/>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12</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highlight w:val="none"/>
              </w:rPr>
              <w:t xml:space="preserve">否</w:t>
            </w:r>
            <w:r>
              <w:rPr>
                <w:rFonts w:ascii="宋体" w:hAnsi="宋体" w:cs="宋体"/>
                <w:color w:val="000000"/>
                <w:spacing w:val="-6"/>
                <w:highlight w:val="none"/>
              </w:rPr>
            </w:r>
            <w:r/>
          </w:p>
        </w:tc>
      </w:tr>
      <w:tr>
        <w:trPr>
          <w:trHeight w:val="315"/>
        </w:trPr>
        <w:tc>
          <w:tcPr>
            <w:tcW w:w="519" w:type="dxa"/>
            <w:vAlign w:val="center"/>
            <w:textDirection w:val="lrTb"/>
            <w:noWrap w:val="false"/>
          </w:tcPr>
          <w:p>
            <w:pPr>
              <w:pStyle w:val="930"/>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highlight w:val="none"/>
              </w:rPr>
              <w:t xml:space="preserve">2.2</w:t>
            </w:r>
            <w:r>
              <w:rPr>
                <w:rFonts w:ascii="宋体" w:hAnsi="宋体" w:cs="宋体"/>
                <w:color w:val="000000"/>
                <w:spacing w:val="-2"/>
                <w:szCs w:val="21"/>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总体</w:t>
            </w:r>
            <w:r>
              <w:rPr>
                <w:rFonts w:hint="eastAsia"/>
                <w:color w:val="000000"/>
                <w:szCs w:val="21"/>
                <w:highlight w:val="none"/>
              </w:rPr>
              <w:t xml:space="preserve">设计</w:t>
            </w:r>
            <w:r>
              <w:rPr>
                <w:rFonts w:hint="eastAsia"/>
                <w:color w:val="000000"/>
                <w:highlight w:val="none"/>
              </w:rPr>
              <w:t xml:space="preserve">方案</w:t>
            </w:r>
            <w:r>
              <w:rPr>
                <w:color w:val="000000"/>
                <w:highlight w:val="none"/>
              </w:rPr>
            </w:r>
            <w:r/>
          </w:p>
        </w:tc>
        <w:tc>
          <w:tcPr>
            <w:tcW w:w="6330" w:type="dxa"/>
            <w:vAlign w:val="center"/>
            <w:textDirection w:val="lrTb"/>
            <w:noWrap w:val="false"/>
          </w:tcPr>
          <w:p>
            <w:pPr>
              <w:pStyle w:val="930"/>
              <w:jc w:val="left"/>
              <w:spacing w:line="264" w:lineRule="auto"/>
              <w:rPr>
                <w:color w:val="000000"/>
                <w:highlight w:val="none"/>
              </w:rPr>
            </w:pPr>
            <w:r/>
            <w:bookmarkStart w:id="92" w:name="OLE_LINK1"/>
            <w:r>
              <w:rPr>
                <w:rFonts w:hint="eastAsia"/>
                <w:color w:val="000000"/>
                <w:szCs w:val="21"/>
                <w:highlight w:val="none"/>
              </w:rPr>
              <w:t xml:space="preserve">根据本项目采购需求中“项目背景”“技术要求”“项目建设遵循标准”等内容编制总体设计方案</w:t>
            </w:r>
            <w:bookmarkEnd w:id="92"/>
            <w:r>
              <w:rPr>
                <w:rFonts w:hint="eastAsia" w:ascii="宋体" w:hAnsi="宋体" w:cs="宋体"/>
                <w:color w:val="000000"/>
                <w:highlight w:val="none"/>
              </w:rPr>
              <w:t xml:space="preserve">，包括：</w:t>
            </w:r>
            <w:r>
              <w:rPr>
                <w:rFonts w:hint="eastAsia"/>
                <w:color w:val="000000"/>
                <w:highlight w:val="none"/>
              </w:rPr>
              <w:t xml:space="preserve">1.</w:t>
            </w:r>
            <w:r>
              <w:rPr>
                <w:rFonts w:hint="eastAsia"/>
                <w:color w:val="000000"/>
                <w:szCs w:val="21"/>
                <w:highlight w:val="none"/>
              </w:rPr>
              <w:t xml:space="preserve"> 总体架构设计(业务架构、技术架构、数据架构)及接口设计方案（接口交互流程、数据关系映射、异常机制处理）</w:t>
            </w:r>
            <w:r>
              <w:rPr>
                <w:rFonts w:hint="eastAsia"/>
                <w:color w:val="000000"/>
                <w:highlight w:val="none"/>
              </w:rPr>
              <w:t xml:space="preserve">；2.系统配置（</w:t>
            </w:r>
            <w:r>
              <w:rPr>
                <w:rFonts w:hint="eastAsia" w:ascii="宋体" w:hAnsi="宋体" w:cs="宋体"/>
                <w:color w:val="000000"/>
                <w:szCs w:val="21"/>
                <w:highlight w:val="none"/>
              </w:rPr>
              <w:t xml:space="preserve">系统后台配置、rest账号密码权限配置、后端接口访问控制</w:t>
            </w:r>
            <w:r>
              <w:rPr>
                <w:rFonts w:hint="eastAsia"/>
                <w:color w:val="000000"/>
                <w:highlight w:val="none"/>
              </w:rPr>
              <w:t xml:space="preserve">）；3.技术规范（</w:t>
            </w:r>
            <w:r>
              <w:rPr>
                <w:rFonts w:hint="eastAsia" w:ascii="宋体" w:hAnsi="宋体" w:cs="宋体"/>
                <w:color w:val="000000"/>
                <w:szCs w:val="21"/>
                <w:highlight w:val="none"/>
              </w:rPr>
              <w:t xml:space="preserve">符合</w:t>
            </w:r>
            <w:r>
              <w:rPr>
                <w:rFonts w:ascii="宋体" w:hAnsi="宋体" w:cs="宋体"/>
                <w:color w:val="000000"/>
                <w:szCs w:val="21"/>
                <w:highlight w:val="none"/>
              </w:rPr>
              <w:t xml:space="preserve">软件开发规范（GB/T 8567等）</w:t>
            </w:r>
            <w:r>
              <w:rPr>
                <w:rFonts w:hint="eastAsia" w:ascii="宋体" w:hAnsi="宋体" w:cs="宋体"/>
                <w:color w:val="000000"/>
                <w:szCs w:val="21"/>
                <w:highlight w:val="none"/>
              </w:rPr>
              <w:t xml:space="preserve">、接口符合</w:t>
            </w:r>
            <w:r>
              <w:rPr>
                <w:rFonts w:ascii="宋体" w:hAnsi="宋体" w:cs="宋体"/>
                <w:color w:val="000000"/>
                <w:szCs w:val="21"/>
                <w:highlight w:val="none"/>
              </w:rPr>
              <w:t xml:space="preserve">RESTful</w:t>
            </w:r>
            <w:r>
              <w:rPr>
                <w:rFonts w:hint="eastAsia" w:ascii="宋体" w:hAnsi="宋体" w:cs="宋体"/>
                <w:color w:val="000000"/>
                <w:szCs w:val="21"/>
                <w:highlight w:val="none"/>
              </w:rPr>
              <w:t xml:space="preserve">风格、采用统一JSON</w:t>
            </w:r>
            <w:r>
              <w:rPr>
                <w:rFonts w:hint="eastAsia"/>
                <w:color w:val="000000"/>
                <w:highlight w:val="none"/>
              </w:rPr>
              <w:t xml:space="preserve">）</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以上每项内容逐条阐述。</w:t>
            </w:r>
            <w:r>
              <w:rPr>
                <w:color w:val="000000"/>
                <w:highlight w:val="none"/>
              </w:rPr>
            </w:r>
            <w:r/>
          </w:p>
          <w:p>
            <w:pPr>
              <w:pStyle w:val="930"/>
              <w:jc w:val="left"/>
              <w:spacing w:line="264" w:lineRule="auto"/>
              <w:widowControl/>
              <w:rPr>
                <w:color w:val="000000"/>
                <w:szCs w:val="21"/>
                <w:highlight w:val="none"/>
              </w:rPr>
            </w:pPr>
            <w:r>
              <w:rPr>
                <w:rFonts w:hint="eastAsia"/>
                <w:color w:val="000000"/>
                <w:szCs w:val="21"/>
                <w:highlight w:val="none"/>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highlight w:val="none"/>
              </w:rPr>
            </w:r>
            <w:r/>
          </w:p>
          <w:p>
            <w:pPr>
              <w:pStyle w:val="930"/>
              <w:rPr>
                <w:rFonts w:ascii="宋体" w:hAnsi="宋体" w:cs="宋体"/>
                <w:color w:val="000000"/>
                <w:szCs w:val="21"/>
                <w:highlight w:val="none"/>
              </w:rPr>
            </w:pPr>
            <w:r>
              <w:rPr>
                <w:rFonts w:hint="eastAsia"/>
                <w:color w:val="000000"/>
                <w:szCs w:val="21"/>
                <w:highlight w:val="none"/>
              </w:rPr>
              <w:t xml:space="preserve">上述每项内容符合的，得2分；每项内容部分符合的，得1分；每项内容不符合或未提供内容的，不得分。</w:t>
            </w:r>
            <w:r>
              <w:rPr>
                <w:rFonts w:ascii="宋体" w:hAnsi="宋体" w:cs="宋体"/>
                <w:color w:val="000000"/>
                <w:szCs w:val="21"/>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szCs w:val="21"/>
                <w:highlight w:val="none"/>
              </w:rPr>
            </w:pPr>
            <w:r>
              <w:rPr>
                <w:rFonts w:hint="eastAsia" w:ascii="宋体" w:hAnsi="宋体" w:cs="宋体"/>
                <w:color w:val="000000"/>
                <w:highlight w:val="none"/>
              </w:rPr>
              <w:t xml:space="preserve">6</w:t>
            </w:r>
            <w:r>
              <w:rPr>
                <w:rFonts w:ascii="宋体" w:hAnsi="宋体" w:cs="宋体"/>
                <w:color w:val="000000"/>
                <w:szCs w:val="21"/>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zCs w:val="21"/>
                <w:highlight w:val="none"/>
              </w:rPr>
            </w:pPr>
            <w:r>
              <w:rPr>
                <w:rFonts w:hint="eastAsia" w:ascii="宋体" w:hAnsi="宋体" w:cs="宋体"/>
                <w:color w:val="000000"/>
                <w:spacing w:val="-4"/>
                <w:highlight w:val="none"/>
              </w:rPr>
              <w:t xml:space="preserve">主观分</w:t>
            </w:r>
            <w:r>
              <w:rPr>
                <w:rFonts w:ascii="宋体" w:hAnsi="宋体" w:cs="宋体"/>
                <w:color w:val="000000"/>
                <w:szCs w:val="21"/>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4"/>
                <w:highlight w:val="none"/>
              </w:rPr>
            </w:pPr>
            <w:r>
              <w:rPr>
                <w:rFonts w:hint="eastAsia" w:ascii="宋体" w:hAnsi="宋体" w:cs="宋体"/>
                <w:b/>
                <w:bCs/>
                <w:color w:val="000000"/>
                <w:spacing w:val="-4"/>
                <w:highlight w:val="none"/>
              </w:rPr>
              <w:t xml:space="preserve">是</w:t>
            </w:r>
            <w:r>
              <w:rPr>
                <w:rFonts w:ascii="宋体" w:hAnsi="宋体" w:cs="宋体"/>
                <w:color w:val="000000"/>
                <w:spacing w:val="-4"/>
                <w:highlight w:val="none"/>
              </w:rPr>
            </w:r>
            <w:r/>
          </w:p>
        </w:tc>
      </w:tr>
      <w:tr>
        <w:trPr>
          <w:trHeight w:val="468"/>
        </w:trPr>
        <w:tc>
          <w:tcPr>
            <w:tcW w:w="519" w:type="dxa"/>
            <w:vAlign w:val="center"/>
            <w:textDirection w:val="lrTb"/>
            <w:noWrap w:val="false"/>
          </w:tcPr>
          <w:p>
            <w:pPr>
              <w:pStyle w:val="930"/>
              <w:jc w:val="center"/>
              <w:spacing w:line="264" w:lineRule="auto"/>
              <w:rPr>
                <w:rFonts w:ascii="宋体" w:hAnsi="宋体" w:cs="宋体"/>
                <w:color w:val="000000"/>
                <w:szCs w:val="21"/>
                <w:highlight w:val="none"/>
              </w:rPr>
            </w:pPr>
            <w:r>
              <w:rPr>
                <w:rFonts w:hint="eastAsia" w:ascii="宋体" w:hAnsi="宋体" w:cs="宋体"/>
                <w:color w:val="000000"/>
                <w:highlight w:val="none"/>
              </w:rPr>
              <w:t xml:space="preserve">2.3</w:t>
            </w:r>
            <w:r>
              <w:rPr>
                <w:rFonts w:ascii="宋体" w:hAnsi="宋体" w:cs="宋体"/>
                <w:color w:val="000000"/>
                <w:szCs w:val="21"/>
                <w:highlight w:val="none"/>
              </w:rPr>
            </w:r>
            <w:r/>
          </w:p>
        </w:tc>
        <w:tc>
          <w:tcPr>
            <w:tcW w:w="1179" w:type="dxa"/>
            <w:vAlign w:val="center"/>
            <w:textDirection w:val="lrTb"/>
            <w:noWrap w:val="false"/>
          </w:tcPr>
          <w:p>
            <w:pPr>
              <w:pStyle w:val="930"/>
              <w:spacing w:line="264" w:lineRule="auto"/>
              <w:rPr>
                <w:color w:val="000000"/>
                <w:highlight w:val="none"/>
              </w:rPr>
            </w:pPr>
            <w:r/>
            <w:bookmarkStart w:id="93" w:name="OLE_LINK10"/>
            <w:r>
              <w:rPr>
                <w:rFonts w:hint="eastAsia"/>
                <w:color w:val="000000"/>
                <w:highlight w:val="none"/>
              </w:rPr>
              <w:t xml:space="preserve">详细功能设计</w:t>
            </w:r>
            <w:bookmarkEnd w:id="93"/>
            <w:r>
              <w:rPr>
                <w:rFonts w:hint="eastAsia"/>
                <w:color w:val="000000"/>
                <w:highlight w:val="none"/>
              </w:rPr>
              <w:t xml:space="preserve">方案</w:t>
            </w:r>
            <w:r>
              <w:rPr>
                <w:color w:val="000000"/>
                <w:highlight w:val="none"/>
              </w:rPr>
            </w:r>
            <w:r/>
          </w:p>
        </w:tc>
        <w:tc>
          <w:tcPr>
            <w:tcW w:w="6330" w:type="dxa"/>
            <w:vAlign w:val="center"/>
            <w:textDirection w:val="lrTb"/>
            <w:noWrap w:val="false"/>
          </w:tcPr>
          <w:p>
            <w:pPr>
              <w:pStyle w:val="930"/>
              <w:jc w:val="left"/>
              <w:spacing w:line="264" w:lineRule="auto"/>
              <w:widowControl/>
              <w:rPr>
                <w:rFonts w:ascii="宋体" w:hAnsi="宋体" w:cs="宋体"/>
                <w:color w:val="000000"/>
                <w:highlight w:val="none"/>
              </w:rPr>
            </w:pPr>
            <w:r/>
            <w:bookmarkStart w:id="94" w:name="OLE_LINK12"/>
            <w:r>
              <w:rPr>
                <w:rFonts w:hint="eastAsia"/>
                <w:color w:val="000000"/>
                <w:szCs w:val="21"/>
                <w:highlight w:val="none"/>
              </w:rPr>
              <w:t xml:space="preserve">根据本项目采购需求中“技术要求”等内容编制</w:t>
            </w:r>
            <w:r>
              <w:rPr>
                <w:rFonts w:hint="eastAsia"/>
                <w:color w:val="000000"/>
                <w:highlight w:val="none"/>
              </w:rPr>
              <w:t xml:space="preserve">详细功能设计</w:t>
            </w:r>
            <w:r>
              <w:rPr>
                <w:rFonts w:hint="eastAsia"/>
                <w:color w:val="000000"/>
                <w:szCs w:val="21"/>
                <w:highlight w:val="none"/>
              </w:rPr>
              <w:t xml:space="preserve">方案</w:t>
            </w:r>
            <w:r>
              <w:rPr>
                <w:rFonts w:hint="eastAsia" w:ascii="宋体" w:hAnsi="宋体" w:cs="宋体"/>
                <w:color w:val="000000"/>
                <w:szCs w:val="21"/>
                <w:highlight w:val="none"/>
              </w:rPr>
              <w:t xml:space="preserve">，</w:t>
            </w:r>
            <w:bookmarkEnd w:id="94"/>
            <w:r>
              <w:rPr>
                <w:rFonts w:hint="eastAsia" w:ascii="宋体" w:hAnsi="宋体" w:cs="宋体"/>
                <w:color w:val="000000"/>
                <w:highlight w:val="none"/>
              </w:rPr>
              <w:t xml:space="preserve">包括：</w:t>
            </w:r>
            <w:r>
              <w:rPr>
                <w:rFonts w:hint="eastAsia"/>
                <w:color w:val="000000"/>
                <w:highlight w:val="none"/>
              </w:rPr>
              <w:t xml:space="preserve">1.请款单底表接口方案</w:t>
            </w:r>
            <w:r>
              <w:rPr>
                <w:rFonts w:hint="eastAsia"/>
                <w:color w:val="000000"/>
                <w:szCs w:val="21"/>
                <w:highlight w:val="none"/>
              </w:rPr>
              <w:t xml:space="preserve">；2</w:t>
            </w:r>
            <w:r>
              <w:rPr>
                <w:rFonts w:hint="eastAsia"/>
                <w:color w:val="000000"/>
                <w:highlight w:val="none"/>
              </w:rPr>
              <w:t xml:space="preserve">.报销单底表接口方案</w:t>
            </w:r>
            <w:r>
              <w:rPr>
                <w:rFonts w:hint="eastAsia"/>
                <w:color w:val="000000"/>
                <w:szCs w:val="21"/>
                <w:highlight w:val="none"/>
              </w:rPr>
              <w:t xml:space="preserve">；3.财务云状态接口逻辑；4.</w:t>
            </w:r>
            <w:r>
              <w:rPr>
                <w:rFonts w:hint="eastAsia"/>
                <w:color w:val="000000"/>
                <w:highlight w:val="none"/>
              </w:rPr>
              <w:t xml:space="preserve">计量云一体化平台接口逻辑；</w:t>
            </w:r>
            <w:r>
              <w:rPr>
                <w:rFonts w:hint="eastAsia"/>
                <w:color w:val="000000"/>
                <w:szCs w:val="21"/>
                <w:highlight w:val="none"/>
              </w:rPr>
              <w:t xml:space="preserve">5.</w:t>
            </w:r>
            <w:r>
              <w:rPr>
                <w:color w:val="000000"/>
                <w:highlight w:val="none"/>
              </w:rPr>
              <w:t xml:space="preserve">BI查询接口方案</w:t>
            </w:r>
            <w:r>
              <w:rPr>
                <w:rFonts w:hint="eastAsia"/>
                <w:color w:val="000000"/>
                <w:szCs w:val="21"/>
                <w:highlight w:val="none"/>
              </w:rPr>
              <w:t xml:space="preserve">方案。</w:t>
            </w:r>
            <w:r>
              <w:rPr>
                <w:rFonts w:hint="eastAsia" w:ascii="宋体" w:hAnsi="宋体" w:cs="宋体"/>
                <w:color w:val="000000"/>
                <w:szCs w:val="21"/>
                <w:highlight w:val="none"/>
              </w:rPr>
              <w:t xml:space="preserve">以上每项内容逐条阐述。</w:t>
            </w:r>
            <w:r>
              <w:rPr>
                <w:rFonts w:ascii="宋体" w:hAnsi="宋体" w:cs="宋体"/>
                <w:color w:val="000000"/>
                <w:highlight w:val="none"/>
              </w:rPr>
              <w:t xml:space="preserve"> </w:t>
            </w:r>
            <w:r>
              <w:rPr>
                <w:rFonts w:ascii="宋体" w:hAnsi="宋体" w:cs="宋体"/>
                <w:color w:val="000000"/>
                <w:highlight w:val="none"/>
              </w:rPr>
            </w:r>
            <w:r/>
          </w:p>
          <w:p>
            <w:pPr>
              <w:pStyle w:val="930"/>
              <w:jc w:val="left"/>
              <w:spacing w:line="264" w:lineRule="auto"/>
              <w:widowControl/>
              <w:rPr>
                <w:color w:val="000000"/>
                <w:szCs w:val="21"/>
                <w:highlight w:val="none"/>
              </w:rPr>
            </w:pPr>
            <w:r>
              <w:rPr>
                <w:rFonts w:hint="eastAsia"/>
                <w:color w:val="000000"/>
                <w:szCs w:val="21"/>
                <w:highlight w:val="none"/>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highlight w:val="none"/>
              </w:rPr>
            </w:r>
            <w:r/>
          </w:p>
          <w:p>
            <w:pPr>
              <w:pStyle w:val="1059"/>
              <w:rPr>
                <w:color w:val="000000"/>
                <w:highlight w:val="none"/>
                <w:lang w:val="en-US"/>
              </w:rPr>
            </w:pPr>
            <w:r>
              <w:rPr>
                <w:rFonts w:hint="eastAsia" w:ascii="Times New Roman" w:hAnsi="Times New Roman" w:cs="Times New Roman"/>
                <w:color w:val="000000"/>
                <w:sz w:val="21"/>
                <w:szCs w:val="21"/>
                <w:highlight w:val="none"/>
              </w:rPr>
              <w:t xml:space="preserve">上述每项内容符合的，得2分；每项内容部分符合的，得1分；每项内容不符合或未提供内容的，不得分。</w:t>
            </w:r>
            <w:r>
              <w:rPr>
                <w:color w:val="000000"/>
                <w:highlight w:val="none"/>
                <w:lang w:val="en-US"/>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4"/>
                <w:highlight w:val="none"/>
              </w:rPr>
              <w:t xml:space="preserve">主观分</w:t>
            </w:r>
            <w:r>
              <w:rPr>
                <w:rFonts w:ascii="宋体" w:hAnsi="宋体" w:cs="宋体"/>
                <w:color w:val="000000"/>
                <w:spacing w:val="-6"/>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4"/>
                <w:highlight w:val="none"/>
              </w:rPr>
            </w:pPr>
            <w:r>
              <w:rPr>
                <w:rFonts w:hint="eastAsia" w:ascii="宋体" w:hAnsi="宋体" w:cs="宋体"/>
                <w:b/>
                <w:bCs/>
                <w:color w:val="000000"/>
                <w:spacing w:val="-4"/>
                <w:highlight w:val="none"/>
              </w:rPr>
              <w:t xml:space="preserve">是</w:t>
            </w:r>
            <w:r>
              <w:rPr>
                <w:rFonts w:ascii="宋体" w:hAnsi="宋体" w:cs="宋体"/>
                <w:color w:val="000000"/>
                <w:spacing w:val="-4"/>
                <w:highlight w:val="none"/>
              </w:rPr>
            </w:r>
            <w:r/>
          </w:p>
        </w:tc>
      </w:tr>
      <w:tr>
        <w:trPr>
          <w:trHeight w:val="889"/>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2.4</w:t>
            </w:r>
            <w:r>
              <w:rPr>
                <w:rFonts w:ascii="宋体" w:hAnsi="宋体" w:cs="宋体"/>
                <w:color w:val="000000"/>
                <w:spacing w:val="-2"/>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实施方案</w:t>
            </w:r>
            <w:r>
              <w:rPr>
                <w:color w:val="000000"/>
                <w:highlight w:val="none"/>
              </w:rPr>
            </w:r>
            <w:r/>
          </w:p>
        </w:tc>
        <w:tc>
          <w:tcPr>
            <w:tcW w:w="6330" w:type="dxa"/>
            <w:vAlign w:val="center"/>
            <w:textDirection w:val="lrTb"/>
            <w:noWrap w:val="false"/>
          </w:tcPr>
          <w:p>
            <w:pPr>
              <w:pStyle w:val="930"/>
              <w:jc w:val="left"/>
              <w:spacing w:line="264" w:lineRule="auto"/>
              <w:widowControl/>
              <w:rPr>
                <w:color w:val="000000"/>
                <w:highlight w:val="none"/>
              </w:rPr>
            </w:pPr>
            <w:r>
              <w:rPr>
                <w:rFonts w:hint="eastAsia"/>
                <w:color w:val="000000"/>
                <w:szCs w:val="21"/>
                <w:highlight w:val="none"/>
              </w:rPr>
              <w:t xml:space="preserve">根据本项目采购需求中“实施要求”等内容编制</w:t>
            </w:r>
            <w:r>
              <w:rPr>
                <w:rFonts w:hint="eastAsia"/>
                <w:color w:val="000000"/>
                <w:highlight w:val="none"/>
              </w:rPr>
              <w:t xml:space="preserve">项目实施</w:t>
            </w:r>
            <w:r>
              <w:rPr>
                <w:rFonts w:hint="eastAsia"/>
                <w:color w:val="000000"/>
                <w:szCs w:val="21"/>
                <w:highlight w:val="none"/>
              </w:rPr>
              <w:t xml:space="preserve">方案</w:t>
            </w:r>
            <w:r>
              <w:rPr>
                <w:rFonts w:hint="eastAsia" w:ascii="宋体" w:hAnsi="宋体" w:cs="宋体"/>
                <w:color w:val="000000"/>
                <w:szCs w:val="21"/>
                <w:highlight w:val="none"/>
              </w:rPr>
              <w:t xml:space="preserve">，</w:t>
            </w:r>
            <w:r>
              <w:rPr>
                <w:rFonts w:hint="eastAsia"/>
                <w:color w:val="000000"/>
                <w:highlight w:val="none"/>
              </w:rPr>
              <w:t xml:space="preserve">包含包括</w:t>
            </w:r>
            <w:r>
              <w:rPr>
                <w:rFonts w:hint="eastAsia"/>
                <w:color w:val="000000"/>
                <w:szCs w:val="21"/>
                <w:highlight w:val="none"/>
              </w:rPr>
              <w:t xml:space="preserve">：1.</w:t>
            </w:r>
            <w:r>
              <w:rPr>
                <w:rFonts w:ascii="宋体" w:hAnsi="宋体" w:cs="宋体"/>
                <w:color w:val="000000"/>
                <w:highlight w:val="none"/>
              </w:rPr>
              <w:t xml:space="preserve">实施计划安排</w:t>
            </w:r>
            <w:r>
              <w:rPr>
                <w:rFonts w:hint="eastAsia" w:ascii="宋体" w:hAnsi="宋体" w:cs="宋体"/>
                <w:color w:val="000000"/>
                <w:highlight w:val="none"/>
              </w:rPr>
              <w:t xml:space="preserve">；2.需求调研；3.开发阶段安排；4.测试部署安排；5.试运行安排</w:t>
            </w:r>
            <w:r>
              <w:rPr>
                <w:rFonts w:hint="eastAsia"/>
                <w:color w:val="000000"/>
                <w:highlight w:val="none"/>
              </w:rPr>
              <w:t xml:space="preserve">。</w:t>
            </w:r>
            <w:r>
              <w:rPr>
                <w:rFonts w:hint="eastAsia" w:ascii="宋体" w:hAnsi="宋体" w:cs="宋体"/>
                <w:color w:val="000000"/>
                <w:szCs w:val="21"/>
                <w:highlight w:val="none"/>
              </w:rPr>
              <w:t xml:space="preserve">以上每项内容逐条阐述。</w:t>
            </w:r>
            <w:r>
              <w:rPr>
                <w:color w:val="000000"/>
                <w:highlight w:val="none"/>
              </w:rPr>
            </w:r>
            <w:r/>
          </w:p>
          <w:p>
            <w:pPr>
              <w:pStyle w:val="930"/>
              <w:jc w:val="left"/>
              <w:spacing w:line="264" w:lineRule="auto"/>
              <w:widowControl/>
              <w:rPr>
                <w:color w:val="000000"/>
                <w:szCs w:val="21"/>
                <w:highlight w:val="none"/>
              </w:rPr>
            </w:pPr>
            <w:r>
              <w:rPr>
                <w:rFonts w:hint="eastAsia"/>
                <w:color w:val="000000"/>
                <w:szCs w:val="21"/>
                <w:highlight w:val="none"/>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highlight w:val="none"/>
              </w:rPr>
            </w:r>
            <w:r/>
          </w:p>
          <w:p>
            <w:pPr>
              <w:pStyle w:val="1059"/>
              <w:rPr>
                <w:color w:val="000000"/>
                <w:highlight w:val="none"/>
                <w:lang w:val="en-US"/>
              </w:rPr>
            </w:pPr>
            <w:r>
              <w:rPr>
                <w:rFonts w:hint="eastAsia" w:ascii="Times New Roman" w:hAnsi="Times New Roman" w:cs="Times New Roman"/>
                <w:color w:val="000000"/>
                <w:sz w:val="21"/>
                <w:szCs w:val="21"/>
                <w:highlight w:val="none"/>
              </w:rPr>
              <w:t xml:space="preserve">上述每项内容符合的，得2分；每项内容部分符合的，得1分；每项内容不符合或未提供内容的，不得分。</w:t>
            </w:r>
            <w:r>
              <w:rPr>
                <w:color w:val="000000"/>
                <w:highlight w:val="none"/>
                <w:lang w:val="en-US"/>
              </w:rPr>
            </w:r>
            <w:r/>
          </w:p>
        </w:tc>
        <w:tc>
          <w:tcPr>
            <w:tcW w:w="647" w:type="dxa"/>
            <w:vAlign w:val="center"/>
            <w:textDirection w:val="lrTb"/>
            <w:noWrap w:val="false"/>
          </w:tcPr>
          <w:p>
            <w:pPr>
              <w:pStyle w:val="930"/>
              <w:jc w:val="center"/>
              <w:spacing w:line="264" w:lineRule="auto"/>
              <w:rPr>
                <w:rFonts w:ascii="宋体" w:hAnsi="宋体" w:cs="宋体"/>
                <w:color w:val="000000"/>
                <w:highlight w:val="none"/>
              </w:rPr>
            </w:pPr>
            <w:r>
              <w:rPr>
                <w:rFonts w:ascii="宋体" w:hAnsi="宋体" w:cs="宋体"/>
                <w:color w:val="000000"/>
                <w:highlight w:val="none"/>
              </w:rPr>
              <w:t xml:space="preserve">10</w:t>
            </w:r>
            <w:r>
              <w:rPr>
                <w:rFonts w:ascii="宋体" w:hAnsi="宋体" w:cs="宋体"/>
                <w:color w:val="000000"/>
                <w:highlight w:val="none"/>
              </w:rPr>
            </w:r>
            <w:r/>
          </w:p>
        </w:tc>
        <w:tc>
          <w:tcPr>
            <w:tcW w:w="900" w:type="dxa"/>
            <w:vAlign w:val="center"/>
            <w:textDirection w:val="lrTb"/>
            <w:noWrap w:val="false"/>
          </w:tcPr>
          <w:p>
            <w:pPr>
              <w:pStyle w:val="930"/>
              <w:jc w:val="center"/>
              <w:spacing w:line="264" w:lineRule="auto"/>
              <w:rPr>
                <w:rFonts w:ascii="宋体" w:hAnsi="宋体" w:cs="宋体"/>
                <w:color w:val="000000"/>
                <w:highlight w:val="none"/>
              </w:rPr>
            </w:pPr>
            <w:r>
              <w:rPr>
                <w:rFonts w:hint="eastAsia" w:ascii="宋体" w:hAnsi="宋体" w:cs="宋体"/>
                <w:color w:val="000000"/>
                <w:highlight w:val="none"/>
              </w:rPr>
              <w:t xml:space="preserve">主观分</w:t>
            </w:r>
            <w:r>
              <w:rPr>
                <w:rFonts w:ascii="宋体" w:hAnsi="宋体" w:cs="宋体"/>
                <w:color w:val="000000"/>
                <w:highlight w:val="none"/>
              </w:rPr>
            </w:r>
            <w:r/>
          </w:p>
        </w:tc>
        <w:tc>
          <w:tcPr>
            <w:tcW w:w="900" w:type="dxa"/>
            <w:vAlign w:val="center"/>
            <w:textDirection w:val="lrTb"/>
            <w:noWrap w:val="false"/>
          </w:tcPr>
          <w:p>
            <w:pPr>
              <w:pStyle w:val="930"/>
              <w:jc w:val="center"/>
              <w:spacing w:line="264" w:lineRule="auto"/>
              <w:rPr>
                <w:rFonts w:ascii="宋体" w:hAnsi="宋体" w:cs="宋体"/>
                <w:color w:val="000000"/>
                <w:highlight w:val="none"/>
              </w:rPr>
            </w:pPr>
            <w:r>
              <w:rPr>
                <w:rFonts w:hint="eastAsia" w:ascii="宋体" w:hAnsi="宋体" w:cs="宋体"/>
                <w:b/>
                <w:bCs/>
                <w:color w:val="000000"/>
                <w:highlight w:val="none"/>
              </w:rPr>
              <w:t xml:space="preserve">是</w:t>
            </w:r>
            <w:r>
              <w:rPr>
                <w:rFonts w:ascii="宋体" w:hAnsi="宋体" w:cs="宋体"/>
                <w:color w:val="000000"/>
                <w:highlight w:val="none"/>
              </w:rPr>
            </w:r>
            <w:r/>
          </w:p>
        </w:tc>
      </w:tr>
      <w:tr>
        <w:trPr>
          <w:trHeight w:val="889"/>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2.5</w:t>
            </w:r>
            <w:r>
              <w:rPr>
                <w:rFonts w:ascii="宋体" w:hAnsi="宋体" w:cs="宋体"/>
                <w:color w:val="000000"/>
                <w:spacing w:val="-2"/>
                <w:highlight w:val="none"/>
              </w:rPr>
            </w:r>
            <w:r/>
          </w:p>
        </w:tc>
        <w:tc>
          <w:tcPr>
            <w:tcW w:w="1179" w:type="dxa"/>
            <w:vAlign w:val="center"/>
            <w:textDirection w:val="lrTb"/>
            <w:noWrap w:val="false"/>
          </w:tcPr>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演示视频</w:t>
            </w:r>
            <w:r>
              <w:rPr>
                <w:rFonts w:ascii="宋体" w:hAnsi="宋体" w:cs="宋体"/>
                <w:color w:val="000000"/>
                <w:szCs w:val="21"/>
                <w:highlight w:val="none"/>
              </w:rPr>
            </w:r>
            <w:r/>
          </w:p>
        </w:tc>
        <w:tc>
          <w:tcPr>
            <w:tcW w:w="6330" w:type="dxa"/>
            <w:vAlign w:val="center"/>
            <w:textDirection w:val="lrTb"/>
            <w:noWrap w:val="false"/>
          </w:tcPr>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评委根据供应商提供的系统演示视频（总演示时间不超过10分钟）综合评分。演示视频包括以下内容： </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（1）请款单底表接口（4分）：支持跳转到财务云“请款单”流程得1分，带出请款人、所属部门、申请日期得1分，支持带出附件得1分，支持穿透得1分。</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（2）费用报销单底表接口（4分）：支持跳转至财务云“费用报销单”流程得1分，带出申请人、申请部门、报销事由得1分，支持带出附件得1分，支持穿透得1分。</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（3）差旅报销单底表接口（4分）：支持跳转至财务云“差旅报销单”流程得1分，带出申请人、申请部门、出差事由得1分，支持带出附件得1分，支持穿透得1分。</w:t>
            </w:r>
            <w:r>
              <w:rPr>
                <w:rFonts w:ascii="宋体" w:hAnsi="宋体" w:cs="宋体"/>
                <w:color w:val="000000"/>
                <w:szCs w:val="21"/>
                <w:highlight w:val="none"/>
              </w:rPr>
              <w:t xml:space="preserve"> </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（4）预算明细列表接口（4分）：支持查看财务云预算明细主表数据得1分，支持查看财务云预算明细中明细数据得1分，支持分页得1分，支持把枚举字段展示为文本字段得1分。</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（5）合同台账列表接口（4分）：支持查看财务云合同台账主表数据得1分，支持查看财务云合同台账中明细数据得1分，支持分页得1分，支持把枚举字段展示为文本字段得1分。</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以上每项内容采用类似真实系统演示成功得对应分值，采用系统原型（DEMO）或PPT等方式演示成功得对应一半分值。 </w:t>
            </w:r>
            <w:r>
              <w:rPr>
                <w:rFonts w:ascii="宋体" w:hAnsi="宋体" w:cs="宋体"/>
                <w:color w:val="000000"/>
                <w:szCs w:val="21"/>
                <w:highlight w:val="none"/>
              </w:rPr>
            </w:r>
            <w:r/>
          </w:p>
          <w:p>
            <w:pPr>
              <w:pStyle w:val="930"/>
              <w:jc w:val="left"/>
              <w:spacing w:line="264"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（未提供视频文件或因供应商自身原因视频文件无法打开或视频画面不清晰无法辨认的不得分。）</w:t>
            </w:r>
            <w:r>
              <w:rPr>
                <w:rFonts w:ascii="宋体" w:hAnsi="宋体" w:cs="宋体"/>
                <w:color w:val="000000"/>
                <w:szCs w:val="21"/>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客观分</w:t>
            </w:r>
            <w:r>
              <w:rPr>
                <w:rFonts w:ascii="宋体" w:hAnsi="宋体" w:cs="宋体"/>
                <w:color w:val="000000"/>
                <w:spacing w:val="-6"/>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否</w:t>
            </w:r>
            <w:r>
              <w:rPr>
                <w:rFonts w:ascii="宋体" w:hAnsi="宋体" w:cs="宋体"/>
                <w:color w:val="000000"/>
                <w:spacing w:val="-6"/>
                <w:highlight w:val="none"/>
              </w:rPr>
            </w:r>
            <w:r/>
          </w:p>
        </w:tc>
      </w:tr>
      <w:tr>
        <w:trPr>
          <w:trHeight w:val="472"/>
        </w:trPr>
        <w:tc>
          <w:tcPr>
            <w:gridSpan w:val="5"/>
            <w:tcW w:w="9575" w:type="dxa"/>
            <w:vAlign w:val="center"/>
            <w:textDirection w:val="lrTb"/>
            <w:noWrap w:val="false"/>
          </w:tcPr>
          <w:p>
            <w:pPr>
              <w:pStyle w:val="930"/>
              <w:spacing w:before="68" w:line="264" w:lineRule="auto"/>
              <w:rPr>
                <w:rFonts w:ascii="宋体" w:hAnsi="宋体" w:cs="宋体"/>
                <w:color w:val="000000"/>
                <w:highlight w:val="none"/>
              </w:rPr>
            </w:pPr>
            <w:r>
              <w:rPr>
                <w:rFonts w:hint="eastAsia" w:ascii="宋体" w:hAnsi="宋体" w:cs="宋体"/>
                <w:b/>
                <w:bCs/>
                <w:color w:val="000000"/>
                <w:spacing w:val="-3"/>
                <w:highlight w:val="none"/>
              </w:rPr>
              <w:t xml:space="preserve">3.服务</w:t>
            </w:r>
            <w:r>
              <w:rPr>
                <w:rFonts w:ascii="宋体" w:hAnsi="宋体" w:cs="宋体"/>
                <w:color w:val="000000"/>
                <w:highlight w:val="none"/>
              </w:rPr>
            </w:r>
            <w:r/>
          </w:p>
        </w:tc>
        <w:tc>
          <w:tcPr>
            <w:tcW w:w="900" w:type="dxa"/>
            <w:vAlign w:val="center"/>
            <w:textDirection w:val="lrTb"/>
            <w:noWrap w:val="false"/>
          </w:tcPr>
          <w:p>
            <w:pPr>
              <w:pStyle w:val="930"/>
              <w:spacing w:before="68" w:line="264" w:lineRule="auto"/>
              <w:rPr>
                <w:rFonts w:ascii="宋体" w:hAnsi="宋体" w:cs="宋体"/>
                <w:b/>
                <w:bCs/>
                <w:color w:val="000000"/>
                <w:spacing w:val="-3"/>
                <w:highlight w:val="none"/>
              </w:rPr>
            </w:pPr>
            <w:r>
              <w:rPr>
                <w:rFonts w:ascii="宋体" w:hAnsi="宋体" w:cs="宋体"/>
                <w:b/>
                <w:bCs/>
                <w:color w:val="000000"/>
                <w:spacing w:val="-3"/>
                <w:highlight w:val="none"/>
              </w:rPr>
            </w:r>
            <w:r/>
          </w:p>
        </w:tc>
      </w:tr>
      <w:tr>
        <w:trPr>
          <w:trHeight w:val="1083"/>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3.1</w:t>
            </w:r>
            <w:r>
              <w:rPr>
                <w:rFonts w:ascii="宋体" w:hAnsi="宋体" w:cs="宋体"/>
                <w:color w:val="000000"/>
                <w:spacing w:val="-2"/>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维保服务方案</w:t>
            </w:r>
            <w:r>
              <w:rPr>
                <w:color w:val="000000"/>
                <w:highlight w:val="none"/>
              </w:rPr>
            </w:r>
            <w:r/>
          </w:p>
        </w:tc>
        <w:tc>
          <w:tcPr>
            <w:tcW w:w="6330" w:type="dxa"/>
            <w:vAlign w:val="center"/>
            <w:textDirection w:val="lrTb"/>
            <w:noWrap w:val="false"/>
          </w:tcPr>
          <w:p>
            <w:pPr>
              <w:pStyle w:val="930"/>
              <w:jc w:val="left"/>
              <w:spacing w:line="264" w:lineRule="auto"/>
              <w:widowControl/>
              <w:rPr>
                <w:rFonts w:ascii="宋体" w:hAnsi="宋体" w:cs="宋体"/>
                <w:color w:val="000000"/>
                <w:highlight w:val="none"/>
              </w:rPr>
            </w:pPr>
            <w:r>
              <w:rPr>
                <w:rFonts w:hint="eastAsia"/>
                <w:color w:val="000000"/>
                <w:szCs w:val="21"/>
                <w:highlight w:val="none"/>
              </w:rPr>
              <w:t xml:space="preserve">根据本项目采购需求中“维保要求”编制维保服务方案</w:t>
            </w:r>
            <w:r>
              <w:rPr>
                <w:rFonts w:hint="eastAsia" w:ascii="宋体" w:hAnsi="宋体" w:cs="宋体"/>
                <w:color w:val="000000"/>
                <w:szCs w:val="21"/>
                <w:highlight w:val="none"/>
              </w:rPr>
              <w:t xml:space="preserve">，</w:t>
            </w:r>
            <w:r>
              <w:rPr>
                <w:rFonts w:hint="eastAsia"/>
                <w:color w:val="000000"/>
                <w:highlight w:val="none"/>
              </w:rPr>
              <w:t xml:space="preserve">包括</w:t>
            </w:r>
            <w:r>
              <w:rPr>
                <w:rFonts w:ascii="宋体" w:hAnsi="宋体" w:cs="宋体"/>
                <w:color w:val="000000"/>
                <w:highlight w:val="none"/>
              </w:rPr>
              <w:t xml:space="preserve">：</w:t>
            </w:r>
            <w:r>
              <w:rPr>
                <w:rFonts w:hint="eastAsia" w:ascii="宋体" w:hAnsi="宋体" w:cs="宋体"/>
                <w:color w:val="000000"/>
                <w:highlight w:val="none"/>
              </w:rPr>
              <w:t xml:space="preserve">1.</w:t>
            </w:r>
            <w:r>
              <w:rPr>
                <w:rFonts w:ascii="宋体" w:hAnsi="宋体" w:cs="宋体"/>
                <w:color w:val="000000"/>
                <w:highlight w:val="none"/>
              </w:rPr>
              <w:t xml:space="preserve">服务制度</w:t>
            </w:r>
            <w:r>
              <w:rPr>
                <w:rFonts w:hint="eastAsia" w:ascii="宋体" w:hAnsi="宋体" w:cs="宋体"/>
                <w:color w:val="000000"/>
                <w:highlight w:val="none"/>
              </w:rPr>
              <w:t xml:space="preserve">；2.服务</w:t>
            </w:r>
            <w:r>
              <w:rPr>
                <w:rFonts w:ascii="宋体" w:hAnsi="宋体" w:cs="宋体"/>
                <w:color w:val="000000"/>
                <w:highlight w:val="none"/>
              </w:rPr>
              <w:t xml:space="preserve">管理规范</w:t>
            </w:r>
            <w:r>
              <w:rPr>
                <w:rFonts w:hint="eastAsia" w:ascii="宋体" w:hAnsi="宋体" w:cs="宋体"/>
                <w:color w:val="000000"/>
                <w:highlight w:val="none"/>
              </w:rPr>
              <w:t xml:space="preserve">；3</w:t>
            </w:r>
            <w:r>
              <w:rPr>
                <w:rFonts w:ascii="宋体" w:hAnsi="宋体" w:cs="宋体"/>
                <w:color w:val="000000"/>
                <w:highlight w:val="none"/>
              </w:rPr>
              <w:t xml:space="preserve">.服务流程</w:t>
            </w:r>
            <w:r>
              <w:rPr>
                <w:rFonts w:hint="eastAsia" w:ascii="宋体" w:hAnsi="宋体" w:cs="宋体"/>
                <w:color w:val="000000"/>
                <w:highlight w:val="none"/>
              </w:rPr>
              <w:t xml:space="preserve">；4.服务</w:t>
            </w:r>
            <w:r>
              <w:rPr>
                <w:rFonts w:ascii="宋体" w:hAnsi="宋体" w:cs="宋体"/>
                <w:color w:val="000000"/>
                <w:highlight w:val="none"/>
              </w:rPr>
              <w:t xml:space="preserve">质量保证措施</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以上每项内容逐条阐述。</w:t>
            </w:r>
            <w:r>
              <w:rPr>
                <w:rFonts w:ascii="宋体" w:hAnsi="宋体" w:cs="宋体"/>
                <w:color w:val="000000"/>
                <w:highlight w:val="none"/>
              </w:rPr>
              <w:t xml:space="preserve"> </w:t>
            </w:r>
            <w:r>
              <w:rPr>
                <w:rFonts w:ascii="宋体" w:hAnsi="宋体" w:cs="宋体"/>
                <w:color w:val="000000"/>
                <w:highlight w:val="none"/>
              </w:rPr>
            </w:r>
            <w:r/>
          </w:p>
          <w:p>
            <w:pPr>
              <w:pStyle w:val="930"/>
              <w:jc w:val="left"/>
              <w:rPr>
                <w:color w:val="000000"/>
                <w:szCs w:val="21"/>
                <w:highlight w:val="none"/>
              </w:rPr>
            </w:pPr>
            <w:r>
              <w:rPr>
                <w:rFonts w:hint="eastAsia"/>
                <w:color w:val="000000"/>
                <w:szCs w:val="21"/>
                <w:highlight w:val="none"/>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highlight w:val="none"/>
              </w:rPr>
            </w:r>
            <w:r/>
          </w:p>
          <w:p>
            <w:pPr>
              <w:pStyle w:val="930"/>
              <w:rPr>
                <w:color w:val="000000"/>
                <w:highlight w:val="none"/>
              </w:rPr>
            </w:pPr>
            <w:r>
              <w:rPr>
                <w:rFonts w:hint="eastAsia"/>
                <w:color w:val="000000"/>
                <w:szCs w:val="21"/>
                <w:highlight w:val="none"/>
              </w:rPr>
              <w:t xml:space="preserve">上述每项内容符合的，得1分；每项内容部分符合的，得0.5分；每项内容不符合或未提供内容的，不得分。</w:t>
            </w:r>
            <w:r>
              <w:rPr>
                <w:color w:val="000000"/>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ascii="宋体" w:hAnsi="宋体" w:cs="宋体"/>
                <w:color w:val="000000"/>
                <w:spacing w:val="-6"/>
                <w:highlight w:val="none"/>
              </w:rPr>
              <w:t xml:space="preserve">主观分</w:t>
            </w:r>
            <w:r>
              <w:rPr>
                <w:rFonts w:ascii="宋体" w:hAnsi="宋体" w:cs="宋体"/>
                <w:color w:val="000000"/>
                <w:spacing w:val="-6"/>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bookmarkStart w:id="95" w:name="OLE_LINK20"/>
            <w:r>
              <w:rPr>
                <w:rFonts w:hint="eastAsia" w:ascii="宋体" w:hAnsi="宋体" w:cs="宋体"/>
                <w:b/>
                <w:bCs/>
                <w:color w:val="000000"/>
                <w:spacing w:val="-6"/>
                <w:highlight w:val="none"/>
              </w:rPr>
              <w:t xml:space="preserve">是</w:t>
            </w:r>
            <w:bookmarkEnd w:id="95"/>
            <w:r>
              <w:rPr>
                <w:rFonts w:ascii="宋体" w:hAnsi="宋体" w:cs="宋体"/>
                <w:color w:val="000000"/>
                <w:spacing w:val="-6"/>
                <w:highlight w:val="none"/>
              </w:rPr>
            </w:r>
            <w:r/>
          </w:p>
        </w:tc>
      </w:tr>
      <w:tr>
        <w:trPr>
          <w:trHeight w:val="2169"/>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3.2</w:t>
            </w:r>
            <w:r>
              <w:rPr>
                <w:rFonts w:ascii="宋体" w:hAnsi="宋体" w:cs="宋体"/>
                <w:color w:val="000000"/>
                <w:spacing w:val="-2"/>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培训方案</w:t>
            </w:r>
            <w:r>
              <w:rPr>
                <w:color w:val="000000"/>
                <w:highlight w:val="none"/>
              </w:rPr>
            </w:r>
            <w:r/>
          </w:p>
        </w:tc>
        <w:tc>
          <w:tcPr>
            <w:tcW w:w="6330" w:type="dxa"/>
            <w:vAlign w:val="center"/>
            <w:textDirection w:val="lrTb"/>
            <w:noWrap w:val="false"/>
          </w:tcPr>
          <w:p>
            <w:pPr>
              <w:pStyle w:val="930"/>
              <w:jc w:val="left"/>
              <w:spacing w:line="264" w:lineRule="auto"/>
              <w:widowControl/>
              <w:rPr>
                <w:rFonts w:ascii="宋体" w:hAnsi="宋体" w:cs="宋体"/>
                <w:color w:val="000000"/>
                <w:highlight w:val="none"/>
              </w:rPr>
            </w:pPr>
            <w:r>
              <w:rPr>
                <w:rFonts w:hint="eastAsia"/>
                <w:color w:val="000000"/>
                <w:szCs w:val="21"/>
                <w:highlight w:val="none"/>
              </w:rPr>
              <w:t xml:space="preserve">根据本项目采购需求中“培训要求”编制培训方案，</w:t>
            </w:r>
            <w:r>
              <w:rPr>
                <w:rFonts w:hint="eastAsia"/>
                <w:color w:val="000000"/>
                <w:highlight w:val="none"/>
              </w:rPr>
              <w:t xml:space="preserve">包括</w:t>
            </w:r>
            <w:r>
              <w:rPr>
                <w:rFonts w:ascii="宋体" w:hAnsi="宋体" w:cs="宋体"/>
                <w:color w:val="000000"/>
                <w:highlight w:val="none"/>
              </w:rPr>
              <w:t xml:space="preserve">：</w:t>
            </w:r>
            <w:r>
              <w:rPr>
                <w:rFonts w:hint="eastAsia" w:ascii="宋体" w:hAnsi="宋体" w:cs="宋体"/>
                <w:color w:val="000000"/>
                <w:highlight w:val="none"/>
              </w:rPr>
              <w:t xml:space="preserve">1.</w:t>
            </w:r>
            <w:r>
              <w:rPr>
                <w:rFonts w:ascii="宋体" w:hAnsi="宋体" w:cs="宋体"/>
                <w:color w:val="000000"/>
                <w:highlight w:val="none"/>
              </w:rPr>
              <w:t xml:space="preserve">培训计划</w:t>
            </w:r>
            <w:r>
              <w:rPr>
                <w:rFonts w:hint="eastAsia" w:ascii="宋体" w:hAnsi="宋体" w:cs="宋体"/>
                <w:color w:val="000000"/>
                <w:highlight w:val="none"/>
              </w:rPr>
              <w:t xml:space="preserve">；2</w:t>
            </w:r>
            <w:r>
              <w:rPr>
                <w:rFonts w:ascii="宋体" w:hAnsi="宋体" w:cs="宋体"/>
                <w:color w:val="000000"/>
                <w:highlight w:val="none"/>
              </w:rPr>
              <w:t xml:space="preserve">.培训师资力量</w:t>
            </w:r>
            <w:r>
              <w:rPr>
                <w:rFonts w:hint="eastAsia" w:ascii="宋体" w:hAnsi="宋体" w:cs="宋体"/>
                <w:color w:val="000000"/>
                <w:highlight w:val="none"/>
              </w:rPr>
              <w:t xml:space="preserve">；</w:t>
            </w:r>
            <w:r>
              <w:rPr>
                <w:rFonts w:ascii="宋体" w:hAnsi="宋体" w:cs="宋体"/>
                <w:color w:val="000000"/>
                <w:highlight w:val="none"/>
              </w:rPr>
              <w:t xml:space="preserve">3.培训内容安排</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以上每项内容逐条阐述。</w:t>
            </w:r>
            <w:r>
              <w:rPr>
                <w:rFonts w:ascii="宋体" w:hAnsi="宋体" w:cs="宋体"/>
                <w:color w:val="000000"/>
                <w:highlight w:val="none"/>
              </w:rPr>
              <w:t xml:space="preserve"> </w:t>
            </w:r>
            <w:r>
              <w:rPr>
                <w:rFonts w:ascii="宋体" w:hAnsi="宋体" w:cs="宋体"/>
                <w:color w:val="000000"/>
                <w:highlight w:val="none"/>
              </w:rPr>
            </w:r>
            <w:r/>
          </w:p>
          <w:p>
            <w:pPr>
              <w:pStyle w:val="930"/>
              <w:jc w:val="left"/>
              <w:rPr>
                <w:color w:val="000000"/>
                <w:szCs w:val="21"/>
                <w:highlight w:val="none"/>
              </w:rPr>
            </w:pPr>
            <w:r/>
            <w:bookmarkStart w:id="96" w:name="OLE_LINK16"/>
            <w:r>
              <w:rPr>
                <w:rFonts w:hint="eastAsia"/>
                <w:color w:val="000000"/>
                <w:szCs w:val="21"/>
                <w:highlight w:val="none"/>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highlight w:val="none"/>
              </w:rPr>
            </w:r>
            <w:r/>
          </w:p>
          <w:p>
            <w:pPr>
              <w:pStyle w:val="1059"/>
              <w:rPr>
                <w:color w:val="000000"/>
                <w:highlight w:val="none"/>
                <w:lang w:val="en-US"/>
              </w:rPr>
            </w:pPr>
            <w:r>
              <w:rPr>
                <w:rFonts w:hint="eastAsia"/>
                <w:color w:val="000000"/>
                <w:sz w:val="21"/>
                <w:szCs w:val="21"/>
                <w:highlight w:val="none"/>
              </w:rPr>
              <w:t xml:space="preserve">上述每项内容符合的，得</w:t>
            </w:r>
            <w:r>
              <w:rPr>
                <w:rFonts w:hint="eastAsia"/>
                <w:color w:val="000000"/>
                <w:sz w:val="21"/>
                <w:szCs w:val="21"/>
                <w:highlight w:val="none"/>
                <w:lang w:val="en-US"/>
              </w:rPr>
              <w:t xml:space="preserve">1</w:t>
            </w:r>
            <w:r>
              <w:rPr>
                <w:rFonts w:hint="eastAsia"/>
                <w:color w:val="000000"/>
                <w:sz w:val="21"/>
                <w:szCs w:val="21"/>
                <w:highlight w:val="none"/>
              </w:rPr>
              <w:t xml:space="preserve">分；每项内容部分符合的，得</w:t>
            </w:r>
            <w:r>
              <w:rPr>
                <w:rFonts w:hint="eastAsia"/>
                <w:color w:val="000000"/>
                <w:sz w:val="21"/>
                <w:szCs w:val="21"/>
                <w:highlight w:val="none"/>
                <w:lang w:val="en-US"/>
              </w:rPr>
              <w:t xml:space="preserve">0.5</w:t>
            </w:r>
            <w:r>
              <w:rPr>
                <w:rFonts w:hint="eastAsia"/>
                <w:color w:val="000000"/>
                <w:sz w:val="21"/>
                <w:szCs w:val="21"/>
                <w:highlight w:val="none"/>
              </w:rPr>
              <w:t xml:space="preserve">分；每项内容不符合或未提供内容的，不得分。</w:t>
            </w:r>
            <w:bookmarkEnd w:id="96"/>
            <w:r>
              <w:rPr>
                <w:color w:val="000000"/>
                <w:highlight w:val="none"/>
                <w:lang w:val="en-US"/>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ascii="宋体" w:hAnsi="宋体" w:cs="宋体"/>
                <w:color w:val="000000"/>
                <w:spacing w:val="-6"/>
                <w:highlight w:val="none"/>
              </w:rPr>
              <w:t xml:space="preserve">主观分</w:t>
            </w:r>
            <w:r>
              <w:rPr>
                <w:rFonts w:ascii="宋体" w:hAnsi="宋体" w:cs="宋体"/>
                <w:color w:val="000000"/>
                <w:spacing w:val="-6"/>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rPr>
              <w:t xml:space="preserve">是</w:t>
            </w:r>
            <w:r>
              <w:rPr>
                <w:rFonts w:ascii="宋体" w:hAnsi="宋体" w:cs="宋体"/>
                <w:color w:val="000000"/>
                <w:spacing w:val="-6"/>
                <w:highlight w:val="none"/>
              </w:rPr>
            </w:r>
            <w:r/>
          </w:p>
        </w:tc>
      </w:tr>
      <w:tr>
        <w:trPr>
          <w:trHeight w:val="133"/>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3.3</w:t>
            </w:r>
            <w:r>
              <w:rPr>
                <w:rFonts w:ascii="宋体" w:hAnsi="宋体" w:cs="宋体"/>
                <w:color w:val="000000"/>
                <w:spacing w:val="-2"/>
                <w:highlight w:val="none"/>
              </w:rPr>
            </w:r>
            <w:r/>
          </w:p>
        </w:tc>
        <w:tc>
          <w:tcPr>
            <w:tcW w:w="1179" w:type="dxa"/>
            <w:vAlign w:val="center"/>
            <w:textDirection w:val="lrTb"/>
            <w:noWrap w:val="false"/>
          </w:tcPr>
          <w:p>
            <w:pPr>
              <w:pStyle w:val="930"/>
              <w:jc w:val="left"/>
              <w:spacing w:before="68" w:line="264" w:lineRule="auto"/>
              <w:rPr>
                <w:rFonts w:ascii="宋体" w:hAnsi="宋体" w:cs="宋体"/>
                <w:color w:val="000000"/>
                <w:spacing w:val="-2"/>
                <w:highlight w:val="none"/>
              </w:rPr>
            </w:pPr>
            <w:r>
              <w:rPr>
                <w:rFonts w:hint="eastAsia"/>
                <w:color w:val="000000"/>
                <w:szCs w:val="21"/>
                <w:highlight w:val="none"/>
              </w:rPr>
              <w:t xml:space="preserve">验收方案</w:t>
            </w:r>
            <w:r>
              <w:rPr>
                <w:rFonts w:ascii="宋体" w:hAnsi="宋体" w:cs="宋体"/>
                <w:color w:val="000000"/>
                <w:spacing w:val="-2"/>
                <w:highlight w:val="none"/>
              </w:rPr>
            </w:r>
            <w:r/>
          </w:p>
        </w:tc>
        <w:tc>
          <w:tcPr>
            <w:tcW w:w="6330" w:type="dxa"/>
            <w:vAlign w:val="center"/>
            <w:textDirection w:val="lrTb"/>
            <w:noWrap w:val="false"/>
          </w:tcPr>
          <w:p>
            <w:pPr>
              <w:pStyle w:val="930"/>
              <w:jc w:val="left"/>
              <w:spacing w:line="264" w:lineRule="auto"/>
              <w:rPr>
                <w:color w:val="000000"/>
                <w:highlight w:val="none"/>
              </w:rPr>
            </w:pPr>
            <w:r>
              <w:rPr>
                <w:rFonts w:hint="eastAsia"/>
                <w:color w:val="000000"/>
                <w:szCs w:val="21"/>
                <w:highlight w:val="none"/>
              </w:rPr>
              <w:t xml:space="preserve">根据本项目采购需求中“验收方案”内容编制项目验收方案，</w:t>
            </w:r>
            <w:r>
              <w:rPr>
                <w:rFonts w:hint="eastAsia"/>
                <w:color w:val="000000"/>
                <w:highlight w:val="none"/>
              </w:rPr>
              <w:t xml:space="preserve">包括</w:t>
            </w:r>
            <w:r>
              <w:rPr>
                <w:rFonts w:ascii="宋体" w:hAnsi="宋体" w:cs="宋体"/>
                <w:color w:val="000000"/>
                <w:highlight w:val="none"/>
              </w:rPr>
              <w:t xml:space="preserve">：</w:t>
            </w:r>
            <w:r>
              <w:rPr>
                <w:rFonts w:hint="eastAsia" w:ascii="宋体" w:hAnsi="宋体" w:cs="宋体"/>
                <w:color w:val="000000"/>
                <w:highlight w:val="none"/>
              </w:rPr>
              <w:t xml:space="preserve">1.验收</w:t>
            </w:r>
            <w:r>
              <w:rPr>
                <w:rFonts w:ascii="宋体" w:hAnsi="宋体" w:cs="宋体"/>
                <w:color w:val="000000"/>
                <w:highlight w:val="none"/>
              </w:rPr>
              <w:t xml:space="preserve">方案</w:t>
            </w:r>
            <w:r>
              <w:rPr>
                <w:rFonts w:hint="eastAsia" w:ascii="宋体" w:hAnsi="宋体" w:cs="宋体"/>
                <w:color w:val="000000"/>
                <w:highlight w:val="none"/>
              </w:rPr>
              <w:t xml:space="preserve">；2.</w:t>
            </w:r>
            <w:r>
              <w:rPr>
                <w:rFonts w:ascii="宋体" w:hAnsi="宋体" w:cs="宋体"/>
                <w:color w:val="000000"/>
                <w:highlight w:val="none"/>
              </w:rPr>
              <w:t xml:space="preserve">成功交付物</w:t>
            </w:r>
            <w:r>
              <w:rPr>
                <w:rFonts w:hint="eastAsia" w:ascii="宋体" w:hAnsi="宋体" w:cs="宋体"/>
                <w:color w:val="000000"/>
                <w:highlight w:val="none"/>
              </w:rPr>
              <w:t xml:space="preserve">；3.</w:t>
            </w:r>
            <w:r>
              <w:rPr>
                <w:rFonts w:ascii="宋体" w:hAnsi="宋体" w:cs="宋体"/>
                <w:color w:val="000000"/>
                <w:highlight w:val="none"/>
              </w:rPr>
              <w:t xml:space="preserve">验收过程</w:t>
            </w:r>
            <w:r>
              <w:rPr>
                <w:rFonts w:hint="eastAsia" w:ascii="宋体" w:hAnsi="宋体" w:cs="宋体"/>
                <w:color w:val="000000"/>
                <w:highlight w:val="none"/>
              </w:rPr>
              <w:t xml:space="preserve">。以上</w:t>
            </w:r>
            <w:r>
              <w:rPr>
                <w:color w:val="000000"/>
                <w:szCs w:val="21"/>
                <w:highlight w:val="none"/>
              </w:rPr>
              <w:t xml:space="preserve">每项内容逐条阐述</w:t>
            </w:r>
            <w:r>
              <w:rPr>
                <w:rFonts w:hint="eastAsia"/>
                <w:color w:val="000000"/>
                <w:szCs w:val="21"/>
                <w:highlight w:val="none"/>
              </w:rPr>
              <w:t xml:space="preserve">。</w:t>
            </w:r>
            <w:r>
              <w:rPr>
                <w:color w:val="000000"/>
                <w:highlight w:val="none"/>
              </w:rPr>
            </w:r>
            <w:r/>
          </w:p>
          <w:p>
            <w:pPr>
              <w:pStyle w:val="930"/>
              <w:jc w:val="left"/>
              <w:rPr>
                <w:color w:val="000000"/>
                <w:szCs w:val="21"/>
                <w:highlight w:val="none"/>
              </w:rPr>
            </w:pPr>
            <w:r>
              <w:rPr>
                <w:rFonts w:hint="eastAsia"/>
                <w:color w:val="000000"/>
                <w:szCs w:val="21"/>
                <w:highlight w:val="none"/>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highlight w:val="none"/>
              </w:rPr>
            </w:r>
            <w:r/>
          </w:p>
          <w:p>
            <w:pPr>
              <w:pStyle w:val="1059"/>
              <w:rPr>
                <w:color w:val="000000"/>
                <w:spacing w:val="-2"/>
                <w:highlight w:val="none"/>
                <w:lang w:val="en-US"/>
              </w:rPr>
            </w:pPr>
            <w:r>
              <w:rPr>
                <w:rFonts w:hint="eastAsia"/>
                <w:color w:val="000000"/>
                <w:sz w:val="21"/>
                <w:szCs w:val="21"/>
                <w:highlight w:val="none"/>
              </w:rPr>
              <w:t xml:space="preserve">上述每项内容符合的，得</w:t>
            </w:r>
            <w:r>
              <w:rPr>
                <w:rFonts w:hint="eastAsia"/>
                <w:color w:val="000000"/>
                <w:sz w:val="21"/>
                <w:szCs w:val="21"/>
                <w:highlight w:val="none"/>
                <w:lang w:val="en-US"/>
              </w:rPr>
              <w:t xml:space="preserve">1</w:t>
            </w:r>
            <w:r>
              <w:rPr>
                <w:rFonts w:hint="eastAsia"/>
                <w:color w:val="000000"/>
                <w:sz w:val="21"/>
                <w:szCs w:val="21"/>
                <w:highlight w:val="none"/>
              </w:rPr>
              <w:t xml:space="preserve">分；每项内容部分符合的，得</w:t>
            </w:r>
            <w:r>
              <w:rPr>
                <w:rFonts w:hint="eastAsia"/>
                <w:color w:val="000000"/>
                <w:sz w:val="21"/>
                <w:szCs w:val="21"/>
                <w:highlight w:val="none"/>
                <w:lang w:val="en-US"/>
              </w:rPr>
              <w:t xml:space="preserve">0.5</w:t>
            </w:r>
            <w:r>
              <w:rPr>
                <w:rFonts w:hint="eastAsia"/>
                <w:color w:val="000000"/>
                <w:sz w:val="21"/>
                <w:szCs w:val="21"/>
                <w:highlight w:val="none"/>
              </w:rPr>
              <w:t xml:space="preserve">分；每项内容不符合或未提供内容的，不得分。</w:t>
            </w:r>
            <w:r>
              <w:rPr>
                <w:color w:val="000000"/>
                <w:spacing w:val="-2"/>
                <w:highlight w:val="none"/>
                <w:lang w:val="en-US"/>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主观分</w:t>
            </w:r>
            <w:r>
              <w:rPr>
                <w:rFonts w:ascii="宋体" w:hAnsi="宋体" w:cs="宋体"/>
                <w:color w:val="000000"/>
                <w:spacing w:val="-6"/>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rPr>
              <w:t xml:space="preserve">是</w:t>
            </w:r>
            <w:r>
              <w:rPr>
                <w:rFonts w:ascii="宋体" w:hAnsi="宋体" w:cs="宋体"/>
                <w:color w:val="000000"/>
                <w:spacing w:val="-6"/>
                <w:highlight w:val="none"/>
              </w:rPr>
            </w:r>
            <w:r/>
          </w:p>
        </w:tc>
      </w:tr>
      <w:tr>
        <w:trPr>
          <w:trHeight w:val="455"/>
        </w:trPr>
        <w:tc>
          <w:tcPr>
            <w:gridSpan w:val="5"/>
            <w:tcW w:w="9575" w:type="dxa"/>
            <w:vAlign w:val="center"/>
            <w:textDirection w:val="lrTb"/>
            <w:noWrap w:val="false"/>
          </w:tcPr>
          <w:p>
            <w:pPr>
              <w:pStyle w:val="930"/>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4.业绩</w:t>
            </w:r>
            <w:r>
              <w:rPr>
                <w:rFonts w:ascii="宋体" w:hAnsi="宋体" w:cs="宋体"/>
                <w:color w:val="000000"/>
                <w:highlight w:val="none"/>
              </w:rPr>
            </w:r>
            <w:r/>
          </w:p>
        </w:tc>
        <w:tc>
          <w:tcPr>
            <w:tcW w:w="900" w:type="dxa"/>
            <w:vAlign w:val="center"/>
            <w:textDirection w:val="lrTb"/>
            <w:noWrap w:val="false"/>
          </w:tcPr>
          <w:p>
            <w:pPr>
              <w:pStyle w:val="930"/>
              <w:spacing w:line="264" w:lineRule="auto"/>
              <w:rPr>
                <w:rFonts w:ascii="宋体" w:hAnsi="宋体" w:cs="宋体"/>
                <w:b/>
                <w:bCs/>
                <w:color w:val="000000"/>
                <w:spacing w:val="-3"/>
                <w:highlight w:val="none"/>
              </w:rPr>
            </w:pPr>
            <w:r>
              <w:rPr>
                <w:rFonts w:ascii="宋体" w:hAnsi="宋体" w:cs="宋体"/>
                <w:b/>
                <w:bCs/>
                <w:color w:val="000000"/>
                <w:spacing w:val="-3"/>
                <w:highlight w:val="none"/>
              </w:rPr>
            </w:r>
            <w:r/>
          </w:p>
        </w:tc>
      </w:tr>
      <w:tr>
        <w:trPr>
          <w:trHeight w:val="1015"/>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.1</w:t>
            </w:r>
            <w:r>
              <w:rPr>
                <w:rFonts w:ascii="宋体" w:hAnsi="宋体" w:cs="宋体"/>
                <w:color w:val="000000"/>
                <w:spacing w:val="-2"/>
                <w:highlight w:val="none"/>
              </w:rPr>
            </w:r>
            <w:r/>
          </w:p>
        </w:tc>
        <w:tc>
          <w:tcPr>
            <w:tcW w:w="1179" w:type="dxa"/>
            <w:vAlign w:val="center"/>
            <w:textDirection w:val="lrTb"/>
            <w:noWrap w:val="false"/>
          </w:tcPr>
          <w:p>
            <w:pPr>
              <w:pStyle w:val="930"/>
              <w:spacing w:before="69" w:line="264" w:lineRule="auto"/>
              <w:rPr>
                <w:rFonts w:ascii="宋体" w:hAnsi="宋体" w:cs="宋体"/>
                <w:color w:val="000000"/>
                <w:spacing w:val="-2"/>
                <w:highlight w:val="none"/>
              </w:rPr>
            </w:pPr>
            <w:r>
              <w:rPr>
                <w:rFonts w:hint="eastAsia" w:ascii="宋体" w:hAnsi="宋体" w:cs="宋体"/>
                <w:color w:val="000000"/>
                <w:spacing w:val="-1"/>
                <w:highlight w:val="none"/>
              </w:rPr>
              <w:t xml:space="preserve">供应商</w:t>
            </w:r>
            <w:r>
              <w:rPr>
                <w:rFonts w:ascii="宋体" w:hAnsi="宋体" w:cs="宋体"/>
                <w:color w:val="000000"/>
                <w:spacing w:val="-1"/>
                <w:highlight w:val="none"/>
              </w:rPr>
              <w:t xml:space="preserve">业绩</w:t>
            </w:r>
            <w:r>
              <w:rPr>
                <w:rFonts w:ascii="宋体" w:hAnsi="宋体" w:cs="宋体"/>
                <w:color w:val="000000"/>
                <w:spacing w:val="-2"/>
                <w:highlight w:val="none"/>
              </w:rPr>
            </w:r>
            <w:r/>
          </w:p>
        </w:tc>
        <w:tc>
          <w:tcPr>
            <w:tcW w:w="6330" w:type="dxa"/>
            <w:vAlign w:val="center"/>
            <w:textDirection w:val="lrTb"/>
            <w:noWrap w:val="false"/>
          </w:tcPr>
          <w:p>
            <w:pPr>
              <w:pStyle w:val="930"/>
              <w:spacing w:line="264" w:lineRule="auto"/>
              <w:rPr>
                <w:rFonts w:eastAsia="方正仿宋_GBK"/>
                <w:color w:val="000000"/>
                <w:szCs w:val="21"/>
                <w:highlight w:val="none"/>
                <w:lang w:bidi="zh-CN"/>
              </w:rPr>
            </w:pPr>
            <w:r>
              <w:rPr>
                <w:rFonts w:hint="eastAsia" w:ascii="宋体" w:hAnsi="宋体" w:cs="宋体"/>
                <w:color w:val="000000"/>
                <w:highlight w:val="none"/>
              </w:rPr>
              <w:t xml:space="preserve">供应商提供</w:t>
            </w:r>
            <w:r>
              <w:rPr>
                <w:rFonts w:ascii="宋体" w:hAnsi="宋体" w:cs="宋体"/>
                <w:color w:val="000000"/>
                <w:highlight w:val="none"/>
              </w:rPr>
              <w:t xml:space="preserve">20</w:t>
            </w:r>
            <w:r>
              <w:rPr>
                <w:rFonts w:hint="eastAsia" w:ascii="宋体" w:hAnsi="宋体" w:cs="宋体"/>
                <w:color w:val="000000"/>
                <w:highlight w:val="none"/>
              </w:rPr>
              <w:t xml:space="preserve">23</w:t>
            </w:r>
            <w:r>
              <w:rPr>
                <w:rFonts w:ascii="宋体" w:hAnsi="宋体" w:cs="宋体"/>
                <w:color w:val="000000"/>
                <w:highlight w:val="none"/>
              </w:rPr>
              <w:t xml:space="preserve">年</w:t>
            </w:r>
            <w:r>
              <w:rPr>
                <w:rFonts w:hint="eastAsia" w:ascii="宋体" w:hAnsi="宋体" w:cs="宋体"/>
                <w:color w:val="000000"/>
                <w:highlight w:val="none"/>
              </w:rPr>
              <w:t xml:space="preserve">5</w:t>
            </w:r>
            <w:r>
              <w:rPr>
                <w:rFonts w:ascii="宋体" w:hAnsi="宋体" w:cs="宋体"/>
                <w:color w:val="000000"/>
                <w:highlight w:val="none"/>
              </w:rPr>
              <w:t xml:space="preserve">月</w:t>
            </w:r>
            <w:r>
              <w:rPr>
                <w:rFonts w:hint="eastAsia" w:ascii="宋体" w:hAnsi="宋体" w:cs="宋体"/>
                <w:color w:val="000000"/>
                <w:highlight w:val="none"/>
              </w:rPr>
              <w:t xml:space="preserve">1</w:t>
            </w:r>
            <w:r>
              <w:rPr>
                <w:rFonts w:ascii="宋体" w:hAnsi="宋体" w:cs="宋体"/>
                <w:color w:val="000000"/>
                <w:highlight w:val="none"/>
              </w:rPr>
              <w:t xml:space="preserve">日（含）以来</w:t>
            </w:r>
            <w:r>
              <w:rPr>
                <w:rFonts w:hint="eastAsia" w:ascii="宋体" w:hAnsi="宋体" w:cs="宋体"/>
                <w:color w:val="000000"/>
                <w:highlight w:val="none"/>
              </w:rPr>
              <w:t xml:space="preserve">类似</w:t>
            </w:r>
            <w:r>
              <w:rPr>
                <w:rFonts w:ascii="宋体" w:hAnsi="宋体" w:cs="宋体"/>
                <w:color w:val="000000"/>
                <w:highlight w:val="none"/>
              </w:rPr>
              <w:t xml:space="preserve">项目业绩，每提供</w:t>
            </w:r>
            <w:r>
              <w:rPr>
                <w:rFonts w:hint="eastAsia" w:ascii="宋体" w:hAnsi="宋体" w:cs="宋体"/>
                <w:color w:val="000000"/>
                <w:highlight w:val="none"/>
              </w:rPr>
              <w:t xml:space="preserve">1</w:t>
            </w:r>
            <w:r>
              <w:rPr>
                <w:rFonts w:ascii="宋体" w:hAnsi="宋体" w:cs="宋体"/>
                <w:color w:val="000000"/>
                <w:highlight w:val="none"/>
              </w:rPr>
              <w:t xml:space="preserve">个得3分</w:t>
            </w:r>
            <w:r>
              <w:rPr>
                <w:rFonts w:hint="eastAsia" w:ascii="宋体" w:hAnsi="宋体" w:cs="宋体"/>
                <w:color w:val="000000"/>
                <w:highlight w:val="none"/>
              </w:rPr>
              <w:t xml:space="preserve">,最多得</w:t>
            </w:r>
            <w:r>
              <w:rPr>
                <w:rFonts w:ascii="宋体" w:hAnsi="宋体" w:cs="宋体"/>
                <w:color w:val="000000"/>
                <w:highlight w:val="none"/>
              </w:rPr>
              <w:t xml:space="preserve">9</w:t>
            </w:r>
            <w:r>
              <w:rPr>
                <w:rFonts w:hint="eastAsia" w:ascii="宋体" w:hAnsi="宋体" w:cs="宋体"/>
                <w:color w:val="000000"/>
                <w:highlight w:val="none"/>
              </w:rPr>
              <w:t xml:space="preserve">分</w:t>
            </w:r>
            <w:r>
              <w:rPr>
                <w:rFonts w:ascii="宋体" w:hAnsi="宋体" w:cs="宋体"/>
                <w:color w:val="000000"/>
                <w:highlight w:val="none"/>
              </w:rPr>
              <w:t xml:space="preserve">。（</w:t>
            </w:r>
            <w:r>
              <w:rPr>
                <w:rFonts w:hint="eastAsia" w:ascii="宋体" w:hAnsi="宋体" w:cs="宋体"/>
                <w:color w:val="000000"/>
                <w:szCs w:val="21"/>
                <w:highlight w:val="none"/>
              </w:rPr>
              <w:t xml:space="preserve">时间以合同签订时间为准，</w:t>
            </w:r>
            <w:r>
              <w:rPr>
                <w:rFonts w:ascii="宋体" w:hAnsi="宋体" w:cs="宋体"/>
                <w:color w:val="000000"/>
                <w:highlight w:val="none"/>
              </w:rPr>
              <w:t xml:space="preserve">提供有效合同，合同</w:t>
            </w:r>
            <w:r>
              <w:rPr>
                <w:rFonts w:hint="eastAsia" w:ascii="宋体" w:hAnsi="宋体" w:cs="宋体"/>
                <w:color w:val="000000"/>
                <w:highlight w:val="none"/>
              </w:rPr>
              <w:t xml:space="preserve">页</w:t>
            </w:r>
            <w:r>
              <w:rPr>
                <w:rFonts w:ascii="宋体" w:hAnsi="宋体" w:cs="宋体"/>
                <w:color w:val="000000"/>
                <w:highlight w:val="none"/>
              </w:rPr>
              <w:t xml:space="preserve">须清晰可见相应内容）</w:t>
            </w:r>
            <w:r>
              <w:rPr>
                <w:rFonts w:eastAsia="方正仿宋_GBK"/>
                <w:color w:val="000000"/>
                <w:szCs w:val="21"/>
                <w:highlight w:val="none"/>
                <w:lang w:bidi="zh-CN"/>
              </w:rPr>
            </w:r>
            <w:r/>
          </w:p>
        </w:tc>
        <w:tc>
          <w:tcPr>
            <w:tcW w:w="647" w:type="dxa"/>
            <w:vAlign w:val="center"/>
            <w:textDirection w:val="lrTb"/>
            <w:noWrap w:val="false"/>
          </w:tcPr>
          <w:p>
            <w:pPr>
              <w:pStyle w:val="930"/>
              <w:jc w:val="center"/>
              <w:spacing w:line="264" w:lineRule="auto"/>
              <w:rPr>
                <w:color w:val="000000"/>
                <w:szCs w:val="21"/>
                <w:highlight w:val="none"/>
              </w:rPr>
            </w:pPr>
            <w:r>
              <w:rPr>
                <w:rFonts w:ascii="宋体" w:hAnsi="宋体" w:cs="宋体"/>
                <w:color w:val="000000"/>
                <w:highlight w:val="none"/>
              </w:rPr>
              <w:t xml:space="preserve">9</w:t>
            </w:r>
            <w:r>
              <w:rPr>
                <w:color w:val="000000"/>
                <w:szCs w:val="21"/>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否</w:t>
            </w:r>
            <w:r>
              <w:rPr>
                <w:rFonts w:ascii="宋体" w:hAnsi="宋体" w:cs="宋体"/>
                <w:color w:val="000000"/>
                <w:spacing w:val="-6"/>
                <w:highlight w:val="none"/>
              </w:rPr>
            </w:r>
            <w:r/>
          </w:p>
        </w:tc>
      </w:tr>
      <w:tr>
        <w:trPr>
          <w:trHeight w:val="269"/>
        </w:trPr>
        <w:tc>
          <w:tcPr>
            <w:gridSpan w:val="5"/>
            <w:tcW w:w="9575" w:type="dxa"/>
            <w:vAlign w:val="top"/>
            <w:textDirection w:val="lrTb"/>
            <w:noWrap w:val="false"/>
          </w:tcPr>
          <w:p>
            <w:pPr>
              <w:pStyle w:val="930"/>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5.履约能力</w:t>
            </w:r>
            <w:r>
              <w:rPr>
                <w:rFonts w:ascii="宋体" w:hAnsi="宋体" w:cs="宋体"/>
                <w:color w:val="000000"/>
                <w:highlight w:val="none"/>
              </w:rPr>
            </w:r>
            <w:r/>
          </w:p>
        </w:tc>
        <w:tc>
          <w:tcPr>
            <w:tcW w:w="900" w:type="dxa"/>
            <w:vAlign w:val="top"/>
            <w:textDirection w:val="lrTb"/>
            <w:noWrap w:val="false"/>
          </w:tcPr>
          <w:p>
            <w:pPr>
              <w:pStyle w:val="930"/>
              <w:spacing w:before="123" w:line="264" w:lineRule="auto"/>
              <w:rPr>
                <w:rFonts w:ascii="宋体" w:hAnsi="宋体" w:cs="宋体"/>
                <w:b/>
                <w:bCs/>
                <w:color w:val="000000"/>
                <w:spacing w:val="-3"/>
                <w:highlight w:val="none"/>
              </w:rPr>
            </w:pPr>
            <w:r>
              <w:rPr>
                <w:rFonts w:ascii="宋体" w:hAnsi="宋体" w:cs="宋体"/>
                <w:b/>
                <w:bCs/>
                <w:color w:val="000000"/>
                <w:spacing w:val="-3"/>
                <w:highlight w:val="none"/>
              </w:rPr>
            </w:r>
            <w:r/>
          </w:p>
        </w:tc>
      </w:tr>
      <w:tr>
        <w:trPr>
          <w:trHeight w:val="387"/>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.1</w:t>
            </w:r>
            <w:r>
              <w:rPr>
                <w:rFonts w:ascii="宋体" w:hAnsi="宋体" w:cs="宋体"/>
                <w:color w:val="000000"/>
                <w:spacing w:val="-2"/>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履约能力1</w:t>
            </w:r>
            <w:r>
              <w:rPr>
                <w:color w:val="000000"/>
                <w:highlight w:val="none"/>
              </w:rPr>
            </w:r>
            <w:r/>
          </w:p>
        </w:tc>
        <w:tc>
          <w:tcPr>
            <w:tcW w:w="6330" w:type="dxa"/>
            <w:vAlign w:val="center"/>
            <w:textDirection w:val="lrTb"/>
            <w:noWrap w:val="false"/>
          </w:tcPr>
          <w:p>
            <w:pPr>
              <w:pStyle w:val="930"/>
              <w:spacing w:line="264" w:lineRule="auto"/>
              <w:rPr>
                <w:rFonts w:ascii="宋体" w:hAnsi="宋体" w:cs="宋体"/>
                <w:color w:val="000000"/>
                <w:highlight w:val="none"/>
              </w:rPr>
            </w:pPr>
            <w:r>
              <w:rPr>
                <w:rFonts w:hint="eastAsia" w:ascii="宋体" w:hAnsi="宋体" w:cs="宋体"/>
                <w:color w:val="000000"/>
                <w:highlight w:val="none"/>
              </w:rPr>
              <w:t xml:space="preserve">项目经理：</w:t>
            </w:r>
            <w:r>
              <w:rPr>
                <w:rFonts w:ascii="宋体" w:hAnsi="宋体" w:cs="宋体"/>
                <w:color w:val="000000"/>
                <w:highlight w:val="none"/>
              </w:rPr>
            </w:r>
            <w:r/>
          </w:p>
          <w:p>
            <w:pPr>
              <w:pStyle w:val="930"/>
              <w:spacing w:line="264" w:lineRule="auto"/>
              <w:rPr>
                <w:rFonts w:ascii="宋体" w:hAnsi="宋体" w:cs="宋体"/>
                <w:color w:val="000000"/>
                <w:highlight w:val="none"/>
              </w:rPr>
            </w:pPr>
            <w:r>
              <w:rPr>
                <w:rFonts w:hint="eastAsia" w:ascii="宋体" w:hAnsi="宋体" w:cs="宋体"/>
                <w:color w:val="000000"/>
                <w:highlight w:val="none"/>
              </w:rPr>
              <w:t xml:space="preserve">（1）具有信息系统项目管理师证书（提供有效证书），得1分。</w:t>
            </w:r>
            <w:r>
              <w:rPr>
                <w:rFonts w:ascii="宋体" w:hAnsi="宋体" w:cs="宋体"/>
                <w:color w:val="000000"/>
                <w:highlight w:val="none"/>
              </w:rPr>
            </w:r>
            <w:r/>
          </w:p>
          <w:p>
            <w:pPr>
              <w:pStyle w:val="930"/>
              <w:spacing w:line="264" w:lineRule="auto"/>
              <w:rPr>
                <w:rFonts w:ascii="宋体" w:hAnsi="宋体" w:cs="宋体"/>
                <w:color w:val="000000"/>
                <w:highlight w:val="none"/>
              </w:rPr>
            </w:pPr>
            <w:r>
              <w:rPr>
                <w:rFonts w:hint="eastAsia" w:ascii="宋体" w:hAnsi="宋体" w:cs="宋体"/>
                <w:color w:val="000000"/>
                <w:highlight w:val="none"/>
              </w:rPr>
              <w:t xml:space="preserve">（2）具有类似项目管理经验（提供用户单位签字或盖章的系统建设报告、验收文档证明等有效经验证明），每提供1个项目得1分，最多得</w:t>
            </w:r>
            <w:r>
              <w:rPr>
                <w:rFonts w:ascii="宋体" w:hAnsi="宋体" w:cs="宋体"/>
                <w:color w:val="000000"/>
                <w:highlight w:val="none"/>
              </w:rPr>
              <w:t xml:space="preserve">2</w:t>
            </w:r>
            <w:r>
              <w:rPr>
                <w:rFonts w:hint="eastAsia" w:ascii="宋体" w:hAnsi="宋体" w:cs="宋体"/>
                <w:color w:val="000000"/>
                <w:highlight w:val="none"/>
              </w:rPr>
              <w:t xml:space="preserve">分。</w:t>
            </w:r>
            <w:r>
              <w:rPr>
                <w:rFonts w:ascii="宋体" w:hAnsi="宋体" w:cs="宋体"/>
                <w:color w:val="000000"/>
                <w:highlight w:val="none"/>
              </w:rPr>
            </w:r>
            <w:r/>
          </w:p>
          <w:p>
            <w:pPr>
              <w:pStyle w:val="930"/>
              <w:spacing w:line="264" w:lineRule="auto"/>
              <w:rPr>
                <w:color w:val="000000"/>
                <w:highlight w:val="none"/>
              </w:rPr>
            </w:pPr>
            <w:r>
              <w:rPr>
                <w:rFonts w:hint="eastAsia" w:ascii="宋体" w:hAnsi="宋体" w:cs="宋体"/>
                <w:color w:val="000000"/>
                <w:highlight w:val="none"/>
              </w:rPr>
              <w:t xml:space="preserve">注：以上需同时提供供应商为项目经理缴纳的202</w:t>
            </w:r>
            <w:r>
              <w:rPr>
                <w:rFonts w:ascii="宋体" w:hAnsi="宋体" w:cs="宋体"/>
                <w:color w:val="000000"/>
                <w:highlight w:val="none"/>
              </w:rPr>
              <w:t xml:space="preserve">6</w:t>
            </w:r>
            <w:r>
              <w:rPr>
                <w:rFonts w:hint="eastAsia" w:ascii="宋体" w:hAnsi="宋体" w:cs="宋体"/>
                <w:color w:val="000000"/>
                <w:highlight w:val="none"/>
              </w:rPr>
              <w:t xml:space="preserve">年1月以来任意一个月的社保证明材料，否则不得分。</w:t>
            </w:r>
            <w:r>
              <w:rPr>
                <w:color w:val="000000"/>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ascii="宋体" w:hAnsi="宋体" w:cs="宋体"/>
                <w:color w:val="000000"/>
                <w:highlight w:val="none"/>
              </w:rPr>
              <w:t xml:space="preserve">3</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否</w:t>
            </w:r>
            <w:r>
              <w:rPr>
                <w:rFonts w:ascii="宋体" w:hAnsi="宋体" w:cs="宋体"/>
                <w:color w:val="000000"/>
                <w:spacing w:val="-6"/>
                <w:highlight w:val="none"/>
              </w:rPr>
            </w:r>
            <w:r/>
          </w:p>
        </w:tc>
      </w:tr>
      <w:tr>
        <w:trPr>
          <w:trHeight w:val="387"/>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w:t>
            </w:r>
            <w:r>
              <w:rPr>
                <w:rFonts w:hint="eastAsia" w:ascii="宋体" w:hAnsi="宋体" w:cs="宋体"/>
                <w:color w:val="000000"/>
                <w:spacing w:val="-2"/>
                <w:highlight w:val="none"/>
              </w:rPr>
              <w:t xml:space="preserve">2</w:t>
            </w:r>
            <w:r>
              <w:rPr>
                <w:rFonts w:ascii="宋体" w:hAnsi="宋体" w:cs="宋体"/>
                <w:color w:val="000000"/>
                <w:spacing w:val="-2"/>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履约能力2</w:t>
            </w:r>
            <w:r>
              <w:rPr>
                <w:color w:val="000000"/>
                <w:highlight w:val="none"/>
              </w:rPr>
            </w:r>
            <w:r/>
          </w:p>
        </w:tc>
        <w:tc>
          <w:tcPr>
            <w:tcW w:w="6330" w:type="dxa"/>
            <w:vAlign w:val="center"/>
            <w:textDirection w:val="lrTb"/>
            <w:noWrap w:val="false"/>
          </w:tcPr>
          <w:p>
            <w:pPr>
              <w:pStyle w:val="930"/>
              <w:spacing w:line="264" w:lineRule="auto"/>
              <w:rPr>
                <w:rFonts w:ascii="宋体" w:hAnsi="宋体" w:cs="宋体"/>
                <w:color w:val="000000"/>
                <w:highlight w:val="none"/>
              </w:rPr>
            </w:pPr>
            <w:r>
              <w:rPr>
                <w:rFonts w:hint="eastAsia" w:ascii="宋体" w:hAnsi="宋体" w:cs="宋体"/>
                <w:color w:val="000000"/>
                <w:highlight w:val="none"/>
              </w:rPr>
              <w:t xml:space="preserve">技术团队成员（项目经理除外）：提供至少2名核心技术人员（如架构师、开发工程师、测试工程师），每人具有主流技术（如Java、数据库、前端）3年以上开发经验（提供用户单位签字或盖章的系统建设报告、验收文档证明等有效经验证明）得1分，最多得2分。</w:t>
            </w:r>
            <w:r>
              <w:rPr>
                <w:rFonts w:ascii="宋体" w:hAnsi="宋体" w:cs="宋体"/>
                <w:color w:val="000000"/>
                <w:highlight w:val="none"/>
              </w:rPr>
            </w:r>
            <w:r/>
          </w:p>
          <w:p>
            <w:pPr>
              <w:pStyle w:val="930"/>
              <w:spacing w:line="264" w:lineRule="auto"/>
              <w:rPr>
                <w:color w:val="000000"/>
                <w:highlight w:val="none"/>
                <w:lang w:val="zh-CN"/>
              </w:rPr>
            </w:pPr>
            <w:r>
              <w:rPr>
                <w:rFonts w:hint="eastAsia" w:ascii="宋体" w:hAnsi="宋体" w:cs="宋体"/>
                <w:color w:val="000000"/>
                <w:highlight w:val="none"/>
              </w:rPr>
              <w:t xml:space="preserve">注：以上需同时提供供应商为</w:t>
            </w:r>
            <w:r>
              <w:rPr>
                <w:rFonts w:hint="eastAsia" w:ascii="宋体" w:hAnsi="宋体" w:cs="宋体"/>
                <w:color w:val="000000"/>
                <w:highlight w:val="none"/>
              </w:rPr>
              <w:t xml:space="preserve">团队</w:t>
            </w:r>
            <w:r>
              <w:rPr>
                <w:rFonts w:hint="eastAsia" w:ascii="宋体" w:hAnsi="宋体" w:cs="宋体"/>
                <w:color w:val="000000"/>
                <w:highlight w:val="none"/>
              </w:rPr>
              <w:t xml:space="preserve">成员</w:t>
            </w:r>
            <w:r>
              <w:rPr>
                <w:rFonts w:hint="eastAsia" w:ascii="宋体" w:hAnsi="宋体" w:cs="宋体"/>
                <w:color w:val="000000"/>
                <w:highlight w:val="none"/>
              </w:rPr>
              <w:t xml:space="preserve">缴纳的202</w:t>
            </w:r>
            <w:r>
              <w:rPr>
                <w:rFonts w:ascii="宋体" w:hAnsi="宋体" w:cs="宋体"/>
                <w:color w:val="000000"/>
                <w:highlight w:val="none"/>
              </w:rPr>
              <w:t xml:space="preserve">6</w:t>
            </w:r>
            <w:r>
              <w:rPr>
                <w:rFonts w:hint="eastAsia" w:ascii="宋体" w:hAnsi="宋体" w:cs="宋体"/>
                <w:color w:val="000000"/>
                <w:highlight w:val="none"/>
              </w:rPr>
              <w:t xml:space="preserve">年1月以来任意一个月的社保证明材料，否则不得分。</w:t>
            </w:r>
            <w:r>
              <w:rPr>
                <w:color w:val="000000"/>
                <w:highlight w:val="none"/>
                <w:lang w:val="zh-CN"/>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ascii="宋体" w:hAnsi="宋体" w:cs="宋体"/>
                <w:color w:val="000000"/>
                <w:highlight w:val="none"/>
              </w:rPr>
              <w:t xml:space="preserve">2</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否</w:t>
            </w:r>
            <w:r>
              <w:rPr>
                <w:rFonts w:ascii="宋体" w:hAnsi="宋体" w:cs="宋体"/>
                <w:color w:val="000000"/>
                <w:spacing w:val="-6"/>
                <w:highlight w:val="none"/>
              </w:rPr>
            </w:r>
            <w:r/>
          </w:p>
        </w:tc>
      </w:tr>
      <w:tr>
        <w:trPr>
          <w:trHeight w:val="387"/>
        </w:trPr>
        <w:tc>
          <w:tcPr>
            <w:tcW w:w="519" w:type="dxa"/>
            <w:vAlign w:val="center"/>
            <w:textDirection w:val="lrTb"/>
            <w:noWrap w:val="false"/>
          </w:tcPr>
          <w:p>
            <w:pPr>
              <w:pStyle w:val="930"/>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.3</w:t>
            </w:r>
            <w:r>
              <w:rPr>
                <w:rFonts w:ascii="宋体" w:hAnsi="宋体" w:cs="宋体"/>
                <w:color w:val="000000"/>
                <w:spacing w:val="-2"/>
                <w:highlight w:val="none"/>
              </w:rPr>
            </w:r>
            <w:r/>
          </w:p>
        </w:tc>
        <w:tc>
          <w:tcPr>
            <w:tcW w:w="1179" w:type="dxa"/>
            <w:vAlign w:val="center"/>
            <w:textDirection w:val="lrTb"/>
            <w:noWrap w:val="false"/>
          </w:tcPr>
          <w:p>
            <w:pPr>
              <w:pStyle w:val="930"/>
              <w:spacing w:line="264" w:lineRule="auto"/>
              <w:rPr>
                <w:color w:val="000000"/>
                <w:highlight w:val="none"/>
              </w:rPr>
            </w:pPr>
            <w:r>
              <w:rPr>
                <w:rFonts w:hint="eastAsia"/>
                <w:color w:val="000000"/>
                <w:highlight w:val="none"/>
              </w:rPr>
              <w:t xml:space="preserve">履约能力</w:t>
            </w:r>
            <w:r>
              <w:rPr>
                <w:color w:val="000000"/>
                <w:highlight w:val="none"/>
              </w:rPr>
              <w:t xml:space="preserve">3</w:t>
            </w:r>
            <w:r>
              <w:rPr>
                <w:color w:val="000000"/>
                <w:highlight w:val="none"/>
              </w:rPr>
            </w:r>
            <w:r/>
          </w:p>
        </w:tc>
        <w:tc>
          <w:tcPr>
            <w:tcW w:w="6330" w:type="dxa"/>
            <w:vAlign w:val="center"/>
            <w:textDirection w:val="lrTb"/>
            <w:noWrap w:val="false"/>
          </w:tcPr>
          <w:p>
            <w:pPr>
              <w:pStyle w:val="930"/>
              <w:spacing w:line="264" w:lineRule="auto"/>
              <w:rPr>
                <w:rFonts w:ascii="宋体" w:hAnsi="宋体" w:cs="宋体"/>
                <w:color w:val="000000"/>
                <w:highlight w:val="none"/>
              </w:rPr>
            </w:pPr>
            <w:r>
              <w:rPr>
                <w:rFonts w:hint="eastAsia" w:ascii="宋体" w:hAnsi="宋体" w:cs="宋体"/>
                <w:color w:val="000000"/>
                <w:highlight w:val="none"/>
              </w:rPr>
              <w:t xml:space="preserve">供应商具有本项目相关软件著作权证书，</w:t>
            </w:r>
            <w:r>
              <w:rPr>
                <w:rFonts w:hint="eastAsia" w:ascii="宋体" w:hAnsi="宋体" w:cs="宋体"/>
                <w:color w:val="000000"/>
                <w:szCs w:val="21"/>
                <w:highlight w:val="none"/>
              </w:rPr>
              <w:t xml:space="preserve">包括</w:t>
            </w:r>
            <w:r>
              <w:rPr>
                <w:rFonts w:hint="eastAsia" w:ascii="宋体" w:hAnsi="宋体" w:cs="宋体"/>
                <w:color w:val="000000"/>
                <w:highlight w:val="none"/>
              </w:rPr>
              <w:t xml:space="preserve">财务云软件、计量云一体化平台等相关内容，每提供1个证书得</w:t>
            </w:r>
            <w:r>
              <w:rPr>
                <w:rFonts w:ascii="宋体" w:hAnsi="宋体" w:cs="宋体"/>
                <w:color w:val="000000"/>
                <w:highlight w:val="none"/>
              </w:rPr>
              <w:t xml:space="preserve">1</w:t>
            </w:r>
            <w:r>
              <w:rPr>
                <w:rFonts w:hint="eastAsia" w:ascii="宋体" w:hAnsi="宋体" w:cs="宋体"/>
                <w:color w:val="000000"/>
                <w:highlight w:val="none"/>
              </w:rPr>
              <w:t xml:space="preserve">分，最多得3分。 </w:t>
            </w:r>
            <w:r>
              <w:rPr>
                <w:rFonts w:ascii="宋体" w:hAnsi="宋体" w:cs="宋体"/>
                <w:color w:val="000000"/>
                <w:highlight w:val="none"/>
              </w:rPr>
            </w:r>
            <w:r/>
          </w:p>
          <w:p>
            <w:pPr>
              <w:pStyle w:val="930"/>
              <w:spacing w:line="264" w:lineRule="auto"/>
              <w:rPr>
                <w:rFonts w:ascii="宋体" w:hAnsi="宋体" w:cs="宋体"/>
                <w:color w:val="000000"/>
                <w:highlight w:val="none"/>
              </w:rPr>
            </w:pPr>
            <w:r>
              <w:rPr>
                <w:rFonts w:hint="eastAsia" w:ascii="宋体" w:hAnsi="宋体" w:cs="宋体"/>
                <w:color w:val="000000"/>
                <w:szCs w:val="21"/>
                <w:highlight w:val="none"/>
              </w:rPr>
              <w:t xml:space="preserve">（所提供证书</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软件名称</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与评分细则规定不同时，应提供符合上述要求的内容（功能）说明及关键信息，否则不予认可。）</w:t>
            </w:r>
            <w:r>
              <w:rPr>
                <w:rFonts w:ascii="宋体" w:hAnsi="宋体" w:cs="宋体"/>
                <w:color w:val="000000"/>
                <w:highlight w:val="none"/>
              </w:rPr>
            </w:r>
            <w:r/>
          </w:p>
        </w:tc>
        <w:tc>
          <w:tcPr>
            <w:tcW w:w="647" w:type="dxa"/>
            <w:vAlign w:val="center"/>
            <w:textDirection w:val="lrTb"/>
            <w:noWrap w:val="false"/>
          </w:tcPr>
          <w:p>
            <w:pPr>
              <w:pStyle w:val="930"/>
              <w:jc w:val="center"/>
              <w:spacing w:before="68" w:line="264" w:lineRule="auto"/>
              <w:rPr>
                <w:rFonts w:ascii="宋体" w:hAnsi="宋体" w:cs="宋体"/>
                <w:color w:val="000000"/>
                <w:highlight w:val="none"/>
              </w:rPr>
            </w:pPr>
            <w:r>
              <w:rPr>
                <w:rFonts w:ascii="宋体" w:hAnsi="宋体" w:cs="宋体"/>
                <w:color w:val="000000"/>
                <w:highlight w:val="none"/>
              </w:rPr>
              <w:t xml:space="preserve">3</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c>
          <w:tcPr>
            <w:tcW w:w="900" w:type="dxa"/>
            <w:vAlign w:val="center"/>
            <w:textDirection w:val="lrTb"/>
            <w:noWrap w:val="false"/>
          </w:tcPr>
          <w:p>
            <w:pPr>
              <w:pStyle w:val="930"/>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否</w:t>
            </w:r>
            <w:r>
              <w:rPr>
                <w:rFonts w:ascii="宋体" w:hAnsi="宋体" w:cs="宋体"/>
                <w:color w:val="000000"/>
                <w:spacing w:val="-6"/>
                <w:highlight w:val="none"/>
              </w:rPr>
            </w:r>
            <w:r/>
          </w:p>
        </w:tc>
      </w:tr>
      <w:tr>
        <w:trPr>
          <w:trHeight w:val="464"/>
        </w:trPr>
        <w:tc>
          <w:tcPr>
            <w:tcW w:w="519" w:type="dxa"/>
            <w:vAlign w:val="center"/>
            <w:textDirection w:val="lrTb"/>
            <w:noWrap w:val="false"/>
          </w:tcPr>
          <w:p>
            <w:pPr>
              <w:pStyle w:val="930"/>
              <w:jc w:val="center"/>
              <w:spacing w:line="264" w:lineRule="auto"/>
              <w:rPr>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930"/>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547" w:type="dxa"/>
            <w:vAlign w:val="center"/>
            <w:textDirection w:val="lrTb"/>
            <w:noWrap w:val="false"/>
          </w:tcPr>
          <w:p>
            <w:pPr>
              <w:pStyle w:val="930"/>
              <w:jc w:val="center"/>
              <w:spacing w:line="264" w:lineRule="auto"/>
              <w:rPr>
                <w:color w:val="000000"/>
                <w:highlight w:val="none"/>
              </w:rPr>
            </w:pPr>
            <w:r>
              <w:rPr>
                <w:rFonts w:ascii="宋体" w:hAnsi="宋体" w:cs="宋体"/>
                <w:color w:val="000000"/>
                <w:spacing w:val="-11"/>
                <w:highlight w:val="none"/>
              </w:rPr>
              <w:t xml:space="preserve">100分</w:t>
            </w:r>
            <w:r>
              <w:rPr>
                <w:color w:val="000000"/>
                <w:highlight w:val="none"/>
              </w:rPr>
            </w:r>
            <w:r/>
          </w:p>
        </w:tc>
        <w:tc>
          <w:tcPr>
            <w:tcW w:w="900" w:type="dxa"/>
            <w:vAlign w:val="center"/>
            <w:textDirection w:val="lrTb"/>
            <w:noWrap w:val="false"/>
          </w:tcPr>
          <w:p>
            <w:pPr>
              <w:pStyle w:val="930"/>
              <w:jc w:val="center"/>
              <w:spacing w:line="264" w:lineRule="auto"/>
              <w:rPr>
                <w:rFonts w:ascii="宋体" w:hAnsi="宋体" w:cs="宋体"/>
                <w:color w:val="000000"/>
                <w:spacing w:val="-11"/>
                <w:highlight w:val="none"/>
              </w:rPr>
            </w:pPr>
            <w:r>
              <w:rPr>
                <w:rFonts w:ascii="宋体" w:hAnsi="宋体" w:cs="宋体"/>
                <w:color w:val="000000"/>
                <w:spacing w:val="-11"/>
                <w:highlight w:val="none"/>
              </w:rPr>
            </w:r>
            <w:r/>
          </w:p>
        </w:tc>
      </w:tr>
    </w:tbl>
    <w:p>
      <w:pPr>
        <w:pStyle w:val="930"/>
        <w:keepLines w:val="0"/>
        <w:keepNext w:val="0"/>
        <w:pageBreakBefore w:val="0"/>
        <w:spacing w:line="264" w:lineRule="auto"/>
        <w:widowControl w:val="off"/>
        <w:rPr>
          <w:rFonts w:hint="eastAsia"/>
          <w:b/>
          <w:bCs/>
          <w:color w:val="000000"/>
          <w:highlight w:val="none"/>
        </w:rPr>
      </w:pPr>
      <w:r>
        <w:rPr>
          <w:rFonts w:hint="eastAsia"/>
          <w:b/>
          <w:bCs/>
          <w:color w:val="000000"/>
          <w:highlight w:val="none"/>
        </w:rPr>
      </w:r>
      <w:r/>
    </w:p>
    <w:p>
      <w:pPr>
        <w:pStyle w:val="930"/>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1009"/>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930"/>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30"/>
        <w:jc w:val="center"/>
        <w:rPr>
          <w:rFonts w:hint="eastAsia" w:ascii="宋体" w:hAnsi="宋体"/>
          <w:b/>
          <w:color w:val="000000"/>
          <w:sz w:val="72"/>
          <w:szCs w:val="21"/>
          <w:highlight w:val="none"/>
        </w:rPr>
      </w:pPr>
      <w:r/>
      <w:bookmarkStart w:id="97" w:name="_Hlt26955039"/>
      <w:r/>
      <w:bookmarkEnd w:id="97"/>
      <w:r/>
      <w:bookmarkStart w:id="98" w:name="_Hlt26671244"/>
      <w:r/>
      <w:bookmarkEnd w:id="98"/>
      <w:r/>
      <w:bookmarkStart w:id="99" w:name="_Toc26554094"/>
      <w:r/>
      <w:bookmarkStart w:id="100" w:name="_Toc49090576"/>
      <w:r/>
      <w:bookmarkStart w:id="101" w:name="_Toc120614282"/>
      <w:r>
        <w:rPr>
          <w:rFonts w:hint="eastAsia" w:ascii="宋体" w:hAnsi="宋体"/>
          <w:b/>
          <w:color w:val="000000"/>
          <w:sz w:val="72"/>
          <w:szCs w:val="21"/>
          <w:highlight w:val="none"/>
        </w:rPr>
      </w:r>
      <w:r/>
    </w:p>
    <w:p>
      <w:pPr>
        <w:pStyle w:val="930"/>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3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0"/>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30"/>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0"/>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0"/>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30"/>
        <w:spacing w:line="440" w:lineRule="exact"/>
        <w:rPr>
          <w:rFonts w:ascii="宋体" w:hAnsi="宋体"/>
          <w:color w:val="000000"/>
          <w:szCs w:val="21"/>
          <w:highlight w:val="none"/>
        </w:rPr>
      </w:pPr>
      <w:r>
        <w:rPr>
          <w:rFonts w:ascii="宋体" w:hAnsi="宋体"/>
          <w:color w:val="000000"/>
          <w:szCs w:val="21"/>
          <w:highlight w:val="none"/>
        </w:rPr>
      </w:r>
      <w:r/>
    </w:p>
    <w:p>
      <w:pPr>
        <w:pStyle w:val="930"/>
        <w:jc w:val="both"/>
        <w:spacing w:line="240" w:lineRule="auto"/>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r>
      <w:r/>
    </w:p>
    <w:p>
      <w:pPr>
        <w:pStyle w:val="93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930"/>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930"/>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Cs w:val="0"/>
          <w:color w:val="000000"/>
          <w:sz w:val="28"/>
          <w:szCs w:val="28"/>
          <w:highlight w:val="none"/>
        </w:rPr>
      </w:r>
      <w:r/>
    </w:p>
    <w:p>
      <w:pPr>
        <w:pStyle w:val="930"/>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30"/>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930"/>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30"/>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30"/>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30"/>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3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3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3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30"/>
        <w:ind w:firstLine="492"/>
        <w:spacing w:line="460" w:lineRule="exact"/>
        <w:rPr>
          <w:color w:val="000000"/>
          <w:sz w:val="24"/>
          <w:szCs w:val="24"/>
          <w:highlight w:val="none"/>
        </w:rPr>
      </w:pPr>
      <w:r>
        <w:rPr>
          <w:color w:val="000000"/>
          <w:sz w:val="24"/>
          <w:szCs w:val="24"/>
          <w:highlight w:val="none"/>
        </w:rPr>
      </w:r>
      <w:r/>
    </w:p>
    <w:p>
      <w:pPr>
        <w:pStyle w:val="1049"/>
        <w:rPr>
          <w:color w:val="000000"/>
          <w:sz w:val="24"/>
          <w:szCs w:val="24"/>
          <w:highlight w:val="none"/>
        </w:rPr>
      </w:pPr>
      <w:r>
        <w:rPr>
          <w:color w:val="000000"/>
          <w:sz w:val="24"/>
          <w:szCs w:val="24"/>
          <w:highlight w:val="none"/>
        </w:rPr>
      </w:r>
      <w:r/>
    </w:p>
    <w:p>
      <w:pPr>
        <w:pStyle w:val="930"/>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0"/>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30"/>
        <w:rPr>
          <w:color w:val="000000"/>
          <w:sz w:val="24"/>
          <w:szCs w:val="24"/>
          <w:highlight w:val="none"/>
        </w:rPr>
      </w:pPr>
      <w:r>
        <w:rPr>
          <w:color w:val="000000"/>
          <w:sz w:val="24"/>
          <w:szCs w:val="24"/>
          <w:highlight w:val="none"/>
        </w:rPr>
      </w:r>
      <w:r/>
    </w:p>
    <w:p>
      <w:pPr>
        <w:pStyle w:val="930"/>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30"/>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2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2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2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1020"/>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2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102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2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2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20"/>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9"/>
        <w:ind w:firstLine="0"/>
        <w:rPr>
          <w:rFonts w:hint="eastAsia"/>
          <w:color w:val="000000"/>
          <w:highlight w:val="none"/>
        </w:rPr>
      </w:pPr>
      <w:r>
        <w:rPr>
          <w:rFonts w:hint="eastAsia"/>
          <w:color w:val="000000"/>
          <w:highlight w:val="none"/>
        </w:rPr>
      </w:r>
      <w:r/>
    </w:p>
    <w:p>
      <w:pPr>
        <w:pStyle w:val="102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2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2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2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2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2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20"/>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930"/>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99"/>
      <w:r/>
      <w:bookmarkEnd w:id="100"/>
      <w:r/>
      <w:bookmarkEnd w:id="101"/>
      <w:r/>
      <w:bookmarkStart w:id="102"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30"/>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Cs w:val="21"/>
          <w:highlight w:val="none"/>
        </w:rPr>
        <w:t xml:space="preserve">                    （采购人名称）</w:t>
      </w:r>
      <w:r>
        <w:rPr>
          <w:rFonts w:hint="eastAsia" w:ascii="宋体" w:hAnsi="宋体" w:eastAsia="宋体"/>
          <w:color w:val="000000"/>
          <w:sz w:val="24"/>
          <w:szCs w:val="21"/>
          <w:highlight w:val="none"/>
          <w:lang w:eastAsia="zh-CN"/>
        </w:rPr>
      </w:r>
      <w:r/>
    </w:p>
    <w:p>
      <w:pPr>
        <w:pStyle w:val="1022"/>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向贵方提供所需服务（包含与货物相关的服务及与服务相关的货物）。</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交付贵方验收、使用。</w:t>
      </w:r>
      <w:r>
        <w:rPr>
          <w:rFonts w:hint="eastAsia" w:ascii="宋体" w:hAnsi="宋体" w:eastAsia="宋体" w:cs="Times New Roman"/>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2"/>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30"/>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30"/>
        <w:rPr>
          <w:rFonts w:hint="eastAsia" w:ascii="宋体" w:hAnsi="宋体"/>
          <w:color w:val="000000"/>
          <w:szCs w:val="21"/>
          <w:highlight w:val="none"/>
        </w:rPr>
      </w:pPr>
      <w:r>
        <w:rPr>
          <w:rFonts w:hint="eastAsia" w:ascii="宋体" w:hAnsi="宋体"/>
          <w:color w:val="000000"/>
          <w:szCs w:val="21"/>
          <w:highlight w:val="none"/>
        </w:rPr>
      </w:r>
      <w:r/>
    </w:p>
    <w:p>
      <w:pPr>
        <w:pStyle w:val="93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color w:val="000000"/>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93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3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30"/>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930"/>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eastAsia="zh-CN"/>
        </w:rPr>
        <w:t xml:space="preserve">采购包</w:t>
      </w:r>
      <w:r>
        <w:rPr>
          <w:rFonts w:hint="eastAsia" w:ascii="宋体" w:hAnsi="宋体" w:eastAsia="宋体" w:cs="Times New Roman"/>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0"/>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22"/>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30"/>
        <w:rPr>
          <w:rFonts w:ascii="宋体" w:hAnsi="宋体"/>
          <w:color w:val="000000"/>
          <w:sz w:val="24"/>
          <w:szCs w:val="24"/>
          <w:highlight w:val="none"/>
        </w:rPr>
      </w:pPr>
      <w:r>
        <w:rPr>
          <w:rFonts w:ascii="宋体" w:hAnsi="宋体"/>
          <w:color w:val="000000"/>
          <w:sz w:val="24"/>
          <w:szCs w:val="24"/>
          <w:highlight w:val="none"/>
        </w:rPr>
      </w:r>
      <w:r/>
    </w:p>
    <w:p>
      <w:pPr>
        <w:pStyle w:val="930"/>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30"/>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30"/>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30"/>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30"/>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30"/>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30"/>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42"/>
        <w:ind w:firstLine="0"/>
        <w:rPr>
          <w:rFonts w:hint="eastAsia"/>
          <w:color w:val="000000"/>
          <w:highlight w:val="none"/>
        </w:rPr>
      </w:pPr>
      <w:r>
        <w:rPr>
          <w:rFonts w:hint="eastAsia"/>
          <w:color w:val="000000"/>
          <w:highlight w:val="none"/>
        </w:rPr>
      </w:r>
      <w:r/>
    </w:p>
    <w:p>
      <w:pPr>
        <w:pStyle w:val="100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30"/>
        <w:rPr>
          <w:rFonts w:hint="eastAsia"/>
          <w:color w:val="000000"/>
          <w:highlight w:val="none"/>
        </w:rPr>
      </w:pPr>
      <w:r>
        <w:rPr>
          <w:rFonts w:hint="eastAsia"/>
          <w:color w:val="000000"/>
          <w:highlight w:val="none"/>
        </w:rPr>
      </w:r>
      <w:r/>
    </w:p>
    <w:p>
      <w:pPr>
        <w:pStyle w:val="93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0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30"/>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ascii="黑体" w:hAnsi="黑体" w:eastAsia="黑体" w:cs="Times New Roman"/>
          <w:i w:val="0"/>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3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3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0"/>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3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93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30"/>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30"/>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30"/>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3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3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93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930"/>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9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9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9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30"/>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82"/>
      <w:r/>
      <w:bookmarkEnd w:id="83"/>
      <w:r/>
      <w:bookmarkEnd w:id="102"/>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93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3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0"/>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30"/>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6"/>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val="en-US" w:eastAsia="zh-CN"/>
        </w:rPr>
        <w:t xml:space="preserve">供应商</w:t>
      </w:r>
      <w:r>
        <w:rPr>
          <w:rFonts w:hint="eastAsia"/>
          <w:b/>
          <w:bCs/>
          <w:color w:val="000000"/>
          <w:highlight w:val="none"/>
        </w:rPr>
        <w:t xml:space="preserve">须对</w:t>
      </w:r>
      <w:r>
        <w:rPr>
          <w:rFonts w:hint="eastAsia"/>
          <w:b/>
          <w:bCs/>
          <w:color w:val="000000"/>
          <w:highlight w:val="none"/>
          <w:lang w:val="en-US" w:eastAsia="zh-CN"/>
        </w:rPr>
        <w:t xml:space="preserve">磋商</w:t>
      </w:r>
      <w:r>
        <w:rPr>
          <w:rFonts w:hint="eastAsia"/>
          <w:b/>
          <w:bCs/>
          <w:color w:val="000000"/>
          <w:highlight w:val="none"/>
        </w:rPr>
        <w:t xml:space="preserve">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w:t>
      </w:r>
      <w:r>
        <w:rPr>
          <w:rFonts w:hint="eastAsia"/>
          <w:b/>
          <w:bCs/>
          <w:color w:val="000000"/>
          <w:highlight w:val="none"/>
          <w:lang w:val="en-US" w:eastAsia="zh-CN"/>
        </w:rPr>
        <w:t xml:space="preserve">响应</w:t>
      </w:r>
      <w:r>
        <w:rPr>
          <w:rFonts w:hint="eastAsia"/>
          <w:b/>
          <w:bCs/>
          <w:color w:val="000000"/>
          <w:highlight w:val="none"/>
        </w:rPr>
        <w:t xml:space="preserve">。</w:t>
      </w:r>
      <w:r>
        <w:rPr>
          <w:rFonts w:hint="eastAsia"/>
          <w:b/>
          <w:bCs/>
          <w:color w:val="000000"/>
          <w:highlight w:val="none"/>
        </w:rPr>
      </w:r>
      <w:r/>
    </w:p>
    <w:p>
      <w:pPr>
        <w:pStyle w:val="996"/>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w:t>
      </w:r>
      <w:r>
        <w:rPr>
          <w:rFonts w:hint="eastAsia"/>
          <w:b/>
          <w:bCs/>
          <w:color w:val="000000"/>
          <w:highlight w:val="none"/>
          <w:lang w:val="en-US" w:eastAsia="zh-CN"/>
        </w:rPr>
        <w:t xml:space="preserve">成交供应商</w:t>
      </w:r>
      <w:r>
        <w:rPr>
          <w:rFonts w:hint="eastAsia"/>
          <w:b/>
          <w:bCs/>
          <w:color w:val="000000"/>
          <w:highlight w:val="none"/>
        </w:rPr>
        <w:t xml:space="preserve">应按</w:t>
      </w:r>
      <w:r>
        <w:rPr>
          <w:rFonts w:hint="eastAsia"/>
          <w:b/>
          <w:bCs/>
          <w:color w:val="000000"/>
          <w:highlight w:val="none"/>
          <w:lang w:val="en-US" w:eastAsia="zh-CN"/>
        </w:rPr>
        <w:t xml:space="preserve">磋商</w:t>
      </w:r>
      <w:r>
        <w:rPr>
          <w:rFonts w:hint="eastAsia"/>
          <w:b/>
          <w:bCs/>
          <w:color w:val="000000"/>
          <w:highlight w:val="none"/>
        </w:rPr>
        <w:t xml:space="preserve">文件要求和</w:t>
      </w:r>
      <w:r>
        <w:rPr>
          <w:rFonts w:hint="eastAsia"/>
          <w:b/>
          <w:bCs/>
          <w:color w:val="000000"/>
          <w:highlight w:val="none"/>
          <w:lang w:val="en-US" w:eastAsia="zh-CN"/>
        </w:rPr>
        <w:t xml:space="preserve">响应</w:t>
      </w:r>
      <w:r>
        <w:rPr>
          <w:rFonts w:hint="eastAsia"/>
          <w:b/>
          <w:bCs/>
          <w:color w:val="000000"/>
          <w:highlight w:val="none"/>
        </w:rPr>
        <w:t xml:space="preserve">文件内容提供相应证明材料供采购人核验，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b/>
          <w:bCs/>
          <w:color w:val="000000"/>
          <w:highlight w:val="none"/>
        </w:rPr>
      </w:r>
      <w:r/>
    </w:p>
    <w:p>
      <w:pPr>
        <w:pStyle w:val="99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30"/>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00"/>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、商务要求响应及偏离表</w:t>
      </w:r>
      <w:r>
        <w:rPr>
          <w:rFonts w:hint="eastAsia" w:ascii="黑体" w:hAnsi="黑体" w:eastAsia="黑体" w:cs="Times New Roman"/>
          <w:i w:val="0"/>
          <w:iCs/>
          <w:color w:val="000000"/>
          <w:sz w:val="32"/>
          <w:szCs w:val="32"/>
          <w:highlight w:val="none"/>
          <w:u w:val="none"/>
          <w:lang w:val="en-US" w:eastAsia="zh-CN"/>
        </w:rPr>
      </w:r>
      <w:r/>
    </w:p>
    <w:p>
      <w:pPr>
        <w:pStyle w:val="93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3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0"/>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30"/>
              <w:jc w:val="center"/>
              <w:rPr>
                <w:rFonts w:hint="eastAsia" w:ascii="宋体" w:hAnsi="宋体"/>
                <w:color w:val="000000"/>
                <w:sz w:val="24"/>
                <w:szCs w:val="24"/>
                <w:highlight w:val="none"/>
              </w:rPr>
            </w:pPr>
            <w:r/>
            <w:bookmarkStart w:id="103" w:name="_Hlt26955056"/>
            <w:r/>
            <w:bookmarkEnd w:id="103"/>
            <w:r/>
            <w:bookmarkStart w:id="104" w:name="_Hlt26671343"/>
            <w:r/>
            <w:bookmarkEnd w:id="104"/>
            <w:r/>
            <w:bookmarkStart w:id="105" w:name="_Hlt26782999"/>
            <w:r/>
            <w:bookmarkEnd w:id="105"/>
            <w:r/>
            <w:bookmarkStart w:id="106" w:name="_Hlt26580838"/>
            <w:r/>
            <w:bookmarkEnd w:id="106"/>
            <w:r/>
            <w:bookmarkStart w:id="107" w:name="_Hlt26671372"/>
            <w:r/>
            <w:bookmarkEnd w:id="107"/>
            <w:r/>
            <w:bookmarkStart w:id="108" w:name="_Hlt26955064"/>
            <w:r/>
            <w:bookmarkEnd w:id="108"/>
            <w:r/>
            <w:bookmarkStart w:id="109" w:name="_Hlt26609391"/>
            <w:r/>
            <w:bookmarkEnd w:id="109"/>
            <w:r/>
            <w:bookmarkStart w:id="110" w:name="_Hlt24879081"/>
            <w:r/>
            <w:bookmarkEnd w:id="11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930"/>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6"/>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9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30"/>
        <w:rPr>
          <w:color w:val="000000"/>
          <w:highlight w:val="none"/>
        </w:rPr>
      </w:pPr>
      <w:r>
        <w:rPr>
          <w:color w:val="000000"/>
          <w:highlight w:val="none"/>
        </w:rPr>
      </w:r>
      <w:r/>
    </w:p>
    <w:p>
      <w:pPr>
        <w:pStyle w:val="930"/>
        <w:rPr>
          <w:rFonts w:hint="eastAsia" w:ascii="黑体" w:hAnsi="黑体" w:eastAsia="黑体" w:cs="Times New Roman"/>
          <w:i w:val="0"/>
          <w:iCs/>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3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30"/>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30"/>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9"/>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0"/>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30"/>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0"/>
        <w:ind w:firstLine="6000"/>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930"/>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0"/>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30"/>
        <w:ind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30"/>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3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30"/>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09"/>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30"/>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0"/>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0"/>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30"/>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30"/>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30"/>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30"/>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89937"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89937" cy="301572"/>
                      </a:xfrm>
                      <a:prstGeom prst="rect">
                        <a:avLst/>
                      </a:prstGeom>
                      <a:noFill/>
                      <a:ln>
                        <a:noFill/>
                      </a:ln>
                    </wps:spPr>
                    <wps:txbx>
                      <w:txbxContent>
                        <w:p>
                          <w:pPr>
                            <w:pStyle w:val="981"/>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３９</w:t>
                          </w:r>
                          <w:r>
                            <w:rPr>
                              <w:rFonts w:ascii="宋体" w:hAnsi="宋体"/>
                            </w:rPr>
                            <w:fldChar w:fldCharType="end"/>
                          </w:r>
                          <w:r>
                            <w:rPr>
                              <w:rStyle w:val="1004"/>
                              <w:rFonts w:ascii="宋体" w:hAnsi="宋体"/>
                            </w:rPr>
                          </w:r>
                          <w:r/>
                        </w:p>
                        <w:p>
                          <w:pPr>
                            <w:pStyle w:val="93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2.8pt;height:23.7pt;mso-wrap-distance-left:9.0pt;mso-wrap-distance-top:0.0pt;mso-wrap-distance-right:9.0pt;mso-wrap-distance-bottom:0.0pt;visibility:visible;" filled="f" stroked="f">
              <v:textbox inset="0,0,0,0">
                <w:txbxContent>
                  <w:p>
                    <w:pPr>
                      <w:pStyle w:val="981"/>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３９</w:t>
                    </w:r>
                    <w:r>
                      <w:rPr>
                        <w:rFonts w:ascii="宋体" w:hAnsi="宋体"/>
                      </w:rPr>
                      <w:fldChar w:fldCharType="end"/>
                    </w:r>
                    <w:r>
                      <w:rPr>
                        <w:rStyle w:val="1004"/>
                        <w:rFonts w:ascii="宋体" w:hAnsi="宋体"/>
                      </w:rPr>
                    </w:r>
                    <w:r/>
                  </w:p>
                  <w:p>
                    <w:pPr>
                      <w:pStyle w:val="93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1">
    <w:multiLevelType w:val="hybridMultilevel"/>
    <w:lvl w:ilvl="0">
      <w:start w:val="1"/>
      <w:numFmt w:val="upperLetter"/>
      <w:pStyle w:val="1014"/>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30"/>
      </w:pPr>
      <w:rPr>
        <w:rFonts w:hint="eastAsia"/>
      </w:r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930"/>
        <w:ind w:left="420" w:hanging="420"/>
        <w:tabs>
          <w:tab w:val="num" w:pos="420" w:leader="none"/>
        </w:tabs>
      </w:pPr>
      <w:rPr>
        <w:rFonts w:ascii="Wingdings" w:hAnsi="Wingdings"/>
      </w:rPr>
    </w:lvl>
    <w:lvl w:ilvl="1">
      <w:start w:val="1"/>
      <w:numFmt w:val="bullet"/>
      <w:isLgl w:val="false"/>
      <w:suff w:val="tab"/>
      <w:lvlText w:val=""/>
      <w:lvlJc w:val="left"/>
      <w:pPr>
        <w:pStyle w:val="930"/>
        <w:ind w:left="840" w:hanging="420"/>
        <w:tabs>
          <w:tab w:val="num" w:pos="840" w:leader="none"/>
        </w:tabs>
      </w:pPr>
      <w:rPr>
        <w:rFonts w:ascii="Wingdings" w:hAnsi="Wingdings"/>
      </w:rPr>
    </w:lvl>
    <w:lvl w:ilvl="2">
      <w:start w:val="1"/>
      <w:numFmt w:val="bullet"/>
      <w:isLgl w:val="false"/>
      <w:suff w:val="tab"/>
      <w:lvlText w:val=""/>
      <w:lvlJc w:val="left"/>
      <w:pPr>
        <w:pStyle w:val="930"/>
        <w:ind w:left="1260" w:hanging="420"/>
        <w:tabs>
          <w:tab w:val="num" w:pos="1260" w:leader="none"/>
        </w:tabs>
      </w:pPr>
      <w:rPr>
        <w:rFonts w:ascii="Wingdings" w:hAnsi="Wingdings"/>
      </w:rPr>
    </w:lvl>
    <w:lvl w:ilvl="3">
      <w:start w:val="1"/>
      <w:numFmt w:val="bullet"/>
      <w:isLgl w:val="false"/>
      <w:suff w:val="tab"/>
      <w:lvlText w:val=""/>
      <w:lvlJc w:val="left"/>
      <w:pPr>
        <w:pStyle w:val="930"/>
        <w:ind w:left="1680" w:hanging="420"/>
        <w:tabs>
          <w:tab w:val="num" w:pos="1680" w:leader="none"/>
        </w:tabs>
      </w:pPr>
      <w:rPr>
        <w:rFonts w:ascii="Wingdings" w:hAnsi="Wingdings"/>
      </w:rPr>
    </w:lvl>
    <w:lvl w:ilvl="4">
      <w:start w:val="1"/>
      <w:numFmt w:val="bullet"/>
      <w:isLgl w:val="false"/>
      <w:suff w:val="tab"/>
      <w:lvlText w:val=""/>
      <w:lvlJc w:val="left"/>
      <w:pPr>
        <w:pStyle w:val="930"/>
        <w:ind w:left="2100" w:hanging="420"/>
        <w:tabs>
          <w:tab w:val="num" w:pos="2100" w:leader="none"/>
        </w:tabs>
      </w:pPr>
      <w:rPr>
        <w:rFonts w:ascii="Wingdings" w:hAnsi="Wingdings"/>
      </w:rPr>
    </w:lvl>
    <w:lvl w:ilvl="5">
      <w:start w:val="1"/>
      <w:numFmt w:val="bullet"/>
      <w:isLgl w:val="false"/>
      <w:suff w:val="tab"/>
      <w:lvlText w:val=""/>
      <w:lvlJc w:val="left"/>
      <w:pPr>
        <w:pStyle w:val="930"/>
        <w:ind w:left="2520" w:hanging="420"/>
        <w:tabs>
          <w:tab w:val="num" w:pos="2520" w:leader="none"/>
        </w:tabs>
      </w:pPr>
      <w:rPr>
        <w:rFonts w:ascii="Wingdings" w:hAnsi="Wingdings"/>
      </w:rPr>
    </w:lvl>
    <w:lvl w:ilvl="6">
      <w:start w:val="1"/>
      <w:numFmt w:val="bullet"/>
      <w:isLgl w:val="false"/>
      <w:suff w:val="tab"/>
      <w:lvlText w:val=""/>
      <w:lvlJc w:val="left"/>
      <w:pPr>
        <w:pStyle w:val="930"/>
        <w:ind w:left="2940" w:hanging="420"/>
        <w:tabs>
          <w:tab w:val="num" w:pos="2940" w:leader="none"/>
        </w:tabs>
      </w:pPr>
      <w:rPr>
        <w:rFonts w:ascii="Wingdings" w:hAnsi="Wingdings"/>
      </w:rPr>
    </w:lvl>
    <w:lvl w:ilvl="7">
      <w:start w:val="1"/>
      <w:numFmt w:val="bullet"/>
      <w:isLgl w:val="false"/>
      <w:suff w:val="tab"/>
      <w:lvlText w:val=""/>
      <w:lvlJc w:val="left"/>
      <w:pPr>
        <w:pStyle w:val="930"/>
        <w:ind w:left="3360" w:hanging="420"/>
        <w:tabs>
          <w:tab w:val="num" w:pos="3360" w:leader="none"/>
        </w:tabs>
      </w:pPr>
      <w:rPr>
        <w:rFonts w:ascii="Wingdings" w:hAnsi="Wingdings"/>
      </w:rPr>
    </w:lvl>
    <w:lvl w:ilvl="8">
      <w:start w:val="1"/>
      <w:numFmt w:val="bullet"/>
      <w:isLgl w:val="false"/>
      <w:suff w:val="tab"/>
      <w:lvlText w:val=""/>
      <w:lvlJc w:val="left"/>
      <w:pPr>
        <w:pStyle w:val="930"/>
        <w:ind w:left="3780" w:hanging="420"/>
        <w:tabs>
          <w:tab w:val="num" w:pos="3780" w:leader="none"/>
        </w:tabs>
      </w:pPr>
      <w:rPr>
        <w:rFonts w:ascii="Wingdings" w:hAnsi="Wingdings"/>
      </w:rPr>
    </w:lvl>
  </w:abstractNum>
  <w:abstractNum w:abstractNumId="4">
    <w:multiLevelType w:val="hybridMultilevel"/>
    <w:lvl w:ilvl="0">
      <w:start w:val="1"/>
      <w:numFmt w:val="decimal"/>
      <w:pStyle w:val="1031"/>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0"/>
    <w:next w:val="930"/>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0"/>
    <w:next w:val="930"/>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0"/>
    <w:next w:val="930"/>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0"/>
    <w:next w:val="930"/>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0"/>
    <w:next w:val="930"/>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0"/>
    <w:next w:val="930"/>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0"/>
    <w:next w:val="930"/>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0"/>
    <w:next w:val="930"/>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0"/>
    <w:next w:val="930"/>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2"/>
    <w:link w:val="930"/>
    <w:qFormat/>
    <w:pPr>
      <w:jc w:val="both"/>
      <w:widowControl w:val="off"/>
    </w:pPr>
    <w:rPr>
      <w:rFonts w:ascii="Times New Roman" w:hAnsi="Times New Roman" w:eastAsia="宋体" w:cs="Times New Roman"/>
      <w:sz w:val="21"/>
      <w:szCs w:val="22"/>
      <w:lang w:val="en-US" w:eastAsia="zh-CN" w:bidi="ar-SA"/>
    </w:rPr>
  </w:style>
  <w:style w:type="paragraph" w:styleId="931">
    <w:name w:val="标题 1"/>
    <w:basedOn w:val="930"/>
    <w:next w:val="930"/>
    <w:link w:val="947"/>
    <w:qFormat/>
    <w:pPr>
      <w:jc w:val="center"/>
      <w:keepNext/>
      <w:outlineLvl w:val="0"/>
    </w:pPr>
    <w:rPr>
      <w:rFonts w:ascii="楷体_GB2312" w:hAnsi="Times New Roman" w:eastAsia="楷体_GB2312" w:cs="Times New Roman"/>
      <w:sz w:val="28"/>
      <w:szCs w:val="28"/>
    </w:rPr>
  </w:style>
  <w:style w:type="paragraph" w:styleId="932">
    <w:name w:val="标题 2"/>
    <w:basedOn w:val="930"/>
    <w:next w:val="949"/>
    <w:link w:val="948"/>
    <w:qFormat/>
    <w:pPr>
      <w:jc w:val="center"/>
      <w:keepLines/>
      <w:keepNext/>
      <w:spacing w:before="260" w:after="260" w:line="416" w:lineRule="auto"/>
      <w:outlineLvl w:val="1"/>
    </w:pPr>
    <w:rPr>
      <w:rFonts w:ascii="Arial" w:hAnsi="Arial" w:eastAsia="幼圆" w:cs="Arial"/>
      <w:b/>
      <w:bCs/>
      <w:sz w:val="44"/>
      <w:szCs w:val="44"/>
    </w:rPr>
  </w:style>
  <w:style w:type="paragraph" w:styleId="933">
    <w:name w:val="标题 3"/>
    <w:basedOn w:val="930"/>
    <w:next w:val="949"/>
    <w:link w:val="95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4">
    <w:name w:val="标题 4"/>
    <w:basedOn w:val="930"/>
    <w:next w:val="949"/>
    <w:link w:val="952"/>
    <w:qFormat/>
    <w:pPr>
      <w:keepLines/>
      <w:keepNext/>
      <w:spacing w:before="280" w:after="290" w:line="376" w:lineRule="auto"/>
      <w:outlineLvl w:val="3"/>
    </w:pPr>
    <w:rPr>
      <w:rFonts w:ascii="Arial" w:hAnsi="Arial" w:eastAsia="黑体" w:cs="Arial"/>
      <w:b/>
      <w:bCs/>
      <w:sz w:val="28"/>
      <w:szCs w:val="28"/>
    </w:rPr>
  </w:style>
  <w:style w:type="paragraph" w:styleId="935">
    <w:name w:val="标题 5"/>
    <w:basedOn w:val="930"/>
    <w:next w:val="949"/>
    <w:link w:val="953"/>
    <w:qFormat/>
    <w:pPr>
      <w:keepNext/>
      <w:outlineLvl w:val="4"/>
    </w:pPr>
    <w:rPr>
      <w:rFonts w:ascii="宋体" w:hAnsi="Times New Roman" w:eastAsia="宋体" w:cs="Times New Roman"/>
      <w:color w:val="000000"/>
      <w:sz w:val="28"/>
      <w:szCs w:val="28"/>
    </w:rPr>
  </w:style>
  <w:style w:type="paragraph" w:styleId="936">
    <w:name w:val="标题 6"/>
    <w:basedOn w:val="930"/>
    <w:next w:val="930"/>
    <w:link w:val="95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7">
    <w:name w:val="标题 7"/>
    <w:basedOn w:val="930"/>
    <w:next w:val="930"/>
    <w:link w:val="95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8">
    <w:name w:val="标题 8"/>
    <w:basedOn w:val="930"/>
    <w:next w:val="930"/>
    <w:link w:val="95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9">
    <w:name w:val="标题 9"/>
    <w:basedOn w:val="930"/>
    <w:next w:val="930"/>
    <w:link w:val="957"/>
    <w:qFormat/>
    <w:pPr>
      <w:numPr>
        <w:ilvl w:val="8"/>
        <w:numId w:val="1"/>
      </w:numPr>
      <w:keepLines/>
      <w:keepNext/>
      <w:spacing w:before="240" w:after="64" w:line="320" w:lineRule="auto"/>
      <w:outlineLvl w:val="8"/>
    </w:pPr>
    <w:rPr>
      <w:rFonts w:ascii="Arial" w:hAnsi="Arial" w:eastAsia="黑体" w:cs="Times New Roman"/>
      <w:szCs w:val="21"/>
    </w:rPr>
  </w:style>
  <w:style w:type="character" w:styleId="940">
    <w:name w:val="默认段落字体"/>
    <w:next w:val="940"/>
    <w:link w:val="930"/>
    <w:uiPriority w:val="1"/>
    <w:unhideWhenUsed/>
  </w:style>
  <w:style w:type="table" w:styleId="941">
    <w:name w:val="普通表格"/>
    <w:next w:val="941"/>
    <w:link w:val="930"/>
    <w:uiPriority w:val="99"/>
    <w:unhideWhenUsed/>
    <w:qFormat/>
    <w:tblPr/>
  </w:style>
  <w:style w:type="paragraph" w:styleId="942">
    <w:name w:val="正文首行缩进 2"/>
    <w:basedOn w:val="943"/>
    <w:next w:val="930"/>
    <w:link w:val="946"/>
    <w:pPr>
      <w:ind w:left="0" w:firstLine="420"/>
      <w:spacing w:after="0" w:line="360" w:lineRule="auto"/>
    </w:pPr>
    <w:rPr>
      <w:rFonts w:ascii="宋体" w:hAnsi="宋体" w:eastAsia="宋体" w:cs="Times New Roman"/>
      <w:szCs w:val="20"/>
    </w:rPr>
  </w:style>
  <w:style w:type="paragraph" w:styleId="943">
    <w:name w:val="正文文本缩进"/>
    <w:basedOn w:val="930"/>
    <w:next w:val="945"/>
    <w:link w:val="944"/>
    <w:unhideWhenUsed/>
    <w:qFormat/>
    <w:pPr>
      <w:ind w:left="420"/>
      <w:spacing w:after="120"/>
    </w:pPr>
  </w:style>
  <w:style w:type="character" w:styleId="944">
    <w:name w:val="正文文本缩进 Char"/>
    <w:basedOn w:val="940"/>
    <w:next w:val="944"/>
    <w:link w:val="943"/>
    <w:uiPriority w:val="99"/>
    <w:semiHidden/>
    <w:qFormat/>
  </w:style>
  <w:style w:type="paragraph" w:styleId="945">
    <w:name w:val="寄信人地址"/>
    <w:basedOn w:val="930"/>
    <w:next w:val="945"/>
    <w:link w:val="930"/>
    <w:qFormat/>
    <w:rPr>
      <w:rFonts w:ascii="Arial" w:hAnsi="Arial" w:eastAsia="宋体" w:cs="宋体"/>
    </w:rPr>
  </w:style>
  <w:style w:type="character" w:styleId="946">
    <w:name w:val="正文首行缩进 2 Char"/>
    <w:next w:val="946"/>
    <w:link w:val="942"/>
    <w:rPr>
      <w:rFonts w:ascii="宋体" w:hAnsi="宋体" w:eastAsia="宋体" w:cs="Times New Roman"/>
      <w:szCs w:val="20"/>
    </w:rPr>
  </w:style>
  <w:style w:type="character" w:styleId="947">
    <w:name w:val="标题 1 Char"/>
    <w:next w:val="947"/>
    <w:link w:val="931"/>
    <w:rPr>
      <w:rFonts w:ascii="楷体_GB2312" w:hAnsi="Times New Roman" w:eastAsia="楷体_GB2312" w:cs="Times New Roman"/>
      <w:sz w:val="28"/>
      <w:szCs w:val="28"/>
    </w:rPr>
  </w:style>
  <w:style w:type="character" w:styleId="948">
    <w:name w:val="标题 2 Char"/>
    <w:next w:val="948"/>
    <w:link w:val="932"/>
    <w:qFormat/>
    <w:rPr>
      <w:rFonts w:ascii="Arial" w:hAnsi="Arial" w:eastAsia="幼圆" w:cs="Arial"/>
      <w:b/>
      <w:bCs/>
      <w:sz w:val="44"/>
      <w:szCs w:val="44"/>
    </w:rPr>
  </w:style>
  <w:style w:type="paragraph" w:styleId="949">
    <w:name w:val="正文缩进"/>
    <w:basedOn w:val="930"/>
    <w:next w:val="949"/>
    <w:link w:val="950"/>
    <w:qFormat/>
    <w:pPr>
      <w:ind w:firstLine="420"/>
    </w:pPr>
    <w:rPr>
      <w:szCs w:val="21"/>
    </w:rPr>
  </w:style>
  <w:style w:type="character" w:styleId="950">
    <w:name w:val="正文缩进 Char"/>
    <w:next w:val="950"/>
    <w:link w:val="949"/>
    <w:qFormat/>
    <w:rPr>
      <w:szCs w:val="21"/>
    </w:rPr>
  </w:style>
  <w:style w:type="character" w:styleId="951">
    <w:name w:val="标题 3 Char"/>
    <w:next w:val="951"/>
    <w:link w:val="933"/>
    <w:qFormat/>
    <w:rPr>
      <w:rFonts w:ascii="Times New Roman" w:hAnsi="Times New Roman" w:eastAsia="宋体" w:cs="Times New Roman"/>
      <w:b/>
      <w:bCs/>
      <w:sz w:val="32"/>
      <w:szCs w:val="32"/>
    </w:rPr>
  </w:style>
  <w:style w:type="character" w:styleId="952">
    <w:name w:val="标题 4 Char"/>
    <w:next w:val="952"/>
    <w:link w:val="934"/>
    <w:qFormat/>
    <w:rPr>
      <w:rFonts w:ascii="Arial" w:hAnsi="Arial" w:eastAsia="黑体" w:cs="Arial"/>
      <w:b/>
      <w:bCs/>
      <w:sz w:val="28"/>
      <w:szCs w:val="28"/>
    </w:rPr>
  </w:style>
  <w:style w:type="character" w:styleId="953">
    <w:name w:val="标题 5 Char"/>
    <w:next w:val="953"/>
    <w:link w:val="935"/>
    <w:qFormat/>
    <w:rPr>
      <w:rFonts w:ascii="宋体" w:hAnsi="Times New Roman" w:eastAsia="宋体" w:cs="Times New Roman"/>
      <w:color w:val="000000"/>
      <w:sz w:val="28"/>
      <w:szCs w:val="28"/>
    </w:rPr>
  </w:style>
  <w:style w:type="character" w:styleId="954">
    <w:name w:val="标题 6 Char"/>
    <w:next w:val="954"/>
    <w:link w:val="936"/>
    <w:qFormat/>
    <w:rPr>
      <w:rFonts w:ascii="Arial" w:hAnsi="Arial" w:eastAsia="黑体" w:cs="Times New Roman"/>
      <w:b/>
      <w:bCs/>
      <w:sz w:val="24"/>
      <w:szCs w:val="24"/>
    </w:rPr>
  </w:style>
  <w:style w:type="character" w:styleId="955">
    <w:name w:val="标题 7 Char"/>
    <w:next w:val="955"/>
    <w:link w:val="937"/>
    <w:qFormat/>
    <w:rPr>
      <w:rFonts w:ascii="Times New Roman" w:hAnsi="Times New Roman" w:eastAsia="宋体" w:cs="Times New Roman"/>
      <w:b/>
      <w:bCs/>
      <w:sz w:val="24"/>
      <w:szCs w:val="24"/>
    </w:rPr>
  </w:style>
  <w:style w:type="character" w:styleId="956">
    <w:name w:val="标题 8 Char"/>
    <w:next w:val="956"/>
    <w:link w:val="938"/>
    <w:qFormat/>
    <w:rPr>
      <w:rFonts w:ascii="Arial" w:hAnsi="Arial" w:eastAsia="黑体" w:cs="Times New Roman"/>
      <w:sz w:val="24"/>
      <w:szCs w:val="24"/>
    </w:rPr>
  </w:style>
  <w:style w:type="character" w:styleId="957">
    <w:name w:val="标题 9 Char"/>
    <w:next w:val="957"/>
    <w:link w:val="939"/>
    <w:qFormat/>
    <w:rPr>
      <w:rFonts w:ascii="Arial" w:hAnsi="Arial" w:eastAsia="黑体" w:cs="Times New Roman"/>
      <w:szCs w:val="21"/>
    </w:rPr>
  </w:style>
  <w:style w:type="paragraph" w:styleId="958">
    <w:name w:val="列表 3"/>
    <w:basedOn w:val="930"/>
    <w:next w:val="958"/>
    <w:link w:val="930"/>
    <w:pPr>
      <w:ind w:left="100" w:hanging="200"/>
    </w:pPr>
    <w:rPr>
      <w:rFonts w:ascii="Times New Roman" w:hAnsi="Times New Roman" w:eastAsia="宋体" w:cs="Times New Roman"/>
      <w:szCs w:val="21"/>
    </w:rPr>
  </w:style>
  <w:style w:type="paragraph" w:styleId="959">
    <w:name w:val="目录 7"/>
    <w:basedOn w:val="930"/>
    <w:next w:val="930"/>
    <w:link w:val="930"/>
    <w:semiHidden/>
    <w:pPr>
      <w:ind w:left="1260"/>
      <w:jc w:val="left"/>
    </w:pPr>
    <w:rPr>
      <w:rFonts w:ascii="Times New Roman" w:hAnsi="Times New Roman" w:eastAsia="宋体" w:cs="Times New Roman"/>
      <w:szCs w:val="21"/>
    </w:rPr>
  </w:style>
  <w:style w:type="paragraph" w:styleId="960">
    <w:name w:val="文档结构图"/>
    <w:basedOn w:val="930"/>
    <w:next w:val="960"/>
    <w:link w:val="961"/>
    <w:semiHidden/>
    <w:pPr>
      <w:shd w:val="clear" w:color="auto" w:fill="000080"/>
    </w:pPr>
    <w:rPr>
      <w:rFonts w:ascii="Times New Roman" w:hAnsi="Times New Roman" w:eastAsia="宋体" w:cs="Times New Roman"/>
      <w:szCs w:val="21"/>
    </w:rPr>
  </w:style>
  <w:style w:type="character" w:styleId="961">
    <w:name w:val="文档结构图 Char"/>
    <w:next w:val="961"/>
    <w:link w:val="960"/>
    <w:semiHidden/>
    <w:qFormat/>
    <w:rPr>
      <w:rFonts w:ascii="Times New Roman" w:hAnsi="Times New Roman" w:eastAsia="宋体" w:cs="Times New Roman"/>
      <w:szCs w:val="21"/>
      <w:shd w:val="clear" w:color="auto" w:fill="000080"/>
    </w:rPr>
  </w:style>
  <w:style w:type="paragraph" w:styleId="962">
    <w:name w:val="批注文字"/>
    <w:basedOn w:val="930"/>
    <w:next w:val="962"/>
    <w:link w:val="963"/>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3">
    <w:name w:val="批注文字 Char"/>
    <w:basedOn w:val="940"/>
    <w:next w:val="963"/>
    <w:link w:val="962"/>
    <w:uiPriority w:val="99"/>
    <w:semiHidden/>
    <w:qFormat/>
  </w:style>
  <w:style w:type="paragraph" w:styleId="964">
    <w:name w:val="正文文本 3"/>
    <w:basedOn w:val="930"/>
    <w:next w:val="964"/>
    <w:link w:val="965"/>
    <w:rPr>
      <w:rFonts w:ascii="仿宋_GB2312" w:hAnsi="Arial" w:eastAsia="仿宋_GB2312" w:cs="Times New Roman"/>
      <w:sz w:val="32"/>
      <w:szCs w:val="32"/>
    </w:rPr>
  </w:style>
  <w:style w:type="character" w:styleId="965">
    <w:name w:val="正文文本 3 Char"/>
    <w:next w:val="965"/>
    <w:link w:val="964"/>
    <w:qFormat/>
    <w:rPr>
      <w:rFonts w:ascii="仿宋_GB2312" w:hAnsi="Arial" w:eastAsia="仿宋_GB2312" w:cs="Times New Roman"/>
      <w:sz w:val="32"/>
      <w:szCs w:val="32"/>
    </w:rPr>
  </w:style>
  <w:style w:type="paragraph" w:styleId="966">
    <w:name w:val="正文文本"/>
    <w:basedOn w:val="930"/>
    <w:next w:val="966"/>
    <w:link w:val="967"/>
    <w:qFormat/>
    <w:rPr>
      <w:rFonts w:ascii="楷体_GB2312" w:hAnsi="Arial" w:eastAsia="楷体_GB2312" w:cs="Times New Roman"/>
      <w:sz w:val="28"/>
      <w:szCs w:val="28"/>
    </w:rPr>
  </w:style>
  <w:style w:type="character" w:styleId="967">
    <w:name w:val="正文文本 Char"/>
    <w:next w:val="967"/>
    <w:link w:val="966"/>
    <w:rPr>
      <w:rFonts w:ascii="楷体_GB2312" w:hAnsi="Arial" w:eastAsia="楷体_GB2312" w:cs="Times New Roman"/>
      <w:sz w:val="28"/>
      <w:szCs w:val="28"/>
    </w:rPr>
  </w:style>
  <w:style w:type="paragraph" w:styleId="968">
    <w:name w:val="列表 2"/>
    <w:basedOn w:val="930"/>
    <w:next w:val="968"/>
    <w:link w:val="930"/>
    <w:qFormat/>
    <w:pPr>
      <w:ind w:left="100" w:hanging="200"/>
    </w:pPr>
    <w:rPr>
      <w:rFonts w:ascii="Times New Roman" w:hAnsi="Times New Roman" w:eastAsia="宋体" w:cs="Times New Roman"/>
      <w:szCs w:val="21"/>
    </w:rPr>
  </w:style>
  <w:style w:type="paragraph" w:styleId="969">
    <w:name w:val="索引 4"/>
    <w:basedOn w:val="930"/>
    <w:next w:val="930"/>
    <w:link w:val="930"/>
    <w:semiHidden/>
    <w:qFormat/>
    <w:pPr>
      <w:ind w:left="1260"/>
    </w:pPr>
    <w:rPr>
      <w:rFonts w:ascii="Calibri" w:hAnsi="Calibri" w:eastAsia="Calibri" w:cs="宋体"/>
      <w:sz w:val="20"/>
      <w:lang w:val="zh-CN"/>
    </w:rPr>
  </w:style>
  <w:style w:type="paragraph" w:styleId="970">
    <w:name w:val="目录 5"/>
    <w:basedOn w:val="930"/>
    <w:next w:val="930"/>
    <w:link w:val="930"/>
    <w:semiHidden/>
    <w:qFormat/>
    <w:pPr>
      <w:ind w:left="840"/>
      <w:jc w:val="left"/>
    </w:pPr>
    <w:rPr>
      <w:rFonts w:ascii="Times New Roman" w:hAnsi="Times New Roman" w:eastAsia="宋体" w:cs="Times New Roman"/>
      <w:szCs w:val="21"/>
    </w:rPr>
  </w:style>
  <w:style w:type="paragraph" w:styleId="971">
    <w:name w:val="目录 3"/>
    <w:basedOn w:val="930"/>
    <w:next w:val="930"/>
    <w:link w:val="930"/>
    <w:semiHidden/>
    <w:qFormat/>
    <w:pPr>
      <w:ind w:left="420"/>
      <w:jc w:val="left"/>
    </w:pPr>
    <w:rPr>
      <w:rFonts w:ascii="Times New Roman" w:hAnsi="Times New Roman" w:eastAsia="宋体" w:cs="Times New Roman"/>
      <w:i/>
      <w:iCs/>
      <w:szCs w:val="24"/>
    </w:rPr>
  </w:style>
  <w:style w:type="paragraph" w:styleId="972">
    <w:name w:val="纯文本"/>
    <w:basedOn w:val="930"/>
    <w:next w:val="972"/>
    <w:link w:val="973"/>
    <w:qFormat/>
    <w:rPr>
      <w:rFonts w:ascii="宋体" w:hAnsi="Courier New" w:eastAsia="宋体" w:cs="Courier New"/>
      <w:szCs w:val="21"/>
    </w:rPr>
  </w:style>
  <w:style w:type="character" w:styleId="973">
    <w:name w:val="纯文本 Char"/>
    <w:next w:val="973"/>
    <w:link w:val="972"/>
    <w:rPr>
      <w:rFonts w:ascii="宋体" w:hAnsi="Courier New" w:eastAsia="宋体" w:cs="Courier New"/>
      <w:szCs w:val="21"/>
    </w:rPr>
  </w:style>
  <w:style w:type="paragraph" w:styleId="974">
    <w:name w:val="目录 8"/>
    <w:basedOn w:val="930"/>
    <w:next w:val="930"/>
    <w:link w:val="930"/>
    <w:semiHidden/>
    <w:qFormat/>
    <w:pPr>
      <w:ind w:left="1470"/>
      <w:jc w:val="left"/>
    </w:pPr>
    <w:rPr>
      <w:rFonts w:ascii="Times New Roman" w:hAnsi="Times New Roman" w:eastAsia="宋体" w:cs="Times New Roman"/>
      <w:szCs w:val="21"/>
    </w:rPr>
  </w:style>
  <w:style w:type="paragraph" w:styleId="975">
    <w:name w:val="日期"/>
    <w:basedOn w:val="930"/>
    <w:next w:val="930"/>
    <w:link w:val="976"/>
    <w:qFormat/>
    <w:rPr>
      <w:rFonts w:ascii="Times New Roman" w:hAnsi="Times New Roman" w:eastAsia="宋体" w:cs="Times New Roman"/>
      <w:sz w:val="24"/>
      <w:szCs w:val="24"/>
    </w:rPr>
  </w:style>
  <w:style w:type="character" w:styleId="976">
    <w:name w:val="日期 Char"/>
    <w:next w:val="976"/>
    <w:link w:val="975"/>
    <w:qFormat/>
    <w:rPr>
      <w:rFonts w:ascii="Times New Roman" w:hAnsi="Times New Roman" w:eastAsia="宋体" w:cs="Times New Roman"/>
      <w:sz w:val="24"/>
      <w:szCs w:val="24"/>
    </w:rPr>
  </w:style>
  <w:style w:type="paragraph" w:styleId="977">
    <w:name w:val="正文文本缩进 2"/>
    <w:basedOn w:val="930"/>
    <w:next w:val="977"/>
    <w:link w:val="978"/>
    <w:qFormat/>
    <w:pPr>
      <w:ind w:left="630" w:firstLine="645"/>
    </w:pPr>
    <w:rPr>
      <w:rFonts w:ascii="Arial" w:hAnsi="Arial" w:eastAsia="仿宋_GB2312" w:cs="Arial"/>
      <w:sz w:val="32"/>
      <w:szCs w:val="32"/>
    </w:rPr>
  </w:style>
  <w:style w:type="character" w:styleId="978">
    <w:name w:val="正文文本缩进 2 Char"/>
    <w:next w:val="978"/>
    <w:link w:val="977"/>
    <w:qFormat/>
    <w:rPr>
      <w:rFonts w:ascii="Arial" w:hAnsi="Arial" w:eastAsia="仿宋_GB2312" w:cs="Arial"/>
      <w:sz w:val="32"/>
      <w:szCs w:val="32"/>
    </w:rPr>
  </w:style>
  <w:style w:type="paragraph" w:styleId="979">
    <w:name w:val="批注框文本"/>
    <w:basedOn w:val="930"/>
    <w:next w:val="979"/>
    <w:link w:val="980"/>
    <w:semiHidden/>
    <w:rPr>
      <w:rFonts w:ascii="Times New Roman" w:hAnsi="Times New Roman" w:eastAsia="宋体" w:cs="Times New Roman"/>
      <w:sz w:val="18"/>
      <w:szCs w:val="18"/>
    </w:rPr>
  </w:style>
  <w:style w:type="character" w:styleId="980">
    <w:name w:val="批注框文本 Char"/>
    <w:next w:val="980"/>
    <w:link w:val="979"/>
    <w:semiHidden/>
    <w:qFormat/>
    <w:rPr>
      <w:rFonts w:ascii="Times New Roman" w:hAnsi="Times New Roman" w:eastAsia="宋体" w:cs="Times New Roman"/>
      <w:sz w:val="18"/>
      <w:szCs w:val="18"/>
    </w:rPr>
  </w:style>
  <w:style w:type="paragraph" w:styleId="981">
    <w:name w:val="页脚"/>
    <w:basedOn w:val="930"/>
    <w:next w:val="981"/>
    <w:link w:val="982"/>
    <w:qFormat/>
    <w:pPr>
      <w:jc w:val="left"/>
      <w:tabs>
        <w:tab w:val="center" w:pos="4153" w:leader="none"/>
        <w:tab w:val="right" w:pos="8306" w:leader="none"/>
      </w:tabs>
    </w:pPr>
    <w:rPr>
      <w:rFonts w:ascii="Times New Roman" w:hAnsi="Times New Roman" w:eastAsia="宋体" w:cs="Times New Roman"/>
      <w:sz w:val="18"/>
      <w:szCs w:val="18"/>
    </w:rPr>
  </w:style>
  <w:style w:type="character" w:styleId="982">
    <w:name w:val="页脚 Char"/>
    <w:next w:val="982"/>
    <w:link w:val="981"/>
    <w:qFormat/>
    <w:rPr>
      <w:rFonts w:ascii="Times New Roman" w:hAnsi="Times New Roman" w:eastAsia="宋体" w:cs="Times New Roman"/>
      <w:sz w:val="18"/>
      <w:szCs w:val="18"/>
    </w:rPr>
  </w:style>
  <w:style w:type="paragraph" w:styleId="983">
    <w:name w:val="页眉"/>
    <w:basedOn w:val="930"/>
    <w:next w:val="983"/>
    <w:link w:val="98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name w:val="页眉 Char"/>
    <w:next w:val="984"/>
    <w:link w:val="983"/>
    <w:rPr>
      <w:rFonts w:ascii="Times New Roman" w:hAnsi="Times New Roman" w:eastAsia="宋体" w:cs="Times New Roman"/>
      <w:sz w:val="18"/>
      <w:szCs w:val="18"/>
    </w:rPr>
  </w:style>
  <w:style w:type="paragraph" w:styleId="985">
    <w:name w:val="目录 1"/>
    <w:basedOn w:val="930"/>
    <w:next w:val="930"/>
    <w:link w:val="9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30"/>
    <w:next w:val="930"/>
    <w:link w:val="930"/>
    <w:semiHidden/>
    <w:pPr>
      <w:ind w:left="630"/>
      <w:jc w:val="left"/>
    </w:pPr>
    <w:rPr>
      <w:rFonts w:ascii="Times New Roman" w:hAnsi="Times New Roman" w:eastAsia="宋体" w:cs="Times New Roman"/>
      <w:szCs w:val="21"/>
    </w:rPr>
  </w:style>
  <w:style w:type="paragraph" w:styleId="987">
    <w:name w:val="列表"/>
    <w:basedOn w:val="930"/>
    <w:next w:val="987"/>
    <w:link w:val="930"/>
    <w:qFormat/>
    <w:pPr>
      <w:ind w:left="200" w:hanging="200"/>
    </w:pPr>
    <w:rPr>
      <w:rFonts w:ascii="Times New Roman" w:hAnsi="Times New Roman" w:eastAsia="宋体" w:cs="Times New Roman"/>
      <w:szCs w:val="21"/>
    </w:rPr>
  </w:style>
  <w:style w:type="paragraph" w:styleId="988">
    <w:name w:val="目录 6"/>
    <w:basedOn w:val="930"/>
    <w:next w:val="930"/>
    <w:link w:val="930"/>
    <w:semiHidden/>
    <w:qFormat/>
    <w:pPr>
      <w:ind w:left="1050"/>
      <w:jc w:val="left"/>
    </w:pPr>
    <w:rPr>
      <w:rFonts w:ascii="Times New Roman" w:hAnsi="Times New Roman" w:eastAsia="宋体" w:cs="Times New Roman"/>
      <w:szCs w:val="21"/>
    </w:rPr>
  </w:style>
  <w:style w:type="paragraph" w:styleId="989">
    <w:name w:val="正文文本缩进 3"/>
    <w:basedOn w:val="930"/>
    <w:next w:val="989"/>
    <w:link w:val="990"/>
    <w:pPr>
      <w:ind w:left="645" w:firstLine="645"/>
    </w:pPr>
    <w:rPr>
      <w:rFonts w:ascii="Arial" w:hAnsi="Arial" w:eastAsia="仿宋_GB2312" w:cs="Arial"/>
      <w:color w:val="ffff00"/>
      <w:sz w:val="32"/>
      <w:szCs w:val="32"/>
    </w:rPr>
  </w:style>
  <w:style w:type="character" w:styleId="990">
    <w:name w:val="正文文本缩进 3 Char"/>
    <w:next w:val="990"/>
    <w:link w:val="989"/>
    <w:rPr>
      <w:rFonts w:ascii="Arial" w:hAnsi="Arial" w:eastAsia="仿宋_GB2312" w:cs="Arial"/>
      <w:color w:val="ffff00"/>
      <w:sz w:val="32"/>
      <w:szCs w:val="32"/>
    </w:rPr>
  </w:style>
  <w:style w:type="paragraph" w:styleId="991">
    <w:name w:val="图表目录"/>
    <w:basedOn w:val="930"/>
    <w:next w:val="930"/>
    <w:link w:val="930"/>
    <w:semiHidden/>
    <w:qFormat/>
    <w:pPr>
      <w:ind w:left="840" w:hanging="420"/>
    </w:pPr>
    <w:rPr>
      <w:rFonts w:ascii="Times New Roman" w:hAnsi="Times New Roman" w:eastAsia="宋体" w:cs="Times New Roman"/>
      <w:szCs w:val="21"/>
    </w:rPr>
  </w:style>
  <w:style w:type="paragraph" w:styleId="992">
    <w:name w:val="目录 2"/>
    <w:basedOn w:val="930"/>
    <w:next w:val="930"/>
    <w:link w:val="930"/>
    <w:semiHidden/>
    <w:pPr>
      <w:ind w:left="210"/>
      <w:jc w:val="left"/>
    </w:pPr>
    <w:rPr>
      <w:rFonts w:ascii="Times New Roman" w:hAnsi="Times New Roman" w:eastAsia="宋体" w:cs="Times New Roman"/>
      <w:smallCaps/>
      <w:szCs w:val="24"/>
    </w:rPr>
  </w:style>
  <w:style w:type="paragraph" w:styleId="993">
    <w:name w:val="目录 9"/>
    <w:basedOn w:val="930"/>
    <w:next w:val="930"/>
    <w:link w:val="930"/>
    <w:semiHidden/>
    <w:pPr>
      <w:ind w:left="1680"/>
      <w:jc w:val="left"/>
    </w:pPr>
    <w:rPr>
      <w:rFonts w:ascii="Times New Roman" w:hAnsi="Times New Roman" w:eastAsia="宋体" w:cs="Times New Roman"/>
      <w:szCs w:val="21"/>
    </w:rPr>
  </w:style>
  <w:style w:type="paragraph" w:styleId="994">
    <w:name w:val="正文文本 2"/>
    <w:basedOn w:val="930"/>
    <w:next w:val="994"/>
    <w:link w:val="995"/>
    <w:qFormat/>
    <w:pPr>
      <w:jc w:val="center"/>
      <w:widowControl/>
    </w:pPr>
    <w:rPr>
      <w:rFonts w:ascii="楷体_GB2312" w:hAnsi="Times New Roman" w:eastAsia="楷体_GB2312" w:cs="Times New Roman"/>
      <w:sz w:val="28"/>
      <w:szCs w:val="28"/>
    </w:rPr>
  </w:style>
  <w:style w:type="character" w:styleId="995">
    <w:name w:val="正文文本 2 Char"/>
    <w:next w:val="995"/>
    <w:link w:val="994"/>
    <w:qFormat/>
    <w:rPr>
      <w:rFonts w:ascii="楷体_GB2312" w:hAnsi="Times New Roman" w:eastAsia="楷体_GB2312" w:cs="Times New Roman"/>
      <w:sz w:val="28"/>
      <w:szCs w:val="28"/>
    </w:rPr>
  </w:style>
  <w:style w:type="paragraph" w:styleId="996">
    <w:name w:val="普通(网站)"/>
    <w:basedOn w:val="930"/>
    <w:next w:val="996"/>
    <w:link w:val="930"/>
    <w:uiPriority w:val="99"/>
    <w:qFormat/>
    <w:pPr>
      <w:jc w:val="left"/>
      <w:spacing w:before="100" w:beforeAutospacing="1" w:after="100" w:afterAutospacing="1"/>
      <w:widowControl/>
    </w:pPr>
    <w:rPr>
      <w:rFonts w:ascii="宋体" w:hAnsi="宋体" w:eastAsia="宋体" w:cs="宋体"/>
      <w:sz w:val="24"/>
      <w:szCs w:val="24"/>
    </w:rPr>
  </w:style>
  <w:style w:type="paragraph" w:styleId="997">
    <w:name w:val="索引 1"/>
    <w:basedOn w:val="930"/>
    <w:next w:val="930"/>
    <w:link w:val="930"/>
    <w:semiHidden/>
    <w:pPr>
      <w:spacing w:line="240" w:lineRule="atLeast"/>
    </w:pPr>
    <w:rPr>
      <w:rFonts w:ascii="Times New Roman" w:hAnsi="Times New Roman" w:eastAsia="宋体" w:cs="Times New Roman"/>
      <w:b/>
      <w:bCs/>
      <w:szCs w:val="21"/>
    </w:rPr>
  </w:style>
  <w:style w:type="paragraph" w:styleId="998">
    <w:name w:val="批注主题"/>
    <w:basedOn w:val="962"/>
    <w:next w:val="962"/>
    <w:link w:val="999"/>
    <w:semiHidden/>
    <w:qFormat/>
    <w:rPr>
      <w:rFonts w:ascii="Times New Roman" w:hAnsi="Times New Roman" w:eastAsia="宋体" w:cs="Times New Roman"/>
      <w:b/>
      <w:bCs/>
      <w:szCs w:val="21"/>
    </w:rPr>
  </w:style>
  <w:style w:type="character" w:styleId="999">
    <w:name w:val="批注主题 Char"/>
    <w:next w:val="999"/>
    <w:link w:val="998"/>
    <w:semiHidden/>
    <w:qFormat/>
    <w:rPr>
      <w:rFonts w:ascii="Times New Roman" w:hAnsi="Times New Roman" w:eastAsia="宋体" w:cs="Times New Roman"/>
      <w:b/>
      <w:bCs/>
      <w:szCs w:val="21"/>
    </w:rPr>
  </w:style>
  <w:style w:type="paragraph" w:styleId="1000">
    <w:name w:val="正文首行缩进"/>
    <w:basedOn w:val="930"/>
    <w:next w:val="1000"/>
    <w:link w:val="1001"/>
    <w:pPr>
      <w:ind w:firstLine="200"/>
      <w:spacing w:line="360" w:lineRule="auto"/>
    </w:pPr>
    <w:rPr>
      <w:rFonts w:ascii="仿宋_GB2312" w:hAnsi="Times New Roman" w:eastAsia="仿宋_GB2312" w:cs="Times New Roman"/>
      <w:sz w:val="30"/>
      <w:szCs w:val="30"/>
    </w:rPr>
  </w:style>
  <w:style w:type="character" w:styleId="1001">
    <w:name w:val="正文首行缩进 Char"/>
    <w:next w:val="1001"/>
    <w:link w:val="1000"/>
    <w:qFormat/>
    <w:rPr>
      <w:rFonts w:ascii="仿宋_GB2312" w:hAnsi="Times New Roman" w:eastAsia="仿宋_GB2312" w:cs="Times New Roman"/>
      <w:sz w:val="30"/>
      <w:szCs w:val="30"/>
    </w:rPr>
  </w:style>
  <w:style w:type="table" w:styleId="1002">
    <w:name w:val="网格型"/>
    <w:basedOn w:val="941"/>
    <w:next w:val="1002"/>
    <w:link w:val="930"/>
    <w:qFormat/>
    <w:pPr>
      <w:jc w:val="both"/>
      <w:widowControl w:val="off"/>
    </w:pPr>
    <w:rPr>
      <w:rFonts w:ascii="Times New Roman" w:hAnsi="Times New Roman" w:eastAsia="宋体" w:cs="Times New Roman"/>
      <w:sz w:val="20"/>
      <w:szCs w:val="20"/>
    </w:rPr>
    <w:tblPr/>
  </w:style>
  <w:style w:type="character" w:styleId="1003">
    <w:name w:val="要点"/>
    <w:next w:val="1003"/>
    <w:link w:val="930"/>
    <w:qFormat/>
    <w:rPr>
      <w:b/>
      <w:bCs/>
    </w:rPr>
  </w:style>
  <w:style w:type="character" w:styleId="1004">
    <w:name w:val="页码"/>
    <w:next w:val="1004"/>
    <w:link w:val="930"/>
    <w:qFormat/>
  </w:style>
  <w:style w:type="character" w:styleId="1005">
    <w:name w:val="已访问的超链接"/>
    <w:next w:val="1005"/>
    <w:link w:val="930"/>
    <w:rPr>
      <w:color w:val="800080"/>
      <w:u w:val="single"/>
    </w:rPr>
  </w:style>
  <w:style w:type="character" w:styleId="1006">
    <w:name w:val="强调"/>
    <w:next w:val="1006"/>
    <w:link w:val="930"/>
    <w:qFormat/>
    <w:rPr>
      <w:i/>
    </w:rPr>
  </w:style>
  <w:style w:type="character" w:styleId="1007">
    <w:name w:val="超链接"/>
    <w:next w:val="1007"/>
    <w:link w:val="930"/>
    <w:rPr>
      <w:color w:val="0000ff"/>
      <w:u w:val="single"/>
    </w:rPr>
  </w:style>
  <w:style w:type="character" w:styleId="1008">
    <w:name w:val="批注引用"/>
    <w:next w:val="1008"/>
    <w:link w:val="930"/>
    <w:semiHidden/>
    <w:qFormat/>
    <w:rPr>
      <w:sz w:val="21"/>
      <w:szCs w:val="21"/>
    </w:rPr>
  </w:style>
  <w:style w:type="paragraph" w:styleId="1009">
    <w:name w:val="索引 41"/>
    <w:basedOn w:val="930"/>
    <w:next w:val="930"/>
    <w:link w:val="930"/>
    <w:semiHidden/>
    <w:qFormat/>
    <w:pPr>
      <w:ind w:left="1260"/>
    </w:pPr>
    <w:rPr>
      <w:rFonts w:ascii="Calibri" w:hAnsi="Calibri" w:eastAsia="Calibri" w:cs="宋体"/>
      <w:sz w:val="20"/>
      <w:lang w:val="zh-CN"/>
    </w:rPr>
  </w:style>
  <w:style w:type="paragraph" w:styleId="1010">
    <w:name w:val="正文文本缩进1"/>
    <w:basedOn w:val="930"/>
    <w:next w:val="1011"/>
    <w:link w:val="930"/>
    <w:unhideWhenUsed/>
    <w:qFormat/>
    <w:pPr>
      <w:ind w:left="420"/>
      <w:spacing w:after="120"/>
    </w:pPr>
  </w:style>
  <w:style w:type="paragraph" w:styleId="1011">
    <w:name w:val="正文文本首行缩进 2"/>
    <w:basedOn w:val="1010"/>
    <w:next w:val="1011"/>
    <w:link w:val="930"/>
    <w:qFormat/>
    <w:pPr>
      <w:ind w:left="0" w:firstLine="420"/>
      <w:spacing w:after="0" w:line="360" w:lineRule="auto"/>
    </w:pPr>
    <w:rPr>
      <w:rFonts w:ascii="宋体" w:hAnsi="宋体"/>
      <w:sz w:val="20"/>
      <w:szCs w:val="20"/>
      <w:lang w:val="en-US" w:eastAsia="en-US"/>
    </w:rPr>
  </w:style>
  <w:style w:type="character" w:styleId="1012">
    <w:name w:val="font5 Char"/>
    <w:next w:val="1012"/>
    <w:link w:val="930"/>
    <w:rPr>
      <w:rFonts w:ascii="宋体" w:hAnsi="宋体" w:eastAsia="宋体"/>
      <w:sz w:val="28"/>
      <w:szCs w:val="28"/>
      <w:lang w:val="en-US" w:eastAsia="zh-CN" w:bidi="ar-SA"/>
    </w:rPr>
  </w:style>
  <w:style w:type="character" w:styleId="1013">
    <w:name w:val="二级目录 Char"/>
    <w:next w:val="1013"/>
    <w:link w:val="1014"/>
    <w:qFormat/>
    <w:rPr>
      <w:b/>
      <w:sz w:val="30"/>
      <w:szCs w:val="28"/>
    </w:rPr>
  </w:style>
  <w:style w:type="paragraph" w:styleId="1014">
    <w:name w:val="二级目录"/>
    <w:next w:val="930"/>
    <w:link w:val="1013"/>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5">
    <w:name w:val="列出段落 Char"/>
    <w:next w:val="1015"/>
    <w:link w:val="1016"/>
    <w:qFormat/>
    <w:rPr>
      <w:rFonts w:ascii="Calibri" w:hAnsi="Calibri"/>
      <w:sz w:val="24"/>
      <w:szCs w:val="24"/>
      <w:lang w:eastAsia="en-US" w:bidi="en-US"/>
    </w:rPr>
  </w:style>
  <w:style w:type="paragraph" w:styleId="1016">
    <w:name w:val="列出段落1"/>
    <w:basedOn w:val="930"/>
    <w:next w:val="1016"/>
    <w:link w:val="1015"/>
    <w:qFormat/>
    <w:pPr>
      <w:contextualSpacing/>
      <w:ind w:left="720"/>
      <w:jc w:val="left"/>
      <w:widowControl/>
    </w:pPr>
    <w:rPr>
      <w:rFonts w:ascii="Calibri" w:hAnsi="Calibri"/>
      <w:sz w:val="24"/>
      <w:szCs w:val="24"/>
      <w:lang w:eastAsia="en-US" w:bidi="en-US"/>
    </w:rPr>
  </w:style>
  <w:style w:type="paragraph" w:styleId="1017">
    <w:name w:val="Body Text(ch)"/>
    <w:basedOn w:val="930"/>
    <w:next w:val="966"/>
    <w:link w:val="930"/>
    <w:qFormat/>
    <w:pPr>
      <w:spacing w:after="120"/>
    </w:pPr>
    <w:rPr>
      <w:rFonts w:ascii="宋体" w:hAnsi="Arial" w:eastAsia="宋体" w:cs="Times New Roman"/>
      <w:bCs/>
      <w:iCs/>
      <w:szCs w:val="24"/>
    </w:rPr>
  </w:style>
  <w:style w:type="paragraph" w:styleId="1018">
    <w:name w:val="xl27"/>
    <w:basedOn w:val="930"/>
    <w:next w:val="1018"/>
    <w:link w:val="9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6"/>
    <w:basedOn w:val="930"/>
    <w:next w:val="1019"/>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Char"/>
    <w:basedOn w:val="930"/>
    <w:next w:val="1020"/>
    <w:link w:val="930"/>
    <w:pPr>
      <w:ind w:firstLine="200"/>
      <w:tabs>
        <w:tab w:val="left" w:pos="360" w:leader="none"/>
      </w:tabs>
    </w:pPr>
    <w:rPr>
      <w:rFonts w:ascii="Times New Roman" w:hAnsi="Times New Roman" w:eastAsia="宋体" w:cs="Times New Roman"/>
      <w:sz w:val="28"/>
      <w:szCs w:val="30"/>
    </w:rPr>
  </w:style>
  <w:style w:type="paragraph" w:styleId="1021">
    <w:name w:val=" Char"/>
    <w:basedOn w:val="960"/>
    <w:next w:val="1021"/>
    <w:link w:val="930"/>
    <w:rPr>
      <w:rFonts w:ascii="Tahoma" w:hAnsi="Tahoma"/>
      <w:sz w:val="24"/>
      <w:szCs w:val="24"/>
    </w:rPr>
  </w:style>
  <w:style w:type="paragraph" w:styleId="1022">
    <w:name w:val="普通正文"/>
    <w:basedOn w:val="930"/>
    <w:next w:val="1022"/>
    <w:link w:val="930"/>
    <w:qFormat/>
    <w:pPr>
      <w:ind w:firstLine="480"/>
      <w:jc w:val="left"/>
      <w:spacing w:before="120" w:after="120" w:line="360" w:lineRule="auto"/>
    </w:pPr>
    <w:rPr>
      <w:rFonts w:ascii="Arial" w:hAnsi="Arial" w:eastAsia="宋体" w:cs="Times New Roman"/>
      <w:sz w:val="24"/>
      <w:szCs w:val="24"/>
    </w:rPr>
  </w:style>
  <w:style w:type="paragraph" w:styleId="1023">
    <w:name w:val="table_lines"/>
    <w:basedOn w:val="930"/>
    <w:next w:val="1023"/>
    <w:link w:val="930"/>
    <w:qFormat/>
    <w:pPr>
      <w:jc w:val="left"/>
      <w:widowControl/>
    </w:pPr>
    <w:rPr>
      <w:rFonts w:ascii="Times New Roman" w:hAnsi="Times New Roman" w:eastAsia="宋体" w:cs="Times New Roman"/>
      <w:sz w:val="20"/>
      <w:szCs w:val="20"/>
      <w:lang w:val="de-DE" w:eastAsia="de-DE"/>
    </w:rPr>
  </w:style>
  <w:style w:type="paragraph" w:styleId="1024">
    <w:name w:val="附录1"/>
    <w:next w:val="1024"/>
    <w:link w:val="930"/>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5">
    <w:name w:val="font7"/>
    <w:basedOn w:val="930"/>
    <w:next w:val="1025"/>
    <w:link w:val="930"/>
    <w:pPr>
      <w:jc w:val="left"/>
      <w:spacing w:before="100" w:beforeAutospacing="1" w:after="100" w:afterAutospacing="1"/>
      <w:widowControl/>
    </w:pPr>
    <w:rPr>
      <w:rFonts w:hint="eastAsia" w:ascii="宋体" w:hAnsi="宋体" w:eastAsia="宋体" w:cs="Times New Roman"/>
      <w:sz w:val="18"/>
      <w:szCs w:val="18"/>
    </w:rPr>
  </w:style>
  <w:style w:type="paragraph" w:styleId="1026">
    <w:name w:val=" Char Char Char Char"/>
    <w:basedOn w:val="960"/>
    <w:next w:val="1026"/>
    <w:link w:val="930"/>
    <w:pPr>
      <w:spacing w:line="360" w:lineRule="auto"/>
    </w:pPr>
    <w:rPr>
      <w:rFonts w:ascii="Tahoma" w:hAnsi="Tahoma"/>
      <w:sz w:val="24"/>
      <w:szCs w:val="24"/>
    </w:rPr>
  </w:style>
  <w:style w:type="paragraph" w:styleId="1027">
    <w:name w:val="List Paragraph"/>
    <w:basedOn w:val="930"/>
    <w:next w:val="1027"/>
    <w:link w:val="930"/>
    <w:qFormat/>
    <w:pPr>
      <w:contextualSpacing/>
      <w:ind w:left="720"/>
      <w:jc w:val="left"/>
      <w:widowControl/>
    </w:pPr>
    <w:rPr>
      <w:rFonts w:ascii="Calibri" w:hAnsi="Calibri" w:eastAsia="宋体" w:cs="Times New Roman"/>
      <w:sz w:val="24"/>
      <w:szCs w:val="24"/>
      <w:lang w:eastAsia="en-US" w:bidi="en-US"/>
    </w:rPr>
  </w:style>
  <w:style w:type="paragraph" w:styleId="1028">
    <w:name w:val="4"/>
    <w:basedOn w:val="930"/>
    <w:next w:val="989"/>
    <w:link w:val="930"/>
    <w:qFormat/>
    <w:pPr>
      <w:ind w:firstLine="420"/>
      <w:spacing w:line="360" w:lineRule="auto"/>
    </w:pPr>
    <w:rPr>
      <w:rFonts w:ascii="Times New Roman" w:hAnsi="Times New Roman" w:eastAsia="宋体" w:cs="Times New Roman"/>
      <w:color w:val="ff0000"/>
      <w:sz w:val="24"/>
      <w:szCs w:val="24"/>
    </w:rPr>
  </w:style>
  <w:style w:type="paragraph" w:styleId="1029">
    <w:name w:val="普通 (Web)"/>
    <w:basedOn w:val="930"/>
    <w:next w:val="1029"/>
    <w:link w:val="930"/>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30"/>
    <w:next w:val="1030"/>
    <w:link w:val="930"/>
    <w:qFormat/>
    <w:pPr>
      <w:spacing w:line="360" w:lineRule="auto"/>
    </w:pPr>
    <w:rPr>
      <w:rFonts w:ascii="Times New Roman" w:hAnsi="Times New Roman" w:eastAsia="宋体" w:cs="Times New Roman"/>
      <w:sz w:val="24"/>
      <w:szCs w:val="20"/>
    </w:rPr>
  </w:style>
  <w:style w:type="paragraph" w:styleId="1031">
    <w:name w:val="样式1"/>
    <w:basedOn w:val="930"/>
    <w:next w:val="1031"/>
    <w:link w:val="930"/>
    <w:pPr>
      <w:numPr>
        <w:ilvl w:val="0"/>
        <w:numId w:val="3"/>
      </w:numPr>
      <w:tabs>
        <w:tab w:val="left" w:pos="709" w:leader="none"/>
      </w:tabs>
    </w:pPr>
    <w:rPr>
      <w:rFonts w:ascii="宋体" w:hAnsi="宋体" w:eastAsia="宋体" w:cs="Times New Roman"/>
      <w:szCs w:val="21"/>
    </w:rPr>
  </w:style>
  <w:style w:type="paragraph" w:styleId="1032">
    <w:name w:val="font6"/>
    <w:basedOn w:val="930"/>
    <w:next w:val="1032"/>
    <w:link w:val="930"/>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30"/>
    <w:next w:val="1033"/>
    <w:link w:val="9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30"/>
    <w:next w:val="930"/>
    <w:link w:val="930"/>
    <w:pPr>
      <w:ind w:firstLine="624"/>
      <w:spacing w:line="590" w:lineRule="atLeast"/>
    </w:pPr>
    <w:rPr>
      <w:rFonts w:ascii="方正黑体_GBK" w:hAnsi="Times New Roman" w:eastAsia="方正黑体_GBK" w:cs="Times New Roman"/>
      <w:sz w:val="32"/>
      <w:szCs w:val="32"/>
    </w:rPr>
  </w:style>
  <w:style w:type="paragraph" w:styleId="1036">
    <w:name w:val="xl24"/>
    <w:basedOn w:val="930"/>
    <w:next w:val="1036"/>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30"/>
    <w:next w:val="1037"/>
    <w:link w:val="93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30"/>
    <w:next w:val="1038"/>
    <w:link w:val="930"/>
    <w:qFormat/>
    <w:pPr>
      <w:jc w:val="left"/>
      <w:spacing w:after="160" w:line="240" w:lineRule="exact"/>
      <w:widowControl/>
    </w:pPr>
    <w:rPr>
      <w:rFonts w:ascii="Verdana" w:hAnsi="Verdana" w:eastAsia="宋体" w:cs="Times New Roman"/>
      <w:sz w:val="20"/>
      <w:szCs w:val="20"/>
      <w:lang w:eastAsia="en-US"/>
    </w:rPr>
  </w:style>
  <w:style w:type="paragraph" w:styleId="1039">
    <w:name w:val="xl28"/>
    <w:basedOn w:val="930"/>
    <w:next w:val="1039"/>
    <w:link w:val="93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30"/>
    <w:next w:val="1040"/>
    <w:link w:val="930"/>
    <w:qFormat/>
    <w:pPr>
      <w:jc w:val="left"/>
      <w:spacing w:after="160" w:line="240" w:lineRule="exact"/>
      <w:widowControl/>
    </w:pPr>
    <w:rPr>
      <w:rFonts w:ascii="Verdana" w:hAnsi="Verdana" w:eastAsia="宋体" w:cs="Times New Roman"/>
      <w:sz w:val="20"/>
      <w:szCs w:val="20"/>
      <w:lang w:eastAsia="en-US"/>
    </w:rPr>
  </w:style>
  <w:style w:type="paragraph" w:styleId="1041">
    <w:name w:val="xl30"/>
    <w:basedOn w:val="930"/>
    <w:next w:val="1041"/>
    <w:link w:val="930"/>
    <w:qFormat/>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60"/>
    <w:next w:val="1042"/>
    <w:link w:val="930"/>
    <w:pPr>
      <w:spacing w:line="360" w:lineRule="auto"/>
    </w:pPr>
    <w:rPr>
      <w:rFonts w:ascii="Tahoma" w:hAnsi="Tahoma"/>
      <w:sz w:val="24"/>
      <w:szCs w:val="24"/>
    </w:rPr>
  </w:style>
  <w:style w:type="paragraph" w:styleId="1043">
    <w:name w:val="table_1stline"/>
    <w:basedOn w:val="930"/>
    <w:next w:val="1043"/>
    <w:link w:val="930"/>
    <w:pPr>
      <w:jc w:val="left"/>
      <w:spacing w:before="120"/>
      <w:widowControl/>
    </w:pPr>
    <w:rPr>
      <w:rFonts w:ascii="Times New Roman" w:hAnsi="Times New Roman" w:eastAsia="宋体" w:cs="Times New Roman"/>
      <w:bCs/>
      <w:sz w:val="20"/>
      <w:szCs w:val="20"/>
      <w:lang w:val="de-DE" w:eastAsia="de-DE"/>
    </w:rPr>
  </w:style>
  <w:style w:type="paragraph" w:styleId="1044">
    <w:name w:val="font5"/>
    <w:basedOn w:val="930"/>
    <w:next w:val="1044"/>
    <w:link w:val="930"/>
    <w:pPr>
      <w:jc w:val="left"/>
      <w:spacing w:before="100" w:beforeAutospacing="1" w:after="100" w:afterAutospacing="1"/>
      <w:widowControl/>
    </w:pPr>
    <w:rPr>
      <w:rFonts w:hint="eastAsia" w:ascii="宋体" w:hAnsi="宋体" w:eastAsia="宋体" w:cs="Times New Roman"/>
      <w:sz w:val="28"/>
      <w:szCs w:val="28"/>
    </w:rPr>
  </w:style>
  <w:style w:type="paragraph" w:styleId="1045">
    <w:name w:val="标题1"/>
    <w:basedOn w:val="930"/>
    <w:next w:val="930"/>
    <w:link w:val="9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_Style 112"/>
    <w:next w:val="1046"/>
    <w:link w:val="930"/>
    <w:uiPriority w:val="99"/>
    <w:semiHidden/>
    <w:rPr>
      <w:rFonts w:ascii="Times New Roman" w:hAnsi="Times New Roman" w:eastAsia="宋体" w:cs="Times New Roman"/>
      <w:sz w:val="21"/>
      <w:szCs w:val="21"/>
      <w:lang w:val="en-US" w:eastAsia="zh-CN" w:bidi="ar-SA"/>
    </w:rPr>
  </w:style>
  <w:style w:type="paragraph" w:styleId="1047">
    <w:name w:val="No Spacing"/>
    <w:next w:val="1047"/>
    <w:link w:val="930"/>
    <w:uiPriority w:val="99"/>
    <w:qFormat/>
    <w:pPr>
      <w:jc w:val="both"/>
      <w:widowControl w:val="off"/>
    </w:pPr>
    <w:rPr>
      <w:rFonts w:ascii="Times New Roman" w:hAnsi="Times New Roman" w:eastAsia="宋体" w:cs="Times New Roman"/>
      <w:sz w:val="21"/>
      <w:szCs w:val="21"/>
      <w:lang w:val="en-US" w:eastAsia="zh-CN" w:bidi="ar-SA"/>
    </w:rPr>
  </w:style>
  <w:style w:type="table" w:styleId="1048">
    <w:name w:val="Table Normal"/>
    <w:next w:val="1048"/>
    <w:link w:val="930"/>
    <w:qFormat/>
    <w:tblPr/>
  </w:style>
  <w:style w:type="paragraph" w:styleId="1049">
    <w:name w:val="正文文本 211"/>
    <w:basedOn w:val="930"/>
    <w:next w:val="1049"/>
    <w:link w:val="930"/>
    <w:uiPriority w:val="99"/>
    <w:qFormat/>
    <w:pPr>
      <w:jc w:val="center"/>
    </w:pPr>
    <w:rPr>
      <w:b/>
      <w:bCs/>
      <w:sz w:val="20"/>
      <w:szCs w:val="20"/>
    </w:rPr>
  </w:style>
  <w:style w:type="paragraph" w:styleId="1050">
    <w:name w:val="正文文本1"/>
    <w:basedOn w:val="930"/>
    <w:next w:val="930"/>
    <w:link w:val="930"/>
    <w:semiHidden/>
    <w:qFormat/>
    <w:rPr>
      <w:rFonts w:ascii="Arial" w:hAnsi="Arial" w:eastAsia="Arial" w:cs="Arial"/>
      <w:sz w:val="21"/>
      <w:szCs w:val="21"/>
      <w:lang w:val="en-US" w:eastAsia="en-US" w:bidi="ar-SA"/>
    </w:rPr>
  </w:style>
  <w:style w:type="paragraph" w:styleId="1051">
    <w:name w:val="正文文本12"/>
    <w:basedOn w:val="930"/>
    <w:next w:val="1051"/>
    <w:link w:val="930"/>
    <w:uiPriority w:val="1"/>
    <w:qFormat/>
    <w:pPr>
      <w:ind w:left="120"/>
    </w:pPr>
    <w:rPr>
      <w:rFonts w:ascii="宋体" w:hAnsi="宋体" w:eastAsia="宋体" w:cs="宋体"/>
      <w:sz w:val="21"/>
      <w:szCs w:val="21"/>
      <w:lang w:val="zh-CN" w:eastAsia="zh-CN" w:bidi="zh-CN"/>
    </w:rPr>
  </w:style>
  <w:style w:type="paragraph" w:styleId="1052">
    <w:name w:val="纯文本1"/>
    <w:basedOn w:val="930"/>
    <w:next w:val="1052"/>
    <w:link w:val="930"/>
    <w:qFormat/>
    <w:rPr>
      <w:rFonts w:ascii="宋体" w:hAnsi="Courier New" w:cs="Courier New"/>
    </w:rPr>
  </w:style>
  <w:style w:type="table" w:styleId="1053">
    <w:name w:val="网格型1"/>
    <w:basedOn w:val="1054"/>
    <w:next w:val="1053"/>
    <w:link w:val="930"/>
    <w:qFormat/>
    <w:pPr>
      <w:jc w:val="both"/>
      <w:widowControl w:val="off"/>
    </w:pPr>
    <w:tblPr/>
  </w:style>
  <w:style w:type="table" w:styleId="1054">
    <w:name w:val="普通表格1"/>
    <w:next w:val="1054"/>
    <w:link w:val="930"/>
    <w:uiPriority w:val="99"/>
    <w:unhideWhenUsed/>
    <w:qFormat/>
    <w:tblPr/>
  </w:style>
  <w:style w:type="character" w:styleId="1055">
    <w:name w:val="15"/>
    <w:basedOn w:val="940"/>
    <w:next w:val="1055"/>
    <w:link w:val="930"/>
    <w:rPr>
      <w:rFonts w:ascii="Times New Roman" w:hAnsi="Times New Roman" w:cs="Times New Roman"/>
    </w:rPr>
  </w:style>
  <w:style w:type="paragraph" w:styleId="1056">
    <w:name w:val="正文首行缩进 211"/>
    <w:basedOn w:val="1057"/>
    <w:next w:val="930"/>
    <w:link w:val="930"/>
    <w:qFormat/>
    <w:pPr>
      <w:ind w:left="0" w:firstLine="420"/>
      <w:spacing w:after="0" w:line="360" w:lineRule="auto"/>
    </w:pPr>
    <w:rPr>
      <w:rFonts w:ascii="宋体" w:hAnsi="宋体" w:eastAsia="宋体" w:cs="Times New Roman"/>
      <w:szCs w:val="20"/>
    </w:rPr>
  </w:style>
  <w:style w:type="paragraph" w:styleId="1057">
    <w:name w:val="正文文本缩进11"/>
    <w:basedOn w:val="930"/>
    <w:next w:val="1058"/>
    <w:link w:val="930"/>
    <w:unhideWhenUsed/>
    <w:qFormat/>
    <w:pPr>
      <w:ind w:left="420"/>
      <w:spacing w:after="120"/>
    </w:pPr>
  </w:style>
  <w:style w:type="paragraph" w:styleId="1058">
    <w:name w:val="寄信人地址1"/>
    <w:basedOn w:val="930"/>
    <w:next w:val="1058"/>
    <w:link w:val="930"/>
    <w:qFormat/>
    <w:rPr>
      <w:rFonts w:ascii="Arial" w:hAnsi="Arial" w:eastAsia="宋体" w:cs="宋体"/>
    </w:rPr>
  </w:style>
  <w:style w:type="paragraph" w:styleId="1059">
    <w:name w:val="Table Paragraph"/>
    <w:basedOn w:val="930"/>
    <w:next w:val="1059"/>
    <w:link w:val="930"/>
    <w:uiPriority w:val="1"/>
    <w:qFormat/>
    <w:pPr>
      <w:jc w:val="left"/>
    </w:pPr>
    <w:rPr>
      <w:rFonts w:ascii="宋体" w:hAnsi="宋体" w:eastAsia="宋体" w:cs="宋体"/>
      <w:sz w:val="22"/>
      <w:szCs w:val="22"/>
      <w:lang w:val="zh-CN" w:bidi="zh-CN"/>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3</cp:revision>
  <dcterms:created xsi:type="dcterms:W3CDTF">2023-03-27T07:28:00Z</dcterms:created>
  <dcterms:modified xsi:type="dcterms:W3CDTF">2026-09-01T01:54:41Z</dcterms:modified>
</cp:coreProperties>
</file>