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t xml:space="preserve"> 科创中心电梯采购项目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采购文件编号：JSZC-320682-JZCG-T2026-0020</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8</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采购邀请</w:t>
      </w:r>
      <w:r/>
    </w:p>
    <w:p>
      <w:pPr>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 谈判须知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采 购 邀 请</w:t>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如皋市科技创新中心</w:t>
      </w:r>
      <w:r>
        <w:rPr>
          <w:rFonts w:eastAsia="方正仿宋_GBK"/>
          <w:sz w:val="28"/>
          <w:szCs w:val="28"/>
        </w:rPr>
        <w:t xml:space="preserve">的委托，</w:t>
      </w:r>
      <w:r>
        <w:rPr>
          <w:rFonts w:hint="eastAsia" w:eastAsia="方正仿宋_GBK"/>
          <w:sz w:val="28"/>
          <w:szCs w:val="28"/>
        </w:rPr>
        <w:t xml:space="preserve">如皋市公共资源交易</w:t>
      </w:r>
      <w:r>
        <w:rPr>
          <w:rFonts w:eastAsia="方正仿宋_GBK"/>
          <w:sz w:val="28"/>
          <w:szCs w:val="28"/>
        </w:rPr>
        <w:t xml:space="preserve">中心</w:t>
      </w:r>
      <w:r>
        <w:rPr>
          <w:rFonts w:hint="eastAsia" w:eastAsia="方正仿宋_GBK"/>
          <w:sz w:val="28"/>
          <w:szCs w:val="28"/>
        </w:rPr>
        <w:t xml:space="preserve">（以下简称“交易中心”）</w:t>
      </w:r>
      <w:r>
        <w:rPr>
          <w:rFonts w:eastAsia="方正仿宋_GBK"/>
          <w:sz w:val="28"/>
          <w:szCs w:val="28"/>
        </w:rPr>
        <w:t xml:space="preserve">就</w:t>
      </w:r>
      <w:r>
        <w:rPr>
          <w:rFonts w:hint="eastAsia" w:eastAsia="方正仿宋_GBK"/>
          <w:sz w:val="28"/>
          <w:szCs w:val="28"/>
        </w:rPr>
        <w:t xml:space="preserve">科创中心电梯采购项目</w:t>
      </w:r>
      <w:r>
        <w:rPr>
          <w:rFonts w:eastAsia="方正仿宋_GBK"/>
          <w:sz w:val="28"/>
          <w:szCs w:val="28"/>
        </w:rPr>
        <w:t xml:space="preserve">(项目编号:</w:t>
      </w:r>
      <w:r>
        <w:rPr>
          <w:rFonts w:hint="eastAsia" w:eastAsia="方正仿宋_GBK"/>
          <w:sz w:val="28"/>
          <w:szCs w:val="28"/>
        </w:rPr>
        <w:t xml:space="preserve">JSZC-320682-JZCG-T2026-0020</w:t>
      </w:r>
      <w:r>
        <w:rPr>
          <w:rFonts w:eastAsia="方正仿宋_GBK"/>
          <w:sz w:val="28"/>
          <w:szCs w:val="28"/>
        </w:rPr>
        <w:t xml:space="preserve">)进行竞争性谈判采购，欢迎符合条件的供应商参加谈判。</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科创中心电梯</w:t>
      </w:r>
      <w:r>
        <w:rPr>
          <w:rFonts w:eastAsia="方正仿宋_GBK"/>
          <w:sz w:val="28"/>
          <w:szCs w:val="28"/>
        </w:rPr>
        <w:t xml:space="preserve">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8</w:t>
      </w:r>
      <w:r>
        <w:rPr>
          <w:rFonts w:eastAsia="方正仿宋_GBK"/>
          <w:sz w:val="28"/>
          <w:szCs w:val="28"/>
        </w:rPr>
        <w:t xml:space="preserve">月</w:t>
      </w:r>
      <w:r>
        <w:rPr>
          <w:rFonts w:hint="eastAsia" w:eastAsia="方正仿宋_GBK"/>
          <w:sz w:val="28"/>
          <w:szCs w:val="28"/>
          <w:lang w:val="en-US" w:eastAsia="zh-CN"/>
        </w:rPr>
        <w:t xml:space="preserve">26</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JSZC-320682-JZCG-T2026-0020</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科创中心电梯采购项目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35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rPr>
        <w:t xml:space="preserve">35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采购需求：详见谈判文件，请仔细研究。</w:t>
      </w:r>
      <w:r/>
    </w:p>
    <w:p>
      <w:pPr>
        <w:ind w:firstLine="560"/>
        <w:spacing w:line="500" w:lineRule="exact"/>
        <w:rPr>
          <w:rFonts w:eastAsia="方正仿宋_GBK"/>
          <w:sz w:val="28"/>
          <w:szCs w:val="28"/>
          <w:highlight w:val="red"/>
        </w:rPr>
      </w:pPr>
      <w:r>
        <w:rPr>
          <w:rFonts w:eastAsia="方正仿宋_GBK"/>
          <w:sz w:val="28"/>
          <w:szCs w:val="28"/>
        </w:rPr>
        <w:t xml:space="preserve">合同履行期限：</w:t>
      </w:r>
      <w:r>
        <w:rPr>
          <w:rFonts w:hint="eastAsia" w:eastAsia="方正仿宋_GBK"/>
          <w:sz w:val="28"/>
          <w:szCs w:val="28"/>
          <w:highlight w:val="none"/>
        </w:rPr>
        <w:t xml:space="preserve">60日历天</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hint="eastAsia" w:eastAsia="方正仿宋_GBK"/>
          <w:sz w:val="28"/>
          <w:szCs w:val="28"/>
        </w:rPr>
      </w:pPr>
      <w:r>
        <w:rPr>
          <w:rFonts w:hint="eastAsia" w:eastAsia="方正仿宋_GBK"/>
          <w:sz w:val="28"/>
          <w:szCs w:val="28"/>
        </w:rPr>
        <w:t xml:space="preserve">本项目是否接受分包</w:t>
      </w:r>
      <w:r>
        <w:rPr>
          <w:rFonts w:eastAsia="方正仿宋_GBK"/>
          <w:sz w:val="28"/>
          <w:szCs w:val="28"/>
        </w:rPr>
        <w:t xml:space="preserve">：否。</w:t>
      </w:r>
      <w:r/>
    </w:p>
    <w:p>
      <w:pPr>
        <w:ind w:firstLine="560"/>
        <w:spacing w:line="500" w:lineRule="exact"/>
        <w:rPr>
          <w:rFonts w:eastAsia="方正仿宋_GBK"/>
          <w:sz w:val="28"/>
          <w:szCs w:val="28"/>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numPr>
          <w:ilvl w:val="0"/>
          <w:numId w:val="2"/>
        </w:numPr>
        <w:ind w:firstLine="560"/>
        <w:spacing w:line="500" w:lineRule="exact"/>
        <w:rPr>
          <w:rFonts w:hint="eastAsia" w:eastAsia="方正仿宋_GBK"/>
          <w:sz w:val="28"/>
          <w:szCs w:val="28"/>
        </w:rPr>
      </w:pPr>
      <w:r>
        <w:rPr>
          <w:rFonts w:hint="eastAsia" w:eastAsia="方正仿宋_GBK"/>
          <w:sz w:val="28"/>
          <w:szCs w:val="28"/>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eastAsia="方正仿宋_GBK"/>
          <w:sz w:val="28"/>
          <w:szCs w:val="28"/>
          <w:u w:val="singl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.本项目的特定资格要求：</w:t>
      </w:r>
      <w:r/>
    </w:p>
    <w:p>
      <w:pPr>
        <w:ind w:firstLine="56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（1）本项目不接受进口产品投标，供应商须提供关于符合本国产品标准的声明函。</w:t>
      </w:r>
      <w:r/>
    </w:p>
    <w:p>
      <w:pPr>
        <w:pStyle w:val="880"/>
        <w:ind w:firstLine="567"/>
        <w:spacing w:before="0" w:beforeAutospacing="0" w:after="0" w:afterAutospacing="0" w:line="500" w:lineRule="exact"/>
        <w:shd w:val="clear" w:color="auto" w:fill="ffff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响应供应商如为所投电梯制造企业并提供安装服务，应具备行政主管部门颁发的有效期内的《中华人民共和国特种设备生产许可证》[许可项目:电梯制造(含安装、修理、改造)】;(注:许可明细表含本项目采购电梯类型的对应许可子项目)</w:t>
      </w:r>
      <w:r/>
    </w:p>
    <w:p>
      <w:pPr>
        <w:pStyle w:val="880"/>
        <w:ind w:firstLine="567"/>
        <w:spacing w:before="0" w:beforeAutospacing="0" w:after="0" w:afterAutospacing="0" w:line="500" w:lineRule="exact"/>
        <w:shd w:val="clear" w:color="auto" w:fill="ffff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响应供应商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发布公告之日起至</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8</w:t>
      </w:r>
      <w:r>
        <w:rPr>
          <w:rFonts w:eastAsia="方正仿宋_GBK"/>
          <w:sz w:val="28"/>
          <w:szCs w:val="28"/>
        </w:rPr>
        <w:t xml:space="preserve">月</w:t>
      </w:r>
      <w:r>
        <w:rPr>
          <w:rFonts w:hint="eastAsia" w:eastAsia="方正仿宋_GBK"/>
          <w:sz w:val="28"/>
          <w:szCs w:val="28"/>
          <w:lang w:val="en-US" w:eastAsia="zh-CN"/>
        </w:rPr>
        <w:t xml:space="preserve">26</w:t>
      </w:r>
      <w:r>
        <w:rPr>
          <w:rFonts w:eastAsia="方正仿宋_GBK"/>
          <w:sz w:val="28"/>
          <w:szCs w:val="28"/>
        </w:rPr>
        <w:t xml:space="preserve">日</w:t>
      </w:r>
      <w:r>
        <w:rPr>
          <w:rFonts w:hint="eastAsia" w:eastAsia="方正仿宋_GBK"/>
          <w:sz w:val="28"/>
          <w:szCs w:val="28"/>
        </w:rPr>
        <w:t xml:space="preserve">9点00分</w:t>
      </w:r>
      <w:r/>
    </w:p>
    <w:p>
      <w:pPr>
        <w:ind w:firstLine="560"/>
        <w:spacing w:line="500" w:lineRule="exact"/>
        <w:rPr>
          <w:rFonts w:hint="eastAsia"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四、提交响应文件截止时间、谈判时间和地点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 </w:t>
      </w:r>
      <w:r>
        <w:rPr>
          <w:rFonts w:eastAsia="方正仿宋_GBK"/>
          <w:sz w:val="28"/>
          <w:szCs w:val="28"/>
        </w:rPr>
        <w:t xml:space="preserve">提交响应文件截止时间、谈判时间</w:t>
      </w:r>
      <w:r>
        <w:rPr>
          <w:rFonts w:hint="eastAsia" w:eastAsia="方正仿宋_GBK"/>
          <w:sz w:val="28"/>
          <w:szCs w:val="28"/>
        </w:rPr>
        <w:t xml:space="preserve">:</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8</w:t>
      </w:r>
      <w:r>
        <w:rPr>
          <w:rFonts w:eastAsia="方正仿宋_GBK"/>
          <w:sz w:val="28"/>
          <w:szCs w:val="28"/>
        </w:rPr>
        <w:t xml:space="preserve">月</w:t>
      </w:r>
      <w:r>
        <w:rPr>
          <w:rFonts w:hint="eastAsia" w:eastAsia="方正仿宋_GBK"/>
          <w:sz w:val="28"/>
          <w:szCs w:val="28"/>
          <w:lang w:val="en-US" w:eastAsia="zh-CN"/>
        </w:rPr>
        <w:t xml:space="preserve">26</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eastAsia="方正仿宋_GBK"/>
          <w:sz w:val="28"/>
          <w:szCs w:val="28"/>
        </w:rPr>
      </w:pPr>
      <w:r>
        <w:rPr>
          <w:rFonts w:hint="eastAsia" w:eastAsia="方正仿宋_GBK"/>
          <w:sz w:val="28"/>
          <w:szCs w:val="28"/>
        </w:rPr>
        <w:t xml:space="preserve">谈判</w:t>
      </w:r>
      <w:r>
        <w:rPr>
          <w:rFonts w:eastAsia="方正仿宋_GBK"/>
          <w:sz w:val="28"/>
          <w:szCs w:val="28"/>
        </w:rPr>
        <w:t xml:space="preserve">地点：</w:t>
      </w:r>
      <w:r>
        <w:rPr>
          <w:rFonts w:hint="eastAsia" w:eastAsia="方正仿宋_GBK"/>
          <w:sz w:val="28"/>
          <w:szCs w:val="28"/>
        </w:rPr>
        <w:t xml:space="preserve">“苏采云”政府采购交易系统网上开标大厅。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谈判</w:t>
      </w:r>
      <w:r>
        <w:rPr>
          <w:rFonts w:eastAsia="方正仿宋_GBK"/>
          <w:sz w:val="28"/>
          <w:szCs w:val="28"/>
        </w:rPr>
        <w:t xml:space="preserve">保证金：免收</w:t>
      </w:r>
      <w:r/>
    </w:p>
    <w:p>
      <w:pPr>
        <w:pStyle w:val="871"/>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、项目谈判活动模式：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、对项目需求部分（供应商资格要求、项目需求、商务技术评分标准）的询问请向采购人提出，由采购人负责答复；对项目谈判文件其它部分的询问请向谈判文件联系人或项目谈判经办人提出；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20"/>
        <w:spacing w:line="500" w:lineRule="exact"/>
        <w:rPr>
          <w:rFonts w:eastAsia="方正仿宋_GBK"/>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如皋市科技创新中心</w:t>
      </w:r>
      <w:r>
        <w:rPr>
          <w:rFonts w:eastAsia="方正仿宋_GBK"/>
          <w:sz w:val="28"/>
          <w:szCs w:val="28"/>
        </w:rPr>
        <w:t xml:space="preserve">　　　　　　　　　　　　</w:t>
      </w:r>
      <w:r/>
    </w:p>
    <w:p>
      <w:pPr>
        <w:ind w:firstLine="560"/>
        <w:spacing w:line="500" w:lineRule="exact"/>
        <w:widowControl/>
      </w:pPr>
      <w:r>
        <w:rPr>
          <w:rFonts w:eastAsia="方正仿宋_GBK"/>
          <w:sz w:val="28"/>
          <w:szCs w:val="28"/>
        </w:rPr>
        <w:t xml:space="preserve">地址</w:t>
      </w:r>
      <w:r>
        <w:rPr>
          <w:rFonts w:hint="eastAsia" w:eastAsia="方正仿宋_GBK"/>
          <w:sz w:val="28"/>
          <w:szCs w:val="28"/>
        </w:rPr>
        <w:t xml:space="preserve">：如皋市花市北路20号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徐超</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18921685161</w:t>
      </w:r>
      <w:r>
        <w:rPr>
          <w:rFonts w:eastAsia="方正仿宋_GBK"/>
          <w:sz w:val="28"/>
          <w:szCs w:val="28"/>
        </w:rPr>
        <w:t xml:space="preserve">　　　　　　　　　　　</w:t>
      </w:r>
      <w:r/>
    </w:p>
    <w:p>
      <w:pPr>
        <w:ind w:firstLine="560"/>
        <w:spacing w:line="500" w:lineRule="exact"/>
        <w:rPr>
          <w:rFonts w:hint="eastAsia" w:eastAsia="方正仿宋_GBK"/>
          <w:sz w:val="28"/>
          <w:szCs w:val="28"/>
        </w:rPr>
      </w:pPr>
      <w:r>
        <w:rPr>
          <w:rFonts w:hint="eastAsia" w:eastAsia="方正仿宋_GBK"/>
          <w:sz w:val="28"/>
          <w:szCs w:val="28"/>
        </w:rPr>
        <w:t xml:space="preserve">2.如皋市公共资源交易中心</w:t>
      </w:r>
      <w:r/>
    </w:p>
    <w:p>
      <w:pPr>
        <w:ind w:firstLine="560"/>
        <w:spacing w:line="500" w:lineRule="exact"/>
        <w:rPr>
          <w:rFonts w:hint="eastAsia" w:eastAsia="方正仿宋_GBK"/>
          <w:sz w:val="28"/>
          <w:szCs w:val="28"/>
        </w:rPr>
      </w:pPr>
      <w:r>
        <w:rPr>
          <w:rFonts w:hint="eastAsia" w:eastAsia="方正仿宋_GBK"/>
          <w:sz w:val="28"/>
          <w:szCs w:val="28"/>
        </w:rPr>
        <w:t xml:space="preserve">地址：如皋市惠政路1799号 </w:t>
      </w:r>
      <w:r/>
    </w:p>
    <w:p>
      <w:pPr>
        <w:ind w:firstLine="560"/>
        <w:spacing w:line="500" w:lineRule="exact"/>
        <w:rPr>
          <w:rFonts w:hint="eastAsia" w:eastAsia="方正仿宋_GBK"/>
          <w:sz w:val="28"/>
          <w:szCs w:val="28"/>
        </w:rPr>
      </w:pPr>
      <w:r>
        <w:rPr>
          <w:rFonts w:hint="eastAsia" w:eastAsia="方正仿宋_GBK"/>
          <w:sz w:val="28"/>
          <w:szCs w:val="28"/>
        </w:rPr>
        <w:t xml:space="preserve">联系方式：见项目联系方式</w:t>
      </w:r>
      <w:r/>
    </w:p>
    <w:p>
      <w:pPr>
        <w:ind w:firstLine="560"/>
        <w:spacing w:line="500" w:lineRule="exact"/>
        <w:rPr>
          <w:rFonts w:hint="eastAsia" w:eastAsia="方正仿宋_GBK"/>
          <w:sz w:val="28"/>
          <w:szCs w:val="28"/>
        </w:rPr>
      </w:pPr>
      <w:r>
        <w:rPr>
          <w:rFonts w:hint="eastAsia" w:eastAsia="方正仿宋_GBK"/>
          <w:sz w:val="28"/>
          <w:szCs w:val="28"/>
        </w:rPr>
        <w:t xml:space="preserve">3.项目联系方式</w:t>
      </w:r>
      <w:r/>
    </w:p>
    <w:p>
      <w:pPr>
        <w:ind w:firstLine="560"/>
        <w:spacing w:line="500" w:lineRule="exact"/>
        <w:rPr>
          <w:rFonts w:hint="eastAsia" w:eastAsia="方正仿宋_GBK"/>
          <w:sz w:val="28"/>
          <w:szCs w:val="28"/>
        </w:rPr>
      </w:pPr>
      <w:r>
        <w:rPr>
          <w:rFonts w:hint="eastAsia" w:eastAsia="方正仿宋_GBK"/>
          <w:sz w:val="28"/>
          <w:szCs w:val="28"/>
        </w:rPr>
        <w:t xml:space="preserve">招标文件联系人: 龚骁璐（0513-87620882）</w:t>
      </w:r>
      <w:r/>
    </w:p>
    <w:p>
      <w:pPr>
        <w:ind w:firstLine="560"/>
        <w:spacing w:line="500" w:lineRule="exact"/>
        <w:rPr>
          <w:rFonts w:hint="eastAsia" w:eastAsia="方正仿宋_GBK"/>
          <w:sz w:val="28"/>
          <w:szCs w:val="28"/>
        </w:rPr>
      </w:pPr>
      <w:r>
        <w:rPr>
          <w:rFonts w:hint="eastAsia" w:eastAsia="方正仿宋_GBK"/>
          <w:sz w:val="28"/>
          <w:szCs w:val="28"/>
        </w:rPr>
        <w:t xml:space="preserve">项目开标人：陈宇航（0513-87620882）</w:t>
      </w:r>
      <w:r/>
    </w:p>
    <w:p>
      <w:pPr>
        <w:ind w:firstLine="560"/>
        <w:spacing w:line="500" w:lineRule="exact"/>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spacing w:line="500" w:lineRule="exact"/>
        <w:rPr>
          <w:rFonts w:hint="eastAsia" w:ascii="仿宋" w:hAnsi="仿宋" w:eastAsia="仿宋" w:cs="宋体"/>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t xml:space="preserve">第二部分 谈判须知</w:t>
      </w:r>
      <w:r/>
    </w:p>
    <w:p>
      <w:pPr>
        <w:keepLines/>
        <w:keepNext/>
        <w:spacing w:line="500" w:lineRule="exact"/>
        <w:rPr>
          <w:rFonts w:eastAsia="方正仿宋_GBK"/>
          <w:b/>
          <w:bCs/>
          <w:sz w:val="28"/>
          <w:szCs w:val="28"/>
        </w:rPr>
        <w:outlineLvl w:val="2"/>
      </w:pPr>
      <w:r/>
      <w:bookmarkStart w:id="0" w:name="_Toc20823275"/>
      <w:r/>
      <w:bookmarkStart w:id="1" w:name="_Toc513029203"/>
      <w:r/>
      <w:bookmarkStart w:id="2" w:name="_Toc120614214"/>
      <w:r/>
      <w:bookmarkStart w:id="3" w:name="_Toc16938519"/>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20823276"/>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本次采取竞争性谈判方式，本谈判文件仅适用于谈判公告中所述项目。</w:t>
      </w:r>
      <w:r/>
    </w:p>
    <w:p>
      <w:pPr>
        <w:keepNext/>
        <w:spacing w:line="500" w:lineRule="exact"/>
        <w:rPr>
          <w:rFonts w:eastAsia="方正仿宋_GBK"/>
          <w:b/>
          <w:bCs/>
          <w:sz w:val="28"/>
          <w:szCs w:val="28"/>
        </w:rPr>
        <w:outlineLvl w:val="3"/>
      </w:pPr>
      <w:r/>
      <w:bookmarkStart w:id="9" w:name="_Toc16938521"/>
      <w:r/>
      <w:bookmarkStart w:id="10" w:name="_Toc513029205"/>
      <w:r/>
      <w:bookmarkStart w:id="11" w:name="_Toc20823277"/>
      <w:r>
        <w:rPr>
          <w:rFonts w:eastAsia="方正仿宋_GBK"/>
          <w:sz w:val="28"/>
          <w:szCs w:val="28"/>
        </w:rPr>
        <w:t xml:space="preserve">2.合格的</w:t>
      </w:r>
      <w:bookmarkEnd w:id="9"/>
      <w:r/>
      <w:bookmarkEnd w:id="10"/>
      <w:r/>
      <w:bookmarkEnd w:id="11"/>
      <w:r>
        <w:rPr>
          <w:rFonts w:eastAsia="方正仿宋_GBK"/>
          <w:sz w:val="28"/>
          <w:szCs w:val="28"/>
        </w:rPr>
        <w:t xml:space="preserve">谈判供应商</w:t>
      </w:r>
      <w:r/>
    </w:p>
    <w:p>
      <w:pPr>
        <w:ind w:firstLine="560"/>
        <w:spacing w:line="500" w:lineRule="exact"/>
        <w:rPr>
          <w:rFonts w:eastAsia="方正仿宋_GBK"/>
          <w:sz w:val="28"/>
          <w:szCs w:val="28"/>
        </w:rPr>
      </w:pPr>
      <w:r>
        <w:rPr>
          <w:rFonts w:eastAsia="方正仿宋_GBK"/>
          <w:sz w:val="28"/>
          <w:szCs w:val="28"/>
        </w:rPr>
        <w:t xml:space="preserve">2.1满足谈判公告中供应商的资格要求的规定。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满足本谈判文件实质性条款的规定。</w:t>
      </w:r>
      <w:r/>
    </w:p>
    <w:p>
      <w:pPr>
        <w:keepNext/>
        <w:spacing w:line="500" w:lineRule="exact"/>
        <w:rPr>
          <w:rFonts w:eastAsia="方正仿宋_GBK"/>
          <w:b/>
          <w:bCs/>
          <w:sz w:val="28"/>
          <w:szCs w:val="28"/>
        </w:rPr>
        <w:outlineLvl w:val="3"/>
      </w:pPr>
      <w:r/>
      <w:bookmarkStart w:id="12" w:name="_Toc16938522"/>
      <w:r/>
      <w:bookmarkStart w:id="13" w:name="_Toc513029206"/>
      <w:r/>
      <w:bookmarkStart w:id="14" w:name="_Toc20823278"/>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16938523"/>
      <w:r/>
      <w:bookmarkStart w:id="16" w:name="_Toc462564067"/>
      <w:r/>
      <w:bookmarkStart w:id="17" w:name="_Toc513029207"/>
      <w:r/>
      <w:bookmarkStart w:id="18" w:name="_Toc20823279"/>
      <w:r>
        <w:rPr>
          <w:rFonts w:eastAsia="方正仿宋_GBK"/>
          <w:sz w:val="28"/>
          <w:szCs w:val="28"/>
        </w:rPr>
        <w:t xml:space="preserve">4.谈判费用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参加谈判的供应商应自行承担所有与参加谈判有关的费用，无论谈判过程中的做法和结果如何，</w:t>
      </w:r>
      <w:r>
        <w:rPr>
          <w:rFonts w:hint="eastAsia" w:eastAsia="方正仿宋_GBK"/>
          <w:sz w:val="28"/>
          <w:szCs w:val="28"/>
        </w:rPr>
        <w:t xml:space="preserve">交易中心及采购人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4.2本次谈判</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5.谈判文件的约束力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供应商一旦参加本项目采购活动，即被认为接受了本谈判文件的规定和约束。</w:t>
      </w:r>
      <w:r/>
    </w:p>
    <w:p>
      <w:pPr>
        <w:keepNext/>
        <w:spacing w:line="500" w:lineRule="exact"/>
        <w:rPr>
          <w:rFonts w:eastAsia="方正仿宋_GBK"/>
          <w:sz w:val="28"/>
          <w:szCs w:val="28"/>
        </w:rPr>
        <w:outlineLvl w:val="3"/>
      </w:pPr>
      <w:r>
        <w:rPr>
          <w:rFonts w:eastAsia="方正仿宋_GBK"/>
          <w:sz w:val="28"/>
          <w:szCs w:val="28"/>
        </w:rPr>
        <w:t xml:space="preserve">6.谈判文件的解释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谈判文件需求部分（供应商资格要求、项目需求、商务技术评分标准）由采购人解释，其它部分由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513029209"/>
      <w:r/>
      <w:bookmarkStart w:id="20" w:name="_Toc20823281"/>
      <w:r/>
      <w:bookmarkStart w:id="21" w:name="_Toc120614215"/>
      <w:r/>
      <w:bookmarkStart w:id="22" w:name="_Toc16938525"/>
      <w:r>
        <w:rPr>
          <w:rFonts w:eastAsia="方正仿宋_GBK"/>
          <w:b/>
          <w:bCs/>
          <w:sz w:val="28"/>
          <w:szCs w:val="28"/>
        </w:rPr>
        <w:t xml:space="preserve">（二）谈判文件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513029210"/>
      <w:r/>
      <w:bookmarkStart w:id="24" w:name="_Toc16938526"/>
      <w:r/>
      <w:bookmarkStart w:id="25" w:name="_Toc20823282"/>
      <w:r>
        <w:rPr>
          <w:rFonts w:eastAsia="方正仿宋_GBK"/>
          <w:sz w:val="28"/>
          <w:szCs w:val="28"/>
        </w:rPr>
        <w:t xml:space="preserve">1.谈判文件构成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谈判文件由以下部分组成：</w:t>
      </w:r>
      <w:r/>
    </w:p>
    <w:p>
      <w:pPr>
        <w:ind w:firstLine="28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280"/>
        <w:spacing w:line="500" w:lineRule="exact"/>
        <w:rPr>
          <w:rFonts w:eastAsia="方正仿宋_GBK"/>
          <w:sz w:val="28"/>
          <w:szCs w:val="28"/>
        </w:rPr>
      </w:pPr>
      <w:r>
        <w:rPr>
          <w:rFonts w:eastAsia="方正仿宋_GBK"/>
          <w:sz w:val="28"/>
          <w:szCs w:val="28"/>
        </w:rPr>
        <w:t xml:space="preserve">（2）谈判须知</w:t>
      </w:r>
      <w:r/>
    </w:p>
    <w:p>
      <w:pPr>
        <w:ind w:firstLine="280"/>
        <w:spacing w:line="500" w:lineRule="exact"/>
        <w:rPr>
          <w:rFonts w:eastAsia="方正仿宋_GBK"/>
          <w:sz w:val="28"/>
          <w:szCs w:val="28"/>
        </w:rPr>
      </w:pPr>
      <w:r>
        <w:rPr>
          <w:rFonts w:eastAsia="方正仿宋_GBK"/>
          <w:sz w:val="28"/>
          <w:szCs w:val="28"/>
        </w:rPr>
        <w:t xml:space="preserve">（3）项目需求</w:t>
      </w:r>
      <w:r/>
    </w:p>
    <w:p>
      <w:pPr>
        <w:ind w:firstLine="280"/>
        <w:spacing w:line="500" w:lineRule="exact"/>
        <w:rPr>
          <w:rFonts w:eastAsia="方正仿宋_GBK"/>
          <w:sz w:val="28"/>
          <w:szCs w:val="28"/>
        </w:rPr>
      </w:pPr>
      <w:r>
        <w:rPr>
          <w:rFonts w:eastAsia="方正仿宋_GBK"/>
          <w:sz w:val="28"/>
          <w:szCs w:val="28"/>
        </w:rPr>
        <w:t xml:space="preserve">（4）评审方法和评审标准</w:t>
      </w:r>
      <w:r/>
    </w:p>
    <w:p>
      <w:pPr>
        <w:ind w:firstLine="280"/>
        <w:spacing w:line="500" w:lineRule="exact"/>
        <w:rPr>
          <w:rFonts w:hint="eastAsia" w:eastAsia="方正仿宋_GBK"/>
          <w:sz w:val="28"/>
          <w:szCs w:val="28"/>
        </w:rPr>
      </w:pPr>
      <w:r>
        <w:rPr>
          <w:rFonts w:eastAsia="方正仿宋_GBK"/>
          <w:sz w:val="28"/>
          <w:szCs w:val="28"/>
        </w:rPr>
        <w:t xml:space="preserve">（5）响应文件组成</w:t>
      </w:r>
      <w:r/>
    </w:p>
    <w:p>
      <w:pPr>
        <w:ind w:firstLine="280"/>
        <w:spacing w:line="500" w:lineRule="exact"/>
        <w:rPr>
          <w:rFonts w:eastAsia="方正仿宋_GBK"/>
          <w:sz w:val="28"/>
          <w:szCs w:val="28"/>
        </w:rPr>
      </w:pPr>
      <w:r>
        <w:rPr>
          <w:rFonts w:hint="eastAsia" w:eastAsia="方正仿宋_GBK"/>
          <w:sz w:val="28"/>
          <w:szCs w:val="28"/>
        </w:rPr>
        <w:t xml:space="preserve">（6）合同签订与验收付款</w:t>
      </w:r>
      <w:r/>
    </w:p>
    <w:p>
      <w:pPr>
        <w:ind w:firstLine="28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请仔细检查谈判文件是否齐全，如有缺漏请立即与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eastAsia="方正仿宋_GBK"/>
          <w:b/>
          <w:bCs/>
          <w:sz w:val="28"/>
          <w:szCs w:val="28"/>
        </w:rPr>
        <w:outlineLvl w:val="3"/>
      </w:pPr>
      <w:r/>
      <w:bookmarkStart w:id="26" w:name="_Toc16938527"/>
      <w:r/>
      <w:bookmarkStart w:id="27" w:name="_Toc513029211"/>
      <w:r/>
      <w:bookmarkStart w:id="28" w:name="_Toc20823283"/>
      <w:r/>
      <w:bookmarkStart w:id="29" w:name="_Toc462564070"/>
      <w:r>
        <w:rPr>
          <w:rFonts w:eastAsia="方正仿宋_GBK"/>
          <w:sz w:val="28"/>
          <w:szCs w:val="28"/>
        </w:rPr>
        <w:t xml:space="preserve">2.谈判文件的澄清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513029212"/>
      <w:r/>
      <w:bookmarkStart w:id="31" w:name="_Toc462564071"/>
      <w:r/>
      <w:bookmarkStart w:id="32" w:name="_Toc16938528"/>
      <w:r/>
      <w:bookmarkStart w:id="33" w:name="_Toc20823284"/>
      <w:r>
        <w:rPr>
          <w:rFonts w:eastAsia="方正仿宋_GBK"/>
          <w:sz w:val="28"/>
          <w:szCs w:val="28"/>
        </w:rPr>
        <w:t xml:space="preserve">3.谈判文件的修改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在谈判响应文件提交截止时间前，</w:t>
      </w:r>
      <w:r>
        <w:rPr>
          <w:rFonts w:hint="eastAsia" w:eastAsia="方正仿宋_GBK"/>
          <w:sz w:val="28"/>
          <w:szCs w:val="28"/>
        </w:rPr>
        <w:t xml:space="preserve">采购人</w:t>
      </w:r>
      <w:r>
        <w:rPr>
          <w:rFonts w:eastAsia="方正仿宋_GBK"/>
          <w:sz w:val="28"/>
          <w:szCs w:val="28"/>
        </w:rPr>
        <w:t xml:space="preserve">可以对谈判文件进行修改。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w:t>
      </w:r>
      <w:r>
        <w:rPr>
          <w:rFonts w:eastAsia="方正仿宋_GBK"/>
          <w:sz w:val="28"/>
          <w:szCs w:val="28"/>
        </w:rPr>
        <w:t xml:space="preserve">有权按照法定的要求推迟响应文件提交截止日期和谈判日期。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谈判文件的修改将在</w:t>
      </w:r>
      <w:r>
        <w:rPr>
          <w:rFonts w:hint="eastAsia" w:eastAsia="方正仿宋_GBK"/>
          <w:sz w:val="28"/>
          <w:szCs w:val="28"/>
        </w:rPr>
        <w:t xml:space="preserve">“江苏政府采购网”</w:t>
      </w:r>
      <w:r>
        <w:rPr>
          <w:rFonts w:eastAsia="方正仿宋_GBK"/>
          <w:sz w:val="28"/>
          <w:szCs w:val="28"/>
        </w:rPr>
        <w:t xml:space="preserve">公布，补充文件将作为谈判文件的组成部分，并对供应商具有约束力。</w:t>
      </w:r>
      <w:r/>
    </w:p>
    <w:p>
      <w:pPr>
        <w:keepLines/>
        <w:keepNext/>
        <w:spacing w:line="500" w:lineRule="exact"/>
        <w:rPr>
          <w:rFonts w:eastAsia="方正仿宋_GBK"/>
          <w:b/>
          <w:bCs/>
          <w:sz w:val="28"/>
          <w:szCs w:val="28"/>
        </w:rPr>
        <w:outlineLvl w:val="2"/>
      </w:pPr>
      <w:r/>
      <w:bookmarkStart w:id="34" w:name="_Toc513029213"/>
      <w:r/>
      <w:bookmarkStart w:id="35" w:name="_Toc120614216"/>
      <w:r/>
      <w:bookmarkStart w:id="36" w:name="_Toc20823285"/>
      <w:r/>
      <w:bookmarkStart w:id="37" w:name="_Toc462564072"/>
      <w:r/>
      <w:bookmarkStart w:id="38" w:name="_Toc16938529"/>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20823286"/>
      <w:r/>
      <w:bookmarkStart w:id="40" w:name="_Toc16938530"/>
      <w:r/>
      <w:bookmarkStart w:id="41" w:name="_Toc513029214"/>
      <w:r/>
      <w:bookmarkStart w:id="42" w:name="_Toc462564073"/>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中心及采购人就有关谈判的所有来往通知、函件和文件均应使用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16938531"/>
      <w:r/>
      <w:bookmarkStart w:id="44" w:name="_Toc462564074"/>
      <w:r/>
      <w:bookmarkStart w:id="45" w:name="_Toc20823287"/>
      <w:r/>
      <w:bookmarkStart w:id="46" w:name="_Toc513029215"/>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70360"/>
      <w:r/>
      <w:bookmarkEnd w:id="47"/>
      <w:r/>
      <w:bookmarkStart w:id="48" w:name="_Hlt26668975"/>
      <w:r/>
      <w:bookmarkEnd w:id="48"/>
      <w:r/>
      <w:bookmarkStart w:id="49" w:name="_Hlt26954838"/>
      <w:r/>
      <w:bookmarkEnd w:id="49"/>
      <w:r/>
      <w:bookmarkStart w:id="50" w:name="_Toc49090511"/>
      <w:r/>
      <w:bookmarkStart w:id="51" w:name="_Toc14577360"/>
      <w:r>
        <w:rPr>
          <w:rFonts w:eastAsia="方正仿宋_GBK"/>
          <w:sz w:val="28"/>
          <w:szCs w:val="28"/>
        </w:rPr>
        <w:t xml:space="preserve">3.</w:t>
      </w:r>
      <w:bookmarkEnd w:id="50"/>
      <w:r/>
      <w:bookmarkEnd w:id="51"/>
      <w:r>
        <w:rPr>
          <w:rFonts w:eastAsia="方正仿宋_GBK"/>
          <w:sz w:val="28"/>
          <w:szCs w:val="28"/>
        </w:rPr>
        <w:t xml:space="preserve">谈判响应有效期</w:t>
      </w:r>
      <w:r/>
    </w:p>
    <w:p>
      <w:pPr>
        <w:ind w:firstLine="560"/>
        <w:spacing w:line="500" w:lineRule="exact"/>
        <w:rPr>
          <w:rFonts w:eastAsia="方正仿宋_GBK"/>
          <w:bCs/>
          <w:sz w:val="28"/>
          <w:szCs w:val="28"/>
        </w:rPr>
      </w:pPr>
      <w:r>
        <w:rPr>
          <w:rFonts w:eastAsia="方正仿宋_GBK"/>
          <w:bCs/>
          <w:sz w:val="28"/>
          <w:szCs w:val="28"/>
        </w:rPr>
        <w:t xml:space="preserve">3.1谈判响应有效期为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4.谈判响应有效期的延长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w:t>
      </w:r>
      <w:r>
        <w:rPr>
          <w:rFonts w:eastAsia="方正仿宋_GBK"/>
          <w:bCs/>
          <w:sz w:val="28"/>
          <w:szCs w:val="28"/>
        </w:rPr>
        <w:t xml:space="preserve">中心于原谈判响应有效期满之前，可向谈判供应商提出延长谈判响应有效期的要求。这种要求与答复均应采用书面形式。供应商可以拒绝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中心的这一要求而放弃谈判响应，同意延长谈判响应有效期的供应商既不能要求也不允许修改其响应文件。</w:t>
      </w:r>
      <w:r>
        <w:rPr>
          <w:rFonts w:eastAsia="方正仿宋_GBK"/>
          <w:sz w:val="28"/>
          <w:szCs w:val="28"/>
        </w:rPr>
        <w:t xml:space="preserve">受谈判响应有效期约束的所有权利与义务均延长至新的有效期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120614217"/>
      <w:r/>
      <w:bookmarkStart w:id="55" w:name="_Toc16938540"/>
      <w:r/>
      <w:bookmarkStart w:id="56" w:name="_Toc513029224"/>
      <w:r/>
      <w:bookmarkStart w:id="57" w:name="_Toc20823296"/>
      <w:r>
        <w:rPr>
          <w:rFonts w:eastAsia="方正仿宋_GBK"/>
          <w:b/>
          <w:bCs/>
          <w:sz w:val="28"/>
          <w:szCs w:val="28"/>
        </w:rPr>
        <w:t xml:space="preserve">（四）响应文件的</w:t>
      </w:r>
      <w:bookmarkEnd w:id="54"/>
      <w:r/>
      <w:bookmarkEnd w:id="55"/>
      <w:r/>
      <w:bookmarkEnd w:id="56"/>
      <w:r/>
      <w:bookmarkEnd w:id="57"/>
      <w:r>
        <w:rPr>
          <w:rFonts w:eastAsia="方正仿宋_GBK"/>
          <w:b/>
          <w:bCs/>
          <w:sz w:val="28"/>
          <w:szCs w:val="28"/>
        </w:rPr>
        <w:t xml:space="preserve">提交</w:t>
      </w:r>
      <w:r/>
    </w:p>
    <w:p>
      <w:pPr>
        <w:keepNext/>
        <w:spacing w:line="500" w:lineRule="exact"/>
        <w:rPr>
          <w:rFonts w:eastAsia="方正仿宋_GBK"/>
          <w:b/>
          <w:bCs/>
          <w:sz w:val="28"/>
          <w:szCs w:val="28"/>
        </w:rPr>
        <w:outlineLvl w:val="3"/>
      </w:pPr>
      <w:r/>
      <w:bookmarkStart w:id="58" w:name="_Toc462564084"/>
      <w:r/>
      <w:bookmarkStart w:id="59" w:name="_Toc513029225"/>
      <w:r/>
      <w:bookmarkStart w:id="60" w:name="_Toc16938541"/>
      <w:r/>
      <w:bookmarkStart w:id="61" w:name="_Toc20823297"/>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16938542"/>
      <w:r/>
      <w:bookmarkStart w:id="63" w:name="_Toc20823298"/>
      <w:r/>
      <w:bookmarkStart w:id="64" w:name="_Toc513029226"/>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供应商上传电子响应文件的时间不得迟于谈判公告中规定的响应文件提交截止时间。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16938543"/>
      <w:r/>
      <w:bookmarkStart w:id="66" w:name="_Toc513029227"/>
      <w:r/>
      <w:bookmarkStart w:id="67" w:name="_Toc20823299"/>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16938544"/>
      <w:r/>
      <w:bookmarkStart w:id="69" w:name="_Toc513029228"/>
      <w:r/>
      <w:bookmarkStart w:id="70" w:name="_Toc20823300"/>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供应商撤回电子响应文件，则认为其不再参与本项目谈判活动。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在响应文件截止时间至响应文件中规定的谈判响应有效期满之间的这段时间内，供应商不得撤回其响应文件。</w:t>
      </w:r>
      <w:r/>
    </w:p>
    <w:p>
      <w:pPr>
        <w:spacing w:line="500" w:lineRule="exact"/>
        <w:rPr>
          <w:rFonts w:eastAsia="方正仿宋_GBK"/>
          <w:b/>
          <w:bCs/>
          <w:sz w:val="28"/>
          <w:szCs w:val="28"/>
        </w:rPr>
      </w:pPr>
      <w:r/>
      <w:bookmarkStart w:id="71" w:name="_Toc16938545"/>
      <w:r/>
      <w:bookmarkStart w:id="72" w:name="_Toc120614218"/>
      <w:r/>
      <w:bookmarkStart w:id="73" w:name="_Toc513029229"/>
      <w:r/>
      <w:bookmarkStart w:id="74" w:name="_Toc20823301"/>
      <w:r>
        <w:rPr>
          <w:rFonts w:eastAsia="方正仿宋_GBK"/>
          <w:b/>
          <w:bCs/>
          <w:sz w:val="28"/>
          <w:szCs w:val="28"/>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sz w:val="28"/>
          <w:szCs w:val="28"/>
        </w:rPr>
        <w:t xml:space="preserve">谈判与评审</w:t>
      </w:r>
      <w:r/>
    </w:p>
    <w:p>
      <w:pPr>
        <w:ind w:firstLine="420"/>
        <w:spacing w:line="500" w:lineRule="exact"/>
        <w:rPr>
          <w:rFonts w:eastAsia="方正仿宋_GBK"/>
          <w:bCs/>
          <w:sz w:val="28"/>
          <w:szCs w:val="28"/>
        </w:rPr>
      </w:pPr>
      <w:r>
        <w:rPr>
          <w:rFonts w:eastAsia="方正仿宋_GBK"/>
          <w:bCs/>
          <w:sz w:val="28"/>
          <w:szCs w:val="28"/>
        </w:rPr>
        <w:t xml:space="preserve">1.谈判仪式</w:t>
      </w:r>
      <w:r/>
    </w:p>
    <w:p>
      <w:pPr>
        <w:ind w:firstLine="42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中心将在谈判公告中规定的时间和地点组织谈判开始仪式。供应商应当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参加谈判活动，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1.2 供应商在谈判过程中涉及到的谈判文件解密、谈判结果确认等工作，按照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2.竞争性谈判小组</w:t>
      </w:r>
      <w:r/>
    </w:p>
    <w:p>
      <w:pPr>
        <w:ind w:firstLine="560"/>
        <w:spacing w:line="500" w:lineRule="exact"/>
        <w:rPr>
          <w:rFonts w:eastAsia="方正仿宋_GBK"/>
          <w:sz w:val="28"/>
          <w:szCs w:val="28"/>
        </w:rPr>
      </w:pPr>
      <w:r>
        <w:rPr>
          <w:rFonts w:eastAsia="方正仿宋_GBK"/>
          <w:sz w:val="28"/>
          <w:szCs w:val="28"/>
        </w:rPr>
        <w:t xml:space="preserve">2.1谈判开始仪式结束后，</w:t>
      </w:r>
      <w:r>
        <w:rPr>
          <w:rFonts w:hint="eastAsia" w:eastAsia="方正仿宋_GBK"/>
          <w:sz w:val="28"/>
          <w:szCs w:val="28"/>
        </w:rPr>
        <w:t xml:space="preserve">交易</w:t>
      </w:r>
      <w:r>
        <w:rPr>
          <w:rFonts w:eastAsia="方正仿宋_GBK"/>
          <w:sz w:val="28"/>
          <w:szCs w:val="28"/>
        </w:rPr>
        <w:t xml:space="preserve">中心将立即组织竞争性谈判小组进行评审。</w:t>
      </w:r>
      <w:r/>
    </w:p>
    <w:p>
      <w:pPr>
        <w:ind w:firstLine="560"/>
        <w:spacing w:line="500" w:lineRule="exact"/>
        <w:rPr>
          <w:rFonts w:eastAsia="方正仿宋_GBK"/>
          <w:sz w:val="28"/>
          <w:szCs w:val="28"/>
        </w:rPr>
      </w:pPr>
      <w:r>
        <w:rPr>
          <w:rFonts w:eastAsia="方正仿宋_GBK"/>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2.3达到公开招标限额标准的货物或者服务采购项目，竞争性谈判小组应当由5人以上单数组成。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2.5谈判小组独立工作，负责评审所有响应文件并确定成交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谈判评审过程的保密与公正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3.1谈判小组、采购人和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评审开始后，直至向成交供应商授予合同时止，凡是与审查、澄清、评价和比较响应的有关资料以及授标建议等，采购人、谈判小组、</w:t>
      </w:r>
      <w:r>
        <w:rPr>
          <w:rFonts w:hint="eastAsia" w:eastAsia="方正仿宋_GBK"/>
          <w:bCs/>
          <w:sz w:val="28"/>
          <w:szCs w:val="28"/>
        </w:rPr>
        <w:t xml:space="preserve">交易</w:t>
      </w:r>
      <w:r>
        <w:rPr>
          <w:rFonts w:eastAsia="方正仿宋_GBK"/>
          <w:bCs/>
          <w:sz w:val="28"/>
          <w:szCs w:val="28"/>
        </w:rPr>
        <w:t xml:space="preserve">中心均不得向供应商或与评审无关的其他人员透露。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4.1评审期间，为有助于对响应文件的审查、评价和比较，谈判小组有权以电子函件形式要求响应人对其响应文件进行澄清，但并非对每个供应商都作澄清要求。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4.2接到谈判小组澄清要求的供应商应派人按谈判小组规定的时间和格式在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接到谈判小组澄清要求的供应商如未按规定做出澄清，其风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以确定供应商是否具备参加谈判的资格。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谈判报价总表</w:t>
      </w:r>
      <w:r>
        <w:rPr>
          <w:rFonts w:eastAsia="方正仿宋_GBK"/>
          <w:bCs/>
          <w:sz w:val="28"/>
          <w:szCs w:val="28"/>
        </w:rPr>
        <w:t xml:space="preserve">内容与响应文件中相应内容不一致的，以</w:t>
      </w:r>
      <w:r>
        <w:rPr>
          <w:rFonts w:eastAsia="方正仿宋_GBK"/>
          <w:sz w:val="28"/>
          <w:szCs w:val="28"/>
        </w:rPr>
        <w:t xml:space="preserve">谈判报价总表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谈判报价总表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.5谈判小组将按上述修正错误的方法调整响应文件中的报价，并通过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告知供应商，调整后的价格应对供应商具有约束力。如果供应商不接受修正后的价格，则其谈判活动将被拒绝。</w:t>
      </w:r>
      <w:r/>
    </w:p>
    <w:p>
      <w:pPr>
        <w:ind w:firstLine="560"/>
        <w:spacing w:line="500" w:lineRule="exact"/>
        <w:rPr>
          <w:rFonts w:eastAsia="方正仿宋_GBK"/>
          <w:bCs/>
          <w:sz w:val="28"/>
          <w:szCs w:val="28"/>
        </w:rPr>
      </w:pPr>
      <w:r>
        <w:rPr>
          <w:rFonts w:eastAsia="方正仿宋_GBK"/>
          <w:bCs/>
          <w:sz w:val="28"/>
          <w:szCs w:val="28"/>
        </w:rPr>
        <w:t xml:space="preserve">5.6谈判小组将允许修正响应文件中不构成重大偏离的、微小的、非正规的、不一致的或不规则的地方，但这些修改不能影响任何供应商相应的名次排列。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bCs/>
          <w:sz w:val="28"/>
          <w:szCs w:val="28"/>
        </w:rPr>
      </w:pPr>
      <w:r>
        <w:rPr>
          <w:rFonts w:eastAsia="方正仿宋_GBK"/>
          <w:bCs/>
          <w:sz w:val="28"/>
          <w:szCs w:val="28"/>
        </w:rPr>
        <w:t xml:space="preserve">5.7</w:t>
      </w:r>
      <w:r>
        <w:rPr>
          <w:rFonts w:hint="eastAsia" w:eastAsia="方正仿宋_GBK"/>
          <w:bCs/>
          <w:sz w:val="28"/>
          <w:szCs w:val="28"/>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p>
    <w:p>
      <w:pPr>
        <w:ind w:firstLine="560"/>
        <w:spacing w:line="500" w:lineRule="exact"/>
        <w:rPr>
          <w:rFonts w:eastAsia="方正仿宋_GBK"/>
          <w:bCs/>
          <w:sz w:val="28"/>
          <w:szCs w:val="28"/>
        </w:rPr>
      </w:pPr>
      <w:r>
        <w:rPr>
          <w:rFonts w:eastAsia="方正仿宋_GBK"/>
          <w:bCs/>
          <w:sz w:val="28"/>
          <w:szCs w:val="28"/>
        </w:rPr>
        <w:t xml:space="preserve">非单一产品采购项目，谈判文件中将载明其中的核心产品。多家供应商提供的核心产品品牌相同的，按前款规定处理。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中心及谈判小组联系。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被认定为未实质性响应谈判文件的响应文件的情形。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6.1.4不具备谈判文件中规定的资格要求的。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6.1.7不符合法律、法规和谈判文件中规定的其他实质性要求的。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6.1.10谈判小组认为供应商的报价明显低于其他通过符合性审查供应商的报价，有可能影响产品质量或者不能诚信履约的，将通过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要求其在合理的时间内提供说明，必要时提交相关证明材料；供应商不能证明其报价合理性的，谈判小组应当将其作为无效响应处理。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6.1.12响应文件未按照响应文件要求加盖电子签章。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eastAsia="方正仿宋_GBK"/>
          <w:bCs/>
          <w:sz w:val="28"/>
          <w:szCs w:val="28"/>
        </w:rPr>
        <w:t xml:space="preserve">6.1.14其他法律、法规及本谈判文件规定的属无效响应的情形。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6.2出现下列情形之一的，谈判失败。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6.2.4谈判小组认定谈判文件存在歧义、重大缺陷导致评审工作无法进行。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系统故障原因造成谈判不成功的。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截止时间结束后参加谈判的供应商不足三家的处理：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截止时间结束后参加谈判的供应商或者在评审期间对谈判文件做出实质响应的供应商不足三家情况，按政府采购相关规定执行。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16938554"/>
      <w:r/>
      <w:bookmarkStart w:id="80" w:name="_Toc20823310"/>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1.1成交候选供应商的选取原则和数量见谈判文件第四部分规定。 </w:t>
      </w:r>
      <w:r/>
    </w:p>
    <w:p>
      <w:pPr>
        <w:ind w:firstLine="560"/>
        <w:spacing w:line="500" w:lineRule="exact"/>
        <w:rPr>
          <w:rFonts w:hint="eastAsia" w:eastAsia="方正仿宋_GBK"/>
          <w:bCs/>
          <w:sz w:val="28"/>
          <w:szCs w:val="28"/>
        </w:rPr>
      </w:pPr>
      <w:r>
        <w:rPr>
          <w:rFonts w:eastAsia="方正仿宋_GBK"/>
          <w:bCs/>
          <w:sz w:val="28"/>
          <w:szCs w:val="28"/>
        </w:rPr>
        <w:t xml:space="preserve">1.2 采购人应根据谈判小组推荐的成交候选供应商确定成交供应商。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bCs/>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1.4.4属于本文件规定的无效条件，但在评审过程中又未被谈判小组会发现的。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有下列情形之一的，视为供应商串通参与谈判，响应无效：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w:t>
      </w:r>
      <w:r>
        <w:rPr>
          <w:rFonts w:eastAsia="方正仿宋_GBK"/>
          <w:sz w:val="28"/>
          <w:szCs w:val="28"/>
        </w:rPr>
        <w:t xml:space="preserve">谈判</w:t>
      </w:r>
      <w:r>
        <w:rPr>
          <w:rFonts w:eastAsia="方正仿宋_GBK"/>
          <w:sz w:val="28"/>
          <w:szCs w:val="28"/>
        </w:rPr>
        <w:t xml:space="preserve">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提出质疑的供应商应当是参与所质疑项目采购活动的供应商。潜在供应商依法获取其可质疑的谈判文件的，可以对谈判文件提出质疑。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2.2供应商认为谈判文件、采购过程和采购结果使自己的权益受到损害的，可以在知道或应知其权益受到损害之日起七个工作日内，以书面形式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对可以质疑的谈判文件提出质疑的，为收到谈判文件之日或者谈判文件公告期限届满之日；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采购人质疑接收人及联系方式，见谈判文件第一部分。</w:t>
      </w:r>
      <w:r/>
    </w:p>
    <w:p>
      <w:pPr>
        <w:ind w:firstLine="560"/>
        <w:spacing w:line="500" w:lineRule="exact"/>
        <w:rPr>
          <w:rFonts w:hint="eastAsia"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未参加谈判活动的供应商或在谈判活动中自身权益未受到损害的供应商所提出的质疑。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2.5.4供应商组成联合体参加谈判，联合体中任何一方或多方未按要求签字、盖章、加盖公章的质疑。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513029236"/>
      <w:r/>
      <w:bookmarkStart w:id="84" w:name="_Toc16938552"/>
      <w:r/>
      <w:bookmarkStart w:id="85" w:name="_Toc20823308"/>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16938553"/>
      <w:r/>
      <w:bookmarkStart w:id="87" w:name="_Toc513029237"/>
      <w:r/>
      <w:bookmarkStart w:id="88" w:name="_Toc20823309"/>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6"/>
      <w:r/>
      <w:bookmarkEnd w:id="87"/>
      <w:r/>
      <w:bookmarkEnd w:id="88"/>
      <w:r/>
      <w:r/>
    </w:p>
    <w:p>
      <w:pPr>
        <w:pStyle w:val="866"/>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pStyle w:val="866"/>
        <w:ind w:firstLine="548"/>
        <w:jc w:val="both"/>
        <w:spacing w:line="500" w:lineRule="exact"/>
        <w:rPr>
          <w:rFonts w:eastAsia="方正仿宋_GBK"/>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中标供应商可凭政府采购合同办理融资贷款，详情请见江苏政府采购网“政采贷”专栏。</w:t>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宋体" w:hAnsi="宋体"/>
          <w:b/>
          <w:sz w:val="36"/>
          <w:szCs w:val="36"/>
        </w:rPr>
        <w:outlineLvl w:val="0"/>
      </w:pPr>
      <w:r>
        <w:rPr>
          <w:rFonts w:hint="eastAsia" w:ascii="宋体" w:hAnsi="宋体"/>
          <w:b/>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eastAsia="方正仿宋_GBK"/>
          <w:b/>
          <w:sz w:val="28"/>
          <w:szCs w:val="28"/>
        </w:rPr>
      </w:pPr>
      <w:r>
        <w:rPr>
          <w:rFonts w:hint="eastAsia" w:eastAsia="方正仿宋_GBK"/>
          <w:b/>
          <w:sz w:val="28"/>
          <w:szCs w:val="28"/>
        </w:rPr>
        <w:t xml:space="preserve">有关要求说明：</w:t>
      </w:r>
      <w:r/>
    </w:p>
    <w:p>
      <w:pPr>
        <w:ind w:firstLine="562"/>
        <w:spacing w:line="500" w:lineRule="exact"/>
        <w:rPr>
          <w:rFonts w:hint="eastAsia" w:eastAsia="方正仿宋_GBK"/>
          <w:b/>
          <w:sz w:val="28"/>
          <w:szCs w:val="28"/>
        </w:rPr>
      </w:pPr>
      <w:r>
        <w:rPr>
          <w:rFonts w:hint="eastAsia" w:eastAsia="方正仿宋_GBK"/>
          <w:b/>
          <w:sz w:val="28"/>
          <w:szCs w:val="28"/>
        </w:rPr>
        <w:t xml:space="preserve">1. 关于节能产品和环境标志产品：</w:t>
      </w:r>
      <w:r/>
    </w:p>
    <w:p>
      <w:pPr>
        <w:ind w:firstLine="560"/>
        <w:spacing w:line="500" w:lineRule="exact"/>
        <w:rPr>
          <w:rFonts w:hint="eastAsia" w:eastAsia="方正仿宋_GBK"/>
          <w:bCs/>
          <w:sz w:val="28"/>
          <w:szCs w:val="28"/>
        </w:rPr>
      </w:pPr>
      <w:r>
        <w:rPr>
          <w:rFonts w:hint="eastAsia" w:eastAsia="方正仿宋_GBK"/>
          <w:bCs/>
          <w:sz w:val="28"/>
          <w:szCs w:val="28"/>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p>
    <w:p>
      <w:pPr>
        <w:ind w:firstLine="560"/>
        <w:spacing w:line="500" w:lineRule="exact"/>
        <w:rPr>
          <w:rFonts w:hint="eastAsia" w:eastAsia="方正仿宋_GBK"/>
          <w:bCs/>
          <w:sz w:val="28"/>
          <w:szCs w:val="28"/>
        </w:rPr>
      </w:pPr>
      <w:r>
        <w:rPr>
          <w:rFonts w:hint="eastAsia" w:eastAsia="方正仿宋_GBK"/>
          <w:bCs/>
          <w:sz w:val="28"/>
          <w:szCs w:val="28"/>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p>
    <w:p>
      <w:pPr>
        <w:ind w:firstLine="562"/>
        <w:spacing w:line="500" w:lineRule="exact"/>
        <w:rPr>
          <w:rFonts w:hint="eastAsia" w:eastAsia="方正仿宋_GBK"/>
          <w:b/>
          <w:sz w:val="28"/>
          <w:szCs w:val="28"/>
        </w:rPr>
      </w:pPr>
      <w:r>
        <w:rPr>
          <w:rFonts w:hint="eastAsia" w:eastAsia="方正仿宋_GBK"/>
          <w:b/>
          <w:sz w:val="28"/>
          <w:szCs w:val="28"/>
        </w:rPr>
        <w:t xml:space="preserve">2.关于参照品牌：</w:t>
      </w:r>
      <w:r/>
    </w:p>
    <w:p>
      <w:pPr>
        <w:ind w:firstLine="560"/>
        <w:spacing w:line="500" w:lineRule="exact"/>
        <w:rPr>
          <w:rFonts w:eastAsia="方正仿宋_GBK"/>
          <w:sz w:val="28"/>
          <w:szCs w:val="28"/>
        </w:rPr>
      </w:pPr>
      <w:r>
        <w:rPr>
          <w:rFonts w:hint="eastAsia" w:eastAsia="方正仿宋_GBK"/>
          <w:sz w:val="28"/>
          <w:szCs w:val="28"/>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ind w:firstLine="280"/>
        <w:spacing w:line="500" w:lineRule="exact"/>
        <w:rPr>
          <w:rFonts w:hint="eastAsia" w:ascii="黑体" w:hAnsi="黑体" w:eastAsia="黑体"/>
          <w:sz w:val="28"/>
          <w:szCs w:val="28"/>
        </w:rPr>
      </w:pPr>
      <w:r>
        <w:rPr>
          <w:rFonts w:hint="eastAsia" w:ascii="黑体" w:hAnsi="黑体" w:eastAsia="黑体"/>
          <w:sz w:val="28"/>
          <w:szCs w:val="28"/>
        </w:rPr>
        <w:t xml:space="preserve">（一）技术要求：</w:t>
      </w:r>
      <w:r/>
    </w:p>
    <w:p>
      <w:pPr>
        <w:ind w:left="63" w:right="63" w:firstLine="420"/>
        <w:spacing w:line="480" w:lineRule="exact"/>
        <w:rPr>
          <w:rFonts w:hint="eastAsia" w:ascii="仿宋" w:hAnsi="仿宋" w:eastAsia="仿宋"/>
          <w:sz w:val="28"/>
          <w:szCs w:val="28"/>
        </w:rPr>
      </w:pPr>
      <w:r>
        <w:rPr>
          <w:rFonts w:hint="eastAsia" w:ascii="仿宋" w:hAnsi="仿宋" w:eastAsia="仿宋"/>
          <w:sz w:val="28"/>
          <w:szCs w:val="28"/>
        </w:rPr>
        <w:t xml:space="preserve">1.采购设备清单：本次采购的是科创中心电梯采购项目所需电梯设备采购及安装相关服务。</w:t>
      </w:r>
      <w:r/>
    </w:p>
    <w:p>
      <w:pPr>
        <w:ind w:left="63" w:right="63" w:firstLine="420"/>
        <w:spacing w:line="480" w:lineRule="exact"/>
        <w:rPr>
          <w:rFonts w:hint="eastAsia" w:ascii="仿宋" w:hAnsi="仿宋" w:eastAsia="仿宋"/>
          <w:sz w:val="28"/>
          <w:szCs w:val="28"/>
        </w:rPr>
      </w:pPr>
      <w:r>
        <w:rPr>
          <w:rFonts w:hint="eastAsia" w:ascii="仿宋" w:hAnsi="仿宋" w:eastAsia="仿宋"/>
          <w:sz w:val="28"/>
          <w:szCs w:val="28"/>
        </w:rPr>
        <w:t xml:space="preserve">2.采购内容：所需1台客梯、2台货梯设备、材料、随机备品配件及专用工具，运抵买方工地现场，负责安装、调试，直至买、卖双方及买方所在地市场监督部门共同验收合格，并颁发使用许可证，交付买方使用，即交钥匙工程。</w:t>
      </w:r>
      <w:r/>
    </w:p>
    <w:p>
      <w:pPr>
        <w:ind w:left="63" w:right="63" w:firstLine="420"/>
        <w:spacing w:line="480" w:lineRule="exact"/>
        <w:rPr>
          <w:rFonts w:hint="eastAsia" w:ascii="仿宋" w:hAnsi="仿宋" w:eastAsia="仿宋"/>
          <w:sz w:val="28"/>
          <w:szCs w:val="28"/>
        </w:rPr>
      </w:pPr>
      <w:r>
        <w:rPr>
          <w:rFonts w:hint="eastAsia" w:ascii="仿宋" w:hAnsi="仿宋" w:eastAsia="仿宋"/>
          <w:sz w:val="28"/>
          <w:szCs w:val="28"/>
        </w:rPr>
        <w:t xml:space="preserve">客梯井道外侧设有封闭围护墙体，墙体遮挡井道工作面，电梯设备进场、安装、调试前必须完整拆除该墙体。货梯部分为老旧货梯更新改造，现场原有旧货梯全套设备全部由成交供应商负责拆除、清运、处置回收。同步完成拆除区域场地复原、洞口临时安全防护、周边地面墙面破损修补复原等全部配套工作。</w:t>
      </w:r>
      <w:r/>
    </w:p>
    <w:p>
      <w:pPr>
        <w:ind w:firstLine="560"/>
        <w:jc w:val="left"/>
        <w:spacing w:line="460" w:lineRule="exact"/>
        <w:widowControl/>
        <w:rPr>
          <w:rFonts w:hint="eastAsia" w:ascii="仿宋" w:hAnsi="仿宋" w:eastAsia="仿宋" w:cs="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cs="仿宋"/>
          <w:sz w:val="28"/>
          <w:szCs w:val="28"/>
          <w:highlight w:val="none"/>
        </w:rPr>
        <w:t xml:space="preserve">推荐品牌</w:t>
      </w:r>
      <w:r/>
    </w:p>
    <w:p>
      <w:pPr>
        <w:ind w:firstLine="560"/>
        <w:spacing w:line="50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本项目客梯、货梯推荐品牌：杭西奥、巨人通力、东芝、西子</w:t>
      </w:r>
      <w:r/>
    </w:p>
    <w:p>
      <w:pPr>
        <w:ind w:left="63" w:right="63" w:firstLine="420"/>
        <w:spacing w:line="480" w:lineRule="exact"/>
        <w:rPr>
          <w:rFonts w:hint="eastAsia" w:ascii="仿宋" w:hAnsi="仿宋" w:eastAsia="仿宋"/>
          <w:sz w:val="28"/>
          <w:szCs w:val="28"/>
        </w:rPr>
      </w:pPr>
      <w:r>
        <w:rPr>
          <w:rFonts w:hint="eastAsia" w:ascii="仿宋" w:hAnsi="仿宋" w:eastAsia="仿宋"/>
          <w:sz w:val="28"/>
          <w:szCs w:val="28"/>
        </w:rPr>
        <w:t xml:space="preserve">4.技术规格、参数</w:t>
      </w:r>
      <w:r/>
    </w:p>
    <w:p>
      <w:pPr>
        <w:ind w:left="63" w:right="63" w:firstLine="420"/>
        <w:spacing w:line="480" w:lineRule="exact"/>
        <w:rPr>
          <w:rFonts w:hint="eastAsia" w:ascii="仿宋" w:hAnsi="仿宋" w:eastAsia="仿宋"/>
          <w:sz w:val="28"/>
          <w:szCs w:val="28"/>
        </w:rPr>
      </w:pPr>
      <w:r>
        <w:rPr>
          <w:rFonts w:hint="eastAsia" w:ascii="仿宋" w:hAnsi="仿宋" w:eastAsia="仿宋"/>
          <w:sz w:val="28"/>
          <w:szCs w:val="28"/>
        </w:rPr>
        <w:t xml:space="preserve">客梯：</w:t>
      </w:r>
      <w:r/>
    </w:p>
    <w:tbl>
      <w:tblPr>
        <w:tblStyle w:val="868"/>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2497"/>
        <w:gridCol w:w="1037"/>
        <w:gridCol w:w="151"/>
        <w:gridCol w:w="569"/>
        <w:gridCol w:w="4536"/>
      </w:tblGrid>
      <w:tr>
        <w:trPr>
          <w:cantSplit/>
          <w:trHeight w:val="280"/>
        </w:trPr>
        <w:tc>
          <w:tcPr>
            <w:gridSpan w:val="6"/>
            <w:tcW w:w="9356" w:type="dxa"/>
            <w:vAlign w:val="center"/>
            <w:textDirection w:val="lrTb"/>
            <w:noWrap w:val="false"/>
          </w:tcPr>
          <w:p>
            <w:pPr>
              <w:spacing w:after="120"/>
              <w:rPr>
                <w:rFonts w:hint="eastAsia" w:ascii="仿宋" w:hAnsi="仿宋" w:eastAsia="仿宋" w:cs="仿宋"/>
                <w:sz w:val="24"/>
              </w:rPr>
            </w:pPr>
            <w:r>
              <w:rPr>
                <w:rFonts w:hint="eastAsia" w:ascii="宋体" w:hAnsi="宋体" w:cs="宋体"/>
                <w:lang w:bidi="mn-Mong-CN"/>
              </w:rPr>
              <w:t xml:space="preserve">★</w:t>
            </w:r>
            <w:r>
              <w:rPr>
                <w:rFonts w:hint="eastAsia" w:ascii="仿宋" w:hAnsi="仿宋" w:eastAsia="仿宋" w:cs="仿宋"/>
                <w:sz w:val="24"/>
              </w:rPr>
              <w:t xml:space="preserve">主要参数：</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产品名称:</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有机房电梯(兼无障碍电梯)</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highlight w:val="none"/>
              </w:rPr>
            </w:pPr>
            <w:r>
              <w:rPr>
                <w:rFonts w:hint="eastAsia" w:ascii="宋体" w:hAnsi="宋体" w:cs="宋体"/>
                <w:highlight w:val="none"/>
                <w:lang w:bidi="mn-Mong-CN"/>
              </w:rPr>
              <w:t xml:space="preserve">★</w:t>
            </w:r>
            <w:r>
              <w:rPr>
                <w:rFonts w:hint="eastAsia" w:ascii="仿宋" w:hAnsi="仿宋" w:eastAsia="仿宋" w:cs="仿宋"/>
                <w:sz w:val="24"/>
                <w:highlight w:val="none"/>
              </w:rPr>
              <w:t xml:space="preserve">额定速度:</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hint="eastAsia" w:ascii="仿宋" w:hAnsi="仿宋" w:eastAsia="仿宋" w:cs="仿宋"/>
                <w:sz w:val="24"/>
                <w:highlight w:val="none"/>
              </w:rPr>
            </w:pPr>
            <w:r>
              <w:rPr>
                <w:rFonts w:hint="eastAsia" w:ascii="Times New Roman" w:eastAsia="宋体"/>
                <w:highlight w:val="none"/>
                <w:lang w:val="en-US" w:eastAsia="zh-CN"/>
              </w:rPr>
              <w:t xml:space="preserve">≥</w:t>
            </w:r>
            <w:r>
              <w:rPr>
                <w:rFonts w:hint="eastAsia" w:ascii="仿宋" w:hAnsi="仿宋" w:eastAsia="仿宋" w:cs="仿宋"/>
                <w:sz w:val="24"/>
                <w:highlight w:val="none"/>
              </w:rPr>
              <w:t xml:space="preserve">1.0m/s</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highlight w:val="none"/>
              </w:rPr>
            </w:pPr>
            <w:r>
              <w:rPr>
                <w:rFonts w:hint="eastAsia" w:ascii="宋体" w:hAnsi="宋体" w:cs="宋体"/>
                <w:highlight w:val="none"/>
                <w:lang w:bidi="mn-Mong-CN"/>
              </w:rPr>
              <w:t xml:space="preserve">★</w:t>
            </w:r>
            <w:r>
              <w:rPr>
                <w:rFonts w:hint="eastAsia" w:ascii="仿宋" w:hAnsi="仿宋" w:eastAsia="仿宋" w:cs="仿宋"/>
                <w:sz w:val="24"/>
                <w:highlight w:val="none"/>
              </w:rPr>
              <w:t xml:space="preserve">额定载重:</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hint="eastAsia" w:ascii="仿宋" w:hAnsi="仿宋" w:eastAsia="仿宋" w:cs="仿宋"/>
                <w:sz w:val="24"/>
                <w:highlight w:val="none"/>
              </w:rPr>
            </w:pPr>
            <w:r>
              <w:rPr>
                <w:rFonts w:hint="eastAsia" w:ascii="Times New Roman" w:eastAsia="宋体"/>
                <w:highlight w:val="none"/>
                <w:lang w:val="en-US" w:eastAsia="zh-CN"/>
              </w:rPr>
              <w:t xml:space="preserve">≥</w:t>
            </w:r>
            <w:r>
              <w:rPr>
                <w:rFonts w:hint="eastAsia" w:ascii="仿宋" w:hAnsi="仿宋" w:eastAsia="仿宋" w:cs="仿宋"/>
                <w:sz w:val="24"/>
                <w:highlight w:val="none"/>
              </w:rPr>
              <w:t xml:space="preserve">1000kg</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rPr>
            </w:pPr>
            <w:r>
              <w:rPr>
                <w:rFonts w:hint="eastAsia" w:ascii="宋体" w:hAnsi="宋体" w:cs="宋体"/>
                <w:lang w:bidi="mn-Mong-CN"/>
              </w:rPr>
              <w:t xml:space="preserve">★</w:t>
            </w:r>
            <w:r>
              <w:rPr>
                <w:rFonts w:hint="eastAsia" w:ascii="仿宋" w:hAnsi="仿宋" w:eastAsia="仿宋" w:cs="仿宋"/>
                <w:sz w:val="24"/>
              </w:rPr>
              <w:t xml:space="preserve">停站层数及厅门数量:</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ascii="仿宋" w:hAnsi="仿宋" w:eastAsia="仿宋" w:cs="仿宋"/>
                <w:sz w:val="24"/>
              </w:rPr>
            </w:pPr>
            <w:r>
              <w:rPr>
                <w:rFonts w:hint="eastAsia" w:ascii="仿宋" w:hAnsi="仿宋" w:eastAsia="仿宋" w:cs="仿宋"/>
                <w:sz w:val="24"/>
              </w:rPr>
              <w:t xml:space="preserve">3/3/3</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rPr>
            </w:pPr>
            <w:r>
              <w:rPr>
                <w:rFonts w:hint="eastAsia" w:ascii="宋体" w:hAnsi="宋体" w:cs="宋体"/>
                <w:lang w:bidi="mn-Mong-CN"/>
              </w:rPr>
              <w:t xml:space="preserve">★</w:t>
            </w:r>
            <w:r>
              <w:rPr>
                <w:rFonts w:hint="eastAsia" w:ascii="仿宋" w:hAnsi="仿宋" w:eastAsia="仿宋" w:cs="仿宋"/>
                <w:sz w:val="24"/>
              </w:rPr>
              <w:t xml:space="preserve">基站:</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1层</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rPr>
            </w:pPr>
            <w:r>
              <w:rPr>
                <w:rFonts w:hint="eastAsia" w:ascii="宋体" w:hAnsi="宋体" w:cs="宋体"/>
                <w:lang w:bidi="mn-Mong-CN"/>
              </w:rPr>
              <w:t xml:space="preserve">★</w:t>
            </w:r>
            <w:r>
              <w:rPr>
                <w:rFonts w:hint="eastAsia" w:ascii="仿宋" w:hAnsi="仿宋" w:eastAsia="仿宋" w:cs="仿宋"/>
                <w:sz w:val="24"/>
              </w:rPr>
              <w:t xml:space="preserve">驱动方式:</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shd w:val="clear" w:color="auto" w:fill="ffffff"/>
              </w:rPr>
              <w:t xml:space="preserve">永磁同步无齿轮曳引机</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7</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井道尺寸:HW×HD</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2200*2200mm</w:t>
            </w:r>
            <w:r/>
          </w:p>
        </w:tc>
      </w:tr>
      <w:tr>
        <w:trPr>
          <w:cantSplit/>
          <w:trHeight w:val="280"/>
        </w:trPr>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8</w:t>
            </w:r>
            <w:r/>
          </w:p>
        </w:tc>
        <w:tc>
          <w:tcPr>
            <w:tcBorders>
              <w:top w:val="single" w:color="auto" w:sz="4" w:space="0"/>
              <w:left w:val="single" w:color="auto" w:sz="4" w:space="0"/>
              <w:bottom w:val="single" w:color="auto" w:sz="4" w:space="0"/>
              <w:right w:val="single" w:color="auto" w:sz="4" w:space="0"/>
            </w:tcBorders>
            <w:tcW w:w="2497"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底坑深度:</w:t>
            </w:r>
            <w:r/>
          </w:p>
        </w:tc>
        <w:tc>
          <w:tcPr>
            <w:gridSpan w:val="4"/>
            <w:tcBorders>
              <w:top w:val="single" w:color="auto" w:sz="4" w:space="0"/>
              <w:left w:val="single" w:color="auto" w:sz="4" w:space="0"/>
              <w:bottom w:val="single" w:color="auto" w:sz="4" w:space="0"/>
              <w:right w:val="single" w:color="auto" w:sz="4" w:space="0"/>
            </w:tcBorders>
            <w:tcW w:w="6293" w:type="dxa"/>
            <w:vAlign w:val="center"/>
            <w:textDirection w:val="lrTb"/>
            <w:noWrap w:val="false"/>
          </w:tcPr>
          <w:p>
            <w:pPr>
              <w:spacing w:line="360" w:lineRule="exact"/>
              <w:rPr>
                <w:rFonts w:hint="eastAsia" w:ascii="仿宋" w:hAnsi="仿宋" w:eastAsia="仿宋" w:cs="仿宋"/>
                <w:sz w:val="24"/>
              </w:rPr>
            </w:pPr>
            <w:r>
              <w:rPr>
                <w:rFonts w:hint="eastAsia" w:ascii="仿宋" w:hAnsi="仿宋" w:eastAsia="仿宋" w:cs="仿宋"/>
                <w:sz w:val="24"/>
              </w:rPr>
              <w:t xml:space="preserve">1600mm</w:t>
            </w:r>
            <w:r/>
          </w:p>
        </w:tc>
      </w:tr>
      <w:tr>
        <w:trPr>
          <w:cantSplit/>
          <w:trHeight w:val="354"/>
        </w:trPr>
        <w:tc>
          <w:tcPr>
            <w:tcW w:w="566" w:type="dxa"/>
            <w:vAlign w:val="center"/>
            <w:vMerge w:val="restart"/>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9</w:t>
            </w:r>
            <w:r/>
          </w:p>
        </w:tc>
        <w:tc>
          <w:tcPr>
            <w:tcW w:w="2497" w:type="dxa"/>
            <w:vAlign w:val="center"/>
            <w:vMerge w:val="restart"/>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轿厢内部装饰:</w:t>
            </w:r>
            <w:r/>
          </w:p>
        </w:tc>
        <w:tc>
          <w:tcPr>
            <w:tcW w:w="1037"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轿顶</w:t>
            </w:r>
            <w:r/>
          </w:p>
        </w:tc>
        <w:tc>
          <w:tcPr>
            <w:gridSpan w:val="3"/>
            <w:tcW w:w="5256"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豪华高亮天花板吊顶，有足够亮度的照明 (具体方案由买方与中标人签订合同时商定)。隐藏式风扇，轿厢灯及风机具有自动节能功能</w:t>
            </w:r>
            <w:r/>
          </w:p>
        </w:tc>
      </w:tr>
      <w:tr>
        <w:trPr>
          <w:cantSplit/>
          <w:trHeight w:val="9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tcW w:w="1037"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轿厢壁</w:t>
            </w:r>
            <w:r/>
          </w:p>
        </w:tc>
        <w:tc>
          <w:tcPr>
            <w:gridSpan w:val="3"/>
            <w:tcW w:w="5256"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发纹不锈钢板，轿厢壁方案及轿厢壁装修由买方与中标人签订合同时商定，投标人应充分考虑可能增加的费用，因方案改变增加的费用不予调整</w:t>
            </w:r>
            <w:r/>
          </w:p>
        </w:tc>
      </w:tr>
      <w:tr>
        <w:trPr>
          <w:cantSplit/>
          <w:trHeight w:val="9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tcW w:w="1037"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轿厢前置板</w:t>
            </w:r>
            <w:r/>
          </w:p>
        </w:tc>
        <w:tc>
          <w:tcPr>
            <w:gridSpan w:val="3"/>
            <w:tcW w:w="5256"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发纹不锈钢板</w:t>
            </w:r>
            <w:r/>
          </w:p>
        </w:tc>
      </w:tr>
      <w:tr>
        <w:trPr>
          <w:cantSplit/>
          <w:trHeight w:val="9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tcW w:w="1037" w:type="dxa"/>
            <w:vAlign w:val="center"/>
            <w:textDirection w:val="lrTb"/>
            <w:noWrap w:val="false"/>
          </w:tcPr>
          <w:p>
            <w:pPr>
              <w:spacing w:line="340" w:lineRule="exact"/>
              <w:rPr>
                <w:rFonts w:ascii="仿宋" w:hAnsi="仿宋" w:eastAsia="仿宋" w:cs="仿宋"/>
                <w:sz w:val="24"/>
              </w:rPr>
            </w:pPr>
            <w:r>
              <w:rPr>
                <w:rFonts w:hint="eastAsia" w:ascii="仿宋" w:hAnsi="仿宋" w:eastAsia="仿宋" w:cs="仿宋"/>
                <w:sz w:val="24"/>
              </w:rPr>
              <w:t xml:space="preserve">轿门</w:t>
            </w:r>
            <w:r/>
          </w:p>
        </w:tc>
        <w:tc>
          <w:tcPr>
            <w:gridSpan w:val="3"/>
            <w:tcW w:w="5256"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发纹不锈钢板 轿厢门带有光幕保护系统</w:t>
            </w:r>
            <w:r/>
          </w:p>
        </w:tc>
      </w:tr>
      <w:tr>
        <w:trPr>
          <w:cantSplit/>
          <w:trHeight w:val="351"/>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tcW w:w="1037"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地板</w:t>
            </w:r>
            <w:r/>
          </w:p>
        </w:tc>
        <w:tc>
          <w:tcPr>
            <w:gridSpan w:val="3"/>
            <w:tcW w:w="5256"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耐磨PVC</w:t>
            </w:r>
            <w:r/>
          </w:p>
        </w:tc>
      </w:tr>
      <w:tr>
        <w:trPr>
          <w:cantSplit/>
          <w:trHeight w:val="351"/>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tcW w:w="1037"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操作箱</w:t>
            </w:r>
            <w:r/>
          </w:p>
        </w:tc>
        <w:tc>
          <w:tcPr>
            <w:gridSpan w:val="3"/>
            <w:tcW w:w="5256"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采用LED显示可以显示电梯的位置、运行方向</w:t>
            </w:r>
            <w:r/>
          </w:p>
        </w:tc>
      </w:tr>
      <w:tr>
        <w:trPr>
          <w:cantSplit/>
          <w:trHeight w:val="28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gridSpan w:val="4"/>
            <w:tcW w:w="6293"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隐藏式对讲机，五方对讲（控制室至电梯机房线缆及安装由弱电负责）。</w:t>
            </w:r>
            <w:r/>
          </w:p>
        </w:tc>
      </w:tr>
      <w:tr>
        <w:trPr>
          <w:cantSplit/>
          <w:trHeight w:val="28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gridSpan w:val="4"/>
            <w:tcW w:w="6293"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中文标示铭牌（原品牌）、用途、限乘人数、限载重量。</w:t>
            </w:r>
            <w:r/>
          </w:p>
        </w:tc>
      </w:tr>
      <w:tr>
        <w:trPr>
          <w:cantSplit/>
          <w:trHeight w:val="28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gridSpan w:val="4"/>
            <w:tcW w:w="6293"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按钮：采用微触按钮，具有停靠层数相同的楼层按钮，微型动态发光二极管按钮照明；开关门按钮各一付，并以图形表示；黄色紧急呼叫按钮；层站呼叫，轿内显示功能。</w:t>
            </w:r>
            <w:r/>
          </w:p>
        </w:tc>
      </w:tr>
      <w:tr>
        <w:trPr>
          <w:cantSplit/>
          <w:trHeight w:val="28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gridSpan w:val="4"/>
            <w:tcW w:w="6293"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电梯轿厢内预留电子钥匙及监控位</w:t>
            </w:r>
            <w:r/>
          </w:p>
        </w:tc>
      </w:tr>
      <w:tr>
        <w:trPr>
          <w:cantSplit/>
          <w:trHeight w:val="280"/>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10</w:t>
            </w:r>
            <w:r/>
          </w:p>
        </w:tc>
        <w:tc>
          <w:tcPr>
            <w:tcW w:w="2497" w:type="dxa"/>
            <w:vAlign w:val="center"/>
            <w:textDirection w:val="lrTb"/>
            <w:noWrap w:val="false"/>
          </w:tcPr>
          <w:p>
            <w:pPr>
              <w:spacing w:line="340" w:lineRule="exact"/>
              <w:rPr>
                <w:rFonts w:ascii="仿宋" w:hAnsi="仿宋" w:eastAsia="仿宋" w:cs="仿宋"/>
                <w:sz w:val="24"/>
              </w:rPr>
            </w:pPr>
            <w:r>
              <w:rPr>
                <w:rFonts w:hint="eastAsia" w:ascii="仿宋" w:hAnsi="仿宋" w:eastAsia="仿宋" w:cs="仿宋"/>
                <w:sz w:val="24"/>
              </w:rPr>
              <w:t xml:space="preserve">无障碍功能</w:t>
            </w:r>
            <w:r/>
          </w:p>
        </w:tc>
        <w:tc>
          <w:tcPr>
            <w:gridSpan w:val="4"/>
            <w:tcW w:w="6293"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a.电梯门开启净宽度大于或等于0.8m.</w:t>
            </w:r>
            <w:r/>
          </w:p>
          <w:p>
            <w:pPr>
              <w:spacing w:line="340" w:lineRule="exact"/>
              <w:rPr>
                <w:rFonts w:hint="eastAsia" w:ascii="仿宋" w:hAnsi="仿宋" w:eastAsia="仿宋" w:cs="仿宋"/>
                <w:sz w:val="24"/>
              </w:rPr>
            </w:pPr>
            <w:r>
              <w:rPr>
                <w:rFonts w:hint="eastAsia" w:ascii="仿宋" w:hAnsi="仿宋" w:eastAsia="仿宋" w:cs="仿宋"/>
                <w:sz w:val="24"/>
              </w:rPr>
              <w:t xml:space="preserve">b.轿厢深度不小于1.10m.</w:t>
            </w:r>
            <w:r/>
          </w:p>
          <w:p>
            <w:pPr>
              <w:spacing w:line="340" w:lineRule="exact"/>
              <w:rPr>
                <w:rFonts w:hint="eastAsia" w:ascii="仿宋" w:hAnsi="仿宋" w:eastAsia="仿宋" w:cs="仿宋"/>
                <w:sz w:val="24"/>
              </w:rPr>
            </w:pPr>
            <w:r>
              <w:rPr>
                <w:rFonts w:hint="eastAsia" w:ascii="仿宋" w:hAnsi="仿宋" w:eastAsia="仿宋" w:cs="仿宋"/>
                <w:sz w:val="24"/>
              </w:rPr>
              <w:t xml:space="preserve">c.轿厢正面设置高度0.80-0.85m的扶手。</w:t>
            </w:r>
            <w:r/>
          </w:p>
          <w:p>
            <w:pPr>
              <w:spacing w:line="340" w:lineRule="exact"/>
              <w:rPr>
                <w:rFonts w:hint="eastAsia" w:ascii="仿宋" w:hAnsi="仿宋" w:eastAsia="仿宋" w:cs="仿宋"/>
                <w:sz w:val="24"/>
              </w:rPr>
            </w:pPr>
            <w:r>
              <w:rPr>
                <w:rFonts w:hint="eastAsia" w:ascii="仿宋" w:hAnsi="仿宋" w:eastAsia="仿宋" w:cs="仿宋"/>
                <w:sz w:val="24"/>
              </w:rPr>
              <w:t xml:space="preserve">d.轿厢侧面设置高0.90-1.10m带盲文的选层按钮。</w:t>
            </w:r>
            <w:r/>
          </w:p>
          <w:p>
            <w:pPr>
              <w:spacing w:line="340" w:lineRule="exact"/>
              <w:rPr>
                <w:rFonts w:hint="eastAsia" w:ascii="仿宋" w:hAnsi="仿宋" w:eastAsia="仿宋" w:cs="仿宋"/>
                <w:sz w:val="24"/>
              </w:rPr>
            </w:pPr>
            <w:r>
              <w:rPr>
                <w:rFonts w:hint="eastAsia" w:ascii="仿宋" w:hAnsi="仿宋" w:eastAsia="仿宋" w:cs="仿宋"/>
                <w:sz w:val="24"/>
              </w:rPr>
              <w:t xml:space="preserve">e.轿厢正面高0.90m处至顶部安装镜子或镜面不锈钢。</w:t>
            </w:r>
            <w:r/>
          </w:p>
          <w:p>
            <w:pPr>
              <w:spacing w:line="340" w:lineRule="exact"/>
              <w:rPr>
                <w:rFonts w:hint="eastAsia" w:ascii="仿宋" w:hAnsi="仿宋" w:eastAsia="仿宋" w:cs="仿宋"/>
                <w:sz w:val="24"/>
              </w:rPr>
            </w:pPr>
            <w:r>
              <w:rPr>
                <w:rFonts w:hint="eastAsia" w:ascii="仿宋" w:hAnsi="仿宋" w:eastAsia="仿宋" w:cs="仿宋"/>
                <w:sz w:val="24"/>
              </w:rPr>
              <w:t xml:space="preserve">f.轿厢上下运行及到达应有清晰显示和报层音响。</w:t>
            </w:r>
            <w:r/>
          </w:p>
        </w:tc>
      </w:tr>
      <w:tr>
        <w:trPr>
          <w:cantSplit/>
          <w:trHeight w:val="280"/>
        </w:trPr>
        <w:tc>
          <w:tcPr>
            <w:tcW w:w="566" w:type="dxa"/>
            <w:vAlign w:val="center"/>
            <w:vMerge w:val="restart"/>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11</w:t>
            </w:r>
            <w:r/>
          </w:p>
        </w:tc>
        <w:tc>
          <w:tcPr>
            <w:tcW w:w="2497" w:type="dxa"/>
            <w:vAlign w:val="center"/>
            <w:vMerge w:val="restart"/>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梯厅入口设计</w:t>
            </w:r>
            <w:r/>
          </w:p>
        </w:tc>
        <w:tc>
          <w:tcPr>
            <w:gridSpan w:val="4"/>
            <w:tcW w:w="6293" w:type="dxa"/>
            <w:vAlign w:val="center"/>
            <w:textDirection w:val="lrTb"/>
            <w:noWrap w:val="false"/>
          </w:tcPr>
          <w:p>
            <w:pPr>
              <w:spacing w:line="340" w:lineRule="exact"/>
              <w:rPr>
                <w:rFonts w:ascii="仿宋" w:hAnsi="仿宋" w:eastAsia="仿宋" w:cs="仿宋"/>
                <w:sz w:val="24"/>
              </w:rPr>
            </w:pPr>
            <w:r>
              <w:rPr>
                <w:rFonts w:ascii="仿宋" w:hAnsi="仿宋" w:eastAsia="仿宋" w:cs="仿宋"/>
                <w:sz w:val="24"/>
              </w:rPr>
              <w:t xml:space="preserve">门套：层层发纹不锈钢大小门套</w:t>
            </w:r>
            <w:r>
              <w:rPr>
                <w:rFonts w:hint="eastAsia" w:ascii="仿宋" w:hAnsi="仿宋" w:eastAsia="仿宋" w:cs="仿宋"/>
                <w:sz w:val="24"/>
              </w:rPr>
              <w:t xml:space="preserve">。</w:t>
            </w:r>
            <w:r/>
          </w:p>
        </w:tc>
      </w:tr>
      <w:tr>
        <w:trPr>
          <w:cantSplit/>
          <w:trHeight w:val="280"/>
        </w:trPr>
        <w:tc>
          <w:tcPr>
            <w:tcW w:w="566" w:type="dxa"/>
            <w:vAlign w:val="center"/>
            <w:vMerge w:val="continue"/>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gridSpan w:val="4"/>
            <w:tcW w:w="6293"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梯厅门（含厅门门框）：首层发纹不锈钢板，其余层喷漆钢板。</w:t>
            </w:r>
            <w:r/>
          </w:p>
        </w:tc>
      </w:tr>
      <w:tr>
        <w:trPr>
          <w:cantSplit/>
          <w:trHeight w:val="457"/>
        </w:trPr>
        <w:tc>
          <w:tcPr>
            <w:tcW w:w="566" w:type="dxa"/>
            <w:vAlign w:val="center"/>
            <w:vMerge w:val="continue"/>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tc>
        <w:tc>
          <w:tcPr>
            <w:tcW w:w="2497" w:type="dxa"/>
            <w:vAlign w:val="center"/>
            <w:vMerge w:val="continue"/>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r>
            <w:r/>
          </w:p>
        </w:tc>
        <w:tc>
          <w:tcPr>
            <w:gridSpan w:val="4"/>
            <w:tcW w:w="6293" w:type="dxa"/>
            <w:vAlign w:val="center"/>
            <w:textDirection w:val="lrTb"/>
            <w:noWrap w:val="false"/>
          </w:tcPr>
          <w:p>
            <w:pPr>
              <w:spacing w:line="340" w:lineRule="exact"/>
              <w:rPr>
                <w:rFonts w:hint="eastAsia" w:ascii="仿宋" w:hAnsi="仿宋" w:eastAsia="仿宋" w:cs="仿宋"/>
                <w:sz w:val="24"/>
              </w:rPr>
            </w:pPr>
            <w:r>
              <w:rPr>
                <w:rFonts w:hint="eastAsia" w:ascii="仿宋" w:hAnsi="仿宋" w:eastAsia="仿宋" w:cs="仿宋"/>
                <w:sz w:val="24"/>
              </w:rPr>
              <w:t xml:space="preserve">外呼显示：采用LCD液晶显示或者LED显示,发纹不锈钢面板。</w:t>
            </w:r>
            <w:r/>
          </w:p>
        </w:tc>
      </w:tr>
      <w:tr>
        <w:trPr>
          <w:cantSplit/>
          <w:trHeight w:val="457"/>
        </w:trPr>
        <w:tc>
          <w:tcPr>
            <w:gridSpan w:val="6"/>
            <w:tcW w:w="9356" w:type="dxa"/>
            <w:vAlign w:val="center"/>
            <w:textDirection w:val="lrTb"/>
            <w:noWrap w:val="false"/>
          </w:tcPr>
          <w:p>
            <w:pPr>
              <w:spacing w:line="340" w:lineRule="exact"/>
              <w:rPr>
                <w:rFonts w:hint="eastAsia" w:ascii="仿宋" w:hAnsi="仿宋" w:eastAsia="仿宋" w:cs="仿宋"/>
                <w:sz w:val="24"/>
              </w:rPr>
            </w:pPr>
            <w:r>
              <w:rPr>
                <w:rFonts w:hint="eastAsia" w:ascii="宋体" w:hAnsi="宋体" w:cs="宋体"/>
                <w:lang w:bidi="mn-Mong-CN"/>
              </w:rPr>
              <w:t xml:space="preserve">★</w:t>
            </w:r>
            <w:r>
              <w:rPr>
                <w:rFonts w:hint="eastAsia" w:ascii="仿宋" w:hAnsi="仿宋" w:eastAsia="仿宋" w:cs="仿宋"/>
                <w:sz w:val="24"/>
              </w:rPr>
              <w:t xml:space="preserve">基本功能</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修正运行</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32</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关门按钮</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马达过热保护</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33</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开门按钮</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电源相位故障监测</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34</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内呼快速关门</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驱动运行时间监察</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35</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外呼重新开门</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5</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电阻制动</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36</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光幕式安全门边</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6</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缓冲器安全触点(液压缓冲器时)</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37</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检修运行</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7</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门区指示灯</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38</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维修用开门按钮</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8</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救助运行功能</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39</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机房内呼按钮</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9</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轿厢内照明–自动</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40</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轿门触点</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10</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轿内风扇操作</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41</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轿门位置开关</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11</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轿厢称重装置</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42</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禁止开门开关</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12</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轿内照明监察</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43</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轿厢急停开关–底坑</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13</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制动电路</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44</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轿厢急停开关–控制柜</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bookmarkStart w:id="89" w:name="_Toc214373457"/>
            <w:r>
              <w:rPr>
                <w:rFonts w:hint="eastAsia" w:ascii="宋体" w:hAnsi="宋体" w:cs="宋体"/>
                <w:color w:val="000000"/>
                <w:sz w:val="24"/>
              </w:rPr>
              <w:t xml:space="preserve">14</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启动力矩</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45</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轿厢急停开关–轿顶</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15</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测速器故障计数（安全控制）</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46</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禁止外呼开关</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16</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按钮黏滞监察</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47</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限速器安全触点</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17</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取消轿厢虚假召唤</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48</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安全钳安全触点</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18</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反向内呼</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49</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轿厢限速器张紧安全开关</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19</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外呼互锁</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50</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警铃–轿顶</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20</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退出服务开关–厅外</w:t>
            </w:r>
            <w:r/>
          </w:p>
        </w:tc>
        <w:tc>
          <w:tcPr>
            <w:tcW w:w="569"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51</w:t>
            </w:r>
            <w:r/>
          </w:p>
        </w:tc>
        <w:tc>
          <w:tcPr>
            <w:tcW w:w="4536"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五方通话</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21</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主楼层停靠–门关</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52</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同步运行</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22</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满载不停站运行</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53</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轿厢应急照明–独立照明</w:t>
            </w:r>
            <w:bookmarkEnd w:id="89"/>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23</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下行高峰服务</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54</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轿厢位置指示</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24</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上下行高峰服务</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55</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运行方向指示</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25</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上行高峰服务</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56</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内呼登记显示</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26</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外呼登记显示</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57</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控制柜内轿厢位置指示</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27</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超载功能</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58</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消防员操作运行</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28</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启动计数器</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59</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消防迫降</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29</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随行电缆加数字信号接口</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60</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提前开门</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30</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驻停钥匙开关</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61</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紧急消防服务(自动)</w:t>
            </w:r>
            <w:r/>
          </w:p>
        </w:tc>
      </w:tr>
      <w:tr>
        <w:trPr>
          <w:trHeight w:val="436"/>
        </w:trPr>
        <w:tc>
          <w:tcPr>
            <w:tcW w:w="566" w:type="dxa"/>
            <w:vAlign w:val="center"/>
            <w:textDirection w:val="lrTb"/>
            <w:noWrap w:val="false"/>
          </w:tcPr>
          <w:p>
            <w:pPr>
              <w:jc w:val="center"/>
              <w:widowControl/>
              <w:rPr>
                <w:rFonts w:hint="eastAsia" w:ascii="仿宋" w:hAnsi="仿宋" w:eastAsia="仿宋" w:cs="仿宋"/>
                <w:sz w:val="24"/>
              </w:rPr>
            </w:pPr>
            <w:r>
              <w:rPr>
                <w:rFonts w:hint="eastAsia" w:ascii="宋体" w:hAnsi="宋体" w:cs="宋体"/>
                <w:color w:val="000000"/>
                <w:sz w:val="24"/>
              </w:rPr>
              <w:t xml:space="preserve">31</w:t>
            </w:r>
            <w:r/>
          </w:p>
        </w:tc>
        <w:tc>
          <w:tcPr>
            <w:gridSpan w:val="3"/>
            <w:tcW w:w="3685" w:type="dxa"/>
            <w:vAlign w:val="center"/>
            <w:textDirection w:val="lrTb"/>
            <w:noWrap w:val="false"/>
          </w:tcPr>
          <w:p>
            <w:pPr>
              <w:ind w:left="63" w:right="63"/>
              <w:spacing w:line="440" w:lineRule="exact"/>
              <w:rPr>
                <w:rFonts w:hint="eastAsia" w:ascii="仿宋" w:hAnsi="仿宋" w:eastAsia="仿宋"/>
                <w:sz w:val="24"/>
              </w:rPr>
            </w:pPr>
            <w:r>
              <w:rPr>
                <w:rFonts w:hint="eastAsia" w:ascii="仿宋" w:hAnsi="仿宋" w:eastAsia="仿宋"/>
                <w:sz w:val="24"/>
              </w:rPr>
              <w:t xml:space="preserve">语言安抚</w:t>
            </w:r>
            <w:r/>
          </w:p>
        </w:tc>
        <w:tc>
          <w:tcPr>
            <w:tcW w:w="569" w:type="dxa"/>
            <w:vAlign w:val="center"/>
            <w:textDirection w:val="lrTb"/>
            <w:noWrap w:val="false"/>
          </w:tcPr>
          <w:p>
            <w:pPr>
              <w:jc w:val="center"/>
              <w:widowControl/>
              <w:rPr>
                <w:rFonts w:ascii="仿宋" w:hAnsi="仿宋" w:eastAsia="仿宋" w:cs="仿宋"/>
                <w:sz w:val="24"/>
              </w:rPr>
            </w:pPr>
            <w:r>
              <w:rPr>
                <w:rFonts w:hint="eastAsia" w:ascii="宋体" w:hAnsi="宋体" w:cs="宋体"/>
                <w:color w:val="000000"/>
                <w:sz w:val="24"/>
              </w:rPr>
              <w:t xml:space="preserve">62</w:t>
            </w:r>
            <w:r/>
          </w:p>
        </w:tc>
        <w:tc>
          <w:tcPr>
            <w:tcW w:w="4536" w:type="dxa"/>
            <w:vAlign w:val="center"/>
            <w:textDirection w:val="lrTb"/>
            <w:noWrap w:val="false"/>
          </w:tcPr>
          <w:p>
            <w:pPr>
              <w:ind w:left="63" w:right="63"/>
              <w:spacing w:line="440" w:lineRule="exact"/>
              <w:rPr>
                <w:rFonts w:ascii="仿宋" w:hAnsi="仿宋" w:eastAsia="仿宋"/>
                <w:sz w:val="24"/>
              </w:rPr>
            </w:pPr>
            <w:r>
              <w:rPr>
                <w:rFonts w:hint="eastAsia" w:ascii="仿宋" w:hAnsi="仿宋" w:eastAsia="仿宋"/>
                <w:sz w:val="24"/>
              </w:rPr>
              <w:t xml:space="preserve">自动风扇</w:t>
            </w:r>
            <w:r/>
          </w:p>
        </w:tc>
      </w:tr>
    </w:tbl>
    <w:p>
      <w:pPr>
        <w:ind w:firstLine="560"/>
        <w:jc w:val="left"/>
        <w:spacing w:line="460" w:lineRule="exact"/>
        <w:widowControl/>
        <w:rPr>
          <w:rFonts w:hint="eastAsia" w:ascii="仿宋" w:hAnsi="仿宋" w:eastAsia="仿宋" w:cs="仿宋"/>
          <w:sz w:val="28"/>
          <w:szCs w:val="28"/>
        </w:rPr>
      </w:pPr>
      <w:r>
        <w:rPr>
          <w:rFonts w:hint="eastAsia" w:ascii="仿宋" w:hAnsi="仿宋" w:eastAsia="仿宋" w:cs="仿宋"/>
          <w:sz w:val="28"/>
          <w:szCs w:val="28"/>
        </w:rPr>
        <w:t xml:space="preserve">货梯：</w:t>
      </w:r>
      <w:r/>
    </w:p>
    <w:tbl>
      <w:tblPr>
        <w:tblStyle w:val="868"/>
        <w:tblW w:w="9345" w:type="dxa"/>
        <w:tblInd w:w="-29" w:type="dxa"/>
        <w:tblLayout w:type="fixed"/>
        <w:tblCellMar>
          <w:left w:w="108" w:type="dxa"/>
          <w:top w:w="0" w:type="dxa"/>
          <w:right w:w="108" w:type="dxa"/>
          <w:bottom w:w="0" w:type="dxa"/>
        </w:tblCellMar>
        <w:tblLook w:val="04A0" w:firstRow="1" w:lastRow="0" w:firstColumn="1" w:lastColumn="0" w:noHBand="0" w:noVBand="1"/>
      </w:tblPr>
      <w:tblGrid>
        <w:gridCol w:w="1298"/>
        <w:gridCol w:w="4023"/>
        <w:gridCol w:w="4024"/>
      </w:tblGrid>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sz w:val="24"/>
              </w:rPr>
              <w:t xml:space="preserve">电梯型式</w:t>
            </w:r>
            <w:r/>
          </w:p>
        </w:tc>
        <w:tc>
          <w:tcPr>
            <w:gridSpan w:val="2"/>
            <w:tcBorders>
              <w:top w:val="single" w:color="auto" w:sz="4" w:space="0"/>
              <w:left w:val="single" w:color="auto" w:sz="4" w:space="0"/>
              <w:bottom w:val="single" w:color="auto" w:sz="4" w:space="0"/>
              <w:right w:val="single" w:color="auto" w:sz="4" w:space="0"/>
            </w:tcBorders>
            <w:tcW w:w="804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sz w:val="24"/>
              </w:rPr>
              <w:t xml:space="preserve">有机房货梯</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楼号</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台量</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宋体" w:hAnsi="宋体" w:cs="宋体"/>
                <w:lang w:bidi="mn-Mong-CN"/>
              </w:rPr>
              <w:t xml:space="preserve">★</w:t>
            </w:r>
            <w:r>
              <w:rPr>
                <w:rFonts w:hint="eastAsia" w:ascii="仿宋" w:hAnsi="仿宋" w:eastAsia="仿宋" w:cs="仿宋"/>
                <w:sz w:val="24"/>
              </w:rPr>
              <w:t xml:space="preserve">调速方式</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sz w:val="24"/>
              </w:rPr>
              <w:t xml:space="preserve">变频变压调速</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sz w:val="24"/>
              </w:rPr>
              <w:t xml:space="preserve">变频变压调速</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宋体" w:hAnsi="宋体" w:cs="宋体"/>
                <w:lang w:bidi="mn-Mong-CN"/>
              </w:rPr>
              <w:t xml:space="preserve">★</w:t>
            </w:r>
            <w:r>
              <w:rPr>
                <w:rFonts w:hint="eastAsia" w:ascii="仿宋" w:hAnsi="仿宋" w:eastAsia="仿宋" w:cs="仿宋"/>
                <w:sz w:val="24"/>
              </w:rPr>
              <w:t xml:space="preserve">拖动系统</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sz w:val="24"/>
              </w:rPr>
              <w:t xml:space="preserve">交流变频变压无齿轮拖动系统</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sz w:val="24"/>
              </w:rPr>
              <w:t xml:space="preserve">交流变频变压无齿轮拖动系统</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宋体" w:hAnsi="宋体" w:cs="宋体"/>
                <w:lang w:bidi="mn-Mong-CN"/>
              </w:rPr>
              <w:t xml:space="preserve">★</w:t>
            </w:r>
            <w:r>
              <w:rPr>
                <w:rFonts w:hint="eastAsia" w:ascii="仿宋" w:hAnsi="仿宋" w:eastAsia="仿宋" w:cs="仿宋"/>
                <w:sz w:val="24"/>
              </w:rPr>
              <w:t xml:space="preserve">门机系统</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sz w:val="24"/>
              </w:rPr>
              <w:t xml:space="preserve">变频门机系统</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sz w:val="24"/>
              </w:rPr>
              <w:t xml:space="preserve">变频门机系统</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宋体" w:hAnsi="宋体" w:cs="宋体"/>
                <w:lang w:bidi="mn-Mong-CN"/>
              </w:rPr>
              <w:t xml:space="preserve">★</w:t>
            </w:r>
            <w:r>
              <w:rPr>
                <w:rFonts w:hint="eastAsia" w:ascii="仿宋" w:hAnsi="仿宋" w:eastAsia="仿宋" w:cs="仿宋"/>
                <w:color w:val="000000"/>
                <w:sz w:val="24"/>
              </w:rPr>
              <w:t xml:space="preserve">额定载重</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2000kg</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2000kg</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宋体" w:hAnsi="宋体" w:cs="宋体"/>
                <w:lang w:bidi="mn-Mong-CN"/>
              </w:rPr>
              <w:t xml:space="preserve">★</w:t>
            </w:r>
            <w:r>
              <w:rPr>
                <w:rFonts w:hint="eastAsia" w:ascii="仿宋" w:hAnsi="仿宋" w:eastAsia="仿宋" w:cs="仿宋"/>
                <w:color w:val="000000"/>
                <w:sz w:val="24"/>
              </w:rPr>
              <w:t xml:space="preserve">速度</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0.5m/s</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0.5m/s</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宋体" w:hAnsi="宋体" w:cs="宋体"/>
                <w:lang w:bidi="mn-Mong-CN"/>
              </w:rPr>
              <w:t xml:space="preserve">★</w:t>
            </w:r>
            <w:r>
              <w:rPr>
                <w:rFonts w:hint="eastAsia" w:ascii="仿宋" w:hAnsi="仿宋" w:eastAsia="仿宋" w:cs="仿宋"/>
                <w:color w:val="000000"/>
                <w:sz w:val="24"/>
              </w:rPr>
              <w:t xml:space="preserve">停站数</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3/3/3</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2/2/2</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基站</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井道尺寸</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宽2870mm × 深2870mm</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宽2870mm × 深2870mm</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开门尺寸</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宽1000mm × 高2100mm</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宽1000mm × 高2100mm</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提升高度</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8720mm</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4420mm</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底坑深度</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1400mm</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1400mm</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顶层高度</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4440mm</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4560mm</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开门方式</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旁开门</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旁开门</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轿厢整体装潢</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喷漆钢板</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喷漆钢板</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厅门</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喷漆钢板</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喷漆钢板</w:t>
            </w:r>
            <w:r/>
          </w:p>
        </w:tc>
      </w:tr>
      <w:tr>
        <w:trPr>
          <w:trHeight w:val="23"/>
        </w:trPr>
        <w:tc>
          <w:tcPr>
            <w:tcBorders>
              <w:top w:val="single" w:color="auto" w:sz="4" w:space="0"/>
              <w:left w:val="single" w:color="auto" w:sz="4" w:space="0"/>
              <w:bottom w:val="single" w:color="auto" w:sz="4" w:space="0"/>
              <w:right w:val="single" w:color="auto" w:sz="4" w:space="0"/>
            </w:tcBorders>
            <w:tcW w:w="1298"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地板</w:t>
            </w:r>
            <w:r/>
          </w:p>
        </w:tc>
        <w:tc>
          <w:tcPr>
            <w:tcBorders>
              <w:top w:val="single" w:color="auto" w:sz="4" w:space="0"/>
              <w:left w:val="single" w:color="auto" w:sz="4" w:space="0"/>
              <w:bottom w:val="single" w:color="auto" w:sz="4" w:space="0"/>
              <w:right w:val="single" w:color="auto" w:sz="4" w:space="0"/>
            </w:tcBorders>
            <w:tcW w:w="4023"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花纹钢板</w:t>
            </w:r>
            <w:r/>
          </w:p>
        </w:tc>
        <w:tc>
          <w:tcPr>
            <w:tcBorders>
              <w:top w:val="single" w:color="auto" w:sz="4" w:space="0"/>
              <w:left w:val="single" w:color="auto" w:sz="4" w:space="0"/>
              <w:bottom w:val="single" w:color="auto" w:sz="4" w:space="0"/>
              <w:right w:val="single" w:color="auto" w:sz="4" w:space="0"/>
            </w:tcBorders>
            <w:tcW w:w="4024" w:type="dxa"/>
            <w:vAlign w:val="center"/>
            <w:textDirection w:val="lrTb"/>
            <w:noWrap/>
          </w:tcPr>
          <w:p>
            <w:pPr>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花纹钢板</w:t>
            </w:r>
            <w:r/>
          </w:p>
        </w:tc>
      </w:tr>
    </w:tbl>
    <w:p>
      <w:pPr>
        <w:jc w:val="center"/>
        <w:rPr>
          <w:rFonts w:eastAsiaTheme="minorEastAsia"/>
          <w:b/>
          <w:sz w:val="28"/>
          <w:szCs w:val="28"/>
        </w:rPr>
        <w:outlineLvl w:val="1"/>
      </w:pPr>
      <w:r>
        <w:rPr>
          <w:rFonts w:hint="eastAsia" w:eastAsiaTheme="minorEastAsia"/>
          <w:b/>
          <w:sz w:val="28"/>
          <w:szCs w:val="28"/>
        </w:rPr>
        <w:t xml:space="preserve">货梯功能表</w:t>
      </w:r>
      <w:r/>
    </w:p>
    <w:p>
      <w:r/>
      <w:r/>
    </w:p>
    <w:tbl>
      <w:tblPr>
        <w:tblStyle w:val="8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8"/>
        <w:gridCol w:w="14"/>
        <w:gridCol w:w="19"/>
        <w:gridCol w:w="2080"/>
        <w:gridCol w:w="2143"/>
        <w:gridCol w:w="58"/>
        <w:gridCol w:w="2422"/>
      </w:tblGrid>
      <w:tr>
        <w:trPr>
          <w:jc w:val="center"/>
          <w:trHeight w:val="567"/>
        </w:trPr>
        <w:tc>
          <w:tcPr>
            <w:gridSpan w:val="8"/>
            <w:tcW w:w="5000"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b/>
                <w:sz w:val="24"/>
              </w:rPr>
              <w:t xml:space="preserve">一、</w:t>
            </w:r>
            <w:r>
              <w:rPr>
                <w:rFonts w:hint="eastAsia" w:ascii="宋体" w:hAnsi="宋体" w:cs="宋体"/>
                <w:lang w:bidi="mn-Mong-CN"/>
              </w:rPr>
              <w:t xml:space="preserve">★</w:t>
            </w:r>
            <w:r>
              <w:rPr>
                <w:rFonts w:hint="eastAsia" w:ascii="仿宋" w:hAnsi="仿宋" w:eastAsia="仿宋" w:cs="仿宋"/>
                <w:b/>
                <w:sz w:val="24"/>
              </w:rPr>
              <w:t xml:space="preserve">安全功能</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上行超速保护</w:t>
            </w:r>
            <w:r/>
          </w:p>
        </w:tc>
        <w:tc>
          <w:tcPr>
            <w:tcW w:w="1219"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缓冲器检测</w:t>
            </w:r>
            <w:r/>
          </w:p>
        </w:tc>
        <w:tc>
          <w:tcPr>
            <w:tcW w:w="1257"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电阻制动</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color w:val="000000"/>
                <w:sz w:val="24"/>
              </w:rPr>
              <w:t xml:space="preserve">机房内呼</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轿门检测</w:t>
            </w:r>
            <w:r/>
          </w:p>
        </w:tc>
        <w:tc>
          <w:tcPr>
            <w:tcW w:w="1219"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轿门限位</w:t>
            </w:r>
            <w:r/>
          </w:p>
        </w:tc>
        <w:tc>
          <w:tcPr>
            <w:tcW w:w="1257"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轿厢照明开关</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修正运行</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门锁检测</w:t>
            </w:r>
            <w:r/>
          </w:p>
        </w:tc>
        <w:tc>
          <w:tcPr>
            <w:tcW w:w="1219"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color w:val="000000"/>
                <w:sz w:val="24"/>
              </w:rPr>
              <w:t xml:space="preserve">禁止开门</w:t>
            </w:r>
            <w:r/>
          </w:p>
        </w:tc>
        <w:tc>
          <w:tcPr>
            <w:tcW w:w="1257"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下行超速保护</w:t>
            </w:r>
            <w:r/>
          </w:p>
        </w:tc>
        <w:tc>
          <w:tcPr>
            <w:gridSpan w:val="2"/>
            <w:tcW w:w="1455"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运行时间检测</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底坑急停</w:t>
            </w:r>
            <w:r/>
          </w:p>
        </w:tc>
        <w:tc>
          <w:tcPr>
            <w:tcW w:w="121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sz w:val="24"/>
              </w:rPr>
              <w:t xml:space="preserve">轿顶急停</w:t>
            </w:r>
            <w:r/>
          </w:p>
        </w:tc>
        <w:tc>
          <w:tcPr>
            <w:tcW w:w="1257"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通讯评价</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换站停靠</w:t>
            </w:r>
            <w:r/>
          </w:p>
        </w:tc>
      </w:tr>
      <w:tr>
        <w:trPr>
          <w:jc w:val="center"/>
          <w:trHeight w:val="567"/>
        </w:trPr>
        <w:tc>
          <w:tcPr>
            <w:gridSpan w:val="4"/>
            <w:tcW w:w="1068"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机房外呼</w:t>
            </w:r>
            <w:r/>
          </w:p>
        </w:tc>
        <w:tc>
          <w:tcPr>
            <w:tcW w:w="1219"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机房主开关</w:t>
            </w:r>
            <w:r/>
          </w:p>
        </w:tc>
        <w:tc>
          <w:tcPr>
            <w:tcW w:w="1257"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过热保护</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行程保护</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限速器安全开关</w:t>
            </w:r>
            <w:r/>
          </w:p>
        </w:tc>
        <w:tc>
          <w:tcPr>
            <w:tcW w:w="1219"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优先放人</w:t>
            </w:r>
            <w:r/>
          </w:p>
        </w:tc>
        <w:tc>
          <w:tcPr>
            <w:tcW w:w="1257"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相位检测</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重复开关门</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救援运行</w:t>
            </w:r>
            <w:r/>
          </w:p>
        </w:tc>
        <w:tc>
          <w:tcPr>
            <w:tcW w:w="1219"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故障自诊</w:t>
            </w:r>
            <w:r/>
          </w:p>
        </w:tc>
        <w:tc>
          <w:tcPr>
            <w:tcW w:w="1257"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安全钳安全开关</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故障分级</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轿厢限速器绳涨紧安全开关</w:t>
            </w:r>
            <w:r/>
          </w:p>
        </w:tc>
        <w:tc>
          <w:tcPr>
            <w:tcW w:w="1219" w:type="pct"/>
            <w:vAlign w:val="center"/>
            <w:textDirection w:val="lrTb"/>
            <w:noWrap w:val="false"/>
          </w:tcPr>
          <w:p>
            <w:pPr>
              <w:jc w:val="center"/>
              <w:spacing w:line="320" w:lineRule="exact"/>
              <w:rPr>
                <w:rFonts w:hint="eastAsia" w:ascii="仿宋" w:hAnsi="仿宋" w:eastAsia="仿宋" w:cs="仿宋"/>
                <w:sz w:val="24"/>
                <w:highlight w:val="yellow"/>
              </w:rPr>
            </w:pPr>
            <w:r>
              <w:rPr>
                <w:rFonts w:hint="eastAsia" w:ascii="仿宋" w:hAnsi="仿宋" w:eastAsia="仿宋" w:cs="仿宋"/>
                <w:sz w:val="24"/>
              </w:rPr>
              <w:t xml:space="preserve">轿厢意外移动防护</w:t>
            </w:r>
            <w:r/>
          </w:p>
        </w:tc>
        <w:tc>
          <w:tcPr>
            <w:tcW w:w="1257"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同步运行</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应急照明</w:t>
            </w:r>
            <w:r/>
          </w:p>
        </w:tc>
      </w:tr>
      <w:tr>
        <w:trPr>
          <w:jc w:val="center"/>
          <w:trHeight w:val="567"/>
        </w:trPr>
        <w:tc>
          <w:tcPr>
            <w:gridSpan w:val="4"/>
            <w:tcW w:w="1068"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应急电源</w:t>
            </w:r>
            <w:r/>
          </w:p>
        </w:tc>
        <w:tc>
          <w:tcPr>
            <w:tcW w:w="1219" w:type="pct"/>
            <w:vAlign w:val="center"/>
            <w:textDirection w:val="lrTb"/>
            <w:noWrap w:val="false"/>
          </w:tcPr>
          <w:p>
            <w:pPr>
              <w:jc w:val="center"/>
              <w:spacing w:line="320" w:lineRule="exact"/>
              <w:rPr>
                <w:rFonts w:hint="eastAsia" w:ascii="仿宋" w:hAnsi="仿宋" w:eastAsia="仿宋" w:cs="仿宋"/>
                <w:sz w:val="24"/>
                <w:highlight w:val="yellow"/>
              </w:rPr>
            </w:pPr>
            <w:r>
              <w:rPr>
                <w:rFonts w:hint="eastAsia" w:ascii="仿宋" w:hAnsi="仿宋" w:eastAsia="仿宋" w:cs="仿宋"/>
                <w:sz w:val="24"/>
              </w:rPr>
              <w:t xml:space="preserve">五方通话</w:t>
            </w:r>
            <w:r/>
          </w:p>
        </w:tc>
        <w:tc>
          <w:tcPr>
            <w:tcW w:w="1257"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t xml:space="preserve">消防功能</w:t>
            </w:r>
            <w:r/>
          </w:p>
        </w:tc>
        <w:tc>
          <w:tcPr>
            <w:gridSpan w:val="2"/>
            <w:tcW w:w="1455" w:type="pct"/>
            <w:vAlign w:val="center"/>
            <w:textDirection w:val="lrTb"/>
            <w:noWrap w:val="false"/>
          </w:tcPr>
          <w:p>
            <w:pPr>
              <w:jc w:val="center"/>
              <w:spacing w:line="320" w:lineRule="exact"/>
              <w:rPr>
                <w:rFonts w:hint="eastAsia" w:ascii="仿宋" w:hAnsi="仿宋" w:eastAsia="仿宋" w:cs="仿宋"/>
                <w:sz w:val="24"/>
              </w:rPr>
            </w:pPr>
            <w:r>
              <w:rPr>
                <w:rFonts w:hint="eastAsia" w:ascii="仿宋" w:hAnsi="仿宋" w:eastAsia="仿宋" w:cs="仿宋"/>
                <w:sz w:val="24"/>
              </w:rPr>
            </w:r>
            <w:r/>
          </w:p>
        </w:tc>
      </w:tr>
      <w:tr>
        <w:trPr>
          <w:jc w:val="center"/>
          <w:trHeight w:val="567"/>
        </w:trPr>
        <w:tc>
          <w:tcPr>
            <w:gridSpan w:val="8"/>
            <w:tcW w:w="5000"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b/>
                <w:sz w:val="24"/>
              </w:rPr>
              <w:t xml:space="preserve">二、</w:t>
            </w:r>
            <w:r>
              <w:rPr>
                <w:rFonts w:hint="eastAsia" w:ascii="宋体" w:hAnsi="宋体" w:cs="宋体"/>
                <w:lang w:bidi="mn-Mong-CN"/>
              </w:rPr>
              <w:t xml:space="preserve">★</w:t>
            </w:r>
            <w:r>
              <w:rPr>
                <w:rFonts w:hint="eastAsia" w:ascii="仿宋" w:hAnsi="仿宋" w:eastAsia="仿宋" w:cs="仿宋"/>
                <w:b/>
                <w:sz w:val="24"/>
              </w:rPr>
              <w:t xml:space="preserve">控制功能</w:t>
            </w:r>
            <w:r/>
          </w:p>
        </w:tc>
      </w:tr>
      <w:tr>
        <w:trPr>
          <w:jc w:val="center"/>
          <w:trHeight w:val="567"/>
        </w:trPr>
        <w:tc>
          <w:tcPr>
            <w:tcW w:w="1044"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开门延时</w:t>
            </w:r>
            <w:r/>
          </w:p>
        </w:tc>
        <w:tc>
          <w:tcPr>
            <w:gridSpan w:val="4"/>
            <w:tcW w:w="1244"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层站退出</w:t>
            </w:r>
            <w:r/>
          </w:p>
        </w:tc>
        <w:tc>
          <w:tcPr>
            <w:gridSpan w:val="2"/>
            <w:tcW w:w="1291"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检修运行</w:t>
            </w:r>
            <w:r/>
          </w:p>
        </w:tc>
        <w:tc>
          <w:tcPr>
            <w:tcW w:w="1421"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空闲待客</w:t>
            </w:r>
            <w:r/>
          </w:p>
        </w:tc>
      </w:tr>
      <w:tr>
        <w:trPr>
          <w:jc w:val="center"/>
          <w:trHeight w:val="567"/>
        </w:trPr>
        <w:tc>
          <w:tcPr>
            <w:tcW w:w="1044"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t xml:space="preserve">满载直驶</w:t>
            </w:r>
            <w:r/>
          </w:p>
        </w:tc>
        <w:tc>
          <w:tcPr>
            <w:gridSpan w:val="4"/>
            <w:tcW w:w="1244"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r>
            <w:r/>
          </w:p>
        </w:tc>
        <w:tc>
          <w:tcPr>
            <w:gridSpan w:val="2"/>
            <w:tcW w:w="1291"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r>
            <w:r/>
          </w:p>
        </w:tc>
        <w:tc>
          <w:tcPr>
            <w:tcW w:w="1421"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r>
            <w:r/>
          </w:p>
        </w:tc>
      </w:tr>
      <w:tr>
        <w:trPr>
          <w:jc w:val="center"/>
          <w:trHeight w:val="567"/>
        </w:trPr>
        <w:tc>
          <w:tcPr>
            <w:gridSpan w:val="8"/>
            <w:tcW w:w="5000"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b/>
                <w:sz w:val="24"/>
              </w:rPr>
              <w:t xml:space="preserve">三、</w:t>
            </w:r>
            <w:r>
              <w:rPr>
                <w:rFonts w:hint="eastAsia" w:ascii="宋体" w:hAnsi="宋体" w:cs="宋体"/>
                <w:lang w:bidi="mn-Mong-CN"/>
              </w:rPr>
              <w:t xml:space="preserve">★</w:t>
            </w:r>
            <w:r>
              <w:rPr>
                <w:rFonts w:hint="eastAsia" w:ascii="仿宋" w:hAnsi="仿宋" w:eastAsia="仿宋" w:cs="仿宋"/>
                <w:b/>
                <w:sz w:val="24"/>
              </w:rPr>
              <w:t xml:space="preserve">信息功能</w:t>
            </w:r>
            <w:r/>
          </w:p>
        </w:tc>
      </w:tr>
      <w:tr>
        <w:trPr>
          <w:jc w:val="center"/>
          <w:trHeight w:val="567"/>
        </w:trPr>
        <w:tc>
          <w:tcPr>
            <w:gridSpan w:val="2"/>
            <w:tcW w:w="1049"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轿厢位置，段码</w:t>
            </w:r>
            <w:r/>
          </w:p>
        </w:tc>
        <w:tc>
          <w:tcPr>
            <w:gridSpan w:val="3"/>
            <w:tcW w:w="1238"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运行方向显示</w:t>
            </w:r>
            <w:r/>
          </w:p>
        </w:tc>
        <w:tc>
          <w:tcPr>
            <w:gridSpan w:val="2"/>
            <w:tcW w:w="1291"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外呼登记显示</w:t>
            </w:r>
            <w:r/>
          </w:p>
        </w:tc>
        <w:tc>
          <w:tcPr>
            <w:tcW w:w="1421"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内呼显示</w:t>
            </w:r>
            <w:r/>
          </w:p>
        </w:tc>
      </w:tr>
      <w:tr>
        <w:trPr>
          <w:jc w:val="center"/>
          <w:trHeight w:val="567"/>
        </w:trPr>
        <w:tc>
          <w:tcPr>
            <w:gridSpan w:val="2"/>
            <w:tcW w:w="1049"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t xml:space="preserve">轿厢位置，段码</w:t>
            </w:r>
            <w:r/>
          </w:p>
        </w:tc>
        <w:tc>
          <w:tcPr>
            <w:gridSpan w:val="3"/>
            <w:tcW w:w="1238"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t xml:space="preserve">内呼蜂鸣</w:t>
            </w:r>
            <w:r/>
          </w:p>
        </w:tc>
        <w:tc>
          <w:tcPr>
            <w:gridSpan w:val="2"/>
            <w:tcW w:w="1291"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t xml:space="preserve">运行方向显示</w:t>
            </w:r>
            <w:r/>
          </w:p>
        </w:tc>
        <w:tc>
          <w:tcPr>
            <w:tcW w:w="1421"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sz w:val="24"/>
              </w:rPr>
              <w:t xml:space="preserve">超载提醒</w:t>
            </w:r>
            <w:r/>
          </w:p>
        </w:tc>
      </w:tr>
      <w:tr>
        <w:trPr>
          <w:jc w:val="center"/>
          <w:trHeight w:val="567"/>
        </w:trPr>
        <w:tc>
          <w:tcPr>
            <w:gridSpan w:val="2"/>
            <w:tcW w:w="1049"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t xml:space="preserve">控制柜部件标签</w:t>
            </w:r>
            <w:r/>
          </w:p>
        </w:tc>
        <w:tc>
          <w:tcPr>
            <w:gridSpan w:val="3"/>
            <w:tcW w:w="1238"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t xml:space="preserve">位置指示</w:t>
            </w:r>
            <w:r/>
          </w:p>
        </w:tc>
        <w:tc>
          <w:tcPr>
            <w:gridSpan w:val="2"/>
            <w:tcW w:w="1291"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t xml:space="preserve">启动计数</w:t>
            </w:r>
            <w:r/>
          </w:p>
        </w:tc>
        <w:tc>
          <w:tcPr>
            <w:tcW w:w="1421" w:type="pct"/>
            <w:vAlign w:val="center"/>
            <w:textDirection w:val="lrTb"/>
            <w:noWrap w:val="false"/>
          </w:tcPr>
          <w:p>
            <w:pPr>
              <w:spacing w:line="400" w:lineRule="exact"/>
              <w:rPr>
                <w:rFonts w:hint="eastAsia" w:ascii="仿宋" w:hAnsi="仿宋" w:eastAsia="仿宋" w:cs="仿宋"/>
                <w:sz w:val="24"/>
              </w:rPr>
            </w:pPr>
            <w:r>
              <w:rPr>
                <w:rFonts w:hint="eastAsia" w:ascii="仿宋" w:hAnsi="仿宋" w:eastAsia="仿宋" w:cs="仿宋"/>
                <w:sz w:val="24"/>
              </w:rPr>
            </w:r>
            <w:r/>
          </w:p>
        </w:tc>
      </w:tr>
      <w:tr>
        <w:trPr>
          <w:jc w:val="center"/>
          <w:trHeight w:val="495"/>
        </w:trPr>
        <w:tc>
          <w:tcPr>
            <w:gridSpan w:val="8"/>
            <w:tcW w:w="5000" w:type="pct"/>
            <w:vAlign w:val="center"/>
            <w:textDirection w:val="lrTb"/>
            <w:noWrap w:val="false"/>
          </w:tcPr>
          <w:p>
            <w:pPr>
              <w:spacing w:line="400" w:lineRule="exact"/>
              <w:rPr>
                <w:rFonts w:hint="eastAsia" w:ascii="仿宋" w:hAnsi="仿宋" w:eastAsia="仿宋" w:cs="仿宋"/>
                <w:b/>
                <w:sz w:val="24"/>
              </w:rPr>
            </w:pPr>
            <w:r>
              <w:rPr>
                <w:rFonts w:hint="eastAsia" w:ascii="仿宋" w:hAnsi="仿宋" w:eastAsia="仿宋" w:cs="仿宋"/>
                <w:b/>
                <w:sz w:val="24"/>
              </w:rPr>
              <w:t xml:space="preserve">四、</w:t>
            </w:r>
            <w:r>
              <w:rPr>
                <w:rFonts w:hint="eastAsia" w:ascii="宋体" w:hAnsi="宋体" w:cs="宋体"/>
                <w:lang w:bidi="mn-Mong-CN"/>
              </w:rPr>
              <w:t xml:space="preserve">★</w:t>
            </w:r>
            <w:r>
              <w:rPr>
                <w:rFonts w:hint="eastAsia" w:ascii="仿宋" w:hAnsi="仿宋" w:eastAsia="仿宋" w:cs="仿宋"/>
                <w:b/>
                <w:sz w:val="24"/>
              </w:rPr>
              <w:t xml:space="preserve">舒适功能</w:t>
            </w:r>
            <w:r/>
          </w:p>
        </w:tc>
      </w:tr>
      <w:tr>
        <w:trPr>
          <w:jc w:val="center"/>
          <w:trHeight w:val="567"/>
        </w:trPr>
        <w:tc>
          <w:tcPr>
            <w:gridSpan w:val="3"/>
            <w:tcW w:w="1057" w:type="pct"/>
            <w:vAlign w:val="center"/>
            <w:textDirection w:val="lrTb"/>
            <w:noWrap w:val="false"/>
          </w:tcPr>
          <w:p>
            <w:pPr>
              <w:jc w:val="center"/>
              <w:spacing w:line="400" w:lineRule="exact"/>
              <w:rPr>
                <w:rFonts w:hint="eastAsia" w:ascii="仿宋" w:hAnsi="仿宋" w:eastAsia="仿宋" w:cs="仿宋"/>
                <w:sz w:val="24"/>
                <w:highlight w:val="yellow"/>
              </w:rPr>
            </w:pPr>
            <w:r>
              <w:rPr>
                <w:rFonts w:hint="eastAsia" w:ascii="仿宋" w:hAnsi="仿宋" w:eastAsia="仿宋" w:cs="仿宋"/>
                <w:sz w:val="24"/>
              </w:rPr>
              <w:t xml:space="preserve">精确再平层</w:t>
            </w:r>
            <w:r/>
          </w:p>
        </w:tc>
        <w:tc>
          <w:tcPr>
            <w:gridSpan w:val="2"/>
            <w:tcW w:w="1230" w:type="pct"/>
            <w:vAlign w:val="center"/>
            <w:textDirection w:val="lrTb"/>
            <w:noWrap w:val="false"/>
          </w:tcPr>
          <w:p>
            <w:pPr>
              <w:jc w:val="center"/>
              <w:spacing w:line="400" w:lineRule="exact"/>
              <w:rPr>
                <w:rFonts w:hint="eastAsia" w:ascii="仿宋" w:hAnsi="仿宋" w:eastAsia="仿宋" w:cs="仿宋"/>
                <w:sz w:val="24"/>
                <w:highlight w:val="yellow"/>
              </w:rPr>
            </w:pPr>
            <w:r>
              <w:rPr>
                <w:rFonts w:hint="eastAsia" w:ascii="仿宋" w:hAnsi="仿宋" w:eastAsia="仿宋" w:cs="仿宋"/>
                <w:sz w:val="24"/>
              </w:rPr>
              <w:t xml:space="preserve">轿厢通风节能</w:t>
            </w:r>
            <w:r/>
          </w:p>
        </w:tc>
        <w:tc>
          <w:tcPr>
            <w:gridSpan w:val="2"/>
            <w:tcW w:w="129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轿内关门</w:t>
            </w:r>
            <w:r/>
          </w:p>
        </w:tc>
        <w:tc>
          <w:tcPr>
            <w:tcW w:w="142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轿内开门</w:t>
            </w:r>
            <w:r/>
          </w:p>
        </w:tc>
      </w:tr>
      <w:tr>
        <w:trPr>
          <w:jc w:val="center"/>
          <w:trHeight w:val="567"/>
        </w:trPr>
        <w:tc>
          <w:tcPr>
            <w:gridSpan w:val="3"/>
            <w:tcW w:w="1057" w:type="pct"/>
            <w:vAlign w:val="center"/>
            <w:textDirection w:val="lrTb"/>
            <w:noWrap w:val="false"/>
          </w:tcPr>
          <w:p>
            <w:pPr>
              <w:jc w:val="center"/>
              <w:spacing w:line="400" w:lineRule="exact"/>
              <w:rPr>
                <w:rFonts w:hint="eastAsia" w:ascii="仿宋" w:hAnsi="仿宋" w:eastAsia="仿宋" w:cs="仿宋"/>
                <w:sz w:val="24"/>
                <w:highlight w:val="yellow"/>
              </w:rPr>
            </w:pPr>
            <w:r>
              <w:rPr>
                <w:rFonts w:hint="eastAsia" w:ascii="仿宋" w:hAnsi="仿宋" w:eastAsia="仿宋" w:cs="仿宋"/>
                <w:sz w:val="24"/>
              </w:rPr>
              <w:t xml:space="preserve">启动外呼响应</w:t>
            </w:r>
            <w:r/>
          </w:p>
        </w:tc>
        <w:tc>
          <w:tcPr>
            <w:gridSpan w:val="2"/>
            <w:tcW w:w="1230" w:type="pct"/>
            <w:vAlign w:val="center"/>
            <w:textDirection w:val="lrTb"/>
            <w:noWrap w:val="false"/>
          </w:tcPr>
          <w:p>
            <w:pPr>
              <w:jc w:val="center"/>
              <w:spacing w:line="400" w:lineRule="exact"/>
              <w:rPr>
                <w:rFonts w:hint="eastAsia" w:ascii="仿宋" w:hAnsi="仿宋" w:eastAsia="仿宋" w:cs="仿宋"/>
                <w:sz w:val="24"/>
                <w:highlight w:val="yellow"/>
              </w:rPr>
            </w:pPr>
            <w:r>
              <w:rPr>
                <w:rFonts w:hint="eastAsia" w:ascii="仿宋" w:hAnsi="仿宋" w:eastAsia="仿宋" w:cs="仿宋"/>
                <w:sz w:val="24"/>
              </w:rPr>
              <w:t xml:space="preserve">外呼重开门</w:t>
            </w:r>
            <w:r/>
          </w:p>
        </w:tc>
        <w:tc>
          <w:tcPr>
            <w:gridSpan w:val="2"/>
            <w:tcW w:w="129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光幕检测</w:t>
            </w:r>
            <w:r/>
          </w:p>
        </w:tc>
        <w:tc>
          <w:tcPr>
            <w:tcW w:w="142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直接停靠</w:t>
            </w:r>
            <w:r/>
          </w:p>
        </w:tc>
      </w:tr>
      <w:tr>
        <w:trPr>
          <w:jc w:val="center"/>
          <w:trHeight w:val="590"/>
        </w:trPr>
        <w:tc>
          <w:tcPr>
            <w:gridSpan w:val="3"/>
            <w:tcW w:w="1057" w:type="pct"/>
            <w:vAlign w:val="center"/>
            <w:textDirection w:val="lrTb"/>
            <w:noWrap w:val="false"/>
          </w:tcPr>
          <w:p>
            <w:pPr>
              <w:jc w:val="center"/>
              <w:spacing w:line="400" w:lineRule="exact"/>
              <w:rPr>
                <w:rFonts w:hint="eastAsia" w:ascii="仿宋" w:hAnsi="仿宋" w:eastAsia="仿宋" w:cs="仿宋"/>
                <w:sz w:val="24"/>
                <w:highlight w:val="yellow"/>
              </w:rPr>
            </w:pPr>
            <w:r>
              <w:rPr>
                <w:rFonts w:hint="eastAsia" w:ascii="仿宋" w:hAnsi="仿宋" w:eastAsia="仿宋" w:cs="仿宋"/>
                <w:color w:val="000000"/>
                <w:sz w:val="24"/>
              </w:rPr>
              <w:t xml:space="preserve">反向内呼</w:t>
            </w:r>
            <w:r/>
          </w:p>
        </w:tc>
        <w:tc>
          <w:tcPr>
            <w:gridSpan w:val="2"/>
            <w:tcW w:w="1230" w:type="pct"/>
            <w:vAlign w:val="center"/>
            <w:textDirection w:val="lrTb"/>
            <w:noWrap w:val="false"/>
          </w:tcPr>
          <w:p>
            <w:pPr>
              <w:jc w:val="center"/>
              <w:spacing w:line="400" w:lineRule="exact"/>
              <w:rPr>
                <w:rFonts w:hint="eastAsia" w:ascii="仿宋" w:hAnsi="仿宋" w:eastAsia="仿宋" w:cs="仿宋"/>
                <w:sz w:val="24"/>
                <w:highlight w:val="yellow"/>
              </w:rPr>
            </w:pPr>
            <w:r>
              <w:rPr>
                <w:rFonts w:hint="eastAsia" w:ascii="仿宋" w:hAnsi="仿宋" w:eastAsia="仿宋" w:cs="仿宋"/>
                <w:color w:val="000000"/>
                <w:sz w:val="24"/>
              </w:rPr>
              <w:t xml:space="preserve">内呼防捣乱</w:t>
            </w:r>
            <w:r/>
          </w:p>
        </w:tc>
        <w:tc>
          <w:tcPr>
            <w:gridSpan w:val="2"/>
            <w:tcW w:w="129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color w:val="000000"/>
                <w:sz w:val="24"/>
              </w:rPr>
              <w:t xml:space="preserve">指令消除</w:t>
            </w:r>
            <w:r/>
          </w:p>
        </w:tc>
        <w:tc>
          <w:tcPr>
            <w:tcW w:w="142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轿厢照明节能</w:t>
            </w:r>
            <w:r/>
          </w:p>
        </w:tc>
      </w:tr>
      <w:tr>
        <w:trPr>
          <w:jc w:val="center"/>
          <w:trHeight w:val="567"/>
        </w:trPr>
        <w:tc>
          <w:tcPr>
            <w:gridSpan w:val="3"/>
            <w:tcW w:w="1057"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启动补偿</w:t>
            </w:r>
            <w:r/>
          </w:p>
        </w:tc>
        <w:tc>
          <w:tcPr>
            <w:gridSpan w:val="2"/>
            <w:tcW w:w="1230"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t xml:space="preserve">启动补偿</w:t>
            </w:r>
            <w:r/>
          </w:p>
        </w:tc>
        <w:tc>
          <w:tcPr>
            <w:gridSpan w:val="2"/>
            <w:tcW w:w="129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r>
            <w:r/>
          </w:p>
        </w:tc>
        <w:tc>
          <w:tcPr>
            <w:tcW w:w="1421" w:type="pct"/>
            <w:vAlign w:val="center"/>
            <w:textDirection w:val="lrTb"/>
            <w:noWrap w:val="false"/>
          </w:tcPr>
          <w:p>
            <w:pPr>
              <w:jc w:val="center"/>
              <w:spacing w:line="400" w:lineRule="exact"/>
              <w:rPr>
                <w:rFonts w:hint="eastAsia" w:ascii="仿宋" w:hAnsi="仿宋" w:eastAsia="仿宋" w:cs="仿宋"/>
                <w:sz w:val="24"/>
              </w:rPr>
            </w:pPr>
            <w:r>
              <w:rPr>
                <w:rFonts w:hint="eastAsia" w:ascii="仿宋" w:hAnsi="仿宋" w:eastAsia="仿宋" w:cs="仿宋"/>
                <w:sz w:val="24"/>
              </w:rPr>
            </w:r>
            <w:r/>
          </w:p>
        </w:tc>
      </w:tr>
    </w:tbl>
    <w:p>
      <w:pPr>
        <w:spacing w:line="500" w:lineRule="exact"/>
        <w:rPr>
          <w:rFonts w:hint="eastAsia" w:ascii="黑体" w:hAnsi="黑体" w:eastAsia="黑体"/>
          <w:sz w:val="28"/>
          <w:szCs w:val="28"/>
        </w:rPr>
      </w:pPr>
      <w:r>
        <w:rPr>
          <w:rFonts w:hint="eastAsia" w:ascii="黑体" w:hAnsi="黑体" w:eastAsia="黑体"/>
          <w:sz w:val="28"/>
          <w:szCs w:val="28"/>
        </w:rPr>
        <w:t xml:space="preserve">（二）质量标准或者考核标准：</w:t>
      </w:r>
      <w:r/>
    </w:p>
    <w:p>
      <w:pPr>
        <w:spacing w:line="500" w:lineRule="exact"/>
        <w:rPr>
          <w:rFonts w:hint="eastAsia" w:ascii="仿宋" w:hAnsi="仿宋" w:eastAsia="仿宋"/>
          <w:sz w:val="28"/>
          <w:szCs w:val="28"/>
        </w:rPr>
      </w:pPr>
      <w:r>
        <w:rPr>
          <w:rFonts w:hint="eastAsia" w:ascii="仿宋" w:hAnsi="仿宋" w:eastAsia="仿宋"/>
          <w:sz w:val="28"/>
          <w:szCs w:val="28"/>
        </w:rPr>
        <w:t xml:space="preserve">1.电梯应遵守的包括但不限于相关标准和规范（年度仅为参考，需按最新执行）</w:t>
      </w:r>
      <w:r/>
    </w:p>
    <w:p>
      <w:pPr>
        <w:spacing w:line="500" w:lineRule="exact"/>
        <w:rPr>
          <w:rFonts w:hint="eastAsia" w:ascii="仿宋" w:hAnsi="仿宋" w:eastAsia="仿宋"/>
          <w:sz w:val="28"/>
          <w:szCs w:val="28"/>
        </w:rPr>
      </w:pPr>
      <w:r>
        <w:rPr>
          <w:rFonts w:hint="eastAsia" w:ascii="仿宋" w:hAnsi="仿宋" w:eastAsia="仿宋"/>
          <w:sz w:val="28"/>
          <w:szCs w:val="28"/>
        </w:rPr>
        <w:t xml:space="preserve">（1）GB/T7588-2020《电梯制造与安装安全规范》 </w:t>
      </w:r>
      <w:r/>
    </w:p>
    <w:p>
      <w:pPr>
        <w:spacing w:line="500" w:lineRule="exact"/>
        <w:rPr>
          <w:rFonts w:hint="eastAsia" w:ascii="仿宋" w:hAnsi="仿宋" w:eastAsia="仿宋"/>
          <w:sz w:val="28"/>
          <w:szCs w:val="28"/>
        </w:rPr>
      </w:pPr>
      <w:r>
        <w:rPr>
          <w:rFonts w:hint="eastAsia" w:ascii="仿宋" w:hAnsi="仿宋" w:eastAsia="仿宋"/>
          <w:sz w:val="28"/>
          <w:szCs w:val="28"/>
        </w:rPr>
        <w:t xml:space="preserve">（2）GB/T10058-2023《电梯技术条件》 </w:t>
      </w:r>
      <w:r/>
    </w:p>
    <w:p>
      <w:pPr>
        <w:spacing w:line="500" w:lineRule="exact"/>
        <w:rPr>
          <w:rFonts w:hint="eastAsia" w:ascii="仿宋" w:hAnsi="仿宋" w:eastAsia="仿宋"/>
          <w:sz w:val="28"/>
          <w:szCs w:val="28"/>
        </w:rPr>
      </w:pPr>
      <w:r>
        <w:rPr>
          <w:rFonts w:hint="eastAsia" w:ascii="仿宋" w:hAnsi="仿宋" w:eastAsia="仿宋"/>
          <w:sz w:val="28"/>
          <w:szCs w:val="28"/>
        </w:rPr>
        <w:t xml:space="preserve">（3）GB/T10059-2023《电梯试验方法》 </w:t>
      </w:r>
      <w:r/>
    </w:p>
    <w:p>
      <w:pPr>
        <w:spacing w:line="500" w:lineRule="exact"/>
        <w:rPr>
          <w:rFonts w:hint="eastAsia" w:ascii="仿宋" w:hAnsi="仿宋" w:eastAsia="仿宋"/>
          <w:sz w:val="28"/>
          <w:szCs w:val="28"/>
        </w:rPr>
      </w:pPr>
      <w:r>
        <w:rPr>
          <w:rFonts w:hint="eastAsia" w:ascii="仿宋" w:hAnsi="仿宋" w:eastAsia="仿宋"/>
          <w:sz w:val="28"/>
          <w:szCs w:val="28"/>
        </w:rPr>
        <w:t xml:space="preserve">（4）GB10060-2023《电梯安装验收规范》 </w:t>
      </w:r>
      <w:r/>
    </w:p>
    <w:p>
      <w:pPr>
        <w:spacing w:line="500" w:lineRule="exact"/>
        <w:rPr>
          <w:rFonts w:hint="eastAsia" w:ascii="仿宋" w:hAnsi="仿宋" w:eastAsia="仿宋"/>
          <w:sz w:val="28"/>
          <w:szCs w:val="28"/>
        </w:rPr>
      </w:pPr>
      <w:r>
        <w:rPr>
          <w:rFonts w:hint="eastAsia" w:ascii="仿宋" w:hAnsi="仿宋" w:eastAsia="仿宋"/>
          <w:sz w:val="28"/>
          <w:szCs w:val="28"/>
        </w:rPr>
        <w:t xml:space="preserve">（5）GB50182-93《电气装置安装工程电梯电气装置施工验收规范》 </w:t>
      </w:r>
      <w:r/>
    </w:p>
    <w:p>
      <w:pPr>
        <w:spacing w:line="500" w:lineRule="exact"/>
        <w:rPr>
          <w:rFonts w:hint="eastAsia" w:ascii="仿宋" w:hAnsi="仿宋" w:eastAsia="仿宋"/>
          <w:sz w:val="28"/>
          <w:szCs w:val="28"/>
        </w:rPr>
      </w:pPr>
      <w:r>
        <w:rPr>
          <w:rFonts w:hint="eastAsia" w:ascii="仿宋" w:hAnsi="仿宋" w:eastAsia="仿宋"/>
          <w:sz w:val="28"/>
          <w:szCs w:val="28"/>
        </w:rPr>
        <w:t xml:space="preserve">（6）GB7025-2023《电梯主要参数及轿厢、井道、机房的型式与尺寸》 </w:t>
      </w:r>
      <w:r/>
    </w:p>
    <w:p>
      <w:pPr>
        <w:spacing w:line="500" w:lineRule="exact"/>
        <w:rPr>
          <w:rFonts w:hint="eastAsia" w:ascii="仿宋" w:hAnsi="仿宋" w:eastAsia="仿宋"/>
          <w:sz w:val="28"/>
          <w:szCs w:val="28"/>
        </w:rPr>
      </w:pPr>
      <w:r>
        <w:rPr>
          <w:rFonts w:hint="eastAsia" w:ascii="仿宋" w:hAnsi="仿宋" w:eastAsia="仿宋"/>
          <w:sz w:val="28"/>
          <w:szCs w:val="28"/>
        </w:rPr>
        <w:t xml:space="preserve">（7）GB8903-2018《电梯用钢丝绳》 </w:t>
      </w:r>
      <w:r/>
    </w:p>
    <w:p>
      <w:pPr>
        <w:spacing w:line="500" w:lineRule="exact"/>
        <w:rPr>
          <w:rFonts w:hint="eastAsia" w:ascii="仿宋" w:hAnsi="仿宋" w:eastAsia="仿宋"/>
          <w:sz w:val="28"/>
          <w:szCs w:val="28"/>
        </w:rPr>
      </w:pPr>
      <w:r>
        <w:rPr>
          <w:rFonts w:hint="eastAsia" w:ascii="仿宋" w:hAnsi="仿宋" w:eastAsia="仿宋"/>
          <w:sz w:val="28"/>
          <w:szCs w:val="28"/>
        </w:rPr>
        <w:t xml:space="preserve">（8）GB50310-2016《电梯工程施工质量验收规范》 </w:t>
      </w:r>
      <w:r/>
    </w:p>
    <w:p>
      <w:pPr>
        <w:spacing w:line="500" w:lineRule="exact"/>
        <w:rPr>
          <w:rFonts w:hint="eastAsia" w:ascii="仿宋" w:hAnsi="仿宋" w:eastAsia="仿宋"/>
          <w:sz w:val="28"/>
          <w:szCs w:val="28"/>
        </w:rPr>
      </w:pPr>
      <w:r>
        <w:rPr>
          <w:rFonts w:hint="eastAsia" w:ascii="仿宋" w:hAnsi="仿宋" w:eastAsia="仿宋"/>
          <w:sz w:val="28"/>
          <w:szCs w:val="28"/>
        </w:rPr>
        <w:t xml:space="preserve">（9）GB50763-2012《无障碍设计规范》 </w:t>
      </w:r>
      <w:r/>
    </w:p>
    <w:p>
      <w:pPr>
        <w:spacing w:line="500" w:lineRule="exact"/>
        <w:rPr>
          <w:rFonts w:hint="eastAsia" w:ascii="仿宋" w:hAnsi="仿宋" w:eastAsia="仿宋"/>
          <w:sz w:val="28"/>
          <w:szCs w:val="28"/>
        </w:rPr>
      </w:pPr>
      <w:r>
        <w:rPr>
          <w:rFonts w:hint="eastAsia" w:ascii="仿宋" w:hAnsi="仿宋" w:eastAsia="仿宋"/>
          <w:sz w:val="28"/>
          <w:szCs w:val="28"/>
        </w:rPr>
        <w:t xml:space="preserve">（10）GB/T27903-2011《电梯层门耐火试验完整性、和热通量测定法》 </w:t>
      </w:r>
      <w:r/>
    </w:p>
    <w:p>
      <w:pPr>
        <w:spacing w:line="500" w:lineRule="exact"/>
        <w:rPr>
          <w:rFonts w:hint="eastAsia" w:ascii="仿宋" w:hAnsi="仿宋" w:eastAsia="仿宋"/>
          <w:sz w:val="28"/>
          <w:szCs w:val="28"/>
        </w:rPr>
      </w:pPr>
      <w:r>
        <w:rPr>
          <w:rFonts w:hint="eastAsia" w:ascii="仿宋" w:hAnsi="仿宋" w:eastAsia="仿宋"/>
          <w:sz w:val="28"/>
          <w:szCs w:val="28"/>
        </w:rPr>
        <w:t xml:space="preserve">（11）其他与电梯相关的国家、行业和地方的法律法规、规范规程、标准、图集。</w:t>
      </w:r>
      <w:r/>
    </w:p>
    <w:p>
      <w:pPr>
        <w:spacing w:line="500" w:lineRule="exact"/>
        <w:rPr>
          <w:rFonts w:hint="eastAsia" w:ascii="仿宋" w:hAnsi="仿宋" w:eastAsia="仿宋"/>
          <w:sz w:val="28"/>
          <w:szCs w:val="28"/>
        </w:rPr>
      </w:pPr>
      <w:r>
        <w:rPr>
          <w:rFonts w:hint="eastAsia" w:ascii="仿宋" w:hAnsi="仿宋" w:eastAsia="仿宋"/>
          <w:sz w:val="28"/>
          <w:szCs w:val="28"/>
        </w:rPr>
        <w:t xml:space="preserve">2.由成交供应商包工包料组织实施，质量要求达到国家有关工程质量标准。如涉及到安全或质量问题由成交供应商全权负责。</w:t>
      </w:r>
      <w:r/>
    </w:p>
    <w:p>
      <w:pPr>
        <w:spacing w:line="500" w:lineRule="exact"/>
        <w:rPr>
          <w:rFonts w:hint="eastAsia" w:ascii="仿宋" w:hAnsi="仿宋" w:eastAsia="仿宋"/>
          <w:sz w:val="28"/>
          <w:szCs w:val="28"/>
        </w:rPr>
      </w:pPr>
      <w:r>
        <w:rPr>
          <w:rFonts w:hint="eastAsia" w:ascii="仿宋" w:hAnsi="仿宋" w:eastAsia="仿宋"/>
          <w:sz w:val="28"/>
          <w:szCs w:val="28"/>
        </w:rPr>
        <w:t xml:space="preserve">3.成交供应商应保证提供的产品不得侵犯第三方专利权、商标权和设计权、版权等。否则，成交供应商应负全部责任，并承担由此引起的一切后果。</w:t>
      </w:r>
      <w:r/>
    </w:p>
    <w:p>
      <w:pPr>
        <w:spacing w:line="500" w:lineRule="exact"/>
        <w:rPr>
          <w:rFonts w:hint="eastAsia" w:ascii="仿宋" w:hAnsi="仿宋" w:eastAsia="仿宋"/>
          <w:sz w:val="28"/>
          <w:szCs w:val="28"/>
        </w:rPr>
      </w:pPr>
      <w:r>
        <w:rPr>
          <w:rFonts w:hint="eastAsia" w:ascii="仿宋" w:hAnsi="仿宋" w:eastAsia="仿宋"/>
          <w:sz w:val="28"/>
          <w:szCs w:val="28"/>
        </w:rPr>
        <w:t xml:space="preserve">4.成交供应商应采取必要的安全措施保证货物的运输及装卸的安全，并承担货物的运输及装卸过程中产生的风险。</w:t>
      </w:r>
      <w:r/>
    </w:p>
    <w:p>
      <w:pPr>
        <w:spacing w:line="500" w:lineRule="exact"/>
        <w:rPr>
          <w:rFonts w:hint="eastAsia" w:ascii="仿宋" w:hAnsi="仿宋" w:eastAsia="仿宋"/>
          <w:sz w:val="28"/>
          <w:szCs w:val="28"/>
        </w:rPr>
      </w:pPr>
      <w:r>
        <w:rPr>
          <w:rFonts w:hint="eastAsia" w:ascii="仿宋" w:hAnsi="仿宋" w:eastAsia="仿宋"/>
          <w:sz w:val="28"/>
          <w:szCs w:val="28"/>
        </w:rPr>
        <w:t xml:space="preserve">5.所有成交标准按国家标准执行，无国家标准的，按行业标准执行，无国家和行业标准的，按企业标准执行；但在采购文件中有特别要求的，按采购文件中规定的要求执行，并且符合相关法律、法规规定的要求。</w:t>
      </w:r>
      <w:r/>
    </w:p>
    <w:p>
      <w:pPr>
        <w:spacing w:line="500" w:lineRule="exact"/>
        <w:rPr>
          <w:rFonts w:hint="eastAsia" w:ascii="黑体" w:hAnsi="黑体" w:eastAsia="黑体"/>
          <w:sz w:val="28"/>
          <w:szCs w:val="28"/>
        </w:rPr>
      </w:pPr>
      <w:r>
        <w:rPr>
          <w:rFonts w:hint="eastAsia" w:ascii="仿宋" w:hAnsi="仿宋" w:eastAsia="仿宋"/>
          <w:sz w:val="28"/>
          <w:szCs w:val="28"/>
        </w:rPr>
        <w:t xml:space="preserve">6.如在项目实施过程中，如国家标准修改，应按照新国家标准实施；如本采购文件规定高于国家标准，无论新旧标准，均按本采购文件规定实施；如本采购文件规定低于国家标准，无论新旧标准，均按国家标准规定实施。如采购文件内有内容相互矛盾，以高标准高要求的为准。以上有关风险等由供应商自行承担。</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(三）交货期限和地点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交货期限：60日历天（</w:t>
      </w:r>
      <w:r>
        <w:rPr>
          <w:rFonts w:hint="eastAsia" w:ascii="仿宋" w:hAnsi="仿宋" w:eastAsia="仿宋"/>
          <w:sz w:val="28"/>
          <w:szCs w:val="28"/>
          <w:highlight w:val="none"/>
        </w:rPr>
        <w:t xml:space="preserve">含土建改造</w:t>
      </w:r>
      <w:r>
        <w:rPr>
          <w:rFonts w:hint="eastAsia" w:ascii="仿宋" w:hAnsi="仿宋" w:eastAsia="仿宋"/>
          <w:sz w:val="28"/>
          <w:szCs w:val="28"/>
        </w:rPr>
        <w:t xml:space="preserve">、电梯排产期、安装期及验收合格。具体以采购人书面通知为准），并取得江苏省特种设备安全监督检验研究院出具的电梯监督检验报告,取得特种设备使用登记证书。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地点：如皋市花市北路20号，科技创业园223办公室</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（四）验收或者考核方案</w:t>
      </w:r>
      <w:r/>
    </w:p>
    <w:p>
      <w:pPr>
        <w:ind w:firstLine="420"/>
        <w:spacing w:line="500" w:lineRule="exact"/>
        <w:rPr>
          <w:rFonts w:hint="eastAsia" w:ascii="仿宋" w:hAnsi="仿宋" w:eastAsia="仿宋"/>
          <w:sz w:val="28"/>
          <w:szCs w:val="28"/>
        </w:rPr>
      </w:pPr>
      <w:r>
        <w:rPr>
          <w:rFonts w:hint="eastAsia" w:ascii="仿宋" w:hAnsi="仿宋" w:eastAsia="仿宋"/>
          <w:sz w:val="28"/>
          <w:szCs w:val="28"/>
        </w:rPr>
        <w:t xml:space="preserve"> 1.货物全部到达安装地点后，需当场开箱验货，如发现货物短缺、质次、损坏、产地不符等问题，应作详细记录，先由供应商立即无条件为采购人调换或补充，再检查原因，追究责任。货物工地的保管由供应商负责。</w:t>
      </w:r>
      <w:r/>
    </w:p>
    <w:p>
      <w:pPr>
        <w:ind w:firstLine="420"/>
        <w:spacing w:line="500" w:lineRule="exact"/>
        <w:rPr>
          <w:rFonts w:hint="eastAsia" w:ascii="仿宋" w:hAnsi="仿宋" w:eastAsia="仿宋"/>
          <w:sz w:val="28"/>
          <w:szCs w:val="28"/>
        </w:rPr>
      </w:pPr>
      <w:r>
        <w:rPr>
          <w:rFonts w:hint="eastAsia" w:ascii="仿宋" w:hAnsi="仿宋" w:eastAsia="仿宋"/>
          <w:sz w:val="28"/>
          <w:szCs w:val="28"/>
        </w:rPr>
        <w:t xml:space="preserve">2.电梯安装、调试及试运行完毕后，先经采购人及监理单位验收认可后，再由成交供应商及安装单位向市场监督部门申报验收，并负责通过验收，将取得的电梯安全使用许可证交予采购人。但并不因此免除在以后货物的使用中成交供应商对其货物质量缺陷所应承担的责任。</w:t>
      </w:r>
      <w:r/>
    </w:p>
    <w:p>
      <w:pPr>
        <w:ind w:firstLine="420"/>
        <w:spacing w:line="500" w:lineRule="exact"/>
        <w:rPr>
          <w:rFonts w:hint="eastAsia" w:ascii="仿宋" w:hAnsi="仿宋" w:eastAsia="仿宋"/>
          <w:sz w:val="28"/>
          <w:szCs w:val="28"/>
          <w:highlight w:val="none"/>
        </w:rPr>
      </w:pPr>
      <w:r>
        <w:rPr>
          <w:rFonts w:hint="eastAsia" w:ascii="仿宋" w:hAnsi="仿宋" w:eastAsia="仿宋"/>
          <w:sz w:val="28"/>
          <w:szCs w:val="28"/>
        </w:rPr>
        <w:t xml:space="preserve">3</w:t>
      </w:r>
      <w:r>
        <w:rPr>
          <w:rFonts w:hint="eastAsia" w:ascii="仿宋" w:hAnsi="仿宋" w:eastAsia="仿宋"/>
          <w:sz w:val="28"/>
          <w:szCs w:val="28"/>
          <w:highlight w:val="none"/>
        </w:rPr>
        <w:t xml:space="preserve">.若采购人、监理单位、成交供应商三方对验收、设备质量存在分歧，共同委托江苏省特种设备安全监督检验研究院开展复检，以该院出具的正式检验报告作为最终判定依据。 </w:t>
      </w:r>
      <w:r/>
    </w:p>
    <w:p>
      <w:pPr>
        <w:ind w:firstLine="42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经复检判定存在质量、安装不合格问题的，全部检验费用由成交供应商承担；（2）若复检设备各项指标均符合采购文件及国标要求，无任何一方存在过错，本次复检产生的检验费用由采购人与成交供应商平均分摊。</w:t>
      </w:r>
      <w:r/>
    </w:p>
    <w:p>
      <w:pPr>
        <w:ind w:firstLine="560"/>
        <w:spacing w:line="500" w:lineRule="exact"/>
        <w:rPr>
          <w:rFonts w:ascii="黑体" w:hAnsi="黑体" w:eastAsia="黑体"/>
          <w:sz w:val="28"/>
          <w:szCs w:val="28"/>
        </w:rPr>
        <w:outlineLvl w:val="1"/>
      </w:pPr>
      <w:r>
        <w:rPr>
          <w:rFonts w:hint="eastAsia" w:ascii="黑体" w:hAnsi="黑体" w:eastAsia="黑体"/>
          <w:color w:val="000000"/>
          <w:sz w:val="28"/>
          <w:szCs w:val="28"/>
        </w:rPr>
        <w:t xml:space="preserve">（五）</w:t>
      </w:r>
      <w:r>
        <w:rPr>
          <w:rFonts w:hint="eastAsia" w:ascii="黑体" w:hAnsi="黑体" w:eastAsia="黑体"/>
          <w:sz w:val="28"/>
          <w:szCs w:val="28"/>
        </w:rPr>
        <w:t xml:space="preserve">质量保证期限</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自交货并验收合格之日起计</w:t>
      </w:r>
      <w:r>
        <w:rPr>
          <w:rFonts w:hint="eastAsia" w:ascii="仿宋" w:hAnsi="仿宋" w:eastAsia="仿宋"/>
          <w:sz w:val="28"/>
          <w:szCs w:val="28"/>
          <w:u w:val="single"/>
        </w:rPr>
        <w:t xml:space="preserve">贰</w:t>
      </w:r>
      <w:r>
        <w:rPr>
          <w:rFonts w:hint="eastAsia" w:ascii="仿宋" w:hAnsi="仿宋" w:eastAsia="仿宋"/>
          <w:sz w:val="28"/>
          <w:szCs w:val="28"/>
        </w:rPr>
        <w:t xml:space="preserve">年。质保期间的维保需由制造商直接负责。</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（六）付款方式</w:t>
      </w:r>
      <w:r/>
    </w:p>
    <w:p>
      <w:pPr>
        <w:ind w:firstLine="560"/>
        <w:spacing w:line="500" w:lineRule="exact"/>
        <w:rPr>
          <w:rFonts w:hint="eastAsia" w:ascii="仿宋" w:hAnsi="仿宋" w:eastAsia="仿宋"/>
          <w:sz w:val="28"/>
          <w:szCs w:val="28"/>
        </w:rPr>
      </w:pPr>
      <w:r>
        <w:rPr>
          <w:rFonts w:ascii="仿宋" w:hAnsi="仿宋" w:eastAsia="仿宋"/>
          <w:sz w:val="28"/>
          <w:szCs w:val="28"/>
        </w:rPr>
        <w:t xml:space="preserve">货到现场后支付合同价的30%;在</w:t>
      </w:r>
      <w:r>
        <w:rPr>
          <w:rFonts w:hint="eastAsia" w:ascii="仿宋" w:hAnsi="仿宋" w:eastAsia="仿宋"/>
          <w:sz w:val="28"/>
          <w:szCs w:val="28"/>
        </w:rPr>
        <w:t xml:space="preserve">政府市场监督部门</w:t>
      </w:r>
      <w:r>
        <w:rPr>
          <w:rFonts w:ascii="仿宋" w:hAnsi="仿宋" w:eastAsia="仿宋"/>
          <w:sz w:val="28"/>
          <w:szCs w:val="28"/>
        </w:rPr>
        <w:t xml:space="preserve">验收合格并取得电梯合格使用证</w:t>
      </w:r>
      <w:r>
        <w:rPr>
          <w:rFonts w:hint="eastAsia" w:ascii="仿宋" w:hAnsi="仿宋" w:eastAsia="仿宋"/>
          <w:sz w:val="28"/>
          <w:szCs w:val="28"/>
        </w:rPr>
        <w:t xml:space="preserve">后</w:t>
      </w:r>
      <w:r>
        <w:rPr>
          <w:rFonts w:ascii="仿宋" w:hAnsi="仿宋" w:eastAsia="仿宋"/>
          <w:sz w:val="28"/>
          <w:szCs w:val="28"/>
        </w:rPr>
        <w:t xml:space="preserve">支付至</w:t>
      </w:r>
      <w:r>
        <w:rPr>
          <w:rFonts w:hint="eastAsia" w:ascii="仿宋" w:hAnsi="仿宋" w:eastAsia="仿宋"/>
          <w:sz w:val="28"/>
          <w:szCs w:val="28"/>
        </w:rPr>
        <w:t xml:space="preserve">结算价</w:t>
      </w:r>
      <w:r>
        <w:rPr>
          <w:rFonts w:ascii="仿宋" w:hAnsi="仿宋" w:eastAsia="仿宋"/>
          <w:sz w:val="28"/>
          <w:szCs w:val="28"/>
        </w:rPr>
        <w:t xml:space="preserve">的</w:t>
      </w:r>
      <w:r>
        <w:rPr>
          <w:rFonts w:hint="eastAsia" w:ascii="仿宋" w:hAnsi="仿宋" w:eastAsia="仿宋"/>
          <w:sz w:val="28"/>
          <w:szCs w:val="28"/>
        </w:rPr>
        <w:t xml:space="preserve">9</w:t>
      </w:r>
      <w:r>
        <w:rPr>
          <w:rFonts w:ascii="仿宋" w:hAnsi="仿宋" w:eastAsia="仿宋"/>
          <w:sz w:val="28"/>
          <w:szCs w:val="28"/>
        </w:rPr>
        <w:t xml:space="preserve">0%;</w:t>
      </w:r>
      <w:r>
        <w:rPr>
          <w:rFonts w:hint="eastAsia" w:ascii="仿宋" w:hAnsi="仿宋" w:eastAsia="仿宋"/>
          <w:sz w:val="28"/>
          <w:szCs w:val="28"/>
        </w:rPr>
        <w:t xml:space="preserve">电梯正式投入运营之日起满 1 年后一次性付清余款。每次支付前，成交供应商均应出具在税务部门开具的正式税票。</w:t>
      </w:r>
      <w:r/>
    </w:p>
    <w:p>
      <w:pPr>
        <w:ind w:firstLine="560"/>
        <w:spacing w:line="500" w:lineRule="exact"/>
        <w:rPr>
          <w:rFonts w:eastAsia="方正仿宋_GBK"/>
          <w:sz w:val="28"/>
          <w:szCs w:val="28"/>
          <w:highlight w:val="yellow"/>
        </w:rPr>
      </w:pPr>
      <w:r>
        <w:rPr>
          <w:rFonts w:hint="eastAsia" w:ascii="黑体" w:hAnsi="黑体" w:eastAsia="黑体"/>
          <w:sz w:val="28"/>
          <w:szCs w:val="28"/>
        </w:rPr>
        <w:t xml:space="preserve">（七）核心产品</w:t>
      </w:r>
      <w:r>
        <w:rPr>
          <w:rFonts w:hint="eastAsia" w:eastAsia="方正仿宋_GBK"/>
          <w:sz w:val="28"/>
          <w:szCs w:val="28"/>
        </w:rPr>
        <w:t xml:space="preserve">：客梯</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（八）报价要求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本项目采用固定总价报价，响应供应商报价应包含设备供货(含配件等)、运输、保管、施工、安装(含电梯深化设计施工图纸)、检测、调试、验收、缺陷修补、竣工图资料、成品保护、人员培训、质保期间的免费维修保养服务及质保期间的年检费用等一切与之相关费用。采购人不再另行支付任何其他费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尺寸参数仅供参考，响应供应商在谈判截止时间前自行踏勘现场，对原有井道进行评估，响应供应商应对采购文件内电梯井道、底坑、顶层高度等尺寸进行现场详细核对。客梯墙体拆除、清运、修复等全部人工、机械、耗材、运输、安全文明施工相关费用，均综合包含在本次电梯总报价内，供应商须自行现场踏勘</w:t>
      </w:r>
      <w:r>
        <w:rPr>
          <w:rFonts w:hint="eastAsia" w:ascii="仿宋" w:hAnsi="仿宋" w:eastAsia="仿宋"/>
          <w:sz w:val="28"/>
          <w:szCs w:val="28"/>
        </w:rPr>
        <w:t xml:space="preserve">，核实墙体尺寸、结构、拆除工程量与施工条件，因未踏勘、漏算拆除工程量产生的全部成本风险，由成交供应商自行承担，采购人不另行支付任何墙体破除相关增量费用。旧货梯拆除、吊装、人工机械、废旧物资清运、垃圾处置、场地复原、安全围挡防护、成品保护、破损修复等所有相关费用，全部综合包含在本次总报价内，采购人不另行支付任何旧梯拆除及复原相关增量费用，旧梯回收残值归成交供应商所有，采购人不另行结算残值款项。采购文件中如有描述不到的参考现场实际情况，也包含在综合单价中。成交供应商进场后不得以不了解现场为由提出增加费用的要求。</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各潜在供应商应自行踏勘现场，充分理解采购人使用需求，必须保证产品的功能性和完整性，未在清单中明示的辅材、配件及安装调试费已含在报价内。</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电梯设备自运抵现场至交付使用过程中的看护防盗工作由成交人自行负责，由于看管不力等造成的损失，由成交供应商自行承担。</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履约期间，如发生成交供应商工作人员工伤或遇成交供应商工作人员人身伤亡事故，均由成交供应商负责；由于成交供应商人员在相关操作过程中安全防护不当导致工人或其他人员发生人身安全损害及事故的，一切后果与法律责任均由成交供应商承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2.响应供应商应对谈判文件内的全部内容进行报价，谈判文件未列明，而供应商认为其他必需的费用也需列入报价。在合同实施时，采购方将不予支付</w:t>
      </w:r>
      <w:r>
        <w:rPr>
          <w:rFonts w:hint="eastAsia" w:ascii="仿宋" w:hAnsi="仿宋" w:eastAsia="仿宋"/>
          <w:bCs/>
          <w:sz w:val="28"/>
          <w:szCs w:val="28"/>
        </w:rPr>
        <w:t xml:space="preserve">成交供应商</w:t>
      </w:r>
      <w:r>
        <w:rPr>
          <w:rFonts w:hint="eastAsia" w:ascii="仿宋" w:hAnsi="仿宋" w:eastAsia="仿宋" w:cs="仿宋"/>
          <w:sz w:val="28"/>
          <w:szCs w:val="28"/>
        </w:rPr>
        <w:t xml:space="preserve">任何其他增项费用。</w:t>
      </w:r>
      <w:r/>
    </w:p>
    <w:p>
      <w:pPr>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（九）采购需求中必须满足的实质性要求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采购文件中项目需求内容均为实质性要求，均不接受负偏离。</w:t>
      </w:r>
      <w:r/>
    </w:p>
    <w:p>
      <w:pPr>
        <w:ind w:firstLine="562"/>
        <w:spacing w:line="500" w:lineRule="exact"/>
        <w:rPr>
          <w:rFonts w:eastAsia="方正仿宋_GBK"/>
          <w:b/>
          <w:sz w:val="28"/>
          <w:szCs w:val="28"/>
        </w:rPr>
      </w:pPr>
      <w:r>
        <w:rPr>
          <w:rFonts w:eastAsia="方正仿宋_GBK"/>
          <w:b/>
          <w:sz w:val="28"/>
          <w:szCs w:val="28"/>
        </w:rPr>
        <w:t xml:space="preserve">（十）本项目（不接受）进口产品参与</w:t>
      </w:r>
      <w:r/>
    </w:p>
    <w:p>
      <w:pPr>
        <w:ind w:firstLine="562"/>
        <w:spacing w:line="500" w:lineRule="exact"/>
        <w:rPr>
          <w:rFonts w:hint="eastAsia" w:ascii="仿宋" w:hAnsi="仿宋" w:eastAsia="仿宋"/>
          <w:bCs/>
          <w:sz w:val="28"/>
          <w:szCs w:val="28"/>
        </w:rPr>
      </w:pPr>
      <w:r>
        <w:rPr>
          <w:rFonts w:hint="eastAsia" w:eastAsia="方正仿宋_GBK"/>
          <w:b/>
          <w:sz w:val="28"/>
          <w:szCs w:val="28"/>
        </w:rPr>
        <w:t xml:space="preserve">（十一）本项目成交后不允许转包或分包</w:t>
      </w:r>
      <w:r/>
    </w:p>
    <w:p>
      <w:pPr>
        <w:ind w:firstLine="56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（十二）政府采购政策功能要求</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投标时供应商提供承诺函，承诺函需对以上要求逐一作出响应。采购人在必要时可要求中标供应商在履约验收环节出具检测报告。）</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0"/>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p>
    <w:p>
      <w:pPr>
        <w:ind w:firstLine="562"/>
        <w:jc w:val="left"/>
        <w:spacing w:line="500" w:lineRule="exact"/>
        <w:rPr>
          <w:rFonts w:eastAsia="方正仿宋_GBK"/>
          <w:b/>
          <w:sz w:val="28"/>
          <w:szCs w:val="28"/>
        </w:rPr>
      </w:pPr>
      <w:r>
        <w:rPr>
          <w:rFonts w:eastAsia="方正仿宋_GBK"/>
          <w:b/>
          <w:sz w:val="28"/>
          <w:szCs w:val="28"/>
        </w:rPr>
        <w:t xml:space="preserve">一、谈判方式</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不见面远程谈判模式：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562"/>
        <w:jc w:val="left"/>
        <w:spacing w:line="500" w:lineRule="exact"/>
        <w:rPr>
          <w:rFonts w:eastAsia="方正仿宋_GBK"/>
          <w:sz w:val="28"/>
          <w:szCs w:val="28"/>
        </w:rPr>
      </w:pPr>
      <w:r>
        <w:rPr>
          <w:rFonts w:eastAsia="方正仿宋_GBK"/>
          <w:b/>
          <w:sz w:val="28"/>
          <w:szCs w:val="28"/>
        </w:rPr>
        <w:t xml:space="preserve">二、</w:t>
      </w:r>
      <w:r>
        <w:rPr>
          <w:rFonts w:eastAsia="方正仿宋_GBK"/>
          <w:b/>
          <w:bCs/>
          <w:sz w:val="28"/>
          <w:szCs w:val="28"/>
        </w:rPr>
        <w:t xml:space="preserve">评审方法和标准</w:t>
      </w:r>
      <w:r/>
    </w:p>
    <w:p>
      <w:pPr>
        <w:ind w:firstLine="560"/>
        <w:spacing w:line="500" w:lineRule="exact"/>
        <w:rPr>
          <w:rFonts w:eastAsia="方正仿宋_GBK"/>
          <w:sz w:val="28"/>
          <w:szCs w:val="28"/>
        </w:rPr>
      </w:pPr>
      <w:r>
        <w:rPr>
          <w:rFonts w:eastAsia="方正仿宋_GBK"/>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视为放弃谈判，其响应文件按无效响应处理。</w:t>
      </w:r>
      <w:r/>
    </w:p>
    <w:p>
      <w:pPr>
        <w:ind w:firstLine="560"/>
        <w:spacing w:line="500" w:lineRule="exact"/>
        <w:rPr>
          <w:rFonts w:eastAsia="方正仿宋_GBK"/>
          <w:bCs/>
          <w:sz w:val="28"/>
          <w:szCs w:val="28"/>
        </w:rPr>
      </w:pPr>
      <w:r>
        <w:rPr>
          <w:rFonts w:eastAsia="方正仿宋_GBK"/>
          <w:bCs/>
          <w:sz w:val="28"/>
          <w:szCs w:val="28"/>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rPr>
        <w:t xml:space="preserve">苏采云系统</w:t>
      </w:r>
      <w:r>
        <w:rPr>
          <w:rFonts w:eastAsia="方正仿宋_GBK"/>
          <w:bCs/>
          <w:sz w:val="28"/>
          <w:szCs w:val="28"/>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62"/>
        <w:spacing w:line="500" w:lineRule="exact"/>
        <w:rPr>
          <w:rFonts w:eastAsia="方正仿宋_GBK"/>
          <w:b/>
          <w:sz w:val="28"/>
          <w:szCs w:val="28"/>
        </w:rPr>
      </w:pPr>
      <w:r>
        <w:rPr>
          <w:rFonts w:hint="eastAsia" w:eastAsia="方正仿宋_GBK"/>
          <w:b/>
          <w:sz w:val="28"/>
          <w:szCs w:val="28"/>
        </w:rPr>
        <w:t xml:space="preserve"> </w:t>
      </w:r>
      <w:r>
        <w:rPr>
          <w:rFonts w:eastAsia="方正仿宋_GBK"/>
          <w:b/>
          <w:sz w:val="28"/>
          <w:szCs w:val="28"/>
        </w:rPr>
        <w:t xml:space="preserve">（一）</w:t>
      </w:r>
      <w:r>
        <w:rPr>
          <w:rFonts w:hint="eastAsia" w:eastAsia="方正仿宋_GBK"/>
          <w:b/>
          <w:sz w:val="28"/>
          <w:szCs w:val="28"/>
        </w:rPr>
        <w:t xml:space="preserve">谈判小组</w:t>
      </w:r>
      <w:r>
        <w:rPr>
          <w:rFonts w:eastAsia="方正仿宋_GBK"/>
          <w:b/>
          <w:sz w:val="28"/>
          <w:szCs w:val="28"/>
        </w:rPr>
        <w:t xml:space="preserve">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 </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p>
    <w:p>
      <w:pPr>
        <w:ind w:firstLine="570"/>
        <w:spacing w:line="500" w:lineRule="exact"/>
        <w:rPr>
          <w:rFonts w:hint="eastAsia"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7.专门面向中小微企业采购的项目或者采购包，不再执行价格评审优惠的扶持政策。</w:t>
      </w:r>
      <w:r/>
    </w:p>
    <w:p>
      <w:pPr>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（四）成交供应商的确定</w:t>
      </w:r>
      <w:r/>
    </w:p>
    <w:p>
      <w:pPr>
        <w:ind w:firstLine="560"/>
        <w:spacing w:line="500" w:lineRule="exact"/>
        <w:rPr>
          <w:rFonts w:eastAsia="方正仿宋_GBK"/>
          <w:bCs/>
          <w:sz w:val="28"/>
          <w:szCs w:val="28"/>
        </w:rPr>
      </w:pPr>
      <w:r>
        <w:rPr>
          <w:rFonts w:eastAsia="方正仿宋_GBK"/>
          <w:bCs/>
          <w:sz w:val="28"/>
          <w:szCs w:val="28"/>
        </w:rPr>
        <w:t xml:space="preserve">谈判小组将从质量和服务均能满足采购文件实质性响应要求的供应商中，按照最后报价由低到高顺序推荐3名成交候选供应商，并编写评审报告。</w:t>
      </w:r>
      <w:r/>
    </w:p>
    <w:p>
      <w:pPr>
        <w:ind w:firstLine="560"/>
        <w:spacing w:line="500" w:lineRule="exact"/>
        <w:rPr>
          <w:rFonts w:eastAsia="方正仿宋_GBK"/>
          <w:bCs/>
          <w:sz w:val="28"/>
          <w:szCs w:val="28"/>
        </w:rPr>
      </w:pPr>
      <w:r>
        <w:rPr>
          <w:rFonts w:eastAsia="方正仿宋_GBK"/>
          <w:bCs/>
          <w:sz w:val="28"/>
          <w:szCs w:val="28"/>
        </w:rPr>
        <w:t xml:space="preserve">采购人从评审报告提出的成交候选供应商中，根据质量和服务均能满足采购文件实质性响应要求且最后报价最低的原则确定成交供应商。</w:t>
      </w:r>
      <w:r/>
    </w:p>
    <w:p>
      <w:pPr>
        <w:ind w:firstLine="557"/>
        <w:spacing w:line="500" w:lineRule="exact"/>
        <w:rPr>
          <w:rFonts w:eastAsia="方正仿宋_GBK"/>
          <w:b/>
          <w:sz w:val="28"/>
          <w:szCs w:val="28"/>
        </w:rPr>
      </w:pPr>
      <w:r>
        <w:rPr>
          <w:rFonts w:eastAsia="方正仿宋_GBK"/>
          <w:b/>
          <w:sz w:val="28"/>
          <w:szCs w:val="28"/>
        </w:rPr>
        <w:t xml:space="preserve">（五）采购人代表宣布评审结果。</w:t>
      </w:r>
      <w:r/>
    </w:p>
    <w:p>
      <w:pPr>
        <w:ind w:firstLine="562"/>
        <w:spacing w:line="500" w:lineRule="exact"/>
        <w:rPr>
          <w:rFonts w:eastAsia="方正仿宋_GBK"/>
          <w:b/>
          <w:sz w:val="28"/>
          <w:szCs w:val="28"/>
        </w:rPr>
      </w:pPr>
      <w:r>
        <w:rPr>
          <w:rFonts w:eastAsia="方正仿宋_GBK"/>
          <w:b/>
          <w:sz w:val="28"/>
          <w:szCs w:val="28"/>
        </w:rPr>
        <w:t xml:space="preserve">（六）公告成交结果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七</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成交供应商须提供一份纸质版响应文件正本至项目谈判经办人。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响应文件组成</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hint="eastAsia" w:ascii="宋体" w:hAnsi="宋体" w:cs="宋体"/>
          <w:b/>
          <w:sz w:val="28"/>
          <w:szCs w:val="28"/>
          <w:lang w:val="zh-CN"/>
        </w:rPr>
      </w:pPr>
      <w:r>
        <w:rPr>
          <w:rFonts w:hint="eastAsia" w:eastAsia="方正仿宋_GBK"/>
          <w:sz w:val="28"/>
          <w:szCs w:val="28"/>
          <w:lang w:val="zh-CN"/>
        </w:rPr>
        <w:t xml:space="preserve">十六、关于符合本国产品标准的声明函（如有）</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500" w:lineRule="exact"/>
        <w:rPr>
          <w:rFonts w:hint="eastAsia"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hint="eastAsia" w:ascii="宋体" w:hAnsi="宋体"/>
          <w:bCs/>
          <w:sz w:val="36"/>
          <w:szCs w:val="36"/>
        </w:rPr>
        <w:outlineLvl w:val="0"/>
      </w:pPr>
      <w:r>
        <w:rPr>
          <w:rFonts w:hint="eastAsia" w:ascii="宋体" w:hAnsi="宋体"/>
          <w:bCs/>
          <w:sz w:val="36"/>
          <w:szCs w:val="36"/>
        </w:rPr>
      </w:r>
      <w:r/>
    </w:p>
    <w:p>
      <w:pPr>
        <w:ind w:firstLine="560"/>
        <w:spacing w:line="300" w:lineRule="auto"/>
        <w:rPr>
          <w:rFonts w:hint="eastAsia" w:ascii="仿宋" w:hAnsi="仿宋" w:eastAsia="仿宋"/>
          <w:sz w:val="28"/>
          <w:szCs w:val="28"/>
          <w:lang w:val="zh-CN"/>
        </w:rPr>
      </w:pPr>
      <w:r>
        <w:rPr>
          <w:rFonts w:hint="eastAsia" w:ascii="仿宋" w:hAnsi="仿宋" w:eastAsia="仿宋"/>
          <w:sz w:val="28"/>
          <w:szCs w:val="28"/>
          <w:lang w:val="zh-CN"/>
        </w:rPr>
        <w:t xml:space="preserve">一、成交供应商和采购单位在接到《成交通知书》后</w:t>
      </w:r>
      <w:r>
        <w:rPr>
          <w:rFonts w:hint="eastAsia" w:ascii="仿宋" w:hAnsi="仿宋" w:eastAsia="仿宋"/>
          <w:sz w:val="28"/>
          <w:szCs w:val="28"/>
        </w:rPr>
        <w:t xml:space="preserve">30</w:t>
      </w:r>
      <w:r>
        <w:rPr>
          <w:rFonts w:hint="eastAsia" w:ascii="仿宋" w:hAnsi="仿宋" w:eastAsia="仿宋"/>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2"/>
        <w:spacing w:line="300" w:lineRule="auto"/>
        <w:rPr>
          <w:rFonts w:hint="eastAsia" w:ascii="仿宋" w:hAnsi="仿宋" w:eastAsia="仿宋"/>
          <w:sz w:val="28"/>
          <w:szCs w:val="28"/>
        </w:rPr>
      </w:pPr>
      <w:r>
        <w:rPr>
          <w:rFonts w:hint="eastAsia" w:ascii="仿宋" w:hAnsi="仿宋" w:eastAsia="仿宋"/>
          <w:b/>
          <w:sz w:val="28"/>
          <w:szCs w:val="28"/>
        </w:rPr>
        <w:t xml:space="preserve">二</w:t>
      </w:r>
      <w:r>
        <w:rPr>
          <w:rFonts w:hint="eastAsia" w:ascii="仿宋" w:hAnsi="仿宋" w:eastAsia="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p>
    <w:p>
      <w:pPr>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660"/>
        <w:spacing w:line="300" w:lineRule="auto"/>
        <w:rPr>
          <w:rFonts w:hint="eastAsia" w:ascii="仿宋" w:hAnsi="仿宋" w:eastAsia="仿宋"/>
          <w:sz w:val="28"/>
          <w:szCs w:val="28"/>
        </w:rPr>
      </w:pPr>
      <w:r>
        <w:rPr>
          <w:rFonts w:hint="eastAsia" w:ascii="仿宋" w:hAnsi="仿宋" w:eastAsia="仿宋"/>
          <w:sz w:val="28"/>
          <w:szCs w:val="28"/>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pStyle w:val="869"/>
        <w:contextualSpacing/>
        <w:ind w:right="210" w:firstLine="599"/>
        <w:spacing w:line="300" w:lineRule="auto"/>
        <w:rPr>
          <w:rFonts w:hint="eastAsia" w:ascii="仿宋" w:hAnsi="仿宋" w:eastAsia="仿宋"/>
          <w:b/>
          <w:sz w:val="28"/>
          <w:szCs w:val="28"/>
        </w:rPr>
      </w:pPr>
      <w:r>
        <w:rPr>
          <w:rFonts w:hint="eastAsia" w:ascii="仿宋" w:hAnsi="仿宋" w:eastAsia="仿宋"/>
          <w:sz w:val="28"/>
          <w:szCs w:val="28"/>
          <w:lang w:val="zh-CN"/>
        </w:rPr>
        <w:t xml:space="preserve">五、</w:t>
      </w:r>
      <w:r>
        <w:rPr>
          <w:rFonts w:hint="eastAsia" w:ascii="仿宋" w:hAnsi="仿宋" w:eastAsia="仿宋"/>
          <w:b/>
          <w:sz w:val="28"/>
          <w:szCs w:val="28"/>
        </w:rPr>
        <w:t xml:space="preserve">不响应付款方式的，视同响应文件无效处理。</w:t>
      </w:r>
      <w:r/>
    </w:p>
    <w:p>
      <w:pPr>
        <w:pStyle w:val="869"/>
        <w:contextualSpacing/>
        <w:ind w:left="139" w:right="210" w:firstLine="453"/>
        <w:jc w:val="left"/>
        <w:spacing w:line="300" w:lineRule="auto"/>
        <w:rPr>
          <w:rFonts w:hint="eastAsia" w:ascii="仿宋" w:hAnsi="仿宋" w:eastAsia="仿宋"/>
          <w:sz w:val="28"/>
          <w:szCs w:val="28"/>
        </w:rPr>
      </w:pPr>
      <w:r>
        <w:rPr>
          <w:rFonts w:hint="eastAsia" w:ascii="仿宋" w:hAnsi="仿宋" w:eastAsia="仿宋"/>
          <w:sz w:val="28"/>
          <w:szCs w:val="28"/>
          <w:lang w:val="zh-CN"/>
        </w:rPr>
        <w:t xml:space="preserve">付款要求：见本文件“第三部分项目需求”。</w:t>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t xml:space="preserve">款项由采购人按相关财务支付规定办理支付手续。不得故意拖延支付时间。</w:t>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ind w:firstLine="560"/>
        <w:jc w:val="left"/>
        <w:spacing w:line="300" w:lineRule="auto"/>
        <w:rPr>
          <w:rFonts w:hint="eastAsia" w:ascii="仿宋" w:hAnsi="仿宋" w:eastAsia="仿宋"/>
          <w:sz w:val="28"/>
          <w:szCs w:val="28"/>
        </w:rPr>
        <w:outlineLvl w:val="0"/>
      </w:pPr>
      <w:r>
        <w:rPr>
          <w:rFonts w:hint="eastAsia" w:ascii="仿宋" w:hAnsi="仿宋" w:eastAsia="仿宋"/>
          <w:sz w:val="28"/>
          <w:szCs w:val="28"/>
        </w:rPr>
      </w:r>
      <w:r/>
    </w:p>
    <w:p>
      <w:pPr>
        <w:jc w:val="center"/>
        <w:spacing w:line="360" w:lineRule="auto"/>
        <w:rPr>
          <w:rFonts w:hint="eastAsia" w:ascii="Courier New" w:hAnsi="Courier New" w:eastAsia="方正魏碑简体"/>
          <w:b/>
          <w:spacing w:val="20"/>
          <w:sz w:val="84"/>
          <w:szCs w:val="84"/>
        </w:rPr>
      </w:pPr>
      <w:r>
        <w:rPr>
          <w:rFonts w:hint="eastAsia" w:ascii="Courier New" w:hAnsi="Courier New" w:eastAsia="方正魏碑简体"/>
          <w:b/>
          <w:spacing w:val="20"/>
          <w:sz w:val="84"/>
          <w:szCs w:val="84"/>
        </w:rPr>
      </w:r>
      <w:r/>
    </w:p>
    <w:p>
      <w:pPr>
        <w:pStyle w:val="922"/>
        <w:ind w:firstLine="0"/>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t xml:space="preserve">合同文本</w:t>
      </w:r>
      <w:r/>
    </w:p>
    <w:p>
      <w:pPr>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t xml:space="preserve">科创中心电梯采购项目合同</w:t>
      </w:r>
      <w:r/>
    </w:p>
    <w:p>
      <w:pPr>
        <w:spacing w:before="19"/>
        <w:widowControl/>
        <w:rPr>
          <w:rFonts w:hint="eastAsia" w:ascii="仿宋" w:hAnsi="仿宋" w:eastAsia="仿宋"/>
          <w:sz w:val="24"/>
        </w:rPr>
      </w:pPr>
      <w:r>
        <w:rPr>
          <w:rFonts w:hint="eastAsia" w:ascii="仿宋" w:hAnsi="仿宋" w:eastAsia="仿宋"/>
          <w:sz w:val="24"/>
        </w:rPr>
        <w:t xml:space="preserve">甲方 : 如皋市科技创新中心</w:t>
      </w:r>
      <w:r/>
    </w:p>
    <w:p>
      <w:pPr>
        <w:spacing w:before="19"/>
        <w:widowControl/>
        <w:rPr>
          <w:rFonts w:hint="eastAsia" w:ascii="仿宋" w:hAnsi="仿宋" w:eastAsia="仿宋"/>
          <w:sz w:val="24"/>
        </w:rPr>
      </w:pPr>
      <w:r>
        <w:rPr>
          <w:rFonts w:hint="eastAsia" w:ascii="仿宋" w:hAnsi="仿宋" w:eastAsia="仿宋"/>
          <w:sz w:val="24"/>
        </w:rPr>
        <w:t xml:space="preserve">乙方 : </w:t>
      </w:r>
      <w:r/>
    </w:p>
    <w:p>
      <w:pPr>
        <w:spacing w:before="19"/>
        <w:widowControl/>
        <w:rPr>
          <w:rFonts w:hint="eastAsia" w:ascii="仿宋" w:hAnsi="仿宋" w:eastAsia="仿宋"/>
          <w:sz w:val="24"/>
        </w:rPr>
      </w:pPr>
      <w:r>
        <w:rPr>
          <w:rFonts w:hint="eastAsia" w:ascii="仿宋" w:hAnsi="仿宋" w:eastAsia="仿宋"/>
          <w:sz w:val="24"/>
        </w:rPr>
        <w:t xml:space="preserve">    </w:t>
      </w:r>
      <w:r>
        <w:rPr>
          <w:rFonts w:hint="eastAsia" w:ascii="仿宋_GB2312" w:hAnsi="宋体" w:eastAsia="仿宋_GB2312"/>
          <w:sz w:val="24"/>
          <w:u w:val="single"/>
        </w:rPr>
        <w:t xml:space="preserve">如皋市科技创新中心</w:t>
      </w:r>
      <w:r>
        <w:rPr>
          <w:rFonts w:hint="eastAsia" w:ascii="仿宋_GB2312" w:hAnsi="宋体" w:eastAsia="仿宋_GB2312"/>
          <w:sz w:val="24"/>
        </w:rPr>
        <w:t xml:space="preserve">（甲方）（</w:t>
      </w:r>
      <w:r>
        <w:rPr>
          <w:rFonts w:hint="eastAsia" w:ascii="仿宋_GB2312" w:hAnsi="宋体" w:eastAsia="仿宋_GB2312"/>
          <w:sz w:val="24"/>
          <w:u w:val="single"/>
        </w:rPr>
        <w:t xml:space="preserve">科创中心电梯采购项目</w:t>
      </w:r>
      <w:r>
        <w:rPr>
          <w:rFonts w:hint="eastAsia" w:ascii="仿宋_GB2312" w:hAnsi="宋体" w:eastAsia="仿宋_GB2312"/>
          <w:sz w:val="24"/>
        </w:rPr>
        <w:t xml:space="preserve">）</w:t>
      </w:r>
      <w:r>
        <w:rPr>
          <w:rFonts w:hint="eastAsia" w:ascii="仿宋" w:hAnsi="仿宋" w:eastAsia="仿宋" w:cs="仿宋"/>
          <w:sz w:val="24"/>
        </w:rPr>
        <w:t xml:space="preserve">委托</w:t>
      </w:r>
      <w:r>
        <w:rPr>
          <w:rFonts w:hint="eastAsia" w:ascii="仿宋" w:hAnsi="仿宋" w:eastAsia="仿宋" w:cs="仿宋"/>
          <w:sz w:val="24"/>
          <w:u w:val="single"/>
        </w:rPr>
        <w:t xml:space="preserve">如皋市公共资源交易中心</w:t>
      </w:r>
      <w:r>
        <w:rPr>
          <w:rFonts w:hint="eastAsia" w:ascii="仿宋" w:hAnsi="仿宋" w:eastAsia="仿宋" w:cs="仿宋"/>
          <w:sz w:val="24"/>
        </w:rPr>
        <w:t xml:space="preserve">进行了政府采购</w:t>
      </w:r>
      <w:r>
        <w:rPr>
          <w:rFonts w:hint="eastAsia" w:ascii="仿宋_GB2312" w:hAnsi="宋体" w:eastAsia="仿宋_GB2312"/>
          <w:sz w:val="24"/>
        </w:rPr>
        <w:t xml:space="preserve">。按照评委会评审推荐、甲方确定乙方为中标单位。现甲乙双方协商同意签订本合同。</w:t>
      </w:r>
      <w:r/>
    </w:p>
    <w:p>
      <w:pPr>
        <w:numPr>
          <w:ilvl w:val="0"/>
          <w:numId w:val="3"/>
        </w:numPr>
        <w:spacing w:before="19"/>
        <w:widowControl/>
        <w:rPr>
          <w:rFonts w:hint="eastAsia"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货物名称</w:t>
            </w:r>
            <w:r/>
          </w:p>
        </w:tc>
        <w:tc>
          <w:tcPr>
            <w:tcW w:w="325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规格型号</w:t>
            </w:r>
            <w:r/>
          </w:p>
        </w:tc>
        <w:tc>
          <w:tcPr>
            <w:tcW w:w="7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单位</w:t>
            </w:r>
            <w:r/>
          </w:p>
        </w:tc>
        <w:tc>
          <w:tcPr>
            <w:tcW w:w="7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tcW w:w="120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w:t>
            </w:r>
            <w:r/>
          </w:p>
        </w:tc>
        <w:tc>
          <w:tcPr>
            <w:tcW w:w="142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rPr>
                <w:rFonts w:hint="eastAsia" w:ascii="仿宋" w:hAnsi="仿宋" w:eastAsia="仿宋"/>
                <w:sz w:val="24"/>
              </w:rPr>
            </w:pPr>
            <w:r>
              <w:rPr>
                <w:rFonts w:hint="eastAsia" w:ascii="仿宋" w:hAnsi="仿宋" w:eastAsia="仿宋"/>
                <w:sz w:val="24"/>
              </w:rPr>
              <w:t xml:space="preserve">客梯</w:t>
            </w:r>
            <w:r/>
          </w:p>
        </w:tc>
        <w:tc>
          <w:tcPr>
            <w:tcW w:w="3256" w:type="dxa"/>
            <w:textDirection w:val="lrTb"/>
            <w:noWrap w:val="false"/>
          </w:tcPr>
          <w:p>
            <w:pPr>
              <w:rPr>
                <w:rFonts w:hint="eastAsia" w:ascii="仿宋" w:hAnsi="仿宋" w:eastAsia="仿宋"/>
                <w:sz w:val="24"/>
              </w:rPr>
            </w:pPr>
            <w:r>
              <w:rPr>
                <w:rFonts w:hint="eastAsia" w:ascii="仿宋" w:hAnsi="仿宋" w:eastAsia="仿宋" w:cs="仿宋"/>
                <w:sz w:val="24"/>
              </w:rPr>
              <w:t xml:space="preserve">有机房电梯(兼无障碍电梯)</w:t>
            </w:r>
            <w:r/>
          </w:p>
        </w:tc>
        <w:tc>
          <w:tcPr>
            <w:tcW w:w="769" w:type="dxa"/>
            <w:textDirection w:val="lrTb"/>
            <w:noWrap w:val="false"/>
          </w:tcPr>
          <w:p>
            <w:pPr>
              <w:rPr>
                <w:rFonts w:hint="eastAsia" w:ascii="仿宋" w:hAnsi="仿宋" w:eastAsia="仿宋"/>
                <w:sz w:val="24"/>
              </w:rPr>
            </w:pPr>
            <w:r>
              <w:rPr>
                <w:rFonts w:hint="eastAsia" w:ascii="仿宋" w:hAnsi="仿宋" w:eastAsia="仿宋"/>
                <w:sz w:val="24"/>
              </w:rPr>
              <w:t xml:space="preserve">台</w:t>
            </w:r>
            <w:r/>
          </w:p>
        </w:tc>
        <w:tc>
          <w:tcPr>
            <w:tcW w:w="769" w:type="dxa"/>
            <w:textDirection w:val="lrTb"/>
            <w:noWrap w:val="false"/>
          </w:tcPr>
          <w:p>
            <w:pPr>
              <w:rPr>
                <w:rFonts w:hint="eastAsia" w:ascii="仿宋" w:hAnsi="仿宋" w:eastAsia="仿宋"/>
                <w:sz w:val="24"/>
              </w:rPr>
            </w:pPr>
            <w:r>
              <w:rPr>
                <w:rFonts w:hint="eastAsia" w:ascii="仿宋" w:hAnsi="仿宋" w:eastAsia="仿宋"/>
                <w:sz w:val="24"/>
              </w:rPr>
              <w:t xml:space="preserve">1</w:t>
            </w:r>
            <w:r/>
          </w:p>
        </w:tc>
        <w:tc>
          <w:tcPr>
            <w:tcW w:w="1203" w:type="dxa"/>
            <w:textDirection w:val="lrTb"/>
            <w:noWrap w:val="false"/>
          </w:tcPr>
          <w:p>
            <w:pPr>
              <w:rPr>
                <w:rFonts w:hint="eastAsia" w:ascii="仿宋" w:hAnsi="仿宋" w:eastAsia="仿宋"/>
                <w:sz w:val="24"/>
              </w:rPr>
            </w:pPr>
            <w:r>
              <w:rPr>
                <w:rFonts w:hint="eastAsia" w:ascii="仿宋" w:hAnsi="仿宋" w:eastAsia="仿宋"/>
                <w:sz w:val="24"/>
              </w:rPr>
            </w:r>
            <w:r/>
          </w:p>
        </w:tc>
        <w:tc>
          <w:tcPr>
            <w:tcW w:w="1425" w:type="dxa"/>
            <w:textDirection w:val="lrTb"/>
            <w:noWrap w:val="false"/>
          </w:tcPr>
          <w:p>
            <w:pPr>
              <w:rPr>
                <w:rFonts w:hint="eastAsia" w:ascii="仿宋" w:hAnsi="仿宋" w:eastAsia="仿宋"/>
                <w:sz w:val="24"/>
              </w:rPr>
            </w:pPr>
            <w:r>
              <w:rPr>
                <w:rFonts w:hint="eastAsia" w:ascii="仿宋" w:hAnsi="仿宋" w:eastAsia="仿宋"/>
                <w:sz w:val="24"/>
              </w:rPr>
            </w:r>
            <w:r/>
          </w:p>
        </w:tc>
      </w:tr>
      <w:tr>
        <w:trPr>
          <w:cantSplit/>
          <w:jc w:val="center"/>
          <w:trHeight w:val="510"/>
        </w:trPr>
        <w:tc>
          <w:tcPr>
            <w:tcW w:w="1580" w:type="dxa"/>
            <w:textDirection w:val="lrTb"/>
            <w:noWrap w:val="false"/>
          </w:tcPr>
          <w:p>
            <w:pPr>
              <w:rPr>
                <w:rFonts w:hint="eastAsia" w:ascii="仿宋" w:hAnsi="仿宋" w:eastAsia="仿宋"/>
                <w:sz w:val="24"/>
              </w:rPr>
            </w:pPr>
            <w:r>
              <w:rPr>
                <w:rFonts w:hint="eastAsia" w:ascii="仿宋" w:hAnsi="仿宋" w:eastAsia="仿宋"/>
                <w:sz w:val="24"/>
              </w:rPr>
              <w:t xml:space="preserve">货梯</w:t>
            </w:r>
            <w:r/>
          </w:p>
        </w:tc>
        <w:tc>
          <w:tcPr>
            <w:tcW w:w="3256" w:type="dxa"/>
            <w:textDirection w:val="lrTb"/>
            <w:noWrap w:val="false"/>
          </w:tcPr>
          <w:p>
            <w:pPr>
              <w:rPr>
                <w:rFonts w:hint="eastAsia" w:ascii="仿宋" w:hAnsi="仿宋" w:eastAsia="仿宋"/>
                <w:sz w:val="24"/>
              </w:rPr>
            </w:pPr>
            <w:r>
              <w:rPr>
                <w:rFonts w:hint="eastAsia" w:ascii="仿宋" w:hAnsi="仿宋" w:eastAsia="仿宋" w:cs="仿宋"/>
                <w:sz w:val="24"/>
              </w:rPr>
              <w:t xml:space="preserve">有机房货梯</w:t>
            </w:r>
            <w:r/>
          </w:p>
        </w:tc>
        <w:tc>
          <w:tcPr>
            <w:tcW w:w="769" w:type="dxa"/>
            <w:textDirection w:val="lrTb"/>
            <w:noWrap w:val="false"/>
          </w:tcPr>
          <w:p>
            <w:pPr>
              <w:rPr>
                <w:rFonts w:ascii="仿宋" w:hAnsi="仿宋" w:eastAsia="仿宋"/>
                <w:sz w:val="24"/>
              </w:rPr>
            </w:pPr>
            <w:r>
              <w:rPr>
                <w:rFonts w:hint="eastAsia" w:ascii="仿宋" w:hAnsi="仿宋" w:eastAsia="仿宋"/>
                <w:sz w:val="24"/>
              </w:rPr>
              <w:t xml:space="preserve">台</w:t>
            </w:r>
            <w:r/>
          </w:p>
        </w:tc>
        <w:tc>
          <w:tcPr>
            <w:tcW w:w="769" w:type="dxa"/>
            <w:textDirection w:val="lrTb"/>
            <w:noWrap w:val="false"/>
          </w:tcPr>
          <w:p>
            <w:pPr>
              <w:rPr>
                <w:rFonts w:hint="eastAsia" w:ascii="仿宋" w:hAnsi="仿宋" w:eastAsia="仿宋"/>
                <w:sz w:val="24"/>
              </w:rPr>
            </w:pPr>
            <w:r>
              <w:rPr>
                <w:rFonts w:hint="eastAsia" w:ascii="仿宋" w:hAnsi="仿宋" w:eastAsia="仿宋"/>
                <w:sz w:val="24"/>
              </w:rPr>
              <w:t xml:space="preserve">2</w:t>
            </w:r>
            <w:r/>
          </w:p>
        </w:tc>
        <w:tc>
          <w:tcPr>
            <w:tcW w:w="1203" w:type="dxa"/>
            <w:textDirection w:val="lrTb"/>
            <w:noWrap w:val="false"/>
          </w:tcPr>
          <w:p>
            <w:pPr>
              <w:rPr>
                <w:rFonts w:hint="eastAsia" w:ascii="仿宋" w:hAnsi="仿宋" w:eastAsia="仿宋"/>
                <w:sz w:val="24"/>
              </w:rPr>
            </w:pPr>
            <w:r>
              <w:rPr>
                <w:rFonts w:hint="eastAsia" w:ascii="仿宋" w:hAnsi="仿宋" w:eastAsia="仿宋"/>
                <w:sz w:val="24"/>
              </w:rPr>
            </w:r>
            <w:r/>
          </w:p>
        </w:tc>
        <w:tc>
          <w:tcPr>
            <w:tcW w:w="1425" w:type="dxa"/>
            <w:textDirection w:val="lrTb"/>
            <w:noWrap w:val="false"/>
          </w:tcPr>
          <w:p>
            <w:pPr>
              <w:rPr>
                <w:rFonts w:hint="eastAsia" w:ascii="仿宋" w:hAnsi="仿宋" w:eastAsia="仿宋"/>
                <w:sz w:val="24"/>
              </w:rPr>
            </w:pPr>
            <w:r>
              <w:rPr>
                <w:rFonts w:hint="eastAsia" w:ascii="仿宋" w:hAnsi="仿宋" w:eastAsia="仿宋"/>
                <w:sz w:val="24"/>
              </w:rPr>
            </w:r>
            <w:r/>
          </w:p>
        </w:tc>
      </w:tr>
      <w:tr>
        <w:trPr>
          <w:cantSplit/>
          <w:jc w:val="center"/>
          <w:trHeight w:val="510"/>
        </w:trPr>
        <w:tc>
          <w:tcPr>
            <w:tcW w:w="1580"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总      计</w:t>
            </w:r>
            <w:r/>
          </w:p>
        </w:tc>
        <w:tc>
          <w:tcPr>
            <w:gridSpan w:val="3"/>
            <w:tcW w:w="4794"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（大写）</w:t>
            </w:r>
            <w:r/>
          </w:p>
        </w:tc>
        <w:tc>
          <w:tcPr>
            <w:gridSpan w:val="2"/>
            <w:tcW w:w="2628" w:type="dxa"/>
            <w:vAlign w:val="center"/>
            <w:textDirection w:val="lrTb"/>
            <w:noWrap w:val="false"/>
          </w:tcPr>
          <w:p>
            <w:pPr>
              <w:rPr>
                <w:rFonts w:hint="eastAsia" w:ascii="仿宋" w:hAnsi="仿宋" w:eastAsia="仿宋"/>
                <w:sz w:val="24"/>
              </w:rPr>
            </w:pPr>
            <w:r>
              <w:rPr>
                <w:rFonts w:hint="eastAsia" w:ascii="仿宋" w:hAnsi="仿宋" w:eastAsia="仿宋"/>
                <w:b/>
                <w:bCs/>
                <w:sz w:val="24"/>
              </w:rPr>
              <w:t xml:space="preserve">￥</w:t>
            </w:r>
            <w:r/>
          </w:p>
        </w:tc>
      </w:tr>
    </w:tbl>
    <w:p>
      <w:pPr>
        <w:numPr>
          <w:ilvl w:val="0"/>
          <w:numId w:val="3"/>
        </w:numPr>
        <w:spacing w:before="19"/>
        <w:widowControl/>
        <w:rPr>
          <w:rFonts w:hint="eastAsia" w:ascii="仿宋" w:hAnsi="仿宋" w:eastAsia="仿宋"/>
          <w:b/>
          <w:bCs/>
          <w:sz w:val="24"/>
          <w:u w:val="single"/>
        </w:rPr>
      </w:pPr>
      <w:r>
        <w:rPr>
          <w:rFonts w:hint="eastAsia" w:ascii="仿宋" w:hAnsi="仿宋" w:eastAsia="仿宋"/>
          <w:b/>
          <w:bCs/>
          <w:sz w:val="24"/>
        </w:rPr>
        <w:t xml:space="preserve">质保期</w:t>
      </w:r>
      <w:r>
        <w:rPr>
          <w:rFonts w:hint="eastAsia" w:ascii="仿宋" w:hAnsi="仿宋" w:eastAsia="仿宋"/>
          <w:sz w:val="24"/>
        </w:rPr>
        <w:t xml:space="preserve">：</w:t>
      </w:r>
      <w:r>
        <w:rPr>
          <w:rFonts w:hint="eastAsia" w:ascii="仿宋" w:hAnsi="仿宋" w:eastAsia="仿宋"/>
          <w:b/>
          <w:bCs/>
          <w:sz w:val="24"/>
          <w:u w:val="single"/>
        </w:rPr>
        <w:t xml:space="preserve">自交货并验收合格之日起计贰年。质保期间的维保需由制造商直接负责。</w:t>
      </w:r>
      <w:r/>
    </w:p>
    <w:p>
      <w:pPr>
        <w:ind w:firstLine="482"/>
        <w:rPr>
          <w:rFonts w:hint="eastAsia" w:ascii="仿宋" w:hAnsi="仿宋" w:eastAsia="仿宋"/>
          <w:sz w:val="24"/>
        </w:rPr>
      </w:pPr>
      <w:r>
        <w:rPr>
          <w:rFonts w:hint="eastAsia" w:ascii="仿宋" w:hAnsi="仿宋" w:eastAsia="仿宋"/>
          <w:b/>
          <w:bCs/>
          <w:sz w:val="24"/>
        </w:rPr>
        <w:t xml:space="preserve">三、交货时间</w:t>
      </w:r>
      <w:r>
        <w:rPr>
          <w:rFonts w:hint="eastAsia" w:ascii="仿宋" w:hAnsi="仿宋" w:eastAsia="仿宋"/>
          <w:sz w:val="24"/>
        </w:rPr>
        <w:t xml:space="preserve">：</w:t>
      </w:r>
      <w:r>
        <w:rPr>
          <w:rFonts w:hint="eastAsia" w:ascii="仿宋" w:hAnsi="仿宋" w:eastAsia="仿宋"/>
          <w:b/>
          <w:bCs/>
          <w:sz w:val="24"/>
          <w:u w:val="single"/>
        </w:rPr>
        <w:t xml:space="preserve">60日历天（含土建改造、电梯排产期、安装期及验收合格。具体以甲方书面通知为准），并取得江苏省特种设备安全监督检验研究院出具的电梯监督检验报告,取得特种设备使用登记证书。</w:t>
      </w:r>
      <w:r/>
    </w:p>
    <w:p>
      <w:pPr>
        <w:ind w:left="426"/>
        <w:spacing w:before="19"/>
        <w:widowControl/>
        <w:rPr>
          <w:rFonts w:hint="eastAsia" w:ascii="仿宋" w:hAnsi="仿宋" w:eastAsia="仿宋"/>
          <w:sz w:val="24"/>
        </w:rPr>
      </w:pPr>
      <w:r>
        <w:rPr>
          <w:rFonts w:hint="eastAsia" w:ascii="仿宋" w:hAnsi="仿宋" w:eastAsia="仿宋"/>
          <w:b/>
          <w:bCs/>
          <w:sz w:val="24"/>
        </w:rPr>
        <w:t xml:space="preserve">四、交货地点</w:t>
      </w:r>
      <w:r>
        <w:rPr>
          <w:rFonts w:hint="eastAsia" w:ascii="仿宋" w:hAnsi="仿宋" w:eastAsia="仿宋"/>
          <w:sz w:val="24"/>
        </w:rPr>
        <w:t xml:space="preserve">：</w:t>
      </w:r>
      <w:r>
        <w:rPr>
          <w:rFonts w:hint="eastAsia" w:ascii="仿宋" w:hAnsi="仿宋" w:eastAsia="仿宋"/>
          <w:b/>
          <w:bCs/>
          <w:sz w:val="24"/>
          <w:u w:val="single"/>
        </w:rPr>
        <w:t xml:space="preserve">如皋市花市北路20号，科技创业园223办公室。</w:t>
      </w:r>
      <w:r/>
    </w:p>
    <w:p>
      <w:pPr>
        <w:ind w:left="426"/>
        <w:spacing w:before="19"/>
        <w:widowControl/>
        <w:rPr>
          <w:rFonts w:hint="eastAsia" w:ascii="仿宋" w:hAnsi="仿宋" w:eastAsia="仿宋"/>
          <w:sz w:val="24"/>
        </w:rPr>
      </w:pPr>
      <w:r>
        <w:rPr>
          <w:rFonts w:hint="eastAsia" w:ascii="仿宋" w:hAnsi="仿宋" w:eastAsia="仿宋"/>
          <w:b/>
          <w:bCs/>
          <w:sz w:val="24"/>
        </w:rPr>
        <w:t xml:space="preserve">五、付款</w:t>
      </w:r>
      <w:r>
        <w:rPr>
          <w:rFonts w:hint="eastAsia" w:ascii="仿宋" w:hAnsi="仿宋" w:eastAsia="仿宋"/>
          <w:sz w:val="24"/>
        </w:rPr>
        <w:t xml:space="preserve">：由甲方按有关规定直接向乙方办理付款，验收合格交付使用后支付全部合同货款；</w:t>
      </w:r>
      <w:r/>
    </w:p>
    <w:p>
      <w:pPr>
        <w:ind w:firstLine="482"/>
        <w:spacing w:before="19"/>
        <w:widowControl/>
        <w:rPr>
          <w:rFonts w:hint="eastAsia" w:ascii="仿宋" w:hAnsi="仿宋" w:eastAsia="仿宋"/>
          <w:b/>
          <w:bCs/>
          <w:sz w:val="24"/>
        </w:rPr>
      </w:pPr>
      <w:r>
        <w:rPr>
          <w:rFonts w:ascii="仿宋" w:hAnsi="仿宋" w:eastAsia="仿宋"/>
          <w:b/>
          <w:bCs/>
          <w:sz w:val="24"/>
        </w:rPr>
        <w:t xml:space="preserve">货到现场后支付合同价的30%;在</w:t>
      </w:r>
      <w:r>
        <w:rPr>
          <w:rFonts w:hint="eastAsia" w:ascii="仿宋" w:hAnsi="仿宋" w:eastAsia="仿宋"/>
          <w:b/>
          <w:bCs/>
          <w:sz w:val="24"/>
        </w:rPr>
        <w:t xml:space="preserve">政府市场监督部门</w:t>
      </w:r>
      <w:r>
        <w:rPr>
          <w:rFonts w:ascii="仿宋" w:hAnsi="仿宋" w:eastAsia="仿宋"/>
          <w:b/>
          <w:bCs/>
          <w:sz w:val="24"/>
        </w:rPr>
        <w:t xml:space="preserve">验收合格并取得电梯合格使用证</w:t>
      </w:r>
      <w:r>
        <w:rPr>
          <w:rFonts w:hint="eastAsia" w:ascii="仿宋" w:hAnsi="仿宋" w:eastAsia="仿宋"/>
          <w:b/>
          <w:bCs/>
          <w:sz w:val="24"/>
        </w:rPr>
        <w:t xml:space="preserve">后</w:t>
      </w:r>
      <w:r>
        <w:rPr>
          <w:rFonts w:ascii="仿宋" w:hAnsi="仿宋" w:eastAsia="仿宋"/>
          <w:b/>
          <w:bCs/>
          <w:sz w:val="24"/>
        </w:rPr>
        <w:t xml:space="preserve">支付至</w:t>
      </w:r>
      <w:r>
        <w:rPr>
          <w:rFonts w:hint="eastAsia" w:ascii="仿宋" w:hAnsi="仿宋" w:eastAsia="仿宋"/>
          <w:b/>
          <w:bCs/>
          <w:sz w:val="24"/>
        </w:rPr>
        <w:t xml:space="preserve">结算价</w:t>
      </w:r>
      <w:r>
        <w:rPr>
          <w:rFonts w:ascii="仿宋" w:hAnsi="仿宋" w:eastAsia="仿宋"/>
          <w:b/>
          <w:bCs/>
          <w:sz w:val="24"/>
        </w:rPr>
        <w:t xml:space="preserve">的</w:t>
      </w:r>
      <w:r>
        <w:rPr>
          <w:rFonts w:hint="eastAsia" w:ascii="仿宋" w:hAnsi="仿宋" w:eastAsia="仿宋"/>
          <w:b/>
          <w:bCs/>
          <w:sz w:val="24"/>
        </w:rPr>
        <w:t xml:space="preserve">9</w:t>
      </w:r>
      <w:r>
        <w:rPr>
          <w:rFonts w:ascii="仿宋" w:hAnsi="仿宋" w:eastAsia="仿宋"/>
          <w:b/>
          <w:bCs/>
          <w:sz w:val="24"/>
        </w:rPr>
        <w:t xml:space="preserve">0%;</w:t>
      </w:r>
      <w:r>
        <w:rPr>
          <w:rFonts w:hint="eastAsia" w:ascii="仿宋" w:hAnsi="仿宋" w:eastAsia="仿宋"/>
          <w:b/>
          <w:bCs/>
          <w:sz w:val="24"/>
        </w:rPr>
        <w:t xml:space="preserve">电梯正式投入运营之日起满 1 年后一次性付清余款。每次支付前，乙方均应出具在税务部门开具的正式税票。</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六合同纠纷处理：</w:t>
      </w:r>
      <w:r>
        <w:rPr>
          <w:rFonts w:hint="eastAsia" w:ascii="仿宋" w:hAnsi="仿宋" w:eastAsia="仿宋"/>
          <w:sz w:val="24"/>
        </w:rPr>
        <w:t xml:space="preserve">本合同执行过程中发生纠纷，由甲方和乙方协商处理。</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七、合同生效：</w:t>
      </w:r>
      <w:r>
        <w:rPr>
          <w:rFonts w:hint="eastAsia" w:ascii="仿宋" w:hAnsi="仿宋" w:eastAsia="仿宋"/>
          <w:sz w:val="24"/>
        </w:rPr>
        <w:t xml:space="preserve">本合同由甲乙双方签字盖章后生效。</w:t>
      </w:r>
      <w:r/>
    </w:p>
    <w:p>
      <w:pPr>
        <w:ind w:left="426"/>
        <w:spacing w:before="19"/>
        <w:widowControl/>
        <w:rPr>
          <w:rFonts w:hint="eastAsia" w:ascii="仿宋" w:hAnsi="仿宋" w:eastAsia="仿宋"/>
          <w:b/>
          <w:bCs/>
          <w:sz w:val="24"/>
        </w:rPr>
      </w:pPr>
      <w:r>
        <w:rPr>
          <w:rFonts w:hint="eastAsia" w:ascii="仿宋" w:hAnsi="仿宋" w:eastAsia="仿宋"/>
          <w:b/>
          <w:bCs/>
          <w:sz w:val="24"/>
        </w:rPr>
        <w:t xml:space="preserve">八、组成本合同的文件包括：</w:t>
      </w:r>
      <w:r/>
    </w:p>
    <w:p>
      <w:pPr>
        <w:ind w:firstLine="480"/>
        <w:spacing w:before="19"/>
        <w:widowControl/>
        <w:rPr>
          <w:rFonts w:hint="eastAsia"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hint="eastAsia"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hint="eastAsia"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hint="eastAsia" w:ascii="仿宋" w:hAnsi="仿宋" w:eastAsia="仿宋"/>
          <w:bCs/>
          <w:sz w:val="24"/>
        </w:rPr>
      </w:pPr>
      <w:r>
        <w:rPr>
          <w:rFonts w:hint="eastAsia" w:ascii="仿宋" w:hAnsi="仿宋" w:eastAsia="仿宋"/>
          <w:bCs/>
          <w:sz w:val="24"/>
        </w:rPr>
        <w:t xml:space="preserve">本合同一式两份，甲方持一份，乙方持一份。</w:t>
      </w:r>
      <w:r/>
    </w:p>
    <w:tbl>
      <w:tblPr>
        <w:tblStyle w:val="86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sz w:val="24"/>
                <w:u w:val="single"/>
              </w:rPr>
            </w:pPr>
            <w:r>
              <w:rPr>
                <w:rFonts w:hint="eastAsia" w:ascii="仿宋" w:hAnsi="仿宋" w:eastAsia="仿宋"/>
                <w:b/>
                <w:sz w:val="24"/>
              </w:rPr>
              <w:t xml:space="preserve">甲方（公章）：</w:t>
            </w:r>
            <w:r>
              <w:rPr>
                <w:rFonts w:hint="eastAsia" w:ascii="仿宋" w:hAnsi="仿宋" w:eastAsia="仿宋"/>
                <w:b/>
                <w:sz w:val="24"/>
                <w:u w:val="single"/>
              </w:rPr>
              <w:t xml:space="preserve">                </w:t>
            </w:r>
            <w:r/>
          </w:p>
          <w:p>
            <w:pPr>
              <w:spacing w:before="19"/>
              <w:widowControl/>
              <w:rPr>
                <w:rFonts w:hint="eastAsia" w:ascii="仿宋" w:hAnsi="仿宋" w:eastAsia="仿宋"/>
                <w:b/>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rPr>
                <w:rFonts w:hint="eastAsia" w:ascii="仿宋" w:hAnsi="仿宋" w:eastAsia="仿宋"/>
                <w:b/>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tc>
        <w:tc>
          <w:tcPr>
            <w:tcW w:w="4261" w:type="dxa"/>
            <w:textDirection w:val="lrTb"/>
            <w:noWrap w:val="false"/>
          </w:tcPr>
          <w:p>
            <w:pPr>
              <w:spacing w:before="19"/>
              <w:widowControl/>
              <w:rPr>
                <w:rFonts w:hint="eastAsia" w:ascii="仿宋" w:hAnsi="仿宋" w:eastAsia="仿宋"/>
                <w:b/>
                <w:sz w:val="24"/>
                <w:u w:val="single"/>
              </w:rPr>
            </w:pPr>
            <w:r>
              <w:rPr>
                <w:rFonts w:hint="eastAsia" w:ascii="仿宋" w:hAnsi="仿宋" w:eastAsia="仿宋"/>
                <w:b/>
                <w:sz w:val="24"/>
              </w:rPr>
              <w:t xml:space="preserve">乙方（公章）：</w:t>
            </w:r>
            <w:r>
              <w:rPr>
                <w:rFonts w:hint="eastAsia" w:ascii="仿宋" w:hAnsi="仿宋" w:eastAsia="仿宋"/>
                <w:b/>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户名：</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开户银行：</w:t>
            </w:r>
            <w:r>
              <w:rPr>
                <w:rFonts w:hint="eastAsia" w:ascii="仿宋" w:hAnsi="仿宋" w:eastAsia="仿宋"/>
                <w:sz w:val="24"/>
                <w:u w:val="single"/>
              </w:rPr>
              <w:t xml:space="preserve">                   </w:t>
            </w:r>
            <w:r/>
          </w:p>
          <w:p>
            <w:pPr>
              <w:spacing w:before="19"/>
              <w:widowControl/>
              <w:rPr>
                <w:rFonts w:hint="eastAsia" w:ascii="仿宋" w:hAnsi="仿宋" w:eastAsia="仿宋"/>
                <w:sz w:val="24"/>
                <w:u w:val="single"/>
              </w:rPr>
            </w:pPr>
            <w:r>
              <w:rPr>
                <w:rFonts w:hint="eastAsia" w:ascii="仿宋" w:hAnsi="仿宋" w:eastAsia="仿宋"/>
                <w:sz w:val="24"/>
              </w:rPr>
              <w:t xml:space="preserve">账号：</w:t>
            </w:r>
            <w:r>
              <w:rPr>
                <w:rFonts w:hint="eastAsia" w:ascii="仿宋" w:hAnsi="仿宋" w:eastAsia="仿宋"/>
                <w:sz w:val="24"/>
                <w:u w:val="single"/>
              </w:rPr>
              <w:t xml:space="preserve">                       </w:t>
            </w:r>
            <w:r/>
          </w:p>
          <w:p>
            <w:pPr>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tc>
      </w:tr>
    </w:tbl>
    <w:p>
      <w:pPr>
        <w:jc w:val="right"/>
        <w:spacing w:before="19"/>
        <w:widowControl/>
        <w:rPr>
          <w:rFonts w:hint="eastAsia" w:ascii="仿宋" w:hAnsi="仿宋" w:eastAsia="仿宋"/>
          <w:bCs/>
          <w:sz w:val="24"/>
        </w:rPr>
      </w:pPr>
      <w:r>
        <w:rPr>
          <w:rFonts w:hint="eastAsia" w:ascii="仿宋" w:hAnsi="仿宋" w:eastAsia="仿宋"/>
          <w:bCs/>
          <w:sz w:val="24"/>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center"/>
        <w:spacing w:before="19"/>
        <w:widowControl/>
        <w:rPr>
          <w:rFonts w:hint="eastAsia"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p>
    <w:p>
      <w:pPr>
        <w:ind w:firstLine="482"/>
        <w:rPr>
          <w:rFonts w:hint="eastAsia" w:ascii="仿宋" w:hAnsi="仿宋" w:eastAsia="仿宋"/>
          <w:b/>
          <w:sz w:val="24"/>
        </w:rPr>
      </w:pPr>
      <w:r>
        <w:rPr>
          <w:rFonts w:hint="eastAsia" w:ascii="仿宋" w:hAnsi="仿宋" w:eastAsia="仿宋"/>
          <w:b/>
          <w:sz w:val="24"/>
        </w:rPr>
        <w:t xml:space="preserve">第一条 供货及知识产权</w:t>
      </w:r>
      <w:r/>
    </w:p>
    <w:p>
      <w:pPr>
        <w:ind w:firstLine="480"/>
        <w:rPr>
          <w:rFonts w:hint="eastAsia"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照采购文件</w:t>
      </w:r>
      <w:r>
        <w:rPr>
          <w:rFonts w:ascii="仿宋" w:hAnsi="仿宋" w:eastAsia="仿宋"/>
          <w:sz w:val="24"/>
        </w:rPr>
        <w:t xml:space="preserve">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sz w:val="24"/>
        </w:rPr>
      </w:pPr>
      <w:r>
        <w:rPr>
          <w:rFonts w:hint="eastAsia" w:ascii="仿宋" w:hAnsi="仿宋" w:eastAsia="仿宋"/>
          <w:b/>
          <w:sz w:val="24"/>
        </w:rPr>
        <w:t xml:space="preserve">第二条 合同总价款    </w:t>
      </w: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hint="eastAsia"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rPr>
        <w:t xml:space="preserve">  2 </w:t>
      </w:r>
      <w:r>
        <w:rPr>
          <w:rFonts w:hint="eastAsia" w:ascii="仿宋" w:hAnsi="仿宋" w:eastAsia="仿宋"/>
          <w:sz w:val="24"/>
        </w:rPr>
        <w:t xml:space="preserve">年的整机（含全部部件）免费上门保修服务，质量保证期从设备安装验收合格开始计算。</w:t>
      </w:r>
      <w:r/>
    </w:p>
    <w:p>
      <w:pPr>
        <w:ind w:firstLine="480"/>
        <w:rPr>
          <w:rFonts w:hint="eastAsia"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hint="eastAsia"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hint="eastAsia"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hint="eastAsia" w:ascii="仿宋" w:hAnsi="仿宋" w:eastAsia="仿宋"/>
          <w:sz w:val="24"/>
        </w:rPr>
      </w:pPr>
      <w:r>
        <w:rPr>
          <w:rFonts w:hint="eastAsia" w:ascii="仿宋" w:hAnsi="仿宋" w:eastAsia="仿宋"/>
          <w:sz w:val="24"/>
        </w:rPr>
        <w:t xml:space="preserve">7. 提供的产品若有设计缺陷，应主动召回。</w:t>
      </w:r>
      <w:r/>
    </w:p>
    <w:p>
      <w:pPr>
        <w:ind w:firstLine="480"/>
        <w:rPr>
          <w:rFonts w:hint="eastAsia"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hint="eastAsia"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hint="eastAsia"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hint="eastAsia" w:ascii="仿宋" w:hAnsi="仿宋" w:eastAsia="仿宋"/>
          <w:sz w:val="24"/>
        </w:rPr>
      </w:pPr>
      <w:r>
        <w:rPr>
          <w:rFonts w:hint="eastAsia" w:ascii="仿宋" w:hAnsi="仿宋" w:eastAsia="仿宋"/>
          <w:sz w:val="24"/>
        </w:rPr>
        <w:t xml:space="preserve">按乙方响应文件执行。</w:t>
      </w:r>
      <w:r/>
    </w:p>
    <w:p>
      <w:pPr>
        <w:ind w:firstLine="482"/>
        <w:rPr>
          <w:rFonts w:hint="eastAsia" w:ascii="仿宋" w:hAnsi="仿宋" w:eastAsia="仿宋"/>
          <w:b/>
          <w:sz w:val="24"/>
        </w:rPr>
      </w:pPr>
      <w:r>
        <w:rPr>
          <w:rFonts w:hint="eastAsia" w:ascii="仿宋" w:hAnsi="仿宋" w:eastAsia="仿宋"/>
          <w:b/>
          <w:sz w:val="24"/>
        </w:rPr>
        <w:t xml:space="preserve">第五条 交货和验收</w:t>
      </w:r>
      <w:r/>
    </w:p>
    <w:p>
      <w:pPr>
        <w:ind w:firstLine="480"/>
        <w:rPr>
          <w:rFonts w:hint="eastAsia"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hint="eastAsia"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b/>
          <w:sz w:val="24"/>
        </w:rPr>
      </w:pPr>
      <w:r>
        <w:rPr>
          <w:rFonts w:hint="eastAsia" w:ascii="仿宋" w:hAnsi="仿宋" w:eastAsia="仿宋"/>
          <w:b/>
          <w:sz w:val="24"/>
        </w:rPr>
        <w:t xml:space="preserve">第六条 货款支付</w:t>
      </w:r>
      <w:r/>
    </w:p>
    <w:p>
      <w:pPr>
        <w:ind w:firstLine="482"/>
        <w:spacing w:before="19"/>
        <w:widowControl/>
        <w:rPr>
          <w:rFonts w:hint="eastAsia" w:ascii="仿宋" w:hAnsi="仿宋" w:eastAsia="仿宋"/>
          <w:b/>
          <w:bCs/>
          <w:sz w:val="24"/>
        </w:rPr>
      </w:pPr>
      <w:r>
        <w:rPr>
          <w:rFonts w:ascii="仿宋" w:hAnsi="仿宋" w:eastAsia="仿宋"/>
          <w:b/>
          <w:bCs/>
          <w:sz w:val="24"/>
        </w:rPr>
        <w:t xml:space="preserve">货到现场后支付合同价的30%;在</w:t>
      </w:r>
      <w:r>
        <w:rPr>
          <w:rFonts w:hint="eastAsia" w:ascii="仿宋" w:hAnsi="仿宋" w:eastAsia="仿宋"/>
          <w:b/>
          <w:bCs/>
          <w:sz w:val="24"/>
        </w:rPr>
        <w:t xml:space="preserve">政府市场监督部门</w:t>
      </w:r>
      <w:r>
        <w:rPr>
          <w:rFonts w:ascii="仿宋" w:hAnsi="仿宋" w:eastAsia="仿宋"/>
          <w:b/>
          <w:bCs/>
          <w:sz w:val="24"/>
        </w:rPr>
        <w:t xml:space="preserve">验收合格并取得电梯合格使用证</w:t>
      </w:r>
      <w:r>
        <w:rPr>
          <w:rFonts w:hint="eastAsia" w:ascii="仿宋" w:hAnsi="仿宋" w:eastAsia="仿宋"/>
          <w:b/>
          <w:bCs/>
          <w:sz w:val="24"/>
        </w:rPr>
        <w:t xml:space="preserve">后</w:t>
      </w:r>
      <w:r>
        <w:rPr>
          <w:rFonts w:ascii="仿宋" w:hAnsi="仿宋" w:eastAsia="仿宋"/>
          <w:b/>
          <w:bCs/>
          <w:sz w:val="24"/>
        </w:rPr>
        <w:t xml:space="preserve">支付至</w:t>
      </w:r>
      <w:r>
        <w:rPr>
          <w:rFonts w:hint="eastAsia" w:ascii="仿宋" w:hAnsi="仿宋" w:eastAsia="仿宋"/>
          <w:b/>
          <w:bCs/>
          <w:sz w:val="24"/>
        </w:rPr>
        <w:t xml:space="preserve">结算价</w:t>
      </w:r>
      <w:r>
        <w:rPr>
          <w:rFonts w:ascii="仿宋" w:hAnsi="仿宋" w:eastAsia="仿宋"/>
          <w:b/>
          <w:bCs/>
          <w:sz w:val="24"/>
        </w:rPr>
        <w:t xml:space="preserve">的</w:t>
      </w:r>
      <w:r>
        <w:rPr>
          <w:rFonts w:hint="eastAsia" w:ascii="仿宋" w:hAnsi="仿宋" w:eastAsia="仿宋"/>
          <w:b/>
          <w:bCs/>
          <w:sz w:val="24"/>
        </w:rPr>
        <w:t xml:space="preserve">9</w:t>
      </w:r>
      <w:r>
        <w:rPr>
          <w:rFonts w:ascii="仿宋" w:hAnsi="仿宋" w:eastAsia="仿宋"/>
          <w:b/>
          <w:bCs/>
          <w:sz w:val="24"/>
        </w:rPr>
        <w:t xml:space="preserve">0%;</w:t>
      </w:r>
      <w:r>
        <w:rPr>
          <w:rFonts w:hint="eastAsia" w:ascii="仿宋" w:hAnsi="仿宋" w:eastAsia="仿宋"/>
          <w:b/>
          <w:bCs/>
          <w:sz w:val="24"/>
        </w:rPr>
        <w:t xml:space="preserve">电梯正式投入运营之日起满 1 年后一次性付清余款。每次支付前，乙方均应出具在税务部门开具的正式税票。</w:t>
      </w:r>
      <w:r/>
    </w:p>
    <w:p>
      <w:pPr>
        <w:ind w:firstLine="482"/>
        <w:rPr>
          <w:rFonts w:hint="eastAsia" w:ascii="仿宋" w:hAnsi="仿宋" w:eastAsia="仿宋"/>
          <w:b/>
          <w:sz w:val="24"/>
        </w:rPr>
      </w:pPr>
      <w:r>
        <w:rPr>
          <w:rFonts w:hint="eastAsia" w:ascii="仿宋" w:hAnsi="仿宋" w:eastAsia="仿宋"/>
          <w:b/>
          <w:sz w:val="24"/>
        </w:rPr>
        <w:t xml:space="preserve">第七条 违约责任</w:t>
      </w:r>
      <w:r/>
    </w:p>
    <w:p>
      <w:pPr>
        <w:ind w:firstLine="480"/>
        <w:rPr>
          <w:rFonts w:hint="eastAsia"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hint="eastAsia"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p>
    <w:p>
      <w:pPr>
        <w:ind w:firstLine="480"/>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hint="eastAsia"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hint="eastAsia"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hint="eastAsia" w:ascii="仿宋" w:hAnsi="仿宋" w:eastAsia="仿宋"/>
          <w:b/>
          <w:sz w:val="24"/>
        </w:rPr>
      </w:pPr>
      <w:r>
        <w:rPr>
          <w:rFonts w:hint="eastAsia" w:ascii="仿宋" w:hAnsi="仿宋" w:eastAsia="仿宋"/>
          <w:b/>
          <w:sz w:val="24"/>
        </w:rPr>
        <w:t xml:space="preserve">第八条 合同的变更和终止</w:t>
      </w:r>
      <w:r/>
    </w:p>
    <w:p>
      <w:pPr>
        <w:pStyle w:val="877"/>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本合同一经签订，甲乙双方不得擅自变更、中止或终止合同。</w:t>
      </w:r>
      <w:r/>
    </w:p>
    <w:p>
      <w:pPr>
        <w:ind w:firstLine="482"/>
        <w:rPr>
          <w:rFonts w:hint="eastAsia" w:ascii="仿宋" w:hAnsi="仿宋" w:eastAsia="仿宋"/>
          <w:b/>
          <w:sz w:val="24"/>
        </w:rPr>
      </w:pPr>
      <w:r>
        <w:rPr>
          <w:rFonts w:hint="eastAsia" w:ascii="仿宋" w:hAnsi="仿宋" w:eastAsia="仿宋"/>
          <w:b/>
          <w:sz w:val="24"/>
        </w:rPr>
        <w:t xml:space="preserve">第十三条 合同的转让</w:t>
      </w:r>
      <w:r/>
    </w:p>
    <w:p>
      <w:pPr>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hint="eastAsia" w:ascii="仿宋" w:hAnsi="仿宋" w:eastAsia="仿宋"/>
          <w:b/>
          <w:sz w:val="24"/>
        </w:rPr>
      </w:pPr>
      <w:r>
        <w:rPr>
          <w:rFonts w:hint="eastAsia" w:ascii="仿宋" w:hAnsi="仿宋" w:eastAsia="仿宋"/>
          <w:b/>
          <w:sz w:val="24"/>
        </w:rPr>
        <w:t xml:space="preserve">第十四条 争议的解决</w:t>
      </w:r>
      <w:r/>
    </w:p>
    <w:p>
      <w:pPr>
        <w:ind w:firstLine="480"/>
        <w:rPr>
          <w:rFonts w:hint="eastAsia"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sz w:val="24"/>
        </w:rPr>
      </w:pPr>
      <w:r>
        <w:rPr>
          <w:rFonts w:hint="eastAsia" w:ascii="仿宋" w:hAnsi="仿宋" w:eastAsia="仿宋"/>
          <w:b/>
          <w:sz w:val="24"/>
        </w:rPr>
        <w:t xml:space="preserve">第十五条 合同生效及其他</w:t>
      </w:r>
      <w:r/>
    </w:p>
    <w:p>
      <w:pPr>
        <w:ind w:firstLine="480"/>
        <w:rPr>
          <w:rFonts w:hint="eastAsia" w:ascii="仿宋" w:hAnsi="仿宋" w:eastAsia="仿宋"/>
          <w:sz w:val="24"/>
        </w:rPr>
        <w:outlineLvl w:val="0"/>
      </w:pPr>
      <w:r>
        <w:rPr>
          <w:rFonts w:hint="eastAsia" w:ascii="仿宋" w:hAnsi="仿宋" w:eastAsia="仿宋"/>
          <w:sz w:val="24"/>
        </w:rPr>
        <w:t xml:space="preserve">本合同自签订之日起生效。</w:t>
      </w:r>
      <w:r/>
    </w:p>
    <w:p>
      <w:pPr>
        <w:contextualSpacing/>
        <w:spacing w:line="400" w:lineRule="exact"/>
        <w:rPr>
          <w:rFonts w:eastAsia="方正黑体_GBK"/>
          <w:sz w:val="32"/>
          <w:szCs w:val="32"/>
          <w:lang w:val="zh-CN"/>
        </w:rPr>
      </w:pPr>
      <w:r>
        <w:rPr>
          <w:rFonts w:ascii="黑体" w:hAnsi="黑体" w:eastAsia="黑体"/>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hint="eastAsia" w:ascii="宋体" w:hAnsi="宋体"/>
          <w:bCs/>
          <w:sz w:val="24"/>
          <w:szCs w:val="21"/>
        </w:rPr>
      </w:pPr>
      <w:r/>
      <w:bookmarkStart w:id="90"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1" w:name="_格式3__银行出具的资信证明"/>
      <w:r/>
      <w:bookmarkEnd w:id="91"/>
      <w:r/>
      <w:bookmarkStart w:id="92" w:name="_Hlt26671380"/>
      <w:r/>
      <w:bookmarkEnd w:id="92"/>
      <w:r/>
      <w:bookmarkStart w:id="93" w:name="_Hlt26955070"/>
      <w:r/>
      <w:bookmarkEnd w:id="93"/>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562"/>
        <w:spacing w:line="300" w:lineRule="auto"/>
        <w:rPr>
          <w:rFonts w:hint="eastAsia" w:ascii="宋体" w:hAnsi="宋体"/>
          <w:sz w:val="28"/>
          <w:szCs w:val="28"/>
        </w:rPr>
        <w:outlineLvl w:val="0"/>
      </w:pPr>
      <w:r>
        <w:rPr>
          <w:rFonts w:ascii="宋体" w:hAnsi="宋体"/>
          <w:b/>
          <w:bCs/>
          <w:sz w:val="28"/>
          <w:szCs w:val="28"/>
          <w:lang w:bidi="zh-CN"/>
        </w:rPr>
        <w:br w:type="page" w:clear="all"/>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86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hint="eastAsia"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jc w:val="center"/>
              <w:rPr>
                <w:rFonts w:hint="eastAsia"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hint="eastAsia" w:ascii="宋体" w:hAnsi="宋体"/>
                <w:sz w:val="24"/>
              </w:rPr>
            </w:pPr>
            <w:r>
              <w:rPr>
                <w:rFonts w:hint="eastAsia" w:ascii="宋体" w:hAnsi="宋体"/>
                <w:sz w:val="24"/>
              </w:rPr>
            </w:r>
            <w:r/>
          </w:p>
        </w:tc>
      </w:tr>
      <w:tr>
        <w:trPr>
          <w:cantSplit/>
          <w:trHeight w:val="1038"/>
        </w:trPr>
        <w:tc>
          <w:tcPr>
            <w:gridSpan w:val="9"/>
            <w:tcW w:w="9081" w:type="dxa"/>
            <w:vAlign w:val="center"/>
            <w:textDirection w:val="lrTb"/>
            <w:noWrap w:val="false"/>
          </w:tcPr>
          <w:p>
            <w:pPr>
              <w:rPr>
                <w:rFonts w:hint="eastAsia"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p>
        </w:tc>
      </w:tr>
    </w:tbl>
    <w:p>
      <w:pPr>
        <w:rPr>
          <w:rFonts w:hint="eastAsia" w:ascii="宋体" w:hAnsi="宋体"/>
          <w:sz w:val="24"/>
        </w:rPr>
      </w:pPr>
      <w:r>
        <w:rPr>
          <w:rFonts w:hint="eastAsia" w:ascii="宋体" w:hAnsi="宋体"/>
          <w:sz w:val="24"/>
        </w:rPr>
        <w:t xml:space="preserve">备注：</w:t>
      </w:r>
      <w:r/>
    </w:p>
    <w:p>
      <w:pPr>
        <w:rPr>
          <w:rFonts w:hint="eastAsia"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rPr>
          <w:rFonts w:hint="eastAsia"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rPr>
          <w:rFonts w:hint="eastAsia" w:ascii="宋体" w:hAnsi="宋体"/>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sz w:val="24"/>
        </w:rPr>
      </w:pPr>
      <w:r>
        <w:rPr>
          <w:rFonts w:hint="eastAsia" w:ascii="宋体" w:hAnsi="宋体"/>
          <w:sz w:val="24"/>
        </w:rPr>
        <w:t xml:space="preserve">备注：该表适用于货物类项目。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bookmarkStart w:id="108" w:name="_GoBack"/>
            <w:r/>
            <w:bookmarkEnd w:id="108"/>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bookmarkEnd w:id="90"/>
      <w:r/>
      <w:r/>
    </w:p>
    <w:p>
      <w:pPr>
        <w:jc w:val="center"/>
        <w:rPr>
          <w:rFonts w:hint="eastAsia" w:ascii="黑体" w:hAnsi="黑体" w:eastAsia="黑体"/>
          <w:b/>
          <w:sz w:val="32"/>
          <w:szCs w:val="32"/>
        </w:rPr>
      </w:pPr>
      <w:r/>
      <w:bookmarkStart w:id="94" w:name="_Hlt26955054"/>
      <w:r/>
      <w:bookmarkEnd w:id="94"/>
      <w:r>
        <w:rPr>
          <w:rFonts w:hint="eastAsia" w:ascii="黑体" w:hAnsi="黑体" w:eastAsia="黑体"/>
          <w:b/>
          <w:sz w:val="32"/>
          <w:szCs w:val="32"/>
        </w:rPr>
        <w:t xml:space="preserve">十四、商务要求响应及偏离表（分包号：**）</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95" w:name="_Hlt26782999"/>
            <w:r/>
            <w:bookmarkEnd w:id="95"/>
            <w:r/>
            <w:bookmarkStart w:id="96" w:name="_Hlt26671343"/>
            <w:r/>
            <w:bookmarkEnd w:id="96"/>
            <w:r/>
            <w:bookmarkStart w:id="97" w:name="_Hlt26955064"/>
            <w:r/>
            <w:bookmarkEnd w:id="97"/>
            <w:r/>
            <w:bookmarkStart w:id="98" w:name="_Hlt26580838"/>
            <w:r/>
            <w:bookmarkEnd w:id="98"/>
            <w:r/>
            <w:bookmarkStart w:id="99" w:name="_Hlt26609391"/>
            <w:r/>
            <w:bookmarkEnd w:id="99"/>
            <w:r/>
            <w:bookmarkStart w:id="100" w:name="_Hlt24879081"/>
            <w:r/>
            <w:bookmarkEnd w:id="100"/>
            <w:r/>
            <w:bookmarkStart w:id="101" w:name="_Hlt26955056"/>
            <w:r/>
            <w:bookmarkEnd w:id="101"/>
            <w:r/>
            <w:bookmarkStart w:id="102" w:name="_Hlt26671372"/>
            <w:r/>
            <w:bookmarkEnd w:id="102"/>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3" w:name="_Hlt26955066"/>
      <w:r/>
      <w:bookmarkEnd w:id="103"/>
      <w:r/>
      <w:bookmarkStart w:id="104" w:name="_Hlt26609389"/>
      <w:r/>
      <w:bookmarkEnd w:id="104"/>
      <w:r/>
      <w:bookmarkStart w:id="105" w:name="_Hlt26671374"/>
      <w:r/>
      <w:bookmarkEnd w:id="105"/>
      <w:r/>
      <w:bookmarkStart w:id="106" w:name="_Toc462564146"/>
      <w:r/>
      <w:bookmarkEnd w:id="106"/>
      <w:r/>
      <w:r/>
    </w:p>
    <w:p>
      <w:pPr>
        <w:rPr>
          <w:rFonts w:hint="eastAsia" w:eastAsia="仿宋_GB2312"/>
          <w:sz w:val="24"/>
          <w:szCs w:val="20"/>
        </w:rPr>
      </w:pPr>
      <w:r/>
      <w:bookmarkStart w:id="107" w:name="_格式2__法定代表人授权书"/>
      <w:r/>
      <w:bookmarkEnd w:id="107"/>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lang w:val="zh-CN"/>
        </w:rPr>
      </w:pPr>
      <w:r>
        <w:rPr>
          <w:rFonts w:hint="eastAsia" w:ascii="黑体" w:hAnsi="黑体" w:eastAsia="黑体"/>
          <w:b/>
          <w:sz w:val="32"/>
          <w:szCs w:val="32"/>
          <w:highlight w:val="green"/>
          <w:lang w:val="zh-CN"/>
        </w:rPr>
        <w:br w:type="page" w:clear="all"/>
      </w:r>
      <w:r>
        <w:rPr>
          <w:rFonts w:hint="eastAsia" w:ascii="黑体" w:hAnsi="黑体" w:eastAsia="黑体"/>
          <w:b/>
          <w:sz w:val="32"/>
          <w:szCs w:val="32"/>
          <w:lang w:val="zh-CN"/>
        </w:rPr>
        <w:t xml:space="preserve">十六、关于符合本国产品标准的声明函</w:t>
      </w:r>
      <w:r/>
    </w:p>
    <w:p>
      <w:pPr>
        <w:pStyle w:val="880"/>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0"/>
        <w:ind w:firstLine="420"/>
        <w:spacing w:before="0" w:beforeAutospacing="0" w:after="0" w:afterAutospacing="0" w:line="460" w:lineRule="exact"/>
        <w:rPr>
          <w:rFonts w:hint="eastAsia"/>
        </w:rPr>
      </w:pPr>
      <w:r>
        <w:rPr>
          <w:rFonts w:hint="eastAsia"/>
        </w:rPr>
        <w:t xml:space="preserve">本公司（单位）郑重声明，根据《国务院办公厅关于在政府采购中实施本国产品标准及相关政策的通知》（国办发〔2025〕34号）的规定，本公司（单位）参加</w:t>
      </w:r>
      <w:r>
        <w:rPr>
          <w:rFonts w:hint="eastAsia"/>
          <w:u w:val="single"/>
        </w:rPr>
        <w:t xml:space="preserve">（项目名称）</w:t>
      </w:r>
      <w:r>
        <w:rPr>
          <w:rFonts w:hint="eastAsia"/>
        </w:rPr>
        <w:t xml:space="preserve">的采购活动，提供的以下产品属于本国产品。具体情况如下：</w:t>
      </w:r>
      <w:r/>
    </w:p>
    <w:p>
      <w:pPr>
        <w:pStyle w:val="880"/>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2"/>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85"/>
          <w:rFonts w:hint="eastAsia"/>
          <w:b w:val="0"/>
          <w:bCs w:val="0"/>
          <w:u w:val="single"/>
          <w:shd w:val="clear" w:color="auto" w:fill="ffffff"/>
        </w:rPr>
        <w:t xml:space="preserve">（产品名称1）</w:t>
      </w:r>
      <w:r>
        <w:rPr>
          <w:rStyle w:val="885"/>
          <w:rFonts w:hint="eastAsia"/>
          <w:b w:val="0"/>
          <w:bCs w:val="0"/>
          <w:shd w:val="clear" w:color="auto" w:fill="ffffff"/>
          <w:vertAlign w:val="superscript"/>
        </w:rPr>
        <w:t xml:space="preserve">1</w:t>
      </w:r>
      <w:r>
        <w:rPr>
          <w:rFonts w:hint="eastAsia"/>
          <w:shd w:val="clear" w:color="auto" w:fill="ffffff"/>
        </w:rPr>
        <w:t xml:space="preserve">，生产厂为</w:t>
      </w:r>
      <w:r>
        <w:rPr>
          <w:rStyle w:val="885"/>
          <w:rFonts w:hint="eastAsia"/>
          <w:b w:val="0"/>
          <w:bCs w:val="0"/>
          <w:u w:val="single"/>
          <w:shd w:val="clear" w:color="auto" w:fill="ffffff"/>
        </w:rPr>
        <w:t xml:space="preserve">（厂名）</w:t>
      </w:r>
      <w:r>
        <w:rPr>
          <w:rStyle w:val="885"/>
          <w:rFonts w:hint="eastAsia"/>
          <w:b w:val="0"/>
          <w:bCs w:val="0"/>
          <w:shd w:val="clear" w:color="auto" w:fill="ffffff"/>
          <w:vertAlign w:val="superscript"/>
        </w:rPr>
        <w:t xml:space="preserve">2</w:t>
      </w:r>
      <w:r>
        <w:rPr>
          <w:rFonts w:hint="eastAsia"/>
          <w:shd w:val="clear" w:color="auto" w:fill="ffffff"/>
        </w:rPr>
        <w:t xml:space="preserve">，厂址为</w:t>
      </w:r>
      <w:r>
        <w:rPr>
          <w:rStyle w:val="885"/>
          <w:rFonts w:hint="eastAsia"/>
          <w:b w:val="0"/>
          <w:bCs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85"/>
          <w:rFonts w:hint="eastAsia"/>
          <w:b w:val="0"/>
          <w:bCs w:val="0"/>
          <w:u w:val="single"/>
          <w:shd w:val="clear" w:color="auto" w:fill="ffffff"/>
        </w:rPr>
        <w:t xml:space="preserve">（产品名称1） </w:t>
      </w:r>
      <w:r>
        <w:rPr>
          <w:rFonts w:hint="eastAsia"/>
          <w:shd w:val="clear" w:color="auto" w:fill="ffffff"/>
        </w:rPr>
        <w:t xml:space="preserve">的中国境内生产的组件成本占比≥</w:t>
      </w:r>
      <w:r>
        <w:rPr>
          <w:rStyle w:val="885"/>
          <w:rFonts w:hint="eastAsia"/>
          <w:b w:val="0"/>
          <w:bCs w:val="0"/>
          <w:u w:val="single"/>
          <w:shd w:val="clear" w:color="auto" w:fill="ffffff"/>
        </w:rPr>
        <w:t xml:space="preserve">（规定比例）</w:t>
      </w:r>
      <w:r>
        <w:rPr>
          <w:rStyle w:val="885"/>
          <w:rFonts w:hint="eastAsia"/>
          <w:b w:val="0"/>
          <w:bCs w:val="0"/>
          <w:shd w:val="clear" w:color="auto" w:fill="ffffff"/>
          <w:vertAlign w:val="superscript"/>
        </w:rPr>
        <w:t xml:space="preserve">3</w:t>
      </w:r>
      <w:r>
        <w:rPr>
          <w:rFonts w:hint="eastAsia"/>
          <w:shd w:val="clear" w:color="auto" w:fill="ffffff"/>
        </w:rPr>
        <w:t xml:space="preserve">。</w:t>
      </w:r>
      <w:r>
        <w:rPr>
          <w:rStyle w:val="885"/>
          <w:rFonts w:hint="eastAsia"/>
          <w:b w:val="0"/>
          <w:bCs w:val="0"/>
          <w:u w:val="single"/>
          <w:shd w:val="clear" w:color="auto" w:fill="ffffff"/>
        </w:rPr>
        <w:t xml:space="preserve">（产品名称1）</w:t>
      </w:r>
      <w:r>
        <w:rPr>
          <w:rFonts w:hint="eastAsia"/>
          <w:shd w:val="clear" w:color="auto" w:fill="ffffff"/>
        </w:rPr>
        <w:t xml:space="preserve">的</w:t>
      </w:r>
      <w:r>
        <w:rPr>
          <w:rStyle w:val="885"/>
          <w:rFonts w:hint="eastAsia"/>
          <w:b w:val="0"/>
          <w:bCs w:val="0"/>
          <w:u w:val="single"/>
          <w:shd w:val="clear" w:color="auto" w:fill="ffffff"/>
        </w:rPr>
        <w:t xml:space="preserve">（关键组件）</w:t>
      </w:r>
      <w:r>
        <w:rPr>
          <w:rStyle w:val="885"/>
          <w:rFonts w:hint="eastAsia"/>
          <w:b w:val="0"/>
          <w:bCs w:val="0"/>
          <w:shd w:val="clear" w:color="auto" w:fill="ffffff"/>
          <w:vertAlign w:val="superscript"/>
        </w:rPr>
        <w:t xml:space="preserve">4</w:t>
      </w:r>
      <w:r>
        <w:rPr>
          <w:rFonts w:hint="eastAsia"/>
          <w:shd w:val="clear" w:color="auto" w:fill="ffffff"/>
        </w:rPr>
        <w:t xml:space="preserve">在中国境内生产。</w:t>
      </w:r>
      <w:r>
        <w:rPr>
          <w:rStyle w:val="885"/>
          <w:rFonts w:hint="eastAsia"/>
          <w:b w:val="0"/>
          <w:bCs w:val="0"/>
          <w:u w:val="single"/>
          <w:shd w:val="clear" w:color="auto" w:fill="ffffff"/>
        </w:rPr>
        <w:t xml:space="preserve">（产品名称1）</w:t>
      </w:r>
      <w:r>
        <w:rPr>
          <w:rFonts w:hint="eastAsia"/>
          <w:shd w:val="clear" w:color="auto" w:fill="ffffff"/>
        </w:rPr>
        <w:t xml:space="preserve">的</w:t>
      </w:r>
      <w:r>
        <w:rPr>
          <w:rStyle w:val="885"/>
          <w:rFonts w:hint="eastAsia"/>
          <w:b w:val="0"/>
          <w:bCs w:val="0"/>
          <w:u w:val="single"/>
          <w:shd w:val="clear" w:color="auto" w:fill="ffffff"/>
        </w:rPr>
        <w:t xml:space="preserve">（关键工序）</w:t>
      </w:r>
      <w:r>
        <w:rPr>
          <w:rStyle w:val="885"/>
          <w:rFonts w:hint="eastAsia"/>
          <w:b w:val="0"/>
          <w:bCs w:val="0"/>
          <w:shd w:val="clear" w:color="auto" w:fill="ffffff"/>
          <w:vertAlign w:val="superscript"/>
        </w:rPr>
        <w:t xml:space="preserve">5</w:t>
      </w:r>
      <w:r>
        <w:rPr>
          <w:rFonts w:hint="eastAsia"/>
          <w:shd w:val="clear" w:color="auto" w:fill="ffffff"/>
        </w:rPr>
        <w:t xml:space="preserve">在中国境内完成。</w:t>
      </w:r>
      <w:r/>
    </w:p>
    <w:p>
      <w:pPr>
        <w:pStyle w:val="880"/>
        <w:ind w:firstLine="420"/>
        <w:spacing w:before="30" w:beforeAutospacing="0" w:after="30" w:afterAutospacing="0" w:line="46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85"/>
          <w:rFonts w:hint="eastAsia"/>
          <w:b w:val="0"/>
          <w:bCs w:val="0"/>
          <w:u w:val="single"/>
          <w:shd w:val="clear" w:color="auto" w:fill="ffffff"/>
        </w:rPr>
        <w:t xml:space="preserve">（产品名称2）</w:t>
      </w:r>
      <w:r>
        <w:rPr>
          <w:rFonts w:hint="eastAsia"/>
          <w:shd w:val="clear" w:color="auto" w:fill="ffffff"/>
        </w:rPr>
        <w:t xml:space="preserve">，生产厂为</w:t>
      </w:r>
      <w:r>
        <w:rPr>
          <w:rStyle w:val="885"/>
          <w:rFonts w:hint="eastAsia"/>
          <w:b w:val="0"/>
          <w:bCs w:val="0"/>
          <w:u w:val="single"/>
          <w:shd w:val="clear" w:color="auto" w:fill="ffffff"/>
        </w:rPr>
        <w:t xml:space="preserve">（厂名）</w:t>
      </w:r>
      <w:r>
        <w:rPr>
          <w:rFonts w:hint="eastAsia"/>
          <w:shd w:val="clear" w:color="auto" w:fill="ffffff"/>
        </w:rPr>
        <w:t xml:space="preserve">，厂址为</w:t>
      </w:r>
      <w:r>
        <w:rPr>
          <w:rStyle w:val="885"/>
          <w:rFonts w:hint="eastAsia"/>
          <w:b w:val="0"/>
          <w:bCs w:val="0"/>
          <w:u w:val="single"/>
          <w:shd w:val="clear" w:color="auto" w:fill="ffffff"/>
        </w:rPr>
        <w:t xml:space="preserve">（生产厂址）</w:t>
      </w:r>
      <w:r>
        <w:rPr>
          <w:rFonts w:hint="eastAsia"/>
          <w:shd w:val="clear" w:color="auto" w:fill="ffffff"/>
        </w:rPr>
        <w:t xml:space="preserve">。</w:t>
      </w:r>
      <w:r>
        <w:rPr>
          <w:rStyle w:val="885"/>
          <w:rFonts w:hint="eastAsia"/>
          <w:b w:val="0"/>
          <w:bCs w:val="0"/>
          <w:u w:val="single"/>
          <w:shd w:val="clear" w:color="auto" w:fill="ffffff"/>
        </w:rPr>
        <w:t xml:space="preserve">（产品名称2）</w:t>
      </w:r>
      <w:r>
        <w:rPr>
          <w:rFonts w:hint="eastAsia"/>
          <w:shd w:val="clear" w:color="auto" w:fill="ffffff"/>
        </w:rPr>
        <w:t xml:space="preserve">的中国境内生产的组件成本占比≥</w:t>
      </w:r>
      <w:r>
        <w:rPr>
          <w:rStyle w:val="885"/>
          <w:rFonts w:hint="eastAsia"/>
          <w:b w:val="0"/>
          <w:bCs w:val="0"/>
          <w:u w:val="single"/>
          <w:shd w:val="clear" w:color="auto" w:fill="ffffff"/>
        </w:rPr>
        <w:t xml:space="preserve">（规定比例）</w:t>
      </w:r>
      <w:r>
        <w:rPr>
          <w:rFonts w:hint="eastAsia"/>
          <w:shd w:val="clear" w:color="auto" w:fill="ffffff"/>
        </w:rPr>
        <w:t xml:space="preserve">。</w:t>
      </w:r>
      <w:r>
        <w:rPr>
          <w:rStyle w:val="885"/>
          <w:rFonts w:hint="eastAsia"/>
          <w:b w:val="0"/>
          <w:bCs w:val="0"/>
          <w:u w:val="single"/>
          <w:shd w:val="clear" w:color="auto" w:fill="ffffff"/>
        </w:rPr>
        <w:t xml:space="preserve">（产品名称2）</w:t>
      </w:r>
      <w:r>
        <w:rPr>
          <w:rFonts w:hint="eastAsia"/>
          <w:shd w:val="clear" w:color="auto" w:fill="ffffff"/>
        </w:rPr>
        <w:t xml:space="preserve">的</w:t>
      </w:r>
      <w:r>
        <w:rPr>
          <w:rStyle w:val="885"/>
          <w:rFonts w:hint="eastAsia"/>
          <w:b w:val="0"/>
          <w:bCs w:val="0"/>
          <w:u w:val="single"/>
          <w:shd w:val="clear" w:color="auto" w:fill="ffffff"/>
        </w:rPr>
        <w:t xml:space="preserve">（关键组件）</w:t>
      </w:r>
      <w:r>
        <w:rPr>
          <w:rFonts w:hint="eastAsia"/>
          <w:shd w:val="clear" w:color="auto" w:fill="ffffff"/>
        </w:rPr>
        <w:t xml:space="preserve">在中国境内生产。</w:t>
      </w:r>
      <w:r>
        <w:rPr>
          <w:rStyle w:val="885"/>
          <w:rFonts w:hint="eastAsia"/>
          <w:b w:val="0"/>
          <w:bCs w:val="0"/>
          <w:u w:val="single"/>
          <w:shd w:val="clear" w:color="auto" w:fill="ffffff"/>
        </w:rPr>
        <w:t xml:space="preserve">（产品名称1）</w:t>
      </w:r>
      <w:r>
        <w:rPr>
          <w:rFonts w:hint="eastAsia"/>
          <w:shd w:val="clear" w:color="auto" w:fill="ffffff"/>
        </w:rPr>
        <w:t xml:space="preserve">的</w:t>
      </w:r>
      <w:r>
        <w:rPr>
          <w:rStyle w:val="885"/>
          <w:rFonts w:hint="eastAsia"/>
          <w:b w:val="0"/>
          <w:bCs w:val="0"/>
          <w:u w:val="single"/>
          <w:shd w:val="clear" w:color="auto" w:fill="ffffff"/>
        </w:rPr>
        <w:t xml:space="preserve">（关键工序）</w:t>
      </w:r>
      <w:r>
        <w:rPr>
          <w:rFonts w:hint="eastAsia"/>
          <w:shd w:val="clear" w:color="auto" w:fill="ffffff"/>
        </w:rPr>
        <w:t xml:space="preserve">在中国境内完成。</w:t>
      </w:r>
      <w:r/>
    </w:p>
    <w:p>
      <w:pPr>
        <w:pStyle w:val="880"/>
        <w:ind w:firstLine="420"/>
        <w:spacing w:before="30" w:beforeAutospacing="0" w:after="30" w:afterAutospacing="0" w:line="460" w:lineRule="exact"/>
        <w:rPr>
          <w:rFonts w:hint="eastAsia"/>
        </w:rPr>
      </w:pPr>
      <w:r>
        <w:rPr>
          <w:rFonts w:hint="eastAsia"/>
          <w:shd w:val="clear" w:color="auto" w:fill="ffffff"/>
        </w:rPr>
        <w:t xml:space="preserve">……</w:t>
      </w:r>
      <w:r/>
    </w:p>
    <w:p>
      <w:pPr>
        <w:pStyle w:val="880"/>
        <w:ind w:firstLine="420"/>
        <w:spacing w:before="30" w:beforeAutospacing="0" w:after="30" w:afterAutospacing="0" w:line="460" w:lineRule="exact"/>
        <w:rPr>
          <w:rFonts w:hint="eastAsia"/>
        </w:rPr>
      </w:pPr>
      <w:r>
        <w:rPr>
          <w:rFonts w:hint="eastAsia"/>
          <w:shd w:val="clear" w:color="auto" w:fill="ffffff"/>
        </w:rPr>
        <w:t xml:space="preserve">本公司（单位）对上述声明内容的真实性负责。如有虚假，愿承担相应法律责任。</w:t>
      </w:r>
      <w:r/>
    </w:p>
    <w:p>
      <w:pPr>
        <w:pStyle w:val="880"/>
        <w:spacing w:before="30" w:beforeAutospacing="0" w:after="30" w:afterAutospacing="0" w:line="460" w:lineRule="exact"/>
        <w:rPr>
          <w:rFonts w:hint="eastAsia"/>
        </w:rPr>
      </w:pPr>
      <w:r>
        <w:rPr>
          <w:rFonts w:hint="eastAsia"/>
        </w:rPr>
      </w:r>
      <w:r/>
    </w:p>
    <w:p>
      <w:pPr>
        <w:pStyle w:val="880"/>
        <w:ind w:right="480" w:firstLine="3720"/>
        <w:spacing w:before="30" w:beforeAutospacing="0" w:after="30" w:afterAutospacing="0" w:line="460" w:lineRule="exact"/>
        <w:rPr>
          <w:rFonts w:hint="eastAsia"/>
        </w:rPr>
      </w:pPr>
      <w:r>
        <w:rPr>
          <w:rFonts w:hint="eastAsia"/>
          <w:shd w:val="clear" w:color="auto" w:fill="ffffff"/>
        </w:rPr>
        <w:t xml:space="preserve">公司（单位）名称（盖章）：　        </w:t>
      </w:r>
      <w:r/>
    </w:p>
    <w:p>
      <w:pPr>
        <w:pStyle w:val="880"/>
        <w:jc w:val="center"/>
        <w:spacing w:before="30" w:beforeAutospacing="0" w:after="30" w:afterAutospacing="0" w:line="460" w:lineRule="exact"/>
        <w:rPr>
          <w:rFonts w:hint="eastAsia"/>
        </w:rPr>
      </w:pPr>
      <w:r>
        <w:rPr>
          <w:rFonts w:hint="eastAsia"/>
          <w:shd w:val="clear" w:color="auto" w:fill="ffffff"/>
        </w:rPr>
        <w:t xml:space="preserve">                                日期：　   年　  月　  日         </w:t>
      </w:r>
      <w:r/>
    </w:p>
    <w:p>
      <w:pPr>
        <w:pStyle w:val="880"/>
        <w:spacing w:before="30" w:beforeAutospacing="0" w:after="30" w:afterAutospacing="0" w:line="460" w:lineRule="exact"/>
        <w:rPr>
          <w:rFonts w:hint="eastAsia"/>
          <w:shd w:val="clear" w:color="auto" w:fill="ffffff"/>
        </w:rPr>
      </w:pPr>
      <w:r>
        <w:rPr>
          <w:rFonts w:hint="eastAsia"/>
          <w:shd w:val="clear" w:color="auto" w:fill="ffffff"/>
        </w:rPr>
        <w:t xml:space="preserve">注：</w:t>
      </w:r>
      <w:r/>
    </w:p>
    <w:p>
      <w:pPr>
        <w:pStyle w:val="880"/>
        <w:spacing w:before="30" w:beforeAutospacing="0" w:after="30" w:afterAutospacing="0" w:line="460" w:lineRule="exact"/>
        <w:rPr>
          <w:rFonts w:hint="eastAsia"/>
        </w:rPr>
      </w:pPr>
      <w:r>
        <w:rPr>
          <w:rFonts w:hint="eastAsia"/>
          <w:shd w:val="clear" w:color="auto" w:fill="ffffff"/>
        </w:rPr>
        <w:t xml:space="preserve">1.产品如有型号，请在“产品名称”栏一并填写。</w:t>
      </w:r>
      <w:r/>
    </w:p>
    <w:p>
      <w:pPr>
        <w:pStyle w:val="880"/>
        <w:spacing w:before="30" w:beforeAutospacing="0" w:after="30" w:afterAutospacing="0" w:line="460" w:lineRule="exact"/>
        <w:rPr>
          <w:rFonts w:hint="eastAsia"/>
        </w:rPr>
      </w:pPr>
      <w:r>
        <w:rPr>
          <w:rFonts w:hint="eastAsia"/>
          <w:shd w:val="clear" w:color="auto" w:fill="ffffff"/>
        </w:rPr>
        <w:t xml:space="preserve">2.生产厂名与厂址应与生产厂营业执照载明的相关信息保持一致。</w:t>
      </w:r>
      <w:r/>
    </w:p>
    <w:p>
      <w:pPr>
        <w:pStyle w:val="880"/>
        <w:spacing w:before="30" w:beforeAutospacing="0" w:after="30" w:afterAutospacing="0" w:line="46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880"/>
        <w:spacing w:before="30" w:beforeAutospacing="0" w:after="30" w:afterAutospacing="0" w:line="460" w:lineRule="exact"/>
        <w:rPr>
          <w:rFonts w:hint="eastAsia"/>
        </w:rPr>
      </w:pPr>
      <w:r>
        <w:rPr>
          <w:rFonts w:hint="eastAsia"/>
          <w:shd w:val="clear" w:color="auto" w:fill="ffffff"/>
        </w:rPr>
        <w:t xml:space="preserve">4.该产品的关键组件要求实施前，“关键组件”栏可不填，下同。</w:t>
      </w:r>
      <w:r/>
    </w:p>
    <w:p>
      <w:pPr>
        <w:pStyle w:val="880"/>
        <w:spacing w:before="30" w:beforeAutospacing="0" w:after="30" w:afterAutospacing="0" w:line="46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880"/>
        <w:spacing w:before="30" w:beforeAutospacing="0" w:after="30" w:afterAutospacing="0" w:line="460" w:lineRule="exact"/>
        <w:rPr>
          <w:rFonts w:hint="eastAsia"/>
          <w:shd w:val="clear" w:color="auto" w:fill="ffffff"/>
        </w:rPr>
      </w:pPr>
      <w:r>
        <w:rPr>
          <w:rFonts w:hint="eastAsia"/>
          <w:shd w:val="clear" w:color="auto" w:fill="ffffff"/>
        </w:rPr>
        <w:t xml:space="preserve">6.用斜线划除的地方无需填写。</w:t>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20" w:lineRule="exact"/>
        <w:rPr>
          <w:rFonts w:hint="eastAsia" w:ascii="宋体" w:hAnsi="宋体" w:cs="仿宋"/>
          <w:b/>
          <w:bCs/>
          <w:sz w:val="32"/>
          <w:szCs w:val="32"/>
        </w:rPr>
      </w:pPr>
      <w:r>
        <w:rPr>
          <w:rFonts w:hint="eastAsia" w:ascii="仿宋" w:hAnsi="仿宋" w:eastAsia="仿宋"/>
          <w:b/>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highlight w:val="green"/>
        </w:rPr>
      </w:pPr>
      <w:r>
        <w:rPr>
          <w:rFonts w:hint="eastAsia" w:ascii="宋体" w:hAnsi="宋体"/>
          <w:sz w:val="28"/>
          <w:szCs w:val="28"/>
          <w:highlight w:val="green"/>
        </w:rPr>
      </w:r>
      <w:r/>
    </w:p>
    <w:p>
      <w:pPr>
        <w:spacing w:line="300" w:lineRule="auto"/>
        <w:rPr>
          <w:rFonts w:hint="eastAsia"/>
          <w:sz w:val="28"/>
          <w:szCs w:val="28"/>
        </w:rPr>
        <w:outlineLvl w:val="0"/>
      </w:pPr>
      <w:r>
        <w:rPr>
          <w:rFonts w:hint="eastAsia"/>
          <w:sz w:val="28"/>
          <w:szCs w:val="28"/>
        </w:rPr>
      </w:r>
      <w:r/>
    </w:p>
    <w:p>
      <w:pPr>
        <w:contextualSpacing/>
        <w:ind w:firstLine="562"/>
        <w:spacing w:line="500" w:lineRule="exact"/>
        <w:rPr>
          <w:rFonts w:hint="eastAsia" w:ascii="仿宋" w:hAnsi="仿宋" w:eastAsia="仿宋"/>
          <w:b/>
          <w:sz w:val="28"/>
          <w:szCs w:val="28"/>
        </w:rPr>
        <w:outlineLvl w:val="0"/>
      </w:pPr>
      <w:r>
        <w:rPr>
          <w:rFonts w:hint="eastAsia"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魏碑简体">
    <w:panose1 w:val="020B0503020202020204"/>
  </w:font>
  <w:font w:name="方正小标宋_GBK">
    <w:panose1 w:val="020B05030202020202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alibri">
    <w:panose1 w:val="020F0502020204030204"/>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43</w:t>
    </w:r>
    <w:r>
      <w:rPr>
        <w:sz w:val="28"/>
        <w:szCs w:val="28"/>
      </w:rPr>
      <w:fldChar w:fldCharType="end"/>
    </w:r>
    <w:r>
      <w:rPr>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90</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7"/>
    <w:link w:val="863"/>
    <w:uiPriority w:val="9"/>
    <w:rPr>
      <w:rFonts w:ascii="Arial" w:hAnsi="Arial" w:eastAsia="Arial" w:cs="Arial"/>
      <w:sz w:val="40"/>
      <w:szCs w:val="40"/>
    </w:rPr>
  </w:style>
  <w:style w:type="character" w:styleId="693">
    <w:name w:val="Heading 2 Char"/>
    <w:basedOn w:val="867"/>
    <w:link w:val="864"/>
    <w:uiPriority w:val="9"/>
    <w:rPr>
      <w:rFonts w:ascii="Arial" w:hAnsi="Arial" w:eastAsia="Arial" w:cs="Arial"/>
      <w:sz w:val="34"/>
    </w:rPr>
  </w:style>
  <w:style w:type="character" w:styleId="694">
    <w:name w:val="Heading 3 Char"/>
    <w:basedOn w:val="867"/>
    <w:link w:val="865"/>
    <w:uiPriority w:val="9"/>
    <w:rPr>
      <w:rFonts w:ascii="Arial" w:hAnsi="Arial" w:eastAsia="Arial" w:cs="Arial"/>
      <w:sz w:val="30"/>
      <w:szCs w:val="30"/>
    </w:rPr>
  </w:style>
  <w:style w:type="character" w:styleId="695">
    <w:name w:val="Heading 4 Char"/>
    <w:basedOn w:val="867"/>
    <w:link w:val="866"/>
    <w:uiPriority w:val="9"/>
    <w:rPr>
      <w:rFonts w:ascii="Arial" w:hAnsi="Arial" w:eastAsia="Arial" w:cs="Arial"/>
      <w:b/>
      <w:bCs/>
      <w:sz w:val="26"/>
      <w:szCs w:val="26"/>
    </w:rPr>
  </w:style>
  <w:style w:type="paragraph" w:styleId="696">
    <w:name w:val="Heading 5"/>
    <w:basedOn w:val="862"/>
    <w:next w:val="862"/>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7"/>
    <w:link w:val="696"/>
    <w:uiPriority w:val="9"/>
    <w:rPr>
      <w:rFonts w:ascii="Arial" w:hAnsi="Arial" w:eastAsia="Arial" w:cs="Arial"/>
      <w:b/>
      <w:bCs/>
      <w:sz w:val="24"/>
      <w:szCs w:val="24"/>
    </w:rPr>
  </w:style>
  <w:style w:type="paragraph" w:styleId="698">
    <w:name w:val="Heading 6"/>
    <w:basedOn w:val="862"/>
    <w:next w:val="862"/>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7"/>
    <w:link w:val="698"/>
    <w:uiPriority w:val="9"/>
    <w:rPr>
      <w:rFonts w:ascii="Arial" w:hAnsi="Arial" w:eastAsia="Arial" w:cs="Arial"/>
      <w:b/>
      <w:bCs/>
      <w:sz w:val="22"/>
      <w:szCs w:val="22"/>
    </w:rPr>
  </w:style>
  <w:style w:type="paragraph" w:styleId="700">
    <w:name w:val="Heading 7"/>
    <w:basedOn w:val="862"/>
    <w:next w:val="862"/>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7"/>
    <w:link w:val="700"/>
    <w:uiPriority w:val="9"/>
    <w:rPr>
      <w:rFonts w:ascii="Arial" w:hAnsi="Arial" w:eastAsia="Arial" w:cs="Arial"/>
      <w:b/>
      <w:bCs/>
      <w:i/>
      <w:iCs/>
      <w:sz w:val="22"/>
      <w:szCs w:val="22"/>
    </w:rPr>
  </w:style>
  <w:style w:type="paragraph" w:styleId="702">
    <w:name w:val="Heading 8"/>
    <w:basedOn w:val="862"/>
    <w:next w:val="862"/>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7"/>
    <w:link w:val="702"/>
    <w:uiPriority w:val="9"/>
    <w:rPr>
      <w:rFonts w:ascii="Arial" w:hAnsi="Arial" w:eastAsia="Arial" w:cs="Arial"/>
      <w:i/>
      <w:iCs/>
      <w:sz w:val="22"/>
      <w:szCs w:val="22"/>
    </w:rPr>
  </w:style>
  <w:style w:type="paragraph" w:styleId="704">
    <w:name w:val="Heading 9"/>
    <w:basedOn w:val="862"/>
    <w:next w:val="862"/>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7"/>
    <w:link w:val="704"/>
    <w:uiPriority w:val="9"/>
    <w:rPr>
      <w:rFonts w:ascii="Arial" w:hAnsi="Arial" w:eastAsia="Arial" w:cs="Arial"/>
      <w:i/>
      <w:iCs/>
      <w:sz w:val="21"/>
      <w:szCs w:val="21"/>
    </w:rPr>
  </w:style>
  <w:style w:type="paragraph" w:styleId="706">
    <w:name w:val="List Paragraph"/>
    <w:basedOn w:val="862"/>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2"/>
    <w:next w:val="862"/>
    <w:link w:val="709"/>
    <w:uiPriority w:val="10"/>
    <w:qFormat/>
    <w:pPr>
      <w:contextualSpacing/>
      <w:spacing w:before="300" w:after="200"/>
    </w:pPr>
    <w:rPr>
      <w:sz w:val="48"/>
      <w:szCs w:val="48"/>
    </w:rPr>
  </w:style>
  <w:style w:type="character" w:styleId="709">
    <w:name w:val="Title Char"/>
    <w:basedOn w:val="867"/>
    <w:link w:val="708"/>
    <w:uiPriority w:val="10"/>
    <w:rPr>
      <w:sz w:val="48"/>
      <w:szCs w:val="48"/>
    </w:rPr>
  </w:style>
  <w:style w:type="paragraph" w:styleId="710">
    <w:name w:val="Subtitle"/>
    <w:basedOn w:val="862"/>
    <w:next w:val="862"/>
    <w:link w:val="711"/>
    <w:uiPriority w:val="11"/>
    <w:qFormat/>
    <w:pPr>
      <w:spacing w:before="200" w:after="200"/>
    </w:pPr>
    <w:rPr>
      <w:sz w:val="24"/>
      <w:szCs w:val="24"/>
    </w:rPr>
  </w:style>
  <w:style w:type="character" w:styleId="711">
    <w:name w:val="Subtitle Char"/>
    <w:basedOn w:val="867"/>
    <w:link w:val="710"/>
    <w:uiPriority w:val="11"/>
    <w:rPr>
      <w:sz w:val="24"/>
      <w:szCs w:val="24"/>
    </w:rPr>
  </w:style>
  <w:style w:type="paragraph" w:styleId="712">
    <w:name w:val="Quote"/>
    <w:basedOn w:val="862"/>
    <w:next w:val="862"/>
    <w:link w:val="713"/>
    <w:uiPriority w:val="29"/>
    <w:qFormat/>
    <w:pPr>
      <w:ind w:left="720" w:right="720"/>
    </w:pPr>
    <w:rPr>
      <w:i/>
    </w:rPr>
  </w:style>
  <w:style w:type="character" w:styleId="713">
    <w:name w:val="Quote Char"/>
    <w:link w:val="712"/>
    <w:uiPriority w:val="29"/>
    <w:rPr>
      <w:i/>
    </w:rPr>
  </w:style>
  <w:style w:type="paragraph" w:styleId="714">
    <w:name w:val="Intense Quote"/>
    <w:basedOn w:val="862"/>
    <w:next w:val="8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7"/>
    <w:link w:val="878"/>
    <w:uiPriority w:val="99"/>
  </w:style>
  <w:style w:type="character" w:styleId="717">
    <w:name w:val="Footer Char"/>
    <w:basedOn w:val="867"/>
    <w:link w:val="877"/>
    <w:uiPriority w:val="99"/>
  </w:style>
  <w:style w:type="paragraph" w:styleId="718">
    <w:name w:val="Caption"/>
    <w:basedOn w:val="862"/>
    <w:next w:val="862"/>
    <w:uiPriority w:val="35"/>
    <w:semiHidden/>
    <w:unhideWhenUsed/>
    <w:qFormat/>
    <w:pPr>
      <w:spacing w:line="276" w:lineRule="auto"/>
    </w:pPr>
    <w:rPr>
      <w:b/>
      <w:bCs/>
      <w:color w:val="4f81bd" w:themeColor="accent1"/>
      <w:sz w:val="18"/>
      <w:szCs w:val="18"/>
    </w:rPr>
  </w:style>
  <w:style w:type="character" w:styleId="719">
    <w:name w:val="Caption Char"/>
    <w:basedOn w:val="718"/>
    <w:link w:val="877"/>
    <w:uiPriority w:val="99"/>
  </w:style>
  <w:style w:type="table" w:styleId="720">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7"/>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7"/>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3">
    <w:name w:val="Heading 1"/>
    <w:basedOn w:val="862"/>
    <w:next w:val="862"/>
    <w:link w:val="895"/>
    <w:uiPriority w:val="0"/>
    <w:qFormat/>
    <w:pPr>
      <w:keepLines/>
      <w:keepNext/>
      <w:spacing w:before="340" w:after="330" w:line="578" w:lineRule="auto"/>
      <w:outlineLvl w:val="0"/>
    </w:pPr>
    <w:rPr>
      <w:b/>
      <w:bCs/>
      <w:sz w:val="44"/>
      <w:szCs w:val="44"/>
    </w:rPr>
  </w:style>
  <w:style w:type="paragraph" w:styleId="864">
    <w:name w:val="Heading 2"/>
    <w:basedOn w:val="862"/>
    <w:next w:val="862"/>
    <w:link w:val="896"/>
    <w:uiPriority w:val="0"/>
    <w:qFormat/>
    <w:pPr>
      <w:keepLines/>
      <w:keepNext/>
      <w:spacing w:before="260" w:after="260" w:line="416" w:lineRule="auto"/>
      <w:outlineLvl w:val="1"/>
    </w:pPr>
    <w:rPr>
      <w:rFonts w:ascii="Arial" w:hAnsi="Arial" w:eastAsia="黑体"/>
      <w:b/>
      <w:bCs/>
      <w:sz w:val="32"/>
      <w:szCs w:val="32"/>
    </w:rPr>
  </w:style>
  <w:style w:type="paragraph" w:styleId="865">
    <w:name w:val="Heading 3"/>
    <w:basedOn w:val="862"/>
    <w:next w:val="862"/>
    <w:link w:val="897"/>
    <w:uiPriority w:val="0"/>
    <w:qFormat/>
    <w:pPr>
      <w:keepLines/>
      <w:keepNext/>
      <w:spacing w:before="260" w:after="260" w:line="416" w:lineRule="auto"/>
      <w:outlineLvl w:val="2"/>
    </w:pPr>
    <w:rPr>
      <w:b/>
      <w:bCs/>
      <w:sz w:val="32"/>
      <w:szCs w:val="32"/>
    </w:rPr>
  </w:style>
  <w:style w:type="paragraph" w:styleId="866">
    <w:name w:val="Heading 4"/>
    <w:basedOn w:val="862"/>
    <w:next w:val="862"/>
    <w:link w:val="898"/>
    <w:uiPriority w:val="0"/>
    <w:qFormat/>
    <w:pPr>
      <w:jc w:val="center"/>
      <w:keepNext/>
      <w:outlineLvl w:val="3"/>
    </w:pPr>
    <w:rPr>
      <w:rFonts w:eastAsia="新宋体"/>
      <w:sz w:val="30"/>
      <w:szCs w:val="21"/>
    </w:rPr>
  </w:style>
  <w:style w:type="character" w:styleId="867" w:default="1">
    <w:name w:val="Default Paragraph Font"/>
    <w:uiPriority w:val="1"/>
    <w:unhideWhenUsed/>
    <w:qFormat/>
  </w:style>
  <w:style w:type="table" w:styleId="868" w:default="1">
    <w:name w:val="Normal Table"/>
    <w:uiPriority w:val="99"/>
    <w:unhideWhenUsed/>
    <w:qFormat/>
    <w:tblPr>
      <w:tblCellMar>
        <w:left w:w="108" w:type="dxa"/>
        <w:top w:w="0" w:type="dxa"/>
        <w:right w:w="108" w:type="dxa"/>
        <w:bottom w:w="0" w:type="dxa"/>
      </w:tblCellMar>
    </w:tblPr>
  </w:style>
  <w:style w:type="paragraph" w:styleId="869">
    <w:name w:val="Normal Indent"/>
    <w:basedOn w:val="862"/>
    <w:link w:val="899"/>
    <w:uiPriority w:val="0"/>
    <w:qFormat/>
    <w:pPr>
      <w:ind w:firstLine="420"/>
    </w:pPr>
    <w:rPr>
      <w:szCs w:val="20"/>
    </w:rPr>
  </w:style>
  <w:style w:type="paragraph" w:styleId="870">
    <w:name w:val="Document Map"/>
    <w:basedOn w:val="862"/>
    <w:link w:val="900"/>
    <w:uiPriority w:val="0"/>
    <w:semiHidden/>
    <w:qFormat/>
    <w:pPr>
      <w:shd w:val="clear" w:color="auto" w:fill="000080"/>
    </w:pPr>
  </w:style>
  <w:style w:type="paragraph" w:styleId="871">
    <w:name w:val="annotation text"/>
    <w:basedOn w:val="862"/>
    <w:uiPriority w:val="99"/>
    <w:unhideWhenUsed/>
    <w:pPr>
      <w:jc w:val="left"/>
    </w:pPr>
  </w:style>
  <w:style w:type="paragraph" w:styleId="872">
    <w:name w:val="Body Text Indent"/>
    <w:basedOn w:val="862"/>
    <w:link w:val="901"/>
    <w:uiPriority w:val="0"/>
    <w:qFormat/>
    <w:pPr>
      <w:ind w:left="420"/>
      <w:spacing w:after="120"/>
    </w:pPr>
  </w:style>
  <w:style w:type="paragraph" w:styleId="873">
    <w:name w:val="Plain Text"/>
    <w:basedOn w:val="862"/>
    <w:uiPriority w:val="0"/>
    <w:qFormat/>
    <w:rPr>
      <w:rFonts w:ascii="宋体" w:hAnsi="Courier New"/>
      <w:sz w:val="20"/>
      <w:szCs w:val="21"/>
    </w:rPr>
  </w:style>
  <w:style w:type="paragraph" w:styleId="874">
    <w:name w:val="Date"/>
    <w:basedOn w:val="862"/>
    <w:next w:val="862"/>
    <w:link w:val="902"/>
    <w:uiPriority w:val="0"/>
    <w:qFormat/>
    <w:pPr>
      <w:ind w:left="100"/>
    </w:pPr>
  </w:style>
  <w:style w:type="paragraph" w:styleId="875">
    <w:name w:val="Body Text Indent 2"/>
    <w:basedOn w:val="862"/>
    <w:uiPriority w:val="0"/>
    <w:qFormat/>
    <w:pPr>
      <w:ind w:firstLine="560"/>
      <w:spacing w:line="500" w:lineRule="exact"/>
    </w:pPr>
    <w:rPr>
      <w:rFonts w:eastAsia="仿宋_GB2312"/>
      <w:sz w:val="28"/>
      <w:szCs w:val="20"/>
    </w:rPr>
  </w:style>
  <w:style w:type="paragraph" w:styleId="876">
    <w:name w:val="Balloon Text"/>
    <w:basedOn w:val="862"/>
    <w:link w:val="903"/>
    <w:uiPriority w:val="0"/>
    <w:semiHidden/>
    <w:qFormat/>
    <w:rPr>
      <w:sz w:val="18"/>
      <w:szCs w:val="18"/>
    </w:rPr>
  </w:style>
  <w:style w:type="paragraph" w:styleId="877">
    <w:name w:val="Footer"/>
    <w:basedOn w:val="862"/>
    <w:link w:val="904"/>
    <w:uiPriority w:val="99"/>
    <w:qFormat/>
    <w:pPr>
      <w:jc w:val="left"/>
      <w:tabs>
        <w:tab w:val="center" w:pos="4153" w:leader="none"/>
        <w:tab w:val="right" w:pos="8306" w:leader="none"/>
      </w:tabs>
    </w:pPr>
    <w:rPr>
      <w:sz w:val="18"/>
      <w:szCs w:val="18"/>
    </w:rPr>
  </w:style>
  <w:style w:type="paragraph" w:styleId="878">
    <w:name w:val="Header"/>
    <w:basedOn w:val="862"/>
    <w:link w:val="905"/>
    <w:uiPriority w:val="0"/>
    <w:qFormat/>
    <w:pPr>
      <w:jc w:val="center"/>
      <w:tabs>
        <w:tab w:val="center" w:pos="4153" w:leader="none"/>
        <w:tab w:val="right" w:pos="8306" w:leader="none"/>
      </w:tabs>
      <w:pBdr>
        <w:bottom w:val="single" w:color="auto" w:sz="6" w:space="1"/>
      </w:pBdr>
    </w:pPr>
    <w:rPr>
      <w:sz w:val="18"/>
      <w:szCs w:val="18"/>
    </w:rPr>
  </w:style>
  <w:style w:type="paragraph" w:styleId="879">
    <w:name w:val="Body Text Indent 3"/>
    <w:basedOn w:val="862"/>
    <w:link w:val="906"/>
    <w:uiPriority w:val="0"/>
    <w:qFormat/>
    <w:pPr>
      <w:ind w:firstLine="539"/>
      <w:spacing w:line="520" w:lineRule="exact"/>
    </w:pPr>
    <w:rPr>
      <w:rFonts w:ascii="宋体"/>
      <w:b/>
      <w:spacing w:val="6"/>
      <w:sz w:val="28"/>
    </w:rPr>
  </w:style>
  <w:style w:type="paragraph" w:styleId="880">
    <w:name w:val="Normal (Web)"/>
    <w:basedOn w:val="862"/>
    <w:uiPriority w:val="0"/>
    <w:unhideWhenUsed/>
    <w:qFormat/>
    <w:pPr>
      <w:jc w:val="left"/>
      <w:spacing w:before="100" w:beforeAutospacing="1" w:after="100" w:afterAutospacing="1"/>
      <w:widowControl/>
    </w:pPr>
    <w:rPr>
      <w:rFonts w:ascii="宋体" w:hAnsi="宋体" w:cs="宋体"/>
      <w:sz w:val="24"/>
    </w:rPr>
  </w:style>
  <w:style w:type="table" w:styleId="881">
    <w:name w:val="Table Grid"/>
    <w:basedOn w:val="8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uiPriority w:val="22"/>
    <w:qFormat/>
    <w:rPr>
      <w:b/>
      <w:bCs/>
    </w:rPr>
  </w:style>
  <w:style w:type="character" w:styleId="883">
    <w:name w:val="page number"/>
    <w:uiPriority w:val="0"/>
    <w:qFormat/>
  </w:style>
  <w:style w:type="character" w:styleId="884">
    <w:name w:val="FollowedHyperlink"/>
    <w:uiPriority w:val="99"/>
    <w:unhideWhenUsed/>
    <w:qFormat/>
    <w:rPr>
      <w:color w:val="800080"/>
      <w:u w:val="none"/>
    </w:rPr>
  </w:style>
  <w:style w:type="character" w:styleId="885">
    <w:name w:val="Emphasis"/>
    <w:uiPriority w:val="0"/>
    <w:qFormat/>
    <w:rPr>
      <w:b/>
      <w:bCs/>
    </w:rPr>
  </w:style>
  <w:style w:type="character" w:styleId="886">
    <w:name w:val="HTML Definition"/>
    <w:uiPriority w:val="99"/>
    <w:unhideWhenUsed/>
    <w:qFormat/>
  </w:style>
  <w:style w:type="character" w:styleId="887">
    <w:name w:val="HTML Typewriter"/>
    <w:uiPriority w:val="99"/>
    <w:unhideWhenUsed/>
    <w:qFormat/>
    <w:rPr>
      <w:rFonts w:hint="default" w:ascii="monospace" w:hAnsi="monospace" w:eastAsia="monospace" w:cs="monospace"/>
      <w:sz w:val="20"/>
    </w:rPr>
  </w:style>
  <w:style w:type="character" w:styleId="888">
    <w:name w:val="HTML Acronym"/>
    <w:uiPriority w:val="99"/>
    <w:unhideWhenUsed/>
    <w:qFormat/>
  </w:style>
  <w:style w:type="character" w:styleId="889">
    <w:name w:val="HTML Variable"/>
    <w:uiPriority w:val="99"/>
    <w:unhideWhenUsed/>
    <w:qFormat/>
  </w:style>
  <w:style w:type="character" w:styleId="890">
    <w:name w:val="Hyperlink"/>
    <w:uiPriority w:val="99"/>
    <w:unhideWhenUsed/>
    <w:qFormat/>
    <w:rPr>
      <w:color w:val="0000ff"/>
      <w:u w:val="none"/>
    </w:rPr>
  </w:style>
  <w:style w:type="character" w:styleId="891">
    <w:name w:val="HTML Code"/>
    <w:uiPriority w:val="99"/>
    <w:unhideWhenUsed/>
    <w:qFormat/>
    <w:rPr>
      <w:rFonts w:hint="default" w:ascii="monospace" w:hAnsi="monospace" w:eastAsia="monospace" w:cs="monospace"/>
      <w:sz w:val="20"/>
    </w:rPr>
  </w:style>
  <w:style w:type="character" w:styleId="892">
    <w:name w:val="HTML Cite"/>
    <w:uiPriority w:val="99"/>
    <w:unhideWhenUsed/>
    <w:qFormat/>
  </w:style>
  <w:style w:type="character" w:styleId="893">
    <w:name w:val="HTML Keyboard"/>
    <w:uiPriority w:val="99"/>
    <w:unhideWhenUsed/>
    <w:qFormat/>
    <w:rPr>
      <w:rFonts w:ascii="monospace" w:hAnsi="monospace" w:eastAsia="monospace" w:cs="monospace"/>
      <w:sz w:val="20"/>
    </w:rPr>
  </w:style>
  <w:style w:type="character" w:styleId="894">
    <w:name w:val="HTML Sample"/>
    <w:uiPriority w:val="99"/>
    <w:unhideWhenUsed/>
    <w:qFormat/>
    <w:rPr>
      <w:rFonts w:hint="default" w:ascii="monospace" w:hAnsi="monospace" w:eastAsia="monospace" w:cs="monospace"/>
    </w:rPr>
  </w:style>
  <w:style w:type="character" w:styleId="895" w:customStyle="1">
    <w:name w:val="标题 1 Char"/>
    <w:link w:val="863"/>
    <w:uiPriority w:val="0"/>
    <w:qFormat/>
    <w:rPr>
      <w:b/>
      <w:bCs/>
      <w:sz w:val="44"/>
      <w:szCs w:val="44"/>
    </w:rPr>
  </w:style>
  <w:style w:type="character" w:styleId="896" w:customStyle="1">
    <w:name w:val="标题 2 Char"/>
    <w:link w:val="864"/>
    <w:uiPriority w:val="0"/>
    <w:qFormat/>
    <w:rPr>
      <w:rFonts w:ascii="Arial" w:hAnsi="Arial" w:eastAsia="黑体"/>
      <w:b/>
      <w:bCs/>
      <w:sz w:val="32"/>
      <w:szCs w:val="32"/>
    </w:rPr>
  </w:style>
  <w:style w:type="character" w:styleId="897" w:customStyle="1">
    <w:name w:val="标题 3 Char"/>
    <w:link w:val="865"/>
    <w:uiPriority w:val="0"/>
    <w:qFormat/>
    <w:rPr>
      <w:b/>
      <w:bCs/>
      <w:sz w:val="32"/>
      <w:szCs w:val="32"/>
    </w:rPr>
  </w:style>
  <w:style w:type="character" w:styleId="898" w:customStyle="1">
    <w:name w:val="标题 4 Char"/>
    <w:link w:val="866"/>
    <w:uiPriority w:val="0"/>
    <w:qFormat/>
    <w:rPr>
      <w:rFonts w:eastAsia="新宋体"/>
      <w:sz w:val="30"/>
      <w:szCs w:val="21"/>
    </w:rPr>
  </w:style>
  <w:style w:type="character" w:styleId="899" w:customStyle="1">
    <w:name w:val="正文缩进 Char"/>
    <w:link w:val="869"/>
    <w:uiPriority w:val="0"/>
    <w:qFormat/>
    <w:rPr>
      <w:sz w:val="21"/>
    </w:rPr>
  </w:style>
  <w:style w:type="character" w:styleId="900" w:customStyle="1">
    <w:name w:val="文档结构图 Char"/>
    <w:link w:val="870"/>
    <w:uiPriority w:val="0"/>
    <w:semiHidden/>
    <w:qFormat/>
    <w:rPr>
      <w:sz w:val="21"/>
      <w:szCs w:val="24"/>
      <w:shd w:val="clear" w:color="auto" w:fill="000080"/>
    </w:rPr>
  </w:style>
  <w:style w:type="character" w:styleId="901" w:customStyle="1">
    <w:name w:val="正文文本缩进 Char"/>
    <w:link w:val="872"/>
    <w:uiPriority w:val="0"/>
    <w:qFormat/>
    <w:rPr>
      <w:sz w:val="21"/>
      <w:szCs w:val="24"/>
    </w:rPr>
  </w:style>
  <w:style w:type="character" w:styleId="902" w:customStyle="1">
    <w:name w:val="日期 Char"/>
    <w:link w:val="874"/>
    <w:uiPriority w:val="0"/>
    <w:qFormat/>
    <w:rPr>
      <w:sz w:val="21"/>
      <w:szCs w:val="24"/>
    </w:rPr>
  </w:style>
  <w:style w:type="character" w:styleId="903" w:customStyle="1">
    <w:name w:val="批注框文本 Char"/>
    <w:link w:val="876"/>
    <w:uiPriority w:val="0"/>
    <w:semiHidden/>
    <w:qFormat/>
    <w:rPr>
      <w:sz w:val="18"/>
      <w:szCs w:val="18"/>
    </w:rPr>
  </w:style>
  <w:style w:type="character" w:styleId="904" w:customStyle="1">
    <w:name w:val="页脚 Char"/>
    <w:link w:val="877"/>
    <w:uiPriority w:val="99"/>
    <w:qFormat/>
    <w:rPr>
      <w:sz w:val="18"/>
      <w:szCs w:val="18"/>
    </w:rPr>
  </w:style>
  <w:style w:type="character" w:styleId="905" w:customStyle="1">
    <w:name w:val="页眉 Char"/>
    <w:link w:val="878"/>
    <w:uiPriority w:val="0"/>
    <w:qFormat/>
    <w:rPr>
      <w:sz w:val="18"/>
      <w:szCs w:val="18"/>
    </w:rPr>
  </w:style>
  <w:style w:type="character" w:styleId="906" w:customStyle="1">
    <w:name w:val="正文文本缩进 3 Char"/>
    <w:link w:val="879"/>
    <w:uiPriority w:val="0"/>
    <w:qFormat/>
    <w:rPr>
      <w:rFonts w:ascii="宋体"/>
      <w:b/>
      <w:spacing w:val="6"/>
      <w:sz w:val="28"/>
      <w:szCs w:val="24"/>
    </w:rPr>
  </w:style>
  <w:style w:type="character" w:styleId="907" w:customStyle="1">
    <w:name w:val="正文缩进2格 Char"/>
    <w:link w:val="908"/>
    <w:uiPriority w:val="0"/>
    <w:qFormat/>
    <w:rPr>
      <w:rFonts w:ascii="仿宋_GB2312" w:hAnsi="宋体" w:eastAsia="仿宋_GB2312"/>
      <w:sz w:val="31"/>
      <w:szCs w:val="28"/>
    </w:rPr>
  </w:style>
  <w:style w:type="paragraph" w:styleId="908" w:customStyle="1">
    <w:name w:val="正文缩进2格"/>
    <w:basedOn w:val="862"/>
    <w:link w:val="907"/>
    <w:uiPriority w:val="0"/>
    <w:qFormat/>
    <w:pPr>
      <w:ind w:firstLine="639"/>
      <w:spacing w:line="600" w:lineRule="exact"/>
    </w:pPr>
    <w:rPr>
      <w:rFonts w:ascii="仿宋_GB2312" w:hAnsi="宋体" w:eastAsia="仿宋_GB2312"/>
      <w:sz w:val="31"/>
      <w:szCs w:val="28"/>
    </w:rPr>
  </w:style>
  <w:style w:type="character" w:styleId="909" w:customStyle="1">
    <w:name w:val="标题 3.1 Char"/>
    <w:link w:val="910"/>
    <w:uiPriority w:val="0"/>
    <w:qFormat/>
    <w:rPr>
      <w:rFonts w:ascii="宋体" w:hAnsi="宋体"/>
      <w:b/>
      <w:bCs/>
      <w:color w:val="000000"/>
      <w:sz w:val="32"/>
      <w:szCs w:val="32"/>
    </w:rPr>
  </w:style>
  <w:style w:type="paragraph" w:styleId="910" w:customStyle="1">
    <w:name w:val="标题 3.1"/>
    <w:basedOn w:val="865"/>
    <w:link w:val="909"/>
    <w:uiPriority w:val="0"/>
    <w:qFormat/>
    <w:pPr>
      <w:spacing w:line="600" w:lineRule="exact"/>
      <w:tabs>
        <w:tab w:val="left" w:pos="1440" w:leader="none"/>
        <w:tab w:val="left" w:pos="1620" w:leader="none"/>
      </w:tabs>
    </w:pPr>
    <w:rPr>
      <w:rFonts w:ascii="宋体" w:hAnsi="宋体"/>
      <w:color w:val="000000"/>
    </w:rPr>
  </w:style>
  <w:style w:type="paragraph" w:styleId="911" w:customStyle="1">
    <w:name w:val=" Char"/>
    <w:basedOn w:val="862"/>
    <w:uiPriority w:val="0"/>
    <w:qFormat/>
    <w:rPr>
      <w:rFonts w:ascii="Tahoma" w:hAnsi="Tahoma"/>
      <w:sz w:val="24"/>
      <w:szCs w:val="20"/>
    </w:rPr>
  </w:style>
  <w:style w:type="paragraph" w:styleId="912" w:customStyle="1">
    <w:name w:val="正文缩进4格"/>
    <w:basedOn w:val="908"/>
    <w:uiPriority w:val="0"/>
    <w:qFormat/>
    <w:pPr>
      <w:ind w:left="2" w:firstLine="538"/>
    </w:pPr>
    <w:rPr>
      <w:color w:val="000000"/>
      <w:sz w:val="28"/>
    </w:rPr>
  </w:style>
  <w:style w:type="paragraph" w:styleId="913" w:customStyle="1">
    <w:name w:val=" Char Char Char Char"/>
    <w:basedOn w:val="862"/>
    <w:uiPriority w:val="0"/>
    <w:qFormat/>
    <w:rPr>
      <w:rFonts w:ascii="Tahoma" w:hAnsi="Tahoma"/>
      <w:sz w:val="24"/>
      <w:szCs w:val="20"/>
    </w:rPr>
  </w:style>
  <w:style w:type="paragraph" w:styleId="914" w:customStyle="1">
    <w:name w:val="Char1"/>
    <w:basedOn w:val="862"/>
    <w:uiPriority w:val="0"/>
    <w:qFormat/>
    <w:pPr>
      <w:ind w:left="840" w:hanging="420"/>
      <w:tabs>
        <w:tab w:val="left" w:pos="840" w:leader="none"/>
      </w:tabs>
    </w:pPr>
    <w:rPr>
      <w:sz w:val="24"/>
    </w:rPr>
  </w:style>
  <w:style w:type="paragraph" w:styleId="915" w:customStyle="1">
    <w:name w:val=" Char Char1 Char Char Char Char Char Char"/>
    <w:basedOn w:val="862"/>
    <w:uiPriority w:val="0"/>
    <w:qFormat/>
    <w:pPr>
      <w:jc w:val="left"/>
      <w:spacing w:after="160" w:line="240" w:lineRule="exact"/>
      <w:widowControl/>
    </w:pPr>
    <w:rPr>
      <w:rFonts w:ascii="Verdana" w:hAnsi="Verdana" w:eastAsia="仿宋_GB2312"/>
      <w:sz w:val="24"/>
      <w:szCs w:val="20"/>
      <w:lang w:eastAsia="en-US"/>
    </w:rPr>
  </w:style>
  <w:style w:type="paragraph" w:styleId="916" w:customStyle="1">
    <w:name w:val="msonormalcxspmiddle"/>
    <w:basedOn w:val="862"/>
    <w:uiPriority w:val="0"/>
    <w:qFormat/>
    <w:pPr>
      <w:jc w:val="left"/>
      <w:spacing w:before="100" w:beforeAutospacing="1" w:after="100" w:afterAutospacing="1"/>
      <w:widowControl/>
    </w:pPr>
    <w:rPr>
      <w:rFonts w:ascii="宋体" w:hAnsi="宋体" w:cs="宋体"/>
      <w:sz w:val="24"/>
    </w:rPr>
  </w:style>
  <w:style w:type="paragraph" w:styleId="917" w:customStyle="1">
    <w:name w:val=" Char Char 字元 字元 字元 Char Char Char Char"/>
    <w:basedOn w:val="862"/>
    <w:uiPriority w:val="0"/>
    <w:qFormat/>
    <w:pPr>
      <w:spacing w:line="360" w:lineRule="auto"/>
    </w:pPr>
    <w:rPr>
      <w:sz w:val="24"/>
      <w:szCs w:val="20"/>
    </w:rPr>
  </w:style>
  <w:style w:type="paragraph" w:styleId="918" w:customStyle="1">
    <w:name w:val="para"/>
    <w:basedOn w:val="862"/>
    <w:uiPriority w:val="0"/>
    <w:qFormat/>
    <w:pPr>
      <w:jc w:val="left"/>
      <w:spacing w:before="100" w:beforeAutospacing="1" w:after="100" w:afterAutospacing="1"/>
      <w:widowControl/>
    </w:pPr>
    <w:rPr>
      <w:rFonts w:ascii="Arial" w:hAnsi="Arial" w:cs="Arial"/>
      <w:sz w:val="18"/>
      <w:szCs w:val="18"/>
    </w:rPr>
  </w:style>
  <w:style w:type="paragraph" w:styleId="919" w:customStyle="1">
    <w:name w:val="Char"/>
    <w:basedOn w:val="862"/>
    <w:uiPriority w:val="0"/>
    <w:qFormat/>
    <w:rPr>
      <w:rFonts w:ascii="Tahoma" w:hAnsi="Tahoma"/>
      <w:sz w:val="24"/>
      <w:szCs w:val="20"/>
    </w:rPr>
  </w:style>
  <w:style w:type="paragraph" w:styleId="920" w:customStyle="1">
    <w:name w:val="msonormalcxsplast"/>
    <w:basedOn w:val="862"/>
    <w:uiPriority w:val="0"/>
    <w:qFormat/>
    <w:pPr>
      <w:jc w:val="left"/>
      <w:spacing w:before="100" w:beforeAutospacing="1" w:after="100" w:afterAutospacing="1"/>
      <w:widowControl/>
    </w:pPr>
    <w:rPr>
      <w:rFonts w:ascii="宋体" w:hAnsi="宋体" w:cs="宋体"/>
      <w:sz w:val="24"/>
    </w:rPr>
  </w:style>
  <w:style w:type="character" w:styleId="921" w:customStyle="1">
    <w:name w:val="普通正文 Char"/>
    <w:link w:val="922"/>
    <w:uiPriority w:val="0"/>
    <w:qFormat/>
    <w:rPr>
      <w:rFonts w:ascii="Arial" w:hAnsi="Arial"/>
      <w:sz w:val="24"/>
      <w:szCs w:val="24"/>
    </w:rPr>
  </w:style>
  <w:style w:type="paragraph" w:styleId="922" w:customStyle="1">
    <w:name w:val="普通正文"/>
    <w:basedOn w:val="862"/>
    <w:link w:val="921"/>
    <w:uiPriority w:val="0"/>
    <w:qFormat/>
    <w:pPr>
      <w:ind w:left="-2" w:right="120" w:firstLine="480"/>
      <w:jc w:val="center"/>
      <w:spacing w:before="120" w:after="120" w:line="360" w:lineRule="auto"/>
    </w:pPr>
    <w:rPr>
      <w:rFonts w:ascii="Arial" w:hAnsi="Arial"/>
      <w:sz w:val="24"/>
    </w:rPr>
  </w:style>
  <w:style w:type="character" w:styleId="923" w:customStyle="1">
    <w:name w:val="mini-outputtext1"/>
    <w:uiPriority w:val="0"/>
    <w:qFormat/>
  </w:style>
  <w:style w:type="character" w:styleId="924" w:customStyle="1">
    <w:name w:val="font31"/>
    <w:uiPriority w:val="0"/>
    <w:qFormat/>
    <w:rPr>
      <w:rFonts w:hint="eastAsia" w:ascii="宋体" w:hAnsi="宋体" w:eastAsia="宋体" w:cs="宋体"/>
      <w:color w:val="000000"/>
      <w:sz w:val="21"/>
      <w:szCs w:val="21"/>
      <w:u w:val="none"/>
    </w:rPr>
  </w:style>
  <w:style w:type="character" w:styleId="925" w:customStyle="1">
    <w:name w:val="font61"/>
    <w:uiPriority w:val="0"/>
    <w:qFormat/>
    <w:rPr>
      <w:rFonts w:hint="default" w:ascii="Times New Roman" w:hAnsi="Times New Roman" w:cs="Times New Roman"/>
      <w:color w:val="000000"/>
      <w:sz w:val="21"/>
      <w:szCs w:val="21"/>
      <w:u w:val="none"/>
    </w:rPr>
  </w:style>
  <w:style w:type="character" w:styleId="926" w:customStyle="1">
    <w:name w:val="font01"/>
    <w:uiPriority w:val="0"/>
    <w:qFormat/>
    <w:rPr>
      <w:rFonts w:hint="default" w:ascii="等线" w:hAnsi="等线" w:eastAsia="等线" w:cs="等线"/>
      <w:color w:val="000000"/>
      <w:sz w:val="22"/>
      <w:szCs w:val="22"/>
      <w:u w:val="none"/>
    </w:rPr>
  </w:style>
  <w:style w:type="character" w:styleId="927" w:customStyle="1">
    <w:name w:val="font51"/>
    <w:uiPriority w:val="0"/>
    <w:qFormat/>
    <w:rPr>
      <w:rFonts w:hint="default" w:ascii="等线" w:hAnsi="等线" w:eastAsia="等线" w:cs="等线"/>
      <w:b/>
      <w:bCs/>
      <w:color w:val="000000"/>
      <w:sz w:val="22"/>
      <w:szCs w:val="22"/>
      <w:u w:val="none"/>
    </w:rPr>
  </w:style>
  <w:style w:type="paragraph" w:styleId="928" w:customStyle="1">
    <w:name w:val="普通(网站) Char"/>
    <w:basedOn w:val="862"/>
    <w:uiPriority w:val="0"/>
    <w:qFormat/>
    <w:pPr>
      <w:jc w:val="left"/>
      <w:spacing w:before="100" w:beforeAutospacing="1" w:after="100" w:afterAutospacing="1"/>
      <w:widowControl/>
    </w:pPr>
    <w:rPr>
      <w:rFonts w:hint="eastAsia" w:ascii="宋体" w:hAnsi="宋体"/>
      <w:sz w:val="24"/>
    </w:rPr>
  </w:style>
  <w:style w:type="character" w:styleId="929" w:customStyle="1">
    <w:name w:val="页脚 字符"/>
    <w:basedOn w:val="867"/>
    <w:uiPriority w:val="99"/>
    <w:qFormat/>
  </w:style>
  <w:style w:type="paragraph" w:styleId="930" w:customStyle="1">
    <w:name w:val="*正文"/>
    <w:basedOn w:val="862"/>
    <w:uiPriority w:val="99"/>
    <w:qFormat/>
    <w:pPr>
      <w:ind w:firstLine="482"/>
      <w:spacing w:line="360" w:lineRule="auto"/>
    </w:pPr>
    <w:rPr>
      <w:rFonts w:eastAsia="仿宋_GB2312"/>
      <w:sz w:val="28"/>
    </w:rPr>
  </w:style>
  <w:style w:type="paragraph" w:styleId="93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正文1"/>
    <w:uiPriority w:val="0"/>
    <w:qFormat/>
    <w:pPr>
      <w:jc w:val="both"/>
      <w:widowControl w:val="off"/>
    </w:pPr>
    <w:rPr>
      <w:rFonts w:ascii="Calibri" w:hAnsi="Calibri" w:eastAsia="Calibri" w:cs="宋体"/>
      <w:sz w:val="21"/>
      <w:szCs w:val="24"/>
      <w:lang w:val="zh-CN" w:eastAsia="zh-CN" w:bidi="ar-SA"/>
    </w:rPr>
  </w:style>
  <w:style w:type="character" w:styleId="933" w:customStyle="1">
    <w:name w:val="c-icon28"/>
    <w:basedOn w:val="867"/>
    <w:uiPriority w:val="0"/>
    <w:qFormat/>
  </w:style>
  <w:style w:type="character" w:styleId="934" w:customStyle="1">
    <w:name w:val="hover25"/>
    <w:basedOn w:val="867"/>
    <w:uiPriority w:val="0"/>
    <w:qFormat/>
    <w:rPr>
      <w:color w:val="315efb"/>
    </w:rPr>
  </w:style>
  <w:style w:type="character" w:styleId="935" w:customStyle="1">
    <w:name w:val="hover26"/>
    <w:basedOn w:val="867"/>
    <w:uiPriority w:val="0"/>
    <w:qFormat/>
    <w:rPr>
      <w:color w:val="335bff"/>
    </w:rPr>
  </w:style>
  <w:style w:type="character" w:styleId="936" w:customStyle="1">
    <w:name w:val="hover27"/>
    <w:basedOn w:val="867"/>
    <w:uiPriority w:val="0"/>
    <w:qFormat/>
  </w:style>
  <w:style w:type="character" w:styleId="937" w:customStyle="1">
    <w:name w:val="hover28"/>
    <w:basedOn w:val="867"/>
    <w:uiPriority w:val="0"/>
    <w:qFormat/>
  </w:style>
  <w:style w:type="character" w:styleId="938" w:customStyle="1">
    <w:name w:val="hover29"/>
    <w:basedOn w:val="867"/>
    <w:uiPriority w:val="0"/>
    <w:qFormat/>
    <w:rPr>
      <w:color w:val="315efb"/>
    </w:rPr>
  </w:style>
  <w:style w:type="character" w:styleId="939" w:customStyle="1">
    <w:name w:val="name"/>
    <w:basedOn w:val="867"/>
    <w:uiPriority w:val="0"/>
    <w:qFormat/>
    <w:rPr>
      <w:color w:val="1e1f24"/>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9</cp:revision>
  <dcterms:created xsi:type="dcterms:W3CDTF">2026-07-18T01:55:00Z</dcterms:created>
  <dcterms:modified xsi:type="dcterms:W3CDTF">2026-08-17T01:28:22Z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01A4C543ECAC4FBFBB797F860E767E4E</vt:lpwstr>
  </property>
  <property fmtid="{D5CDD505-2E9C-101B-9397-08002B2CF9AE}" pid="4" name="KSOTemplateDocerSaveRecord">
    <vt:lpwstr>eyJoZGlkIjoiM2ZiYjQ1ZTMyODc3MGUxMThmNmEyZjI1YjU0MzdjN2YiLCJ1c2VySWQiOiIxMjQxODIxMDY5In0=</vt:lpwstr>
  </property>
</Properties>
</file>