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99B94B">
      <w:pPr>
        <w:pStyle w:val="279"/>
        <w:ind w:firstLine="0"/>
        <w:rPr>
          <w:rFonts w:eastAsia="黑体"/>
          <w:b/>
          <w:bCs/>
          <w:sz w:val="84"/>
        </w:rPr>
      </w:pPr>
    </w:p>
    <w:p w14:paraId="36BD2800">
      <w:pPr>
        <w:pStyle w:val="279"/>
        <w:ind w:firstLine="0"/>
        <w:jc w:val="center"/>
        <w:rPr>
          <w:rFonts w:eastAsia="黑体"/>
          <w:b/>
          <w:bCs/>
          <w:sz w:val="84"/>
        </w:rPr>
      </w:pPr>
      <w:r>
        <w:rPr>
          <w:rFonts w:hint="eastAsia" w:eastAsia="黑体"/>
          <w:b/>
          <w:bCs/>
          <w:sz w:val="84"/>
        </w:rPr>
        <w:t>招　标　文　件</w:t>
      </w:r>
    </w:p>
    <w:p w14:paraId="1D320FD9">
      <w:pPr>
        <w:pStyle w:val="279"/>
        <w:jc w:val="center"/>
        <w:rPr>
          <w:rFonts w:hint="eastAsia" w:eastAsia="宋体"/>
          <w:b/>
          <w:bCs/>
          <w:sz w:val="32"/>
          <w:lang w:eastAsia="zh-CN"/>
        </w:rPr>
      </w:pPr>
      <w:r>
        <w:rPr>
          <w:rFonts w:hint="eastAsia"/>
          <w:b/>
          <w:bCs/>
          <w:sz w:val="32"/>
        </w:rPr>
        <w:t>项目名称：</w:t>
      </w:r>
      <w:r>
        <w:rPr>
          <w:rFonts w:hint="eastAsia"/>
          <w:b/>
          <w:bCs/>
          <w:sz w:val="32"/>
          <w:lang w:eastAsia="zh-CN"/>
        </w:rPr>
        <w:t>南京中医药大学小动物辐照仪</w:t>
      </w:r>
    </w:p>
    <w:p w14:paraId="7F49E5AD">
      <w:pPr>
        <w:ind w:firstLine="643"/>
        <w:jc w:val="center"/>
        <w:rPr>
          <w:b/>
          <w:sz w:val="30"/>
          <w:szCs w:val="30"/>
        </w:rPr>
      </w:pPr>
      <w:r>
        <w:rPr>
          <w:rFonts w:hint="eastAsia"/>
          <w:b/>
          <w:bCs/>
          <w:sz w:val="32"/>
        </w:rPr>
        <w:t>项目编号：JSZC-320000-UTCC-G2026-0012</w:t>
      </w:r>
    </w:p>
    <w:p w14:paraId="74FAF397">
      <w:pPr>
        <w:ind w:left="2811" w:hanging="2811"/>
        <w:jc w:val="center"/>
        <w:rPr>
          <w:b/>
          <w:color w:val="FF0000"/>
          <w:sz w:val="28"/>
          <w:szCs w:val="28"/>
        </w:rPr>
      </w:pPr>
    </w:p>
    <w:p w14:paraId="5F1943DA">
      <w:pPr>
        <w:pStyle w:val="279"/>
        <w:spacing w:before="0" w:after="0"/>
        <w:ind w:firstLine="0"/>
        <w:rPr>
          <w:rFonts w:hint="eastAsia" w:ascii="宋体" w:hAnsi="宋体"/>
        </w:rPr>
      </w:pPr>
    </w:p>
    <w:p w14:paraId="0121C2AB">
      <w:pPr>
        <w:pStyle w:val="279"/>
        <w:spacing w:before="0" w:after="0"/>
        <w:ind w:firstLine="0"/>
        <w:rPr>
          <w:rFonts w:hint="eastAsia" w:ascii="宋体" w:hAnsi="宋体"/>
        </w:rPr>
      </w:pPr>
    </w:p>
    <w:p w14:paraId="526D64A6">
      <w:pPr>
        <w:pStyle w:val="279"/>
        <w:spacing w:before="0" w:after="0"/>
        <w:ind w:firstLine="0"/>
        <w:rPr>
          <w:rFonts w:hint="eastAsia" w:ascii="宋体" w:hAnsi="宋体"/>
        </w:rPr>
      </w:pPr>
    </w:p>
    <w:p w14:paraId="7B506E48">
      <w:pPr>
        <w:pStyle w:val="279"/>
        <w:spacing w:before="0" w:after="0"/>
        <w:ind w:firstLine="0"/>
        <w:rPr>
          <w:rFonts w:hint="eastAsia" w:ascii="宋体" w:hAnsi="宋体"/>
        </w:rPr>
      </w:pPr>
    </w:p>
    <w:p w14:paraId="605BB0A2">
      <w:pPr>
        <w:pStyle w:val="279"/>
        <w:spacing w:before="0" w:after="0"/>
        <w:ind w:firstLine="0"/>
        <w:rPr>
          <w:rFonts w:hint="eastAsia" w:ascii="宋体" w:hAnsi="宋体"/>
        </w:rPr>
      </w:pPr>
    </w:p>
    <w:p w14:paraId="02167DAE">
      <w:pPr>
        <w:pStyle w:val="279"/>
        <w:spacing w:before="0" w:after="0"/>
        <w:ind w:firstLine="0"/>
        <w:rPr>
          <w:rFonts w:hint="eastAsia" w:ascii="宋体" w:hAnsi="宋体"/>
        </w:rPr>
      </w:pPr>
    </w:p>
    <w:p w14:paraId="505C8EC8">
      <w:pPr>
        <w:pStyle w:val="279"/>
        <w:spacing w:before="0" w:after="0"/>
        <w:ind w:firstLine="0"/>
        <w:rPr>
          <w:rFonts w:hint="eastAsia" w:ascii="宋体" w:hAnsi="宋体"/>
        </w:rPr>
      </w:pPr>
    </w:p>
    <w:p w14:paraId="183C4C2E">
      <w:pPr>
        <w:pStyle w:val="279"/>
        <w:ind w:firstLine="0"/>
        <w:jc w:val="center"/>
        <w:rPr>
          <w:b/>
          <w:bCs/>
          <w:sz w:val="32"/>
        </w:rPr>
      </w:pPr>
      <w:r>
        <w:rPr>
          <w:rFonts w:hint="eastAsia"/>
          <w:b/>
          <w:bCs/>
          <w:sz w:val="32"/>
        </w:rPr>
        <w:t>采购人：南京中医药大学</w:t>
      </w:r>
    </w:p>
    <w:p w14:paraId="3B07FC96">
      <w:pPr>
        <w:pStyle w:val="279"/>
        <w:ind w:firstLine="0"/>
        <w:jc w:val="center"/>
        <w:rPr>
          <w:b/>
          <w:bCs/>
          <w:sz w:val="32"/>
        </w:rPr>
      </w:pPr>
      <w:r>
        <w:rPr>
          <w:rFonts w:hint="eastAsia"/>
          <w:b/>
          <w:bCs/>
          <w:sz w:val="32"/>
        </w:rPr>
        <w:t>采购代理机构：中邮通建设咨询有限公司</w:t>
      </w:r>
    </w:p>
    <w:p w14:paraId="2F4822B2">
      <w:pPr>
        <w:pStyle w:val="279"/>
        <w:ind w:firstLine="0"/>
        <w:jc w:val="center"/>
        <w:rPr>
          <w:b/>
          <w:bCs/>
          <w:sz w:val="32"/>
        </w:rPr>
      </w:pPr>
      <w:r>
        <w:rPr>
          <w:rFonts w:hint="eastAsia"/>
          <w:b/>
          <w:bCs/>
          <w:sz w:val="32"/>
        </w:rPr>
        <w:t>2026年</w:t>
      </w:r>
      <w:r>
        <w:rPr>
          <w:rFonts w:hint="eastAsia"/>
          <w:b/>
          <w:bCs/>
          <w:sz w:val="32"/>
          <w:lang w:val="en-US" w:eastAsia="zh-CN"/>
        </w:rPr>
        <w:t>8</w:t>
      </w:r>
      <w:r>
        <w:rPr>
          <w:rFonts w:hint="eastAsia"/>
          <w:b/>
          <w:bCs/>
          <w:sz w:val="32"/>
        </w:rPr>
        <w:t>月</w:t>
      </w:r>
    </w:p>
    <w:p w14:paraId="50FE7C09">
      <w:pPr>
        <w:pStyle w:val="279"/>
        <w:ind w:firstLine="0"/>
        <w:rPr>
          <w:u w:val="single"/>
        </w:rPr>
      </w:pPr>
      <w:r>
        <w:rPr>
          <w:rFonts w:hint="eastAsia"/>
        </w:rPr>
        <w:t xml:space="preserve">                        </w:t>
      </w:r>
    </w:p>
    <w:p w14:paraId="398372A3">
      <w:pPr>
        <w:pStyle w:val="279"/>
        <w:ind w:firstLine="0"/>
        <w:jc w:val="center"/>
      </w:pPr>
    </w:p>
    <w:p w14:paraId="7E58E35D">
      <w:pPr>
        <w:numPr>
          <w:ilvl w:val="-1"/>
          <w:numId w:val="0"/>
        </w:numPr>
        <w:spacing w:line="480" w:lineRule="auto"/>
        <w:jc w:val="center"/>
        <w:outlineLvl w:val="0"/>
        <w:rPr>
          <w:rFonts w:ascii="黑体" w:hAnsi="Showcard Gothic" w:eastAsia="黑体"/>
          <w:sz w:val="36"/>
        </w:rPr>
      </w:pPr>
      <w:r>
        <w:rPr/>
        <w:br w:type="page" w:clear="all"/>
      </w:r>
    </w:p>
    <w:p w14:paraId="74600284"/>
    <w:p w14:paraId="679138CE"/>
    <w:sdt>
      <w:sdtPr>
        <w:rPr>
          <w:rFonts w:ascii="宋体" w:hAnsi="宋体" w:eastAsia="宋体" w:cs="Times New Roman"/>
          <w:sz w:val="21"/>
          <w:szCs w:val="21"/>
          <w:lang w:val="en-US" w:eastAsia="zh-CN" w:bidi="ar-SA"/>
        </w:rPr>
        <w:id w:val="147474825"/>
        <w15:color w:val="DBDBDB"/>
        <w:docPartObj>
          <w:docPartGallery w:val="Table of Contents"/>
          <w:docPartUnique/>
        </w:docPartObj>
      </w:sdtPr>
      <w:sdtEndPr>
        <w:rPr>
          <w:rFonts w:ascii="Times New Roman" w:hAnsi="Times New Roman" w:eastAsia="宋体" w:cs="Times New Roman"/>
          <w:sz w:val="21"/>
          <w:szCs w:val="21"/>
          <w:lang w:val="en-US" w:eastAsia="zh-CN" w:bidi="ar-SA"/>
        </w:rPr>
      </w:sdtEndPr>
      <w:sdtContent>
        <w:p w14:paraId="55B76993">
          <w:pPr>
            <w:spacing w:before="0" w:beforeLines="0" w:after="0" w:afterLines="0" w:line="240" w:lineRule="auto"/>
            <w:ind w:left="0" w:leftChars="0" w:right="0" w:rightChars="0" w:firstLine="0" w:firstLineChars="0"/>
            <w:jc w:val="center"/>
          </w:pPr>
          <w:r>
            <w:rPr>
              <w:rFonts w:ascii="宋体" w:hAnsi="宋体" w:eastAsia="宋体"/>
              <w:sz w:val="21"/>
            </w:rPr>
            <w:t>目录</w:t>
          </w:r>
        </w:p>
        <w:p w14:paraId="5AFD33F0">
          <w:pPr>
            <w:pStyle w:val="28"/>
            <w:tabs>
              <w:tab w:val="right" w:leader="dot" w:pos="8953"/>
            </w:tabs>
          </w:pPr>
          <w:r>
            <w:rPr>
              <w:rFonts w:ascii="Times New Roman" w:hAnsi="Times New Roman" w:eastAsia="宋体" w:cs="Times New Roman"/>
              <w:sz w:val="21"/>
              <w:szCs w:val="21"/>
              <w:lang w:val="en-US" w:eastAsia="zh-CN" w:bidi="ar-SA"/>
            </w:rPr>
            <w:fldChar w:fldCharType="begin"/>
          </w:r>
          <w:r>
            <w:rPr>
              <w:rFonts w:ascii="Times New Roman" w:hAnsi="Times New Roman" w:eastAsia="宋体" w:cs="Times New Roman"/>
              <w:sz w:val="21"/>
              <w:szCs w:val="21"/>
              <w:lang w:val="en-US" w:eastAsia="zh-CN" w:bidi="ar-SA"/>
            </w:rPr>
            <w:instrText xml:space="preserve">TOC \o "1-2" \h \u </w:instrText>
          </w:r>
          <w:r>
            <w:rPr>
              <w:rFonts w:ascii="Times New Roman" w:hAnsi="Times New Roman" w:eastAsia="宋体" w:cs="Times New Roman"/>
              <w:sz w:val="21"/>
              <w:szCs w:val="21"/>
              <w:lang w:val="en-US" w:eastAsia="zh-CN" w:bidi="ar-SA"/>
            </w:rPr>
            <w:fldChar w:fldCharType="separate"/>
          </w:r>
          <w:r>
            <w:rPr>
              <w:rFonts w:ascii="Times New Roman" w:hAnsi="Times New Roman" w:eastAsia="宋体" w:cs="Times New Roman"/>
              <w:szCs w:val="21"/>
              <w:lang w:val="en-US" w:eastAsia="zh-CN" w:bidi="ar-SA"/>
            </w:rPr>
            <w:fldChar w:fldCharType="begin"/>
          </w:r>
          <w:r>
            <w:rPr>
              <w:rFonts w:ascii="Times New Roman" w:hAnsi="Times New Roman" w:eastAsia="宋体" w:cs="Times New Roman"/>
              <w:szCs w:val="21"/>
              <w:lang w:val="en-US" w:eastAsia="zh-CN" w:bidi="ar-SA"/>
            </w:rPr>
            <w:instrText xml:space="preserve"> HYPERLINK \l _Toc21799 </w:instrText>
          </w:r>
          <w:r>
            <w:rPr>
              <w:rFonts w:ascii="Times New Roman" w:hAnsi="Times New Roman" w:eastAsia="宋体" w:cs="Times New Roman"/>
              <w:szCs w:val="21"/>
              <w:lang w:val="en-US" w:eastAsia="zh-CN" w:bidi="ar-SA"/>
            </w:rPr>
            <w:fldChar w:fldCharType="separate"/>
          </w:r>
          <w:r>
            <w:rPr>
              <w:rFonts w:hint="eastAsia" w:ascii="黑体" w:eastAsia="黑体"/>
              <w:szCs w:val="44"/>
            </w:rPr>
            <w:t>第一章  投标邀请</w:t>
          </w:r>
          <w:r>
            <w:tab/>
          </w:r>
          <w:r>
            <w:fldChar w:fldCharType="begin"/>
          </w:r>
          <w:r>
            <w:instrText xml:space="preserve"> PAGEREF _Toc21799 \h </w:instrText>
          </w:r>
          <w:r>
            <w:fldChar w:fldCharType="separate"/>
          </w:r>
          <w:r>
            <w:t>4</w:t>
          </w:r>
          <w:r>
            <w:fldChar w:fldCharType="end"/>
          </w:r>
          <w:r>
            <w:rPr>
              <w:rFonts w:ascii="Times New Roman" w:hAnsi="Times New Roman" w:eastAsia="宋体" w:cs="Times New Roman"/>
              <w:szCs w:val="21"/>
              <w:lang w:val="en-US" w:eastAsia="zh-CN" w:bidi="ar-SA"/>
            </w:rPr>
            <w:fldChar w:fldCharType="end"/>
          </w:r>
        </w:p>
        <w:p w14:paraId="5C59EB86">
          <w:pPr>
            <w:pStyle w:val="34"/>
            <w:tabs>
              <w:tab w:val="right" w:leader="dot" w:pos="8953"/>
            </w:tabs>
            <w:ind w:left="0"/>
            <w:rPr>
              <w:rFonts w:hint="eastAsia" w:ascii="黑体" w:eastAsia="黑体"/>
              <w:szCs w:val="44"/>
            </w:rPr>
          </w:pPr>
          <w:r>
            <w:rPr>
              <w:rFonts w:hint="eastAsia" w:ascii="黑体" w:hAnsi="Times New Roman" w:eastAsia="黑体" w:cs="Times New Roman"/>
              <w:szCs w:val="44"/>
              <w:lang w:val="en-US" w:eastAsia="zh-CN" w:bidi="ar-SA"/>
            </w:rPr>
            <w:fldChar w:fldCharType="begin"/>
          </w:r>
          <w:r>
            <w:rPr>
              <w:rFonts w:hint="eastAsia" w:ascii="黑体" w:hAnsi="Times New Roman" w:eastAsia="黑体" w:cs="Times New Roman"/>
              <w:szCs w:val="44"/>
              <w:lang w:val="en-US" w:eastAsia="zh-CN" w:bidi="ar-SA"/>
            </w:rPr>
            <w:instrText xml:space="preserve"> HYPERLINK \l _Toc2579 </w:instrText>
          </w:r>
          <w:r>
            <w:rPr>
              <w:rFonts w:hint="eastAsia" w:ascii="黑体" w:hAnsi="Times New Roman" w:eastAsia="黑体" w:cs="Times New Roman"/>
              <w:szCs w:val="44"/>
              <w:lang w:val="en-US" w:eastAsia="zh-CN" w:bidi="ar-SA"/>
            </w:rPr>
            <w:fldChar w:fldCharType="separate"/>
          </w:r>
          <w:r>
            <w:rPr>
              <w:rFonts w:hint="eastAsia" w:ascii="黑体" w:eastAsia="黑体"/>
              <w:szCs w:val="44"/>
            </w:rPr>
            <w:t>第二章  投标人须知</w:t>
          </w:r>
          <w:r>
            <w:rPr>
              <w:rFonts w:hint="eastAsia" w:ascii="黑体" w:eastAsia="黑体"/>
              <w:szCs w:val="44"/>
            </w:rPr>
            <w:tab/>
          </w:r>
          <w:r>
            <w:rPr>
              <w:rFonts w:hint="eastAsia" w:ascii="黑体" w:eastAsia="黑体"/>
              <w:szCs w:val="44"/>
            </w:rPr>
            <w:fldChar w:fldCharType="begin"/>
          </w:r>
          <w:r>
            <w:rPr>
              <w:rFonts w:hint="eastAsia" w:ascii="黑体" w:eastAsia="黑体"/>
              <w:szCs w:val="44"/>
            </w:rPr>
            <w:instrText xml:space="preserve"> PAGEREF _Toc2579 \h </w:instrText>
          </w:r>
          <w:r>
            <w:rPr>
              <w:rFonts w:hint="eastAsia" w:ascii="黑体" w:eastAsia="黑体"/>
              <w:szCs w:val="44"/>
            </w:rPr>
            <w:fldChar w:fldCharType="separate"/>
          </w:r>
          <w:r>
            <w:rPr>
              <w:rFonts w:hint="eastAsia" w:ascii="黑体" w:eastAsia="黑体"/>
              <w:szCs w:val="44"/>
            </w:rPr>
            <w:t>8</w:t>
          </w:r>
          <w:r>
            <w:rPr>
              <w:rFonts w:hint="eastAsia" w:ascii="黑体" w:eastAsia="黑体"/>
              <w:szCs w:val="44"/>
            </w:rPr>
            <w:fldChar w:fldCharType="end"/>
          </w:r>
          <w:r>
            <w:rPr>
              <w:rFonts w:hint="eastAsia" w:ascii="黑体" w:hAnsi="Times New Roman" w:eastAsia="黑体" w:cs="Times New Roman"/>
              <w:szCs w:val="44"/>
              <w:lang w:val="en-US" w:eastAsia="zh-CN" w:bidi="ar-SA"/>
            </w:rPr>
            <w:fldChar w:fldCharType="end"/>
          </w:r>
        </w:p>
        <w:p w14:paraId="4D05AAAF">
          <w:pPr>
            <w:pStyle w:val="34"/>
            <w:tabs>
              <w:tab w:val="right" w:leader="dot" w:pos="8953"/>
            </w:tabs>
            <w:ind w:left="0"/>
            <w:rPr>
              <w:rFonts w:hint="eastAsia" w:ascii="黑体" w:eastAsia="黑体"/>
              <w:szCs w:val="44"/>
            </w:rPr>
          </w:pPr>
          <w:r>
            <w:rPr>
              <w:rFonts w:hint="eastAsia" w:ascii="黑体" w:hAnsi="Times New Roman" w:eastAsia="黑体" w:cs="Times New Roman"/>
              <w:szCs w:val="44"/>
              <w:lang w:val="en-US" w:eastAsia="zh-CN" w:bidi="ar-SA"/>
            </w:rPr>
            <w:fldChar w:fldCharType="begin"/>
          </w:r>
          <w:r>
            <w:rPr>
              <w:rFonts w:hint="eastAsia" w:ascii="黑体" w:hAnsi="Times New Roman" w:eastAsia="黑体" w:cs="Times New Roman"/>
              <w:szCs w:val="44"/>
              <w:lang w:val="en-US" w:eastAsia="zh-CN" w:bidi="ar-SA"/>
            </w:rPr>
            <w:instrText xml:space="preserve"> HYPERLINK \l _Toc15291 </w:instrText>
          </w:r>
          <w:r>
            <w:rPr>
              <w:rFonts w:hint="eastAsia" w:ascii="黑体" w:hAnsi="Times New Roman" w:eastAsia="黑体" w:cs="Times New Roman"/>
              <w:szCs w:val="44"/>
              <w:lang w:val="en-US" w:eastAsia="zh-CN" w:bidi="ar-SA"/>
            </w:rPr>
            <w:fldChar w:fldCharType="separate"/>
          </w:r>
          <w:r>
            <w:rPr>
              <w:rFonts w:hint="eastAsia" w:ascii="黑体" w:eastAsia="黑体"/>
              <w:bCs w:val="0"/>
              <w:szCs w:val="44"/>
            </w:rPr>
            <w:t>第三章  合同文本</w:t>
          </w:r>
          <w:r>
            <w:rPr>
              <w:rFonts w:hint="eastAsia" w:ascii="黑体" w:eastAsia="黑体"/>
              <w:szCs w:val="44"/>
            </w:rPr>
            <w:tab/>
          </w:r>
          <w:r>
            <w:rPr>
              <w:rFonts w:hint="eastAsia" w:ascii="黑体" w:eastAsia="黑体"/>
              <w:szCs w:val="44"/>
            </w:rPr>
            <w:tab/>
          </w:r>
          <w:r>
            <w:rPr>
              <w:rFonts w:hint="eastAsia" w:ascii="黑体" w:eastAsia="黑体"/>
              <w:szCs w:val="44"/>
            </w:rPr>
            <w:fldChar w:fldCharType="begin"/>
          </w:r>
          <w:r>
            <w:rPr>
              <w:rFonts w:hint="eastAsia" w:ascii="黑体" w:eastAsia="黑体"/>
              <w:szCs w:val="44"/>
            </w:rPr>
            <w:instrText xml:space="preserve"> PAGEREF _Toc15291 \h </w:instrText>
          </w:r>
          <w:r>
            <w:rPr>
              <w:rFonts w:hint="eastAsia" w:ascii="黑体" w:eastAsia="黑体"/>
              <w:szCs w:val="44"/>
            </w:rPr>
            <w:fldChar w:fldCharType="separate"/>
          </w:r>
          <w:r>
            <w:rPr>
              <w:rFonts w:hint="eastAsia" w:ascii="黑体" w:eastAsia="黑体"/>
              <w:szCs w:val="44"/>
            </w:rPr>
            <w:t>30</w:t>
          </w:r>
          <w:r>
            <w:rPr>
              <w:rFonts w:hint="eastAsia" w:ascii="黑体" w:eastAsia="黑体"/>
              <w:szCs w:val="44"/>
            </w:rPr>
            <w:fldChar w:fldCharType="end"/>
          </w:r>
          <w:r>
            <w:rPr>
              <w:rFonts w:hint="eastAsia" w:ascii="黑体" w:hAnsi="Times New Roman" w:eastAsia="黑体" w:cs="Times New Roman"/>
              <w:szCs w:val="44"/>
              <w:lang w:val="en-US" w:eastAsia="zh-CN" w:bidi="ar-SA"/>
            </w:rPr>
            <w:fldChar w:fldCharType="end"/>
          </w:r>
        </w:p>
        <w:p w14:paraId="66F58CC9">
          <w:pPr>
            <w:pStyle w:val="34"/>
            <w:tabs>
              <w:tab w:val="right" w:leader="dot" w:pos="8953"/>
            </w:tabs>
            <w:ind w:left="0"/>
            <w:rPr>
              <w:rFonts w:hint="eastAsia" w:ascii="黑体" w:eastAsia="黑体"/>
              <w:szCs w:val="44"/>
            </w:rPr>
          </w:pPr>
          <w:r>
            <w:rPr>
              <w:rFonts w:hint="eastAsia" w:ascii="黑体" w:hAnsi="Times New Roman" w:eastAsia="黑体" w:cs="Times New Roman"/>
              <w:szCs w:val="44"/>
              <w:lang w:val="en-US" w:eastAsia="zh-CN" w:bidi="ar-SA"/>
            </w:rPr>
            <w:fldChar w:fldCharType="begin"/>
          </w:r>
          <w:r>
            <w:rPr>
              <w:rFonts w:hint="eastAsia" w:ascii="黑体" w:hAnsi="Times New Roman" w:eastAsia="黑体" w:cs="Times New Roman"/>
              <w:szCs w:val="44"/>
              <w:lang w:val="en-US" w:eastAsia="zh-CN" w:bidi="ar-SA"/>
            </w:rPr>
            <w:instrText xml:space="preserve"> HYPERLINK \l _Toc6926 </w:instrText>
          </w:r>
          <w:r>
            <w:rPr>
              <w:rFonts w:hint="eastAsia" w:ascii="黑体" w:hAnsi="Times New Roman" w:eastAsia="黑体" w:cs="Times New Roman"/>
              <w:szCs w:val="44"/>
              <w:lang w:val="en-US" w:eastAsia="zh-CN" w:bidi="ar-SA"/>
            </w:rPr>
            <w:fldChar w:fldCharType="separate"/>
          </w:r>
          <w:r>
            <w:rPr>
              <w:rFonts w:hint="eastAsia" w:ascii="黑体" w:eastAsia="黑体"/>
              <w:bCs w:val="0"/>
              <w:szCs w:val="44"/>
            </w:rPr>
            <w:t>第四章 采购需求</w:t>
          </w:r>
          <w:r>
            <w:rPr>
              <w:rFonts w:hint="eastAsia" w:ascii="黑体" w:eastAsia="黑体"/>
              <w:szCs w:val="44"/>
            </w:rPr>
            <w:tab/>
          </w:r>
          <w:r>
            <w:rPr>
              <w:rFonts w:hint="eastAsia" w:ascii="黑体" w:eastAsia="黑体"/>
              <w:szCs w:val="44"/>
            </w:rPr>
            <w:fldChar w:fldCharType="begin"/>
          </w:r>
          <w:r>
            <w:rPr>
              <w:rFonts w:hint="eastAsia" w:ascii="黑体" w:eastAsia="黑体"/>
              <w:szCs w:val="44"/>
            </w:rPr>
            <w:instrText xml:space="preserve"> PAGEREF _Toc6926 \h </w:instrText>
          </w:r>
          <w:r>
            <w:rPr>
              <w:rFonts w:hint="eastAsia" w:ascii="黑体" w:eastAsia="黑体"/>
              <w:szCs w:val="44"/>
            </w:rPr>
            <w:fldChar w:fldCharType="separate"/>
          </w:r>
          <w:r>
            <w:rPr>
              <w:rFonts w:hint="eastAsia" w:ascii="黑体" w:eastAsia="黑体"/>
              <w:szCs w:val="44"/>
            </w:rPr>
            <w:t>45</w:t>
          </w:r>
          <w:r>
            <w:rPr>
              <w:rFonts w:hint="eastAsia" w:ascii="黑体" w:eastAsia="黑体"/>
              <w:szCs w:val="44"/>
            </w:rPr>
            <w:fldChar w:fldCharType="end"/>
          </w:r>
          <w:r>
            <w:rPr>
              <w:rFonts w:hint="eastAsia" w:ascii="黑体" w:hAnsi="Times New Roman" w:eastAsia="黑体" w:cs="Times New Roman"/>
              <w:szCs w:val="44"/>
              <w:lang w:val="en-US" w:eastAsia="zh-CN" w:bidi="ar-SA"/>
            </w:rPr>
            <w:fldChar w:fldCharType="end"/>
          </w:r>
        </w:p>
        <w:p w14:paraId="161F74BF">
          <w:pPr>
            <w:pStyle w:val="28"/>
            <w:tabs>
              <w:tab w:val="right" w:leader="dot" w:pos="8953"/>
            </w:tabs>
            <w:rPr>
              <w:rFonts w:hint="eastAsia" w:ascii="黑体" w:eastAsia="黑体"/>
              <w:szCs w:val="44"/>
            </w:rPr>
          </w:pPr>
          <w:r>
            <w:rPr>
              <w:rFonts w:hint="eastAsia" w:ascii="黑体" w:hAnsi="Times New Roman" w:eastAsia="黑体" w:cs="Times New Roman"/>
              <w:szCs w:val="44"/>
              <w:lang w:val="en-US" w:eastAsia="zh-CN" w:bidi="ar-SA"/>
            </w:rPr>
            <w:fldChar w:fldCharType="begin"/>
          </w:r>
          <w:r>
            <w:rPr>
              <w:rFonts w:hint="eastAsia" w:ascii="黑体" w:hAnsi="Times New Roman" w:eastAsia="黑体" w:cs="Times New Roman"/>
              <w:szCs w:val="44"/>
              <w:lang w:val="en-US" w:eastAsia="zh-CN" w:bidi="ar-SA"/>
            </w:rPr>
            <w:instrText xml:space="preserve"> HYPERLINK \l _Toc13829 </w:instrText>
          </w:r>
          <w:r>
            <w:rPr>
              <w:rFonts w:hint="eastAsia" w:ascii="黑体" w:hAnsi="Times New Roman" w:eastAsia="黑体" w:cs="Times New Roman"/>
              <w:szCs w:val="44"/>
              <w:lang w:val="en-US" w:eastAsia="zh-CN" w:bidi="ar-SA"/>
            </w:rPr>
            <w:fldChar w:fldCharType="separate"/>
          </w:r>
          <w:r>
            <w:rPr>
              <w:rFonts w:hint="eastAsia" w:ascii="黑体" w:eastAsia="黑体"/>
              <w:bCs w:val="0"/>
              <w:szCs w:val="44"/>
            </w:rPr>
            <w:t>第五章  评标方法与评标标准</w:t>
          </w:r>
          <w:r>
            <w:rPr>
              <w:rFonts w:hint="eastAsia" w:ascii="黑体" w:eastAsia="黑体"/>
              <w:szCs w:val="44"/>
            </w:rPr>
            <w:tab/>
          </w:r>
          <w:r>
            <w:rPr>
              <w:rFonts w:hint="eastAsia" w:ascii="黑体" w:eastAsia="黑体"/>
              <w:szCs w:val="44"/>
            </w:rPr>
            <w:fldChar w:fldCharType="begin"/>
          </w:r>
          <w:r>
            <w:rPr>
              <w:rFonts w:hint="eastAsia" w:ascii="黑体" w:eastAsia="黑体"/>
              <w:szCs w:val="44"/>
            </w:rPr>
            <w:instrText xml:space="preserve"> PAGEREF _Toc13829 \h </w:instrText>
          </w:r>
          <w:r>
            <w:rPr>
              <w:rFonts w:hint="eastAsia" w:ascii="黑体" w:eastAsia="黑体"/>
              <w:szCs w:val="44"/>
            </w:rPr>
            <w:fldChar w:fldCharType="separate"/>
          </w:r>
          <w:r>
            <w:rPr>
              <w:rFonts w:hint="eastAsia" w:ascii="黑体" w:eastAsia="黑体"/>
              <w:szCs w:val="44"/>
            </w:rPr>
            <w:t>51</w:t>
          </w:r>
          <w:r>
            <w:rPr>
              <w:rFonts w:hint="eastAsia" w:ascii="黑体" w:eastAsia="黑体"/>
              <w:szCs w:val="44"/>
            </w:rPr>
            <w:fldChar w:fldCharType="end"/>
          </w:r>
          <w:r>
            <w:rPr>
              <w:rFonts w:hint="eastAsia" w:ascii="黑体" w:hAnsi="Times New Roman" w:eastAsia="黑体" w:cs="Times New Roman"/>
              <w:szCs w:val="44"/>
              <w:lang w:val="en-US" w:eastAsia="zh-CN" w:bidi="ar-SA"/>
            </w:rPr>
            <w:fldChar w:fldCharType="end"/>
          </w:r>
        </w:p>
        <w:p w14:paraId="08C5B8B2">
          <w:pPr>
            <w:pStyle w:val="28"/>
            <w:tabs>
              <w:tab w:val="right" w:leader="dot" w:pos="8953"/>
            </w:tabs>
          </w:pPr>
          <w:r>
            <w:rPr>
              <w:rFonts w:hint="eastAsia" w:ascii="黑体" w:hAnsi="Times New Roman" w:eastAsia="黑体" w:cs="Times New Roman"/>
              <w:szCs w:val="44"/>
              <w:lang w:val="en-US" w:eastAsia="zh-CN" w:bidi="ar-SA"/>
            </w:rPr>
            <w:fldChar w:fldCharType="begin"/>
          </w:r>
          <w:r>
            <w:rPr>
              <w:rFonts w:hint="eastAsia" w:ascii="黑体" w:hAnsi="Times New Roman" w:eastAsia="黑体" w:cs="Times New Roman"/>
              <w:szCs w:val="44"/>
              <w:lang w:val="en-US" w:eastAsia="zh-CN" w:bidi="ar-SA"/>
            </w:rPr>
            <w:instrText xml:space="preserve"> HYPERLINK \l _Toc4633 </w:instrText>
          </w:r>
          <w:r>
            <w:rPr>
              <w:rFonts w:hint="eastAsia" w:ascii="黑体" w:hAnsi="Times New Roman" w:eastAsia="黑体" w:cs="Times New Roman"/>
              <w:szCs w:val="44"/>
              <w:lang w:val="en-US" w:eastAsia="zh-CN" w:bidi="ar-SA"/>
            </w:rPr>
            <w:fldChar w:fldCharType="separate"/>
          </w:r>
          <w:r>
            <w:rPr>
              <w:rFonts w:hint="eastAsia" w:ascii="黑体" w:eastAsia="黑体"/>
              <w:bCs w:val="0"/>
              <w:szCs w:val="44"/>
            </w:rPr>
            <w:t>第六章  投标文件格式</w:t>
          </w:r>
          <w:r>
            <w:rPr>
              <w:rFonts w:hint="eastAsia" w:ascii="黑体" w:eastAsia="黑体"/>
              <w:szCs w:val="44"/>
            </w:rPr>
            <w:tab/>
          </w:r>
          <w:r>
            <w:rPr>
              <w:rFonts w:hint="eastAsia" w:ascii="黑体" w:eastAsia="黑体"/>
              <w:szCs w:val="44"/>
            </w:rPr>
            <w:fldChar w:fldCharType="begin"/>
          </w:r>
          <w:r>
            <w:rPr>
              <w:rFonts w:hint="eastAsia" w:ascii="黑体" w:eastAsia="黑体"/>
              <w:szCs w:val="44"/>
            </w:rPr>
            <w:instrText xml:space="preserve"> PAGEREF _Toc4633 \h </w:instrText>
          </w:r>
          <w:r>
            <w:rPr>
              <w:rFonts w:hint="eastAsia" w:ascii="黑体" w:eastAsia="黑体"/>
              <w:szCs w:val="44"/>
            </w:rPr>
            <w:fldChar w:fldCharType="separate"/>
          </w:r>
          <w:r>
            <w:rPr>
              <w:rFonts w:hint="eastAsia" w:ascii="黑体" w:eastAsia="黑体"/>
              <w:szCs w:val="44"/>
            </w:rPr>
            <w:t>55</w:t>
          </w:r>
          <w:r>
            <w:rPr>
              <w:rFonts w:hint="eastAsia" w:ascii="黑体" w:eastAsia="黑体"/>
              <w:szCs w:val="44"/>
            </w:rPr>
            <w:fldChar w:fldCharType="end"/>
          </w:r>
          <w:r>
            <w:rPr>
              <w:rFonts w:hint="eastAsia" w:ascii="黑体" w:hAnsi="Times New Roman" w:eastAsia="黑体" w:cs="Times New Roman"/>
              <w:szCs w:val="44"/>
              <w:lang w:val="en-US" w:eastAsia="zh-CN" w:bidi="ar-SA"/>
            </w:rPr>
            <w:fldChar w:fldCharType="end"/>
          </w:r>
        </w:p>
        <w:p w14:paraId="79168A08">
          <w:pPr>
            <w:rPr>
              <w:rFonts w:ascii="Times New Roman" w:hAnsi="Times New Roman" w:eastAsia="宋体" w:cs="Times New Roman"/>
              <w:sz w:val="21"/>
              <w:szCs w:val="21"/>
              <w:lang w:val="en-US" w:eastAsia="zh-CN" w:bidi="ar-SA"/>
            </w:rPr>
          </w:pPr>
          <w:r>
            <w:rPr>
              <w:rFonts w:ascii="Times New Roman" w:hAnsi="Times New Roman" w:eastAsia="宋体" w:cs="Times New Roman"/>
              <w:szCs w:val="21"/>
              <w:lang w:val="en-US" w:eastAsia="zh-CN" w:bidi="ar-SA"/>
            </w:rPr>
            <w:fldChar w:fldCharType="end"/>
          </w:r>
        </w:p>
      </w:sdtContent>
    </w:sdt>
    <w:p w14:paraId="004A2C0A">
      <w:pPr>
        <w:rPr>
          <w:rFonts w:ascii="Times New Roman" w:hAnsi="Times New Roman" w:eastAsia="宋体" w:cs="Times New Roman"/>
          <w:sz w:val="21"/>
          <w:szCs w:val="21"/>
          <w:lang w:val="en-US" w:eastAsia="zh-CN" w:bidi="ar-SA"/>
        </w:rPr>
      </w:pPr>
    </w:p>
    <w:p w14:paraId="1FCC9293"/>
    <w:p w14:paraId="3932EC4F"/>
    <w:p w14:paraId="72E07AAA"/>
    <w:p w14:paraId="57AFCA63"/>
    <w:p w14:paraId="72908BBB"/>
    <w:p w14:paraId="13698D51"/>
    <w:p w14:paraId="1C1BC39C"/>
    <w:p w14:paraId="0702B239"/>
    <w:p w14:paraId="120E07AC"/>
    <w:p w14:paraId="6087A13F"/>
    <w:p w14:paraId="5D939657"/>
    <w:p w14:paraId="48E6C26E"/>
    <w:p w14:paraId="3C9B568C"/>
    <w:p w14:paraId="49D1F7DC"/>
    <w:p w14:paraId="792533E0"/>
    <w:p w14:paraId="5B87C442"/>
    <w:p w14:paraId="0B482CED"/>
    <w:p w14:paraId="6FD05305"/>
    <w:p w14:paraId="083EBAE7"/>
    <w:p w14:paraId="61FE4D2F"/>
    <w:p w14:paraId="3470B93F"/>
    <w:p w14:paraId="7EB0F5FB"/>
    <w:p w14:paraId="653E2531"/>
    <w:p w14:paraId="3F267EC7"/>
    <w:p w14:paraId="444B9BE9"/>
    <w:p w14:paraId="6D508F82"/>
    <w:p w14:paraId="1F24849E">
      <w:pPr>
        <w:rPr>
          <w:rFonts w:hint="eastAsia" w:ascii="黑体" w:eastAsia="黑体"/>
          <w:sz w:val="44"/>
          <w:szCs w:val="44"/>
        </w:rPr>
      </w:pPr>
      <w:r>
        <w:rPr>
          <w:rFonts w:hint="eastAsia" w:ascii="黑体" w:eastAsia="黑体"/>
          <w:sz w:val="44"/>
          <w:szCs w:val="44"/>
        </w:rPr>
        <w:br w:type="page"/>
      </w:r>
    </w:p>
    <w:p w14:paraId="24EBDE3F">
      <w:pPr>
        <w:pStyle w:val="194"/>
        <w:rPr>
          <w:rFonts w:ascii="黑体" w:eastAsia="黑体"/>
          <w:bCs/>
          <w:sz w:val="44"/>
          <w:szCs w:val="44"/>
        </w:rPr>
      </w:pPr>
      <w:bookmarkStart w:id="0" w:name="_Toc21799"/>
      <w:r>
        <w:rPr>
          <w:rFonts w:hint="eastAsia" w:ascii="黑体" w:eastAsia="黑体"/>
          <w:sz w:val="44"/>
          <w:szCs w:val="44"/>
        </w:rPr>
        <w:t>第一章  投标邀请</w:t>
      </w:r>
      <w:bookmarkEnd w:id="0"/>
    </w:p>
    <w:p w14:paraId="5BFA6D44">
      <w:pPr>
        <w:spacing w:line="360" w:lineRule="auto"/>
        <w:ind w:firstLine="480"/>
        <w:rPr>
          <w:rFonts w:hint="eastAsia" w:ascii="宋体" w:hAnsi="宋体"/>
          <w:sz w:val="24"/>
          <w:szCs w:val="24"/>
        </w:rPr>
      </w:pPr>
      <w:r>
        <w:rPr>
          <w:rFonts w:hint="eastAsia" w:ascii="宋体" w:hAnsi="宋体"/>
          <w:sz w:val="24"/>
          <w:szCs w:val="24"/>
        </w:rPr>
        <w:t>受南京中医药大学的委托，中邮通建设咨询有限公司就</w:t>
      </w:r>
      <w:r>
        <w:rPr>
          <w:rFonts w:hint="eastAsia" w:ascii="宋体" w:hAnsi="宋体"/>
          <w:sz w:val="24"/>
          <w:szCs w:val="24"/>
          <w:lang w:eastAsia="zh-CN"/>
        </w:rPr>
        <w:t>南京中医药大学小动物辐照仪</w:t>
      </w:r>
      <w:r>
        <w:rPr>
          <w:rFonts w:hint="eastAsia" w:ascii="宋体" w:hAnsi="宋体"/>
          <w:sz w:val="24"/>
          <w:szCs w:val="24"/>
        </w:rPr>
        <w:t>(项目编号：</w:t>
      </w:r>
      <w:r>
        <w:rPr>
          <w:rFonts w:hint="eastAsia" w:ascii="宋体" w:hAnsi="宋体" w:eastAsia="宋体" w:cs="Times New Roman"/>
          <w:i w:val="0"/>
          <w:iCs w:val="0"/>
          <w:caps w:val="0"/>
          <w:spacing w:val="0"/>
          <w:sz w:val="24"/>
          <w:szCs w:val="24"/>
          <w:shd w:val="clear"/>
        </w:rPr>
        <w:t>JSZC-320000-UTCC-G2026-0012</w:t>
      </w:r>
      <w:r>
        <w:rPr>
          <w:rFonts w:hint="eastAsia" w:ascii="宋体" w:hAnsi="宋体"/>
          <w:sz w:val="24"/>
          <w:szCs w:val="24"/>
        </w:rPr>
        <w:t>)项目进行公开招标采购，欢迎符合条件的投标人投标。</w:t>
      </w:r>
    </w:p>
    <w:p w14:paraId="70A6715D">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4"/>
        </w:rPr>
      </w:pPr>
      <w:r>
        <w:rPr>
          <w:rFonts w:hint="eastAsia" w:ascii="宋体" w:hAnsi="宋体"/>
          <w:sz w:val="24"/>
          <w:szCs w:val="24"/>
        </w:rPr>
        <w:t>项目概况</w:t>
      </w:r>
    </w:p>
    <w:p w14:paraId="7F4DC7AA">
      <w:pPr>
        <w:pBdr>
          <w:top w:val="single" w:color="000000" w:sz="4" w:space="1"/>
          <w:left w:val="single" w:color="000000" w:sz="4" w:space="4"/>
          <w:bottom w:val="single" w:color="000000" w:sz="4" w:space="1"/>
          <w:right w:val="single" w:color="000000" w:sz="4" w:space="4"/>
        </w:pBdr>
        <w:spacing w:line="360" w:lineRule="auto"/>
        <w:ind w:firstLine="480"/>
        <w:rPr>
          <w:rFonts w:hint="eastAsia" w:ascii="宋体" w:hAnsi="宋体"/>
          <w:sz w:val="24"/>
          <w:szCs w:val="24"/>
        </w:rPr>
      </w:pPr>
      <w:r>
        <w:rPr>
          <w:rFonts w:hint="eastAsia" w:ascii="宋体" w:hAnsi="宋体"/>
          <w:sz w:val="24"/>
          <w:szCs w:val="24"/>
          <w:u w:val="single"/>
        </w:rPr>
        <w:t xml:space="preserve"> </w:t>
      </w:r>
      <w:r>
        <w:rPr>
          <w:rFonts w:hint="eastAsia" w:ascii="宋体" w:hAnsi="宋体"/>
          <w:sz w:val="24"/>
          <w:szCs w:val="24"/>
          <w:u w:val="single"/>
          <w:lang w:eastAsia="zh-CN"/>
        </w:rPr>
        <w:t>南京中医药大学小动物辐照仪</w:t>
      </w:r>
      <w:r>
        <w:rPr>
          <w:rFonts w:hint="eastAsia" w:ascii="宋体" w:hAnsi="宋体"/>
          <w:sz w:val="24"/>
          <w:szCs w:val="24"/>
        </w:rPr>
        <w:t>招标项目的潜在投标人可在</w:t>
      </w:r>
      <w:r>
        <w:rPr>
          <w:rFonts w:hint="eastAsia" w:ascii="宋体" w:hAnsi="宋体"/>
          <w:sz w:val="24"/>
          <w:szCs w:val="24"/>
          <w:u w:val="single"/>
        </w:rPr>
        <w:t>“江苏政府采购网”自行免费下载</w:t>
      </w:r>
      <w:r>
        <w:rPr>
          <w:rFonts w:hint="eastAsia" w:ascii="宋体" w:hAnsi="宋体"/>
          <w:sz w:val="24"/>
          <w:szCs w:val="24"/>
        </w:rPr>
        <w:t>招标文件，并于</w:t>
      </w:r>
      <w:r>
        <w:rPr>
          <w:rFonts w:ascii="宋体" w:hAnsi="宋体"/>
          <w:sz w:val="24"/>
          <w:szCs w:val="24"/>
          <w:u w:val="single"/>
        </w:rPr>
        <w:t xml:space="preserve"> </w:t>
      </w:r>
      <w:r>
        <w:rPr>
          <w:rFonts w:hint="eastAsia" w:ascii="宋体" w:hAnsi="宋体"/>
          <w:sz w:val="24"/>
          <w:szCs w:val="24"/>
          <w:u w:val="single"/>
        </w:rPr>
        <w:t>2026</w:t>
      </w:r>
      <w:r>
        <w:rPr>
          <w:rFonts w:ascii="宋体" w:hAnsi="宋体"/>
          <w:sz w:val="24"/>
          <w:szCs w:val="24"/>
          <w:u w:val="single"/>
        </w:rPr>
        <w:t xml:space="preserve"> </w:t>
      </w:r>
      <w:r>
        <w:rPr>
          <w:rFonts w:hint="eastAsia" w:ascii="宋体" w:hAnsi="宋体"/>
          <w:bCs/>
          <w:sz w:val="24"/>
          <w:szCs w:val="24"/>
          <w:u w:val="single"/>
        </w:rPr>
        <w:t>年</w:t>
      </w:r>
      <w:r>
        <w:rPr>
          <w:rFonts w:hint="eastAsia" w:ascii="宋体" w:hAnsi="宋体"/>
          <w:bCs/>
          <w:sz w:val="24"/>
          <w:szCs w:val="24"/>
          <w:u w:val="single"/>
          <w:lang w:val="en-US" w:eastAsia="zh-CN"/>
        </w:rPr>
        <w:t>8</w:t>
      </w:r>
      <w:r>
        <w:rPr>
          <w:rFonts w:hint="eastAsia" w:ascii="宋体" w:hAnsi="宋体"/>
          <w:bCs/>
          <w:sz w:val="24"/>
          <w:szCs w:val="24"/>
          <w:u w:val="single"/>
        </w:rPr>
        <w:t>月</w:t>
      </w:r>
      <w:r>
        <w:rPr>
          <w:rFonts w:hint="eastAsia" w:ascii="宋体" w:hAnsi="宋体"/>
          <w:bCs/>
          <w:sz w:val="24"/>
          <w:szCs w:val="24"/>
          <w:u w:val="single"/>
          <w:lang w:val="en-US" w:eastAsia="zh-CN"/>
        </w:rPr>
        <w:t>28</w:t>
      </w:r>
      <w:r>
        <w:rPr>
          <w:rFonts w:hint="eastAsia" w:ascii="宋体" w:hAnsi="宋体"/>
          <w:bCs/>
          <w:sz w:val="24"/>
          <w:szCs w:val="24"/>
          <w:u w:val="single"/>
        </w:rPr>
        <w:t>日 9点 30 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3175D369">
      <w:pPr>
        <w:pStyle w:val="197"/>
        <w:spacing w:before="145" w:after="145" w:line="360" w:lineRule="auto"/>
        <w:ind w:firstLine="498"/>
        <w:rPr>
          <w:sz w:val="24"/>
          <w:szCs w:val="24"/>
        </w:rPr>
      </w:pPr>
      <w:bookmarkStart w:id="1" w:name="_Toc28359079"/>
      <w:bookmarkStart w:id="2" w:name="_Toc35393790"/>
      <w:bookmarkStart w:id="3" w:name="_Toc38985263"/>
      <w:bookmarkStart w:id="4" w:name="_Toc35393621"/>
      <w:bookmarkStart w:id="5" w:name="_Toc28359002"/>
      <w:bookmarkStart w:id="6" w:name="_Hlk24379207"/>
      <w:r>
        <w:rPr>
          <w:rFonts w:hint="eastAsia"/>
          <w:sz w:val="24"/>
          <w:szCs w:val="24"/>
        </w:rPr>
        <w:t>一、项目基本情况</w:t>
      </w:r>
      <w:bookmarkEnd w:id="1"/>
      <w:bookmarkEnd w:id="2"/>
      <w:bookmarkEnd w:id="3"/>
      <w:bookmarkEnd w:id="4"/>
      <w:bookmarkEnd w:id="5"/>
    </w:p>
    <w:p w14:paraId="50BF8275">
      <w:pPr>
        <w:spacing w:line="360" w:lineRule="auto"/>
        <w:ind w:firstLine="480"/>
        <w:rPr>
          <w:rFonts w:hint="eastAsia" w:ascii="宋体" w:hAnsi="宋体"/>
          <w:sz w:val="24"/>
          <w:szCs w:val="24"/>
        </w:rPr>
      </w:pPr>
      <w:r>
        <w:rPr>
          <w:rFonts w:hint="eastAsia" w:ascii="宋体" w:hAnsi="宋体"/>
          <w:sz w:val="24"/>
          <w:szCs w:val="24"/>
        </w:rPr>
        <w:t>1.项目编号：</w:t>
      </w:r>
      <w:r>
        <w:rPr>
          <w:rFonts w:hint="eastAsia" w:ascii="宋体" w:hAnsi="宋体" w:eastAsia="宋体" w:cs="Times New Roman"/>
          <w:i w:val="0"/>
          <w:iCs w:val="0"/>
          <w:caps w:val="0"/>
          <w:spacing w:val="0"/>
          <w:sz w:val="24"/>
          <w:szCs w:val="24"/>
          <w:shd w:val="clear"/>
        </w:rPr>
        <w:t>JSZC-320000-UTCC-G2026-0012</w:t>
      </w:r>
      <w:r>
        <w:rPr>
          <w:rFonts w:hint="eastAsia" w:ascii="宋体" w:hAnsi="宋体"/>
          <w:sz w:val="24"/>
          <w:szCs w:val="24"/>
        </w:rPr>
        <w:t xml:space="preserve">   </w:t>
      </w:r>
    </w:p>
    <w:p w14:paraId="2C08856E">
      <w:pPr>
        <w:spacing w:line="360" w:lineRule="auto"/>
        <w:ind w:firstLine="480"/>
        <w:rPr>
          <w:rFonts w:hint="eastAsia" w:ascii="宋体" w:hAnsi="宋体" w:eastAsia="宋体"/>
          <w:sz w:val="24"/>
          <w:szCs w:val="24"/>
          <w:lang w:eastAsia="zh-CN"/>
        </w:rPr>
      </w:pPr>
      <w:r>
        <w:rPr>
          <w:rFonts w:hint="eastAsia" w:ascii="宋体" w:hAnsi="宋体"/>
          <w:sz w:val="24"/>
          <w:szCs w:val="24"/>
        </w:rPr>
        <w:t>2.项目名称：</w:t>
      </w:r>
      <w:bookmarkEnd w:id="6"/>
      <w:r>
        <w:rPr>
          <w:rFonts w:hint="eastAsia" w:ascii="宋体" w:hAnsi="宋体"/>
          <w:sz w:val="24"/>
          <w:szCs w:val="24"/>
          <w:lang w:eastAsia="zh-CN"/>
        </w:rPr>
        <w:t>南京中医药大学小动物辐照仪</w:t>
      </w:r>
    </w:p>
    <w:p w14:paraId="5ADD373D">
      <w:pPr>
        <w:spacing w:line="360" w:lineRule="auto"/>
        <w:ind w:firstLine="480"/>
        <w:rPr>
          <w:rFonts w:hint="eastAsia" w:ascii="宋体" w:hAnsi="宋体"/>
          <w:sz w:val="24"/>
          <w:szCs w:val="24"/>
        </w:rPr>
      </w:pPr>
      <w:r>
        <w:rPr>
          <w:rFonts w:hint="eastAsia" w:ascii="宋体" w:hAnsi="宋体"/>
          <w:sz w:val="24"/>
          <w:szCs w:val="24"/>
        </w:rPr>
        <w:t>3.预算金额：人民币</w:t>
      </w:r>
      <w:r>
        <w:rPr>
          <w:rFonts w:hint="eastAsia" w:ascii="宋体" w:hAnsi="宋体"/>
          <w:sz w:val="24"/>
          <w:szCs w:val="24"/>
          <w:lang w:eastAsia="zh-CN"/>
        </w:rPr>
        <w:t>200</w:t>
      </w:r>
      <w:r>
        <w:rPr>
          <w:rFonts w:hint="eastAsia" w:ascii="宋体" w:hAnsi="宋体"/>
          <w:sz w:val="24"/>
          <w:szCs w:val="24"/>
        </w:rPr>
        <w:t>万元（含税）</w:t>
      </w:r>
    </w:p>
    <w:p w14:paraId="448782B0">
      <w:pPr>
        <w:spacing w:line="360" w:lineRule="auto"/>
        <w:ind w:firstLine="480"/>
        <w:rPr>
          <w:rFonts w:hint="eastAsia" w:ascii="方正魏碑_GBK" w:hAnsi="方正魏碑_GBK" w:cs="方正魏碑_GBK"/>
          <w:color w:val="000000"/>
          <w:sz w:val="24"/>
          <w:szCs w:val="24"/>
        </w:rPr>
      </w:pPr>
      <w:r>
        <w:rPr>
          <w:rFonts w:hint="eastAsia" w:ascii="宋体" w:hAnsi="宋体"/>
          <w:sz w:val="24"/>
          <w:szCs w:val="24"/>
        </w:rPr>
        <w:t>4.最高限价：人民币</w:t>
      </w:r>
      <w:r>
        <w:rPr>
          <w:rFonts w:hint="eastAsia" w:ascii="宋体" w:hAnsi="宋体"/>
          <w:sz w:val="24"/>
          <w:szCs w:val="24"/>
          <w:lang w:eastAsia="zh-CN"/>
        </w:rPr>
        <w:t>200</w:t>
      </w:r>
      <w:r>
        <w:rPr>
          <w:rFonts w:hint="eastAsia" w:ascii="宋体" w:hAnsi="宋体"/>
          <w:sz w:val="24"/>
          <w:szCs w:val="24"/>
        </w:rPr>
        <w:t>万元</w:t>
      </w:r>
      <w:r>
        <w:rPr>
          <w:rFonts w:hint="eastAsia" w:ascii="宋体" w:hAnsi="宋体"/>
          <w:color w:val="000000"/>
          <w:sz w:val="24"/>
          <w:szCs w:val="24"/>
        </w:rPr>
        <w:t>（含税），</w:t>
      </w:r>
      <w:r>
        <w:rPr>
          <w:rFonts w:hint="eastAsia" w:ascii="宋体" w:hAnsi="宋体"/>
          <w:sz w:val="24"/>
        </w:rPr>
        <w:t>报价超过</w:t>
      </w:r>
      <w:r>
        <w:rPr>
          <w:rFonts w:hint="eastAsia" w:ascii="宋体" w:hAnsi="宋体" w:cs="宋体"/>
          <w:color w:val="000000"/>
          <w:sz w:val="24"/>
          <w:szCs w:val="24"/>
        </w:rPr>
        <w:t>最高限价</w:t>
      </w:r>
      <w:r>
        <w:rPr>
          <w:rFonts w:hint="eastAsia" w:ascii="宋体" w:hAnsi="宋体"/>
          <w:sz w:val="24"/>
        </w:rPr>
        <w:t>的为无效投标</w:t>
      </w:r>
    </w:p>
    <w:p w14:paraId="4F51FAF8">
      <w:pPr>
        <w:spacing w:line="360" w:lineRule="auto"/>
        <w:ind w:firstLine="480"/>
        <w:rPr>
          <w:rFonts w:hint="eastAsia" w:ascii="宋体" w:hAnsi="宋体"/>
          <w:sz w:val="24"/>
          <w:szCs w:val="24"/>
          <w:u w:val="single"/>
        </w:rPr>
      </w:pPr>
      <w:r>
        <w:rPr>
          <w:rFonts w:hint="eastAsia" w:ascii="宋体" w:hAnsi="宋体" w:cs="宋体"/>
          <w:color w:val="000000"/>
          <w:sz w:val="24"/>
          <w:szCs w:val="24"/>
        </w:rPr>
        <w:t>5.采购需求（简介）：</w:t>
      </w:r>
      <w:r>
        <w:rPr>
          <w:rFonts w:hint="eastAsia" w:ascii="宋体" w:hAnsi="宋体"/>
          <w:sz w:val="24"/>
          <w:szCs w:val="24"/>
        </w:rPr>
        <w:t>南京中医药大学采购一</w:t>
      </w:r>
      <w:r>
        <w:rPr>
          <w:rFonts w:hint="eastAsia" w:ascii="宋体" w:hAnsi="宋体"/>
          <w:sz w:val="24"/>
          <w:szCs w:val="24"/>
          <w:lang w:val="en-US" w:eastAsia="zh-CN"/>
        </w:rPr>
        <w:t>套</w:t>
      </w:r>
      <w:r>
        <w:rPr>
          <w:rFonts w:hint="eastAsia" w:ascii="宋体" w:hAnsi="宋体"/>
          <w:sz w:val="24"/>
          <w:szCs w:val="24"/>
          <w:lang w:eastAsia="zh-CN"/>
        </w:rPr>
        <w:t>小动物辐照仪</w:t>
      </w:r>
      <w:r>
        <w:rPr>
          <w:rFonts w:hint="eastAsia" w:ascii="宋体" w:hAnsi="宋体"/>
          <w:sz w:val="24"/>
          <w:szCs w:val="24"/>
        </w:rPr>
        <w:t>。</w:t>
      </w:r>
      <w:r>
        <w:rPr>
          <w:rFonts w:hint="eastAsia" w:ascii="宋体" w:hAnsi="宋体" w:cs="宋体"/>
          <w:sz w:val="24"/>
          <w:szCs w:val="24"/>
        </w:rPr>
        <w:t xml:space="preserve">（详细内容见本招标文件第四章） </w:t>
      </w:r>
    </w:p>
    <w:p w14:paraId="2EAA0EA6">
      <w:pPr>
        <w:spacing w:line="360" w:lineRule="auto"/>
        <w:ind w:firstLine="480"/>
        <w:rPr>
          <w:rFonts w:hint="eastAsia" w:ascii="宋体" w:hAnsi="宋体"/>
          <w:sz w:val="24"/>
          <w:szCs w:val="24"/>
        </w:rPr>
      </w:pPr>
      <w:r>
        <w:rPr>
          <w:rFonts w:hint="eastAsia" w:ascii="宋体" w:hAnsi="宋体"/>
          <w:sz w:val="24"/>
          <w:szCs w:val="24"/>
        </w:rPr>
        <w:t>6.合同履行期限：</w:t>
      </w:r>
      <w:r>
        <w:rPr>
          <w:rFonts w:hint="eastAsia" w:ascii="宋体" w:hAnsi="宋体"/>
          <w:sz w:val="24"/>
          <w:szCs w:val="24"/>
          <w:lang w:eastAsia="zh-CN"/>
        </w:rPr>
        <w:t>应在本合同签订生效后90个日历日内向采购人交付全部货物（具体时间以采购人通知为准）</w:t>
      </w:r>
      <w:r>
        <w:rPr>
          <w:rFonts w:hint="eastAsia" w:ascii="宋体" w:hAnsi="宋体"/>
          <w:sz w:val="24"/>
          <w:szCs w:val="24"/>
        </w:rPr>
        <w:t>。</w:t>
      </w:r>
    </w:p>
    <w:p w14:paraId="080061EC">
      <w:pPr>
        <w:spacing w:line="360" w:lineRule="auto"/>
        <w:ind w:firstLine="480"/>
        <w:rPr>
          <w:rFonts w:hint="eastAsia" w:ascii="宋体" w:hAnsi="宋体"/>
          <w:sz w:val="24"/>
          <w:szCs w:val="24"/>
        </w:rPr>
      </w:pPr>
      <w:r>
        <w:rPr>
          <w:rFonts w:hint="eastAsia" w:ascii="宋体" w:hAnsi="宋体"/>
          <w:sz w:val="24"/>
          <w:szCs w:val="24"/>
        </w:rPr>
        <w:t>7.本项目不接受联合体投标。</w:t>
      </w:r>
    </w:p>
    <w:p w14:paraId="476809B2">
      <w:pPr>
        <w:spacing w:line="360" w:lineRule="auto"/>
        <w:ind w:firstLine="480"/>
        <w:rPr>
          <w:rFonts w:hint="eastAsia" w:ascii="宋体" w:hAnsi="宋体"/>
          <w:sz w:val="24"/>
          <w:szCs w:val="24"/>
          <w:u w:val="single"/>
        </w:rPr>
      </w:pPr>
      <w:r>
        <w:rPr>
          <w:rFonts w:hint="eastAsia" w:ascii="宋体" w:hAnsi="宋体"/>
          <w:sz w:val="24"/>
          <w:szCs w:val="24"/>
        </w:rPr>
        <w:t>8.本项目</w:t>
      </w:r>
      <w:r>
        <w:rPr>
          <w:rFonts w:hint="eastAsia" w:ascii="宋体" w:hAnsi="宋体"/>
          <w:b/>
          <w:bCs/>
          <w:sz w:val="24"/>
          <w:szCs w:val="24"/>
        </w:rPr>
        <w:t>接受</w:t>
      </w:r>
      <w:r>
        <w:rPr>
          <w:rFonts w:hint="eastAsia" w:ascii="宋体" w:hAnsi="宋体"/>
          <w:sz w:val="24"/>
          <w:szCs w:val="24"/>
        </w:rPr>
        <w:t>进口产品投标。</w:t>
      </w:r>
    </w:p>
    <w:p w14:paraId="78B29E68">
      <w:pPr>
        <w:pStyle w:val="197"/>
        <w:spacing w:before="145" w:after="145" w:line="360" w:lineRule="auto"/>
        <w:ind w:firstLine="498"/>
        <w:rPr>
          <w:sz w:val="24"/>
          <w:szCs w:val="24"/>
        </w:rPr>
      </w:pPr>
      <w:bookmarkStart w:id="7" w:name="_Toc38985264"/>
      <w:bookmarkStart w:id="8" w:name="_Toc35393622"/>
      <w:bookmarkStart w:id="9" w:name="_Toc28359003"/>
      <w:bookmarkStart w:id="10" w:name="_Toc35393791"/>
      <w:bookmarkStart w:id="11" w:name="_Toc28359080"/>
      <w:r>
        <w:rPr>
          <w:rFonts w:hint="eastAsia"/>
          <w:sz w:val="24"/>
          <w:szCs w:val="24"/>
        </w:rPr>
        <w:t>二、申请人的资格要求：</w:t>
      </w:r>
      <w:bookmarkEnd w:id="7"/>
      <w:bookmarkEnd w:id="8"/>
      <w:bookmarkEnd w:id="9"/>
      <w:bookmarkEnd w:id="10"/>
      <w:bookmarkEnd w:id="11"/>
    </w:p>
    <w:p w14:paraId="2371568C">
      <w:pPr>
        <w:spacing w:line="360" w:lineRule="auto"/>
        <w:ind w:firstLine="480"/>
        <w:rPr>
          <w:rFonts w:hint="eastAsia" w:ascii="宋体" w:hAnsi="宋体"/>
          <w:sz w:val="24"/>
          <w:szCs w:val="24"/>
        </w:rPr>
      </w:pPr>
      <w:bookmarkStart w:id="12" w:name="_Toc35393792"/>
      <w:bookmarkStart w:id="13" w:name="_Toc35393623"/>
      <w:bookmarkStart w:id="14" w:name="_Toc28359004"/>
      <w:bookmarkStart w:id="15" w:name="_Toc38985265"/>
      <w:bookmarkStart w:id="16" w:name="_Toc28359081"/>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5AEE0B40">
      <w:pPr>
        <w:spacing w:line="360" w:lineRule="auto"/>
        <w:ind w:firstLine="480"/>
        <w:rPr>
          <w:rFonts w:hint="eastAsia" w:ascii="宋体" w:hAnsi="宋体"/>
          <w:sz w:val="24"/>
          <w:szCs w:val="24"/>
        </w:rPr>
      </w:pPr>
      <w:r>
        <w:rPr>
          <w:rFonts w:hint="eastAsia" w:ascii="宋体" w:hAnsi="宋体"/>
          <w:sz w:val="24"/>
          <w:szCs w:val="24"/>
        </w:rPr>
        <w:t>1.满足《中华人民共和国政府采购法》第二十二条规定，并提供下列材料：</w:t>
      </w:r>
    </w:p>
    <w:p w14:paraId="6945CC67">
      <w:pPr>
        <w:spacing w:line="360" w:lineRule="auto"/>
        <w:ind w:firstLine="480"/>
        <w:rPr>
          <w:rFonts w:hint="eastAsia" w:ascii="宋体" w:hAnsi="宋体"/>
          <w:sz w:val="24"/>
          <w:szCs w:val="24"/>
        </w:rPr>
      </w:pPr>
      <w:r>
        <w:rPr>
          <w:rFonts w:hint="eastAsia" w:ascii="宋体" w:hAnsi="宋体"/>
          <w:sz w:val="24"/>
          <w:szCs w:val="24"/>
        </w:rPr>
        <w:t>1.1具有独立承担民事责任的能力，提供法人或其他组织的营业执照等证明文件，自然人的身份证明，复印件加盖</w:t>
      </w:r>
      <w:r>
        <w:rPr>
          <w:rFonts w:hint="eastAsia" w:ascii="宋体" w:hAnsi="宋体"/>
          <w:sz w:val="24"/>
          <w:szCs w:val="24"/>
          <w:lang w:eastAsia="zh-CN"/>
        </w:rPr>
        <w:t>电子公章</w:t>
      </w:r>
      <w:r>
        <w:rPr>
          <w:rFonts w:hint="eastAsia" w:ascii="宋体" w:hAnsi="宋体"/>
          <w:sz w:val="24"/>
          <w:szCs w:val="24"/>
        </w:rPr>
        <w:t>。</w:t>
      </w:r>
    </w:p>
    <w:p w14:paraId="4E0BDABA">
      <w:pPr>
        <w:spacing w:line="360" w:lineRule="auto"/>
        <w:ind w:firstLine="480"/>
        <w:rPr>
          <w:rFonts w:hint="eastAsia" w:ascii="宋体" w:hAnsi="宋体"/>
          <w:sz w:val="24"/>
          <w:szCs w:val="24"/>
        </w:rPr>
      </w:pPr>
      <w:r>
        <w:rPr>
          <w:rFonts w:hint="eastAsia" w:ascii="宋体" w:hAnsi="宋体"/>
          <w:sz w:val="24"/>
          <w:szCs w:val="24"/>
        </w:rPr>
        <w:t>1.2具有良好的商业信誉和健全的财务会计制度，须提供参加本次政府招标活动上一年度的财务报表，或本次政府招标活动截止时间前六个月内银行出具的资信证明，或财政部门认可的政府招标专业担保机构出具的投标担保函）（法人或者其他组织成立未满一年的可以不提供）。</w:t>
      </w:r>
    </w:p>
    <w:p w14:paraId="18D1B73A">
      <w:pPr>
        <w:spacing w:line="360" w:lineRule="auto"/>
        <w:ind w:firstLine="480"/>
        <w:rPr>
          <w:rFonts w:hint="eastAsia" w:ascii="宋体" w:hAnsi="宋体"/>
          <w:sz w:val="24"/>
          <w:szCs w:val="24"/>
        </w:rPr>
      </w:pPr>
      <w:r>
        <w:rPr>
          <w:rFonts w:hint="eastAsia" w:ascii="宋体" w:hAnsi="宋体"/>
          <w:sz w:val="24"/>
          <w:szCs w:val="24"/>
        </w:rPr>
        <w:t>1.3有依法缴纳税收和社会保障资金的良好记录(提供参加本次政府采购活动前半年内至少一个月的依法缴纳税收和社会保障资金的有效凭据复印件加盖</w:t>
      </w:r>
      <w:r>
        <w:rPr>
          <w:rFonts w:hint="eastAsia" w:ascii="宋体" w:hAnsi="宋体"/>
          <w:sz w:val="24"/>
          <w:szCs w:val="24"/>
          <w:lang w:eastAsia="zh-CN"/>
        </w:rPr>
        <w:t>电子公章</w:t>
      </w:r>
      <w:r>
        <w:rPr>
          <w:rFonts w:hint="eastAsia" w:ascii="宋体" w:hAnsi="宋体"/>
          <w:sz w:val="24"/>
          <w:szCs w:val="24"/>
        </w:rPr>
        <w:t>，依法免税或不需要缴纳社会保障资金的投标人，应提供相应证明文件)。</w:t>
      </w:r>
    </w:p>
    <w:p w14:paraId="2446A6C4">
      <w:pPr>
        <w:spacing w:line="360" w:lineRule="auto"/>
        <w:ind w:firstLine="480"/>
        <w:rPr>
          <w:rFonts w:hint="eastAsia" w:ascii="宋体" w:hAnsi="宋体"/>
          <w:sz w:val="24"/>
          <w:szCs w:val="24"/>
        </w:rPr>
      </w:pPr>
      <w:r>
        <w:rPr>
          <w:rFonts w:hint="eastAsia" w:ascii="宋体" w:hAnsi="宋体"/>
          <w:sz w:val="24"/>
          <w:szCs w:val="24"/>
        </w:rPr>
        <w:t>1.4具有履行合同所必需的设备和专业技术能力(根据项目需求提供履行合同所必需的设备和专业技术能力的证明材料或相关加盖</w:t>
      </w:r>
      <w:r>
        <w:rPr>
          <w:rFonts w:hint="eastAsia" w:ascii="宋体" w:hAnsi="宋体"/>
          <w:sz w:val="24"/>
          <w:szCs w:val="24"/>
          <w:lang w:eastAsia="zh-CN"/>
        </w:rPr>
        <w:t>电子公章</w:t>
      </w:r>
      <w:r>
        <w:rPr>
          <w:rFonts w:hint="eastAsia" w:ascii="宋体" w:hAnsi="宋体"/>
          <w:sz w:val="24"/>
          <w:szCs w:val="24"/>
        </w:rPr>
        <w:t>的承诺函，承诺函自行编写) 。</w:t>
      </w:r>
    </w:p>
    <w:p w14:paraId="7AD3366C">
      <w:pPr>
        <w:spacing w:line="360" w:lineRule="auto"/>
        <w:ind w:firstLine="480"/>
        <w:rPr>
          <w:rFonts w:hint="eastAsia" w:ascii="宋体" w:hAnsi="宋体"/>
          <w:sz w:val="24"/>
          <w:szCs w:val="24"/>
        </w:rPr>
      </w:pPr>
      <w:r>
        <w:rPr>
          <w:rFonts w:hint="eastAsia" w:ascii="宋体" w:hAnsi="宋体"/>
          <w:sz w:val="24"/>
          <w:szCs w:val="24"/>
        </w:rPr>
        <w:t>1.5参加政府招标活动前3年内，在经营活动中没有重大违法记录（提供承诺函，格式自拟）。</w:t>
      </w:r>
    </w:p>
    <w:p w14:paraId="685EFA63">
      <w:pPr>
        <w:spacing w:line="360" w:lineRule="auto"/>
        <w:ind w:firstLine="480"/>
        <w:rPr>
          <w:rFonts w:hint="eastAsia" w:ascii="宋体" w:hAnsi="宋体"/>
          <w:sz w:val="24"/>
          <w:szCs w:val="24"/>
        </w:rPr>
      </w:pPr>
      <w:r>
        <w:rPr>
          <w:rFonts w:hint="eastAsia" w:ascii="宋体" w:hAnsi="宋体"/>
          <w:sz w:val="24"/>
          <w:szCs w:val="24"/>
        </w:rPr>
        <w:t>2.其他资格要求</w:t>
      </w:r>
    </w:p>
    <w:p w14:paraId="369C6C3E">
      <w:pPr>
        <w:spacing w:line="360" w:lineRule="auto"/>
        <w:ind w:firstLine="480"/>
        <w:rPr>
          <w:rFonts w:hint="eastAsia" w:ascii="宋体" w:hAnsi="宋体"/>
          <w:sz w:val="24"/>
          <w:szCs w:val="24"/>
        </w:rPr>
      </w:pPr>
      <w:r>
        <w:rPr>
          <w:rFonts w:hint="eastAsia" w:ascii="宋体" w:hAnsi="宋体"/>
          <w:sz w:val="24"/>
          <w:szCs w:val="24"/>
        </w:rPr>
        <w:t>2.1存在以下情形的不得参加本项目的采购活动：①被“信用中国”网站（www.creditchina.gov.cn）列入失信被执行人、重大税收违法失信主体名单、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p>
    <w:p w14:paraId="38EEE00A">
      <w:pPr>
        <w:spacing w:line="360" w:lineRule="auto"/>
        <w:ind w:firstLine="480"/>
        <w:rPr>
          <w:rFonts w:hint="eastAsia" w:ascii="宋体" w:hAnsi="宋体"/>
          <w:sz w:val="24"/>
          <w:szCs w:val="24"/>
        </w:rPr>
      </w:pPr>
      <w:r>
        <w:rPr>
          <w:rFonts w:hint="eastAsia" w:ascii="宋体" w:hAnsi="宋体"/>
          <w:sz w:val="24"/>
          <w:szCs w:val="24"/>
        </w:rPr>
        <w:t>2.2提供法人授权书</w:t>
      </w:r>
    </w:p>
    <w:p w14:paraId="7D1345D9">
      <w:pPr>
        <w:spacing w:line="360" w:lineRule="auto"/>
        <w:ind w:firstLine="480"/>
        <w:rPr>
          <w:rFonts w:hint="eastAsia" w:ascii="宋体" w:hAnsi="宋体" w:cs="宋体"/>
          <w:sz w:val="24"/>
          <w:szCs w:val="24"/>
        </w:rPr>
      </w:pPr>
      <w:r>
        <w:rPr>
          <w:rFonts w:hint="eastAsia" w:ascii="宋体" w:hAnsi="宋体"/>
          <w:sz w:val="24"/>
          <w:szCs w:val="24"/>
        </w:rPr>
        <w:t>3.落实政府采购政策需满足的资格要求：无</w:t>
      </w:r>
    </w:p>
    <w:p w14:paraId="240FFF9D">
      <w:pPr>
        <w:spacing w:line="360" w:lineRule="auto"/>
        <w:ind w:firstLine="480"/>
        <w:rPr>
          <w:rFonts w:hint="eastAsia" w:ascii="宋体" w:hAnsi="宋体"/>
          <w:sz w:val="24"/>
          <w:szCs w:val="24"/>
        </w:rPr>
      </w:pPr>
      <w:r>
        <w:rPr>
          <w:rFonts w:hint="eastAsia" w:ascii="宋体" w:hAnsi="宋体"/>
          <w:sz w:val="24"/>
          <w:szCs w:val="24"/>
        </w:rPr>
        <w:t>4.本项目不接受联合</w:t>
      </w:r>
      <w:r>
        <w:rPr>
          <w:rFonts w:ascii="宋体" w:hAnsi="宋体"/>
          <w:sz w:val="24"/>
          <w:szCs w:val="24"/>
        </w:rPr>
        <w:t>体投标</w:t>
      </w:r>
    </w:p>
    <w:p w14:paraId="5CBE2E0B">
      <w:pPr>
        <w:wordWrap w:val="0"/>
        <w:spacing w:line="378" w:lineRule="exact"/>
        <w:ind w:firstLine="480" w:firstLineChars="200"/>
        <w:jc w:val="left"/>
        <w:rPr>
          <w:rFonts w:hint="eastAsia" w:ascii="宋体" w:hAnsi="宋体"/>
          <w:sz w:val="24"/>
          <w:szCs w:val="24"/>
        </w:rPr>
      </w:pPr>
      <w:r>
        <w:rPr>
          <w:rFonts w:hint="eastAsia" w:ascii="宋体" w:hAnsi="宋体"/>
          <w:sz w:val="24"/>
          <w:szCs w:val="24"/>
        </w:rPr>
        <w:t>（二）本项目的特定资格要求：本项目接受进口产品投标（注：本文件所称进口产品是指通过中国海关报关验放进入中国境内且产自关境外的产品）。供应商必须是所投产品的制造商或代理商，代理商投标须提供制造商的专项授权（本条适用于进口产品）。（</w:t>
      </w:r>
      <w:r>
        <w:rPr>
          <w:rFonts w:hint="eastAsia" w:ascii="宋体" w:hAnsi="宋体" w:eastAsia="宋体" w:cs="Times New Roman"/>
          <w:sz w:val="24"/>
          <w:szCs w:val="24"/>
        </w:rPr>
        <w:t>须提供有效授权书扫描件加盖</w:t>
      </w:r>
      <w:r>
        <w:rPr>
          <w:rFonts w:hint="eastAsia" w:ascii="宋体" w:hAnsi="宋体" w:eastAsia="宋体" w:cs="Times New Roman"/>
          <w:sz w:val="24"/>
          <w:szCs w:val="24"/>
          <w:lang w:eastAsia="zh-CN"/>
        </w:rPr>
        <w:t>电子公章</w:t>
      </w:r>
      <w:r>
        <w:rPr>
          <w:rFonts w:hint="eastAsia" w:ascii="宋体" w:hAnsi="宋体"/>
          <w:sz w:val="24"/>
          <w:szCs w:val="24"/>
        </w:rPr>
        <w:t>）。</w:t>
      </w:r>
    </w:p>
    <w:p w14:paraId="2B591DE0">
      <w:pPr>
        <w:keepNext/>
        <w:keepLines/>
        <w:spacing w:before="145" w:after="145" w:line="360" w:lineRule="auto"/>
        <w:ind w:firstLine="498"/>
        <w:outlineLvl w:val="2"/>
        <w:rPr>
          <w:b/>
          <w:bCs/>
          <w:color w:val="000000"/>
          <w:sz w:val="24"/>
          <w:szCs w:val="24"/>
        </w:rPr>
      </w:pPr>
      <w:r>
        <w:rPr>
          <w:rFonts w:hint="eastAsia"/>
          <w:b/>
          <w:bCs/>
          <w:color w:val="000000"/>
          <w:sz w:val="24"/>
          <w:szCs w:val="24"/>
        </w:rPr>
        <w:t>三、获取招标文件</w:t>
      </w:r>
    </w:p>
    <w:p w14:paraId="3BF9F310">
      <w:pPr>
        <w:spacing w:line="360" w:lineRule="auto"/>
        <w:ind w:firstLine="540"/>
        <w:rPr>
          <w:rFonts w:hint="eastAsia" w:ascii="宋体" w:hAnsi="宋体" w:cs="宋体"/>
          <w:color w:val="000000"/>
          <w:sz w:val="24"/>
          <w:szCs w:val="24"/>
        </w:rPr>
      </w:pPr>
      <w:r>
        <w:rPr>
          <w:rFonts w:hint="eastAsia" w:ascii="宋体" w:hAnsi="宋体" w:cs="宋体"/>
          <w:color w:val="000000"/>
          <w:sz w:val="24"/>
          <w:szCs w:val="24"/>
        </w:rPr>
        <w:t>1.时间：自招标文件公告发布之日起5个工作日。</w:t>
      </w:r>
    </w:p>
    <w:p w14:paraId="244D2E78">
      <w:pPr>
        <w:spacing w:line="360" w:lineRule="auto"/>
        <w:ind w:firstLine="540"/>
        <w:rPr>
          <w:rFonts w:hint="eastAsia" w:ascii="宋体" w:hAnsi="宋体" w:cs="宋体"/>
          <w:color w:val="000000"/>
          <w:sz w:val="24"/>
          <w:szCs w:val="24"/>
          <w:u w:val="single"/>
        </w:rPr>
      </w:pPr>
      <w:r>
        <w:rPr>
          <w:rFonts w:hint="eastAsia" w:ascii="宋体" w:hAnsi="宋体" w:cs="宋体"/>
          <w:color w:val="000000"/>
          <w:sz w:val="24"/>
          <w:szCs w:val="24"/>
        </w:rPr>
        <w:t>2.方式：在“江苏政府采购网”自行免费下载招标文件。</w:t>
      </w:r>
    </w:p>
    <w:bookmarkEnd w:id="12"/>
    <w:bookmarkEnd w:id="13"/>
    <w:bookmarkEnd w:id="14"/>
    <w:bookmarkEnd w:id="15"/>
    <w:bookmarkEnd w:id="16"/>
    <w:p w14:paraId="37D06B5A">
      <w:pPr>
        <w:spacing w:line="360" w:lineRule="auto"/>
        <w:ind w:firstLine="480"/>
        <w:rPr>
          <w:rFonts w:hint="eastAsia" w:ascii="宋体" w:hAnsi="宋体" w:cs="宋体"/>
          <w:color w:val="000000"/>
          <w:sz w:val="24"/>
          <w:szCs w:val="24"/>
        </w:rPr>
      </w:pPr>
    </w:p>
    <w:p w14:paraId="460A9B72">
      <w:pPr>
        <w:pStyle w:val="197"/>
        <w:spacing w:before="145" w:after="145" w:line="360" w:lineRule="auto"/>
        <w:ind w:firstLine="498"/>
        <w:rPr>
          <w:sz w:val="24"/>
          <w:szCs w:val="24"/>
        </w:rPr>
      </w:pPr>
      <w:bookmarkStart w:id="17" w:name="_Toc28359082"/>
      <w:bookmarkStart w:id="18" w:name="_Toc28359005"/>
      <w:bookmarkStart w:id="19" w:name="_Toc35393624"/>
      <w:bookmarkStart w:id="20" w:name="_Toc35393793"/>
      <w:bookmarkStart w:id="21" w:name="_Toc38985266"/>
      <w:r>
        <w:rPr>
          <w:rFonts w:hint="eastAsia"/>
          <w:sz w:val="24"/>
          <w:szCs w:val="24"/>
        </w:rPr>
        <w:t>四、提交投标文件</w:t>
      </w:r>
      <w:bookmarkEnd w:id="17"/>
      <w:bookmarkEnd w:id="18"/>
      <w:r>
        <w:rPr>
          <w:rFonts w:hint="eastAsia"/>
          <w:sz w:val="24"/>
          <w:szCs w:val="24"/>
        </w:rPr>
        <w:t>截止时间、开标时间和地点</w:t>
      </w:r>
      <w:bookmarkEnd w:id="19"/>
      <w:bookmarkEnd w:id="20"/>
      <w:bookmarkEnd w:id="21"/>
    </w:p>
    <w:p w14:paraId="13DFA01D">
      <w:pPr>
        <w:spacing w:line="360" w:lineRule="auto"/>
        <w:ind w:firstLine="480"/>
        <w:rPr>
          <w:rFonts w:hint="eastAsia" w:ascii="宋体" w:hAnsi="宋体"/>
          <w:bCs/>
          <w:sz w:val="24"/>
          <w:szCs w:val="24"/>
          <w:u w:val="single"/>
        </w:rPr>
      </w:pPr>
      <w:r>
        <w:rPr>
          <w:rFonts w:hint="eastAsia" w:ascii="宋体" w:hAnsi="宋体"/>
          <w:bCs/>
          <w:sz w:val="24"/>
          <w:szCs w:val="24"/>
          <w:u w:val="single"/>
        </w:rPr>
        <w:t xml:space="preserve">1.  2026 年 8 月 </w:t>
      </w:r>
      <w:r>
        <w:rPr>
          <w:rFonts w:hint="eastAsia" w:ascii="宋体" w:hAnsi="宋体"/>
          <w:bCs/>
          <w:sz w:val="24"/>
          <w:szCs w:val="24"/>
          <w:u w:val="single"/>
          <w:lang w:val="en-US" w:eastAsia="zh-CN"/>
        </w:rPr>
        <w:t>28</w:t>
      </w:r>
      <w:r>
        <w:rPr>
          <w:rFonts w:hint="eastAsia" w:ascii="宋体" w:hAnsi="宋体"/>
          <w:bCs/>
          <w:sz w:val="24"/>
          <w:szCs w:val="24"/>
          <w:u w:val="single"/>
        </w:rPr>
        <w:t xml:space="preserve"> 日  9  点 30   分</w:t>
      </w:r>
      <w:r>
        <w:rPr>
          <w:rFonts w:hint="eastAsia" w:ascii="宋体" w:hAnsi="宋体"/>
          <w:bCs/>
          <w:sz w:val="24"/>
          <w:szCs w:val="24"/>
        </w:rPr>
        <w:t>（北京时间）</w:t>
      </w:r>
    </w:p>
    <w:p w14:paraId="6AE226E1">
      <w:pPr>
        <w:spacing w:line="360" w:lineRule="auto"/>
        <w:ind w:firstLine="480"/>
        <w:rPr>
          <w:rFonts w:hint="eastAsia" w:ascii="宋体" w:hAnsi="宋体"/>
          <w:sz w:val="24"/>
          <w:szCs w:val="24"/>
        </w:rPr>
      </w:pPr>
      <w:r>
        <w:rPr>
          <w:rFonts w:hint="eastAsia" w:ascii="宋体" w:hAnsi="宋体"/>
          <w:sz w:val="24"/>
          <w:szCs w:val="24"/>
        </w:rPr>
        <w:t>2.地点：“苏采云”政府采购交易系统。</w:t>
      </w:r>
    </w:p>
    <w:p w14:paraId="628D42CA">
      <w:pPr>
        <w:keepNext/>
        <w:keepLines/>
        <w:spacing w:before="145" w:after="145" w:line="360" w:lineRule="auto"/>
        <w:ind w:firstLine="498"/>
        <w:outlineLvl w:val="2"/>
        <w:rPr>
          <w:b/>
          <w:bCs/>
          <w:color w:val="000000"/>
          <w:sz w:val="24"/>
          <w:szCs w:val="24"/>
        </w:rPr>
      </w:pPr>
      <w:bookmarkStart w:id="22" w:name="_Toc35393794"/>
      <w:bookmarkStart w:id="23" w:name="_Toc28359084"/>
      <w:bookmarkStart w:id="24" w:name="_Toc38985267"/>
      <w:bookmarkStart w:id="25" w:name="_Toc28359007"/>
      <w:bookmarkStart w:id="26" w:name="_Toc35393625"/>
      <w:r>
        <w:rPr>
          <w:rFonts w:hint="eastAsia"/>
          <w:b/>
          <w:bCs/>
          <w:color w:val="000000"/>
          <w:sz w:val="24"/>
          <w:szCs w:val="24"/>
        </w:rPr>
        <w:t>五、公告期限</w:t>
      </w:r>
      <w:bookmarkEnd w:id="22"/>
      <w:bookmarkEnd w:id="23"/>
      <w:bookmarkEnd w:id="24"/>
      <w:bookmarkEnd w:id="25"/>
      <w:bookmarkEnd w:id="26"/>
    </w:p>
    <w:p w14:paraId="3832691D">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招标公告及招标文件公告期限为自本公告发布之日起5个工作日。</w:t>
      </w:r>
    </w:p>
    <w:p w14:paraId="40BCA494">
      <w:pPr>
        <w:pStyle w:val="197"/>
        <w:spacing w:before="145" w:after="145" w:line="360" w:lineRule="auto"/>
        <w:ind w:firstLine="498"/>
        <w:rPr>
          <w:sz w:val="24"/>
          <w:szCs w:val="24"/>
        </w:rPr>
      </w:pPr>
      <w:bookmarkStart w:id="27" w:name="_Toc38985268"/>
      <w:bookmarkStart w:id="28" w:name="_Toc35393626"/>
      <w:bookmarkStart w:id="29" w:name="_Toc35393795"/>
      <w:r>
        <w:rPr>
          <w:rFonts w:hint="eastAsia"/>
          <w:sz w:val="24"/>
          <w:szCs w:val="24"/>
        </w:rPr>
        <w:t>六、其他补充事宜</w:t>
      </w:r>
      <w:bookmarkEnd w:id="27"/>
      <w:bookmarkEnd w:id="28"/>
      <w:bookmarkEnd w:id="29"/>
    </w:p>
    <w:p w14:paraId="30BA7710">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1．政府采购支持政策:</w:t>
      </w:r>
    </w:p>
    <w:p w14:paraId="73A7DD55">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（1）《政府采购促进中小企业发展管理办法》</w:t>
      </w:r>
    </w:p>
    <w:p w14:paraId="6D7DE7B6">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（2）《关于政府采购支持监狱企业发展有关问题的通知》</w:t>
      </w:r>
    </w:p>
    <w:p w14:paraId="6FD62ABA">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（3）《关于促进残疾人就业政府采购政策的通知》</w:t>
      </w:r>
    </w:p>
    <w:p w14:paraId="3ADF4947">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（4）《关于调整优化节能产品、环境标志产品政府采购执行机制的通知》</w:t>
      </w:r>
    </w:p>
    <w:p w14:paraId="4E90F953">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（5）《关于做好政府采购支持企业发展有关事项的通知》</w:t>
      </w:r>
    </w:p>
    <w:p w14:paraId="1E5B9A6B">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（6）《国务院办公厅关于在政府采购中实施本国产品标准及相关政策的通知》、关于贯彻落实《国务院办公厅关于在政府采购中实施本国产品标准及相关政策的通知》的意见</w:t>
      </w:r>
    </w:p>
    <w:p w14:paraId="7F6D28FF">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2.本项目在江苏政府采购网网站发布公告。</w:t>
      </w:r>
    </w:p>
    <w:p w14:paraId="6FBDE6F1">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3.投标人应当按照公告 三、获取招标文件中的规定合法获得招标项目的招标文件。本次招标请按“标段”获取招标文件，编制、提交投标文件，并按“标段”开标、评标。</w:t>
      </w:r>
    </w:p>
    <w:p w14:paraId="5055F2B4">
      <w:pPr>
        <w:spacing w:line="360" w:lineRule="auto"/>
        <w:ind w:firstLine="480"/>
        <w:rPr>
          <w:rFonts w:hint="eastAsia" w:ascii="宋体" w:hAnsi="宋体" w:cs="宋体"/>
          <w:color w:val="000000"/>
          <w:sz w:val="24"/>
          <w:szCs w:val="24"/>
        </w:rPr>
      </w:pPr>
      <w:r>
        <w:rPr>
          <w:rFonts w:hint="eastAsia" w:ascii="宋体" w:hAnsi="宋体" w:cs="宋体"/>
          <w:color w:val="000000"/>
          <w:sz w:val="24"/>
          <w:szCs w:val="24"/>
        </w:rPr>
        <w:t>4.勘查现场或答疑：无。</w:t>
      </w:r>
    </w:p>
    <w:p w14:paraId="7849B10A">
      <w:pPr>
        <w:pStyle w:val="197"/>
        <w:spacing w:before="145" w:after="145" w:line="360" w:lineRule="auto"/>
        <w:ind w:firstLine="498"/>
        <w:rPr>
          <w:sz w:val="24"/>
          <w:szCs w:val="24"/>
        </w:rPr>
      </w:pPr>
      <w:bookmarkStart w:id="30" w:name="_Toc35393627"/>
      <w:bookmarkStart w:id="31" w:name="_Toc28359008"/>
      <w:bookmarkStart w:id="32" w:name="_Toc35393796"/>
      <w:bookmarkStart w:id="33" w:name="_Toc28359085"/>
      <w:bookmarkStart w:id="34" w:name="_Toc38985269"/>
      <w:r>
        <w:rPr>
          <w:rFonts w:hint="eastAsia"/>
          <w:sz w:val="24"/>
          <w:szCs w:val="24"/>
        </w:rPr>
        <w:t>七、本次招标联系方式</w:t>
      </w:r>
      <w:bookmarkEnd w:id="30"/>
      <w:bookmarkEnd w:id="31"/>
      <w:bookmarkEnd w:id="32"/>
      <w:bookmarkEnd w:id="33"/>
      <w:bookmarkEnd w:id="34"/>
    </w:p>
    <w:p w14:paraId="0C64C0F2">
      <w:pPr>
        <w:widowControl/>
        <w:spacing w:line="360" w:lineRule="auto"/>
        <w:jc w:val="left"/>
        <w:rPr>
          <w:rFonts w:hint="eastAsia" w:ascii="宋体" w:hAnsi="宋体"/>
          <w:sz w:val="24"/>
          <w:szCs w:val="24"/>
        </w:rPr>
      </w:pPr>
      <w:r>
        <w:rPr>
          <w:rFonts w:hint="eastAsia" w:ascii="仿宋" w:hAnsi="仿宋" w:eastAsia="仿宋" w:cs="宋体"/>
          <w:sz w:val="24"/>
          <w:szCs w:val="24"/>
        </w:rPr>
        <w:t>　　　</w:t>
      </w:r>
      <w:r>
        <w:rPr>
          <w:rFonts w:hint="eastAsia" w:ascii="宋体" w:hAnsi="宋体" w:cs="宋体"/>
          <w:sz w:val="24"/>
          <w:szCs w:val="24"/>
        </w:rPr>
        <w:t>1.采购人信息</w:t>
      </w:r>
    </w:p>
    <w:p w14:paraId="11C86B48">
      <w:pPr>
        <w:spacing w:line="360" w:lineRule="auto"/>
        <w:ind w:left="1079" w:hanging="300"/>
        <w:jc w:val="left"/>
        <w:rPr>
          <w:rFonts w:hint="eastAsia" w:ascii="宋体" w:hAnsi="宋体"/>
          <w:sz w:val="24"/>
          <w:szCs w:val="24"/>
        </w:rPr>
      </w:pPr>
      <w:r>
        <w:rPr>
          <w:rFonts w:hint="eastAsia" w:ascii="宋体" w:hAnsi="宋体"/>
          <w:sz w:val="24"/>
          <w:szCs w:val="24"/>
        </w:rPr>
        <w:t>名 称：</w:t>
      </w:r>
      <w:r>
        <w:rPr>
          <w:rFonts w:hint="eastAsia" w:ascii="宋体" w:hAnsi="宋体"/>
          <w:sz w:val="24"/>
          <w:szCs w:val="24"/>
          <w:u w:val="single"/>
        </w:rPr>
        <w:t>南京中医药大学</w:t>
      </w:r>
    </w:p>
    <w:p w14:paraId="0B9F7EF6">
      <w:pPr>
        <w:spacing w:line="360" w:lineRule="auto"/>
        <w:ind w:left="1079" w:hanging="300"/>
        <w:jc w:val="left"/>
        <w:rPr>
          <w:rFonts w:hint="eastAsia" w:ascii="宋体" w:hAnsi="宋体"/>
          <w:sz w:val="24"/>
          <w:szCs w:val="24"/>
          <w:u w:val="single"/>
        </w:rPr>
      </w:pPr>
      <w:r>
        <w:rPr>
          <w:rFonts w:hint="eastAsia" w:ascii="宋体" w:hAnsi="宋体"/>
          <w:sz w:val="24"/>
          <w:szCs w:val="24"/>
        </w:rPr>
        <w:t>地址</w:t>
      </w:r>
      <w:r>
        <w:rPr>
          <w:rFonts w:hint="eastAsia" w:ascii="宋体" w:hAnsi="宋体"/>
          <w:sz w:val="24"/>
          <w:szCs w:val="24"/>
          <w:u w:val="none"/>
        </w:rPr>
        <w:t>：</w:t>
      </w:r>
      <w:r>
        <w:rPr>
          <w:rFonts w:hint="eastAsia" w:ascii="宋体" w:hAnsi="宋体"/>
          <w:sz w:val="24"/>
          <w:szCs w:val="24"/>
          <w:u w:val="single"/>
        </w:rPr>
        <w:t>南京仙林大学城仙林大道138号</w:t>
      </w:r>
    </w:p>
    <w:p w14:paraId="64BE2CF7">
      <w:pPr>
        <w:spacing w:line="360" w:lineRule="auto"/>
        <w:ind w:left="1079" w:hanging="300"/>
        <w:jc w:val="left"/>
        <w:rPr>
          <w:rFonts w:hint="eastAsia" w:ascii="宋体" w:hAnsi="宋体" w:eastAsia="宋体"/>
          <w:sz w:val="24"/>
          <w:szCs w:val="24"/>
          <w:u w:val="single"/>
          <w:lang w:eastAsia="zh-CN"/>
        </w:rPr>
      </w:pPr>
      <w:r>
        <w:rPr>
          <w:rFonts w:hint="eastAsia" w:ascii="宋体" w:hAnsi="宋体"/>
          <w:sz w:val="24"/>
          <w:szCs w:val="24"/>
        </w:rPr>
        <w:t>联系人：</w:t>
      </w:r>
      <w:r>
        <w:rPr>
          <w:rFonts w:hint="eastAsia" w:ascii="宋体" w:hAnsi="宋体"/>
          <w:sz w:val="24"/>
          <w:szCs w:val="24"/>
          <w:u w:val="single"/>
        </w:rPr>
        <w:t>陆老师、梁老师</w:t>
      </w:r>
    </w:p>
    <w:p w14:paraId="686CCC95">
      <w:pPr>
        <w:spacing w:line="360" w:lineRule="auto"/>
        <w:ind w:left="1079" w:hanging="300"/>
        <w:jc w:val="left"/>
        <w:rPr>
          <w:rFonts w:hint="eastAsia" w:ascii="宋体" w:hAnsi="宋体" w:eastAsia="宋体"/>
          <w:sz w:val="24"/>
          <w:szCs w:val="24"/>
          <w:u w:val="single"/>
          <w:lang w:eastAsia="zh-CN"/>
        </w:rPr>
      </w:pPr>
      <w:r>
        <w:rPr>
          <w:rFonts w:hint="eastAsia" w:ascii="宋体" w:hAnsi="宋体"/>
          <w:sz w:val="24"/>
          <w:szCs w:val="24"/>
        </w:rPr>
        <w:t>联系方式：</w:t>
      </w:r>
      <w:bookmarkStart w:id="35" w:name="_Toc28359086"/>
      <w:bookmarkStart w:id="36" w:name="_Toc28359009"/>
      <w:r>
        <w:rPr>
          <w:rFonts w:hint="eastAsia" w:ascii="宋体" w:hAnsi="宋体"/>
          <w:sz w:val="24"/>
          <w:szCs w:val="24"/>
          <w:u w:val="single"/>
        </w:rPr>
        <w:t>025-85811693</w:t>
      </w:r>
      <w:r>
        <w:rPr>
          <w:rFonts w:hint="eastAsia" w:ascii="宋体" w:hAnsi="宋体" w:eastAsia="宋体" w:cs="Times New Roman"/>
          <w:color w:val="auto"/>
          <w:sz w:val="24"/>
          <w:szCs w:val="24"/>
          <w:u w:val="single"/>
        </w:rPr>
        <w:t>、025-85811022</w:t>
      </w:r>
    </w:p>
    <w:p w14:paraId="34071E21">
      <w:pPr>
        <w:spacing w:line="360" w:lineRule="auto"/>
        <w:ind w:left="1079" w:hanging="300"/>
        <w:jc w:val="left"/>
        <w:rPr>
          <w:rFonts w:hint="eastAsia" w:ascii="宋体" w:hAnsi="宋体"/>
          <w:sz w:val="24"/>
          <w:szCs w:val="24"/>
        </w:rPr>
      </w:pPr>
      <w:r>
        <w:rPr>
          <w:rFonts w:hint="eastAsia" w:ascii="宋体" w:hAnsi="宋体" w:cs="宋体"/>
          <w:sz w:val="24"/>
          <w:szCs w:val="24"/>
        </w:rPr>
        <w:t>2.采购代理机构信息</w:t>
      </w:r>
      <w:bookmarkEnd w:id="35"/>
      <w:bookmarkEnd w:id="36"/>
    </w:p>
    <w:p w14:paraId="203D1344">
      <w:pPr>
        <w:spacing w:line="360" w:lineRule="auto"/>
        <w:ind w:firstLine="720" w:firstLineChars="300"/>
        <w:jc w:val="left"/>
        <w:rPr>
          <w:rFonts w:hint="eastAsia" w:ascii="宋体" w:hAnsi="宋体"/>
          <w:color w:val="000000"/>
          <w:sz w:val="24"/>
          <w:szCs w:val="24"/>
        </w:rPr>
      </w:pPr>
      <w:bookmarkStart w:id="37" w:name="OLE_LINK10"/>
      <w:r>
        <w:rPr>
          <w:rFonts w:hint="eastAsia" w:ascii="宋体" w:hAnsi="宋体"/>
          <w:color w:val="000000"/>
          <w:sz w:val="24"/>
          <w:szCs w:val="24"/>
        </w:rPr>
        <w:t>名    称：</w:t>
      </w:r>
      <w:r>
        <w:rPr>
          <w:rFonts w:hint="eastAsia" w:ascii="宋体" w:hAnsi="宋体"/>
          <w:sz w:val="24"/>
          <w:szCs w:val="24"/>
          <w:u w:val="single"/>
        </w:rPr>
        <w:t>中邮通建设咨询有限公司</w:t>
      </w:r>
    </w:p>
    <w:p w14:paraId="13E7BE04">
      <w:pPr>
        <w:spacing w:line="360" w:lineRule="auto"/>
        <w:ind w:firstLine="720"/>
        <w:rPr>
          <w:rFonts w:hint="eastAsia" w:ascii="宋体" w:hAnsi="宋体"/>
          <w:color w:val="000000"/>
          <w:sz w:val="24"/>
          <w:szCs w:val="24"/>
        </w:rPr>
      </w:pPr>
      <w:r>
        <w:rPr>
          <w:rFonts w:hint="eastAsia" w:ascii="宋体" w:hAnsi="宋体"/>
          <w:color w:val="000000"/>
          <w:sz w:val="24"/>
          <w:szCs w:val="24"/>
        </w:rPr>
        <w:t>地　  址：</w:t>
      </w:r>
      <w:r>
        <w:rPr>
          <w:rFonts w:hint="eastAsia" w:ascii="宋体" w:hAnsi="宋体"/>
          <w:color w:val="000000"/>
          <w:sz w:val="24"/>
          <w:szCs w:val="24"/>
          <w:u w:val="single"/>
        </w:rPr>
        <w:t>南京市鼓楼区南祖师庵7号</w:t>
      </w:r>
    </w:p>
    <w:p w14:paraId="361635AD">
      <w:pPr>
        <w:spacing w:line="360" w:lineRule="auto"/>
        <w:ind w:firstLine="720"/>
        <w:rPr>
          <w:rFonts w:hint="eastAsia" w:ascii="宋体" w:hAnsi="宋体"/>
          <w:color w:val="000000"/>
          <w:sz w:val="24"/>
          <w:szCs w:val="24"/>
        </w:rPr>
      </w:pPr>
      <w:r>
        <w:rPr>
          <w:rFonts w:hint="eastAsia" w:ascii="宋体" w:hAnsi="宋体"/>
          <w:color w:val="000000"/>
          <w:sz w:val="24"/>
          <w:szCs w:val="24"/>
        </w:rPr>
        <w:t>联 系 人：</w:t>
      </w:r>
      <w:r>
        <w:rPr>
          <w:rFonts w:hint="eastAsia" w:cs="宋体" w:asciiTheme="minorEastAsia" w:hAnsiTheme="minorEastAsia" w:eastAsiaTheme="minorEastAsia"/>
          <w:sz w:val="24"/>
          <w:szCs w:val="24"/>
          <w:u w:val="single"/>
        </w:rPr>
        <w:t>王宇、田利平、皇甫东</w:t>
      </w:r>
      <w:r>
        <w:rPr>
          <w:rFonts w:hint="eastAsia" w:ascii="宋体" w:hAnsi="宋体"/>
          <w:color w:val="000000"/>
          <w:sz w:val="24"/>
          <w:szCs w:val="24"/>
          <w:u w:val="single"/>
        </w:rPr>
        <w:t xml:space="preserve">  </w:t>
      </w:r>
    </w:p>
    <w:p w14:paraId="4758ACA0">
      <w:pPr>
        <w:spacing w:line="360" w:lineRule="auto"/>
        <w:ind w:firstLine="720"/>
        <w:rPr>
          <w:rFonts w:hint="eastAsia" w:ascii="宋体" w:hAnsi="宋体" w:cs="宋体"/>
          <w:color w:val="000000"/>
          <w:sz w:val="24"/>
          <w:szCs w:val="24"/>
        </w:rPr>
      </w:pPr>
      <w:r>
        <w:rPr>
          <w:rFonts w:hint="eastAsia" w:ascii="宋体" w:hAnsi="宋体"/>
          <w:color w:val="000000"/>
          <w:sz w:val="24"/>
          <w:szCs w:val="24"/>
        </w:rPr>
        <w:t>联系方式：</w:t>
      </w:r>
      <w:r>
        <w:rPr>
          <w:rFonts w:hint="eastAsia" w:ascii="宋体" w:hAnsi="宋体"/>
          <w:color w:val="000000"/>
          <w:sz w:val="24"/>
          <w:szCs w:val="24"/>
          <w:u w:val="single"/>
        </w:rPr>
        <w:t>13270830727</w:t>
      </w:r>
      <w:bookmarkEnd w:id="37"/>
    </w:p>
    <w:p w14:paraId="7D08F884">
      <w:pPr>
        <w:pStyle w:val="197"/>
        <w:spacing w:before="145" w:after="145" w:line="360" w:lineRule="auto"/>
        <w:ind w:firstLine="498"/>
      </w:pPr>
      <w:r>
        <w:rPr>
          <w:rFonts w:hint="eastAsia"/>
        </w:rPr>
        <w:t>八、其他</w:t>
      </w:r>
    </w:p>
    <w:p w14:paraId="7709EA7A">
      <w:pPr>
        <w:tabs>
          <w:tab w:val="left" w:pos="900"/>
        </w:tabs>
        <w:spacing w:line="360" w:lineRule="auto"/>
        <w:ind w:firstLine="480"/>
        <w:rPr>
          <w:rFonts w:hint="eastAsia" w:ascii="宋体" w:hAnsi="宋体"/>
          <w:bCs/>
          <w:sz w:val="24"/>
          <w:szCs w:val="24"/>
        </w:rPr>
      </w:pPr>
      <w:r>
        <w:rPr>
          <w:rFonts w:ascii="宋体" w:hAnsi="宋体"/>
          <w:sz w:val="24"/>
        </w:rPr>
        <w:t>1</w:t>
      </w:r>
      <w:r>
        <w:rPr>
          <w:rFonts w:hint="eastAsia" w:ascii="宋体" w:hAnsi="宋体"/>
          <w:sz w:val="24"/>
        </w:rPr>
        <w:t>.</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的CA数字证书、电子签章已更换为江苏省电子政务证书认证中心C A和方正国际软件（北京）有限公司电子签章。如果投标人通过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参与政府采购项目，需要更换CA数字证书和电子签章。具体办理指南和操作手册见链接：</w:t>
      </w:r>
      <w:r>
        <w:rPr>
          <w:bCs/>
          <w:color w:val="000000"/>
        </w:rPr>
        <w:t>http://www.ccgp-jiangsu.gov.cn/jiangsu/zlxz/ee/ee3a4bc5a3454aa2b0d9312230633ce9.html</w:t>
      </w:r>
      <w:r>
        <w:rPr>
          <w:bCs/>
        </w:rPr>
        <w:t>。</w:t>
      </w:r>
    </w:p>
    <w:p w14:paraId="0267BF31">
      <w:pPr>
        <w:tabs>
          <w:tab w:val="left" w:pos="900"/>
        </w:tabs>
        <w:spacing w:line="360" w:lineRule="auto"/>
        <w:ind w:firstLine="480"/>
        <w:rPr>
          <w:rFonts w:hint="eastAsia" w:ascii="宋体" w:hAnsi="宋体"/>
          <w:bCs/>
          <w:sz w:val="24"/>
          <w:szCs w:val="24"/>
        </w:rPr>
      </w:pPr>
      <w:r>
        <w:rPr>
          <w:rFonts w:hint="eastAsia" w:ascii="宋体" w:hAnsi="宋体"/>
          <w:bCs/>
          <w:sz w:val="24"/>
          <w:szCs w:val="24"/>
        </w:rPr>
        <w:t>领取CA和办理电子签章（请至南京汉中门大街145号江苏省政务服务中心二期三楼大厅CA办理窗口办理，具体联系方式见《苏采云系统投标人操作手册》（以下简称《操作手册》））、进行注册并按《操作手册》要求制作、上传电子投标文件。投标人也可前往“江苏政务服务网”（</w:t>
      </w:r>
      <w:r>
        <w:rPr>
          <w:bCs/>
        </w:rPr>
        <w:t>www.jszwfw.gov.cn</w:t>
      </w:r>
      <w:r>
        <w:rPr>
          <w:rFonts w:hint="eastAsia" w:ascii="宋体" w:hAnsi="宋体"/>
          <w:bCs/>
          <w:sz w:val="24"/>
          <w:szCs w:val="24"/>
        </w:rPr>
        <w:t>），“一企来办”专栏下“政府采购”模块详细了解关于CA办理、标书制作、开标投标指引等事宜。</w:t>
      </w:r>
    </w:p>
    <w:p w14:paraId="3A6BDDAD">
      <w:pPr>
        <w:tabs>
          <w:tab w:val="left" w:pos="900"/>
        </w:tabs>
        <w:spacing w:line="360" w:lineRule="auto"/>
        <w:ind w:firstLine="480"/>
        <w:rPr>
          <w:rFonts w:hint="eastAsia" w:ascii="宋体" w:hAnsi="宋体"/>
          <w:bCs/>
          <w:sz w:val="24"/>
          <w:szCs w:val="24"/>
        </w:rPr>
      </w:pPr>
      <w:r>
        <w:rPr>
          <w:rFonts w:hint="eastAsia" w:ascii="宋体" w:hAnsi="宋体"/>
          <w:bCs/>
          <w:sz w:val="24"/>
          <w:szCs w:val="24"/>
        </w:rPr>
        <w:t>如果“江苏政府采购网”</w:t>
      </w:r>
      <w:r>
        <w:rPr>
          <w:bCs/>
        </w:rPr>
        <w:t>（www.ccgp-jiangsu.gov.cn）</w:t>
      </w:r>
      <w:r>
        <w:rPr>
          <w:rFonts w:hint="eastAsia"/>
          <w:bCs/>
          <w:sz w:val="24"/>
          <w:szCs w:val="24"/>
        </w:rPr>
        <w:t>信息</w:t>
      </w:r>
      <w:r>
        <w:rPr>
          <w:rFonts w:hint="eastAsia" w:ascii="宋体" w:hAnsi="宋体"/>
          <w:bCs/>
          <w:sz w:val="24"/>
          <w:szCs w:val="24"/>
        </w:rPr>
        <w:t xml:space="preserve">与“江苏政务服务网” </w:t>
      </w:r>
      <w:r>
        <w:rPr>
          <w:bCs/>
        </w:rPr>
        <w:t>（www.jszwfw.gov.cn）</w:t>
      </w:r>
      <w:r>
        <w:rPr>
          <w:rFonts w:hint="eastAsia" w:ascii="宋体" w:hAnsi="宋体"/>
          <w:bCs/>
          <w:sz w:val="24"/>
          <w:szCs w:val="24"/>
        </w:rPr>
        <w:t>，“一企来办”专栏下“政府采购”模块中信息不一致，以“江苏政府采购网”信息为准。</w:t>
      </w:r>
    </w:p>
    <w:p w14:paraId="39F1B74A">
      <w:pPr>
        <w:tabs>
          <w:tab w:val="left" w:pos="900"/>
        </w:tabs>
        <w:spacing w:line="360" w:lineRule="auto"/>
        <w:ind w:firstLine="480"/>
        <w:rPr>
          <w:rFonts w:hint="eastAsia" w:ascii="宋体" w:hAnsi="宋体"/>
          <w:bCs/>
          <w:sz w:val="24"/>
          <w:szCs w:val="24"/>
        </w:rPr>
      </w:pPr>
      <w:r>
        <w:rPr>
          <w:rFonts w:hint="eastAsia" w:ascii="宋体" w:hAnsi="宋体"/>
          <w:bCs/>
          <w:sz w:val="24"/>
          <w:szCs w:val="24"/>
        </w:rPr>
        <w:t>2. 有关本次招标的事项若存在变动或修改，敬请及时关注中邮通建设咨询有限公司在“江苏政府采购网”发布的更正公告。</w:t>
      </w:r>
    </w:p>
    <w:p w14:paraId="79D77156">
      <w:pPr>
        <w:tabs>
          <w:tab w:val="left" w:pos="900"/>
        </w:tabs>
        <w:spacing w:line="360" w:lineRule="auto"/>
        <w:ind w:firstLine="480"/>
        <w:rPr>
          <w:rFonts w:hint="eastAsia" w:ascii="宋体" w:hAnsi="宋体"/>
          <w:bCs/>
          <w:sz w:val="24"/>
          <w:szCs w:val="24"/>
        </w:rPr>
      </w:pPr>
      <w:r>
        <w:rPr>
          <w:rFonts w:hint="eastAsia" w:ascii="宋体" w:hAnsi="宋体"/>
          <w:bCs/>
          <w:sz w:val="24"/>
          <w:szCs w:val="24"/>
        </w:rPr>
        <w:t>3. 本次招标不收取投标保证金。</w:t>
      </w:r>
    </w:p>
    <w:p w14:paraId="2140B720">
      <w:pPr>
        <w:spacing w:line="360" w:lineRule="auto"/>
        <w:ind w:right="840"/>
        <w:rPr>
          <w:rFonts w:hint="eastAsia" w:ascii="宋体" w:hAnsi="宋体"/>
          <w:sz w:val="24"/>
          <w:szCs w:val="24"/>
        </w:rPr>
      </w:pPr>
      <w:r>
        <w:rPr>
          <w:rFonts w:ascii="宋体" w:hAnsi="宋体"/>
          <w:sz w:val="24"/>
          <w:szCs w:val="24"/>
        </w:rPr>
        <w:br w:type="page" w:clear="all"/>
      </w:r>
    </w:p>
    <w:p w14:paraId="5EE708D5">
      <w:pPr>
        <w:pStyle w:val="195"/>
        <w:spacing w:line="360" w:lineRule="auto"/>
        <w:ind w:firstLine="2429"/>
        <w:jc w:val="both"/>
        <w:rPr>
          <w:rFonts w:ascii="黑体" w:eastAsia="黑体"/>
          <w:b w:val="0"/>
          <w:bCs w:val="0"/>
        </w:rPr>
      </w:pPr>
      <w:bookmarkStart w:id="38" w:name="_Toc120614211"/>
      <w:bookmarkStart w:id="39" w:name="_Toc2579"/>
      <w:r>
        <w:rPr>
          <w:rFonts w:hint="eastAsia" w:ascii="黑体" w:eastAsia="黑体"/>
        </w:rPr>
        <w:t xml:space="preserve">第二章  </w:t>
      </w:r>
      <w:bookmarkEnd w:id="38"/>
      <w:bookmarkStart w:id="40" w:name="_Toc20823274"/>
      <w:bookmarkStart w:id="41" w:name="_Toc16938518"/>
      <w:bookmarkStart w:id="42" w:name="_Toc513029202"/>
      <w:bookmarkStart w:id="43" w:name="_Toc120614213"/>
      <w:r>
        <w:rPr>
          <w:rFonts w:hint="eastAsia" w:ascii="黑体" w:eastAsia="黑体"/>
        </w:rPr>
        <w:t>投标人须知</w:t>
      </w:r>
      <w:bookmarkEnd w:id="39"/>
      <w:bookmarkEnd w:id="40"/>
      <w:bookmarkEnd w:id="41"/>
      <w:bookmarkEnd w:id="42"/>
      <w:bookmarkEnd w:id="43"/>
    </w:p>
    <w:p w14:paraId="3C32D359">
      <w:pPr>
        <w:ind w:left="535" w:hanging="321"/>
        <w:jc w:val="center"/>
        <w:rPr>
          <w:rFonts w:cs="Microsoft New Tai Lue"/>
          <w:b/>
          <w:bCs/>
          <w:sz w:val="32"/>
          <w:szCs w:val="32"/>
        </w:rPr>
      </w:pPr>
      <w:bookmarkStart w:id="44" w:name="_Toc20823275"/>
      <w:bookmarkStart w:id="45" w:name="_Toc16938519"/>
      <w:bookmarkStart w:id="46" w:name="_Toc120614214"/>
      <w:bookmarkStart w:id="47" w:name="_Toc513029203"/>
      <w:r>
        <w:rPr>
          <w:rFonts w:cs="Microsoft New Tai Lue"/>
          <w:b/>
          <w:bCs/>
          <w:sz w:val="32"/>
          <w:szCs w:val="32"/>
        </w:rPr>
        <w:t>投标人须知前附表</w:t>
      </w:r>
    </w:p>
    <w:p w14:paraId="2C81FD72">
      <w:pPr>
        <w:jc w:val="center"/>
        <w:rPr>
          <w:rFonts w:cs="Microsoft New Tai Lue"/>
        </w:rPr>
      </w:pPr>
      <w:r>
        <w:rPr>
          <w:rFonts w:cs="Microsoft New Tai Lue"/>
        </w:rPr>
        <w:t>本</w:t>
      </w:r>
      <w:r>
        <w:rPr>
          <w:rFonts w:hint="eastAsia" w:cs="Microsoft New Tai Lue"/>
        </w:rPr>
        <w:t>表</w:t>
      </w:r>
      <w:r>
        <w:rPr>
          <w:rFonts w:cs="Microsoft New Tai Lue"/>
        </w:rPr>
        <w:t>是对《投标人须知》正文的具体补充和修改，如有矛盾，以本《前附表》为准。</w:t>
      </w:r>
    </w:p>
    <w:p w14:paraId="000EF00C">
      <w:pPr>
        <w:jc w:val="center"/>
        <w:rPr>
          <w:rFonts w:cs="Microsoft New Tai Lue"/>
        </w:rPr>
      </w:pPr>
      <w:r>
        <w:rPr>
          <w:rFonts w:hint="eastAsia" w:cs="Microsoft New Tai Lue"/>
        </w:rPr>
        <w:t>标记“</w:t>
      </w:r>
      <w:r>
        <w:rPr>
          <w:rFonts w:hint="eastAsia"/>
          <w:b/>
          <w:sz w:val="24"/>
        </w:rPr>
        <w:t>■</w:t>
      </w:r>
      <w:r>
        <w:rPr>
          <w:rFonts w:hint="eastAsia" w:cs="Microsoft New Tai Lue"/>
        </w:rPr>
        <w:t>”的选项意为适用于本项目，标记“□”的选项意为不适用于本项目。</w:t>
      </w:r>
    </w:p>
    <w:tbl>
      <w:tblPr>
        <w:tblStyle w:val="3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977"/>
        <w:gridCol w:w="2620"/>
        <w:gridCol w:w="4833"/>
      </w:tblGrid>
      <w:tr w14:paraId="7505A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498017DC">
            <w:pPr>
              <w:pStyle w:val="310"/>
              <w:spacing w:before="58" w:after="58" w:line="288" w:lineRule="auto"/>
              <w:ind w:left="42" w:right="42"/>
              <w:jc w:val="center"/>
              <w:rPr>
                <w:rFonts w:ascii="Times New Roman" w:hAnsi="Times New Roman" w:cs="Microsoft New Tai Lue"/>
                <w:b/>
                <w:sz w:val="21"/>
              </w:rPr>
            </w:pPr>
            <w:r>
              <w:rPr>
                <w:rFonts w:hint="eastAsia" w:ascii="Times New Roman" w:hAnsi="Times New Roman" w:cs="Microsoft New Tai Lue"/>
                <w:b/>
                <w:sz w:val="21"/>
              </w:rPr>
              <w:t>序号</w:t>
            </w:r>
          </w:p>
        </w:tc>
        <w:tc>
          <w:tcPr>
            <w:tcW w:w="533" w:type="pct"/>
            <w:vAlign w:val="center"/>
          </w:tcPr>
          <w:p w14:paraId="5DB1BEAE">
            <w:pPr>
              <w:pStyle w:val="310"/>
              <w:spacing w:before="58" w:after="58" w:line="288" w:lineRule="auto"/>
              <w:ind w:left="42" w:right="42"/>
              <w:jc w:val="center"/>
              <w:rPr>
                <w:rFonts w:ascii="Times New Roman" w:hAnsi="Times New Roman" w:cs="Microsoft New Tai Lue"/>
                <w:b/>
                <w:sz w:val="21"/>
              </w:rPr>
            </w:pPr>
            <w:r>
              <w:rPr>
                <w:rFonts w:hint="eastAsia" w:ascii="Times New Roman" w:hAnsi="Times New Roman" w:cs="Microsoft New Tai Lue"/>
                <w:b/>
                <w:sz w:val="21"/>
              </w:rPr>
              <w:t>条款号</w:t>
            </w:r>
          </w:p>
        </w:tc>
        <w:tc>
          <w:tcPr>
            <w:tcW w:w="1429" w:type="pct"/>
            <w:vAlign w:val="center"/>
          </w:tcPr>
          <w:p w14:paraId="436FA243">
            <w:pPr>
              <w:pStyle w:val="310"/>
              <w:spacing w:before="58" w:after="58" w:line="288" w:lineRule="auto"/>
              <w:ind w:left="42" w:right="42"/>
              <w:jc w:val="center"/>
              <w:rPr>
                <w:rFonts w:ascii="Times New Roman" w:hAnsi="Times New Roman" w:cs="Microsoft New Tai Lue"/>
                <w:b/>
                <w:sz w:val="21"/>
              </w:rPr>
            </w:pPr>
            <w:r>
              <w:rPr>
                <w:rFonts w:ascii="Times New Roman" w:hAnsi="Times New Roman" w:cs="Microsoft New Tai Lue"/>
                <w:b/>
                <w:sz w:val="21"/>
              </w:rPr>
              <w:t>条款名称</w:t>
            </w:r>
          </w:p>
        </w:tc>
        <w:tc>
          <w:tcPr>
            <w:tcW w:w="2636" w:type="pct"/>
            <w:vAlign w:val="center"/>
          </w:tcPr>
          <w:p w14:paraId="2F34D787">
            <w:pPr>
              <w:pStyle w:val="310"/>
              <w:spacing w:before="58" w:after="58" w:line="288" w:lineRule="auto"/>
              <w:ind w:left="42" w:right="42"/>
              <w:jc w:val="center"/>
              <w:rPr>
                <w:rFonts w:ascii="Times New Roman" w:hAnsi="Times New Roman" w:cs="Microsoft New Tai Lue"/>
                <w:b/>
                <w:sz w:val="21"/>
              </w:rPr>
            </w:pPr>
            <w:r>
              <w:rPr>
                <w:rFonts w:ascii="Times New Roman" w:hAnsi="Times New Roman" w:cs="Microsoft New Tai Lue"/>
                <w:b/>
                <w:sz w:val="21"/>
              </w:rPr>
              <w:t>编列内容规定</w:t>
            </w:r>
          </w:p>
        </w:tc>
      </w:tr>
      <w:tr w14:paraId="0BC2D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643D0ADE">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71D87E5B">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2.1</w:t>
            </w:r>
          </w:p>
        </w:tc>
        <w:tc>
          <w:tcPr>
            <w:tcW w:w="1429" w:type="pct"/>
            <w:vAlign w:val="center"/>
          </w:tcPr>
          <w:p w14:paraId="583B0635">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采购人</w:t>
            </w:r>
          </w:p>
        </w:tc>
        <w:tc>
          <w:tcPr>
            <w:tcW w:w="2636" w:type="pct"/>
            <w:vAlign w:val="center"/>
          </w:tcPr>
          <w:p w14:paraId="4F71BEE0">
            <w:pPr>
              <w:spacing w:before="58" w:after="58" w:line="288" w:lineRule="auto"/>
              <w:ind w:left="42" w:right="42"/>
              <w:jc w:val="left"/>
              <w:rPr>
                <w:rFonts w:cs="Microsoft New Tai Lue"/>
              </w:rPr>
            </w:pPr>
            <w:r>
              <w:rPr>
                <w:rFonts w:hint="eastAsia" w:cs="Microsoft New Tai Lue"/>
              </w:rPr>
              <w:t>名 称：南京中医药大学</w:t>
            </w:r>
          </w:p>
          <w:p w14:paraId="71B447A5">
            <w:pPr>
              <w:spacing w:before="58" w:after="58" w:line="288" w:lineRule="auto"/>
              <w:ind w:left="42" w:right="42"/>
              <w:jc w:val="left"/>
              <w:rPr>
                <w:rFonts w:cs="Microsoft New Tai Lue"/>
              </w:rPr>
            </w:pPr>
            <w:r>
              <w:rPr>
                <w:rFonts w:hint="eastAsia" w:cs="Microsoft New Tai Lue"/>
              </w:rPr>
              <w:t>地址：南京仙林大学城仙林大道138号</w:t>
            </w:r>
          </w:p>
          <w:p w14:paraId="3E7F0ADE">
            <w:pPr>
              <w:spacing w:before="58" w:after="58" w:line="288" w:lineRule="auto"/>
              <w:ind w:left="42" w:right="42"/>
              <w:jc w:val="left"/>
              <w:rPr>
                <w:rFonts w:hint="eastAsia" w:eastAsia="宋体" w:cs="Microsoft New Tai Lue"/>
                <w:lang w:eastAsia="zh-CN"/>
              </w:rPr>
            </w:pPr>
            <w:r>
              <w:rPr>
                <w:rFonts w:hint="eastAsia" w:eastAsia="宋体" w:cs="Microsoft New Tai Lue"/>
                <w:lang w:eastAsia="zh-CN"/>
              </w:rPr>
              <w:t>联系人：陆老师</w:t>
            </w:r>
            <w:r>
              <w:rPr>
                <w:rFonts w:hint="eastAsia" w:ascii="宋体" w:hAnsi="宋体" w:eastAsia="宋体" w:cs="宋体"/>
                <w:color w:val="000000"/>
                <w:szCs w:val="21"/>
              </w:rPr>
              <w:t>、梁老师</w:t>
            </w:r>
          </w:p>
          <w:p w14:paraId="4B4EAF53">
            <w:pPr>
              <w:spacing w:before="58" w:after="58" w:line="288" w:lineRule="auto"/>
              <w:ind w:left="42" w:right="42"/>
              <w:jc w:val="left"/>
              <w:rPr>
                <w:rFonts w:hint="eastAsia" w:eastAsia="宋体" w:cs="Microsoft New Tai Lue"/>
                <w:lang w:eastAsia="zh-CN"/>
              </w:rPr>
            </w:pPr>
            <w:r>
              <w:rPr>
                <w:rFonts w:hint="eastAsia" w:eastAsia="宋体" w:cs="Microsoft New Tai Lue"/>
                <w:lang w:eastAsia="zh-CN"/>
              </w:rPr>
              <w:t>联系方式：025-85811693</w:t>
            </w:r>
            <w:r>
              <w:rPr>
                <w:rFonts w:hint="eastAsia" w:ascii="宋体" w:hAnsi="宋体" w:eastAsia="宋体" w:cs="宋体"/>
                <w:color w:val="000000"/>
                <w:szCs w:val="21"/>
              </w:rPr>
              <w:t>、025-85811022</w:t>
            </w:r>
          </w:p>
        </w:tc>
      </w:tr>
      <w:tr w14:paraId="12939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2202F639">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40A569D4">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2.2</w:t>
            </w:r>
          </w:p>
        </w:tc>
        <w:tc>
          <w:tcPr>
            <w:tcW w:w="1429" w:type="pct"/>
            <w:vAlign w:val="center"/>
          </w:tcPr>
          <w:p w14:paraId="2FC2BED3">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采购代理机构</w:t>
            </w:r>
          </w:p>
        </w:tc>
        <w:tc>
          <w:tcPr>
            <w:tcW w:w="2636" w:type="pct"/>
            <w:vAlign w:val="center"/>
          </w:tcPr>
          <w:p w14:paraId="39002692">
            <w:pPr>
              <w:pStyle w:val="311"/>
              <w:spacing w:before="58" w:after="58" w:line="288" w:lineRule="auto"/>
              <w:ind w:left="42" w:right="42"/>
              <w:rPr>
                <w:rFonts w:ascii="Times New Roman" w:hAnsi="Times New Roman" w:cs="Microsoft New Tai Lue"/>
                <w:sz w:val="21"/>
                <w:szCs w:val="21"/>
                <w:lang w:val="en-US" w:bidi="ar-SA"/>
              </w:rPr>
            </w:pPr>
            <w:r>
              <w:rPr>
                <w:rFonts w:ascii="Times New Roman" w:hAnsi="Times New Roman" w:cs="Microsoft New Tai Lue"/>
                <w:sz w:val="21"/>
                <w:szCs w:val="21"/>
                <w:lang w:val="en-US" w:bidi="ar-SA"/>
              </w:rPr>
              <w:t xml:space="preserve">名 </w:t>
            </w:r>
            <w:r>
              <w:rPr>
                <w:rFonts w:hint="eastAsia" w:ascii="Times New Roman" w:hAnsi="Times New Roman" w:cs="Microsoft New Tai Lue"/>
                <w:sz w:val="21"/>
                <w:szCs w:val="21"/>
                <w:lang w:val="en-US" w:bidi="ar-SA"/>
              </w:rPr>
              <w:t xml:space="preserve"> </w:t>
            </w:r>
            <w:r>
              <w:rPr>
                <w:rFonts w:ascii="Times New Roman" w:hAnsi="Times New Roman" w:cs="Microsoft New Tai Lue"/>
                <w:sz w:val="21"/>
                <w:szCs w:val="21"/>
                <w:lang w:val="en-US" w:bidi="ar-SA"/>
              </w:rPr>
              <w:t>称 ：</w:t>
            </w:r>
            <w:r>
              <w:rPr>
                <w:rFonts w:hint="eastAsia"/>
                <w:szCs w:val="21"/>
                <w:lang w:val="en-US"/>
              </w:rPr>
              <w:t>中邮通建设咨询有限公司</w:t>
            </w:r>
          </w:p>
          <w:p w14:paraId="26EF7FA8">
            <w:pPr>
              <w:pStyle w:val="311"/>
              <w:spacing w:before="58" w:after="58" w:line="288" w:lineRule="auto"/>
              <w:ind w:left="42" w:right="42"/>
              <w:rPr>
                <w:rFonts w:ascii="Times New Roman" w:hAnsi="Times New Roman" w:cs="Microsoft New Tai Lue"/>
                <w:sz w:val="21"/>
                <w:szCs w:val="21"/>
              </w:rPr>
            </w:pPr>
            <w:r>
              <w:rPr>
                <w:rFonts w:hint="eastAsia" w:ascii="Times New Roman" w:hAnsi="Times New Roman" w:cs="Microsoft New Tai Lue"/>
                <w:sz w:val="21"/>
                <w:szCs w:val="21"/>
              </w:rPr>
              <w:t>地　  址：南京市鼓楼区南祖师庵7号</w:t>
            </w:r>
          </w:p>
          <w:p w14:paraId="0BA41885">
            <w:pPr>
              <w:pStyle w:val="311"/>
              <w:spacing w:before="58" w:after="58" w:line="288" w:lineRule="auto"/>
              <w:ind w:left="42" w:right="42"/>
              <w:rPr>
                <w:rFonts w:ascii="Times New Roman" w:hAnsi="Times New Roman" w:cs="Microsoft New Tai Lue"/>
                <w:sz w:val="21"/>
                <w:szCs w:val="21"/>
              </w:rPr>
            </w:pPr>
            <w:r>
              <w:rPr>
                <w:rFonts w:hint="eastAsia" w:ascii="Times New Roman" w:hAnsi="Times New Roman" w:cs="Microsoft New Tai Lue"/>
                <w:sz w:val="21"/>
                <w:szCs w:val="21"/>
              </w:rPr>
              <w:t xml:space="preserve">联 系 人：王宇、田利平、皇甫东  </w:t>
            </w:r>
          </w:p>
          <w:p w14:paraId="2284B19D">
            <w:pPr>
              <w:pStyle w:val="311"/>
              <w:spacing w:before="58" w:after="58" w:line="288" w:lineRule="auto"/>
              <w:ind w:left="42" w:right="42"/>
              <w:rPr>
                <w:rFonts w:ascii="Times New Roman" w:hAnsi="Times New Roman" w:cs="Microsoft New Tai Lue"/>
                <w:sz w:val="21"/>
                <w:szCs w:val="21"/>
              </w:rPr>
            </w:pPr>
            <w:r>
              <w:rPr>
                <w:rFonts w:hint="eastAsia" w:ascii="Times New Roman" w:hAnsi="Times New Roman" w:cs="Microsoft New Tai Lue"/>
                <w:sz w:val="21"/>
                <w:szCs w:val="21"/>
              </w:rPr>
              <w:t>联系方式：13270830727</w:t>
            </w:r>
          </w:p>
        </w:tc>
      </w:tr>
      <w:tr w14:paraId="5D723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46D90E3B">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66D7579E">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4</w:t>
            </w:r>
          </w:p>
        </w:tc>
        <w:tc>
          <w:tcPr>
            <w:tcW w:w="1429" w:type="pct"/>
            <w:vAlign w:val="center"/>
          </w:tcPr>
          <w:p w14:paraId="34677DF3">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本项目执行的政府采购政策</w:t>
            </w:r>
          </w:p>
        </w:tc>
        <w:tc>
          <w:tcPr>
            <w:tcW w:w="2636" w:type="pct"/>
            <w:vAlign w:val="center"/>
          </w:tcPr>
          <w:p w14:paraId="27BB2397">
            <w:pPr>
              <w:spacing w:before="58" w:after="58" w:line="288" w:lineRule="auto"/>
              <w:ind w:left="42" w:right="42"/>
              <w:jc w:val="left"/>
              <w:rPr>
                <w:rFonts w:cs="Microsoft New Tai Lue"/>
                <w:bCs/>
              </w:rPr>
            </w:pPr>
            <w:r>
              <w:rPr>
                <w:rFonts w:cs="Microsoft New Tai Lue"/>
                <w:bCs/>
              </w:rPr>
              <w:t>详见</w:t>
            </w:r>
            <w:r>
              <w:rPr>
                <w:rFonts w:cs="Microsoft New Tai Lue"/>
              </w:rPr>
              <w:t>招标文件第</w:t>
            </w:r>
            <w:r>
              <w:rPr>
                <w:rFonts w:hint="eastAsia" w:cs="Microsoft New Tai Lue"/>
              </w:rPr>
              <w:t>一</w:t>
            </w:r>
            <w:r>
              <w:rPr>
                <w:rFonts w:cs="Microsoft New Tai Lue"/>
              </w:rPr>
              <w:t>章《</w:t>
            </w:r>
            <w:r>
              <w:rPr>
                <w:rFonts w:hint="eastAsia" w:cs="Microsoft New Tai Lue"/>
              </w:rPr>
              <w:t>招标公告</w:t>
            </w:r>
            <w:r>
              <w:rPr>
                <w:rFonts w:cs="Microsoft New Tai Lue"/>
              </w:rPr>
              <w:t>》</w:t>
            </w:r>
          </w:p>
        </w:tc>
      </w:tr>
      <w:tr w14:paraId="1ACC4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4C9FCF04">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3B5E416D">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8.1</w:t>
            </w:r>
          </w:p>
        </w:tc>
        <w:tc>
          <w:tcPr>
            <w:tcW w:w="1429" w:type="pct"/>
            <w:vAlign w:val="center"/>
          </w:tcPr>
          <w:p w14:paraId="174CAEB2">
            <w:pPr>
              <w:spacing w:before="58" w:after="58" w:line="288" w:lineRule="auto"/>
              <w:ind w:left="42" w:right="42"/>
              <w:jc w:val="left"/>
              <w:rPr>
                <w:rFonts w:cs="Microsoft New Tai Lue"/>
                <w:bCs/>
              </w:rPr>
            </w:pPr>
            <w:r>
              <w:rPr>
                <w:rFonts w:cs="Microsoft New Tai Lue"/>
                <w:bCs/>
              </w:rPr>
              <w:t>现场考察</w:t>
            </w:r>
          </w:p>
        </w:tc>
        <w:tc>
          <w:tcPr>
            <w:tcW w:w="2636" w:type="pct"/>
            <w:vAlign w:val="center"/>
          </w:tcPr>
          <w:p w14:paraId="0D55A9E7">
            <w:pPr>
              <w:spacing w:before="58" w:after="58" w:line="288" w:lineRule="auto"/>
              <w:ind w:left="42" w:right="42"/>
              <w:jc w:val="left"/>
              <w:rPr>
                <w:rFonts w:cs="Microsoft New Tai Lue"/>
                <w:bCs/>
              </w:rPr>
            </w:pPr>
            <w:r>
              <w:rPr>
                <w:rFonts w:hint="eastAsia" w:cs="Segoe UI Symbol"/>
                <w:bCs/>
              </w:rPr>
              <w:t>■</w:t>
            </w:r>
            <w:r>
              <w:rPr>
                <w:rFonts w:cs="Microsoft New Tai Lue"/>
                <w:bCs/>
              </w:rPr>
              <w:t>不组织</w:t>
            </w:r>
          </w:p>
        </w:tc>
      </w:tr>
      <w:tr w14:paraId="352EE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0047BB41">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058F6653">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9</w:t>
            </w:r>
            <w:r>
              <w:rPr>
                <w:rFonts w:ascii="Times New Roman" w:hAnsi="Times New Roman" w:cs="Microsoft New Tai Lue"/>
                <w:sz w:val="21"/>
              </w:rPr>
              <w:t>.1</w:t>
            </w:r>
          </w:p>
        </w:tc>
        <w:tc>
          <w:tcPr>
            <w:tcW w:w="1429" w:type="pct"/>
            <w:vAlign w:val="center"/>
          </w:tcPr>
          <w:p w14:paraId="48D29178">
            <w:pPr>
              <w:pStyle w:val="310"/>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开标</w:t>
            </w:r>
            <w:r>
              <w:rPr>
                <w:rFonts w:ascii="Times New Roman" w:hAnsi="Times New Roman" w:cs="Microsoft New Tai Lue"/>
                <w:sz w:val="21"/>
              </w:rPr>
              <w:t>前答疑会</w:t>
            </w:r>
          </w:p>
        </w:tc>
        <w:tc>
          <w:tcPr>
            <w:tcW w:w="2636" w:type="pct"/>
            <w:vAlign w:val="center"/>
          </w:tcPr>
          <w:p w14:paraId="20236AB1">
            <w:pPr>
              <w:pStyle w:val="311"/>
              <w:spacing w:before="58" w:after="58" w:line="288" w:lineRule="auto"/>
              <w:ind w:left="42" w:right="42"/>
              <w:rPr>
                <w:rFonts w:ascii="Times New Roman" w:hAnsi="Times New Roman" w:cs="Segoe UI Symbol"/>
                <w:bCs/>
                <w:szCs w:val="21"/>
              </w:rPr>
            </w:pPr>
            <w:r>
              <w:rPr>
                <w:rFonts w:hint="eastAsia" w:ascii="Times New Roman" w:hAnsi="Times New Roman" w:cs="Segoe UI Symbol"/>
                <w:bCs/>
                <w:szCs w:val="21"/>
              </w:rPr>
              <w:t>■</w:t>
            </w:r>
            <w:r>
              <w:rPr>
                <w:rFonts w:hint="eastAsia" w:ascii="Times New Roman" w:hAnsi="Times New Roman" w:cs="Times New Roman"/>
                <w:sz w:val="21"/>
                <w:szCs w:val="21"/>
                <w:lang w:val="en-US" w:bidi="ar-SA"/>
              </w:rPr>
              <w:t>不召开</w:t>
            </w:r>
          </w:p>
        </w:tc>
      </w:tr>
      <w:tr w14:paraId="3F7AF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006128E7">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23F70B32">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10.1</w:t>
            </w:r>
          </w:p>
        </w:tc>
        <w:tc>
          <w:tcPr>
            <w:tcW w:w="1429" w:type="pct"/>
            <w:vAlign w:val="center"/>
          </w:tcPr>
          <w:p w14:paraId="047C640C">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联合体投标</w:t>
            </w:r>
          </w:p>
        </w:tc>
        <w:tc>
          <w:tcPr>
            <w:tcW w:w="2636" w:type="pct"/>
            <w:vAlign w:val="center"/>
          </w:tcPr>
          <w:p w14:paraId="032D2989">
            <w:pPr>
              <w:spacing w:before="58" w:after="58" w:line="288" w:lineRule="auto"/>
              <w:ind w:left="42" w:right="42"/>
              <w:rPr>
                <w:rFonts w:cs="Microsoft New Tai Lue"/>
              </w:rPr>
            </w:pPr>
            <w:r>
              <w:rPr>
                <w:rFonts w:hint="eastAsia" w:cs="Segoe UI Symbol"/>
                <w:bCs/>
              </w:rPr>
              <w:t>■</w:t>
            </w:r>
            <w:r>
              <w:rPr>
                <w:rFonts w:cs="Microsoft New Tai Lue"/>
                <w:bCs/>
              </w:rPr>
              <w:t>不接受</w:t>
            </w:r>
          </w:p>
        </w:tc>
      </w:tr>
      <w:tr w14:paraId="6547E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vAlign w:val="center"/>
          </w:tcPr>
          <w:p w14:paraId="6C205504">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19DE4223">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1</w:t>
            </w:r>
            <w:r>
              <w:rPr>
                <w:rFonts w:hint="eastAsia" w:ascii="Times New Roman" w:hAnsi="Times New Roman" w:cs="Microsoft New Tai Lue"/>
                <w:sz w:val="21"/>
              </w:rPr>
              <w:t>.1</w:t>
            </w:r>
          </w:p>
        </w:tc>
        <w:tc>
          <w:tcPr>
            <w:tcW w:w="1429" w:type="pct"/>
            <w:vAlign w:val="center"/>
          </w:tcPr>
          <w:p w14:paraId="7DDC9A80">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分包</w:t>
            </w:r>
          </w:p>
        </w:tc>
        <w:tc>
          <w:tcPr>
            <w:tcW w:w="2636" w:type="pct"/>
            <w:vAlign w:val="center"/>
          </w:tcPr>
          <w:p w14:paraId="2ADFAA2E">
            <w:pPr>
              <w:spacing w:before="58" w:after="58" w:line="288" w:lineRule="auto"/>
              <w:ind w:left="42" w:right="42"/>
              <w:rPr>
                <w:rFonts w:cs="Segoe UI Symbol"/>
                <w:bCs/>
              </w:rPr>
            </w:pPr>
            <w:r>
              <w:t>本项目的非主体、非关键性工作是否允许分包：</w:t>
            </w:r>
          </w:p>
          <w:p w14:paraId="229FBDF3">
            <w:pPr>
              <w:spacing w:before="58" w:after="58" w:line="288" w:lineRule="auto"/>
              <w:ind w:left="42" w:right="42"/>
            </w:pPr>
            <w:r>
              <w:rPr>
                <w:rFonts w:hint="eastAsia" w:cs="Segoe UI Symbol"/>
                <w:bCs/>
              </w:rPr>
              <w:t>■</w:t>
            </w:r>
            <w:r>
              <w:rPr>
                <w:rFonts w:cs="Microsoft New Tai Lue"/>
                <w:bCs/>
              </w:rPr>
              <w:t>不</w:t>
            </w:r>
            <w:r>
              <w:rPr>
                <w:rFonts w:hint="eastAsia" w:cs="Microsoft New Tai Lue"/>
                <w:bCs/>
              </w:rPr>
              <w:t>允许</w:t>
            </w:r>
          </w:p>
        </w:tc>
      </w:tr>
      <w:tr w14:paraId="10C45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40752700">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73818DFD">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4</w:t>
            </w:r>
            <w:r>
              <w:rPr>
                <w:rFonts w:hint="eastAsia" w:ascii="Times New Roman" w:hAnsi="Times New Roman" w:cs="Microsoft New Tai Lue"/>
                <w:sz w:val="21"/>
              </w:rPr>
              <w:t>.1</w:t>
            </w:r>
          </w:p>
        </w:tc>
        <w:tc>
          <w:tcPr>
            <w:tcW w:w="1429" w:type="pct"/>
            <w:vAlign w:val="center"/>
          </w:tcPr>
          <w:p w14:paraId="18F8C6A4">
            <w:pPr>
              <w:pStyle w:val="310"/>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采购</w:t>
            </w:r>
            <w:r>
              <w:rPr>
                <w:rFonts w:ascii="Times New Roman" w:hAnsi="Times New Roman" w:cs="Microsoft New Tai Lue"/>
                <w:sz w:val="21"/>
              </w:rPr>
              <w:t>预算</w:t>
            </w:r>
          </w:p>
        </w:tc>
        <w:tc>
          <w:tcPr>
            <w:tcW w:w="2636" w:type="pct"/>
            <w:vAlign w:val="center"/>
          </w:tcPr>
          <w:p w14:paraId="02F2DF9C">
            <w:pPr>
              <w:spacing w:before="58" w:after="58" w:line="288" w:lineRule="auto"/>
              <w:ind w:left="42" w:right="42"/>
              <w:jc w:val="left"/>
              <w:rPr>
                <w:rFonts w:cs="Microsoft New Tai Lue"/>
              </w:rPr>
            </w:pPr>
            <w:r>
              <w:rPr>
                <w:rFonts w:cs="Microsoft New Tai Lue"/>
                <w:bCs/>
              </w:rPr>
              <w:t>详见</w:t>
            </w:r>
            <w:r>
              <w:rPr>
                <w:rFonts w:cs="Microsoft New Tai Lue"/>
              </w:rPr>
              <w:t>招标文件第</w:t>
            </w:r>
            <w:r>
              <w:rPr>
                <w:rFonts w:hint="eastAsia" w:cs="Microsoft New Tai Lue"/>
              </w:rPr>
              <w:t>一</w:t>
            </w:r>
            <w:r>
              <w:rPr>
                <w:rFonts w:cs="Microsoft New Tai Lue"/>
              </w:rPr>
              <w:t>章《</w:t>
            </w:r>
            <w:r>
              <w:rPr>
                <w:rFonts w:hint="eastAsia" w:cs="Microsoft New Tai Lue"/>
              </w:rPr>
              <w:t>招标公告</w:t>
            </w:r>
            <w:r>
              <w:rPr>
                <w:rFonts w:cs="Microsoft New Tai Lue"/>
              </w:rPr>
              <w:t>》</w:t>
            </w:r>
          </w:p>
        </w:tc>
      </w:tr>
      <w:tr w14:paraId="33906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400" w:type="pct"/>
            <w:vAlign w:val="center"/>
          </w:tcPr>
          <w:p w14:paraId="5D4D5DE5">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6A013A37">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4</w:t>
            </w:r>
            <w:r>
              <w:rPr>
                <w:rFonts w:hint="eastAsia" w:ascii="Times New Roman" w:hAnsi="Times New Roman" w:cs="Microsoft New Tai Lue"/>
                <w:sz w:val="21"/>
              </w:rPr>
              <w:t>.2</w:t>
            </w:r>
          </w:p>
        </w:tc>
        <w:tc>
          <w:tcPr>
            <w:tcW w:w="1429" w:type="pct"/>
            <w:vAlign w:val="center"/>
          </w:tcPr>
          <w:p w14:paraId="601A6F7F">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本项目设定的最高限价</w:t>
            </w:r>
          </w:p>
        </w:tc>
        <w:tc>
          <w:tcPr>
            <w:tcW w:w="2636" w:type="pct"/>
            <w:vAlign w:val="center"/>
          </w:tcPr>
          <w:p w14:paraId="7594136F">
            <w:pPr>
              <w:spacing w:before="58" w:after="58" w:line="288" w:lineRule="auto"/>
              <w:ind w:left="42" w:right="42"/>
              <w:jc w:val="left"/>
              <w:rPr>
                <w:rFonts w:cs="Microsoft New Tai Lue"/>
              </w:rPr>
            </w:pPr>
            <w:r>
              <w:rPr>
                <w:rFonts w:cs="Microsoft New Tai Lue"/>
                <w:bCs/>
              </w:rPr>
              <w:t>详见</w:t>
            </w:r>
            <w:r>
              <w:rPr>
                <w:rFonts w:cs="Microsoft New Tai Lue"/>
              </w:rPr>
              <w:t>招标文件第</w:t>
            </w:r>
            <w:r>
              <w:rPr>
                <w:rFonts w:hint="eastAsia" w:cs="Microsoft New Tai Lue"/>
              </w:rPr>
              <w:t>一</w:t>
            </w:r>
            <w:r>
              <w:rPr>
                <w:rFonts w:cs="Microsoft New Tai Lue"/>
              </w:rPr>
              <w:t>章《</w:t>
            </w:r>
            <w:r>
              <w:rPr>
                <w:rFonts w:hint="eastAsia" w:cs="Microsoft New Tai Lue"/>
              </w:rPr>
              <w:t>招标公告</w:t>
            </w:r>
            <w:r>
              <w:rPr>
                <w:rFonts w:cs="Microsoft New Tai Lue"/>
              </w:rPr>
              <w:t>》</w:t>
            </w:r>
          </w:p>
        </w:tc>
      </w:tr>
      <w:tr w14:paraId="5C7B2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3BEE62C4">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1E89A186">
            <w:pPr>
              <w:pStyle w:val="310"/>
              <w:spacing w:before="58" w:after="58" w:line="288" w:lineRule="auto"/>
              <w:ind w:left="42" w:right="42"/>
              <w:jc w:val="center"/>
              <w:rPr>
                <w:rFonts w:ascii="Times New Roman" w:hAnsi="Times New Roman" w:cs="Microsoft New Tai Lue"/>
                <w:sz w:val="21"/>
              </w:rPr>
            </w:pPr>
            <w:r>
              <w:rPr>
                <w:rFonts w:hint="eastAsia" w:ascii="Times New Roman" w:hAnsi="Times New Roman" w:cs="Microsoft New Tai Lue"/>
                <w:sz w:val="21"/>
              </w:rPr>
              <w:t>1</w:t>
            </w:r>
            <w:r>
              <w:rPr>
                <w:rFonts w:ascii="Times New Roman" w:hAnsi="Times New Roman" w:cs="Microsoft New Tai Lue"/>
                <w:sz w:val="21"/>
              </w:rPr>
              <w:t>5</w:t>
            </w:r>
            <w:r>
              <w:rPr>
                <w:rFonts w:hint="eastAsia" w:ascii="Times New Roman" w:hAnsi="Times New Roman" w:cs="Microsoft New Tai Lue"/>
                <w:sz w:val="21"/>
              </w:rPr>
              <w:t>.1</w:t>
            </w:r>
          </w:p>
        </w:tc>
        <w:tc>
          <w:tcPr>
            <w:tcW w:w="1429" w:type="pct"/>
            <w:vAlign w:val="center"/>
          </w:tcPr>
          <w:p w14:paraId="4822C6BD">
            <w:pPr>
              <w:spacing w:before="58" w:after="58" w:line="288" w:lineRule="auto"/>
              <w:ind w:left="42" w:right="42"/>
              <w:jc w:val="left"/>
              <w:rPr>
                <w:rFonts w:cs="Microsoft New Tai Lue"/>
                <w:bCs/>
              </w:rPr>
            </w:pPr>
            <w:r>
              <w:rPr>
                <w:rFonts w:hint="eastAsia" w:cs="Microsoft New Tai Lue"/>
                <w:bCs/>
              </w:rPr>
              <w:t>供应商</w:t>
            </w:r>
            <w:r>
              <w:rPr>
                <w:rFonts w:cs="Microsoft New Tai Lue"/>
                <w:bCs/>
              </w:rPr>
              <w:t>资格条件</w:t>
            </w:r>
          </w:p>
        </w:tc>
        <w:tc>
          <w:tcPr>
            <w:tcW w:w="2636" w:type="pct"/>
            <w:vAlign w:val="center"/>
          </w:tcPr>
          <w:p w14:paraId="1443FC89">
            <w:pPr>
              <w:spacing w:before="58" w:after="58" w:line="288" w:lineRule="auto"/>
              <w:ind w:left="42" w:right="42"/>
              <w:jc w:val="left"/>
              <w:rPr>
                <w:rFonts w:cs="Microsoft New Tai Lue"/>
                <w:bCs/>
              </w:rPr>
            </w:pPr>
            <w:r>
              <w:rPr>
                <w:rFonts w:cs="Microsoft New Tai Lue"/>
                <w:bCs/>
              </w:rPr>
              <w:t>详见招标文件第一章《</w:t>
            </w:r>
            <w:r>
              <w:rPr>
                <w:rFonts w:hint="eastAsia" w:cs="Microsoft New Tai Lue"/>
                <w:bCs/>
              </w:rPr>
              <w:t>招标公告</w:t>
            </w:r>
            <w:r>
              <w:rPr>
                <w:rFonts w:cs="Microsoft New Tai Lue"/>
                <w:bCs/>
              </w:rPr>
              <w:t>》</w:t>
            </w:r>
          </w:p>
        </w:tc>
      </w:tr>
      <w:tr w14:paraId="60FE8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550783A4">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1FC23017">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20.5</w:t>
            </w:r>
          </w:p>
        </w:tc>
        <w:tc>
          <w:tcPr>
            <w:tcW w:w="1429" w:type="pct"/>
            <w:vAlign w:val="center"/>
          </w:tcPr>
          <w:p w14:paraId="7DD80C9C">
            <w:pPr>
              <w:pStyle w:val="310"/>
              <w:spacing w:before="58" w:after="58" w:line="288" w:lineRule="auto"/>
              <w:ind w:left="42" w:right="42"/>
              <w:jc w:val="left"/>
              <w:rPr>
                <w:rFonts w:ascii="Times New Roman" w:hAnsi="Times New Roman" w:cs="Microsoft New Tai Lue"/>
                <w:sz w:val="21"/>
                <w:highlight w:val="none"/>
              </w:rPr>
            </w:pPr>
            <w:r>
              <w:rPr>
                <w:rFonts w:ascii="Times New Roman" w:hAnsi="Times New Roman" w:cs="Microsoft New Tai Lue"/>
                <w:sz w:val="21"/>
                <w:highlight w:val="none"/>
              </w:rPr>
              <w:t>投标报价</w:t>
            </w:r>
          </w:p>
        </w:tc>
        <w:tc>
          <w:tcPr>
            <w:tcW w:w="2636" w:type="pct"/>
            <w:vAlign w:val="center"/>
          </w:tcPr>
          <w:p w14:paraId="4B0BBA6E">
            <w:pPr>
              <w:pStyle w:val="310"/>
              <w:spacing w:before="58" w:after="58" w:line="288" w:lineRule="auto"/>
              <w:ind w:left="42" w:right="42"/>
              <w:rPr>
                <w:rFonts w:ascii="Times New Roman" w:hAnsi="Times New Roman" w:cs="Microsoft New Tai Lue"/>
                <w:bCs/>
                <w:sz w:val="21"/>
                <w:highlight w:val="none"/>
              </w:rPr>
            </w:pPr>
            <w:r>
              <w:rPr>
                <w:rFonts w:hint="eastAsia" w:ascii="Times New Roman" w:hAnsi="Times New Roman" w:cs="Microsoft New Tai Lue"/>
                <w:bCs/>
                <w:sz w:val="21"/>
                <w:highlight w:val="none"/>
              </w:rPr>
              <w:t>投标报价的其他要求：</w:t>
            </w:r>
          </w:p>
          <w:p w14:paraId="6818D4BD">
            <w:pPr>
              <w:pStyle w:val="310"/>
              <w:spacing w:before="58" w:after="58" w:line="288" w:lineRule="auto"/>
              <w:ind w:left="42" w:right="42"/>
              <w:rPr>
                <w:rFonts w:hint="eastAsia" w:ascii="Times New Roman" w:hAnsi="Times New Roman" w:cs="Microsoft New Tai Lue"/>
                <w:bCs/>
                <w:sz w:val="21"/>
                <w:highlight w:val="none"/>
              </w:rPr>
            </w:pPr>
            <w:r>
              <w:rPr>
                <w:rFonts w:hint="eastAsia" w:ascii="Times New Roman" w:hAnsi="Times New Roman" w:cs="Microsoft New Tai Lue"/>
                <w:bCs/>
                <w:sz w:val="21"/>
                <w:highlight w:val="none"/>
              </w:rPr>
              <w:t>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p>
          <w:p w14:paraId="4A7AE1D9">
            <w:pPr>
              <w:pStyle w:val="310"/>
              <w:spacing w:before="58" w:after="58" w:line="288" w:lineRule="auto"/>
              <w:ind w:left="42" w:right="42"/>
              <w:rPr>
                <w:rFonts w:hint="eastAsia" w:ascii="Times New Roman" w:hAnsi="Times New Roman" w:cs="Microsoft New Tai Lue"/>
                <w:bCs/>
                <w:sz w:val="21"/>
                <w:highlight w:val="none"/>
              </w:rPr>
            </w:pPr>
            <w:r>
              <w:rPr>
                <w:rFonts w:hint="eastAsia" w:ascii="Times New Roman" w:hAnsi="Times New Roman" w:cs="Microsoft New Tai Lue"/>
                <w:bCs/>
                <w:sz w:val="21"/>
                <w:highlight w:val="none"/>
              </w:rPr>
              <w:t>评标价不得超出预算。超预算的评标价视为实质性偏离，作无效投标处理。</w:t>
            </w:r>
          </w:p>
          <w:p w14:paraId="335ECA87">
            <w:pPr>
              <w:pStyle w:val="310"/>
              <w:spacing w:before="58" w:after="58" w:line="288" w:lineRule="auto"/>
              <w:ind w:left="42" w:right="42"/>
              <w:rPr>
                <w:rFonts w:ascii="Times New Roman" w:hAnsi="Times New Roman" w:cs="Microsoft New Tai Lue"/>
                <w:bCs/>
                <w:sz w:val="21"/>
                <w:highlight w:val="none"/>
              </w:rPr>
            </w:pPr>
            <w:r>
              <w:rPr>
                <w:rFonts w:hint="eastAsia" w:ascii="Times New Roman" w:hAnsi="Times New Roman" w:cs="Microsoft New Tai Lue"/>
                <w:bCs/>
                <w:sz w:val="21"/>
                <w:highlight w:val="none"/>
              </w:rPr>
              <w:t>注：供应商报价为最终报价，如因国家政策调整，增加的税费由供应商自行承担。</w:t>
            </w:r>
          </w:p>
        </w:tc>
      </w:tr>
      <w:tr w14:paraId="7AE29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327D3686">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67CD0E2A">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21.1</w:t>
            </w:r>
          </w:p>
        </w:tc>
        <w:tc>
          <w:tcPr>
            <w:tcW w:w="1429" w:type="pct"/>
            <w:vAlign w:val="center"/>
          </w:tcPr>
          <w:p w14:paraId="3B3D1B5A">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投标有效期</w:t>
            </w:r>
          </w:p>
        </w:tc>
        <w:tc>
          <w:tcPr>
            <w:tcW w:w="2636" w:type="pct"/>
            <w:vAlign w:val="center"/>
          </w:tcPr>
          <w:p w14:paraId="1A3EC8EA">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自提交投标文件的截止之日起算</w:t>
            </w:r>
            <w:r>
              <w:rPr>
                <w:rFonts w:hint="eastAsia" w:ascii="Times New Roman" w:hAnsi="Times New Roman" w:cs="Microsoft New Tai Lue"/>
                <w:bCs/>
                <w:sz w:val="21"/>
                <w:u w:val="single"/>
              </w:rPr>
              <w:t xml:space="preserve"> 90 </w:t>
            </w:r>
            <w:r>
              <w:rPr>
                <w:rFonts w:hint="eastAsia" w:ascii="Times New Roman" w:hAnsi="Times New Roman" w:cs="Microsoft New Tai Lue"/>
                <w:bCs/>
                <w:sz w:val="21"/>
              </w:rPr>
              <w:t>日历天</w:t>
            </w:r>
          </w:p>
        </w:tc>
      </w:tr>
      <w:tr w14:paraId="116A0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400" w:type="pct"/>
            <w:vAlign w:val="center"/>
          </w:tcPr>
          <w:p w14:paraId="78DB1CE2">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1BEA8882">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22.1</w:t>
            </w:r>
          </w:p>
        </w:tc>
        <w:tc>
          <w:tcPr>
            <w:tcW w:w="1429" w:type="pct"/>
            <w:vAlign w:val="center"/>
          </w:tcPr>
          <w:p w14:paraId="77B09AAC">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投标保证金</w:t>
            </w:r>
          </w:p>
        </w:tc>
        <w:tc>
          <w:tcPr>
            <w:tcW w:w="2636" w:type="pct"/>
            <w:vAlign w:val="center"/>
          </w:tcPr>
          <w:p w14:paraId="1927B6E2">
            <w:pPr>
              <w:spacing w:before="58" w:after="58" w:line="288" w:lineRule="auto"/>
              <w:ind w:left="42" w:right="42"/>
              <w:rPr>
                <w:rFonts w:cs="Microsoft New Tai Lue"/>
                <w:bCs/>
              </w:rPr>
            </w:pPr>
            <w:r>
              <w:rPr>
                <w:rFonts w:hint="eastAsia" w:cs="Segoe UI Symbol"/>
                <w:bCs/>
              </w:rPr>
              <w:t>■不需要</w:t>
            </w:r>
          </w:p>
        </w:tc>
      </w:tr>
      <w:tr w14:paraId="20D14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0" w:type="pct"/>
            <w:shd w:val="clear" w:color="auto" w:fill="auto"/>
            <w:vAlign w:val="center"/>
          </w:tcPr>
          <w:p w14:paraId="6A03A2DB">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shd w:val="clear" w:color="auto" w:fill="auto"/>
            <w:vAlign w:val="center"/>
          </w:tcPr>
          <w:p w14:paraId="62C272E1">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24.1</w:t>
            </w:r>
          </w:p>
        </w:tc>
        <w:tc>
          <w:tcPr>
            <w:tcW w:w="1429" w:type="pct"/>
            <w:shd w:val="clear" w:color="auto" w:fill="auto"/>
            <w:vAlign w:val="center"/>
          </w:tcPr>
          <w:p w14:paraId="18426BB2">
            <w:pPr>
              <w:pStyle w:val="310"/>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投标文件的密封和标记</w:t>
            </w:r>
          </w:p>
        </w:tc>
        <w:tc>
          <w:tcPr>
            <w:tcW w:w="2636" w:type="pct"/>
            <w:vAlign w:val="center"/>
          </w:tcPr>
          <w:p w14:paraId="71562D37">
            <w:pPr>
              <w:pStyle w:val="310"/>
              <w:spacing w:before="58" w:after="58" w:line="288" w:lineRule="auto"/>
              <w:ind w:left="42" w:right="42"/>
              <w:jc w:val="left"/>
              <w:rPr>
                <w:rFonts w:ascii="Times New Roman" w:hAnsi="Times New Roman" w:cs="Microsoft New Tai Lue"/>
                <w:sz w:val="21"/>
              </w:rPr>
            </w:pPr>
            <w:r>
              <w:rPr>
                <w:rFonts w:hint="eastAsia" w:ascii="Times New Roman" w:hAnsi="Times New Roman" w:cs="Microsoft New Tai Lue"/>
                <w:sz w:val="21"/>
              </w:rPr>
              <w:t>本项目全流程苏采云线上实施。投标人应当按照《操作手册》规定，在招标公告规定的投标截止时间前制作并上传电子投标文件。招标代理机构拒绝接收提交投标文件截止时间后上传的任何电子投标文件。</w:t>
            </w:r>
          </w:p>
        </w:tc>
      </w:tr>
      <w:tr w14:paraId="425A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shd w:val="clear" w:color="auto" w:fill="auto"/>
            <w:vAlign w:val="center"/>
          </w:tcPr>
          <w:p w14:paraId="029A6426">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shd w:val="clear" w:color="auto" w:fill="auto"/>
            <w:vAlign w:val="center"/>
          </w:tcPr>
          <w:p w14:paraId="1C0902F7">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25</w:t>
            </w:r>
            <w:r>
              <w:rPr>
                <w:rFonts w:hint="eastAsia" w:ascii="Times New Roman" w:hAnsi="Times New Roman" w:cs="Microsoft New Tai Lue"/>
                <w:sz w:val="21"/>
              </w:rPr>
              <w:t>.1</w:t>
            </w:r>
          </w:p>
        </w:tc>
        <w:tc>
          <w:tcPr>
            <w:tcW w:w="1429" w:type="pct"/>
            <w:shd w:val="clear" w:color="auto" w:fill="auto"/>
            <w:vAlign w:val="center"/>
          </w:tcPr>
          <w:p w14:paraId="128B2115">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提交投标文件的截止时间、地点</w:t>
            </w:r>
          </w:p>
        </w:tc>
        <w:tc>
          <w:tcPr>
            <w:tcW w:w="2636" w:type="pct"/>
            <w:shd w:val="clear" w:color="auto" w:fill="auto"/>
            <w:vAlign w:val="center"/>
          </w:tcPr>
          <w:p w14:paraId="6E6F12D0">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详见招标文件第一章《</w:t>
            </w:r>
            <w:r>
              <w:rPr>
                <w:rFonts w:hint="eastAsia" w:ascii="Times New Roman" w:hAnsi="Times New Roman" w:cs="Microsoft New Tai Lue"/>
                <w:sz w:val="21"/>
              </w:rPr>
              <w:t>招标公告</w:t>
            </w:r>
            <w:r>
              <w:rPr>
                <w:rFonts w:ascii="Times New Roman" w:hAnsi="Times New Roman" w:cs="Microsoft New Tai Lue"/>
                <w:sz w:val="21"/>
              </w:rPr>
              <w:t>》</w:t>
            </w:r>
          </w:p>
        </w:tc>
      </w:tr>
      <w:tr w14:paraId="33D21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7BE9F9EF">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4B8DA869">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28.1</w:t>
            </w:r>
          </w:p>
        </w:tc>
        <w:tc>
          <w:tcPr>
            <w:tcW w:w="1429" w:type="pct"/>
            <w:vAlign w:val="center"/>
          </w:tcPr>
          <w:p w14:paraId="1E20D123">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开标时间、地点</w:t>
            </w:r>
          </w:p>
        </w:tc>
        <w:tc>
          <w:tcPr>
            <w:tcW w:w="2636" w:type="pct"/>
            <w:vAlign w:val="center"/>
          </w:tcPr>
          <w:p w14:paraId="016A4939">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详见招标文件第一章《</w:t>
            </w:r>
            <w:r>
              <w:rPr>
                <w:rFonts w:hint="eastAsia" w:ascii="Times New Roman" w:hAnsi="Times New Roman" w:cs="Microsoft New Tai Lue"/>
                <w:sz w:val="21"/>
              </w:rPr>
              <w:t>招标公告</w:t>
            </w:r>
            <w:r>
              <w:rPr>
                <w:rFonts w:ascii="Times New Roman" w:hAnsi="Times New Roman" w:cs="Microsoft New Tai Lue"/>
                <w:sz w:val="21"/>
              </w:rPr>
              <w:t>》</w:t>
            </w:r>
          </w:p>
        </w:tc>
      </w:tr>
      <w:tr w14:paraId="4FA9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4398AA91">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0E3F3B96">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29</w:t>
            </w:r>
          </w:p>
        </w:tc>
        <w:tc>
          <w:tcPr>
            <w:tcW w:w="1429" w:type="pct"/>
            <w:vAlign w:val="center"/>
          </w:tcPr>
          <w:p w14:paraId="77DF1340">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信用查询</w:t>
            </w:r>
          </w:p>
        </w:tc>
        <w:tc>
          <w:tcPr>
            <w:tcW w:w="2636" w:type="pct"/>
            <w:vAlign w:val="center"/>
          </w:tcPr>
          <w:p w14:paraId="725C0767">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■采购人或采购代理机构将通过“信用中国”网站</w:t>
            </w:r>
            <w:r>
              <w:rPr>
                <w:rFonts w:ascii="Times New Roman" w:hAnsi="Times New Roman" w:cs="Microsoft New Tai Lue"/>
                <w:bCs/>
                <w:sz w:val="21"/>
              </w:rPr>
              <w:t>(www.creditchina.gov.cn)</w:t>
            </w:r>
            <w:r>
              <w:rPr>
                <w:rFonts w:hint="eastAsia" w:ascii="Times New Roman" w:hAnsi="Times New Roman" w:cs="Microsoft New Tai Lue"/>
                <w:bCs/>
                <w:sz w:val="21"/>
              </w:rPr>
              <w:t>、中国政府采购网</w:t>
            </w:r>
            <w:r>
              <w:rPr>
                <w:rFonts w:ascii="Times New Roman" w:hAnsi="Times New Roman" w:cs="Microsoft New Tai Lue"/>
                <w:bCs/>
                <w:sz w:val="21"/>
              </w:rPr>
              <w:t>(www.ccgp.gov.cn)</w:t>
            </w:r>
            <w:r>
              <w:rPr>
                <w:rFonts w:hint="eastAsia" w:ascii="Times New Roman" w:hAnsi="Times New Roman" w:cs="Microsoft New Tai Lue"/>
                <w:bCs/>
                <w:sz w:val="21"/>
              </w:rPr>
              <w:t>查询相关主体信用记录。本次查询的信用记录打印的网页版将留存在评标报告中。</w:t>
            </w:r>
            <w:r>
              <w:rPr>
                <w:rFonts w:ascii="Times New Roman" w:hAnsi="Times New Roman" w:cs="Microsoft New Tai Lue"/>
                <w:bCs/>
                <w:sz w:val="21"/>
              </w:rPr>
              <w:t>截止时点：投标截止时间以后、资格审查阶段采购人或采购代理机构的实际查询时间</w:t>
            </w:r>
            <w:r>
              <w:rPr>
                <w:rFonts w:hint="eastAsia" w:ascii="Times New Roman" w:hAnsi="Times New Roman" w:cs="Microsoft New Tai Lue"/>
                <w:bCs/>
                <w:sz w:val="21"/>
              </w:rPr>
              <w:t>。</w:t>
            </w:r>
          </w:p>
        </w:tc>
      </w:tr>
      <w:tr w14:paraId="741BA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58586188">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6EAB5480">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30.1.1</w:t>
            </w:r>
          </w:p>
        </w:tc>
        <w:tc>
          <w:tcPr>
            <w:tcW w:w="1429" w:type="pct"/>
            <w:vAlign w:val="center"/>
          </w:tcPr>
          <w:p w14:paraId="447B56CD">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评标委员会</w:t>
            </w:r>
          </w:p>
        </w:tc>
        <w:tc>
          <w:tcPr>
            <w:tcW w:w="2636" w:type="pct"/>
            <w:vAlign w:val="center"/>
          </w:tcPr>
          <w:p w14:paraId="56B996CA">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5人及以上单数</w:t>
            </w:r>
            <w:r>
              <w:rPr>
                <w:rFonts w:ascii="Times New Roman" w:hAnsi="Times New Roman" w:cs="Microsoft New Tai Lue"/>
                <w:bCs/>
                <w:sz w:val="21"/>
              </w:rPr>
              <w:t>。</w:t>
            </w:r>
          </w:p>
        </w:tc>
      </w:tr>
      <w:tr w14:paraId="155A6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13690639">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25D94F72">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30.5.3</w:t>
            </w:r>
          </w:p>
        </w:tc>
        <w:tc>
          <w:tcPr>
            <w:tcW w:w="1429" w:type="pct"/>
            <w:vAlign w:val="center"/>
          </w:tcPr>
          <w:p w14:paraId="412CB9C7">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核心产品</w:t>
            </w:r>
            <w:r>
              <w:rPr>
                <w:rFonts w:ascii="Times New Roman" w:hAnsi="Times New Roman" w:cs="Microsoft New Tai Lue"/>
                <w:sz w:val="21"/>
              </w:rPr>
              <w:tab/>
            </w:r>
          </w:p>
        </w:tc>
        <w:tc>
          <w:tcPr>
            <w:tcW w:w="2636" w:type="pct"/>
            <w:vAlign w:val="center"/>
          </w:tcPr>
          <w:p w14:paraId="1985D72C">
            <w:pPr>
              <w:pStyle w:val="310"/>
              <w:spacing w:before="58" w:after="58" w:line="288" w:lineRule="auto"/>
              <w:ind w:left="42" w:right="42"/>
              <w:rPr>
                <w:rFonts w:hint="eastAsia" w:ascii="Times New Roman" w:hAnsi="Times New Roman" w:eastAsia="宋体" w:cs="Microsoft New Tai Lue"/>
                <w:bCs/>
                <w:sz w:val="21"/>
                <w:lang w:eastAsia="zh-CN"/>
              </w:rPr>
            </w:pPr>
            <w:r>
              <w:rPr>
                <w:rFonts w:hint="eastAsia" w:hAnsi="宋体" w:cs="宋体"/>
                <w:color w:val="000000"/>
                <w:sz w:val="21"/>
                <w:lang w:eastAsia="zh-CN"/>
              </w:rPr>
              <w:t>小动物辐照仪</w:t>
            </w:r>
          </w:p>
        </w:tc>
      </w:tr>
      <w:tr w14:paraId="39834D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400" w:type="pct"/>
            <w:vAlign w:val="center"/>
          </w:tcPr>
          <w:p w14:paraId="7F7C23FF">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1C984720">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31.3</w:t>
            </w:r>
          </w:p>
        </w:tc>
        <w:tc>
          <w:tcPr>
            <w:tcW w:w="1429" w:type="pct"/>
            <w:vAlign w:val="center"/>
          </w:tcPr>
          <w:p w14:paraId="0EB7B932">
            <w:pPr>
              <w:pStyle w:val="310"/>
              <w:spacing w:before="58" w:after="58" w:line="288" w:lineRule="auto"/>
              <w:ind w:left="42" w:right="42"/>
              <w:jc w:val="left"/>
              <w:rPr>
                <w:rFonts w:ascii="Times New Roman" w:hAnsi="Times New Roman" w:cs="Microsoft New Tai Lue"/>
                <w:bCs/>
                <w:sz w:val="21"/>
              </w:rPr>
            </w:pPr>
            <w:r>
              <w:rPr>
                <w:rFonts w:hint="eastAsia" w:ascii="Times New Roman" w:hAnsi="Times New Roman" w:cs="Microsoft New Tai Lue"/>
                <w:bCs/>
                <w:sz w:val="21"/>
              </w:rPr>
              <w:t>确定中标单位</w:t>
            </w:r>
          </w:p>
        </w:tc>
        <w:tc>
          <w:tcPr>
            <w:tcW w:w="2636" w:type="pct"/>
            <w:vAlign w:val="center"/>
          </w:tcPr>
          <w:p w14:paraId="25F83628">
            <w:pPr>
              <w:spacing w:before="58" w:after="58" w:line="288" w:lineRule="auto"/>
              <w:ind w:left="42" w:right="42"/>
              <w:rPr>
                <w:rFonts w:cs="Microsoft New Tai Lue"/>
                <w:bCs/>
              </w:rPr>
            </w:pPr>
            <w:r>
              <w:rPr>
                <w:rFonts w:hint="eastAsia" w:cs="Microsoft New Tai Lue"/>
                <w:bCs/>
              </w:rPr>
              <w:t>1</w:t>
            </w:r>
            <w:r>
              <w:rPr>
                <w:rFonts w:cs="Microsoft New Tai Lue"/>
                <w:bCs/>
              </w:rPr>
              <w:t>.</w:t>
            </w:r>
            <w:r>
              <w:rPr>
                <w:rFonts w:hint="eastAsia" w:cs="Microsoft New Tai Lue"/>
                <w:bCs/>
              </w:rPr>
              <w:t>评委会根据本采购文件规定评分办法与评分标准综合打分，并按综合得分由高到低顺序每标段向采购人推荐3名中标候选人。</w:t>
            </w:r>
          </w:p>
          <w:p w14:paraId="56FFDF31">
            <w:pPr>
              <w:spacing w:before="58" w:after="58" w:line="288" w:lineRule="auto"/>
              <w:ind w:left="42" w:right="42"/>
              <w:jc w:val="left"/>
              <w:rPr>
                <w:rFonts w:cs="Microsoft New Tai Lue"/>
                <w:bCs/>
              </w:rPr>
            </w:pPr>
            <w:r>
              <w:rPr>
                <w:rFonts w:hint="eastAsia" w:cs="Microsoft New Tai Lue"/>
                <w:bCs/>
              </w:rPr>
              <w:t>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p>
        </w:tc>
      </w:tr>
      <w:tr w14:paraId="25AA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5F6EC36E">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71B75DFA">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31.4</w:t>
            </w:r>
          </w:p>
        </w:tc>
        <w:tc>
          <w:tcPr>
            <w:tcW w:w="1429" w:type="pct"/>
            <w:vAlign w:val="center"/>
          </w:tcPr>
          <w:p w14:paraId="10FDA53A">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公告媒体</w:t>
            </w:r>
          </w:p>
        </w:tc>
        <w:tc>
          <w:tcPr>
            <w:tcW w:w="2636" w:type="pct"/>
            <w:vAlign w:val="center"/>
          </w:tcPr>
          <w:p w14:paraId="7226A75D">
            <w:pPr>
              <w:spacing w:before="58" w:after="58" w:line="288" w:lineRule="auto"/>
              <w:ind w:left="42" w:right="42"/>
              <w:rPr>
                <w:rFonts w:cs="Microsoft New Tai Lue"/>
              </w:rPr>
            </w:pPr>
            <w:r>
              <w:rPr>
                <w:rFonts w:hint="eastAsia" w:cs="Microsoft New Tai Lue"/>
                <w:bCs/>
              </w:rPr>
              <w:t>《江苏政府采购网》（http://www.ccgp-jiangsu.gov.cn/）</w:t>
            </w:r>
          </w:p>
        </w:tc>
      </w:tr>
      <w:tr w14:paraId="14063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Align w:val="center"/>
          </w:tcPr>
          <w:p w14:paraId="619EC55E">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0D285E7F">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36.1</w:t>
            </w:r>
          </w:p>
        </w:tc>
        <w:tc>
          <w:tcPr>
            <w:tcW w:w="1429" w:type="pct"/>
            <w:vAlign w:val="center"/>
          </w:tcPr>
          <w:p w14:paraId="01799D6F">
            <w:pPr>
              <w:spacing w:before="58" w:after="58" w:line="288" w:lineRule="auto"/>
              <w:ind w:left="42" w:right="42"/>
              <w:jc w:val="left"/>
            </w:pPr>
            <w:r>
              <w:t>供应商对采购文件的</w:t>
            </w:r>
          </w:p>
          <w:p w14:paraId="5A05E1C8">
            <w:pPr>
              <w:pStyle w:val="310"/>
              <w:spacing w:before="58" w:after="58" w:line="288" w:lineRule="auto"/>
              <w:ind w:left="42" w:right="42"/>
              <w:jc w:val="left"/>
              <w:rPr>
                <w:rFonts w:ascii="Times New Roman" w:hAnsi="Times New Roman" w:cs="Microsoft New Tai Lue"/>
                <w:sz w:val="21"/>
              </w:rPr>
            </w:pPr>
            <w:r>
              <w:rPr>
                <w:rFonts w:ascii="Times New Roman" w:hAnsi="Times New Roman"/>
                <w:sz w:val="21"/>
              </w:rPr>
              <w:t>询问</w:t>
            </w:r>
          </w:p>
        </w:tc>
        <w:tc>
          <w:tcPr>
            <w:tcW w:w="2636" w:type="pct"/>
            <w:vAlign w:val="center"/>
          </w:tcPr>
          <w:p w14:paraId="3BF8C5BD">
            <w:pPr>
              <w:pStyle w:val="22"/>
              <w:spacing w:before="58" w:after="58" w:line="288" w:lineRule="auto"/>
              <w:ind w:left="42" w:right="42"/>
              <w:rPr>
                <w:rFonts w:ascii="Times New Roman" w:hAnsi="Times New Roman" w:cs="Microsoft New Tai Lue"/>
                <w:bCs/>
              </w:rPr>
            </w:pPr>
            <w:r>
              <w:rPr>
                <w:rFonts w:ascii="Times New Roman" w:hAnsi="Times New Roman"/>
                <w:bCs/>
              </w:rPr>
              <w:t>形式：以书面形式（盖章扫描件及WPS兼容格式文件发至</w:t>
            </w:r>
            <w:r>
              <w:rPr>
                <w:rFonts w:ascii="Times New Roman" w:hAnsi="Times New Roman"/>
                <w:bCs/>
                <w:u w:val="single"/>
              </w:rPr>
              <w:t xml:space="preserve"> </w:t>
            </w:r>
            <w:r>
              <w:rPr>
                <w:rFonts w:hint="eastAsia" w:ascii="Times New Roman" w:hAnsi="Times New Roman"/>
                <w:bCs/>
                <w:u w:val="single"/>
              </w:rPr>
              <w:t>1164432322@qq.com</w:t>
            </w:r>
            <w:r>
              <w:rPr>
                <w:rFonts w:ascii="Times New Roman" w:hAnsi="Times New Roman"/>
                <w:bCs/>
              </w:rPr>
              <w:t>邮箱）通知</w:t>
            </w:r>
            <w:r>
              <w:rPr>
                <w:rFonts w:hint="eastAsia" w:ascii="Times New Roman" w:hAnsi="Times New Roman" w:cs="Microsoft New Tai Lue"/>
                <w:bCs/>
              </w:rPr>
              <w:t>采购代理机构</w:t>
            </w:r>
            <w:r>
              <w:rPr>
                <w:rFonts w:ascii="Times New Roman" w:hAnsi="Times New Roman"/>
                <w:bCs/>
              </w:rPr>
              <w:t>。</w:t>
            </w:r>
          </w:p>
        </w:tc>
      </w:tr>
      <w:tr w14:paraId="38A46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0" w:hRule="atLeast"/>
          <w:jc w:val="center"/>
        </w:trPr>
        <w:tc>
          <w:tcPr>
            <w:tcW w:w="400" w:type="pct"/>
            <w:vAlign w:val="center"/>
          </w:tcPr>
          <w:p w14:paraId="7B8EAE8D">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587FA368">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37.1</w:t>
            </w:r>
          </w:p>
        </w:tc>
        <w:tc>
          <w:tcPr>
            <w:tcW w:w="1429" w:type="pct"/>
            <w:vAlign w:val="center"/>
          </w:tcPr>
          <w:p w14:paraId="4CDF4792">
            <w:pPr>
              <w:spacing w:before="58" w:after="58" w:line="288" w:lineRule="auto"/>
              <w:ind w:left="42" w:right="42"/>
              <w:jc w:val="left"/>
              <w:rPr>
                <w:rFonts w:cs="Microsoft New Tai Lue"/>
              </w:rPr>
            </w:pPr>
            <w:r>
              <w:rPr>
                <w:rFonts w:hint="eastAsia" w:cs="Microsoft New Tai Lue"/>
              </w:rPr>
              <w:t>供应商</w:t>
            </w:r>
            <w:r>
              <w:rPr>
                <w:rFonts w:cs="Microsoft New Tai Lue"/>
              </w:rPr>
              <w:t>对采购文件提出</w:t>
            </w:r>
            <w:r>
              <w:rPr>
                <w:rFonts w:hint="eastAsia" w:cs="Microsoft New Tai Lue"/>
              </w:rPr>
              <w:t>的</w:t>
            </w:r>
          </w:p>
          <w:p w14:paraId="67B186C5">
            <w:pPr>
              <w:spacing w:before="58" w:after="58" w:line="288" w:lineRule="auto"/>
              <w:ind w:left="42" w:right="42"/>
              <w:jc w:val="left"/>
            </w:pPr>
            <w:r>
              <w:rPr>
                <w:rFonts w:cs="Microsoft New Tai Lue"/>
              </w:rPr>
              <w:t>质疑</w:t>
            </w:r>
          </w:p>
        </w:tc>
        <w:tc>
          <w:tcPr>
            <w:tcW w:w="2636" w:type="pct"/>
            <w:vAlign w:val="center"/>
          </w:tcPr>
          <w:p w14:paraId="74539FC4">
            <w:pPr>
              <w:pStyle w:val="22"/>
              <w:spacing w:before="58" w:after="58" w:line="288" w:lineRule="auto"/>
              <w:ind w:left="42" w:right="42"/>
              <w:rPr>
                <w:rFonts w:ascii="Times New Roman" w:hAnsi="Times New Roman"/>
              </w:rPr>
            </w:pPr>
            <w:r>
              <w:rPr>
                <w:rFonts w:hint="eastAsia" w:ascii="Times New Roman" w:hAnsi="Times New Roman" w:cs="Microsoft New Tai Lue"/>
                <w:bCs/>
              </w:rPr>
              <w:t>形式：</w:t>
            </w:r>
            <w:r>
              <w:fldChar w:fldCharType="begin"/>
            </w:r>
            <w:r>
              <w:instrText xml:space="preserve"> HYPERLINK "mailto:以书面形式通知采购人或采购代理机构。如采用邮件形式（盖章扫描件及WPS兼容格式文件发至_296963515@qq.com" </w:instrText>
            </w:r>
            <w:r>
              <w:fldChar w:fldCharType="separate"/>
            </w:r>
            <w:r>
              <w:rPr>
                <w:rStyle w:val="43"/>
                <w:rFonts w:hint="eastAsia" w:ascii="Times New Roman" w:hAnsi="Times New Roman" w:cs="Microsoft New Tai Lue"/>
                <w:bCs/>
              </w:rPr>
              <w:t xml:space="preserve">以书面形式通知采购代理机构。如采用邮件形式（盖章扫描件及WPS兼容格式文件发至 </w:t>
            </w:r>
            <w:r>
              <w:rPr>
                <w:rFonts w:hint="eastAsia" w:ascii="Times New Roman" w:hAnsi="Times New Roman"/>
                <w:bCs/>
                <w:u w:val="single"/>
              </w:rPr>
              <w:t>164432322@qq.com</w:t>
            </w:r>
            <w:r>
              <w:rPr>
                <w:rFonts w:hint="eastAsia" w:ascii="Times New Roman" w:hAnsi="Times New Roman"/>
                <w:bCs/>
                <w:u w:val="single"/>
              </w:rPr>
              <w:fldChar w:fldCharType="end"/>
            </w:r>
            <w:r>
              <w:rPr>
                <w:rFonts w:hint="eastAsia" w:ascii="Times New Roman" w:hAnsi="Times New Roman" w:cs="Microsoft New Tai Lue"/>
                <w:bCs/>
              </w:rPr>
              <w:t xml:space="preserve"> 邮箱）通知，采购代理机构将以邮件形式进行答复。</w:t>
            </w:r>
          </w:p>
        </w:tc>
      </w:tr>
      <w:tr w14:paraId="0DD2B6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6" w:hRule="atLeast"/>
          <w:jc w:val="center"/>
        </w:trPr>
        <w:tc>
          <w:tcPr>
            <w:tcW w:w="400" w:type="pct"/>
            <w:vAlign w:val="center"/>
          </w:tcPr>
          <w:p w14:paraId="7B0811B0">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Align w:val="center"/>
          </w:tcPr>
          <w:p w14:paraId="03ADD259">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38.1</w:t>
            </w:r>
          </w:p>
        </w:tc>
        <w:tc>
          <w:tcPr>
            <w:tcW w:w="1429" w:type="pct"/>
            <w:vAlign w:val="center"/>
          </w:tcPr>
          <w:p w14:paraId="7BBA8294">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招标代理服务费</w:t>
            </w:r>
          </w:p>
        </w:tc>
        <w:tc>
          <w:tcPr>
            <w:tcW w:w="2636" w:type="pct"/>
            <w:vAlign w:val="center"/>
          </w:tcPr>
          <w:p w14:paraId="1162DDB4">
            <w:pPr>
              <w:pStyle w:val="22"/>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1.支付主体和报价要求：本项目采购代理服务费由中标/成交投标人支付，投标人在报价时应将代理服务费全额包含在投标/响应总价中，本项费用无需在投标报价表中单列。采购人不再另行支付。</w:t>
            </w:r>
          </w:p>
          <w:p w14:paraId="510EE2CD">
            <w:pPr>
              <w:pStyle w:val="22"/>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2.原因：本项目代理服务费按照《政府采购代理机构管理暂行办法》（财库〔2018〕2号）第十五条。结合本项目采购人年度预算结构固化、预算调剂空间受限，为保障项目采购进度按期推进，本项目代理服务费由中标（成交）投标人承担。</w:t>
            </w:r>
          </w:p>
          <w:p w14:paraId="701CE98D">
            <w:pPr>
              <w:pStyle w:val="22"/>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3.收取方式：中标/成交投标人在领取中标/成交通知书前，一次性向采购代理机构足额支付；支付方式为银行转账/电汇/现金。</w:t>
            </w:r>
          </w:p>
          <w:p w14:paraId="680D557F">
            <w:pPr>
              <w:pStyle w:val="22"/>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4.收费标准和依据</w:t>
            </w:r>
          </w:p>
          <w:p w14:paraId="1907C818">
            <w:pPr>
              <w:pStyle w:val="22"/>
              <w:spacing w:before="58" w:after="58" w:line="288" w:lineRule="auto"/>
              <w:ind w:left="42" w:right="42"/>
              <w:rPr>
                <w:rFonts w:ascii="Times New Roman" w:hAnsi="Times New Roman" w:cs="Microsoft New Tai Lue"/>
                <w:bCs/>
              </w:rPr>
            </w:pPr>
            <w:r>
              <w:rPr>
                <w:rFonts w:hint="eastAsia" w:ascii="Times New Roman" w:hAnsi="Times New Roman" w:cs="Microsoft New Tai Lue"/>
                <w:bCs/>
              </w:rPr>
              <w:t>按《招标代理服务收费管理暂行办法》（计价格〔2002〕1980号）和《关于降低部分建设项目收费标准规范收费行为等有关问题的通知》（发改价格〔2011〕534号）在规定的代理招标收费基准费率基础上得出的计算结果</w:t>
            </w:r>
            <w:r>
              <w:rPr>
                <w:rFonts w:hint="eastAsia" w:ascii="Times New Roman" w:hAnsi="Times New Roman" w:cs="Microsoft New Tai Lue"/>
                <w:bCs/>
                <w:lang w:val="en-US" w:eastAsia="zh-CN"/>
              </w:rPr>
              <w:t>*</w:t>
            </w:r>
            <w:r>
              <w:rPr>
                <w:rFonts w:hint="eastAsia" w:ascii="Times New Roman" w:hAnsi="Times New Roman" w:cs="Microsoft New Tai Lue"/>
                <w:bCs/>
              </w:rPr>
              <w:t>65%-该项目专家评审费。</w:t>
            </w:r>
          </w:p>
        </w:tc>
      </w:tr>
      <w:tr w14:paraId="1A058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400" w:type="pct"/>
            <w:vMerge w:val="restart"/>
            <w:vAlign w:val="center"/>
          </w:tcPr>
          <w:p w14:paraId="2C467C9D">
            <w:pPr>
              <w:pStyle w:val="310"/>
              <w:numPr>
                <w:ilvl w:val="0"/>
                <w:numId w:val="3"/>
              </w:numPr>
              <w:spacing w:before="58" w:after="58" w:line="288" w:lineRule="auto"/>
              <w:ind w:left="425" w:right="42" w:hanging="425"/>
              <w:jc w:val="center"/>
              <w:rPr>
                <w:rFonts w:ascii="Times New Roman" w:hAnsi="Times New Roman" w:cs="Microsoft New Tai Lue"/>
                <w:sz w:val="21"/>
              </w:rPr>
            </w:pPr>
          </w:p>
        </w:tc>
        <w:tc>
          <w:tcPr>
            <w:tcW w:w="533" w:type="pct"/>
            <w:vMerge w:val="restart"/>
            <w:vAlign w:val="center"/>
          </w:tcPr>
          <w:p w14:paraId="495FAFC4">
            <w:pPr>
              <w:pStyle w:val="310"/>
              <w:spacing w:before="58" w:after="58" w:line="288" w:lineRule="auto"/>
              <w:ind w:left="42" w:right="42"/>
              <w:jc w:val="center"/>
              <w:rPr>
                <w:rFonts w:ascii="Times New Roman" w:hAnsi="Times New Roman" w:cs="Microsoft New Tai Lue"/>
                <w:sz w:val="21"/>
              </w:rPr>
            </w:pPr>
            <w:r>
              <w:rPr>
                <w:rFonts w:ascii="Times New Roman" w:hAnsi="Times New Roman" w:cs="Microsoft New Tai Lue"/>
                <w:sz w:val="21"/>
              </w:rPr>
              <w:t>39.1</w:t>
            </w:r>
          </w:p>
        </w:tc>
        <w:tc>
          <w:tcPr>
            <w:tcW w:w="1429" w:type="pct"/>
            <w:vMerge w:val="restart"/>
            <w:vAlign w:val="center"/>
          </w:tcPr>
          <w:p w14:paraId="71111BA5">
            <w:pPr>
              <w:pStyle w:val="310"/>
              <w:spacing w:before="58" w:after="58" w:line="288" w:lineRule="auto"/>
              <w:ind w:left="42" w:right="42"/>
              <w:jc w:val="left"/>
              <w:rPr>
                <w:rFonts w:ascii="Times New Roman" w:hAnsi="Times New Roman" w:cs="Microsoft New Tai Lue"/>
                <w:sz w:val="21"/>
              </w:rPr>
            </w:pPr>
            <w:r>
              <w:rPr>
                <w:rFonts w:ascii="Times New Roman" w:hAnsi="Times New Roman" w:cs="Microsoft New Tai Lue"/>
                <w:sz w:val="21"/>
              </w:rPr>
              <w:t>其他规定</w:t>
            </w:r>
          </w:p>
        </w:tc>
        <w:tc>
          <w:tcPr>
            <w:tcW w:w="2636" w:type="pct"/>
            <w:vAlign w:val="center"/>
          </w:tcPr>
          <w:p w14:paraId="39C7C928">
            <w:pPr>
              <w:pStyle w:val="22"/>
              <w:spacing w:before="58" w:after="58" w:line="288" w:lineRule="auto"/>
              <w:ind w:left="42" w:right="42"/>
              <w:rPr>
                <w:rFonts w:ascii="Times New Roman" w:hAnsi="Times New Roman" w:cs="Microsoft New Tai Lue"/>
                <w:bCs/>
              </w:rPr>
            </w:pPr>
            <w:r>
              <w:rPr>
                <w:rFonts w:hint="eastAsia" w:ascii="Times New Roman" w:hAnsi="Times New Roman" w:cs="Microsoft New Tai Lue"/>
              </w:rPr>
              <w:t>采购项目类型：货物</w:t>
            </w:r>
          </w:p>
        </w:tc>
      </w:tr>
      <w:tr w14:paraId="58401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400" w:type="pct"/>
            <w:vMerge w:val="continue"/>
            <w:vAlign w:val="center"/>
          </w:tcPr>
          <w:p w14:paraId="30153B55">
            <w:pPr>
              <w:pStyle w:val="310"/>
              <w:spacing w:before="58" w:after="58" w:line="288" w:lineRule="auto"/>
              <w:ind w:left="42" w:right="42"/>
              <w:jc w:val="center"/>
              <w:rPr>
                <w:rFonts w:ascii="Times New Roman" w:hAnsi="Times New Roman" w:cs="Microsoft New Tai Lue"/>
                <w:sz w:val="21"/>
              </w:rPr>
            </w:pPr>
          </w:p>
        </w:tc>
        <w:tc>
          <w:tcPr>
            <w:tcW w:w="533" w:type="pct"/>
            <w:vMerge w:val="continue"/>
            <w:vAlign w:val="center"/>
          </w:tcPr>
          <w:p w14:paraId="2DCF6DF8">
            <w:pPr>
              <w:pStyle w:val="310"/>
              <w:spacing w:before="58" w:after="58" w:line="288" w:lineRule="auto"/>
              <w:ind w:left="42" w:right="42"/>
              <w:jc w:val="center"/>
              <w:rPr>
                <w:rFonts w:ascii="Times New Roman" w:hAnsi="Times New Roman" w:cs="Microsoft New Tai Lue"/>
                <w:sz w:val="21"/>
              </w:rPr>
            </w:pPr>
          </w:p>
        </w:tc>
        <w:tc>
          <w:tcPr>
            <w:tcW w:w="1429" w:type="pct"/>
            <w:vMerge w:val="continue"/>
            <w:vAlign w:val="center"/>
          </w:tcPr>
          <w:p w14:paraId="57DFC57D">
            <w:pPr>
              <w:pStyle w:val="310"/>
              <w:spacing w:before="58" w:after="58" w:line="288" w:lineRule="auto"/>
              <w:ind w:left="42" w:right="42"/>
              <w:jc w:val="left"/>
              <w:rPr>
                <w:rFonts w:ascii="Times New Roman" w:hAnsi="Times New Roman" w:cs="Microsoft New Tai Lue"/>
                <w:sz w:val="21"/>
              </w:rPr>
            </w:pPr>
          </w:p>
        </w:tc>
        <w:tc>
          <w:tcPr>
            <w:tcW w:w="2636" w:type="pct"/>
            <w:vAlign w:val="center"/>
          </w:tcPr>
          <w:p w14:paraId="2EECFE5B">
            <w:pPr>
              <w:pStyle w:val="22"/>
              <w:spacing w:before="58" w:after="58" w:line="288" w:lineRule="auto"/>
              <w:ind w:left="42" w:right="42"/>
              <w:rPr>
                <w:rFonts w:ascii="Times New Roman" w:hAnsi="Times New Roman" w:cs="Microsoft New Tai Lue"/>
                <w:bCs/>
              </w:rPr>
            </w:pPr>
            <w:r>
              <w:rPr>
                <w:rFonts w:hint="eastAsia" w:ascii="Times New Roman" w:hAnsi="Times New Roman"/>
              </w:rPr>
              <w:t>标的对应的中小企业划分标准所属行业：工业</w:t>
            </w:r>
          </w:p>
        </w:tc>
      </w:tr>
      <w:tr w14:paraId="20C2CC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vAlign w:val="center"/>
          </w:tcPr>
          <w:p w14:paraId="7EB8ECBC">
            <w:pPr>
              <w:pStyle w:val="310"/>
              <w:spacing w:before="58" w:after="58" w:line="288" w:lineRule="auto"/>
              <w:ind w:left="42" w:right="42"/>
              <w:jc w:val="center"/>
              <w:rPr>
                <w:rFonts w:ascii="Times New Roman" w:hAnsi="Times New Roman" w:cs="Microsoft New Tai Lue"/>
                <w:sz w:val="21"/>
              </w:rPr>
            </w:pPr>
          </w:p>
        </w:tc>
        <w:tc>
          <w:tcPr>
            <w:tcW w:w="533" w:type="pct"/>
            <w:vMerge w:val="continue"/>
            <w:vAlign w:val="center"/>
          </w:tcPr>
          <w:p w14:paraId="39842E2C">
            <w:pPr>
              <w:pStyle w:val="310"/>
              <w:spacing w:before="58" w:after="58" w:line="288" w:lineRule="auto"/>
              <w:ind w:left="42" w:right="42"/>
              <w:jc w:val="center"/>
              <w:rPr>
                <w:rFonts w:ascii="Times New Roman" w:hAnsi="Times New Roman" w:cs="Microsoft New Tai Lue"/>
                <w:sz w:val="21"/>
              </w:rPr>
            </w:pPr>
          </w:p>
        </w:tc>
        <w:tc>
          <w:tcPr>
            <w:tcW w:w="1429" w:type="pct"/>
            <w:vMerge w:val="continue"/>
            <w:vAlign w:val="center"/>
          </w:tcPr>
          <w:p w14:paraId="06CE64C8">
            <w:pPr>
              <w:pStyle w:val="310"/>
              <w:spacing w:before="58" w:after="58" w:line="288" w:lineRule="auto"/>
              <w:ind w:left="42" w:right="42"/>
              <w:jc w:val="left"/>
              <w:rPr>
                <w:rFonts w:ascii="Times New Roman" w:hAnsi="Times New Roman" w:cs="Microsoft New Tai Lue"/>
                <w:sz w:val="21"/>
              </w:rPr>
            </w:pPr>
          </w:p>
        </w:tc>
        <w:tc>
          <w:tcPr>
            <w:tcW w:w="2636" w:type="pct"/>
            <w:vAlign w:val="center"/>
          </w:tcPr>
          <w:p w14:paraId="7C5F319B">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其他规定：</w:t>
            </w:r>
            <w:r>
              <w:rPr>
                <w:rFonts w:ascii="Times New Roman" w:hAnsi="Times New Roman" w:cs="Courier New"/>
                <w:sz w:val="21"/>
              </w:rPr>
              <w:t>依据</w:t>
            </w:r>
            <w:r>
              <w:rPr>
                <w:rFonts w:hint="eastAsia" w:ascii="Times New Roman" w:hAnsi="Times New Roman" w:cs="Courier New"/>
                <w:sz w:val="21"/>
              </w:rPr>
              <w:t>《政府采购促进中小企业发展管理办法》</w:t>
            </w:r>
            <w:r>
              <w:rPr>
                <w:rFonts w:ascii="Times New Roman" w:hAnsi="Times New Roman" w:cs="Courier New"/>
                <w:sz w:val="21"/>
              </w:rPr>
              <w:t>规定享受扶持政策获得政府采购合同的，小微企业不得将合同分包给大中型企业，中型企业不得将合同分包给大型企业。</w:t>
            </w:r>
          </w:p>
        </w:tc>
      </w:tr>
      <w:tr w14:paraId="4A577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vAlign w:val="center"/>
          </w:tcPr>
          <w:p w14:paraId="666EB6AE">
            <w:pPr>
              <w:pStyle w:val="310"/>
              <w:spacing w:before="58" w:after="58" w:line="288" w:lineRule="auto"/>
              <w:ind w:left="42" w:right="42"/>
              <w:jc w:val="center"/>
              <w:rPr>
                <w:rFonts w:ascii="Times New Roman" w:hAnsi="Times New Roman" w:cs="Microsoft New Tai Lue"/>
                <w:sz w:val="21"/>
              </w:rPr>
            </w:pPr>
          </w:p>
        </w:tc>
        <w:tc>
          <w:tcPr>
            <w:tcW w:w="533" w:type="pct"/>
            <w:vMerge w:val="continue"/>
            <w:vAlign w:val="center"/>
          </w:tcPr>
          <w:p w14:paraId="3A687572">
            <w:pPr>
              <w:pStyle w:val="310"/>
              <w:spacing w:before="58" w:after="58" w:line="288" w:lineRule="auto"/>
              <w:ind w:left="42" w:right="42"/>
              <w:jc w:val="center"/>
              <w:rPr>
                <w:rFonts w:ascii="Times New Roman" w:hAnsi="Times New Roman" w:cs="Microsoft New Tai Lue"/>
                <w:sz w:val="21"/>
              </w:rPr>
            </w:pPr>
          </w:p>
        </w:tc>
        <w:tc>
          <w:tcPr>
            <w:tcW w:w="1429" w:type="pct"/>
            <w:vMerge w:val="continue"/>
            <w:vAlign w:val="center"/>
          </w:tcPr>
          <w:p w14:paraId="48BF6A60">
            <w:pPr>
              <w:pStyle w:val="310"/>
              <w:spacing w:before="58" w:after="58" w:line="288" w:lineRule="auto"/>
              <w:ind w:left="42" w:right="42"/>
              <w:jc w:val="left"/>
              <w:rPr>
                <w:rFonts w:ascii="Times New Roman" w:hAnsi="Times New Roman" w:cs="Microsoft New Tai Lue"/>
                <w:sz w:val="21"/>
              </w:rPr>
            </w:pPr>
          </w:p>
        </w:tc>
        <w:tc>
          <w:tcPr>
            <w:tcW w:w="2636" w:type="pct"/>
            <w:vAlign w:val="center"/>
          </w:tcPr>
          <w:p w14:paraId="4063E8CF">
            <w:pPr>
              <w:pStyle w:val="310"/>
              <w:spacing w:before="58" w:after="58" w:line="288" w:lineRule="auto"/>
              <w:ind w:left="42" w:right="42"/>
              <w:rPr>
                <w:rFonts w:ascii="Times New Roman" w:hAnsi="Times New Roman" w:cs="Microsoft New Tai Lue"/>
                <w:b/>
                <w:sz w:val="21"/>
              </w:rPr>
            </w:pPr>
            <w:r>
              <w:rPr>
                <w:rFonts w:hint="eastAsia" w:ascii="Times New Roman" w:hAnsi="Times New Roman" w:cs="Microsoft New Tai Lue"/>
                <w:b/>
                <w:sz w:val="21"/>
              </w:rPr>
              <w:t>异常低价处理：</w:t>
            </w:r>
          </w:p>
          <w:p w14:paraId="5B85049C">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评标过程中出现下列情形之一的，评标委员会应当启动异常低价投标审查程序：</w:t>
            </w:r>
          </w:p>
          <w:p w14:paraId="6C0E23D5">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（1）投标报价低于全部通过符合性审查投标人投标报价平均值50%的，即投标报价&lt;全部通过符合性审查投标人投标报价平均值×50%；</w:t>
            </w:r>
          </w:p>
          <w:p w14:paraId="3B33D0EE">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（2）投标报价低于通过符合性审查的次低报价投标人投标报价50%的，即投标报价&lt;通过符合性审查的次低报价投标人投标报价×50%；</w:t>
            </w:r>
          </w:p>
          <w:p w14:paraId="62E41092">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（3）投标报价低于采购项目最高限价45%的，即投标报价&lt;采购项目最高限价×45%；</w:t>
            </w:r>
          </w:p>
          <w:p w14:paraId="3AEE51F1">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（4）评标委员会基于专业判断，认为投标人报价过低，有可能影响产品质量或者不能诚信履约的其他情形。</w:t>
            </w:r>
          </w:p>
          <w:p w14:paraId="0EF6AA48">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p>
          <w:p w14:paraId="2DF9F9F0">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评标委员会依据专业经验，参考同类项目中标价格、类似产品市场价格水平、行业人工费用标准、国家有关部门指导行业协会发布的行业平均成本等情况，对报价合理性进行判断。投标投标人不能提供书面说明、证明材料，或者提供的书面说明、证明材料不能证明其报价合理性的，评标委员会应当将其作为无效投标处理。</w:t>
            </w:r>
          </w:p>
        </w:tc>
      </w:tr>
      <w:tr w14:paraId="4197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vAlign w:val="center"/>
          </w:tcPr>
          <w:p w14:paraId="7FB80BC3">
            <w:pPr>
              <w:pStyle w:val="310"/>
              <w:spacing w:before="58" w:after="58" w:line="288" w:lineRule="auto"/>
              <w:ind w:left="42" w:right="42"/>
              <w:jc w:val="center"/>
              <w:rPr>
                <w:rFonts w:ascii="Times New Roman" w:hAnsi="Times New Roman" w:cs="Microsoft New Tai Lue"/>
                <w:sz w:val="21"/>
              </w:rPr>
            </w:pPr>
          </w:p>
        </w:tc>
        <w:tc>
          <w:tcPr>
            <w:tcW w:w="533" w:type="pct"/>
            <w:vMerge w:val="continue"/>
            <w:vAlign w:val="center"/>
          </w:tcPr>
          <w:p w14:paraId="4F852A52">
            <w:pPr>
              <w:pStyle w:val="310"/>
              <w:spacing w:before="58" w:after="58" w:line="288" w:lineRule="auto"/>
              <w:ind w:left="42" w:right="42"/>
              <w:jc w:val="center"/>
              <w:rPr>
                <w:rFonts w:ascii="Times New Roman" w:hAnsi="Times New Roman" w:cs="Microsoft New Tai Lue"/>
                <w:sz w:val="21"/>
              </w:rPr>
            </w:pPr>
          </w:p>
        </w:tc>
        <w:tc>
          <w:tcPr>
            <w:tcW w:w="1429" w:type="pct"/>
            <w:vMerge w:val="continue"/>
            <w:vAlign w:val="center"/>
          </w:tcPr>
          <w:p w14:paraId="2AA8EFD3">
            <w:pPr>
              <w:pStyle w:val="310"/>
              <w:spacing w:before="58" w:after="58" w:line="288" w:lineRule="auto"/>
              <w:ind w:left="42" w:right="42"/>
              <w:jc w:val="left"/>
              <w:rPr>
                <w:rFonts w:ascii="Times New Roman" w:hAnsi="Times New Roman" w:cs="Microsoft New Tai Lue"/>
                <w:sz w:val="21"/>
              </w:rPr>
            </w:pPr>
          </w:p>
        </w:tc>
        <w:tc>
          <w:tcPr>
            <w:tcW w:w="2636" w:type="pct"/>
            <w:vAlign w:val="center"/>
          </w:tcPr>
          <w:p w14:paraId="5D89347C">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对本国产品的支持政策：</w:t>
            </w:r>
          </w:p>
          <w:p w14:paraId="75D24DBC">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1.政府采购活动中既有本国产品又有非本国产品参与竞争的，依法对本国产品给予价格评审优惠，对本国产品的报价给予20%的价格扣除，用扣除后的价格参与评审。</w:t>
            </w:r>
          </w:p>
          <w:p w14:paraId="7994AEC4">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F374120">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DE49DE">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注：</w:t>
            </w:r>
          </w:p>
          <w:p w14:paraId="702DEBE8">
            <w:pPr>
              <w:pStyle w:val="310"/>
              <w:spacing w:before="58" w:after="58" w:line="288" w:lineRule="auto"/>
              <w:ind w:left="42" w:right="42"/>
              <w:rPr>
                <w:rFonts w:ascii="Times New Roman" w:hAnsi="Times New Roman" w:cs="Microsoft New Tai Lue"/>
                <w:b/>
                <w:sz w:val="21"/>
              </w:rPr>
            </w:pPr>
            <w:r>
              <w:rPr>
                <w:rFonts w:hint="eastAsia" w:ascii="Times New Roman" w:hAnsi="Times New Roman" w:cs="Microsoft New Tai Lue"/>
                <w:b/>
                <w:sz w:val="21"/>
              </w:rPr>
              <w:t>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2C39464">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
                <w:sz w:val="21"/>
              </w:rPr>
              <w:t>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p>
        </w:tc>
      </w:tr>
      <w:tr w14:paraId="141FD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400" w:type="pct"/>
            <w:vMerge w:val="continue"/>
            <w:vAlign w:val="center"/>
          </w:tcPr>
          <w:p w14:paraId="27946786">
            <w:pPr>
              <w:pStyle w:val="310"/>
              <w:spacing w:before="58" w:after="58" w:line="288" w:lineRule="auto"/>
              <w:ind w:left="42" w:right="42"/>
              <w:jc w:val="center"/>
              <w:rPr>
                <w:rFonts w:ascii="Times New Roman" w:hAnsi="Times New Roman" w:cs="Microsoft New Tai Lue"/>
                <w:sz w:val="21"/>
              </w:rPr>
            </w:pPr>
          </w:p>
        </w:tc>
        <w:tc>
          <w:tcPr>
            <w:tcW w:w="533" w:type="pct"/>
            <w:vMerge w:val="continue"/>
            <w:vAlign w:val="center"/>
          </w:tcPr>
          <w:p w14:paraId="6A2CFD1C">
            <w:pPr>
              <w:pStyle w:val="310"/>
              <w:spacing w:before="58" w:after="58" w:line="288" w:lineRule="auto"/>
              <w:ind w:left="42" w:right="42"/>
              <w:jc w:val="center"/>
              <w:rPr>
                <w:rFonts w:ascii="Times New Roman" w:hAnsi="Times New Roman" w:cs="Microsoft New Tai Lue"/>
                <w:sz w:val="21"/>
              </w:rPr>
            </w:pPr>
          </w:p>
        </w:tc>
        <w:tc>
          <w:tcPr>
            <w:tcW w:w="1429" w:type="pct"/>
            <w:vMerge w:val="continue"/>
            <w:vAlign w:val="center"/>
          </w:tcPr>
          <w:p w14:paraId="15282A33">
            <w:pPr>
              <w:pStyle w:val="310"/>
              <w:spacing w:before="58" w:after="58" w:line="288" w:lineRule="auto"/>
              <w:ind w:left="42" w:right="42"/>
              <w:jc w:val="left"/>
              <w:rPr>
                <w:rFonts w:ascii="Times New Roman" w:hAnsi="Times New Roman" w:cs="Microsoft New Tai Lue"/>
                <w:sz w:val="21"/>
              </w:rPr>
            </w:pPr>
          </w:p>
        </w:tc>
        <w:tc>
          <w:tcPr>
            <w:tcW w:w="2636" w:type="pct"/>
            <w:vAlign w:val="center"/>
          </w:tcPr>
          <w:p w14:paraId="2CE4C49F">
            <w:pPr>
              <w:pStyle w:val="310"/>
              <w:spacing w:before="58" w:after="58" w:line="288" w:lineRule="auto"/>
              <w:ind w:left="42" w:right="42"/>
              <w:rPr>
                <w:rFonts w:ascii="Times New Roman" w:hAnsi="Times New Roman" w:cs="Microsoft New Tai Lue"/>
                <w:bCs/>
                <w:sz w:val="21"/>
              </w:rPr>
            </w:pPr>
            <w:r>
              <w:rPr>
                <w:rFonts w:hint="eastAsia" w:ascii="Times New Roman" w:hAnsi="Times New Roman" w:cs="Microsoft New Tai Lue"/>
                <w:bCs/>
                <w:sz w:val="21"/>
              </w:rPr>
              <w:t>本招标文件各项条款和规定，如果没有注明对应标段，则均为各标段通用内容。</w:t>
            </w:r>
          </w:p>
        </w:tc>
      </w:tr>
    </w:tbl>
    <w:p w14:paraId="3913B466">
      <w:pPr>
        <w:rPr>
          <w:rFonts w:cs="Microsoft New Tai Lue"/>
        </w:rPr>
      </w:pPr>
      <w:bookmarkStart w:id="48" w:name="_Toc104560837"/>
      <w:bookmarkStart w:id="49" w:name="_Toc100905199"/>
      <w:bookmarkStart w:id="50" w:name="_Toc107246213"/>
      <w:bookmarkStart w:id="51" w:name="_Toc103848526"/>
      <w:r>
        <w:rPr>
          <w:rFonts w:cs="Microsoft New Tai Lue"/>
        </w:rPr>
        <w:br w:type="page" w:clear="all"/>
      </w:r>
    </w:p>
    <w:p w14:paraId="3D9E7CE0">
      <w:pPr>
        <w:pStyle w:val="37"/>
        <w:ind w:left="535" w:hanging="321"/>
        <w:outlineLvl w:val="1"/>
        <w:rPr>
          <w:rFonts w:cs="Microsoft New Tai Lue"/>
        </w:rPr>
      </w:pPr>
      <w:bookmarkStart w:id="52" w:name="_Toc1254143351"/>
      <w:bookmarkStart w:id="53" w:name="_Toc9658"/>
      <w:r>
        <w:rPr>
          <w:rFonts w:cs="Microsoft New Tai Lue"/>
        </w:rPr>
        <w:t>投标人须知</w:t>
      </w:r>
      <w:bookmarkEnd w:id="48"/>
      <w:bookmarkEnd w:id="49"/>
      <w:bookmarkEnd w:id="50"/>
      <w:bookmarkEnd w:id="51"/>
      <w:bookmarkEnd w:id="52"/>
      <w:bookmarkEnd w:id="53"/>
    </w:p>
    <w:p w14:paraId="759FDA69">
      <w:pPr>
        <w:pStyle w:val="3"/>
        <w:spacing w:line="360" w:lineRule="auto"/>
        <w:ind w:left="211" w:right="210" w:hanging="211"/>
        <w:rPr>
          <w:rFonts w:ascii="Times New Roman" w:hAnsi="Times New Roman" w:eastAsia="宋体" w:cs="Microsoft New Tai Lue"/>
        </w:rPr>
      </w:pPr>
      <w:bookmarkStart w:id="54" w:name="_Toc80264706"/>
      <w:bookmarkStart w:id="55" w:name="_Toc835304952"/>
      <w:bookmarkStart w:id="56" w:name="_Toc1971"/>
      <w:r>
        <w:rPr>
          <w:rFonts w:ascii="Times New Roman" w:hAnsi="Times New Roman" w:eastAsia="宋体" w:cs="Microsoft New Tai Lue"/>
        </w:rPr>
        <w:t>一．</w:t>
      </w:r>
      <w:bookmarkEnd w:id="54"/>
      <w:r>
        <w:rPr>
          <w:rFonts w:ascii="Times New Roman" w:hAnsi="Times New Roman" w:eastAsia="宋体" w:cs="Microsoft New Tai Lue"/>
        </w:rPr>
        <w:t>总则</w:t>
      </w:r>
      <w:bookmarkEnd w:id="55"/>
      <w:bookmarkEnd w:id="56"/>
    </w:p>
    <w:p w14:paraId="75862B7D">
      <w:pPr>
        <w:pStyle w:val="4"/>
        <w:spacing w:line="360" w:lineRule="auto"/>
        <w:ind w:left="211" w:right="210" w:hanging="211"/>
        <w:rPr>
          <w:rFonts w:ascii="Times New Roman" w:hAnsi="Times New Roman" w:eastAsia="宋体" w:cs="Microsoft New Tai Lue"/>
        </w:rPr>
      </w:pPr>
      <w:bookmarkStart w:id="57" w:name="_Toc100905201"/>
      <w:bookmarkStart w:id="58" w:name="_Toc104560839"/>
      <w:bookmarkStart w:id="59" w:name="_Toc103848528"/>
      <w:bookmarkStart w:id="60" w:name="_Toc869727825"/>
      <w:bookmarkStart w:id="61" w:name="_Toc96347862"/>
      <w:bookmarkStart w:id="62" w:name="_Toc107246215"/>
      <w:r>
        <w:rPr>
          <w:rFonts w:ascii="Times New Roman" w:hAnsi="Times New Roman" w:eastAsia="宋体" w:cs="Microsoft New Tai Lue"/>
        </w:rPr>
        <w:t>1.采购方式</w:t>
      </w:r>
      <w:bookmarkEnd w:id="57"/>
      <w:bookmarkEnd w:id="58"/>
      <w:bookmarkEnd w:id="59"/>
      <w:bookmarkEnd w:id="60"/>
      <w:bookmarkEnd w:id="61"/>
      <w:bookmarkEnd w:id="62"/>
    </w:p>
    <w:p w14:paraId="71AB974B">
      <w:pPr>
        <w:spacing w:before="120" w:line="360" w:lineRule="auto"/>
        <w:ind w:left="214" w:firstLine="420"/>
        <w:rPr>
          <w:rFonts w:cs="Microsoft New Tai Lue"/>
        </w:rPr>
      </w:pPr>
      <w:r>
        <w:rPr>
          <w:rFonts w:cs="Microsoft New Tai Lue"/>
        </w:rPr>
        <w:t>1.1 本次招标采取公开招标方式，本招标文件仅适用于</w:t>
      </w:r>
      <w:r>
        <w:rPr>
          <w:rFonts w:hint="eastAsia" w:cs="Microsoft New Tai Lue"/>
        </w:rPr>
        <w:t>招标公告</w:t>
      </w:r>
      <w:r>
        <w:rPr>
          <w:rFonts w:cs="Microsoft New Tai Lue"/>
        </w:rPr>
        <w:t>中所述项目。</w:t>
      </w:r>
    </w:p>
    <w:p w14:paraId="105F3DA2">
      <w:pPr>
        <w:pStyle w:val="4"/>
        <w:spacing w:line="360" w:lineRule="auto"/>
        <w:ind w:left="211" w:right="210" w:hanging="211"/>
        <w:rPr>
          <w:rFonts w:ascii="Times New Roman" w:hAnsi="Times New Roman" w:eastAsia="宋体" w:cs="Microsoft New Tai Lue"/>
        </w:rPr>
      </w:pPr>
      <w:bookmarkStart w:id="63" w:name="_Toc103848529"/>
      <w:bookmarkStart w:id="64" w:name="_Toc1741853293"/>
      <w:bookmarkStart w:id="65" w:name="_Toc107246216"/>
      <w:bookmarkStart w:id="66" w:name="_Toc100905202"/>
      <w:bookmarkStart w:id="67" w:name="_Toc96347863"/>
      <w:bookmarkStart w:id="68" w:name="_Toc104560840"/>
      <w:r>
        <w:rPr>
          <w:rFonts w:ascii="Times New Roman" w:hAnsi="Times New Roman" w:eastAsia="宋体" w:cs="Microsoft New Tai Lue"/>
        </w:rPr>
        <w:t>2.定义</w:t>
      </w:r>
      <w:bookmarkEnd w:id="63"/>
      <w:bookmarkEnd w:id="64"/>
      <w:bookmarkEnd w:id="65"/>
      <w:bookmarkEnd w:id="66"/>
      <w:bookmarkEnd w:id="67"/>
      <w:bookmarkEnd w:id="68"/>
    </w:p>
    <w:p w14:paraId="47DA4F3A">
      <w:pPr>
        <w:spacing w:before="120" w:line="360" w:lineRule="auto"/>
        <w:ind w:left="214" w:firstLine="420"/>
        <w:rPr>
          <w:rFonts w:cs="Microsoft New Tai Lue"/>
          <w:bCs/>
        </w:rPr>
      </w:pPr>
      <w:r>
        <w:rPr>
          <w:rFonts w:cs="Microsoft New Tai Lue"/>
          <w:bCs/>
        </w:rPr>
        <w:t>2.1</w:t>
      </w:r>
      <w:r>
        <w:rPr>
          <w:rFonts w:hint="eastAsia" w:cs="Microsoft New Tai Lue"/>
          <w:bCs/>
        </w:rPr>
        <w:t>“</w:t>
      </w:r>
      <w:r>
        <w:rPr>
          <w:rFonts w:cs="Microsoft New Tai Lue"/>
          <w:bCs/>
        </w:rPr>
        <w:t>采购人</w:t>
      </w:r>
      <w:r>
        <w:rPr>
          <w:rFonts w:hint="eastAsia" w:cs="Microsoft New Tai Lue"/>
          <w:bCs/>
        </w:rPr>
        <w:t>”</w:t>
      </w:r>
      <w:r>
        <w:rPr>
          <w:rFonts w:cs="Microsoft New Tai Lue"/>
          <w:bCs/>
        </w:rPr>
        <w:t>是指依法进行政府采购的国家机关、事业单位、团体组织。本次政府采购的采购人名称、地址、电话、联系人见</w:t>
      </w:r>
      <w:r>
        <w:rPr>
          <w:rFonts w:cs="Microsoft New Tai Lue"/>
          <w:b/>
          <w:bCs/>
        </w:rPr>
        <w:t>投标人须知前附表</w:t>
      </w:r>
      <w:r>
        <w:rPr>
          <w:rFonts w:cs="Microsoft New Tai Lue"/>
          <w:bCs/>
        </w:rPr>
        <w:t>。</w:t>
      </w:r>
    </w:p>
    <w:p w14:paraId="1326E4BB">
      <w:pPr>
        <w:spacing w:before="120" w:line="360" w:lineRule="auto"/>
        <w:ind w:left="214" w:firstLine="420"/>
        <w:rPr>
          <w:rFonts w:cs="Microsoft New Tai Lue"/>
        </w:rPr>
      </w:pPr>
      <w:r>
        <w:rPr>
          <w:rFonts w:cs="Microsoft New Tai Lue"/>
        </w:rPr>
        <w:t>2.2</w:t>
      </w:r>
      <w:r>
        <w:rPr>
          <w:rFonts w:hint="eastAsia" w:cs="Microsoft New Tai Lue"/>
          <w:bCs/>
        </w:rPr>
        <w:t>“</w:t>
      </w:r>
      <w:r>
        <w:rPr>
          <w:rFonts w:cs="Microsoft New Tai Lue"/>
        </w:rPr>
        <w:t>采购代理机构</w:t>
      </w:r>
      <w:r>
        <w:rPr>
          <w:rFonts w:hint="eastAsia" w:cs="Microsoft New Tai Lue"/>
          <w:bCs/>
        </w:rPr>
        <w:t>”</w:t>
      </w:r>
      <w:r>
        <w:rPr>
          <w:rFonts w:cs="Microsoft New Tai Lue"/>
        </w:rPr>
        <w:t>是指集中采购机构和集中采购机构以外的采购代理机构。本次政府采购的采购代理机构名称、地址、电话、联系人见</w:t>
      </w:r>
      <w:r>
        <w:rPr>
          <w:rFonts w:cs="Microsoft New Tai Lue"/>
          <w:b/>
        </w:rPr>
        <w:t>投标人须知前附表</w:t>
      </w:r>
      <w:r>
        <w:rPr>
          <w:rFonts w:cs="Microsoft New Tai Lue"/>
        </w:rPr>
        <w:t>。</w:t>
      </w:r>
    </w:p>
    <w:p w14:paraId="258DC9EB">
      <w:pPr>
        <w:spacing w:before="120" w:line="360" w:lineRule="auto"/>
        <w:ind w:left="214" w:firstLine="420"/>
        <w:rPr>
          <w:rFonts w:cs="Microsoft New Tai Lue"/>
        </w:rPr>
      </w:pPr>
      <w:r>
        <w:rPr>
          <w:rFonts w:cs="Microsoft New Tai Lue"/>
          <w:bCs/>
        </w:rPr>
        <w:t>2.3</w:t>
      </w:r>
      <w:r>
        <w:rPr>
          <w:rFonts w:hint="eastAsia" w:cs="Microsoft New Tai Lue"/>
          <w:bCs/>
        </w:rPr>
        <w:t>“</w:t>
      </w:r>
      <w:r>
        <w:rPr>
          <w:rFonts w:cs="Microsoft New Tai Lue"/>
          <w:bCs/>
        </w:rPr>
        <w:t>采购方</w:t>
      </w:r>
      <w:r>
        <w:rPr>
          <w:rFonts w:hint="eastAsia" w:cs="Microsoft New Tai Lue"/>
          <w:bCs/>
        </w:rPr>
        <w:t>”</w:t>
      </w:r>
      <w:r>
        <w:rPr>
          <w:rFonts w:cs="Microsoft New Tai Lue"/>
          <w:bCs/>
        </w:rPr>
        <w:t>是指采购人和</w:t>
      </w:r>
      <w:r>
        <w:rPr>
          <w:rFonts w:cs="Microsoft New Tai Lue"/>
        </w:rPr>
        <w:t>采购代理机构的合称。</w:t>
      </w:r>
    </w:p>
    <w:p w14:paraId="732C07D3">
      <w:pPr>
        <w:spacing w:before="120" w:line="360" w:lineRule="auto"/>
        <w:ind w:left="214" w:firstLine="420"/>
        <w:rPr>
          <w:rFonts w:cs="Microsoft New Tai Lue"/>
        </w:rPr>
      </w:pPr>
      <w:r>
        <w:rPr>
          <w:rFonts w:cs="Microsoft New Tai Lue"/>
        </w:rPr>
        <w:t>2.4</w:t>
      </w:r>
      <w:r>
        <w:rPr>
          <w:rFonts w:hint="eastAsia" w:cs="Microsoft New Tai Lue"/>
          <w:bCs/>
        </w:rPr>
        <w:t>“</w:t>
      </w:r>
      <w:r>
        <w:rPr>
          <w:rFonts w:cs="Microsoft New Tai Lue"/>
        </w:rPr>
        <w:t>供应商</w:t>
      </w:r>
      <w:r>
        <w:rPr>
          <w:rFonts w:hint="eastAsia" w:cs="Microsoft New Tai Lue"/>
          <w:bCs/>
        </w:rPr>
        <w:t>”</w:t>
      </w:r>
      <w:r>
        <w:rPr>
          <w:rFonts w:cs="Microsoft New Tai Lue"/>
        </w:rPr>
        <w:t>是指向采购人提供货物、工程或者服务的法人、其他组织或者自然人。</w:t>
      </w:r>
    </w:p>
    <w:p w14:paraId="13405922">
      <w:pPr>
        <w:spacing w:before="120" w:line="360" w:lineRule="auto"/>
        <w:ind w:left="214" w:firstLine="420"/>
        <w:rPr>
          <w:rFonts w:cs="Microsoft New Tai Lue"/>
        </w:rPr>
      </w:pPr>
      <w:r>
        <w:rPr>
          <w:rFonts w:cs="Microsoft New Tai Lue"/>
        </w:rPr>
        <w:t>2.5</w:t>
      </w:r>
      <w:r>
        <w:rPr>
          <w:rFonts w:hint="eastAsia" w:cs="Microsoft New Tai Lue"/>
          <w:bCs/>
        </w:rPr>
        <w:t>“</w:t>
      </w:r>
      <w:r>
        <w:rPr>
          <w:rFonts w:cs="Microsoft New Tai Lue"/>
        </w:rPr>
        <w:t>中标供应商</w:t>
      </w:r>
      <w:r>
        <w:rPr>
          <w:rFonts w:hint="eastAsia" w:cs="Microsoft New Tai Lue"/>
          <w:bCs/>
        </w:rPr>
        <w:t>”</w:t>
      </w:r>
      <w:r>
        <w:rPr>
          <w:rFonts w:cs="Microsoft New Tai Lue"/>
        </w:rPr>
        <w:t>是指在投标过程中获得采购项目合同签订资格的供应商。中标供应商是由专家经过评审后推荐并经采购人确认的。本招标文件中中标供应商也称中标人。</w:t>
      </w:r>
    </w:p>
    <w:p w14:paraId="1113AD1A">
      <w:pPr>
        <w:spacing w:before="120" w:line="360" w:lineRule="auto"/>
        <w:ind w:left="214" w:firstLine="420"/>
        <w:rPr>
          <w:rFonts w:cs="Microsoft New Tai Lue"/>
        </w:rPr>
      </w:pPr>
      <w:r>
        <w:rPr>
          <w:rFonts w:cs="Microsoft New Tai Lue"/>
        </w:rPr>
        <w:t>2.6</w:t>
      </w:r>
      <w:r>
        <w:rPr>
          <w:rFonts w:hint="eastAsia" w:cs="Microsoft New Tai Lue"/>
          <w:bCs/>
        </w:rPr>
        <w:t>“</w:t>
      </w:r>
      <w:r>
        <w:rPr>
          <w:rFonts w:cs="Microsoft New Tai Lue"/>
        </w:rPr>
        <w:t>评标委员会</w:t>
      </w:r>
      <w:r>
        <w:rPr>
          <w:rFonts w:hint="eastAsia" w:cs="Microsoft New Tai Lue"/>
          <w:bCs/>
        </w:rPr>
        <w:t>”</w:t>
      </w:r>
      <w:r>
        <w:rPr>
          <w:rFonts w:cs="Microsoft New Tai Lue"/>
        </w:rPr>
        <w:t>是依据</w:t>
      </w:r>
      <w:r>
        <w:rPr>
          <w:rFonts w:hint="eastAsia" w:cs="Microsoft New Tai Lue"/>
        </w:rPr>
        <w:t>政府采购</w:t>
      </w:r>
      <w:r>
        <w:rPr>
          <w:rFonts w:cs="Microsoft New Tai Lue"/>
        </w:rPr>
        <w:t>相关法律法规规定组建，依法履行评审采购活动职责的评审成员。</w:t>
      </w:r>
    </w:p>
    <w:p w14:paraId="20A487B2">
      <w:pPr>
        <w:spacing w:before="120" w:line="360" w:lineRule="auto"/>
        <w:ind w:left="214" w:firstLine="420"/>
        <w:rPr>
          <w:rFonts w:cs="Microsoft New Tai Lue"/>
        </w:rPr>
      </w:pPr>
      <w:r>
        <w:rPr>
          <w:rFonts w:cs="Microsoft New Tai Lue"/>
        </w:rPr>
        <w:t>2.7</w:t>
      </w:r>
      <w:r>
        <w:rPr>
          <w:rFonts w:hint="eastAsia" w:cs="Microsoft New Tai Lue"/>
          <w:bCs/>
        </w:rPr>
        <w:t>“</w:t>
      </w:r>
      <w:r>
        <w:rPr>
          <w:rFonts w:cs="Microsoft New Tai Lue"/>
        </w:rPr>
        <w:t>货物</w:t>
      </w:r>
      <w:r>
        <w:rPr>
          <w:rFonts w:hint="eastAsia" w:cs="Microsoft New Tai Lue"/>
          <w:bCs/>
        </w:rPr>
        <w:t>”</w:t>
      </w:r>
      <w:r>
        <w:rPr>
          <w:rFonts w:cs="Microsoft New Tai Lue"/>
        </w:rPr>
        <w:t>是指各种形态和种类的物品，包括原材料、燃料、设备、产品等。</w:t>
      </w:r>
    </w:p>
    <w:p w14:paraId="27502B0E">
      <w:pPr>
        <w:spacing w:before="120" w:line="360" w:lineRule="auto"/>
        <w:ind w:left="214" w:firstLine="420"/>
        <w:rPr>
          <w:rFonts w:cs="Microsoft New Tai Lue"/>
        </w:rPr>
      </w:pPr>
      <w:r>
        <w:rPr>
          <w:rFonts w:cs="Microsoft New Tai Lue"/>
        </w:rPr>
        <w:t>2.8</w:t>
      </w:r>
      <w:r>
        <w:rPr>
          <w:rFonts w:hint="eastAsia" w:cs="Microsoft New Tai Lue"/>
          <w:bCs/>
        </w:rPr>
        <w:t>“</w:t>
      </w:r>
      <w:r>
        <w:rPr>
          <w:rFonts w:cs="Microsoft New Tai Lue"/>
        </w:rPr>
        <w:t>工程</w:t>
      </w:r>
      <w:r>
        <w:rPr>
          <w:rFonts w:hint="eastAsia" w:cs="Microsoft New Tai Lue"/>
          <w:bCs/>
        </w:rPr>
        <w:t>”</w:t>
      </w:r>
      <w:r>
        <w:rPr>
          <w:rFonts w:cs="Microsoft New Tai Lue"/>
        </w:rPr>
        <w:t>是指建设工程，包括建筑物和构筑物的新建、改建、扩建、装修、拆除、修缮等。</w:t>
      </w:r>
    </w:p>
    <w:p w14:paraId="58C282C7">
      <w:pPr>
        <w:spacing w:before="120" w:line="360" w:lineRule="auto"/>
        <w:ind w:left="214" w:firstLine="420"/>
        <w:rPr>
          <w:rFonts w:cs="Microsoft New Tai Lue"/>
        </w:rPr>
      </w:pPr>
      <w:r>
        <w:rPr>
          <w:rFonts w:cs="Microsoft New Tai Lue"/>
        </w:rPr>
        <w:t>2.9</w:t>
      </w:r>
      <w:r>
        <w:rPr>
          <w:rFonts w:hint="eastAsia" w:cs="Microsoft New Tai Lue"/>
          <w:bCs/>
        </w:rPr>
        <w:t>“</w:t>
      </w:r>
      <w:r>
        <w:rPr>
          <w:rFonts w:cs="Microsoft New Tai Lue"/>
        </w:rPr>
        <w:t>服务</w:t>
      </w:r>
      <w:r>
        <w:rPr>
          <w:rFonts w:hint="eastAsia" w:cs="Microsoft New Tai Lue"/>
          <w:bCs/>
        </w:rPr>
        <w:t>”</w:t>
      </w:r>
      <w:r>
        <w:rPr>
          <w:rFonts w:cs="Microsoft New Tai Lue"/>
        </w:rPr>
        <w:t>是指除货物和工程以外的其他政府采购对象。</w:t>
      </w:r>
    </w:p>
    <w:p w14:paraId="444B6AB0">
      <w:pPr>
        <w:spacing w:before="120" w:line="360" w:lineRule="auto"/>
        <w:ind w:left="214" w:firstLine="420"/>
        <w:rPr>
          <w:rFonts w:cs="Microsoft New Tai Lue"/>
        </w:rPr>
      </w:pPr>
      <w:r>
        <w:rPr>
          <w:rFonts w:cs="Microsoft New Tai Lue"/>
        </w:rPr>
        <w:t>2.10</w:t>
      </w:r>
      <w:r>
        <w:rPr>
          <w:rFonts w:hint="eastAsia" w:cs="Microsoft New Tai Lue"/>
          <w:bCs/>
        </w:rPr>
        <w:t>“</w:t>
      </w:r>
      <w:r>
        <w:rPr>
          <w:rFonts w:cs="Microsoft New Tai Lue"/>
        </w:rPr>
        <w:t>节能产品</w:t>
      </w:r>
      <w:r>
        <w:rPr>
          <w:rFonts w:hint="eastAsia" w:cs="Microsoft New Tai Lue"/>
          <w:bCs/>
        </w:rPr>
        <w:t>”</w:t>
      </w:r>
      <w:r>
        <w:rPr>
          <w:rFonts w:cs="Microsoft New Tai Lue"/>
        </w:rPr>
        <w:t>或者</w:t>
      </w:r>
      <w:r>
        <w:rPr>
          <w:rFonts w:hint="eastAsia" w:cs="Microsoft New Tai Lue"/>
          <w:bCs/>
        </w:rPr>
        <w:t>“</w:t>
      </w:r>
      <w:r>
        <w:rPr>
          <w:rFonts w:cs="Microsoft New Tai Lue"/>
        </w:rPr>
        <w:t>环保产品</w:t>
      </w:r>
      <w:r>
        <w:rPr>
          <w:rFonts w:hint="eastAsia" w:cs="Microsoft New Tai Lue"/>
          <w:bCs/>
        </w:rPr>
        <w:t>”</w:t>
      </w:r>
      <w:r>
        <w:rPr>
          <w:rFonts w:cs="Microsoft New Tai Lue"/>
        </w:rPr>
        <w:t>是指国务院有关部门发布的最新一期《节能产品政府采购品目清单》或者《环境标志产品政府采购品目清单》内的产品。</w:t>
      </w:r>
    </w:p>
    <w:p w14:paraId="03A2AAEC">
      <w:pPr>
        <w:spacing w:before="120" w:line="360" w:lineRule="auto"/>
        <w:ind w:left="214" w:firstLine="420"/>
        <w:rPr>
          <w:rFonts w:cs="Microsoft New Tai Lue"/>
        </w:rPr>
      </w:pPr>
      <w:r>
        <w:rPr>
          <w:rFonts w:cs="Microsoft New Tai Lue"/>
        </w:rPr>
        <w:t>2.11</w:t>
      </w:r>
      <w:r>
        <w:rPr>
          <w:rFonts w:hint="eastAsia" w:cs="Microsoft New Tai Lue"/>
          <w:bCs/>
        </w:rPr>
        <w:t>“</w:t>
      </w:r>
      <w:r>
        <w:rPr>
          <w:rFonts w:cs="Microsoft New Tai Lue"/>
        </w:rPr>
        <w:t>进口产品</w:t>
      </w:r>
      <w:r>
        <w:rPr>
          <w:rFonts w:hint="eastAsia" w:cs="Microsoft New Tai Lue"/>
          <w:bCs/>
        </w:rPr>
        <w:t>”</w:t>
      </w:r>
      <w:r>
        <w:rPr>
          <w:rFonts w:cs="Microsoft New Tai Lue"/>
        </w:rPr>
        <w:t>是指通过中国海关报关验放进入中国境内且产自关境外的产品。</w:t>
      </w:r>
    </w:p>
    <w:p w14:paraId="2A3DD407">
      <w:pPr>
        <w:pStyle w:val="4"/>
        <w:spacing w:line="360" w:lineRule="auto"/>
        <w:ind w:left="211" w:right="210" w:hanging="211"/>
        <w:rPr>
          <w:rFonts w:ascii="Times New Roman" w:hAnsi="Times New Roman" w:eastAsia="宋体" w:cs="Microsoft New Tai Lue"/>
        </w:rPr>
      </w:pPr>
      <w:bookmarkStart w:id="69" w:name="_Toc103848530"/>
      <w:bookmarkStart w:id="70" w:name="_Toc96347864"/>
      <w:bookmarkStart w:id="71" w:name="_Toc104560841"/>
      <w:bookmarkStart w:id="72" w:name="_Toc100905203"/>
      <w:bookmarkStart w:id="73" w:name="_Toc831219547"/>
      <w:bookmarkStart w:id="74" w:name="_Toc107246217"/>
      <w:r>
        <w:rPr>
          <w:rFonts w:ascii="Times New Roman" w:hAnsi="Times New Roman" w:eastAsia="宋体" w:cs="Microsoft New Tai Lue"/>
        </w:rPr>
        <w:t>3.适用法律</w:t>
      </w:r>
      <w:bookmarkEnd w:id="69"/>
      <w:bookmarkEnd w:id="70"/>
      <w:bookmarkEnd w:id="71"/>
      <w:bookmarkEnd w:id="72"/>
      <w:bookmarkEnd w:id="73"/>
      <w:bookmarkEnd w:id="74"/>
    </w:p>
    <w:p w14:paraId="7B924271">
      <w:pPr>
        <w:spacing w:before="120" w:line="360" w:lineRule="auto"/>
        <w:ind w:left="214" w:firstLine="420"/>
        <w:rPr>
          <w:rFonts w:cs="Microsoft New Tai Lue"/>
        </w:rPr>
      </w:pPr>
      <w:bookmarkStart w:id="75" w:name="_Toc100905204"/>
      <w:r>
        <w:rPr>
          <w:rFonts w:cs="Microsoft New Tai Lue"/>
        </w:rPr>
        <w:t>3.1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884A397">
      <w:pPr>
        <w:pStyle w:val="4"/>
        <w:spacing w:line="360" w:lineRule="auto"/>
        <w:ind w:left="211" w:right="210" w:hanging="211"/>
        <w:rPr>
          <w:rFonts w:ascii="Times New Roman" w:hAnsi="Times New Roman" w:eastAsia="宋体" w:cs="Microsoft New Tai Lue"/>
        </w:rPr>
      </w:pPr>
      <w:bookmarkStart w:id="76" w:name="_Toc103848531"/>
      <w:bookmarkStart w:id="77" w:name="_Toc107246218"/>
      <w:bookmarkStart w:id="78" w:name="_Toc925802694"/>
      <w:bookmarkStart w:id="79" w:name="_Toc104560842"/>
      <w:r>
        <w:rPr>
          <w:rFonts w:ascii="Times New Roman" w:hAnsi="Times New Roman" w:eastAsia="宋体" w:cs="Microsoft New Tai Lue"/>
        </w:rPr>
        <w:t>4.</w:t>
      </w:r>
      <w:bookmarkEnd w:id="76"/>
      <w:r>
        <w:rPr>
          <w:rFonts w:hint="eastAsia" w:ascii="Times New Roman" w:hAnsi="Times New Roman" w:eastAsia="宋体" w:cs="Microsoft New Tai Lue"/>
        </w:rPr>
        <w:t>政府采购政策（包括但不限于下列具体政策要求）</w:t>
      </w:r>
      <w:bookmarkEnd w:id="77"/>
      <w:bookmarkEnd w:id="78"/>
      <w:bookmarkEnd w:id="79"/>
    </w:p>
    <w:p w14:paraId="71BD9183">
      <w:pPr>
        <w:spacing w:before="120" w:line="360" w:lineRule="auto"/>
        <w:ind w:left="214" w:firstLine="420"/>
        <w:rPr>
          <w:rFonts w:cs="Microsoft New Tai Lue"/>
          <w:b/>
        </w:rPr>
      </w:pPr>
      <w:r>
        <w:rPr>
          <w:rFonts w:hint="eastAsia" w:cs="Microsoft New Tai Lue"/>
          <w:b/>
        </w:rPr>
        <w:t>4.</w:t>
      </w:r>
      <w:r>
        <w:rPr>
          <w:rFonts w:cs="Microsoft New Tai Lue"/>
          <w:b/>
        </w:rPr>
        <w:t>1</w:t>
      </w:r>
      <w:r>
        <w:rPr>
          <w:rFonts w:hint="eastAsia" w:cs="Microsoft New Tai Lue"/>
          <w:b/>
        </w:rPr>
        <w:t>中小企业、监狱企业及残疾人福利性单位</w:t>
      </w:r>
    </w:p>
    <w:p w14:paraId="1188418A">
      <w:pPr>
        <w:spacing w:before="120" w:line="360" w:lineRule="auto"/>
        <w:ind w:left="214" w:firstLine="420"/>
        <w:rPr>
          <w:rFonts w:cs="Microsoft New Tai Lue"/>
        </w:rPr>
      </w:pPr>
      <w:r>
        <w:rPr>
          <w:rFonts w:cs="Microsoft New Tai Lue"/>
        </w:rPr>
        <w:t>4.1.1</w:t>
      </w:r>
      <w:r>
        <w:rPr>
          <w:rFonts w:hint="eastAsia" w:cs="Microsoft New Tai Lue"/>
        </w:rPr>
        <w:t>中小企业定义：</w:t>
      </w:r>
    </w:p>
    <w:p w14:paraId="3FA36031">
      <w:pPr>
        <w:spacing w:before="120" w:line="360" w:lineRule="auto"/>
        <w:ind w:left="214" w:firstLine="420"/>
        <w:rPr>
          <w:rFonts w:cs="Microsoft New Tai Lue"/>
        </w:rPr>
      </w:pPr>
      <w:r>
        <w:rPr>
          <w:rFonts w:cs="Microsoft New Tai Lue"/>
        </w:rPr>
        <w:t>4.1.1.1</w:t>
      </w:r>
      <w:r>
        <w:rPr>
          <w:rFonts w:hint="eastAsia" w:cs="Microsoft New Tai Lu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68561AD">
      <w:pPr>
        <w:spacing w:before="120" w:line="360" w:lineRule="auto"/>
        <w:ind w:left="214" w:firstLine="420"/>
        <w:rPr>
          <w:rFonts w:cs="Microsoft New Tai Lue"/>
        </w:rPr>
      </w:pPr>
      <w:r>
        <w:rPr>
          <w:rFonts w:cs="Microsoft New Tai Lue"/>
        </w:rPr>
        <w:t>4.1.1.2</w:t>
      </w:r>
      <w:r>
        <w:rPr>
          <w:rFonts w:hint="eastAsia" w:cs="Microsoft New Tai Lue"/>
        </w:rPr>
        <w:t>供应商提供的货物、工程或者服务符合下列情形的，享受中小企业扶持政策：</w:t>
      </w:r>
    </w:p>
    <w:p w14:paraId="71A94AAB">
      <w:pPr>
        <w:spacing w:line="360" w:lineRule="auto"/>
        <w:ind w:left="214" w:firstLine="315"/>
        <w:jc w:val="left"/>
        <w:rPr>
          <w:rFonts w:cs="Microsoft New Tai Lue"/>
        </w:rPr>
      </w:pPr>
      <w:r>
        <w:rPr>
          <w:rFonts w:hint="eastAsia" w:cs="Microsoft New Tai Lue"/>
        </w:rPr>
        <w:t>（1）在货物采购项目中，货物由中小企业制造，即货物由中小企业生产且使用该中小企业商号或者注册商标；</w:t>
      </w:r>
    </w:p>
    <w:p w14:paraId="3E9A449D">
      <w:pPr>
        <w:spacing w:line="360" w:lineRule="auto"/>
        <w:ind w:left="214" w:firstLine="315"/>
        <w:jc w:val="left"/>
        <w:rPr>
          <w:rFonts w:cs="Microsoft New Tai Lue"/>
        </w:rPr>
      </w:pPr>
      <w:r>
        <w:rPr>
          <w:rFonts w:hint="eastAsia" w:cs="Microsoft New Tai Lue"/>
        </w:rPr>
        <w:t>（2）在工程采购项目中，工程由中小企业承建，即工程施工单位为中小企业；</w:t>
      </w:r>
    </w:p>
    <w:p w14:paraId="274D0A6D">
      <w:pPr>
        <w:spacing w:line="360" w:lineRule="auto"/>
        <w:ind w:left="214" w:firstLine="315"/>
        <w:jc w:val="left"/>
        <w:rPr>
          <w:rFonts w:cs="Microsoft New Tai Lue"/>
        </w:rPr>
      </w:pPr>
      <w:r>
        <w:rPr>
          <w:rFonts w:hint="eastAsia" w:cs="Microsoft New Tai Lue"/>
        </w:rPr>
        <w:t>（3）在服务采购项目中，服务由中小企业承接，即提供服务的人员为中小企业依照《中华人民共和国劳动合同法》订立劳动合同的从业人员。</w:t>
      </w:r>
    </w:p>
    <w:p w14:paraId="4ED003EF">
      <w:pPr>
        <w:spacing w:before="120" w:line="360" w:lineRule="auto"/>
        <w:ind w:left="214" w:firstLine="420"/>
        <w:rPr>
          <w:rFonts w:cs="Microsoft New Tai Lue"/>
        </w:rPr>
      </w:pPr>
      <w:r>
        <w:rPr>
          <w:rFonts w:cs="Microsoft New Tai Lue"/>
        </w:rPr>
        <w:t>4.1.1.3</w:t>
      </w:r>
      <w:r>
        <w:rPr>
          <w:rFonts w:hint="eastAsia" w:cs="Microsoft New Tai Lue"/>
        </w:rPr>
        <w:t>在货物采购项目中，供应商提供的货物既有中小企业制造货物，也有大型企业制造货物的，不享受中小企业扶持政策。</w:t>
      </w:r>
    </w:p>
    <w:p w14:paraId="45E58BA3">
      <w:pPr>
        <w:spacing w:before="120" w:line="360" w:lineRule="auto"/>
        <w:ind w:left="214" w:firstLine="420"/>
        <w:rPr>
          <w:rFonts w:cs="Microsoft New Tai Lue"/>
        </w:rPr>
      </w:pPr>
      <w:r>
        <w:rPr>
          <w:rFonts w:cs="Microsoft New Tai Lue"/>
        </w:rPr>
        <w:t>4.1.1.4</w:t>
      </w:r>
      <w:r>
        <w:rPr>
          <w:rFonts w:hint="eastAsia" w:cs="Microsoft New Tai Lue"/>
        </w:rPr>
        <w:t>以联合体形式参加政府采购活动，联合体各方均为中小企业的，联合体视同中小企业。其中，联合体各方均为小微企业的，联合体视同小微企业。</w:t>
      </w:r>
    </w:p>
    <w:p w14:paraId="2E1CFDB4">
      <w:pPr>
        <w:spacing w:before="120" w:line="360" w:lineRule="auto"/>
        <w:ind w:left="214" w:firstLine="420"/>
        <w:rPr>
          <w:rFonts w:cs="Microsoft New Tai Lue"/>
        </w:rPr>
      </w:pPr>
      <w:r>
        <w:rPr>
          <w:rFonts w:cs="Microsoft New Tai Lue"/>
        </w:rPr>
        <w:t>4.1.2</w:t>
      </w:r>
      <w:r>
        <w:rPr>
          <w:rFonts w:hint="eastAsia" w:cs="Microsoft New Tai Lu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9B7EBCD">
      <w:pPr>
        <w:spacing w:before="120" w:line="360" w:lineRule="auto"/>
        <w:ind w:left="214" w:firstLine="420"/>
        <w:rPr>
          <w:rFonts w:cs="Microsoft New Tai Lue"/>
        </w:rPr>
      </w:pPr>
      <w:r>
        <w:rPr>
          <w:rFonts w:cs="Microsoft New Tai Lue"/>
        </w:rPr>
        <w:t>4.1.3</w:t>
      </w:r>
      <w:r>
        <w:rPr>
          <w:rFonts w:hint="eastAsia" w:cs="Microsoft New Tai Lue"/>
        </w:rPr>
        <w:t>残疾人福利单位定义：享受政府采购支持政策的残疾人福利性单位应当同时满足以下条件：</w:t>
      </w:r>
    </w:p>
    <w:p w14:paraId="7B48AE9D">
      <w:pPr>
        <w:spacing w:line="360" w:lineRule="auto"/>
        <w:ind w:left="214" w:firstLine="315"/>
        <w:jc w:val="left"/>
        <w:rPr>
          <w:rFonts w:cs="Microsoft New Tai Lue"/>
        </w:rPr>
      </w:pPr>
      <w:r>
        <w:rPr>
          <w:rFonts w:hint="eastAsia" w:cs="Microsoft New Tai Lue"/>
        </w:rPr>
        <w:t>（1）安置的残疾人占本单位在职职工人数的比例不低于25%（含25%），并且安置的残疾人人数不少于10 人（含10 人）；</w:t>
      </w:r>
    </w:p>
    <w:p w14:paraId="647405BF">
      <w:pPr>
        <w:spacing w:line="360" w:lineRule="auto"/>
        <w:ind w:left="214" w:firstLine="315"/>
        <w:jc w:val="left"/>
        <w:rPr>
          <w:rFonts w:cs="Microsoft New Tai Lue"/>
        </w:rPr>
      </w:pPr>
      <w:r>
        <w:rPr>
          <w:rFonts w:hint="eastAsia" w:cs="Microsoft New Tai Lue"/>
        </w:rPr>
        <w:t>（2）依法与安置的每位残疾人签订了一年以上（含一年）的劳动合同或服务协议；</w:t>
      </w:r>
    </w:p>
    <w:p w14:paraId="44185833">
      <w:pPr>
        <w:spacing w:line="360" w:lineRule="auto"/>
        <w:ind w:left="214" w:firstLine="315"/>
        <w:jc w:val="left"/>
        <w:rPr>
          <w:rFonts w:cs="Microsoft New Tai Lue"/>
        </w:rPr>
      </w:pPr>
      <w:r>
        <w:rPr>
          <w:rFonts w:hint="eastAsia" w:cs="Microsoft New Tai Lue"/>
        </w:rPr>
        <w:t>（3）为安置的每位残疾人按月足额缴纳了基本养老保险、基本医疗保险、失业保险、工伤保险和生育保险等社会保险费；</w:t>
      </w:r>
    </w:p>
    <w:p w14:paraId="01B199A8">
      <w:pPr>
        <w:spacing w:line="360" w:lineRule="auto"/>
        <w:ind w:left="214" w:firstLine="315"/>
        <w:jc w:val="left"/>
        <w:rPr>
          <w:rFonts w:cs="Microsoft New Tai Lue"/>
        </w:rPr>
      </w:pPr>
      <w:r>
        <w:rPr>
          <w:rFonts w:hint="eastAsia" w:cs="Microsoft New Tai Lue"/>
        </w:rPr>
        <w:t>（4）通过银行等金融机构向安置的每位残疾人，按月支付了不低于单位所在区县适用的经省级人民政府批准的月最低工资标准的工资；</w:t>
      </w:r>
    </w:p>
    <w:p w14:paraId="0EA07F00">
      <w:pPr>
        <w:spacing w:line="360" w:lineRule="auto"/>
        <w:ind w:left="214" w:firstLine="315"/>
        <w:jc w:val="left"/>
        <w:rPr>
          <w:rFonts w:cs="Microsoft New Tai Lue"/>
        </w:rPr>
      </w:pPr>
      <w:r>
        <w:rPr>
          <w:rFonts w:hint="eastAsia" w:cs="Microsoft New Tai Lue"/>
        </w:rPr>
        <w:t>（5）提供本单位制造的货物、承担的工程或者服务（以下简称产品），或者提供其他残疾人福利性单位制造的货物（不包括使用非残疾人福利性单位注册商标的货物）；</w:t>
      </w:r>
    </w:p>
    <w:p w14:paraId="232EE6C6">
      <w:pPr>
        <w:spacing w:line="360" w:lineRule="auto"/>
        <w:ind w:left="214" w:firstLine="315"/>
        <w:jc w:val="left"/>
        <w:rPr>
          <w:rFonts w:cs="Microsoft New Tai Lue"/>
        </w:rPr>
      </w:pPr>
      <w:r>
        <w:rPr>
          <w:rFonts w:hint="eastAsia" w:cs="Microsoft New Tai Lue"/>
        </w:rPr>
        <w:t>（6）前款所称残疾人是指法定劳动年龄内，持有《中华人民共和国残疾人证》或者《中华人民共和国残疾军人证（1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CB27C79">
      <w:pPr>
        <w:spacing w:before="120" w:line="360" w:lineRule="auto"/>
        <w:ind w:left="214" w:firstLine="420"/>
        <w:rPr>
          <w:rFonts w:cs="Microsoft New Tai Lue"/>
          <w:b/>
        </w:rPr>
      </w:pPr>
      <w:r>
        <w:rPr>
          <w:rFonts w:hint="eastAsia" w:cs="Microsoft New Tai Lue"/>
        </w:rPr>
        <w:t>4.</w:t>
      </w:r>
      <w:r>
        <w:rPr>
          <w:rFonts w:cs="Microsoft New Tai Lue"/>
        </w:rPr>
        <w:t>1</w:t>
      </w:r>
      <w:r>
        <w:rPr>
          <w:rFonts w:hint="eastAsia" w:cs="Microsoft New Tai Lue"/>
        </w:rPr>
        <w:t>.</w:t>
      </w:r>
      <w:r>
        <w:rPr>
          <w:rFonts w:cs="Microsoft New Tai Lue"/>
        </w:rPr>
        <w:t>4</w:t>
      </w:r>
      <w:r>
        <w:rPr>
          <w:rFonts w:hint="eastAsia" w:cs="Microsoft New Tai Lue"/>
        </w:rPr>
        <w:t>小微企业价格评审优惠的政策调整：见第五章《评标方法与评标标准》（如涉及）。</w:t>
      </w:r>
    </w:p>
    <w:p w14:paraId="62CD17EE">
      <w:pPr>
        <w:spacing w:before="120" w:line="360" w:lineRule="auto"/>
        <w:ind w:left="214" w:firstLine="420"/>
        <w:rPr>
          <w:rFonts w:cs="Microsoft New Tai Lue"/>
          <w:b/>
        </w:rPr>
      </w:pPr>
      <w:r>
        <w:rPr>
          <w:rFonts w:cs="Microsoft New Tai Lue"/>
          <w:b/>
        </w:rPr>
        <w:t>4.2</w:t>
      </w:r>
      <w:r>
        <w:rPr>
          <w:rFonts w:hint="eastAsia" w:cs="Microsoft New Tai Lue"/>
          <w:b/>
        </w:rPr>
        <w:t>政府采购节能产品、环境标志产品</w:t>
      </w:r>
    </w:p>
    <w:p w14:paraId="63D4BBBB">
      <w:pPr>
        <w:spacing w:before="120" w:line="360" w:lineRule="auto"/>
        <w:ind w:left="214" w:firstLine="420"/>
        <w:rPr>
          <w:rFonts w:cs="Microsoft New Tai Lue"/>
        </w:rPr>
      </w:pPr>
      <w:r>
        <w:rPr>
          <w:rFonts w:cs="Microsoft New Tai Lue"/>
        </w:rPr>
        <w:t>4.2.1</w:t>
      </w:r>
      <w:r>
        <w:rPr>
          <w:rFonts w:hint="eastAsia" w:cs="Microsoft New Tai Lu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D170090">
      <w:pPr>
        <w:spacing w:before="120" w:line="360" w:lineRule="auto"/>
        <w:ind w:left="214" w:firstLine="420"/>
        <w:rPr>
          <w:rFonts w:cs="Microsoft New Tai Lue"/>
        </w:rPr>
      </w:pPr>
      <w:r>
        <w:rPr>
          <w:rFonts w:cs="Microsoft New Tai Lue"/>
        </w:rPr>
        <w:t>4.2.2</w:t>
      </w:r>
      <w:r>
        <w:rPr>
          <w:rFonts w:hint="eastAsia" w:cs="Microsoft New Tai Lue"/>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759FBD2">
      <w:pPr>
        <w:spacing w:before="120" w:line="360" w:lineRule="auto"/>
        <w:ind w:left="214" w:firstLine="420"/>
        <w:rPr>
          <w:rFonts w:cs="Microsoft New Tai Lue"/>
        </w:rPr>
      </w:pPr>
      <w:r>
        <w:rPr>
          <w:rFonts w:cs="Microsoft New Tai Lue"/>
        </w:rPr>
        <w:t>4.2.3</w:t>
      </w:r>
      <w:r>
        <w:rPr>
          <w:rFonts w:hint="eastAsia" w:cs="Microsoft New Tai Lue"/>
        </w:rPr>
        <w:t>如本项目采购产品属于实施政府强制采购品目清单范围的节能产品，则投标人所报产品必须获得国家确定的认证机构出具的、处于有效期之内的节能产品认证证书，否则投标无效；</w:t>
      </w:r>
    </w:p>
    <w:p w14:paraId="13D2B613">
      <w:pPr>
        <w:spacing w:before="120" w:line="360" w:lineRule="auto"/>
        <w:ind w:left="214" w:firstLine="420"/>
        <w:rPr>
          <w:rFonts w:cs="Microsoft New Tai Lue"/>
        </w:rPr>
      </w:pPr>
      <w:r>
        <w:rPr>
          <w:rFonts w:cs="Microsoft New Tai Lue"/>
        </w:rPr>
        <w:t>4.2.4</w:t>
      </w:r>
      <w:r>
        <w:rPr>
          <w:rFonts w:hint="eastAsia" w:cs="Microsoft New Tai Lue"/>
        </w:rPr>
        <w:t>非政府强制采购的节能产品或环境标志产品，依据品目清单和认证证书实施政府优先采购。优先采购的具体规定见第五章《评标方法与评标标准》（如涉及）。</w:t>
      </w:r>
    </w:p>
    <w:p w14:paraId="6888C489">
      <w:pPr>
        <w:spacing w:before="120" w:line="360" w:lineRule="auto"/>
        <w:ind w:left="214" w:firstLine="420"/>
        <w:rPr>
          <w:rFonts w:cs="Microsoft New Tai Lue"/>
          <w:b/>
        </w:rPr>
      </w:pPr>
      <w:r>
        <w:rPr>
          <w:rFonts w:cs="Microsoft New Tai Lue"/>
          <w:b/>
        </w:rPr>
        <w:t>4.3</w:t>
      </w:r>
      <w:r>
        <w:rPr>
          <w:rFonts w:hint="eastAsia" w:cs="Microsoft New Tai Lue"/>
          <w:b/>
        </w:rPr>
        <w:t>信息安全产品</w:t>
      </w:r>
    </w:p>
    <w:p w14:paraId="6CF49836">
      <w:pPr>
        <w:spacing w:before="120" w:line="360" w:lineRule="auto"/>
        <w:ind w:left="214" w:firstLine="420"/>
        <w:rPr>
          <w:rFonts w:cs="Microsoft New Tai Lue"/>
        </w:rPr>
      </w:pPr>
      <w:r>
        <w:rPr>
          <w:rFonts w:cs="Microsoft New Tai Lue"/>
        </w:rPr>
        <w:t>4.3.1</w:t>
      </w:r>
      <w:r>
        <w:rPr>
          <w:rFonts w:hint="eastAsia" w:cs="Microsoft New Tai Lue"/>
        </w:rPr>
        <w:t>依据《关于信息安全产品实施政府采购的通知》（财库〔2010〕48 号），所投产品属于《关于调整信息安全产品强制性认证实施要求的公告》（2009 年第33 号）范围的，应采用经国家认证的信息安全产品，否则投标无效。</w:t>
      </w:r>
    </w:p>
    <w:p w14:paraId="0B896A22">
      <w:pPr>
        <w:spacing w:before="120" w:line="360" w:lineRule="auto"/>
        <w:ind w:left="214" w:firstLine="420"/>
        <w:rPr>
          <w:rFonts w:cs="Microsoft New Tai Lue"/>
        </w:rPr>
      </w:pPr>
      <w:r>
        <w:rPr>
          <w:rFonts w:hint="eastAsia" w:cs="Microsoft New Tai Lue"/>
        </w:rPr>
        <w:t>4.</w:t>
      </w:r>
      <w:r>
        <w:rPr>
          <w:rFonts w:cs="Microsoft New Tai Lue"/>
        </w:rPr>
        <w:t>4</w:t>
      </w:r>
      <w:r>
        <w:rPr>
          <w:rFonts w:hint="eastAsia" w:cs="Microsoft New Tai Lue"/>
        </w:rPr>
        <w:t>未</w:t>
      </w:r>
      <w:r>
        <w:rPr>
          <w:rFonts w:cs="Microsoft New Tai Lue"/>
        </w:rPr>
        <w:t>按要求提供相关材料的，不享受相关政策。</w:t>
      </w:r>
      <w:bookmarkEnd w:id="75"/>
    </w:p>
    <w:p w14:paraId="3A3C36E6">
      <w:pPr>
        <w:pStyle w:val="4"/>
        <w:spacing w:line="360" w:lineRule="auto"/>
        <w:ind w:left="211" w:right="210" w:hanging="211"/>
        <w:rPr>
          <w:rFonts w:ascii="Times New Roman" w:hAnsi="Times New Roman" w:eastAsia="宋体" w:cs="Microsoft New Tai Lue"/>
        </w:rPr>
      </w:pPr>
      <w:bookmarkStart w:id="80" w:name="_Toc1446855543"/>
      <w:bookmarkStart w:id="81" w:name="_Toc103848532"/>
      <w:bookmarkStart w:id="82" w:name="_Toc100905205"/>
      <w:bookmarkStart w:id="83" w:name="_Toc96347865"/>
      <w:bookmarkStart w:id="84" w:name="_Toc104560843"/>
      <w:bookmarkStart w:id="85" w:name="_Toc107246219"/>
      <w:r>
        <w:rPr>
          <w:rFonts w:ascii="Times New Roman" w:hAnsi="Times New Roman" w:eastAsia="宋体" w:cs="Microsoft New Tai Lue"/>
        </w:rPr>
        <w:t>5.相关费用</w:t>
      </w:r>
      <w:bookmarkEnd w:id="80"/>
      <w:bookmarkEnd w:id="81"/>
      <w:bookmarkEnd w:id="82"/>
      <w:bookmarkEnd w:id="83"/>
      <w:bookmarkEnd w:id="84"/>
      <w:bookmarkEnd w:id="85"/>
    </w:p>
    <w:p w14:paraId="7C11B756">
      <w:pPr>
        <w:spacing w:before="120" w:line="360" w:lineRule="auto"/>
        <w:ind w:left="214" w:firstLine="420"/>
        <w:rPr>
          <w:rFonts w:cs="Microsoft New Tai Lue"/>
        </w:rPr>
      </w:pPr>
      <w:r>
        <w:rPr>
          <w:rFonts w:cs="Microsoft New Tai Lue"/>
        </w:rPr>
        <w:t>5.1</w:t>
      </w:r>
      <w:bookmarkStart w:id="86" w:name="_Toc80264707"/>
      <w:r>
        <w:rPr>
          <w:rFonts w:cs="Microsoft New Tai Lue"/>
        </w:rPr>
        <w:t>参加投标</w:t>
      </w:r>
      <w:r>
        <w:rPr>
          <w:rFonts w:hint="eastAsia" w:cs="Microsoft New Tai Lue"/>
        </w:rPr>
        <w:t>活动的投标人</w:t>
      </w:r>
      <w:r>
        <w:rPr>
          <w:rFonts w:cs="Microsoft New Tai Lue"/>
        </w:rPr>
        <w:t>应自行承担所有与参加投标有关的费用，无论投标过程中的做法和结果如何，采购</w:t>
      </w:r>
      <w:r>
        <w:rPr>
          <w:rFonts w:hint="eastAsia" w:cs="Microsoft New Tai Lue"/>
        </w:rPr>
        <w:t>人</w:t>
      </w:r>
      <w:r>
        <w:rPr>
          <w:rFonts w:cs="Microsoft New Tai Lue"/>
        </w:rPr>
        <w:t>在任何情况下均无义务和责任承担这些费用。</w:t>
      </w:r>
    </w:p>
    <w:p w14:paraId="04CF15AA">
      <w:pPr>
        <w:pStyle w:val="4"/>
        <w:spacing w:line="360" w:lineRule="auto"/>
        <w:ind w:left="211" w:right="210" w:hanging="211"/>
        <w:rPr>
          <w:rFonts w:ascii="Times New Roman" w:hAnsi="Times New Roman" w:eastAsia="宋体" w:cs="Microsoft New Tai Lue"/>
        </w:rPr>
      </w:pPr>
      <w:bookmarkStart w:id="87" w:name="_Toc107246220"/>
      <w:bookmarkStart w:id="88" w:name="_Toc100905206"/>
      <w:bookmarkStart w:id="89" w:name="_Toc1343776220"/>
      <w:bookmarkStart w:id="90" w:name="_Toc103848533"/>
      <w:bookmarkStart w:id="91" w:name="_Toc104560844"/>
      <w:bookmarkStart w:id="92" w:name="_Toc96347866"/>
      <w:r>
        <w:rPr>
          <w:rFonts w:ascii="Times New Roman" w:hAnsi="Times New Roman" w:eastAsia="宋体" w:cs="Microsoft New Tai Lue"/>
        </w:rPr>
        <w:t>6.保密</w:t>
      </w:r>
      <w:bookmarkEnd w:id="87"/>
      <w:bookmarkEnd w:id="88"/>
      <w:bookmarkEnd w:id="89"/>
      <w:bookmarkEnd w:id="90"/>
      <w:bookmarkEnd w:id="91"/>
      <w:bookmarkEnd w:id="92"/>
    </w:p>
    <w:p w14:paraId="6388B5E5">
      <w:pPr>
        <w:spacing w:before="120" w:line="360" w:lineRule="auto"/>
        <w:ind w:left="214" w:firstLine="420"/>
        <w:rPr>
          <w:rFonts w:cs="Microsoft New Tai Lue"/>
        </w:rPr>
      </w:pPr>
      <w:bookmarkStart w:id="93" w:name="_Toc100905207"/>
      <w:bookmarkStart w:id="94" w:name="_Toc96347867"/>
      <w:r>
        <w:rPr>
          <w:rFonts w:cs="Microsoft New Tai Lue"/>
        </w:rPr>
        <w:t>6.1本招标文件所包含的信息属于保密信息，无采购人书面许可，任何单位或个人都无权披露、复制、使用、转让或者允许他人使用。获取招标文件的</w:t>
      </w:r>
      <w:r>
        <w:rPr>
          <w:rFonts w:hint="eastAsia" w:cs="Microsoft New Tai Lue"/>
        </w:rPr>
        <w:t>供应商</w:t>
      </w:r>
      <w:r>
        <w:rPr>
          <w:rFonts w:cs="Microsoft New Tai Lue"/>
        </w:rPr>
        <w:t>被视为无条件对本招标文件的内容负有保密义务。</w:t>
      </w:r>
    </w:p>
    <w:p w14:paraId="076CCF10">
      <w:pPr>
        <w:pStyle w:val="4"/>
        <w:spacing w:line="360" w:lineRule="auto"/>
        <w:ind w:left="211" w:right="210" w:hanging="211"/>
        <w:rPr>
          <w:rFonts w:ascii="Times New Roman" w:hAnsi="Times New Roman" w:eastAsia="宋体" w:cs="Microsoft New Tai Lue"/>
        </w:rPr>
      </w:pPr>
      <w:bookmarkStart w:id="95" w:name="_Toc1908897688"/>
      <w:bookmarkStart w:id="96" w:name="_Toc103848534"/>
      <w:bookmarkStart w:id="97" w:name="_Toc104560845"/>
      <w:bookmarkStart w:id="98" w:name="_Toc107246221"/>
      <w:r>
        <w:rPr>
          <w:rFonts w:ascii="Times New Roman" w:hAnsi="Times New Roman" w:eastAsia="宋体" w:cs="Microsoft New Tai Lue"/>
        </w:rPr>
        <w:t>7.语言文字、计量单位</w:t>
      </w:r>
      <w:bookmarkEnd w:id="93"/>
      <w:bookmarkEnd w:id="94"/>
      <w:bookmarkEnd w:id="95"/>
      <w:bookmarkEnd w:id="96"/>
      <w:bookmarkEnd w:id="97"/>
      <w:bookmarkEnd w:id="98"/>
    </w:p>
    <w:p w14:paraId="5AC134D9">
      <w:pPr>
        <w:spacing w:before="120" w:line="360" w:lineRule="auto"/>
        <w:ind w:left="214" w:firstLine="420"/>
        <w:rPr>
          <w:rFonts w:cs="Microsoft New Tai Lue"/>
        </w:rPr>
      </w:pPr>
      <w:r>
        <w:rPr>
          <w:rFonts w:cs="Microsoft New Tai Lue"/>
        </w:rPr>
        <w:t>7.1所有文件使用的语言文字为中文。专用术语使用外文的，应附有中文注释。</w:t>
      </w:r>
    </w:p>
    <w:p w14:paraId="7DCE9C23">
      <w:pPr>
        <w:spacing w:before="120" w:line="360" w:lineRule="auto"/>
        <w:ind w:left="214" w:firstLine="420"/>
        <w:rPr>
          <w:rFonts w:cs="Microsoft New Tai Lue"/>
        </w:rPr>
      </w:pPr>
      <w:r>
        <w:rPr>
          <w:rFonts w:cs="Microsoft New Tai Lue"/>
        </w:rPr>
        <w:t>7.2所有文件中的计量单位，除招标文件有特殊要求外，应采用国家法定计量单位。</w:t>
      </w:r>
    </w:p>
    <w:p w14:paraId="422B9A7F">
      <w:pPr>
        <w:pStyle w:val="4"/>
        <w:spacing w:line="360" w:lineRule="auto"/>
        <w:ind w:left="211" w:right="210" w:hanging="211"/>
        <w:rPr>
          <w:rFonts w:ascii="Times New Roman" w:hAnsi="Times New Roman" w:eastAsia="宋体" w:cs="Microsoft New Tai Lue"/>
        </w:rPr>
      </w:pPr>
      <w:bookmarkStart w:id="99" w:name="_Toc1585239683"/>
      <w:bookmarkStart w:id="100" w:name="_Toc104560846"/>
      <w:bookmarkStart w:id="101" w:name="_Toc103848535"/>
      <w:bookmarkStart w:id="102" w:name="_Toc107246222"/>
      <w:bookmarkStart w:id="103" w:name="_Toc96347868"/>
      <w:bookmarkStart w:id="104" w:name="_Toc100905208"/>
      <w:r>
        <w:rPr>
          <w:rFonts w:ascii="Times New Roman" w:hAnsi="Times New Roman" w:eastAsia="宋体" w:cs="Microsoft New Tai Lue"/>
        </w:rPr>
        <w:t>8.现场考察</w:t>
      </w:r>
      <w:bookmarkEnd w:id="99"/>
      <w:bookmarkEnd w:id="100"/>
      <w:bookmarkEnd w:id="101"/>
      <w:bookmarkEnd w:id="102"/>
      <w:bookmarkEnd w:id="103"/>
      <w:bookmarkEnd w:id="104"/>
    </w:p>
    <w:p w14:paraId="07864D4E">
      <w:pPr>
        <w:spacing w:before="120" w:line="360" w:lineRule="auto"/>
        <w:ind w:left="214" w:firstLine="420"/>
      </w:pPr>
      <w:r>
        <w:rPr>
          <w:rFonts w:cs="Microsoft New Tai Lue"/>
        </w:rPr>
        <w:t>8.1</w:t>
      </w:r>
      <w:r>
        <w:rPr>
          <w:rFonts w:cs="Microsoft New Tai Lue"/>
          <w:b/>
        </w:rPr>
        <w:t>投标人须知前附表</w:t>
      </w:r>
      <w:r>
        <w:t>规定</w:t>
      </w:r>
      <w:r>
        <w:rPr>
          <w:rFonts w:hint="eastAsia"/>
        </w:rPr>
        <w:t>现场考察</w:t>
      </w:r>
      <w:r>
        <w:t>的，供应商须按照</w:t>
      </w:r>
      <w:r>
        <w:rPr>
          <w:rFonts w:cs="Microsoft New Tai Lue"/>
          <w:b/>
        </w:rPr>
        <w:t>投标人须知前附表</w:t>
      </w:r>
      <w:r>
        <w:t>规定的时间、地点参加踏勘，以获得有关编制</w:t>
      </w:r>
      <w:r>
        <w:rPr>
          <w:rFonts w:hint="eastAsia"/>
        </w:rPr>
        <w:t>投标</w:t>
      </w:r>
      <w:r>
        <w:t>文件和签署合同所涉及现场的资料。供应商承担</w:t>
      </w:r>
      <w:r>
        <w:rPr>
          <w:rFonts w:hint="eastAsia"/>
        </w:rPr>
        <w:t>现场考察</w:t>
      </w:r>
      <w:r>
        <w:t>所发生的自身费用、责任和风险。</w:t>
      </w:r>
    </w:p>
    <w:p w14:paraId="09B3C602">
      <w:pPr>
        <w:spacing w:before="120" w:line="360" w:lineRule="auto"/>
        <w:ind w:left="214" w:firstLine="420"/>
      </w:pPr>
      <w:r>
        <w:rPr>
          <w:rFonts w:cs="Microsoft New Tai Lue"/>
        </w:rPr>
        <w:t>8.2</w:t>
      </w:r>
      <w:r>
        <w:t>供应商不按照</w:t>
      </w:r>
      <w:r>
        <w:rPr>
          <w:bCs/>
        </w:rPr>
        <w:t>本须知的规定</w:t>
      </w:r>
      <w:r>
        <w:t>参加项目</w:t>
      </w:r>
      <w:r>
        <w:rPr>
          <w:rFonts w:hint="eastAsia"/>
        </w:rPr>
        <w:t>现场考察</w:t>
      </w:r>
      <w:r>
        <w:t>的，视同放弃现场</w:t>
      </w:r>
      <w:r>
        <w:rPr>
          <w:rFonts w:hint="eastAsia"/>
        </w:rPr>
        <w:t>考察</w:t>
      </w:r>
      <w:r>
        <w:t>，采购</w:t>
      </w:r>
      <w:r>
        <w:rPr>
          <w:rFonts w:hint="eastAsia"/>
        </w:rPr>
        <w:t>方</w:t>
      </w:r>
      <w:r>
        <w:t>将不再另行组织现场</w:t>
      </w:r>
      <w:r>
        <w:rPr>
          <w:rFonts w:hint="eastAsia"/>
        </w:rPr>
        <w:t>考察</w:t>
      </w:r>
      <w:r>
        <w:t>。以此为由，影响后期</w:t>
      </w:r>
      <w:r>
        <w:rPr>
          <w:rFonts w:hint="eastAsia"/>
        </w:rPr>
        <w:t>投标</w:t>
      </w:r>
      <w:r>
        <w:t>文件相关的</w:t>
      </w:r>
      <w:r>
        <w:rPr>
          <w:rFonts w:hint="eastAsia"/>
        </w:rPr>
        <w:t>投标</w:t>
      </w:r>
      <w:r>
        <w:t>、签约、履约条件的，是供应商自身的风险，采购方对此不承担责任。</w:t>
      </w:r>
    </w:p>
    <w:p w14:paraId="78E046BE">
      <w:pPr>
        <w:spacing w:before="120" w:line="360" w:lineRule="auto"/>
        <w:ind w:left="214" w:firstLine="420"/>
      </w:pPr>
      <w:r>
        <w:rPr>
          <w:rFonts w:cs="Microsoft New Tai Lue"/>
        </w:rPr>
        <w:t>8.3</w:t>
      </w:r>
      <w:r>
        <w:t>除非有特殊要求，</w:t>
      </w:r>
      <w:r>
        <w:rPr>
          <w:rFonts w:hint="eastAsia"/>
        </w:rPr>
        <w:t>招标</w:t>
      </w:r>
      <w:r>
        <w:t>文件不提供项目所在地的自然环境、气候条件、公用设施等情况，供应商被视为熟悉上述与履行合同有关的一切情况。</w:t>
      </w:r>
    </w:p>
    <w:p w14:paraId="60D9E469">
      <w:pPr>
        <w:pStyle w:val="4"/>
        <w:spacing w:line="360" w:lineRule="auto"/>
        <w:ind w:left="211" w:right="210" w:hanging="211"/>
        <w:rPr>
          <w:rFonts w:ascii="Times New Roman" w:hAnsi="Times New Roman" w:eastAsia="宋体"/>
        </w:rPr>
      </w:pPr>
      <w:bookmarkStart w:id="105" w:name="_Toc107246223"/>
      <w:bookmarkStart w:id="106" w:name="_Toc102117275"/>
      <w:bookmarkStart w:id="107" w:name="_Toc1441227499"/>
      <w:r>
        <w:rPr>
          <w:rFonts w:ascii="Times New Roman" w:hAnsi="Times New Roman" w:eastAsia="宋体"/>
        </w:rPr>
        <w:t>9.</w:t>
      </w:r>
      <w:r>
        <w:rPr>
          <w:rFonts w:hint="eastAsia" w:ascii="Times New Roman" w:hAnsi="Times New Roman" w:eastAsia="宋体"/>
        </w:rPr>
        <w:t>开标前</w:t>
      </w:r>
      <w:r>
        <w:rPr>
          <w:rFonts w:ascii="Times New Roman" w:hAnsi="Times New Roman" w:eastAsia="宋体"/>
        </w:rPr>
        <w:t>答疑会</w:t>
      </w:r>
      <w:bookmarkEnd w:id="105"/>
      <w:bookmarkEnd w:id="106"/>
      <w:bookmarkEnd w:id="107"/>
    </w:p>
    <w:p w14:paraId="02D7D2BB">
      <w:pPr>
        <w:spacing w:before="120" w:line="360" w:lineRule="auto"/>
        <w:ind w:left="214" w:firstLine="420"/>
      </w:pPr>
      <w:r>
        <w:rPr>
          <w:rFonts w:cs="Microsoft New Tai Lue"/>
        </w:rPr>
        <w:t>9.1</w:t>
      </w:r>
      <w:r>
        <w:rPr>
          <w:rFonts w:cs="Microsoft New Tai Lue"/>
          <w:b/>
        </w:rPr>
        <w:t>投标人须知前附表</w:t>
      </w:r>
      <w:r>
        <w:t>规定召开</w:t>
      </w:r>
      <w:r>
        <w:rPr>
          <w:rFonts w:hint="eastAsia"/>
        </w:rPr>
        <w:t>开标前答疑会</w:t>
      </w:r>
      <w:r>
        <w:t>的，采购方按</w:t>
      </w:r>
      <w:r>
        <w:rPr>
          <w:rFonts w:cs="Microsoft New Tai Lue"/>
          <w:b/>
        </w:rPr>
        <w:t>投标人须知前附表</w:t>
      </w:r>
      <w:r>
        <w:t>规定的时间和地点召开</w:t>
      </w:r>
      <w:r>
        <w:rPr>
          <w:rFonts w:hint="eastAsia"/>
        </w:rPr>
        <w:t>开标前答疑会</w:t>
      </w:r>
      <w:r>
        <w:t>，澄清供应商提出的询问。</w:t>
      </w:r>
    </w:p>
    <w:p w14:paraId="13C7DA15">
      <w:pPr>
        <w:spacing w:before="120" w:line="360" w:lineRule="auto"/>
        <w:ind w:left="214" w:firstLine="420"/>
      </w:pPr>
      <w:r>
        <w:rPr>
          <w:rFonts w:cs="Microsoft New Tai Lue"/>
        </w:rPr>
        <w:t>9.2</w:t>
      </w:r>
      <w:r>
        <w:t>供应商应按</w:t>
      </w:r>
      <w:r>
        <w:rPr>
          <w:rFonts w:cs="Microsoft New Tai Lue"/>
          <w:b/>
        </w:rPr>
        <w:t>投标人须知前附表</w:t>
      </w:r>
      <w:r>
        <w:t>规定的时间和形式将提出的询问送达采购方，以便采购方在会议期间澄清，逾期的询问将不被接受。</w:t>
      </w:r>
    </w:p>
    <w:p w14:paraId="6D110589">
      <w:pPr>
        <w:pStyle w:val="4"/>
        <w:spacing w:line="360" w:lineRule="auto"/>
        <w:ind w:left="211" w:right="210" w:hanging="211"/>
        <w:rPr>
          <w:rFonts w:ascii="Times New Roman" w:hAnsi="Times New Roman" w:eastAsia="宋体" w:cs="Microsoft New Tai Lue"/>
        </w:rPr>
      </w:pPr>
      <w:bookmarkStart w:id="108" w:name="_Toc103848536"/>
      <w:bookmarkStart w:id="109" w:name="_Toc100905210"/>
      <w:bookmarkStart w:id="110" w:name="_Toc104560847"/>
      <w:bookmarkStart w:id="111" w:name="_Toc1242521180"/>
      <w:bookmarkStart w:id="112" w:name="_Toc107246224"/>
      <w:bookmarkStart w:id="113" w:name="_Toc96347869"/>
      <w:r>
        <w:rPr>
          <w:rFonts w:ascii="Times New Roman" w:hAnsi="Times New Roman" w:eastAsia="宋体" w:cs="Microsoft New Tai Lue"/>
          <w:szCs w:val="21"/>
        </w:rPr>
        <w:t>10.联合体投标</w:t>
      </w:r>
      <w:bookmarkEnd w:id="108"/>
      <w:bookmarkEnd w:id="109"/>
      <w:bookmarkEnd w:id="110"/>
      <w:bookmarkEnd w:id="111"/>
      <w:bookmarkEnd w:id="112"/>
    </w:p>
    <w:p w14:paraId="0FD793E0">
      <w:pPr>
        <w:spacing w:before="120" w:line="360" w:lineRule="auto"/>
        <w:ind w:left="214" w:firstLine="420"/>
        <w:rPr>
          <w:rFonts w:cs="Microsoft New Tai Lue"/>
        </w:rPr>
      </w:pPr>
      <w:r>
        <w:rPr>
          <w:rFonts w:cs="Microsoft New Tai Lue"/>
        </w:rPr>
        <w:t>10.1本项目是否接受联合体形式参与详见</w:t>
      </w:r>
      <w:r>
        <w:rPr>
          <w:rFonts w:cs="Microsoft New Tai Lue"/>
          <w:b/>
        </w:rPr>
        <w:t>投标人须知前附表</w:t>
      </w:r>
      <w:r>
        <w:rPr>
          <w:rFonts w:cs="Microsoft New Tai Lue"/>
        </w:rPr>
        <w:t>。</w:t>
      </w:r>
    </w:p>
    <w:p w14:paraId="77E8D477">
      <w:pPr>
        <w:spacing w:before="120" w:line="360" w:lineRule="auto"/>
        <w:ind w:left="214" w:firstLine="420"/>
        <w:rPr>
          <w:rFonts w:cs="Microsoft New Tai Lue"/>
        </w:rPr>
      </w:pPr>
      <w:r>
        <w:rPr>
          <w:rFonts w:cs="Microsoft New Tai Lue"/>
        </w:rPr>
        <w:t>10.2</w:t>
      </w:r>
      <w:r>
        <w:rPr>
          <w:rFonts w:hint="eastAsia" w:cs="Microsoft New Tai Lue"/>
        </w:rPr>
        <w:t>供应商</w:t>
      </w:r>
      <w:r>
        <w:rPr>
          <w:rFonts w:cs="Microsoft New Tai Lue"/>
        </w:rPr>
        <w:t>为联合体形式的，应遵守以下规定：</w:t>
      </w:r>
    </w:p>
    <w:p w14:paraId="36A2E023">
      <w:pPr>
        <w:spacing w:line="360" w:lineRule="auto"/>
        <w:ind w:left="214" w:firstLine="315"/>
        <w:jc w:val="left"/>
        <w:rPr>
          <w:rFonts w:cs="Microsoft New Tai Lue"/>
        </w:rPr>
      </w:pPr>
      <w:r>
        <w:rPr>
          <w:rFonts w:cs="Microsoft New Tai Lue"/>
        </w:rPr>
        <w:t>（1）联合体各方必须签订联合体协议书，明确联合体牵头人和各方权利、义务及分工、合同工作量比例；</w:t>
      </w:r>
    </w:p>
    <w:p w14:paraId="3D9885DC">
      <w:pPr>
        <w:spacing w:line="360" w:lineRule="auto"/>
        <w:ind w:left="214" w:firstLine="315"/>
        <w:jc w:val="left"/>
        <w:rPr>
          <w:rFonts w:cs="Microsoft New Tai Lue"/>
        </w:rPr>
      </w:pPr>
      <w:r>
        <w:rPr>
          <w:rFonts w:cs="Microsoft New Tai Lue"/>
        </w:rPr>
        <w:t>（2）联合体各方均应当符合</w:t>
      </w:r>
      <w:r>
        <w:rPr>
          <w:rFonts w:hint="eastAsia" w:cs="Microsoft New Tai Lue"/>
        </w:rPr>
        <w:t>《</w:t>
      </w:r>
      <w:r>
        <w:rPr>
          <w:rFonts w:cs="Microsoft New Tai Lue"/>
        </w:rPr>
        <w:t>政府采购法</w:t>
      </w:r>
      <w:r>
        <w:rPr>
          <w:rFonts w:hint="eastAsia" w:cs="Microsoft New Tai Lue"/>
        </w:rPr>
        <w:t>》</w:t>
      </w:r>
      <w:r>
        <w:rPr>
          <w:rFonts w:cs="Microsoft New Tai Lue"/>
        </w:rPr>
        <w:t>第二十二条第一款规定的条件；</w:t>
      </w:r>
    </w:p>
    <w:p w14:paraId="5801C3DF">
      <w:pPr>
        <w:spacing w:line="360" w:lineRule="auto"/>
        <w:ind w:left="214" w:firstLine="315"/>
        <w:jc w:val="left"/>
        <w:rPr>
          <w:rFonts w:cs="Microsoft New Tai Lue"/>
        </w:rPr>
      </w:pPr>
      <w:r>
        <w:rPr>
          <w:rFonts w:cs="Microsoft New Tai Lue"/>
        </w:rPr>
        <w:t>（3）除另有规定外，联合体各方中至少有一方应当符合</w:t>
      </w:r>
      <w:r>
        <w:rPr>
          <w:rFonts w:hint="eastAsia" w:cs="Microsoft New Tai Lue"/>
        </w:rPr>
        <w:t>采购人规定的</w:t>
      </w:r>
      <w:r>
        <w:rPr>
          <w:rFonts w:cs="Microsoft New Tai Lue"/>
        </w:rPr>
        <w:t>特定资格条件；</w:t>
      </w:r>
    </w:p>
    <w:p w14:paraId="1611EB33">
      <w:pPr>
        <w:spacing w:line="360" w:lineRule="auto"/>
        <w:ind w:left="214" w:firstLine="315"/>
        <w:jc w:val="left"/>
        <w:rPr>
          <w:rFonts w:cs="Microsoft New Tai Lue"/>
        </w:rPr>
      </w:pPr>
      <w:r>
        <w:rPr>
          <w:rFonts w:cs="Microsoft New Tai Lue"/>
        </w:rPr>
        <w:t>（4）联合体中有同类资质的供应商按照联合体分工承担相同工作的，应当按照资质等级较低的供应商确定资质等级</w:t>
      </w:r>
      <w:r>
        <w:rPr>
          <w:rFonts w:hint="eastAsia" w:cs="Microsoft New Tai Lue"/>
        </w:rPr>
        <w:t>；</w:t>
      </w:r>
    </w:p>
    <w:p w14:paraId="399F5124">
      <w:pPr>
        <w:spacing w:line="360" w:lineRule="auto"/>
        <w:ind w:left="214" w:firstLine="315"/>
        <w:jc w:val="left"/>
        <w:rPr>
          <w:rFonts w:cs="Microsoft New Tai Lue"/>
        </w:rPr>
      </w:pPr>
      <w:r>
        <w:rPr>
          <w:rFonts w:cs="Microsoft New Tai Lue"/>
        </w:rPr>
        <w:t>（5）以联合体形式参加政府采购活动的，联合体各方不得再单独参加或者与其他供应商另外组成联合体参加同一合同项下的政府采购</w:t>
      </w:r>
      <w:r>
        <w:rPr>
          <w:rFonts w:hint="eastAsia" w:cs="Microsoft New Tai Lue"/>
        </w:rPr>
        <w:t>活动</w:t>
      </w:r>
      <w:r>
        <w:rPr>
          <w:rFonts w:cs="Microsoft New Tai Lue"/>
        </w:rPr>
        <w:t>。</w:t>
      </w:r>
    </w:p>
    <w:p w14:paraId="2706AC68">
      <w:pPr>
        <w:pStyle w:val="4"/>
        <w:spacing w:line="360" w:lineRule="auto"/>
        <w:ind w:left="211" w:right="210" w:hanging="211"/>
        <w:rPr>
          <w:rFonts w:ascii="Times New Roman" w:hAnsi="Times New Roman" w:eastAsia="宋体" w:cs="Microsoft New Tai Lue"/>
        </w:rPr>
      </w:pPr>
      <w:bookmarkStart w:id="114" w:name="_Toc103848537"/>
      <w:bookmarkStart w:id="115" w:name="_Toc100905213"/>
      <w:bookmarkStart w:id="116" w:name="_Toc922488832"/>
      <w:bookmarkStart w:id="117" w:name="_Toc107246225"/>
      <w:bookmarkStart w:id="118" w:name="_Toc104560848"/>
      <w:bookmarkStart w:id="119" w:name="_Toc100905211"/>
      <w:r>
        <w:rPr>
          <w:rFonts w:ascii="Times New Roman" w:hAnsi="Times New Roman" w:eastAsia="宋体" w:cs="Microsoft New Tai Lue"/>
        </w:rPr>
        <w:t>11.分包</w:t>
      </w:r>
      <w:bookmarkEnd w:id="114"/>
      <w:bookmarkEnd w:id="115"/>
      <w:bookmarkEnd w:id="116"/>
      <w:bookmarkEnd w:id="117"/>
      <w:bookmarkEnd w:id="118"/>
    </w:p>
    <w:p w14:paraId="039E5725">
      <w:pPr>
        <w:spacing w:before="120" w:line="360" w:lineRule="auto"/>
        <w:ind w:left="214" w:firstLine="420"/>
        <w:rPr>
          <w:rFonts w:cs="Microsoft New Tai Lue"/>
        </w:rPr>
      </w:pPr>
      <w:r>
        <w:rPr>
          <w:rFonts w:cs="Microsoft New Tai Lue"/>
        </w:rPr>
        <w:t>11.1</w:t>
      </w:r>
      <w:r>
        <w:rPr>
          <w:rFonts w:hint="eastAsia" w:cs="Microsoft New Tai Lue"/>
        </w:rPr>
        <w:t>采购人允许采用分包方式履行合同的，中标人可以依法在中标后将中标项目的非主体、非关键性工作采取分包方式履行合同。本项目的非主体、非关键性工作是否允许分包，见</w:t>
      </w:r>
      <w:r>
        <w:rPr>
          <w:rFonts w:cs="Microsoft New Tai Lue"/>
          <w:b/>
        </w:rPr>
        <w:t>投标人须知前附表</w:t>
      </w:r>
      <w:r>
        <w:rPr>
          <w:rFonts w:hint="eastAsia" w:cs="Microsoft New Tai Lue"/>
        </w:rPr>
        <w:t>。</w:t>
      </w:r>
    </w:p>
    <w:p w14:paraId="7F197FB2">
      <w:pPr>
        <w:spacing w:before="120" w:line="360" w:lineRule="auto"/>
        <w:ind w:left="214" w:firstLine="420"/>
        <w:rPr>
          <w:rFonts w:cs="Microsoft New Tai Lue"/>
        </w:rPr>
      </w:pPr>
      <w:r>
        <w:rPr>
          <w:rFonts w:cs="Microsoft New Tai Lue"/>
        </w:rPr>
        <w:t>11.2</w:t>
      </w:r>
      <w:r>
        <w:rPr>
          <w:rFonts w:hint="eastAsia" w:cs="Microsoft New Tai Lue"/>
        </w:rPr>
        <w:t>政府采购合同分包履行的，应当在投标文件中载明分包承担主体，分包承担主体应当具备相应资质条件且不得再次分包，否则投标无效。中标人就采购项目和分包项目向采购人负责，分包供应商就分包项目承担责任。</w:t>
      </w:r>
    </w:p>
    <w:p w14:paraId="78518EE9">
      <w:pPr>
        <w:pStyle w:val="4"/>
        <w:spacing w:line="360" w:lineRule="auto"/>
        <w:ind w:left="211" w:right="210" w:hanging="211"/>
        <w:rPr>
          <w:rFonts w:ascii="Times New Roman" w:hAnsi="Times New Roman" w:eastAsia="宋体" w:cs="Microsoft New Tai Lue"/>
        </w:rPr>
      </w:pPr>
      <w:bookmarkStart w:id="120" w:name="_Toc1585351731"/>
      <w:bookmarkStart w:id="121" w:name="_Toc107246226"/>
      <w:bookmarkStart w:id="122" w:name="_Toc104560849"/>
      <w:r>
        <w:rPr>
          <w:rFonts w:hint="eastAsia" w:ascii="Times New Roman" w:hAnsi="Times New Roman" w:eastAsia="宋体" w:cs="Microsoft New Tai Lue"/>
        </w:rPr>
        <w:t>1</w:t>
      </w:r>
      <w:r>
        <w:rPr>
          <w:rFonts w:ascii="Times New Roman" w:hAnsi="Times New Roman" w:eastAsia="宋体" w:cs="Microsoft New Tai Lue"/>
        </w:rPr>
        <w:t>2</w:t>
      </w:r>
      <w:r>
        <w:rPr>
          <w:rFonts w:hint="eastAsia" w:ascii="Times New Roman" w:hAnsi="Times New Roman" w:eastAsia="宋体" w:cs="Microsoft New Tai Lue"/>
        </w:rPr>
        <w:t>.样品</w:t>
      </w:r>
      <w:bookmarkEnd w:id="120"/>
      <w:bookmarkEnd w:id="121"/>
      <w:bookmarkEnd w:id="122"/>
    </w:p>
    <w:p w14:paraId="1CEA4EBB">
      <w:pPr>
        <w:spacing w:before="120" w:line="360" w:lineRule="auto"/>
        <w:ind w:left="214" w:firstLine="420"/>
        <w:rPr>
          <w:rFonts w:cs="Microsoft New Tai Lue"/>
        </w:rPr>
      </w:pPr>
      <w:r>
        <w:rPr>
          <w:rFonts w:hint="eastAsia" w:cs="Microsoft New Tai Lue"/>
        </w:rPr>
        <w:t>1</w:t>
      </w:r>
      <w:r>
        <w:rPr>
          <w:rFonts w:cs="Microsoft New Tai Lue"/>
        </w:rPr>
        <w:t>2</w:t>
      </w:r>
      <w:r>
        <w:rPr>
          <w:rFonts w:hint="eastAsia" w:cs="Microsoft New Tai Lue"/>
        </w:rPr>
        <w:t>.1本项目是否要求投标人提供样品，以及样品制作的标准和要求、是否需要随样品提交相关检测报告、样品的提交要求等详见</w:t>
      </w:r>
      <w:r>
        <w:rPr>
          <w:rFonts w:cs="Microsoft New Tai Lue"/>
          <w:b/>
        </w:rPr>
        <w:t>投标人须知前附表</w:t>
      </w:r>
      <w:r>
        <w:rPr>
          <w:rFonts w:cs="Microsoft New Tai Lue"/>
        </w:rPr>
        <w:t>。</w:t>
      </w:r>
    </w:p>
    <w:p w14:paraId="50BF31FA">
      <w:pPr>
        <w:spacing w:before="120" w:line="360" w:lineRule="auto"/>
        <w:ind w:left="214" w:firstLine="420"/>
        <w:rPr>
          <w:rFonts w:cs="Microsoft New Tai Lue"/>
        </w:rPr>
      </w:pPr>
      <w:r>
        <w:rPr>
          <w:rFonts w:hint="eastAsia" w:cs="Microsoft New Tai Lue"/>
        </w:rPr>
        <w:t>1</w:t>
      </w:r>
      <w:r>
        <w:rPr>
          <w:rFonts w:cs="Microsoft New Tai Lue"/>
        </w:rPr>
        <w:t>2</w:t>
      </w:r>
      <w:r>
        <w:rPr>
          <w:rFonts w:hint="eastAsia" w:cs="Microsoft New Tai Lue"/>
        </w:rPr>
        <w:t>.2样品的评审方法以及评审标准等内容见第五章《评标方法与评标标准》。</w:t>
      </w:r>
      <w:bookmarkEnd w:id="113"/>
      <w:bookmarkEnd w:id="119"/>
    </w:p>
    <w:p w14:paraId="0BC9D9F6">
      <w:pPr>
        <w:pStyle w:val="4"/>
        <w:spacing w:line="360" w:lineRule="auto"/>
        <w:ind w:left="211" w:right="210" w:hanging="211"/>
        <w:rPr>
          <w:rFonts w:ascii="Times New Roman" w:hAnsi="Times New Roman" w:eastAsia="宋体" w:cs="Microsoft New Tai Lue"/>
        </w:rPr>
      </w:pPr>
      <w:bookmarkStart w:id="123" w:name="_Toc100905214"/>
      <w:bookmarkStart w:id="124" w:name="_Toc107246227"/>
      <w:bookmarkStart w:id="125" w:name="_Toc104560850"/>
      <w:bookmarkStart w:id="126" w:name="_Toc1176934588"/>
      <w:bookmarkStart w:id="127" w:name="_Toc103848538"/>
      <w:r>
        <w:rPr>
          <w:rFonts w:ascii="Times New Roman" w:hAnsi="Times New Roman" w:eastAsia="宋体" w:cs="Microsoft New Tai Lue"/>
        </w:rPr>
        <w:t>13.采购进口产品</w:t>
      </w:r>
      <w:bookmarkEnd w:id="123"/>
      <w:bookmarkEnd w:id="124"/>
      <w:bookmarkEnd w:id="125"/>
      <w:bookmarkEnd w:id="126"/>
      <w:bookmarkEnd w:id="127"/>
    </w:p>
    <w:p w14:paraId="56CA87DA">
      <w:pPr>
        <w:spacing w:before="120" w:line="360" w:lineRule="auto"/>
        <w:ind w:left="214" w:firstLine="420"/>
        <w:rPr>
          <w:rFonts w:cs="Microsoft New Tai Lue"/>
        </w:rPr>
      </w:pPr>
      <w:r>
        <w:rPr>
          <w:rFonts w:cs="Microsoft New Tai Lue"/>
        </w:rPr>
        <w:t>13.1本项目是否采购进口产品及相关要求见</w:t>
      </w:r>
      <w:r>
        <w:rPr>
          <w:rFonts w:cs="Microsoft New Tai Lue"/>
          <w:b/>
        </w:rPr>
        <w:t>投标人须知前附表</w:t>
      </w:r>
      <w:r>
        <w:rPr>
          <w:rFonts w:cs="Microsoft New Tai Lue"/>
        </w:rPr>
        <w:t>。</w:t>
      </w:r>
    </w:p>
    <w:p w14:paraId="141E4A7A">
      <w:pPr>
        <w:pStyle w:val="4"/>
        <w:spacing w:line="360" w:lineRule="auto"/>
        <w:ind w:left="211" w:right="210" w:hanging="211"/>
        <w:rPr>
          <w:rFonts w:ascii="Times New Roman" w:hAnsi="Times New Roman" w:eastAsia="宋体" w:cs="Microsoft New Tai Lue"/>
        </w:rPr>
      </w:pPr>
      <w:bookmarkStart w:id="128" w:name="_Toc104560851"/>
      <w:bookmarkStart w:id="129" w:name="_Toc267747999"/>
      <w:bookmarkStart w:id="130" w:name="_Toc107246228"/>
      <w:r>
        <w:rPr>
          <w:rFonts w:ascii="Times New Roman" w:hAnsi="Times New Roman" w:eastAsia="宋体" w:cs="Microsoft New Tai Lue"/>
        </w:rPr>
        <w:t>14</w:t>
      </w:r>
      <w:r>
        <w:rPr>
          <w:rFonts w:hint="eastAsia" w:ascii="Times New Roman" w:hAnsi="Times New Roman" w:eastAsia="宋体" w:cs="Microsoft New Tai Lue"/>
        </w:rPr>
        <w:t>.采购项目预算及最高限价</w:t>
      </w:r>
      <w:bookmarkEnd w:id="128"/>
      <w:bookmarkEnd w:id="129"/>
      <w:bookmarkEnd w:id="130"/>
    </w:p>
    <w:p w14:paraId="31F11DCD">
      <w:pPr>
        <w:spacing w:before="120" w:line="360" w:lineRule="auto"/>
        <w:ind w:left="214" w:firstLine="420"/>
        <w:rPr>
          <w:rFonts w:cs="Microsoft New Tai Lue"/>
        </w:rPr>
      </w:pPr>
      <w:r>
        <w:rPr>
          <w:rFonts w:cs="Microsoft New Tai Lue"/>
        </w:rPr>
        <w:t>14</w:t>
      </w:r>
      <w:r>
        <w:rPr>
          <w:rFonts w:hint="eastAsia" w:cs="Microsoft New Tai Lue"/>
        </w:rPr>
        <w:t>.1本项目采购资金已列入政府采购预算，预算金额见</w:t>
      </w:r>
      <w:r>
        <w:rPr>
          <w:rFonts w:hint="eastAsia" w:cs="Microsoft New Tai Lue"/>
          <w:b/>
        </w:rPr>
        <w:t>投标人须知前附表</w:t>
      </w:r>
      <w:r>
        <w:rPr>
          <w:rFonts w:hint="eastAsia" w:cs="Microsoft New Tai Lue"/>
        </w:rPr>
        <w:t>。</w:t>
      </w:r>
    </w:p>
    <w:p w14:paraId="56788B10">
      <w:pPr>
        <w:spacing w:before="120" w:line="360" w:lineRule="auto"/>
        <w:ind w:left="214" w:firstLine="420"/>
        <w:rPr>
          <w:rFonts w:cs="Microsoft New Tai Lue"/>
        </w:rPr>
      </w:pPr>
      <w:r>
        <w:rPr>
          <w:rFonts w:cs="Microsoft New Tai Lue"/>
        </w:rPr>
        <w:t>14</w:t>
      </w:r>
      <w:r>
        <w:rPr>
          <w:rFonts w:hint="eastAsia" w:cs="Microsoft New Tai Lue"/>
        </w:rPr>
        <w:t>.2本项目最高限价要求见</w:t>
      </w:r>
      <w:r>
        <w:rPr>
          <w:rFonts w:hint="eastAsia" w:cs="Microsoft New Tai Lue"/>
          <w:b/>
        </w:rPr>
        <w:t>投标人须知前附表</w:t>
      </w:r>
      <w:r>
        <w:rPr>
          <w:rFonts w:hint="eastAsia" w:cs="Microsoft New Tai Lue"/>
        </w:rPr>
        <w:t>。</w:t>
      </w:r>
    </w:p>
    <w:p w14:paraId="1D5CA61D">
      <w:pPr>
        <w:pStyle w:val="4"/>
        <w:spacing w:line="360" w:lineRule="auto"/>
        <w:ind w:left="211" w:right="210" w:hanging="211"/>
        <w:rPr>
          <w:rFonts w:ascii="Times New Roman" w:hAnsi="Times New Roman" w:eastAsia="宋体" w:cs="Microsoft New Tai Lue"/>
        </w:rPr>
      </w:pPr>
      <w:bookmarkStart w:id="131" w:name="_Toc107246229"/>
      <w:bookmarkStart w:id="132" w:name="_Toc1062378728"/>
      <w:bookmarkStart w:id="133" w:name="_Toc104560852"/>
      <w:r>
        <w:rPr>
          <w:rFonts w:ascii="Times New Roman" w:hAnsi="Times New Roman" w:eastAsia="宋体" w:cs="Microsoft New Tai Lue"/>
        </w:rPr>
        <w:t>15</w:t>
      </w:r>
      <w:r>
        <w:rPr>
          <w:rFonts w:hint="eastAsia" w:ascii="Times New Roman" w:hAnsi="Times New Roman" w:eastAsia="宋体" w:cs="Microsoft New Tai Lue"/>
        </w:rPr>
        <w:t>.</w:t>
      </w:r>
      <w:r>
        <w:rPr>
          <w:rFonts w:hint="eastAsia" w:ascii="Times New Roman" w:hAnsi="Times New Roman" w:eastAsia="宋体" w:cs="Microsoft New Tai Lue"/>
          <w:szCs w:val="21"/>
        </w:rPr>
        <w:t xml:space="preserve"> 供应商</w:t>
      </w:r>
      <w:r>
        <w:rPr>
          <w:rFonts w:hint="eastAsia" w:ascii="Times New Roman" w:hAnsi="Times New Roman" w:eastAsia="宋体" w:cs="Microsoft New Tai Lue"/>
        </w:rPr>
        <w:t>资格</w:t>
      </w:r>
      <w:r>
        <w:rPr>
          <w:rFonts w:ascii="Times New Roman" w:hAnsi="Times New Roman" w:eastAsia="宋体" w:cs="Microsoft New Tai Lue"/>
        </w:rPr>
        <w:t>条件</w:t>
      </w:r>
      <w:bookmarkEnd w:id="131"/>
      <w:bookmarkEnd w:id="132"/>
      <w:bookmarkEnd w:id="133"/>
    </w:p>
    <w:p w14:paraId="143BA6AC">
      <w:pPr>
        <w:spacing w:before="120" w:line="360" w:lineRule="auto"/>
        <w:ind w:left="214" w:firstLine="420"/>
        <w:rPr>
          <w:rFonts w:cs="Microsoft New Tai Lue"/>
        </w:rPr>
      </w:pPr>
      <w:r>
        <w:rPr>
          <w:rFonts w:hint="eastAsia" w:cs="Microsoft New Tai Lue"/>
        </w:rPr>
        <w:t>1</w:t>
      </w:r>
      <w:r>
        <w:rPr>
          <w:rFonts w:cs="Microsoft New Tai Lue"/>
        </w:rPr>
        <w:t>5</w:t>
      </w:r>
      <w:r>
        <w:rPr>
          <w:rFonts w:hint="eastAsia" w:cs="Microsoft New Tai Lue"/>
        </w:rPr>
        <w:t>.1</w:t>
      </w:r>
      <w:r>
        <w:rPr>
          <w:rFonts w:hint="eastAsia" w:cs="Microsoft New Tai Lue"/>
          <w:bCs/>
        </w:rPr>
        <w:t>供应商</w:t>
      </w:r>
      <w:r>
        <w:rPr>
          <w:rFonts w:hint="eastAsia" w:cs="Microsoft New Tai Lue"/>
        </w:rPr>
        <w:t>资格</w:t>
      </w:r>
      <w:r>
        <w:rPr>
          <w:rFonts w:cs="Microsoft New Tai Lue"/>
        </w:rPr>
        <w:t>条件见</w:t>
      </w:r>
      <w:r>
        <w:rPr>
          <w:rFonts w:hint="eastAsia" w:cs="Microsoft New Tai Lue"/>
          <w:b/>
        </w:rPr>
        <w:t>投标人须知前附表</w:t>
      </w:r>
      <w:r>
        <w:rPr>
          <w:rFonts w:hint="eastAsia" w:cs="Microsoft New Tai Lue"/>
        </w:rPr>
        <w:t>。</w:t>
      </w:r>
    </w:p>
    <w:p w14:paraId="02123B3F">
      <w:pPr>
        <w:pStyle w:val="3"/>
        <w:spacing w:line="360" w:lineRule="auto"/>
        <w:ind w:left="211" w:right="210" w:hanging="211"/>
        <w:rPr>
          <w:rFonts w:ascii="Times New Roman" w:hAnsi="Times New Roman" w:eastAsia="宋体" w:cs="Microsoft New Tai Lue"/>
        </w:rPr>
      </w:pPr>
      <w:bookmarkStart w:id="134" w:name="_Toc1220240338"/>
      <w:bookmarkStart w:id="135" w:name="_Toc22124"/>
      <w:r>
        <w:rPr>
          <w:rFonts w:ascii="Times New Roman" w:hAnsi="Times New Roman" w:eastAsia="宋体" w:cs="Microsoft New Tai Lue"/>
        </w:rPr>
        <w:t>二．招标文件</w:t>
      </w:r>
      <w:bookmarkEnd w:id="86"/>
      <w:bookmarkEnd w:id="134"/>
      <w:bookmarkEnd w:id="135"/>
    </w:p>
    <w:p w14:paraId="0E77935E">
      <w:pPr>
        <w:pStyle w:val="4"/>
        <w:spacing w:line="360" w:lineRule="auto"/>
        <w:ind w:left="211" w:right="210" w:hanging="211"/>
        <w:rPr>
          <w:rFonts w:ascii="Times New Roman" w:hAnsi="Times New Roman" w:eastAsia="宋体" w:cs="Microsoft New Tai Lue"/>
        </w:rPr>
      </w:pPr>
      <w:bookmarkStart w:id="136" w:name="_Toc103848540"/>
      <w:bookmarkStart w:id="137" w:name="_Toc96347871"/>
      <w:bookmarkStart w:id="138" w:name="_Toc100905217"/>
      <w:bookmarkStart w:id="139" w:name="_Toc104560854"/>
      <w:bookmarkStart w:id="140" w:name="_Toc110531916"/>
      <w:bookmarkStart w:id="141" w:name="_Toc107246231"/>
      <w:r>
        <w:rPr>
          <w:rFonts w:ascii="Times New Roman" w:hAnsi="Times New Roman" w:eastAsia="宋体" w:cs="Microsoft New Tai Lue"/>
        </w:rPr>
        <w:t>16.招标文件的构成</w:t>
      </w:r>
      <w:bookmarkEnd w:id="136"/>
      <w:bookmarkEnd w:id="137"/>
      <w:bookmarkEnd w:id="138"/>
      <w:bookmarkEnd w:id="139"/>
      <w:bookmarkEnd w:id="140"/>
      <w:bookmarkEnd w:id="141"/>
    </w:p>
    <w:p w14:paraId="4C087934">
      <w:pPr>
        <w:pStyle w:val="310"/>
        <w:ind w:left="214" w:firstLine="420"/>
        <w:rPr>
          <w:rFonts w:ascii="Times New Roman" w:hAnsi="Times New Roman" w:cs="Microsoft New Tai Lue"/>
          <w:bCs/>
          <w:sz w:val="21"/>
        </w:rPr>
      </w:pPr>
      <w:r>
        <w:rPr>
          <w:rFonts w:ascii="Times New Roman" w:hAnsi="Times New Roman" w:cs="Microsoft New Tai Lue"/>
          <w:bCs/>
          <w:sz w:val="21"/>
        </w:rPr>
        <w:t>16.1招标文件各章节的内容如下：</w:t>
      </w:r>
    </w:p>
    <w:p w14:paraId="058669F8">
      <w:pPr>
        <w:spacing w:before="120" w:line="360" w:lineRule="auto"/>
        <w:ind w:left="214" w:firstLine="420"/>
        <w:rPr>
          <w:rFonts w:cs="Microsoft New Tai Lue"/>
        </w:rPr>
      </w:pPr>
      <w:r>
        <w:rPr>
          <w:rFonts w:cs="Microsoft New Tai Lue"/>
        </w:rPr>
        <w:t>第一章：</w:t>
      </w:r>
      <w:r>
        <w:rPr>
          <w:rFonts w:hint="eastAsia" w:cs="Microsoft New Tai Lue"/>
        </w:rPr>
        <w:t>招标公告</w:t>
      </w:r>
    </w:p>
    <w:p w14:paraId="6498701F">
      <w:pPr>
        <w:spacing w:before="120" w:line="360" w:lineRule="auto"/>
        <w:ind w:left="214" w:firstLine="420"/>
        <w:rPr>
          <w:rFonts w:cs="Microsoft New Tai Lue"/>
        </w:rPr>
      </w:pPr>
      <w:r>
        <w:rPr>
          <w:rFonts w:cs="Microsoft New Tai Lue"/>
        </w:rPr>
        <w:t>第二章：投标人须知</w:t>
      </w:r>
    </w:p>
    <w:p w14:paraId="18E9D1F5">
      <w:pPr>
        <w:spacing w:before="120" w:line="360" w:lineRule="auto"/>
        <w:ind w:left="214" w:firstLine="420"/>
        <w:rPr>
          <w:rFonts w:cs="Microsoft New Tai Lue"/>
        </w:rPr>
      </w:pPr>
      <w:r>
        <w:rPr>
          <w:rFonts w:cs="Microsoft New Tai Lue"/>
        </w:rPr>
        <w:t>第三章：政府采购合同条款及格式</w:t>
      </w:r>
    </w:p>
    <w:p w14:paraId="6E632289">
      <w:pPr>
        <w:spacing w:before="120" w:line="360" w:lineRule="auto"/>
        <w:ind w:left="214" w:firstLine="420"/>
        <w:rPr>
          <w:rFonts w:cs="Microsoft New Tai Lue"/>
        </w:rPr>
      </w:pPr>
      <w:r>
        <w:rPr>
          <w:rFonts w:cs="Microsoft New Tai Lue"/>
        </w:rPr>
        <w:t>第四章：采购需求</w:t>
      </w:r>
    </w:p>
    <w:p w14:paraId="593BD5BD">
      <w:pPr>
        <w:spacing w:before="120" w:line="360" w:lineRule="auto"/>
        <w:ind w:left="214" w:firstLine="420"/>
        <w:rPr>
          <w:rFonts w:cs="Microsoft New Tai Lue"/>
        </w:rPr>
      </w:pPr>
      <w:r>
        <w:rPr>
          <w:rFonts w:cs="Microsoft New Tai Lue"/>
        </w:rPr>
        <w:t>第五章：评标方法与评标标准</w:t>
      </w:r>
    </w:p>
    <w:p w14:paraId="0885D7FF">
      <w:pPr>
        <w:spacing w:before="120" w:line="360" w:lineRule="auto"/>
        <w:ind w:left="214" w:firstLine="420"/>
        <w:rPr>
          <w:rFonts w:cs="Microsoft New Tai Lue"/>
        </w:rPr>
      </w:pPr>
      <w:r>
        <w:rPr>
          <w:rFonts w:cs="Microsoft New Tai Lue"/>
        </w:rPr>
        <w:t>第六章：</w:t>
      </w:r>
      <w:bookmarkStart w:id="142" w:name="_Toc96347872"/>
      <w:r>
        <w:rPr>
          <w:rFonts w:hint="eastAsia" w:cs="Microsoft New Tai Lue"/>
        </w:rPr>
        <w:t>投标文件格式</w:t>
      </w:r>
    </w:p>
    <w:p w14:paraId="660B3047">
      <w:pPr>
        <w:spacing w:before="120" w:line="360" w:lineRule="auto"/>
        <w:ind w:left="214" w:firstLine="420"/>
      </w:pPr>
      <w:r>
        <w:t>对</w:t>
      </w:r>
      <w:r>
        <w:rPr>
          <w:rFonts w:hint="eastAsia"/>
        </w:rPr>
        <w:t>招标</w:t>
      </w:r>
      <w:r>
        <w:t>文件所作的澄清、修改，构成</w:t>
      </w:r>
      <w:r>
        <w:rPr>
          <w:rFonts w:hint="eastAsia"/>
        </w:rPr>
        <w:t>招标</w:t>
      </w:r>
      <w:r>
        <w:t>文件的组成部分。</w:t>
      </w:r>
    </w:p>
    <w:p w14:paraId="1D509C39">
      <w:pPr>
        <w:spacing w:before="120" w:line="360" w:lineRule="auto"/>
        <w:ind w:left="214" w:firstLine="420"/>
      </w:pPr>
      <w:r>
        <w:rPr>
          <w:rFonts w:cs="Microsoft New Tai Lue"/>
          <w:b/>
        </w:rPr>
        <w:t>招标文件中标注</w:t>
      </w:r>
      <w:r>
        <w:rPr>
          <w:rFonts w:hint="eastAsia" w:cs="Microsoft New Tai Lue"/>
          <w:bCs/>
        </w:rPr>
        <w:t>“</w:t>
      </w:r>
      <w:r>
        <w:rPr>
          <w:rFonts w:cs="Segoe UI Symbol"/>
          <w:b/>
        </w:rPr>
        <w:t>★</w:t>
      </w:r>
      <w:r>
        <w:rPr>
          <w:rFonts w:hint="eastAsia" w:cs="Microsoft New Tai Lue"/>
          <w:bCs/>
        </w:rPr>
        <w:t>”</w:t>
      </w:r>
      <w:r>
        <w:rPr>
          <w:rFonts w:cs="Microsoft New Tai Lue"/>
          <w:b/>
        </w:rPr>
        <w:t>符号的条款为实质性要求条款（即重要条款）。</w:t>
      </w:r>
    </w:p>
    <w:p w14:paraId="176A00AF">
      <w:pPr>
        <w:spacing w:before="120" w:line="360" w:lineRule="auto"/>
        <w:ind w:left="214" w:firstLine="420"/>
        <w:rPr>
          <w:rFonts w:cs="Microsoft New Tai Lue"/>
        </w:rPr>
      </w:pPr>
      <w:r>
        <w:rPr>
          <w:rFonts w:cs="Microsoft New Tai Lue"/>
        </w:rPr>
        <w:t>16.2</w:t>
      </w:r>
      <w:r>
        <w:t>供应商应仔细阅读和检查</w:t>
      </w:r>
      <w:r>
        <w:rPr>
          <w:rFonts w:hint="eastAsia"/>
        </w:rPr>
        <w:t>招标</w:t>
      </w:r>
      <w:r>
        <w:t>文件的全部内容。如发现</w:t>
      </w:r>
      <w:r>
        <w:rPr>
          <w:rFonts w:hint="eastAsia"/>
        </w:rPr>
        <w:t>招标</w:t>
      </w:r>
      <w:r>
        <w:t>文件内容不全，应及时向采购方提出，以便补齐。</w:t>
      </w:r>
    </w:p>
    <w:p w14:paraId="07C321A4">
      <w:pPr>
        <w:spacing w:before="120" w:line="360" w:lineRule="auto"/>
        <w:ind w:left="214" w:firstLine="420"/>
        <w:rPr>
          <w:rFonts w:cs="Microsoft New Tai Lue"/>
          <w:bCs/>
        </w:rPr>
      </w:pPr>
      <w:r>
        <w:rPr>
          <w:rFonts w:cs="Microsoft New Tai Lue"/>
          <w:bCs/>
        </w:rPr>
        <w:t>16.3</w:t>
      </w:r>
      <w:r>
        <w:t>供应商</w:t>
      </w:r>
      <w:r>
        <w:rPr>
          <w:rFonts w:cs="Microsoft New Tai Lue"/>
          <w:bCs/>
        </w:rPr>
        <w:t>按照招标文件要求编制投标文件。任何对招标文件的忽略或误解，不能作为投标文件存在缺陷或瑕疵的理由，其风险由</w:t>
      </w:r>
      <w:r>
        <w:t>供应商</w:t>
      </w:r>
      <w:r>
        <w:rPr>
          <w:rFonts w:cs="Microsoft New Tai Lue"/>
          <w:bCs/>
        </w:rPr>
        <w:t>承担。</w:t>
      </w:r>
    </w:p>
    <w:p w14:paraId="3681ADC6">
      <w:pPr>
        <w:spacing w:before="120" w:line="360" w:lineRule="auto"/>
        <w:ind w:left="214" w:firstLine="420"/>
        <w:rPr>
          <w:rFonts w:cs="Microsoft New Tai Lue"/>
        </w:rPr>
      </w:pPr>
      <w:r>
        <w:rPr>
          <w:rFonts w:cs="Microsoft New Tai Lue"/>
        </w:rPr>
        <w:t>16.4本项目</w:t>
      </w:r>
      <w:r>
        <w:rPr>
          <w:rFonts w:hint="eastAsia" w:cs="Microsoft New Tai Lue"/>
        </w:rPr>
        <w:t>招标</w:t>
      </w:r>
      <w:r>
        <w:rPr>
          <w:rFonts w:cs="Microsoft New Tai Lue"/>
        </w:rPr>
        <w:t>文件如包括多个</w:t>
      </w:r>
      <w:r>
        <w:rPr>
          <w:rFonts w:hint="eastAsia" w:cs="Microsoft New Tai Lue"/>
        </w:rPr>
        <w:t>分包</w:t>
      </w:r>
      <w:r>
        <w:rPr>
          <w:rFonts w:cs="Microsoft New Tai Lue"/>
        </w:rPr>
        <w:t>，则除非特别说明，</w:t>
      </w:r>
      <w:r>
        <w:rPr>
          <w:rFonts w:hint="eastAsia" w:cs="Microsoft New Tai Lue"/>
        </w:rPr>
        <w:t>招标</w:t>
      </w:r>
      <w:r>
        <w:rPr>
          <w:rFonts w:cs="Microsoft New Tai Lue"/>
        </w:rPr>
        <w:t>文件所列各项要求均为各</w:t>
      </w:r>
      <w:r>
        <w:rPr>
          <w:rFonts w:hint="eastAsia" w:cs="Microsoft New Tai Lue"/>
        </w:rPr>
        <w:t>分包</w:t>
      </w:r>
      <w:r>
        <w:rPr>
          <w:rFonts w:cs="Microsoft New Tai Lue"/>
        </w:rPr>
        <w:t>通用要求。</w:t>
      </w:r>
      <w:bookmarkEnd w:id="142"/>
    </w:p>
    <w:p w14:paraId="2C24C7E1">
      <w:pPr>
        <w:pStyle w:val="4"/>
        <w:spacing w:line="360" w:lineRule="auto"/>
        <w:ind w:left="211" w:right="210" w:hanging="211"/>
        <w:rPr>
          <w:rFonts w:ascii="Times New Roman" w:hAnsi="Times New Roman" w:eastAsia="宋体" w:cs="Microsoft New Tai Lue"/>
        </w:rPr>
      </w:pPr>
      <w:bookmarkStart w:id="143" w:name="_Toc96347873"/>
      <w:bookmarkStart w:id="144" w:name="_Toc104560855"/>
      <w:bookmarkStart w:id="145" w:name="_Toc100905218"/>
      <w:bookmarkStart w:id="146" w:name="_Toc136557557"/>
      <w:bookmarkStart w:id="147" w:name="_Toc107246232"/>
      <w:bookmarkStart w:id="148" w:name="_Toc103848541"/>
      <w:r>
        <w:rPr>
          <w:rFonts w:ascii="Times New Roman" w:hAnsi="Times New Roman" w:eastAsia="宋体" w:cs="Microsoft New Tai Lue"/>
        </w:rPr>
        <w:t>17.招标文件的澄清或者修改</w:t>
      </w:r>
      <w:bookmarkEnd w:id="143"/>
      <w:bookmarkEnd w:id="144"/>
      <w:bookmarkEnd w:id="145"/>
      <w:bookmarkEnd w:id="146"/>
      <w:bookmarkEnd w:id="147"/>
      <w:bookmarkEnd w:id="148"/>
    </w:p>
    <w:p w14:paraId="148F5FB1">
      <w:pPr>
        <w:spacing w:before="120" w:line="360" w:lineRule="auto"/>
        <w:ind w:left="214" w:firstLine="420"/>
        <w:rPr>
          <w:rFonts w:cs="Microsoft New Tai Lue"/>
        </w:rPr>
      </w:pPr>
      <w:bookmarkStart w:id="149" w:name="_Toc100905219"/>
      <w:r>
        <w:rPr>
          <w:rFonts w:cs="Microsoft New Tai Lue"/>
        </w:rPr>
        <w:t>17.1采购方可以对已发出的招标文件进行必要的澄清或者修改</w:t>
      </w:r>
      <w:r>
        <w:rPr>
          <w:rFonts w:hint="eastAsia" w:cs="Microsoft New Tai Lue"/>
        </w:rPr>
        <w:t>，</w:t>
      </w:r>
      <w:r>
        <w:rPr>
          <w:rFonts w:cs="Microsoft New Tai Lue"/>
        </w:rPr>
        <w:t>澄清或者修改应当在原公告发布媒体上发布澄清公告</w:t>
      </w:r>
      <w:r>
        <w:rPr>
          <w:rFonts w:hint="eastAsia" w:cs="Microsoft New Tai Lue"/>
        </w:rPr>
        <w:t>，</w:t>
      </w:r>
      <w:r>
        <w:t>任何口头答复、通知无效</w:t>
      </w:r>
      <w:r>
        <w:rPr>
          <w:rFonts w:cs="Microsoft New Tai Lue"/>
        </w:rPr>
        <w:t>。澄清或者修改的内容为招标文件的组成部分</w:t>
      </w:r>
      <w:r>
        <w:t>并具有法律效力，</w:t>
      </w:r>
      <w:r>
        <w:rPr>
          <w:rFonts w:hint="eastAsia"/>
        </w:rPr>
        <w:t>招标</w:t>
      </w:r>
      <w:r>
        <w:t>文件、澄清或修改在同一内容表述上不一致的，以日期后者的为准。</w:t>
      </w:r>
    </w:p>
    <w:p w14:paraId="5C5957D9">
      <w:pPr>
        <w:spacing w:before="120" w:line="360" w:lineRule="auto"/>
        <w:ind w:left="214" w:firstLine="420"/>
        <w:rPr>
          <w:rFonts w:cs="Microsoft New Tai Lue"/>
        </w:rPr>
      </w:pPr>
      <w:r>
        <w:rPr>
          <w:rFonts w:cs="Microsoft New Tai Lue"/>
        </w:rPr>
        <w:t>17.2澄清或者修改的内容可能影响投标文件编制的，采购方应当在投标截止时间至少15日前，以书面形式通知所有获取招标文件的潜在</w:t>
      </w:r>
      <w:r>
        <w:rPr>
          <w:rFonts w:hint="eastAsia" w:cs="Microsoft New Tai Lue"/>
        </w:rPr>
        <w:t>供应商</w:t>
      </w:r>
      <w:r>
        <w:rPr>
          <w:rFonts w:cs="Microsoft New Tai Lue"/>
        </w:rPr>
        <w:t>；不足15日的，采购方应当顺延提交投标文件的截止时间。</w:t>
      </w:r>
      <w:bookmarkEnd w:id="149"/>
    </w:p>
    <w:p w14:paraId="46D4925D">
      <w:pPr>
        <w:pStyle w:val="3"/>
        <w:spacing w:line="360" w:lineRule="auto"/>
        <w:ind w:left="211" w:right="210" w:hanging="211"/>
        <w:rPr>
          <w:rFonts w:ascii="Times New Roman" w:hAnsi="Times New Roman" w:eastAsia="宋体" w:cs="Microsoft New Tai Lue"/>
        </w:rPr>
      </w:pPr>
      <w:bookmarkStart w:id="150" w:name="_Toc1610325503"/>
      <w:bookmarkStart w:id="151" w:name="_Toc104560856"/>
      <w:bookmarkStart w:id="152" w:name="_Toc91836558"/>
      <w:bookmarkStart w:id="153" w:name="_Toc4609"/>
      <w:bookmarkStart w:id="154" w:name="_Toc80264708"/>
      <w:r>
        <w:rPr>
          <w:rFonts w:ascii="Times New Roman" w:hAnsi="Times New Roman" w:eastAsia="宋体" w:cs="Microsoft New Tai Lue"/>
        </w:rPr>
        <w:t>三．投标文件</w:t>
      </w:r>
      <w:bookmarkEnd w:id="150"/>
      <w:bookmarkEnd w:id="151"/>
      <w:bookmarkEnd w:id="152"/>
      <w:bookmarkEnd w:id="153"/>
    </w:p>
    <w:p w14:paraId="2696C95C">
      <w:pPr>
        <w:pStyle w:val="4"/>
        <w:spacing w:line="360" w:lineRule="auto"/>
        <w:ind w:left="211" w:right="210" w:hanging="211"/>
        <w:rPr>
          <w:rFonts w:ascii="Times New Roman" w:hAnsi="Times New Roman" w:eastAsia="宋体" w:cs="Microsoft New Tai Lue"/>
        </w:rPr>
      </w:pPr>
      <w:bookmarkStart w:id="155" w:name="_Toc107246234"/>
      <w:bookmarkStart w:id="156" w:name="_Toc104560857"/>
      <w:bookmarkStart w:id="157" w:name="_Toc4325780"/>
      <w:bookmarkStart w:id="158" w:name="_Toc103848543"/>
      <w:bookmarkStart w:id="159" w:name="_Toc100905221"/>
      <w:bookmarkStart w:id="160" w:name="_Toc96347875"/>
      <w:r>
        <w:rPr>
          <w:rFonts w:ascii="Times New Roman" w:hAnsi="Times New Roman" w:eastAsia="宋体" w:cs="Microsoft New Tai Lue"/>
        </w:rPr>
        <w:t>18.投标文件的组成</w:t>
      </w:r>
      <w:bookmarkEnd w:id="155"/>
      <w:bookmarkEnd w:id="156"/>
      <w:bookmarkEnd w:id="157"/>
      <w:bookmarkEnd w:id="158"/>
    </w:p>
    <w:p w14:paraId="2752FCDA">
      <w:pPr>
        <w:spacing w:before="120" w:line="360" w:lineRule="auto"/>
        <w:ind w:left="214" w:firstLine="420"/>
        <w:rPr>
          <w:rFonts w:cs="Microsoft New Tai Lue"/>
        </w:rPr>
      </w:pPr>
      <w:r>
        <w:rPr>
          <w:rFonts w:cs="Microsoft New Tai Lue"/>
        </w:rPr>
        <w:t>18.1投标文件由</w:t>
      </w:r>
      <w:r>
        <w:rPr>
          <w:rFonts w:hint="eastAsia" w:cs="Microsoft New Tai Lue"/>
        </w:rPr>
        <w:t>价格</w:t>
      </w:r>
      <w:r>
        <w:rPr>
          <w:rFonts w:cs="Microsoft New Tai Lue"/>
        </w:rPr>
        <w:t>及商务部分、技术部分以及其他部分组成</w:t>
      </w:r>
      <w:r>
        <w:rPr>
          <w:rFonts w:hint="eastAsia" w:cs="Microsoft New Tai Lue"/>
        </w:rPr>
        <w:t>，</w:t>
      </w:r>
      <w:r>
        <w:rPr>
          <w:rFonts w:cs="Microsoft New Tai Lue"/>
        </w:rPr>
        <w:t>格式见招标文件第六章《</w:t>
      </w:r>
      <w:r>
        <w:rPr>
          <w:rFonts w:hint="eastAsia" w:cs="Microsoft New Tai Lue"/>
        </w:rPr>
        <w:t>投标文件格式</w:t>
      </w:r>
      <w:r>
        <w:rPr>
          <w:rFonts w:cs="Microsoft New Tai Lue"/>
        </w:rPr>
        <w:t>》</w:t>
      </w:r>
      <w:r>
        <w:rPr>
          <w:rFonts w:hint="eastAsia" w:cs="Microsoft New Tai Lue"/>
        </w:rPr>
        <w:t>。</w:t>
      </w:r>
    </w:p>
    <w:p w14:paraId="2167ED9E">
      <w:pPr>
        <w:spacing w:before="120" w:line="360" w:lineRule="auto"/>
        <w:ind w:left="214" w:firstLine="420"/>
        <w:rPr>
          <w:rFonts w:cs="Microsoft New Tai Lue"/>
          <w:b/>
        </w:rPr>
      </w:pPr>
      <w:r>
        <w:rPr>
          <w:rFonts w:cs="Microsoft New Tai Lue"/>
          <w:b/>
        </w:rPr>
        <w:t>18.2</w:t>
      </w:r>
      <w:r>
        <w:rPr>
          <w:rFonts w:cs="Arial"/>
          <w:b/>
          <w:sz w:val="22"/>
          <w:szCs w:val="22"/>
        </w:rPr>
        <w:t>投标文件</w:t>
      </w:r>
      <w:r>
        <w:rPr>
          <w:rFonts w:hint="eastAsia" w:cs="Arial"/>
          <w:b/>
          <w:sz w:val="22"/>
          <w:szCs w:val="22"/>
        </w:rPr>
        <w:t>的价格</w:t>
      </w:r>
      <w:r>
        <w:rPr>
          <w:rFonts w:cs="Arial"/>
          <w:b/>
          <w:sz w:val="22"/>
          <w:szCs w:val="22"/>
        </w:rPr>
        <w:t>及商务部分</w:t>
      </w:r>
      <w:r>
        <w:rPr>
          <w:rFonts w:hint="eastAsia" w:cs="Arial"/>
          <w:b/>
          <w:sz w:val="22"/>
          <w:szCs w:val="22"/>
        </w:rPr>
        <w:t>，包括但不限于下列文件：</w:t>
      </w:r>
    </w:p>
    <w:p w14:paraId="103A1012">
      <w:pPr>
        <w:spacing w:line="360" w:lineRule="auto"/>
        <w:ind w:left="214" w:firstLine="315"/>
        <w:jc w:val="left"/>
      </w:pPr>
      <w:r>
        <w:rPr>
          <w:rFonts w:hint="eastAsia"/>
        </w:rPr>
        <w:t>（1）投标函</w:t>
      </w:r>
      <w:r>
        <w:t>，格式见附件。</w:t>
      </w:r>
    </w:p>
    <w:p w14:paraId="5CDB679F">
      <w:pPr>
        <w:spacing w:line="360" w:lineRule="auto"/>
        <w:ind w:left="214" w:firstLine="315"/>
        <w:jc w:val="left"/>
      </w:pPr>
      <w:r>
        <w:rPr>
          <w:rFonts w:hint="eastAsia"/>
        </w:rPr>
        <w:t>（</w:t>
      </w:r>
      <w:r>
        <w:t>2</w:t>
      </w:r>
      <w:r>
        <w:rPr>
          <w:rFonts w:hint="eastAsia"/>
        </w:rPr>
        <w:t>）法定代表人（单位负责人）身份证明</w:t>
      </w:r>
      <w:r>
        <w:t>，格式见附件。</w:t>
      </w:r>
    </w:p>
    <w:p w14:paraId="05B05A69">
      <w:pPr>
        <w:spacing w:line="360" w:lineRule="auto"/>
        <w:ind w:left="214" w:firstLine="315"/>
        <w:jc w:val="left"/>
      </w:pPr>
      <w:r>
        <w:rPr>
          <w:rFonts w:hint="eastAsia"/>
        </w:rPr>
        <w:t>（3</w:t>
      </w:r>
      <w:r>
        <w:t>-1</w:t>
      </w:r>
      <w:r>
        <w:rPr>
          <w:rFonts w:hint="eastAsia"/>
        </w:rPr>
        <w:t>）法定代表人（单位负责人）授权委托书（适用于法人/非法人），格式见附件。</w:t>
      </w:r>
    </w:p>
    <w:p w14:paraId="4B09844D">
      <w:pPr>
        <w:spacing w:line="360" w:lineRule="auto"/>
        <w:ind w:left="214" w:firstLine="315"/>
        <w:jc w:val="left"/>
      </w:pPr>
      <w:r>
        <w:rPr>
          <w:rFonts w:hint="eastAsia"/>
        </w:rPr>
        <w:t>（3</w:t>
      </w:r>
      <w:r>
        <w:t>-2</w:t>
      </w:r>
      <w:r>
        <w:rPr>
          <w:rFonts w:hint="eastAsia"/>
        </w:rPr>
        <w:t>）授权委托书（适用于自然人），格式见附件。</w:t>
      </w:r>
    </w:p>
    <w:p w14:paraId="02365B22">
      <w:pPr>
        <w:spacing w:line="360" w:lineRule="auto"/>
        <w:ind w:left="214" w:firstLine="315"/>
        <w:jc w:val="left"/>
      </w:pPr>
      <w:r>
        <w:t>（4）开标一览表，格式见附件。</w:t>
      </w:r>
    </w:p>
    <w:p w14:paraId="1F1CF72F">
      <w:pPr>
        <w:spacing w:line="360" w:lineRule="auto"/>
        <w:ind w:left="214" w:firstLine="315"/>
        <w:jc w:val="left"/>
      </w:pPr>
      <w:r>
        <w:rPr>
          <w:rFonts w:hint="eastAsia"/>
        </w:rPr>
        <w:t>（5）分项报价表，格式见附件。</w:t>
      </w:r>
    </w:p>
    <w:p w14:paraId="118D1F67">
      <w:pPr>
        <w:spacing w:line="360" w:lineRule="auto"/>
        <w:ind w:left="214" w:firstLine="315"/>
        <w:jc w:val="left"/>
      </w:pPr>
      <w:r>
        <w:rPr>
          <w:rFonts w:hint="eastAsia"/>
        </w:rPr>
        <w:t>（6）商务条款偏离表，格式见附件。</w:t>
      </w:r>
    </w:p>
    <w:p w14:paraId="2BDD3EBC">
      <w:pPr>
        <w:spacing w:line="360" w:lineRule="auto"/>
        <w:ind w:left="214" w:firstLine="315"/>
        <w:jc w:val="left"/>
      </w:pPr>
      <w:r>
        <w:rPr>
          <w:rFonts w:hint="eastAsia"/>
        </w:rPr>
        <w:t>（7）技术条款偏离表，格式见附件</w:t>
      </w:r>
    </w:p>
    <w:p w14:paraId="7E2A7D4E">
      <w:pPr>
        <w:spacing w:line="360" w:lineRule="auto"/>
        <w:ind w:left="214" w:firstLine="315"/>
        <w:jc w:val="left"/>
      </w:pPr>
      <w:r>
        <w:rPr>
          <w:rFonts w:hint="eastAsia"/>
        </w:rPr>
        <w:t>（8）投标人具备投标资格的证明文件（按照公告要求提供）：</w:t>
      </w:r>
    </w:p>
    <w:p w14:paraId="7D6AC9CB">
      <w:pPr>
        <w:spacing w:line="360" w:lineRule="auto"/>
        <w:ind w:left="214" w:firstLine="315"/>
        <w:jc w:val="left"/>
      </w:pPr>
      <w:r>
        <w:t>（</w:t>
      </w:r>
      <w:r>
        <w:rPr>
          <w:rFonts w:hint="eastAsia"/>
        </w:rPr>
        <w:t>8</w:t>
      </w:r>
      <w:r>
        <w:t>-1-1）</w:t>
      </w:r>
      <w:r>
        <w:rPr>
          <w:rFonts w:hint="eastAsia"/>
        </w:rPr>
        <w:t>营业执照复印件或自然人的身份证明复印件</w:t>
      </w:r>
      <w:r>
        <w:t>（或具有同等法律效力的证照）。</w:t>
      </w:r>
    </w:p>
    <w:p w14:paraId="4C0E9685">
      <w:pPr>
        <w:spacing w:line="360" w:lineRule="auto"/>
        <w:ind w:left="214" w:firstLine="525"/>
        <w:jc w:val="left"/>
      </w:pPr>
      <w:r>
        <w:t>（a）</w:t>
      </w:r>
      <w:r>
        <w:rPr>
          <w:rFonts w:hint="eastAsia"/>
        </w:rPr>
        <w:t>投标人为企业（包括合伙企业）的，应提供有效的“营业执照”。</w:t>
      </w:r>
    </w:p>
    <w:p w14:paraId="574B4074">
      <w:pPr>
        <w:spacing w:line="360" w:lineRule="auto"/>
        <w:ind w:left="214" w:firstLine="525"/>
        <w:jc w:val="left"/>
      </w:pPr>
      <w:r>
        <w:t>（b）</w:t>
      </w:r>
      <w:r>
        <w:rPr>
          <w:rFonts w:hint="eastAsia"/>
        </w:rPr>
        <w:t>投标人为事业单位的，应提供有效的“事业单位法人证书”。</w:t>
      </w:r>
    </w:p>
    <w:p w14:paraId="73BFE097">
      <w:pPr>
        <w:spacing w:line="360" w:lineRule="auto"/>
        <w:ind w:left="214" w:firstLine="525"/>
        <w:jc w:val="left"/>
      </w:pPr>
      <w:r>
        <w:rPr>
          <w:rFonts w:hint="eastAsia"/>
        </w:rPr>
        <w:t>（c）投标人是非企业机构的，应提供有效的“执业许可证”、“登记证书”等证明文件。</w:t>
      </w:r>
    </w:p>
    <w:p w14:paraId="04901BEE">
      <w:pPr>
        <w:spacing w:line="360" w:lineRule="auto"/>
        <w:ind w:left="214" w:firstLine="525"/>
        <w:jc w:val="left"/>
      </w:pPr>
      <w:r>
        <w:rPr>
          <w:rFonts w:hint="eastAsia"/>
        </w:rPr>
        <w:t>（d）投标人是个体工商户的，应提供有效的“个体工商户营业执照”。</w:t>
      </w:r>
    </w:p>
    <w:p w14:paraId="51DB4EEB">
      <w:pPr>
        <w:spacing w:line="360" w:lineRule="auto"/>
        <w:ind w:left="214" w:firstLine="525"/>
        <w:jc w:val="left"/>
      </w:pPr>
      <w:r>
        <w:rPr>
          <w:rFonts w:hint="eastAsia"/>
        </w:rPr>
        <w:t>（e）投标人是自然人的，应提供有效的自然人身份证明。</w:t>
      </w:r>
    </w:p>
    <w:p w14:paraId="6F59B83A">
      <w:pPr>
        <w:spacing w:line="360" w:lineRule="auto"/>
        <w:ind w:left="214" w:firstLine="315"/>
        <w:jc w:val="left"/>
      </w:pPr>
      <w:r>
        <w:rPr>
          <w:rFonts w:hint="eastAsia"/>
        </w:rPr>
        <w:t>（8</w:t>
      </w:r>
      <w:r>
        <w:t>-1-2</w:t>
      </w:r>
      <w:r>
        <w:rPr>
          <w:rFonts w:hint="eastAsia"/>
        </w:rPr>
        <w:t>）工商变更登记文件（如需），如发生了单位名称等变更的，需提供工商变更登记文件。</w:t>
      </w:r>
    </w:p>
    <w:p w14:paraId="3EBD0F0B">
      <w:pPr>
        <w:spacing w:line="360" w:lineRule="auto"/>
        <w:ind w:left="214" w:firstLine="315"/>
        <w:jc w:val="left"/>
      </w:pPr>
      <w:r>
        <w:t>（</w:t>
      </w:r>
      <w:r>
        <w:rPr>
          <w:rFonts w:hint="eastAsia"/>
        </w:rPr>
        <w:t>8</w:t>
      </w:r>
      <w:r>
        <w:t>-2）财务报表。</w:t>
      </w:r>
    </w:p>
    <w:p w14:paraId="3A9E11C5">
      <w:pPr>
        <w:spacing w:line="360" w:lineRule="auto"/>
        <w:ind w:left="214" w:firstLine="315"/>
        <w:jc w:val="left"/>
      </w:pPr>
      <w:r>
        <w:t>（</w:t>
      </w:r>
      <w:r>
        <w:rPr>
          <w:rFonts w:hint="eastAsia"/>
        </w:rPr>
        <w:t>8</w:t>
      </w:r>
      <w:r>
        <w:t>-3）具有履行合同所必需的设备和专业技术能力的相关证明材料或承诺函，格式见附件。</w:t>
      </w:r>
    </w:p>
    <w:p w14:paraId="2A7477C3">
      <w:pPr>
        <w:spacing w:line="360" w:lineRule="auto"/>
        <w:ind w:left="214" w:firstLine="315"/>
        <w:jc w:val="left"/>
      </w:pPr>
      <w:r>
        <w:t>（</w:t>
      </w:r>
      <w:r>
        <w:rPr>
          <w:rFonts w:hint="eastAsia"/>
        </w:rPr>
        <w:t>8</w:t>
      </w:r>
      <w:r>
        <w:t>-4）依法缴纳税收的相关材料。</w:t>
      </w:r>
    </w:p>
    <w:p w14:paraId="635905C7">
      <w:pPr>
        <w:spacing w:line="360" w:lineRule="auto"/>
        <w:ind w:left="214" w:firstLine="315"/>
        <w:jc w:val="left"/>
      </w:pPr>
      <w:r>
        <w:t>（</w:t>
      </w:r>
      <w:r>
        <w:rPr>
          <w:rFonts w:hint="eastAsia"/>
        </w:rPr>
        <w:t>8</w:t>
      </w:r>
      <w:r>
        <w:t>-5）依法缴纳社会保障资金的相关材料。</w:t>
      </w:r>
    </w:p>
    <w:p w14:paraId="3E777118">
      <w:pPr>
        <w:spacing w:line="360" w:lineRule="auto"/>
        <w:ind w:left="214" w:firstLine="315"/>
        <w:jc w:val="left"/>
      </w:pPr>
      <w:r>
        <w:t>（</w:t>
      </w:r>
      <w:r>
        <w:rPr>
          <w:rFonts w:hint="eastAsia"/>
        </w:rPr>
        <w:t>8</w:t>
      </w:r>
      <w:r>
        <w:t>-6）参加政府采购活动前三年内，在经营活动中没有重大违法记录，格式见附件。</w:t>
      </w:r>
    </w:p>
    <w:p w14:paraId="478EE0F1">
      <w:pPr>
        <w:spacing w:line="360" w:lineRule="auto"/>
        <w:ind w:left="214" w:firstLine="315"/>
        <w:jc w:val="left"/>
      </w:pPr>
      <w:r>
        <w:rPr>
          <w:rFonts w:hint="eastAsia"/>
        </w:rPr>
        <w:t>（8-</w:t>
      </w:r>
      <w:r>
        <w:t>7</w:t>
      </w:r>
      <w:r>
        <w:rPr>
          <w:rFonts w:hint="eastAsia"/>
        </w:rPr>
        <w:t>）无不良信用记录承诺函（投标人自行查询适用）</w:t>
      </w:r>
      <w:r>
        <w:t>，格式见附件。</w:t>
      </w:r>
    </w:p>
    <w:p w14:paraId="11511B5B">
      <w:pPr>
        <w:spacing w:line="360" w:lineRule="auto"/>
        <w:ind w:left="214" w:firstLine="315"/>
        <w:jc w:val="left"/>
      </w:pPr>
      <w:r>
        <w:rPr>
          <w:rFonts w:hint="eastAsia"/>
        </w:rPr>
        <w:t>（8-</w:t>
      </w:r>
      <w:r>
        <w:t>8</w:t>
      </w:r>
      <w:r>
        <w:rPr>
          <w:rFonts w:hint="eastAsia"/>
        </w:rPr>
        <w:t>）招标文件要求的其它实质性资格资信证明文件</w:t>
      </w:r>
      <w:r>
        <w:t>。</w:t>
      </w:r>
    </w:p>
    <w:p w14:paraId="261EFCCC">
      <w:pPr>
        <w:spacing w:before="120" w:line="360" w:lineRule="auto"/>
        <w:ind w:left="214" w:firstLine="420"/>
        <w:rPr>
          <w:rFonts w:cs="Microsoft New Tai Lue"/>
          <w:b/>
        </w:rPr>
      </w:pPr>
      <w:r>
        <w:rPr>
          <w:rFonts w:cs="Microsoft New Tai Lue"/>
          <w:b/>
        </w:rPr>
        <w:t>18.3</w:t>
      </w:r>
      <w:r>
        <w:rPr>
          <w:rFonts w:cs="Arial"/>
          <w:b/>
          <w:sz w:val="22"/>
          <w:szCs w:val="22"/>
          <w:lang w:val="zh-CN"/>
        </w:rPr>
        <w:t>投标文件</w:t>
      </w:r>
      <w:r>
        <w:rPr>
          <w:rFonts w:hint="eastAsia" w:cs="Arial"/>
          <w:b/>
          <w:sz w:val="22"/>
          <w:szCs w:val="22"/>
          <w:lang w:val="zh-CN"/>
        </w:rPr>
        <w:t>的技术</w:t>
      </w:r>
      <w:r>
        <w:rPr>
          <w:rFonts w:cs="Arial"/>
          <w:b/>
          <w:sz w:val="22"/>
          <w:szCs w:val="22"/>
          <w:lang w:val="zh-CN"/>
        </w:rPr>
        <w:t>部分</w:t>
      </w:r>
      <w:r>
        <w:rPr>
          <w:rFonts w:hint="eastAsia" w:cs="Arial"/>
          <w:b/>
          <w:sz w:val="22"/>
          <w:szCs w:val="22"/>
          <w:lang w:val="zh-CN"/>
        </w:rPr>
        <w:t>，包括但不限于下列文件：</w:t>
      </w:r>
    </w:p>
    <w:p w14:paraId="7E59C8DC">
      <w:pPr>
        <w:spacing w:line="360" w:lineRule="auto"/>
        <w:ind w:left="529"/>
        <w:jc w:val="left"/>
      </w:pPr>
      <w:r>
        <w:rPr>
          <w:rFonts w:hint="eastAsia"/>
        </w:rPr>
        <w:t>（9）</w:t>
      </w:r>
      <w:r>
        <w:t>服务方案。</w:t>
      </w:r>
    </w:p>
    <w:p w14:paraId="0B8C5482">
      <w:pPr>
        <w:spacing w:line="360" w:lineRule="auto"/>
        <w:ind w:left="529"/>
        <w:jc w:val="left"/>
      </w:pPr>
      <w:r>
        <w:rPr>
          <w:rFonts w:hint="eastAsia"/>
        </w:rPr>
        <w:t>（10）拟投入人员一览表</w:t>
      </w:r>
    </w:p>
    <w:p w14:paraId="16ADF9AF">
      <w:pPr>
        <w:spacing w:line="360" w:lineRule="auto"/>
        <w:ind w:left="214" w:firstLine="315"/>
        <w:jc w:val="left"/>
      </w:pPr>
      <w:r>
        <w:t>（</w:t>
      </w:r>
      <w:r>
        <w:rPr>
          <w:rFonts w:hint="eastAsia"/>
        </w:rPr>
        <w:t>11）业绩一览表</w:t>
      </w:r>
      <w:r>
        <w:t>。</w:t>
      </w:r>
    </w:p>
    <w:p w14:paraId="28E39411">
      <w:pPr>
        <w:spacing w:before="120" w:line="360" w:lineRule="auto"/>
        <w:ind w:left="214" w:firstLine="420"/>
        <w:rPr>
          <w:rFonts w:cs="Microsoft New Tai Lue"/>
          <w:b/>
        </w:rPr>
      </w:pPr>
      <w:r>
        <w:rPr>
          <w:rFonts w:cs="Microsoft New Tai Lue"/>
          <w:b/>
        </w:rPr>
        <w:t>18.4投标文件</w:t>
      </w:r>
      <w:r>
        <w:rPr>
          <w:rFonts w:hint="eastAsia" w:cs="Microsoft New Tai Lue"/>
          <w:b/>
        </w:rPr>
        <w:t>的其他</w:t>
      </w:r>
      <w:r>
        <w:rPr>
          <w:rFonts w:cs="Microsoft New Tai Lue"/>
          <w:b/>
        </w:rPr>
        <w:t>部分</w:t>
      </w:r>
    </w:p>
    <w:p w14:paraId="6543A8AB">
      <w:pPr>
        <w:spacing w:before="120" w:line="360" w:lineRule="auto"/>
        <w:ind w:left="214" w:firstLine="420"/>
        <w:rPr>
          <w:rFonts w:cs="Microsoft New Tai Lue"/>
        </w:rPr>
      </w:pPr>
      <w:r>
        <w:rPr>
          <w:rFonts w:cs="Microsoft New Tai Lue"/>
        </w:rPr>
        <w:t>18.4.1投标文件的其他部分由投标人根据编制投标文件需要提供的其他相关文件组成。</w:t>
      </w:r>
    </w:p>
    <w:p w14:paraId="46A9EB41">
      <w:pPr>
        <w:pStyle w:val="4"/>
        <w:spacing w:line="360" w:lineRule="auto"/>
        <w:ind w:left="211" w:right="210" w:hanging="211"/>
        <w:rPr>
          <w:rFonts w:ascii="Times New Roman" w:hAnsi="Times New Roman" w:eastAsia="宋体" w:cs="Segoe UI Symbol"/>
          <w:szCs w:val="21"/>
        </w:rPr>
      </w:pPr>
      <w:bookmarkStart w:id="161" w:name="_Toc104560858"/>
      <w:bookmarkStart w:id="162" w:name="_Toc107246235"/>
      <w:bookmarkStart w:id="163" w:name="_Toc1836424109"/>
      <w:r>
        <w:rPr>
          <w:rFonts w:hint="eastAsia" w:ascii="Times New Roman" w:hAnsi="Times New Roman" w:eastAsia="宋体" w:cs="Microsoft New Tai Lue"/>
        </w:rPr>
        <w:t>1</w:t>
      </w:r>
      <w:r>
        <w:rPr>
          <w:rFonts w:ascii="Times New Roman" w:hAnsi="Times New Roman" w:eastAsia="宋体" w:cs="Microsoft New Tai Lue"/>
        </w:rPr>
        <w:t>9</w:t>
      </w:r>
      <w:r>
        <w:rPr>
          <w:rFonts w:hint="eastAsia" w:ascii="Times New Roman" w:hAnsi="Times New Roman" w:eastAsia="宋体" w:cs="Microsoft New Tai Lue"/>
        </w:rPr>
        <w:t>.投标文件编制的原则</w:t>
      </w:r>
      <w:bookmarkEnd w:id="161"/>
      <w:bookmarkEnd w:id="162"/>
      <w:bookmarkEnd w:id="163"/>
    </w:p>
    <w:p w14:paraId="5785C196">
      <w:pPr>
        <w:spacing w:before="120" w:line="360" w:lineRule="auto"/>
        <w:ind w:left="214" w:firstLine="420"/>
      </w:pPr>
      <w:r>
        <w:rPr>
          <w:rFonts w:cs="Microsoft New Tai Lue"/>
          <w:bCs/>
        </w:rPr>
        <w:t>19.1</w:t>
      </w:r>
      <w:r>
        <w:rPr>
          <w:rFonts w:hint="eastAsia"/>
        </w:rPr>
        <w:t>投标人</w:t>
      </w:r>
      <w:r>
        <w:t>应在认真阅读</w:t>
      </w:r>
      <w:r>
        <w:rPr>
          <w:rFonts w:hint="eastAsia"/>
        </w:rPr>
        <w:t>招标</w:t>
      </w:r>
      <w:r>
        <w:t>文件所有内容的基础上，按照</w:t>
      </w:r>
      <w:r>
        <w:rPr>
          <w:rFonts w:hint="eastAsia"/>
        </w:rPr>
        <w:t>招标</w:t>
      </w:r>
      <w:r>
        <w:t>文件的要求编制完整的</w:t>
      </w:r>
      <w:r>
        <w:rPr>
          <w:rFonts w:hint="eastAsia"/>
        </w:rPr>
        <w:t>投标</w:t>
      </w:r>
      <w:r>
        <w:t>文件。</w:t>
      </w:r>
      <w:r>
        <w:rPr>
          <w:rFonts w:hint="eastAsia"/>
        </w:rPr>
        <w:t>招标</w:t>
      </w:r>
      <w:r>
        <w:t>文件中对</w:t>
      </w:r>
      <w:r>
        <w:rPr>
          <w:rFonts w:hint="eastAsia"/>
        </w:rPr>
        <w:t>投标</w:t>
      </w:r>
      <w:r>
        <w:t>文件格式有要求的，</w:t>
      </w:r>
      <w:r>
        <w:rPr>
          <w:rFonts w:hint="eastAsia"/>
        </w:rPr>
        <w:t>投标人</w:t>
      </w:r>
      <w:r>
        <w:t>应按格式逐项填写内容。</w:t>
      </w:r>
    </w:p>
    <w:p w14:paraId="564C847D">
      <w:pPr>
        <w:spacing w:before="120" w:line="360" w:lineRule="auto"/>
        <w:ind w:left="214" w:firstLine="420"/>
      </w:pPr>
      <w:r>
        <w:rPr>
          <w:rFonts w:cs="Microsoft New Tai Lue"/>
          <w:bCs/>
        </w:rPr>
        <w:t>19.2</w:t>
      </w:r>
      <w:r>
        <w:rPr>
          <w:rFonts w:hint="eastAsia"/>
        </w:rPr>
        <w:t>投标人</w:t>
      </w:r>
      <w:r>
        <w:t>必须保证</w:t>
      </w:r>
      <w:r>
        <w:rPr>
          <w:rFonts w:hint="eastAsia"/>
        </w:rPr>
        <w:t>投标</w:t>
      </w:r>
      <w:r>
        <w:t>文件所提供的全部资料真实可靠。</w:t>
      </w:r>
    </w:p>
    <w:p w14:paraId="09367D2C">
      <w:pPr>
        <w:spacing w:before="120" w:line="360" w:lineRule="auto"/>
        <w:ind w:left="214" w:firstLine="420"/>
      </w:pPr>
      <w:r>
        <w:rPr>
          <w:rFonts w:cs="Microsoft New Tai Lue"/>
          <w:bCs/>
        </w:rPr>
        <w:t>19.3</w:t>
      </w:r>
      <w:r>
        <w:rPr>
          <w:rFonts w:hint="eastAsia"/>
        </w:rPr>
        <w:t>投标</w:t>
      </w:r>
      <w:r>
        <w:t>文件须对</w:t>
      </w:r>
      <w:r>
        <w:rPr>
          <w:rFonts w:hint="eastAsia"/>
        </w:rPr>
        <w:t>招标</w:t>
      </w:r>
      <w:r>
        <w:t>文件中的内容做出实质性和完整的响应。</w:t>
      </w:r>
    </w:p>
    <w:p w14:paraId="2FC4AA9D">
      <w:pPr>
        <w:pStyle w:val="4"/>
        <w:spacing w:line="360" w:lineRule="auto"/>
        <w:ind w:left="211" w:right="210" w:hanging="211"/>
        <w:rPr>
          <w:rFonts w:ascii="Times New Roman" w:hAnsi="Times New Roman" w:eastAsia="宋体" w:cs="Segoe UI Symbol"/>
          <w:szCs w:val="21"/>
        </w:rPr>
      </w:pPr>
      <w:bookmarkStart w:id="164" w:name="_Toc107246236"/>
      <w:bookmarkStart w:id="165" w:name="_Toc1145025279"/>
      <w:r>
        <w:rPr>
          <w:rFonts w:ascii="Times New Roman" w:hAnsi="Times New Roman" w:eastAsia="宋体" w:cs="Microsoft New Tai Lue"/>
        </w:rPr>
        <w:t>20</w:t>
      </w:r>
      <w:r>
        <w:rPr>
          <w:rFonts w:hint="eastAsia" w:ascii="Times New Roman" w:hAnsi="Times New Roman" w:eastAsia="宋体" w:cs="Microsoft New Tai Lue"/>
        </w:rPr>
        <w:t>.投标报价</w:t>
      </w:r>
      <w:bookmarkEnd w:id="164"/>
      <w:bookmarkEnd w:id="165"/>
    </w:p>
    <w:p w14:paraId="4319E1B4">
      <w:pPr>
        <w:spacing w:before="120" w:line="360" w:lineRule="auto"/>
        <w:ind w:left="214" w:firstLine="420"/>
      </w:pPr>
      <w:r>
        <w:rPr>
          <w:rFonts w:cs="Microsoft New Tai Lue"/>
          <w:bCs/>
        </w:rPr>
        <w:t>20.1</w:t>
      </w:r>
      <w:r>
        <w:rPr>
          <w:rFonts w:hint="eastAsia"/>
        </w:rPr>
        <w:t>所有投标均以人民币报价，</w:t>
      </w:r>
      <w:r>
        <w:t>应包括国家规定的增值税税金。</w:t>
      </w:r>
    </w:p>
    <w:p w14:paraId="4B634C1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214" w:firstLine="420"/>
        <w:jc w:val="left"/>
        <w:rPr>
          <w:rFonts w:cs="Microsoft New Tai Lue"/>
        </w:rPr>
      </w:pPr>
      <w:r>
        <w:rPr>
          <w:rFonts w:cs="Microsoft New Tai Lue"/>
          <w:b/>
          <w:bCs/>
        </w:rPr>
        <w:t>20.2</w:t>
      </w:r>
      <w:r>
        <w:rPr>
          <w:rFonts w:cs="Microsoft New Tai Lue"/>
          <w:b/>
        </w:rPr>
        <w:t>投标文件的价格部分是对采购标的价格构成的说明，招标文件如无特别说明，每项货物、服务或工程等只允许有一个报价，任何有选择的报价将不予接受，将作为无效投标文件处理</w:t>
      </w:r>
      <w:r>
        <w:rPr>
          <w:rFonts w:cs="Microsoft New Tai Lue"/>
        </w:rPr>
        <w:t>。</w:t>
      </w:r>
    </w:p>
    <w:p w14:paraId="18348304">
      <w:pPr>
        <w:spacing w:before="120" w:line="360" w:lineRule="auto"/>
        <w:ind w:left="214" w:firstLine="420"/>
      </w:pPr>
      <w:r>
        <w:rPr>
          <w:rFonts w:cs="Microsoft New Tai Lue"/>
          <w:bCs/>
        </w:rPr>
        <w:t>20.3</w:t>
      </w:r>
      <w:r>
        <w:rPr>
          <w:rFonts w:hint="eastAsia"/>
        </w:rPr>
        <w:t>投标人</w:t>
      </w:r>
      <w:r>
        <w:t>应按照本项目要求的内容，报出总价与分项明细报价。</w:t>
      </w:r>
      <w:r>
        <w:rPr>
          <w:rFonts w:hint="eastAsia"/>
        </w:rPr>
        <w:t>投标</w:t>
      </w:r>
      <w:r>
        <w:t>报价应包括为完成本项目所发生的一切费用和税费，包括代垫费用（差旅费、住宿费、</w:t>
      </w:r>
      <w:r>
        <w:rPr>
          <w:rFonts w:hint="eastAsia"/>
        </w:rPr>
        <w:t>会务费、出版费、审查费、</w:t>
      </w:r>
      <w:r>
        <w:t>通讯费</w:t>
      </w:r>
      <w:r>
        <w:rPr>
          <w:rFonts w:hint="eastAsia"/>
        </w:rPr>
        <w:t>、人员费</w:t>
      </w:r>
      <w:r>
        <w:t>等）、增值税及其他附加税等杂项支出在内的一切费用和税费，</w:t>
      </w:r>
      <w:r>
        <w:rPr>
          <w:rFonts w:hint="eastAsia"/>
        </w:rPr>
        <w:t>除招标</w:t>
      </w:r>
      <w:r>
        <w:t>文件规定外，采购人将不再支付报价以外的任何费用。</w:t>
      </w:r>
      <w:r>
        <w:rPr>
          <w:rFonts w:hint="eastAsia"/>
        </w:rPr>
        <w:t>如发生漏缺、少项，都被视为投标人的让利行为。投标人</w:t>
      </w:r>
      <w:r>
        <w:t>估算错误的风险一律由</w:t>
      </w:r>
      <w:r>
        <w:rPr>
          <w:rFonts w:hint="eastAsia"/>
        </w:rPr>
        <w:t>投标人</w:t>
      </w:r>
      <w:r>
        <w:t>自行承担</w:t>
      </w:r>
      <w:r>
        <w:rPr>
          <w:rFonts w:hint="eastAsia"/>
        </w:rPr>
        <w:t>。</w:t>
      </w:r>
    </w:p>
    <w:p w14:paraId="5A899F8B">
      <w:pPr>
        <w:spacing w:before="120" w:line="360" w:lineRule="auto"/>
        <w:ind w:left="214" w:firstLine="420"/>
      </w:pPr>
      <w:r>
        <w:rPr>
          <w:rFonts w:cs="Microsoft New Tai Lue"/>
          <w:bCs/>
        </w:rPr>
        <w:t>20.4</w:t>
      </w:r>
      <w:r>
        <w:rPr>
          <w:rFonts w:hint="eastAsia"/>
        </w:rPr>
        <w:t>投标人</w:t>
      </w:r>
      <w:r>
        <w:t>要按</w:t>
      </w:r>
      <w:r>
        <w:rPr>
          <w:rFonts w:hint="eastAsia"/>
        </w:rPr>
        <w:t>开标</w:t>
      </w:r>
      <w:r>
        <w:t>一览表、分项报价表的内容填写</w:t>
      </w:r>
      <w:r>
        <w:rPr>
          <w:rFonts w:hint="eastAsia"/>
        </w:rPr>
        <w:t>投标</w:t>
      </w:r>
      <w:r>
        <w:t>报价及其它事项，并由法定代表人（单位负责人）或授权代表签署。分项报价表的总价应和</w:t>
      </w:r>
      <w:r>
        <w:rPr>
          <w:rFonts w:hint="eastAsia"/>
        </w:rPr>
        <w:t>开标</w:t>
      </w:r>
      <w:r>
        <w:t>一览表的</w:t>
      </w:r>
      <w:r>
        <w:rPr>
          <w:rFonts w:hint="eastAsia"/>
        </w:rPr>
        <w:t>投标</w:t>
      </w:r>
      <w:r>
        <w:t>总价相一致，包括</w:t>
      </w:r>
      <w:r>
        <w:rPr>
          <w:rFonts w:hint="eastAsia"/>
        </w:rPr>
        <w:t>投标人</w:t>
      </w:r>
      <w:r>
        <w:t>为完成本项目所发生的一切费用相关的所有税费。如分项报价表的总价和</w:t>
      </w:r>
      <w:r>
        <w:rPr>
          <w:rFonts w:hint="eastAsia"/>
        </w:rPr>
        <w:t>开标</w:t>
      </w:r>
      <w:r>
        <w:t>一览表的</w:t>
      </w:r>
      <w:r>
        <w:rPr>
          <w:rFonts w:hint="eastAsia"/>
        </w:rPr>
        <w:t>投标</w:t>
      </w:r>
      <w:r>
        <w:t>总价不一致的，按照本须知规定的内容执行。</w:t>
      </w:r>
    </w:p>
    <w:p w14:paraId="7C3E6E2F">
      <w:pPr>
        <w:spacing w:before="120" w:line="360" w:lineRule="auto"/>
        <w:ind w:left="214" w:firstLine="420"/>
      </w:pPr>
      <w:r>
        <w:rPr>
          <w:rFonts w:cs="Microsoft New Tai Lue"/>
          <w:bCs/>
        </w:rPr>
        <w:t>20.5</w:t>
      </w:r>
      <w:r>
        <w:rPr>
          <w:rFonts w:hint="eastAsia"/>
        </w:rPr>
        <w:t>投标</w:t>
      </w:r>
      <w:r>
        <w:t>报价的其他要求见</w:t>
      </w:r>
      <w:r>
        <w:rPr>
          <w:rFonts w:hint="eastAsia"/>
          <w:b/>
        </w:rPr>
        <w:t>投标人</w:t>
      </w:r>
      <w:r>
        <w:rPr>
          <w:b/>
        </w:rPr>
        <w:t>须知前附表</w:t>
      </w:r>
      <w:r>
        <w:t>。</w:t>
      </w:r>
      <w:bookmarkEnd w:id="159"/>
      <w:bookmarkEnd w:id="160"/>
    </w:p>
    <w:p w14:paraId="4FF1FE57">
      <w:pPr>
        <w:pStyle w:val="4"/>
        <w:spacing w:line="360" w:lineRule="auto"/>
        <w:ind w:left="211" w:right="210" w:hanging="211"/>
        <w:rPr>
          <w:rFonts w:ascii="Times New Roman" w:hAnsi="Times New Roman" w:eastAsia="宋体" w:cs="Microsoft New Tai Lue"/>
        </w:rPr>
      </w:pPr>
      <w:bookmarkStart w:id="166" w:name="_Toc103848545"/>
      <w:bookmarkStart w:id="167" w:name="_Toc838903386"/>
      <w:bookmarkStart w:id="168" w:name="_Toc107246237"/>
      <w:bookmarkStart w:id="169" w:name="_Toc104560859"/>
      <w:bookmarkStart w:id="170" w:name="_Toc100905224"/>
      <w:bookmarkStart w:id="171" w:name="_Toc96347878"/>
      <w:bookmarkStart w:id="172" w:name="_Toc100905223"/>
      <w:bookmarkStart w:id="173" w:name="_Toc103848544"/>
      <w:r>
        <w:rPr>
          <w:rFonts w:ascii="Times New Roman" w:hAnsi="Times New Roman" w:eastAsia="宋体" w:cs="Microsoft New Tai Lue"/>
        </w:rPr>
        <w:t>21.投标有效期</w:t>
      </w:r>
      <w:bookmarkEnd w:id="166"/>
      <w:bookmarkEnd w:id="167"/>
      <w:bookmarkEnd w:id="168"/>
      <w:bookmarkEnd w:id="169"/>
      <w:bookmarkEnd w:id="170"/>
    </w:p>
    <w:p w14:paraId="02459C80">
      <w:pPr>
        <w:spacing w:before="120" w:line="360" w:lineRule="auto"/>
        <w:ind w:left="214" w:firstLine="420"/>
        <w:rPr>
          <w:rFonts w:cs="Microsoft New Tai Lue"/>
          <w:b/>
          <w:bCs/>
        </w:rPr>
      </w:pPr>
      <w:r>
        <w:rPr>
          <w:rFonts w:cs="Microsoft New Tai Lue"/>
          <w:bCs/>
        </w:rPr>
        <w:t>21.1投标有效期见</w:t>
      </w:r>
      <w:r>
        <w:rPr>
          <w:rFonts w:cs="Microsoft New Tai Lue"/>
          <w:b/>
          <w:bCs/>
        </w:rPr>
        <w:t>投标人须知前附表</w:t>
      </w:r>
      <w:r>
        <w:rPr>
          <w:rFonts w:cs="Microsoft New Tai Lue"/>
          <w:bCs/>
        </w:rPr>
        <w:t>，在此期间投标文件对投标人具有法律约束力，以保证采购人有足够的时间完成评标、定标以及签订合同。投标有效期从</w:t>
      </w:r>
      <w:r>
        <w:rPr>
          <w:rFonts w:cs="Microsoft New Tai Lue"/>
          <w:b/>
          <w:bCs/>
        </w:rPr>
        <w:t>投标人须知前附表</w:t>
      </w:r>
      <w:r>
        <w:rPr>
          <w:rFonts w:cs="Microsoft New Tai Lue"/>
          <w:bCs/>
        </w:rPr>
        <w:t>规定的投标截止之日起计算。</w:t>
      </w:r>
      <w:r>
        <w:rPr>
          <w:rFonts w:cs="Microsoft New Tai Lue"/>
          <w:b/>
          <w:bCs/>
        </w:rPr>
        <w:t>投标有效期不足的，在评标时将其视为无效投标。</w:t>
      </w:r>
    </w:p>
    <w:p w14:paraId="7E8612ED">
      <w:pPr>
        <w:spacing w:before="120" w:line="360" w:lineRule="auto"/>
        <w:ind w:left="214" w:firstLine="420"/>
        <w:rPr>
          <w:rFonts w:cs="Microsoft New Tai Lue"/>
          <w:bCs/>
        </w:rPr>
      </w:pPr>
      <w:r>
        <w:rPr>
          <w:rFonts w:cs="Microsoft New Tai Lue"/>
          <w:bCs/>
        </w:rPr>
        <w:t>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p>
    <w:p w14:paraId="243073AA">
      <w:pPr>
        <w:pStyle w:val="4"/>
        <w:spacing w:line="360" w:lineRule="auto"/>
        <w:ind w:left="211" w:right="210" w:hanging="211"/>
        <w:rPr>
          <w:rFonts w:ascii="Times New Roman" w:hAnsi="Times New Roman" w:eastAsia="宋体" w:cs="Microsoft New Tai Lue"/>
        </w:rPr>
      </w:pPr>
      <w:bookmarkStart w:id="174" w:name="_Toc104560860"/>
      <w:bookmarkStart w:id="175" w:name="_Toc1219065947"/>
      <w:bookmarkStart w:id="176" w:name="_Toc107246238"/>
      <w:r>
        <w:rPr>
          <w:rFonts w:ascii="Times New Roman" w:hAnsi="Times New Roman" w:eastAsia="宋体" w:cs="Microsoft New Tai Lue"/>
        </w:rPr>
        <w:t>22.投标保证金</w:t>
      </w:r>
      <w:bookmarkEnd w:id="171"/>
      <w:bookmarkEnd w:id="172"/>
      <w:bookmarkEnd w:id="173"/>
      <w:bookmarkEnd w:id="174"/>
      <w:bookmarkEnd w:id="175"/>
      <w:bookmarkEnd w:id="176"/>
    </w:p>
    <w:p w14:paraId="20056DE1">
      <w:pPr>
        <w:spacing w:before="120" w:line="360" w:lineRule="auto"/>
        <w:ind w:left="214" w:firstLine="420"/>
        <w:rPr>
          <w:rFonts w:cs="Microsoft New Tai Lue"/>
          <w:bCs/>
        </w:rPr>
      </w:pPr>
      <w:bookmarkStart w:id="177" w:name="_Toc68159552"/>
      <w:bookmarkStart w:id="178" w:name="_Toc420657357"/>
      <w:bookmarkStart w:id="179" w:name="_Toc420487862"/>
      <w:bookmarkStart w:id="180" w:name="_Toc519241651"/>
      <w:bookmarkStart w:id="181" w:name="_Toc466452044"/>
      <w:bookmarkStart w:id="182" w:name="_Toc96347879"/>
      <w:r>
        <w:rPr>
          <w:rFonts w:cs="Microsoft New Tai Lue"/>
          <w:bCs/>
        </w:rPr>
        <w:t>22.1本项目是否交纳投标保证金见</w:t>
      </w:r>
      <w:r>
        <w:rPr>
          <w:rFonts w:cs="Microsoft New Tai Lue"/>
          <w:b/>
          <w:bCs/>
        </w:rPr>
        <w:t>投标人须知前附表</w:t>
      </w:r>
      <w:r>
        <w:rPr>
          <w:rFonts w:cs="Microsoft New Tai Lue"/>
          <w:bCs/>
        </w:rPr>
        <w:t>。</w:t>
      </w:r>
    </w:p>
    <w:p w14:paraId="6875C87E">
      <w:pPr>
        <w:spacing w:before="120" w:line="360" w:lineRule="auto"/>
        <w:ind w:left="214" w:firstLine="420"/>
        <w:rPr>
          <w:rFonts w:cs="Microsoft New Tai Lue"/>
          <w:bCs/>
        </w:rPr>
      </w:pPr>
      <w:r>
        <w:rPr>
          <w:rFonts w:cs="Microsoft New Tai Lue"/>
          <w:bCs/>
        </w:rPr>
        <w:t>22.2</w:t>
      </w:r>
      <w:r>
        <w:rPr>
          <w:rFonts w:hint="eastAsia" w:cs="Microsoft New Tai Lue"/>
          <w:bCs/>
        </w:rPr>
        <w:t>投标人按照</w:t>
      </w:r>
      <w:r>
        <w:rPr>
          <w:rFonts w:cs="Microsoft New Tai Lue"/>
          <w:b/>
          <w:bCs/>
        </w:rPr>
        <w:t>投标人须知前附表</w:t>
      </w:r>
      <w:r>
        <w:rPr>
          <w:rFonts w:hint="eastAsia" w:cs="Microsoft New Tai Lue"/>
          <w:bCs/>
        </w:rPr>
        <w:t>要求的</w:t>
      </w:r>
      <w:r>
        <w:rPr>
          <w:rFonts w:cs="Microsoft New Tai Lue"/>
          <w:bCs/>
        </w:rPr>
        <w:t>形式，在</w:t>
      </w:r>
      <w:r>
        <w:rPr>
          <w:rFonts w:cs="Microsoft New Tai Lue"/>
          <w:b/>
          <w:bCs/>
        </w:rPr>
        <w:t>投标人须知前附表</w:t>
      </w:r>
      <w:r>
        <w:rPr>
          <w:rFonts w:cs="Microsoft New Tai Lue"/>
          <w:bCs/>
        </w:rPr>
        <w:t>规定的投标截止时间前，向采购方提交</w:t>
      </w:r>
      <w:r>
        <w:rPr>
          <w:rFonts w:cs="Microsoft New Tai Lue"/>
          <w:b/>
          <w:bCs/>
        </w:rPr>
        <w:t>投标人须知前附表</w:t>
      </w:r>
      <w:r>
        <w:rPr>
          <w:rFonts w:cs="Microsoft New Tai Lue"/>
          <w:bCs/>
        </w:rPr>
        <w:t>规定的投标保证金(数额采用四舍五入，计算至元)。投标保证金有效期应与</w:t>
      </w:r>
      <w:r>
        <w:rPr>
          <w:rFonts w:cs="Microsoft New Tai Lue"/>
          <w:b/>
          <w:bCs/>
        </w:rPr>
        <w:t>投标人须知前附表</w:t>
      </w:r>
      <w:r>
        <w:rPr>
          <w:rFonts w:cs="Microsoft New Tai Lue"/>
          <w:bCs/>
        </w:rPr>
        <w:t>规定的投标有效期一致。</w:t>
      </w:r>
      <w:r>
        <w:rPr>
          <w:rFonts w:hint="eastAsia" w:cs="Segoe UI Symbol"/>
          <w:b/>
        </w:rPr>
        <w:t>投标人未按规定缴纳投标保证金的或</w:t>
      </w:r>
      <w:r>
        <w:rPr>
          <w:rFonts w:hint="eastAsia" w:cs="Microsoft New Tai Lue"/>
          <w:b/>
          <w:bCs/>
        </w:rPr>
        <w:t>由于到账时间晚于投标截止时间的，或者票据错误、印鉴不清等原因导致不能到账的，其投标无效。</w:t>
      </w:r>
    </w:p>
    <w:p w14:paraId="76F1FDE6">
      <w:pPr>
        <w:spacing w:before="120" w:line="360" w:lineRule="auto"/>
        <w:ind w:left="214" w:firstLine="420"/>
        <w:rPr>
          <w:rFonts w:cs="Microsoft New Tai Lue"/>
          <w:bCs/>
        </w:rPr>
      </w:pPr>
      <w:r>
        <w:rPr>
          <w:rFonts w:cs="Microsoft New Tai Lue"/>
          <w:bCs/>
        </w:rPr>
        <w:t>22.3联合体投标的，可以由联合体中的一方或者共同提交投标保证金。以一方名义提交投标保证金的，对联合体各方均具有约束力。</w:t>
      </w:r>
    </w:p>
    <w:p w14:paraId="2FED2B53">
      <w:pPr>
        <w:spacing w:before="120" w:line="360" w:lineRule="auto"/>
        <w:ind w:left="214" w:firstLine="420"/>
        <w:rPr>
          <w:rFonts w:cs="Microsoft New Tai Lue"/>
          <w:bCs/>
        </w:rPr>
      </w:pPr>
      <w:r>
        <w:rPr>
          <w:rFonts w:cs="Microsoft New Tai Lue"/>
          <w:bCs/>
        </w:rPr>
        <w:t>22.4未中标的投标人的投标保证金，将在中标通知书发出后5个工作日内退还，但因投标人自身原因导致无法及时退还的除外。</w:t>
      </w:r>
    </w:p>
    <w:p w14:paraId="14481B52">
      <w:pPr>
        <w:spacing w:before="120" w:line="360" w:lineRule="auto"/>
        <w:ind w:left="214" w:firstLine="420"/>
        <w:rPr>
          <w:rFonts w:cs="Microsoft New Tai Lue"/>
          <w:bCs/>
        </w:rPr>
      </w:pPr>
      <w:r>
        <w:rPr>
          <w:rFonts w:cs="Microsoft New Tai Lue"/>
          <w:bCs/>
        </w:rPr>
        <w:t>22.5中标的投标人的投标保证金，将在政府采购合同签订后5个工作日内退还中标人。</w:t>
      </w:r>
    </w:p>
    <w:p w14:paraId="4A3A0A1E">
      <w:pPr>
        <w:spacing w:before="120" w:line="360" w:lineRule="auto"/>
        <w:ind w:left="214" w:firstLine="420"/>
        <w:rPr>
          <w:rFonts w:cs="Microsoft New Tai Lue"/>
          <w:bCs/>
        </w:rPr>
      </w:pPr>
      <w:r>
        <w:rPr>
          <w:rFonts w:cs="Microsoft New Tai Lue"/>
          <w:bCs/>
        </w:rPr>
        <w:t>22.6投标人有以下情形之一的，投标保证金可以不予退还：</w:t>
      </w:r>
      <w:bookmarkEnd w:id="177"/>
      <w:bookmarkEnd w:id="178"/>
      <w:bookmarkEnd w:id="179"/>
      <w:bookmarkEnd w:id="180"/>
      <w:bookmarkEnd w:id="181"/>
      <w:bookmarkEnd w:id="182"/>
    </w:p>
    <w:p w14:paraId="6DECDABB">
      <w:pPr>
        <w:spacing w:line="360" w:lineRule="auto"/>
        <w:ind w:left="214" w:firstLine="315"/>
        <w:jc w:val="left"/>
      </w:pPr>
      <w:bookmarkStart w:id="183" w:name="_Toc100905225"/>
      <w:bookmarkStart w:id="184" w:name="_Toc104560861"/>
      <w:bookmarkStart w:id="185" w:name="_Toc103848546"/>
      <w:bookmarkStart w:id="186" w:name="_Toc96347880"/>
      <w:r>
        <w:t>（1）</w:t>
      </w:r>
      <w:r>
        <w:rPr>
          <w:rFonts w:hint="eastAsia"/>
        </w:rPr>
        <w:t>投标人</w:t>
      </w:r>
      <w:r>
        <w:t>在</w:t>
      </w:r>
      <w:r>
        <w:rPr>
          <w:rFonts w:hint="eastAsia"/>
        </w:rPr>
        <w:t>招标</w:t>
      </w:r>
      <w:r>
        <w:t>文件规定的</w:t>
      </w:r>
      <w:r>
        <w:rPr>
          <w:rFonts w:hint="eastAsia"/>
        </w:rPr>
        <w:t>投标</w:t>
      </w:r>
      <w:r>
        <w:t>有效期内撤销其</w:t>
      </w:r>
      <w:r>
        <w:rPr>
          <w:rFonts w:hint="eastAsia"/>
        </w:rPr>
        <w:t>投标</w:t>
      </w:r>
      <w:r>
        <w:t>文件；</w:t>
      </w:r>
    </w:p>
    <w:p w14:paraId="473E0B27">
      <w:pPr>
        <w:spacing w:line="360" w:lineRule="auto"/>
        <w:ind w:left="214" w:firstLine="315"/>
        <w:jc w:val="left"/>
      </w:pPr>
      <w:r>
        <w:t>（2）</w:t>
      </w:r>
      <w:r>
        <w:rPr>
          <w:rFonts w:hint="eastAsia"/>
        </w:rPr>
        <w:t>投标人在投标文件中提供</w:t>
      </w:r>
      <w:r>
        <w:t>虚假材料</w:t>
      </w:r>
      <w:r>
        <w:rPr>
          <w:rFonts w:hint="eastAsia"/>
        </w:rPr>
        <w:t>的</w:t>
      </w:r>
      <w:r>
        <w:t>；</w:t>
      </w:r>
    </w:p>
    <w:p w14:paraId="428F4738">
      <w:pPr>
        <w:spacing w:line="360" w:lineRule="auto"/>
        <w:ind w:left="214" w:firstLine="315"/>
        <w:jc w:val="left"/>
      </w:pPr>
      <w:r>
        <w:rPr>
          <w:rFonts w:hint="eastAsia"/>
        </w:rPr>
        <w:t>（3）投标人在本次采购活动中存在</w:t>
      </w:r>
      <w:r>
        <w:t>恶意串通</w:t>
      </w:r>
      <w:r>
        <w:rPr>
          <w:rFonts w:hint="eastAsia"/>
        </w:rPr>
        <w:t>行为的</w:t>
      </w:r>
      <w:r>
        <w:t>；</w:t>
      </w:r>
    </w:p>
    <w:p w14:paraId="11035DBA">
      <w:pPr>
        <w:spacing w:line="360" w:lineRule="auto"/>
        <w:ind w:left="214" w:firstLine="315"/>
        <w:jc w:val="left"/>
      </w:pPr>
      <w:r>
        <w:t>（4）</w:t>
      </w:r>
      <w:r>
        <w:rPr>
          <w:rFonts w:hint="eastAsia"/>
        </w:rPr>
        <w:t>中标人</w:t>
      </w:r>
      <w:r>
        <w:t>未能按规定交纳采购代理服务费；</w:t>
      </w:r>
    </w:p>
    <w:p w14:paraId="50EB4055">
      <w:pPr>
        <w:spacing w:line="360" w:lineRule="auto"/>
        <w:ind w:left="214" w:firstLine="315"/>
        <w:jc w:val="left"/>
      </w:pPr>
      <w:r>
        <w:t>（5）</w:t>
      </w:r>
      <w:r>
        <w:rPr>
          <w:rFonts w:hint="eastAsia"/>
        </w:rPr>
        <w:t>中标人</w:t>
      </w:r>
      <w:r>
        <w:t>在收到</w:t>
      </w:r>
      <w:r>
        <w:rPr>
          <w:rFonts w:hint="eastAsia"/>
        </w:rPr>
        <w:t>中标</w:t>
      </w:r>
      <w:r>
        <w:t>通知书后，无正当理由不与采购人订立合同，在签订合同时向采购人提出附加条件，或者不按照</w:t>
      </w:r>
      <w:r>
        <w:rPr>
          <w:rFonts w:hint="eastAsia"/>
        </w:rPr>
        <w:t>招标</w:t>
      </w:r>
      <w:r>
        <w:t>文件要求提交履约保证金（如有）；</w:t>
      </w:r>
    </w:p>
    <w:p w14:paraId="72959A42">
      <w:pPr>
        <w:spacing w:line="360" w:lineRule="auto"/>
        <w:ind w:left="214" w:firstLine="315"/>
        <w:jc w:val="left"/>
      </w:pPr>
      <w:r>
        <w:t>（6）</w:t>
      </w:r>
      <w:r>
        <w:rPr>
          <w:rFonts w:hint="eastAsia"/>
        </w:rPr>
        <w:t>招标</w:t>
      </w:r>
      <w:r>
        <w:t>文件规定的其他可以不予退还</w:t>
      </w:r>
      <w:r>
        <w:rPr>
          <w:rFonts w:hint="eastAsia"/>
        </w:rPr>
        <w:t>投标</w:t>
      </w:r>
      <w:r>
        <w:t>保证金的情形。</w:t>
      </w:r>
    </w:p>
    <w:p w14:paraId="0FCA7E57">
      <w:pPr>
        <w:pStyle w:val="4"/>
        <w:spacing w:line="360" w:lineRule="auto"/>
        <w:ind w:left="211" w:right="210" w:hanging="211"/>
        <w:rPr>
          <w:rFonts w:ascii="Times New Roman" w:hAnsi="Times New Roman" w:eastAsia="宋体" w:cs="Microsoft New Tai Lue"/>
        </w:rPr>
      </w:pPr>
      <w:bookmarkStart w:id="187" w:name="_Toc107246239"/>
      <w:bookmarkStart w:id="188" w:name="_Toc1847378849"/>
      <w:r>
        <w:rPr>
          <w:rFonts w:ascii="Times New Roman" w:hAnsi="Times New Roman" w:eastAsia="宋体" w:cs="Microsoft New Tai Lue"/>
        </w:rPr>
        <w:t>23.投标文件的</w:t>
      </w:r>
      <w:r>
        <w:rPr>
          <w:rFonts w:hint="eastAsia" w:ascii="Times New Roman" w:hAnsi="Times New Roman" w:eastAsia="宋体" w:cs="Microsoft New Tai Lue"/>
        </w:rPr>
        <w:t>制作和</w:t>
      </w:r>
      <w:r>
        <w:rPr>
          <w:rFonts w:ascii="Times New Roman" w:hAnsi="Times New Roman" w:eastAsia="宋体" w:cs="Microsoft New Tai Lue"/>
        </w:rPr>
        <w:t>签署</w:t>
      </w:r>
      <w:bookmarkEnd w:id="183"/>
      <w:bookmarkEnd w:id="184"/>
      <w:bookmarkEnd w:id="185"/>
      <w:bookmarkEnd w:id="186"/>
      <w:bookmarkEnd w:id="187"/>
      <w:bookmarkEnd w:id="188"/>
    </w:p>
    <w:p w14:paraId="070EAEBC">
      <w:pPr>
        <w:spacing w:before="156" w:after="40" w:line="360" w:lineRule="auto"/>
        <w:ind w:firstLine="420"/>
        <w:rPr>
          <w:rFonts w:cs="Microsoft New Tai Lue"/>
          <w:bCs/>
        </w:rPr>
      </w:pPr>
      <w:r>
        <w:rPr>
          <w:rFonts w:cs="Microsoft New Tai Lue"/>
          <w:bCs/>
        </w:rPr>
        <w:t>23.1</w:t>
      </w:r>
      <w:r>
        <w:rPr>
          <w:rFonts w:cs="Arial"/>
          <w:color w:val="000000"/>
        </w:rPr>
        <w:t>投标人应当按照《操作手册》规定，在招标公告规定的投标截止时间前制作并上传电子投标文件。</w:t>
      </w:r>
      <w:r>
        <w:rPr>
          <w:rFonts w:cs="Arial"/>
          <w:color w:val="000000"/>
          <w:lang w:val="zh-CN"/>
        </w:rPr>
        <w:t>招标代理机构拒绝接收提交</w:t>
      </w:r>
      <w:r>
        <w:rPr>
          <w:rFonts w:cs="Arial"/>
          <w:color w:val="000000"/>
        </w:rPr>
        <w:t>投标</w:t>
      </w:r>
      <w:r>
        <w:rPr>
          <w:rFonts w:cs="Arial"/>
          <w:color w:val="000000"/>
          <w:lang w:val="zh-CN"/>
        </w:rPr>
        <w:t>文件截止时间后上传的任何电子</w:t>
      </w:r>
      <w:r>
        <w:rPr>
          <w:rFonts w:cs="Arial"/>
          <w:color w:val="000000"/>
        </w:rPr>
        <w:t>投标</w:t>
      </w:r>
      <w:r>
        <w:rPr>
          <w:rFonts w:cs="Arial"/>
          <w:color w:val="000000"/>
          <w:lang w:val="zh-CN"/>
        </w:rPr>
        <w:t>文件。</w:t>
      </w:r>
    </w:p>
    <w:p w14:paraId="0B336FF2">
      <w:pPr>
        <w:spacing w:before="156" w:after="40" w:line="360" w:lineRule="auto"/>
        <w:ind w:firstLine="420"/>
        <w:rPr>
          <w:rFonts w:cs="Microsoft New Tai Lue"/>
          <w:bCs/>
        </w:rPr>
      </w:pPr>
      <w:r>
        <w:rPr>
          <w:rFonts w:cs="Microsoft New Tai Lue"/>
          <w:bCs/>
        </w:rPr>
        <w:t>23.2</w:t>
      </w:r>
      <w:r>
        <w:rPr>
          <w:rFonts w:hint="eastAsia" w:cs="Microsoft New Tai Lue"/>
          <w:b/>
          <w:bCs/>
        </w:rPr>
        <w:t>投标文件</w:t>
      </w:r>
      <w:r>
        <w:rPr>
          <w:rFonts w:cs="Microsoft New Tai Lue"/>
          <w:b/>
          <w:bCs/>
        </w:rPr>
        <w:t>应加盖</w:t>
      </w:r>
      <w:r>
        <w:rPr>
          <w:rFonts w:hint="eastAsia" w:cs="Microsoft New Tai Lue"/>
          <w:b/>
          <w:bCs/>
          <w:lang w:eastAsia="zh-CN"/>
        </w:rPr>
        <w:t>电子公章</w:t>
      </w:r>
      <w:r>
        <w:rPr>
          <w:rFonts w:cs="Microsoft New Tai Lue"/>
          <w:b/>
          <w:bCs/>
        </w:rPr>
        <w:t>并由</w:t>
      </w:r>
      <w:r>
        <w:rPr>
          <w:rFonts w:hint="eastAsia" w:cs="Microsoft New Tai Lue"/>
          <w:b/>
          <w:bCs/>
        </w:rPr>
        <w:t>投标人</w:t>
      </w:r>
      <w:r>
        <w:rPr>
          <w:rFonts w:cs="Microsoft New Tai Lue"/>
          <w:b/>
          <w:bCs/>
        </w:rPr>
        <w:t>法定代表人</w:t>
      </w:r>
      <w:r>
        <w:rPr>
          <w:rFonts w:hint="eastAsia" w:cs="Microsoft New Tai Lue"/>
          <w:b/>
          <w:bCs/>
        </w:rPr>
        <w:t>（单位</w:t>
      </w:r>
      <w:r>
        <w:rPr>
          <w:rFonts w:cs="Microsoft New Tai Lue"/>
          <w:b/>
          <w:bCs/>
        </w:rPr>
        <w:t>负责人</w:t>
      </w:r>
      <w:r>
        <w:rPr>
          <w:rFonts w:hint="eastAsia" w:cs="Microsoft New Tai Lue"/>
          <w:b/>
          <w:bCs/>
        </w:rPr>
        <w:t>）</w:t>
      </w:r>
      <w:r>
        <w:rPr>
          <w:rFonts w:cs="Microsoft New Tai Lue"/>
          <w:b/>
          <w:bCs/>
        </w:rPr>
        <w:t>或其授权代表签字。授权代表须提供法定代表人以书面形式出具的</w:t>
      </w:r>
      <w:r>
        <w:rPr>
          <w:rFonts w:hint="eastAsia" w:cs="Microsoft New Tai Lue"/>
          <w:bCs/>
        </w:rPr>
        <w:t>“</w:t>
      </w:r>
      <w:r>
        <w:rPr>
          <w:rFonts w:cs="Microsoft New Tai Lue"/>
          <w:b/>
          <w:bCs/>
        </w:rPr>
        <w:t>法定代表人授权书”（由</w:t>
      </w:r>
      <w:r>
        <w:rPr>
          <w:rFonts w:hint="eastAsia" w:cs="Microsoft New Tai Lue"/>
          <w:b/>
          <w:bCs/>
        </w:rPr>
        <w:t>法定代表人</w:t>
      </w:r>
      <w:r>
        <w:rPr>
          <w:rFonts w:cs="Microsoft New Tai Lue"/>
          <w:b/>
          <w:bCs/>
        </w:rPr>
        <w:t>签章并加盖企业</w:t>
      </w:r>
      <w:r>
        <w:rPr>
          <w:rFonts w:hint="eastAsia" w:cs="Microsoft New Tai Lue"/>
          <w:b/>
          <w:bCs/>
          <w:lang w:eastAsia="zh-CN"/>
        </w:rPr>
        <w:t>电子公章</w:t>
      </w:r>
      <w:r>
        <w:rPr>
          <w:rFonts w:cs="Microsoft New Tai Lue"/>
          <w:b/>
          <w:bCs/>
        </w:rPr>
        <w:t>。）授权其负责本项目投标。</w:t>
      </w:r>
    </w:p>
    <w:p w14:paraId="18A58D5D">
      <w:pPr>
        <w:spacing w:before="156" w:after="40" w:line="360" w:lineRule="auto"/>
        <w:ind w:firstLine="420"/>
        <w:rPr>
          <w:rFonts w:cs="Microsoft New Tai Lue"/>
          <w:bCs/>
        </w:rPr>
      </w:pPr>
      <w:r>
        <w:rPr>
          <w:rFonts w:cs="Microsoft New Tai Lue"/>
          <w:bCs/>
        </w:rPr>
        <w:t>23.3投标文件规定盖章的地方，应盖单位</w:t>
      </w:r>
      <w:r>
        <w:rPr>
          <w:rFonts w:hint="eastAsia" w:cs="Microsoft New Tai Lue"/>
          <w:bCs/>
          <w:lang w:eastAsia="zh-CN"/>
        </w:rPr>
        <w:t>电子公章</w:t>
      </w:r>
      <w:r>
        <w:rPr>
          <w:rFonts w:cs="Microsoft New Tai Lue"/>
          <w:bCs/>
        </w:rPr>
        <w:t>（文件中的单位盖章、印章、</w:t>
      </w:r>
      <w:r>
        <w:rPr>
          <w:rFonts w:hint="eastAsia" w:cs="Microsoft New Tai Lue"/>
          <w:bCs/>
          <w:lang w:eastAsia="zh-CN"/>
        </w:rPr>
        <w:t>电子公章</w:t>
      </w:r>
      <w:r>
        <w:rPr>
          <w:rFonts w:cs="Microsoft New Tai Lue"/>
          <w:bCs/>
        </w:rPr>
        <w:t>等处均仅指与</w:t>
      </w:r>
      <w:r>
        <w:rPr>
          <w:rFonts w:hint="eastAsia" w:cs="Microsoft New Tai Lue"/>
          <w:bCs/>
        </w:rPr>
        <w:t>投标人</w:t>
      </w:r>
      <w:r>
        <w:rPr>
          <w:rFonts w:cs="Microsoft New Tai Lue"/>
          <w:bCs/>
        </w:rPr>
        <w:t>名称全称相一致的标准</w:t>
      </w:r>
      <w:r>
        <w:rPr>
          <w:rFonts w:hint="eastAsia" w:cs="Microsoft New Tai Lue"/>
          <w:bCs/>
          <w:lang w:eastAsia="zh-CN"/>
        </w:rPr>
        <w:t>电子公章</w:t>
      </w:r>
      <w:r>
        <w:rPr>
          <w:rFonts w:hint="eastAsia" w:cs="Microsoft New Tai Lue"/>
          <w:bCs/>
        </w:rPr>
        <w:t>，如投标人为自然人可不加盖</w:t>
      </w:r>
      <w:r>
        <w:rPr>
          <w:rFonts w:hint="eastAsia" w:cs="Microsoft New Tai Lue"/>
          <w:bCs/>
          <w:lang w:eastAsia="zh-CN"/>
        </w:rPr>
        <w:t>电子公章</w:t>
      </w:r>
      <w:r>
        <w:rPr>
          <w:rFonts w:hint="eastAsia" w:cs="Microsoft New Tai Lue"/>
          <w:bCs/>
        </w:rPr>
        <w:t>，仅由本人签字）。</w:t>
      </w:r>
    </w:p>
    <w:p w14:paraId="1A9BDE2D">
      <w:pPr>
        <w:spacing w:before="156" w:after="40" w:line="360" w:lineRule="auto"/>
        <w:ind w:firstLine="420"/>
        <w:rPr>
          <w:rFonts w:cs="Microsoft New Tai Lue"/>
          <w:bCs/>
        </w:rPr>
      </w:pPr>
      <w:r>
        <w:rPr>
          <w:rFonts w:hint="eastAsia" w:cs="Microsoft New Tai Lue"/>
          <w:bCs/>
        </w:rPr>
        <w:t>2</w:t>
      </w:r>
      <w:r>
        <w:rPr>
          <w:rFonts w:cs="Microsoft New Tai Lue"/>
          <w:bCs/>
        </w:rPr>
        <w:t>3.4</w:t>
      </w:r>
      <w:r>
        <w:rPr>
          <w:rFonts w:cs="Microsoft New Tai Lue"/>
          <w:b/>
        </w:rPr>
        <w:t>如投标过程中投标人使用其他形式的印章（</w:t>
      </w:r>
      <w:r>
        <w:rPr>
          <w:rFonts w:hint="eastAsia" w:cs="Microsoft New Tai Lue"/>
          <w:b/>
        </w:rPr>
        <w:t>如</w:t>
      </w:r>
      <w:r>
        <w:rPr>
          <w:rFonts w:cs="Microsoft New Tai Lue"/>
          <w:b/>
        </w:rPr>
        <w:t>带有“专用章”等字样的印章），须提供</w:t>
      </w:r>
      <w:r>
        <w:rPr>
          <w:rFonts w:hint="eastAsia" w:cs="Microsoft New Tai Lue"/>
          <w:b/>
        </w:rPr>
        <w:t>“</w:t>
      </w:r>
      <w:r>
        <w:rPr>
          <w:rFonts w:hint="eastAsia" w:cs="Microsoft New Tai Lue"/>
          <w:b/>
          <w:lang w:eastAsia="zh-CN"/>
        </w:rPr>
        <w:t>电子公章</w:t>
      </w:r>
      <w:r>
        <w:rPr>
          <w:rFonts w:cs="Microsoft New Tai Lue"/>
          <w:b/>
        </w:rPr>
        <w:t>授权书</w:t>
      </w:r>
      <w:r>
        <w:rPr>
          <w:rFonts w:hint="eastAsia" w:cs="Microsoft New Tai Lue"/>
          <w:b/>
        </w:rPr>
        <w:t>”</w:t>
      </w:r>
      <w:r>
        <w:rPr>
          <w:b/>
        </w:rPr>
        <w:t>（</w:t>
      </w:r>
      <w:r>
        <w:rPr>
          <w:rFonts w:hint="eastAsia"/>
          <w:b/>
        </w:rPr>
        <w:t>格式</w:t>
      </w:r>
      <w:r>
        <w:rPr>
          <w:b/>
        </w:rPr>
        <w:t>见</w:t>
      </w:r>
      <w:r>
        <w:rPr>
          <w:rFonts w:hint="eastAsia"/>
          <w:b/>
        </w:rPr>
        <w:t>后</w:t>
      </w:r>
      <w:r>
        <w:rPr>
          <w:b/>
        </w:rPr>
        <w:t>）</w:t>
      </w:r>
      <w:r>
        <w:rPr>
          <w:rFonts w:cs="Microsoft New Tai Lue"/>
          <w:b/>
        </w:rPr>
        <w:t>，明确</w:t>
      </w:r>
      <w:r>
        <w:rPr>
          <w:rFonts w:hint="eastAsia" w:cs="Microsoft New Tai Lue"/>
          <w:b/>
        </w:rPr>
        <w:t>“</w:t>
      </w:r>
      <w:r>
        <w:rPr>
          <w:rFonts w:cs="Microsoft New Tai Lue"/>
          <w:b/>
        </w:rPr>
        <w:t>针对本次项目，</w:t>
      </w:r>
      <w:r>
        <w:rPr>
          <w:rFonts w:hint="eastAsia" w:cs="Microsoft New Tai Lue"/>
          <w:b/>
        </w:rPr>
        <w:t>我单位</w:t>
      </w:r>
      <w:r>
        <w:rPr>
          <w:rFonts w:cs="Microsoft New Tai Lue"/>
          <w:b/>
        </w:rPr>
        <w:t>专用章作为直接参与投标时相关文件的签章，其效力等同于</w:t>
      </w:r>
      <w:r>
        <w:rPr>
          <w:rFonts w:hint="eastAsia" w:cs="Microsoft New Tai Lue"/>
          <w:b/>
          <w:lang w:eastAsia="zh-CN"/>
        </w:rPr>
        <w:t>电子公章</w:t>
      </w:r>
      <w:r>
        <w:rPr>
          <w:rFonts w:hint="eastAsia" w:cs="Microsoft New Tai Lue"/>
          <w:b/>
        </w:rPr>
        <w:t>”</w:t>
      </w:r>
      <w:r>
        <w:rPr>
          <w:rFonts w:cs="Microsoft New Tai Lue"/>
          <w:b/>
        </w:rPr>
        <w:t>，</w:t>
      </w:r>
      <w:r>
        <w:rPr>
          <w:rFonts w:hint="eastAsia" w:cs="Microsoft New Tai Lue"/>
          <w:b/>
        </w:rPr>
        <w:t>“</w:t>
      </w:r>
      <w:r>
        <w:rPr>
          <w:rFonts w:hint="eastAsia" w:cs="Microsoft New Tai Lue"/>
          <w:b/>
          <w:lang w:eastAsia="zh-CN"/>
        </w:rPr>
        <w:t>电子公章</w:t>
      </w:r>
      <w:r>
        <w:rPr>
          <w:rFonts w:hint="eastAsia" w:cs="Microsoft New Tai Lue"/>
          <w:b/>
        </w:rPr>
        <w:t>授权书”</w:t>
      </w:r>
      <w:r>
        <w:rPr>
          <w:rFonts w:cs="Microsoft New Tai Lue"/>
          <w:b/>
        </w:rPr>
        <w:t>须同时加盖投标人</w:t>
      </w:r>
      <w:r>
        <w:rPr>
          <w:rFonts w:hint="eastAsia" w:cs="Microsoft New Tai Lue"/>
          <w:b/>
          <w:lang w:eastAsia="zh-CN"/>
        </w:rPr>
        <w:t>电子公章</w:t>
      </w:r>
      <w:r>
        <w:rPr>
          <w:rFonts w:cs="Microsoft New Tai Lue"/>
          <w:b/>
        </w:rPr>
        <w:t>及</w:t>
      </w:r>
      <w:r>
        <w:rPr>
          <w:rFonts w:hint="eastAsia" w:cs="Microsoft New Tai Lue"/>
          <w:b/>
        </w:rPr>
        <w:t>本次投标使用的</w:t>
      </w:r>
      <w:r>
        <w:rPr>
          <w:rFonts w:cs="Microsoft New Tai Lue"/>
          <w:b/>
        </w:rPr>
        <w:t>专用章</w:t>
      </w:r>
      <w:r>
        <w:rPr>
          <w:rFonts w:hint="eastAsia" w:cs="Microsoft New Tai Lue"/>
          <w:b/>
        </w:rPr>
        <w:t>，否则不予认可</w:t>
      </w:r>
      <w:r>
        <w:rPr>
          <w:rFonts w:cs="Microsoft New Tai Lue"/>
          <w:b/>
        </w:rPr>
        <w:t>。</w:t>
      </w:r>
    </w:p>
    <w:p w14:paraId="4156716C">
      <w:pPr>
        <w:spacing w:before="156" w:after="40" w:line="360" w:lineRule="auto"/>
        <w:ind w:firstLine="420"/>
      </w:pPr>
      <w:r>
        <w:rPr>
          <w:rFonts w:cs="Microsoft New Tai Lue"/>
          <w:bCs/>
        </w:rPr>
        <w:t>23.5除</w:t>
      </w:r>
      <w:r>
        <w:rPr>
          <w:rFonts w:hint="eastAsia" w:cs="Microsoft New Tai Lue"/>
          <w:bCs/>
        </w:rPr>
        <w:t>投标人</w:t>
      </w:r>
      <w:r>
        <w:rPr>
          <w:rFonts w:cs="Microsoft New Tai Lue"/>
          <w:bCs/>
        </w:rPr>
        <w:t>对错处做必要修改外，投标文件不得行间插字、涂改或增删。如有修改错漏处，必须由法定代表人或其授权代表签字或盖章</w:t>
      </w:r>
      <w:r>
        <w:rPr>
          <w:rFonts w:hint="eastAsia" w:cs="Microsoft New Tai Lue"/>
          <w:bCs/>
        </w:rPr>
        <w:t>方有效</w:t>
      </w:r>
      <w:r>
        <w:rPr>
          <w:rFonts w:cs="Microsoft New Tai Lue"/>
          <w:bCs/>
        </w:rPr>
        <w:t>。</w:t>
      </w:r>
    </w:p>
    <w:p w14:paraId="325D6448">
      <w:pPr>
        <w:spacing w:line="360" w:lineRule="auto"/>
        <w:ind w:left="214" w:firstLine="420"/>
        <w:jc w:val="left"/>
      </w:pPr>
    </w:p>
    <w:p w14:paraId="5C4F0A9D">
      <w:pPr>
        <w:pStyle w:val="3"/>
        <w:spacing w:line="360" w:lineRule="auto"/>
        <w:ind w:left="211" w:right="210" w:hanging="211"/>
        <w:rPr>
          <w:rFonts w:ascii="Times New Roman" w:hAnsi="Times New Roman" w:eastAsia="宋体" w:cs="Microsoft New Tai Lue"/>
        </w:rPr>
      </w:pPr>
      <w:bookmarkStart w:id="189" w:name="_Toc577746817"/>
      <w:bookmarkStart w:id="190" w:name="_Toc5876"/>
      <w:r>
        <w:rPr>
          <w:rFonts w:ascii="Times New Roman" w:hAnsi="Times New Roman" w:eastAsia="宋体" w:cs="Microsoft New Tai Lue"/>
        </w:rPr>
        <w:t>四．投标文件的递交</w:t>
      </w:r>
      <w:bookmarkEnd w:id="189"/>
      <w:bookmarkEnd w:id="190"/>
    </w:p>
    <w:p w14:paraId="247F42B4">
      <w:pPr>
        <w:pStyle w:val="4"/>
        <w:spacing w:line="360" w:lineRule="auto"/>
        <w:ind w:left="211" w:right="210" w:hanging="211"/>
        <w:rPr>
          <w:rFonts w:ascii="Times New Roman" w:hAnsi="Times New Roman" w:eastAsia="宋体" w:cs="Microsoft New Tai Lue"/>
        </w:rPr>
      </w:pPr>
      <w:bookmarkStart w:id="191" w:name="_Toc1417185232"/>
      <w:bookmarkStart w:id="192" w:name="_Toc104560863"/>
      <w:bookmarkStart w:id="193" w:name="_Toc100905226"/>
      <w:bookmarkStart w:id="194" w:name="_Toc103848548"/>
      <w:bookmarkStart w:id="195" w:name="_Toc96347881"/>
      <w:bookmarkStart w:id="196" w:name="_Toc107246241"/>
      <w:r>
        <w:rPr>
          <w:rFonts w:ascii="Times New Roman" w:hAnsi="Times New Roman" w:eastAsia="宋体" w:cs="Microsoft New Tai Lue"/>
        </w:rPr>
        <w:t>24.投标文件的密封和标记</w:t>
      </w:r>
      <w:bookmarkEnd w:id="191"/>
      <w:bookmarkEnd w:id="192"/>
      <w:bookmarkEnd w:id="193"/>
      <w:bookmarkEnd w:id="194"/>
      <w:bookmarkEnd w:id="195"/>
      <w:bookmarkEnd w:id="196"/>
    </w:p>
    <w:p w14:paraId="2879C68B">
      <w:pPr>
        <w:spacing w:line="360" w:lineRule="auto"/>
        <w:ind w:firstLine="420"/>
        <w:rPr>
          <w:rFonts w:cs="Microsoft New Tai Lue"/>
          <w:bCs/>
        </w:rPr>
      </w:pPr>
      <w:bookmarkStart w:id="197" w:name="_Toc38931614"/>
      <w:bookmarkStart w:id="198" w:name="_Toc100905227"/>
      <w:bookmarkStart w:id="199" w:name="_Toc38931800"/>
      <w:bookmarkStart w:id="200" w:name="_Toc5042"/>
      <w:bookmarkStart w:id="201" w:name="_Toc46939510"/>
      <w:bookmarkStart w:id="202" w:name="_Toc48151397"/>
      <w:bookmarkStart w:id="203" w:name="_Toc51928343"/>
      <w:bookmarkStart w:id="204" w:name="_Toc103848549"/>
      <w:bookmarkStart w:id="205" w:name="_Toc38933357"/>
      <w:bookmarkStart w:id="206" w:name="_Toc4536"/>
      <w:bookmarkStart w:id="207" w:name="_Toc97561941"/>
      <w:bookmarkStart w:id="208" w:name="_Toc91399404"/>
      <w:bookmarkStart w:id="209" w:name="_Toc89586904"/>
      <w:bookmarkStart w:id="210" w:name="_Toc11952"/>
      <w:bookmarkStart w:id="211" w:name="_Toc469850063"/>
      <w:bookmarkStart w:id="212" w:name="_Toc19963"/>
      <w:bookmarkStart w:id="213" w:name="_Toc46219699"/>
      <w:bookmarkStart w:id="214" w:name="_Toc40202948"/>
      <w:bookmarkStart w:id="215" w:name="_Toc11464"/>
      <w:bookmarkStart w:id="216" w:name="_Toc96347882"/>
      <w:bookmarkStart w:id="217" w:name="_Toc50528805"/>
      <w:bookmarkStart w:id="218" w:name="_Toc46960670"/>
      <w:r>
        <w:rPr>
          <w:rFonts w:cs="Microsoft New Tai Lue"/>
          <w:bCs/>
        </w:rPr>
        <w:t>投标人应当按照《操作手册》规定，在招标公告规定的投标截止时间前制作并上传电子投标文件。</w:t>
      </w:r>
      <w:r>
        <w:rPr>
          <w:rFonts w:cs="Microsoft New Tai Lue"/>
          <w:bCs/>
          <w:lang w:val="zh-CN"/>
        </w:rPr>
        <w:t>招标代理机构拒绝接收提交</w:t>
      </w:r>
      <w:r>
        <w:rPr>
          <w:rFonts w:cs="Microsoft New Tai Lue"/>
          <w:bCs/>
        </w:rPr>
        <w:t>投标</w:t>
      </w:r>
      <w:r>
        <w:rPr>
          <w:rFonts w:cs="Microsoft New Tai Lue"/>
          <w:bCs/>
          <w:lang w:val="zh-CN"/>
        </w:rPr>
        <w:t>文件截止时间后上传的任何电子</w:t>
      </w:r>
      <w:r>
        <w:rPr>
          <w:rFonts w:cs="Microsoft New Tai Lue"/>
          <w:bCs/>
        </w:rPr>
        <w:t>投标</w:t>
      </w:r>
      <w:r>
        <w:rPr>
          <w:rFonts w:cs="Microsoft New Tai Lue"/>
          <w:bCs/>
          <w:lang w:val="zh-CN"/>
        </w:rPr>
        <w:t>文件。</w:t>
      </w:r>
    </w:p>
    <w:p w14:paraId="687D78D1">
      <w:pPr>
        <w:pStyle w:val="4"/>
        <w:spacing w:line="360" w:lineRule="auto"/>
        <w:ind w:left="211" w:right="210" w:hanging="211"/>
        <w:rPr>
          <w:rFonts w:ascii="Times New Roman" w:hAnsi="Times New Roman" w:eastAsia="宋体" w:cs="Microsoft New Tai Lue"/>
        </w:rPr>
      </w:pPr>
      <w:bookmarkStart w:id="219" w:name="_Toc104560864"/>
      <w:bookmarkStart w:id="220" w:name="_Toc107246242"/>
      <w:bookmarkStart w:id="221" w:name="_Toc891065347"/>
      <w:r>
        <w:rPr>
          <w:rFonts w:ascii="Times New Roman" w:hAnsi="Times New Roman" w:eastAsia="宋体" w:cs="Microsoft New Tai Lue"/>
        </w:rPr>
        <w:t>25.</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r>
        <w:rPr>
          <w:rFonts w:hint="eastAsia" w:ascii="Times New Roman" w:hAnsi="Times New Roman" w:eastAsia="宋体" w:cs="Microsoft New Tai Lue"/>
        </w:rPr>
        <w:t>投标截止时间</w:t>
      </w:r>
      <w:bookmarkEnd w:id="220"/>
      <w:bookmarkEnd w:id="221"/>
    </w:p>
    <w:p w14:paraId="60CF8BC7">
      <w:pPr>
        <w:spacing w:line="360" w:lineRule="auto"/>
        <w:ind w:firstLine="420"/>
        <w:rPr>
          <w:rFonts w:cs="Microsoft New Tai Lue"/>
          <w:bCs/>
          <w:lang w:val="zh-CN"/>
        </w:rPr>
      </w:pPr>
      <w:bookmarkStart w:id="222" w:name="_Toc96347883"/>
      <w:r>
        <w:rPr>
          <w:rFonts w:hint="eastAsia" w:cs="Microsoft New Tai Lue"/>
          <w:bCs/>
        </w:rPr>
        <w:t>25.1</w:t>
      </w:r>
      <w:r>
        <w:rPr>
          <w:rFonts w:cs="Microsoft New Tai Lue"/>
          <w:bCs/>
        </w:rPr>
        <w:t>投标人</w:t>
      </w:r>
      <w:r>
        <w:rPr>
          <w:rFonts w:cs="Microsoft New Tai Lue"/>
          <w:bCs/>
          <w:lang w:val="zh-CN"/>
        </w:rPr>
        <w:t>应当按照《操作手册》规定，在“苏采云”系统规定的时间内对</w:t>
      </w:r>
      <w:r>
        <w:rPr>
          <w:rFonts w:cs="Microsoft New Tai Lue"/>
          <w:bCs/>
        </w:rPr>
        <w:t>投标</w:t>
      </w:r>
      <w:r>
        <w:rPr>
          <w:rFonts w:cs="Microsoft New Tai Lue"/>
          <w:bCs/>
          <w:lang w:val="zh-CN"/>
        </w:rPr>
        <w:t>文件进行解密。</w:t>
      </w:r>
    </w:p>
    <w:p w14:paraId="6943D452">
      <w:pPr>
        <w:spacing w:line="360" w:lineRule="auto"/>
        <w:ind w:firstLine="420"/>
        <w:rPr>
          <w:rFonts w:cs="Microsoft New Tai Lue"/>
          <w:bCs/>
        </w:rPr>
      </w:pPr>
      <w:r>
        <w:rPr>
          <w:rFonts w:hint="eastAsia" w:cs="Microsoft New Tai Lue"/>
          <w:bCs/>
        </w:rPr>
        <w:t>25.2</w:t>
      </w:r>
      <w:r>
        <w:rPr>
          <w:rFonts w:cs="Microsoft New Tai Lue"/>
          <w:bCs/>
        </w:rPr>
        <w:t>投标人应充分考虑网络环境、网络带宽等因素可能对投标产生的影响，如因投标人自身原因造成的电子投标文件解密不成功的，做无效投标处理。</w:t>
      </w:r>
    </w:p>
    <w:p w14:paraId="43BF12A3">
      <w:pPr>
        <w:pStyle w:val="4"/>
        <w:spacing w:line="360" w:lineRule="auto"/>
        <w:ind w:left="211" w:right="210" w:hanging="211"/>
        <w:rPr>
          <w:rFonts w:ascii="Times New Roman" w:hAnsi="Times New Roman" w:eastAsia="宋体" w:cs="Microsoft New Tai Lue"/>
        </w:rPr>
      </w:pPr>
      <w:bookmarkStart w:id="223" w:name="_Toc100905228"/>
      <w:bookmarkStart w:id="224" w:name="_Toc107246243"/>
      <w:bookmarkStart w:id="225" w:name="_Toc1731816498"/>
      <w:bookmarkStart w:id="226" w:name="_Toc103848550"/>
      <w:bookmarkStart w:id="227" w:name="_Toc104560865"/>
      <w:r>
        <w:rPr>
          <w:rFonts w:ascii="Times New Roman" w:hAnsi="Times New Roman" w:eastAsia="宋体" w:cs="Microsoft New Tai Lue"/>
        </w:rPr>
        <w:t>26.投标文件的修改和撤回</w:t>
      </w:r>
      <w:bookmarkEnd w:id="154"/>
      <w:bookmarkEnd w:id="222"/>
      <w:bookmarkEnd w:id="223"/>
      <w:bookmarkEnd w:id="224"/>
      <w:bookmarkEnd w:id="225"/>
      <w:bookmarkEnd w:id="226"/>
      <w:bookmarkEnd w:id="227"/>
    </w:p>
    <w:p w14:paraId="5EE51263">
      <w:pPr>
        <w:spacing w:before="120" w:line="360" w:lineRule="auto"/>
        <w:ind w:left="214" w:firstLine="420"/>
        <w:rPr>
          <w:rFonts w:cs="Microsoft New Tai Lue"/>
          <w:bCs/>
        </w:rPr>
      </w:pPr>
      <w:bookmarkStart w:id="228" w:name="_Toc80264714"/>
      <w:r>
        <w:rPr>
          <w:rFonts w:cs="Microsoft New Tai Lue"/>
          <w:bCs/>
        </w:rPr>
        <w:t>26.1</w:t>
      </w:r>
      <w:r>
        <w:rPr>
          <w:rFonts w:hint="eastAsia" w:cs="Microsoft New Tai Lue"/>
          <w:bCs/>
        </w:rPr>
        <w:t>投标人</w:t>
      </w:r>
      <w:r>
        <w:rPr>
          <w:rFonts w:cs="Microsoft New Tai Lue"/>
          <w:bCs/>
        </w:rPr>
        <w:t>在递交投标文件后，可以修改或撤回其投标文件，但这种修改和撤回，必须在规定的投标截止时间前，以书面形式通知</w:t>
      </w:r>
      <w:r>
        <w:rPr>
          <w:rFonts w:hint="eastAsia" w:cs="Microsoft New Tai Lue"/>
          <w:bCs/>
        </w:rPr>
        <w:t>采购方</w:t>
      </w:r>
      <w:r>
        <w:rPr>
          <w:rFonts w:cs="Microsoft New Tai Lue"/>
          <w:bCs/>
        </w:rPr>
        <w:t>。</w:t>
      </w:r>
    </w:p>
    <w:p w14:paraId="20ECD8C8">
      <w:pPr>
        <w:spacing w:line="360" w:lineRule="auto"/>
        <w:ind w:left="214" w:firstLine="420"/>
        <w:jc w:val="left"/>
      </w:pPr>
      <w:r>
        <w:rPr>
          <w:rFonts w:cs="Microsoft New Tai Lue"/>
          <w:bCs/>
        </w:rPr>
        <w:t>26.2</w:t>
      </w:r>
      <w:r>
        <w:rPr>
          <w:rFonts w:hint="eastAsia"/>
        </w:rPr>
        <w:t>投标人</w:t>
      </w:r>
      <w:r>
        <w:t>对</w:t>
      </w:r>
      <w:r>
        <w:rPr>
          <w:rFonts w:hint="eastAsia"/>
        </w:rPr>
        <w:t>投标</w:t>
      </w:r>
      <w:r>
        <w:t>文件的补充、修改的内容应当按照采购文件要求签署、盖章、</w:t>
      </w:r>
      <w:r>
        <w:rPr>
          <w:rFonts w:hint="eastAsia"/>
        </w:rPr>
        <w:t>加密</w:t>
      </w:r>
      <w:r>
        <w:t>后，作为</w:t>
      </w:r>
      <w:r>
        <w:rPr>
          <w:rFonts w:hint="eastAsia"/>
        </w:rPr>
        <w:t>投标</w:t>
      </w:r>
      <w:r>
        <w:t>文件的组成部分。</w:t>
      </w:r>
    </w:p>
    <w:p w14:paraId="3E4BD3F6">
      <w:pPr>
        <w:spacing w:before="120" w:line="360" w:lineRule="auto"/>
        <w:ind w:left="214" w:firstLine="420"/>
        <w:rPr>
          <w:rFonts w:cs="Microsoft New Tai Lue"/>
          <w:bCs/>
        </w:rPr>
      </w:pPr>
      <w:r>
        <w:rPr>
          <w:rFonts w:cs="Microsoft New Tai Lue"/>
          <w:bCs/>
        </w:rPr>
        <w:t>26.3 在投标截止时间之后，</w:t>
      </w:r>
      <w:r>
        <w:rPr>
          <w:rFonts w:hint="eastAsia" w:cs="Microsoft New Tai Lue"/>
          <w:bCs/>
        </w:rPr>
        <w:t>投标人</w:t>
      </w:r>
      <w:r>
        <w:rPr>
          <w:rFonts w:cs="Microsoft New Tai Lue"/>
          <w:bCs/>
        </w:rPr>
        <w:t>不得对其投标文件作任何修改。</w:t>
      </w:r>
    </w:p>
    <w:p w14:paraId="00DA012A">
      <w:pPr>
        <w:spacing w:before="120" w:line="360" w:lineRule="auto"/>
        <w:ind w:left="214" w:firstLine="420"/>
        <w:rPr>
          <w:rFonts w:cs="Microsoft New Tai Lue"/>
          <w:bCs/>
        </w:rPr>
      </w:pPr>
      <w:r>
        <w:rPr>
          <w:rFonts w:cs="Microsoft New Tai Lue"/>
          <w:bCs/>
        </w:rPr>
        <w:t>26.4 在投标截止时间至采购文件中规定的投标有效期满之间的这段时间内，</w:t>
      </w:r>
      <w:r>
        <w:rPr>
          <w:rFonts w:hint="eastAsia" w:cs="Microsoft New Tai Lue"/>
          <w:bCs/>
        </w:rPr>
        <w:t>投标人</w:t>
      </w:r>
      <w:r>
        <w:rPr>
          <w:rFonts w:cs="Microsoft New Tai Lue"/>
          <w:bCs/>
        </w:rPr>
        <w:t>不得撤回其投标。</w:t>
      </w:r>
    </w:p>
    <w:p w14:paraId="62BC6C58">
      <w:pPr>
        <w:pStyle w:val="4"/>
        <w:spacing w:line="360" w:lineRule="auto"/>
        <w:ind w:left="211" w:right="210" w:hanging="211"/>
        <w:rPr>
          <w:rFonts w:ascii="Times New Roman" w:hAnsi="Times New Roman" w:eastAsia="宋体" w:cs="Microsoft New Tai Lue"/>
        </w:rPr>
      </w:pPr>
      <w:bookmarkStart w:id="229" w:name="_Toc107246244"/>
      <w:bookmarkStart w:id="230" w:name="_Toc1794014095"/>
      <w:bookmarkStart w:id="231" w:name="_Toc104560866"/>
      <w:bookmarkStart w:id="232" w:name="_Toc103848551"/>
      <w:r>
        <w:rPr>
          <w:rFonts w:ascii="Times New Roman" w:hAnsi="Times New Roman" w:eastAsia="宋体" w:cs="Microsoft New Tai Lue"/>
        </w:rPr>
        <w:t>27.诚实信用</w:t>
      </w:r>
      <w:bookmarkEnd w:id="229"/>
      <w:bookmarkEnd w:id="230"/>
      <w:bookmarkEnd w:id="231"/>
      <w:bookmarkEnd w:id="232"/>
    </w:p>
    <w:p w14:paraId="14BEDF92">
      <w:pPr>
        <w:spacing w:before="120" w:line="360" w:lineRule="auto"/>
        <w:ind w:left="214" w:firstLine="420"/>
        <w:rPr>
          <w:rFonts w:cs="Microsoft New Tai Lue"/>
          <w:bCs/>
        </w:rPr>
      </w:pPr>
      <w:r>
        <w:rPr>
          <w:rFonts w:cs="Microsoft New Tai Lue"/>
          <w:bCs/>
        </w:rPr>
        <w:t>27.1投标人应当遵循公平竞争的原则，不得恶意串通，不得妨碍其他投标人的竞争行为，不得损害采购人或者其他投标人的合法权益。</w:t>
      </w:r>
    </w:p>
    <w:p w14:paraId="3F0AA63F">
      <w:pPr>
        <w:spacing w:before="120" w:line="360" w:lineRule="auto"/>
        <w:ind w:left="214" w:firstLine="420"/>
        <w:rPr>
          <w:rFonts w:cs="Microsoft New Tai Lue"/>
          <w:bCs/>
        </w:rPr>
      </w:pPr>
      <w:r>
        <w:rPr>
          <w:rFonts w:cs="Microsoft New Tai Lue"/>
          <w:bCs/>
        </w:rPr>
        <w:t>27.2在评标过程中发现投标人有上述情形的，评标委员会应当认定其投标无效，并书面报告本级财政部门。</w:t>
      </w:r>
    </w:p>
    <w:p w14:paraId="1C033CEB">
      <w:pPr>
        <w:pStyle w:val="3"/>
        <w:spacing w:line="360" w:lineRule="auto"/>
        <w:ind w:left="211" w:right="210" w:hanging="211"/>
        <w:rPr>
          <w:rFonts w:ascii="Times New Roman" w:hAnsi="Times New Roman" w:eastAsia="宋体" w:cs="Microsoft New Tai Lue"/>
        </w:rPr>
      </w:pPr>
      <w:bookmarkStart w:id="233" w:name="_Toc1324490785"/>
      <w:bookmarkStart w:id="234" w:name="_Toc5170"/>
      <w:r>
        <w:rPr>
          <w:rFonts w:ascii="Times New Roman" w:hAnsi="Times New Roman" w:eastAsia="宋体" w:cs="Microsoft New Tai Lue"/>
        </w:rPr>
        <w:t>五．开标和评标</w:t>
      </w:r>
      <w:bookmarkEnd w:id="233"/>
      <w:bookmarkEnd w:id="234"/>
      <w:bookmarkStart w:id="235" w:name="_Toc96347885"/>
    </w:p>
    <w:p w14:paraId="0464720B">
      <w:pPr>
        <w:pStyle w:val="4"/>
        <w:spacing w:line="360" w:lineRule="auto"/>
        <w:ind w:left="211" w:right="210" w:hanging="211"/>
        <w:rPr>
          <w:rFonts w:ascii="Times New Roman" w:hAnsi="Times New Roman" w:eastAsia="宋体" w:cs="Microsoft New Tai Lue"/>
        </w:rPr>
      </w:pPr>
      <w:bookmarkStart w:id="236" w:name="_Toc104560868"/>
      <w:bookmarkStart w:id="237" w:name="_Toc107246246"/>
      <w:bookmarkStart w:id="238" w:name="_Toc100905230"/>
      <w:bookmarkStart w:id="239" w:name="_Toc2048622340"/>
      <w:bookmarkStart w:id="240" w:name="_Toc103848553"/>
      <w:r>
        <w:rPr>
          <w:rFonts w:ascii="Times New Roman" w:hAnsi="Times New Roman" w:eastAsia="宋体" w:cs="Microsoft New Tai Lue"/>
        </w:rPr>
        <w:t>28.开标</w:t>
      </w:r>
      <w:bookmarkEnd w:id="235"/>
      <w:bookmarkEnd w:id="236"/>
      <w:bookmarkEnd w:id="237"/>
      <w:bookmarkEnd w:id="238"/>
      <w:bookmarkEnd w:id="239"/>
      <w:bookmarkEnd w:id="240"/>
    </w:p>
    <w:p w14:paraId="186BBBD9">
      <w:pPr>
        <w:spacing w:line="360" w:lineRule="auto"/>
        <w:ind w:firstLine="420"/>
        <w:rPr>
          <w:rFonts w:cs="宋体"/>
          <w:bCs/>
        </w:rPr>
      </w:pPr>
      <w:bookmarkStart w:id="241" w:name="_Toc96347886"/>
      <w:r>
        <w:rPr>
          <w:rFonts w:hint="eastAsia" w:cs="宋体"/>
          <w:bCs/>
        </w:rPr>
        <w:t>28.1代理机构在招标公告中规定的时间和地点组织公开开标。投标人按照《操作手册》规定参加开标活动，并在“苏采云”系统规定的时间内对投标文件进行解密。“苏采云”系统公布各投标人名称和投标价格。</w:t>
      </w:r>
    </w:p>
    <w:p w14:paraId="0A6E5CDA">
      <w:pPr>
        <w:spacing w:line="360" w:lineRule="auto"/>
        <w:ind w:firstLine="420"/>
        <w:rPr>
          <w:rFonts w:cs="宋体"/>
          <w:bCs/>
        </w:rPr>
      </w:pPr>
      <w:r>
        <w:rPr>
          <w:rFonts w:hint="eastAsia" w:cs="宋体"/>
          <w:bCs/>
        </w:rPr>
        <w:t>28.2 投标人在开标过程中涉及到的投标文件解密、开标结果确认等工作，应按照《操作手册》规定执行。</w:t>
      </w:r>
    </w:p>
    <w:p w14:paraId="66A96F54">
      <w:pPr>
        <w:spacing w:line="360" w:lineRule="auto"/>
        <w:ind w:firstLine="420"/>
        <w:rPr>
          <w:rFonts w:cs="宋体"/>
          <w:bCs/>
        </w:rPr>
      </w:pPr>
      <w:r>
        <w:rPr>
          <w:rFonts w:hint="eastAsia" w:cs="宋体"/>
          <w:bCs/>
        </w:rPr>
        <w:t>28.3投标人不足3家的，不得开标。</w:t>
      </w:r>
    </w:p>
    <w:p w14:paraId="65057C70">
      <w:pPr>
        <w:spacing w:line="360" w:lineRule="auto"/>
        <w:ind w:firstLine="420"/>
        <w:rPr>
          <w:rFonts w:cs="宋体"/>
          <w:bCs/>
        </w:rPr>
      </w:pPr>
      <w:r>
        <w:rPr>
          <w:rFonts w:hint="eastAsia" w:cs="宋体"/>
          <w:bCs/>
        </w:rPr>
        <w:t>28.4投标人如果对开标过程和开标结果有疑义，应当根据《操作手册》规定提出，“苏采云”系统中《开标记录表》公布后5分钟内未提出的，视同认可开标结果。</w:t>
      </w:r>
    </w:p>
    <w:p w14:paraId="32ABB23A">
      <w:pPr>
        <w:spacing w:line="360" w:lineRule="auto"/>
        <w:ind w:firstLine="420"/>
        <w:rPr>
          <w:rFonts w:cs="宋体"/>
          <w:bCs/>
        </w:rPr>
      </w:pPr>
      <w:r>
        <w:rPr>
          <w:rFonts w:hint="eastAsia" w:cs="宋体"/>
          <w:bCs/>
        </w:rPr>
        <w:t>28.5公开招标数额标准以上的采购项目，投标截止后投标人不足3家或者通过资格审查或符合性审查的投标人不足3家的，除采购任务取消情形外，按照以下方式处理：</w:t>
      </w:r>
    </w:p>
    <w:p w14:paraId="3B5A6611">
      <w:pPr>
        <w:spacing w:line="360" w:lineRule="auto"/>
        <w:ind w:firstLine="420"/>
        <w:rPr>
          <w:rFonts w:cs="宋体"/>
          <w:bCs/>
        </w:rPr>
      </w:pPr>
      <w:r>
        <w:rPr>
          <w:rFonts w:hint="eastAsia" w:cs="宋体"/>
          <w:bCs/>
        </w:rPr>
        <w:t>（1）招标文件没有不合理条款、招标程序符合规定，采购人、采购代理机构依法重新招标；</w:t>
      </w:r>
    </w:p>
    <w:p w14:paraId="1E003D06">
      <w:pPr>
        <w:spacing w:line="360" w:lineRule="auto"/>
        <w:ind w:firstLine="420"/>
        <w:rPr>
          <w:rFonts w:cs="宋体"/>
          <w:bCs/>
        </w:rPr>
      </w:pPr>
      <w:r>
        <w:rPr>
          <w:rFonts w:hint="eastAsia" w:cs="宋体"/>
          <w:bCs/>
        </w:rPr>
        <w:t>（2）招标文件存在不合理条款或者招标程序不符合规定的，采购人、采购代理机构改正后依法重新招标；</w:t>
      </w:r>
    </w:p>
    <w:p w14:paraId="4758CDFF">
      <w:pPr>
        <w:spacing w:line="360" w:lineRule="auto"/>
        <w:ind w:firstLine="420"/>
        <w:rPr>
          <w:rFonts w:cs="宋体"/>
          <w:bCs/>
        </w:rPr>
      </w:pPr>
      <w:r>
        <w:rPr>
          <w:rFonts w:hint="eastAsia" w:cs="宋体"/>
          <w:bCs/>
        </w:rPr>
        <w:t>（3）招标文件没有不合理条款、招标程序符合规定，需要采用其他采购方式采购的，采购人依法报财政部门批准，经批准后，可变更为其他采购方式采购。</w:t>
      </w:r>
    </w:p>
    <w:p w14:paraId="14D5FBBA">
      <w:pPr>
        <w:spacing w:line="360" w:lineRule="auto"/>
        <w:ind w:firstLine="420"/>
        <w:rPr>
          <w:rFonts w:cs="宋体"/>
          <w:bCs/>
        </w:rPr>
      </w:pPr>
      <w:r>
        <w:rPr>
          <w:rFonts w:hint="eastAsia" w:cs="宋体"/>
          <w:bCs/>
        </w:rPr>
        <w:t>28.6投标人未参加开标的，视同认可开标结果。</w:t>
      </w:r>
      <w:bookmarkEnd w:id="241"/>
    </w:p>
    <w:p w14:paraId="321BB4BF">
      <w:pPr>
        <w:pStyle w:val="4"/>
        <w:spacing w:line="360" w:lineRule="auto"/>
        <w:ind w:left="211" w:right="210" w:hanging="211"/>
        <w:rPr>
          <w:rFonts w:ascii="Times New Roman" w:hAnsi="Times New Roman" w:eastAsia="宋体" w:cs="Microsoft New Tai Lue"/>
        </w:rPr>
      </w:pPr>
      <w:bookmarkStart w:id="242" w:name="_Toc107246247"/>
      <w:bookmarkStart w:id="243" w:name="_Toc590356029"/>
      <w:bookmarkStart w:id="244" w:name="_Toc100905231"/>
      <w:r>
        <w:rPr>
          <w:rFonts w:ascii="Times New Roman" w:hAnsi="Times New Roman" w:eastAsia="宋体" w:cs="Microsoft New Tai Lue"/>
        </w:rPr>
        <w:t>29.</w:t>
      </w:r>
      <w:r>
        <w:rPr>
          <w:rFonts w:hint="eastAsia" w:ascii="Times New Roman" w:hAnsi="Times New Roman" w:eastAsia="宋体" w:cs="Microsoft New Tai Lue"/>
        </w:rPr>
        <w:t>资格性审查</w:t>
      </w:r>
      <w:bookmarkEnd w:id="242"/>
      <w:bookmarkEnd w:id="243"/>
    </w:p>
    <w:p w14:paraId="2789D684">
      <w:pPr>
        <w:spacing w:before="120" w:line="360" w:lineRule="auto"/>
        <w:ind w:left="214" w:firstLine="420"/>
        <w:rPr>
          <w:rFonts w:cs="Microsoft New Tai Lue"/>
          <w:bCs/>
        </w:rPr>
      </w:pPr>
      <w:bookmarkStart w:id="245" w:name="_Toc104560869"/>
      <w:bookmarkStart w:id="246" w:name="_Toc103848554"/>
      <w:r>
        <w:rPr>
          <w:rFonts w:cs="Microsoft New Tai Lue"/>
          <w:bCs/>
        </w:rPr>
        <w:t>29.1投标文件的资格性检查。公开招标采购项目开标结束后，</w:t>
      </w:r>
      <w:r>
        <w:rPr>
          <w:rFonts w:hint="eastAsia" w:cs="Microsoft New Tai Lue"/>
          <w:bCs/>
        </w:rPr>
        <w:t>采购人或采购代理机构</w:t>
      </w:r>
      <w:r>
        <w:rPr>
          <w:rFonts w:cs="Microsoft New Tai Lue"/>
          <w:bCs/>
        </w:rPr>
        <w:t>应依法对投标人的资格进行审查。</w:t>
      </w:r>
      <w:r>
        <w:rPr>
          <w:rFonts w:hint="eastAsia" w:cs="Microsoft New Tai Lue"/>
          <w:bCs/>
        </w:rPr>
        <w:t>资格审查合格的投标人不足3家的，不进行评标。</w:t>
      </w:r>
    </w:p>
    <w:p w14:paraId="70631E82">
      <w:pPr>
        <w:spacing w:before="120" w:line="360" w:lineRule="auto"/>
        <w:ind w:left="214" w:firstLine="420"/>
        <w:rPr>
          <w:rFonts w:cs="Microsoft New Tai Lue"/>
          <w:b/>
          <w:bCs/>
        </w:rPr>
      </w:pPr>
      <w:r>
        <w:rPr>
          <w:rFonts w:cs="Microsoft New Tai Lue"/>
          <w:b/>
          <w:bCs/>
        </w:rPr>
        <w:t>29.2</w:t>
      </w:r>
      <w:r>
        <w:rPr>
          <w:rFonts w:cs="Microsoft New Tai Lue"/>
          <w:b/>
        </w:rPr>
        <w:t>投标人不具备招标文件规定的投标人资格条件的</w:t>
      </w:r>
      <w:r>
        <w:rPr>
          <w:rFonts w:cs="Microsoft New Tai Lue"/>
          <w:b/>
          <w:bCs/>
        </w:rPr>
        <w:t>，应在资格审查时按照无效投标处理</w:t>
      </w:r>
      <w:r>
        <w:rPr>
          <w:rFonts w:hint="eastAsia" w:cs="Microsoft New Tai Lue"/>
          <w:b/>
          <w:bCs/>
        </w:rPr>
        <w:t>。</w:t>
      </w:r>
    </w:p>
    <w:p w14:paraId="4D9DF0B2">
      <w:pPr>
        <w:spacing w:before="120" w:line="360" w:lineRule="auto"/>
        <w:ind w:left="214" w:firstLine="420"/>
        <w:rPr>
          <w:rFonts w:cs="Microsoft New Tai Lue"/>
          <w:bCs/>
        </w:rPr>
      </w:pPr>
      <w:r>
        <w:rPr>
          <w:rFonts w:cs="Microsoft New Tai Lue"/>
          <w:bCs/>
        </w:rPr>
        <w:t>29.3已经进行资格预审的，可以不再对</w:t>
      </w:r>
      <w:r>
        <w:rPr>
          <w:rFonts w:hint="eastAsia" w:cs="Microsoft New Tai Lue"/>
          <w:bCs/>
        </w:rPr>
        <w:t>投标人</w:t>
      </w:r>
      <w:r>
        <w:rPr>
          <w:rFonts w:cs="Microsoft New Tai Lue"/>
          <w:bCs/>
        </w:rPr>
        <w:t>资格进行审查，资格预审合格的</w:t>
      </w:r>
      <w:r>
        <w:rPr>
          <w:rFonts w:hint="eastAsia" w:cs="Microsoft New Tai Lue"/>
          <w:bCs/>
        </w:rPr>
        <w:t>投标人</w:t>
      </w:r>
      <w:r>
        <w:rPr>
          <w:rFonts w:cs="Microsoft New Tai Lue"/>
          <w:bCs/>
        </w:rPr>
        <w:t>在评</w:t>
      </w:r>
      <w:r>
        <w:rPr>
          <w:rFonts w:hint="eastAsia" w:cs="Microsoft New Tai Lue"/>
          <w:bCs/>
        </w:rPr>
        <w:t>标</w:t>
      </w:r>
      <w:r>
        <w:rPr>
          <w:rFonts w:cs="Microsoft New Tai Lue"/>
          <w:bCs/>
        </w:rPr>
        <w:t>阶段资格发生变化的，应当通知采购方。</w:t>
      </w:r>
    </w:p>
    <w:p w14:paraId="138AA1F2">
      <w:pPr>
        <w:pStyle w:val="4"/>
        <w:spacing w:line="360" w:lineRule="auto"/>
        <w:ind w:left="211" w:right="210" w:hanging="211"/>
        <w:rPr>
          <w:rFonts w:ascii="Times New Roman" w:hAnsi="Times New Roman" w:eastAsia="宋体" w:cs="Microsoft New Tai Lue"/>
        </w:rPr>
      </w:pPr>
      <w:bookmarkStart w:id="247" w:name="_Toc107246248"/>
      <w:bookmarkStart w:id="248" w:name="_Toc739330263"/>
      <w:r>
        <w:rPr>
          <w:rFonts w:ascii="Times New Roman" w:hAnsi="Times New Roman" w:eastAsia="宋体" w:cs="Microsoft New Tai Lue"/>
        </w:rPr>
        <w:t>30.评标</w:t>
      </w:r>
      <w:bookmarkEnd w:id="245"/>
      <w:bookmarkEnd w:id="246"/>
      <w:bookmarkEnd w:id="247"/>
      <w:bookmarkEnd w:id="248"/>
    </w:p>
    <w:p w14:paraId="3F6BE46A">
      <w:pPr>
        <w:pStyle w:val="4"/>
        <w:spacing w:line="360" w:lineRule="auto"/>
        <w:ind w:left="211" w:right="210" w:hanging="211"/>
        <w:rPr>
          <w:rFonts w:ascii="Times New Roman" w:hAnsi="Times New Roman" w:eastAsia="宋体" w:cs="Microsoft New Tai Lue"/>
        </w:rPr>
      </w:pPr>
      <w:bookmarkStart w:id="249" w:name="_Toc583348699"/>
      <w:bookmarkStart w:id="250" w:name="_Toc104560870"/>
      <w:bookmarkStart w:id="251" w:name="_Toc107246249"/>
      <w:bookmarkStart w:id="252" w:name="_Toc103848555"/>
      <w:r>
        <w:rPr>
          <w:rFonts w:ascii="Times New Roman" w:hAnsi="Times New Roman" w:eastAsia="宋体" w:cs="Microsoft New Tai Lue"/>
        </w:rPr>
        <w:t>30.1评标委员会</w:t>
      </w:r>
      <w:bookmarkEnd w:id="249"/>
      <w:bookmarkEnd w:id="250"/>
      <w:bookmarkEnd w:id="251"/>
      <w:bookmarkEnd w:id="252"/>
    </w:p>
    <w:p w14:paraId="06BAA6C5">
      <w:pPr>
        <w:spacing w:before="120" w:line="360" w:lineRule="auto"/>
        <w:ind w:left="214" w:firstLine="420"/>
        <w:rPr>
          <w:rFonts w:cs="Microsoft New Tai Lue"/>
          <w:bCs/>
        </w:rPr>
      </w:pPr>
      <w:r>
        <w:rPr>
          <w:rFonts w:cs="Microsoft New Tai Lue"/>
          <w:bCs/>
        </w:rPr>
        <w:t>30.1.1评标委员会</w:t>
      </w:r>
      <w:r>
        <w:rPr>
          <w:rFonts w:hint="eastAsia" w:cs="Microsoft New Tai Lue"/>
          <w:bCs/>
        </w:rPr>
        <w:t>成员组成</w:t>
      </w:r>
      <w:r>
        <w:rPr>
          <w:rFonts w:cs="Microsoft New Tai Lue"/>
          <w:bCs/>
        </w:rPr>
        <w:t>见</w:t>
      </w:r>
      <w:r>
        <w:rPr>
          <w:rFonts w:cs="Microsoft New Tai Lue"/>
          <w:b/>
          <w:bCs/>
        </w:rPr>
        <w:t>投标人须知前附表</w:t>
      </w:r>
      <w:r>
        <w:rPr>
          <w:rFonts w:hint="eastAsia" w:cs="Microsoft New Tai Lue"/>
          <w:bCs/>
        </w:rPr>
        <w:t>，负责具体评标事务，并独立履行职责。</w:t>
      </w:r>
    </w:p>
    <w:p w14:paraId="1318E02B">
      <w:pPr>
        <w:pStyle w:val="4"/>
        <w:spacing w:line="360" w:lineRule="auto"/>
        <w:ind w:left="211" w:right="210" w:hanging="211"/>
        <w:rPr>
          <w:rFonts w:ascii="Times New Roman" w:hAnsi="Times New Roman" w:eastAsia="宋体" w:cs="Microsoft New Tai Lue"/>
        </w:rPr>
      </w:pPr>
      <w:bookmarkStart w:id="253" w:name="_Toc103848556"/>
      <w:bookmarkStart w:id="254" w:name="_Toc104560871"/>
      <w:bookmarkStart w:id="255" w:name="_Toc107246250"/>
      <w:bookmarkStart w:id="256" w:name="_Toc1078735538"/>
      <w:r>
        <w:rPr>
          <w:rFonts w:ascii="Times New Roman" w:hAnsi="Times New Roman" w:eastAsia="宋体" w:cs="Microsoft New Tai Lue"/>
        </w:rPr>
        <w:t>30.2</w:t>
      </w:r>
      <w:bookmarkEnd w:id="253"/>
      <w:bookmarkEnd w:id="254"/>
      <w:r>
        <w:rPr>
          <w:rFonts w:hint="eastAsia" w:ascii="Times New Roman" w:hAnsi="Times New Roman" w:eastAsia="宋体" w:cs="Microsoft New Tai Lue"/>
        </w:rPr>
        <w:t>符合性审查</w:t>
      </w:r>
      <w:bookmarkEnd w:id="255"/>
      <w:bookmarkEnd w:id="256"/>
      <w:r>
        <w:rPr>
          <w:rFonts w:ascii="Times New Roman" w:hAnsi="Times New Roman" w:eastAsia="宋体" w:cs="Microsoft New Tai Lue"/>
        </w:rPr>
        <w:t xml:space="preserve"> </w:t>
      </w:r>
    </w:p>
    <w:p w14:paraId="0153AF8F">
      <w:pPr>
        <w:spacing w:line="360" w:lineRule="auto"/>
        <w:ind w:firstLine="420"/>
        <w:rPr>
          <w:rFonts w:cs="宋体"/>
          <w:bCs/>
        </w:rPr>
      </w:pPr>
      <w:r>
        <w:rPr>
          <w:rFonts w:hint="eastAsia" w:cs="宋体"/>
          <w:bCs/>
        </w:rPr>
        <w:t>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p>
    <w:p w14:paraId="130E9A9F">
      <w:pPr>
        <w:spacing w:line="360" w:lineRule="auto"/>
        <w:ind w:firstLine="422"/>
        <w:rPr>
          <w:rFonts w:cs="宋体"/>
          <w:b/>
          <w:bCs/>
        </w:rPr>
      </w:pPr>
      <w:r>
        <w:rPr>
          <w:rFonts w:hint="eastAsia" w:cs="宋体"/>
          <w:b/>
          <w:bCs/>
        </w:rPr>
        <w:t>30.2.2如果投标文件没有响应招标文件实质性要求，评标委员会将予以拒绝，投标人不得通过修改或撤销不合要求的偏离或保留而使其投标成为实质性响应的投标。</w:t>
      </w:r>
    </w:p>
    <w:p w14:paraId="075C7C92">
      <w:pPr>
        <w:spacing w:line="360" w:lineRule="auto"/>
        <w:ind w:firstLine="422"/>
        <w:rPr>
          <w:rFonts w:cs="宋体"/>
          <w:b/>
          <w:bCs/>
        </w:rPr>
      </w:pPr>
      <w:r>
        <w:rPr>
          <w:rFonts w:hint="eastAsia" w:cs="宋体"/>
          <w:b/>
          <w:bCs/>
        </w:rPr>
        <w:t>30.2.3投标文件有下列情况之一的，在符合性检查时按照无效投标处理：</w:t>
      </w:r>
    </w:p>
    <w:p w14:paraId="2278CEEE">
      <w:pPr>
        <w:spacing w:line="360" w:lineRule="auto"/>
        <w:ind w:firstLine="420"/>
        <w:rPr>
          <w:rFonts w:cs="宋体"/>
          <w:bCs/>
        </w:rPr>
      </w:pPr>
      <w:r>
        <w:rPr>
          <w:rFonts w:hint="eastAsia" w:cs="宋体"/>
          <w:bCs/>
        </w:rPr>
        <w:t>（1）投标人在“苏采云”系统规定的时间内未成功解密电子投标文件的；</w:t>
      </w:r>
    </w:p>
    <w:p w14:paraId="4511B25E">
      <w:pPr>
        <w:spacing w:line="360" w:lineRule="auto"/>
        <w:ind w:firstLine="420"/>
        <w:rPr>
          <w:rFonts w:cs="宋体"/>
          <w:bCs/>
        </w:rPr>
      </w:pPr>
      <w:r>
        <w:rPr>
          <w:rFonts w:hint="eastAsia" w:cs="宋体"/>
          <w:bCs/>
        </w:rPr>
        <w:t>（2）投标人未按照招标文件要求上传电子投标文件的；</w:t>
      </w:r>
    </w:p>
    <w:p w14:paraId="39A4A8A0">
      <w:pPr>
        <w:spacing w:line="360" w:lineRule="auto"/>
        <w:ind w:firstLine="420"/>
        <w:rPr>
          <w:rFonts w:cs="宋体"/>
          <w:bCs/>
        </w:rPr>
      </w:pPr>
      <w:r>
        <w:rPr>
          <w:rFonts w:hint="eastAsia" w:cs="宋体"/>
          <w:bCs/>
        </w:rPr>
        <w:t>（3）同一投标人提交两个（含两个）以上不同的投标报价的；</w:t>
      </w:r>
    </w:p>
    <w:p w14:paraId="3BAB1CAA">
      <w:pPr>
        <w:spacing w:line="360" w:lineRule="auto"/>
        <w:ind w:firstLine="420"/>
        <w:rPr>
          <w:rFonts w:cs="宋体"/>
          <w:bCs/>
        </w:rPr>
      </w:pPr>
      <w:r>
        <w:rPr>
          <w:rFonts w:hint="eastAsia" w:cs="宋体"/>
          <w:bCs/>
        </w:rPr>
        <w:t>（4）投标文件未按照招标文件要求签署或盖章的；</w:t>
      </w:r>
    </w:p>
    <w:p w14:paraId="153CD14D">
      <w:pPr>
        <w:spacing w:line="360" w:lineRule="auto"/>
        <w:ind w:firstLine="420"/>
        <w:rPr>
          <w:rFonts w:cs="宋体"/>
          <w:bCs/>
        </w:rPr>
      </w:pPr>
      <w:r>
        <w:rPr>
          <w:rFonts w:hint="eastAsia" w:cs="宋体"/>
          <w:bCs/>
        </w:rPr>
        <w:t>（5）不具备招标文件中规定的资格要求的；</w:t>
      </w:r>
    </w:p>
    <w:p w14:paraId="3A8D41C7">
      <w:pPr>
        <w:spacing w:line="360" w:lineRule="auto"/>
        <w:ind w:firstLine="420"/>
        <w:rPr>
          <w:rFonts w:cs="宋体"/>
          <w:bCs/>
        </w:rPr>
      </w:pPr>
      <w:r>
        <w:rPr>
          <w:rFonts w:hint="eastAsia" w:cs="宋体"/>
          <w:bCs/>
        </w:rPr>
        <w:t>（6）报价超过招标文件中规定的预算金额或者最高限价的；</w:t>
      </w:r>
    </w:p>
    <w:p w14:paraId="5A45BAB7">
      <w:pPr>
        <w:spacing w:line="360" w:lineRule="auto"/>
        <w:ind w:firstLine="420"/>
        <w:rPr>
          <w:rFonts w:cs="宋体"/>
          <w:bCs/>
        </w:rPr>
      </w:pPr>
      <w:r>
        <w:rPr>
          <w:rFonts w:hint="eastAsia" w:cs="宋体"/>
          <w:bCs/>
        </w:rPr>
        <w:t>（7）投标文件含有采购人不能接受的附加条件的；</w:t>
      </w:r>
    </w:p>
    <w:p w14:paraId="6A8703C1">
      <w:pPr>
        <w:spacing w:line="360" w:lineRule="auto"/>
        <w:ind w:firstLine="420"/>
        <w:rPr>
          <w:rFonts w:cs="宋体"/>
          <w:bCs/>
        </w:rPr>
      </w:pPr>
      <w:r>
        <w:rPr>
          <w:rFonts w:hint="eastAsia" w:cs="宋体"/>
          <w:bCs/>
        </w:rPr>
        <w:t>（8）投标文件内容不全或不符合招标文件中规定的其他实质性要求的；</w:t>
      </w:r>
    </w:p>
    <w:p w14:paraId="2C9A6B03">
      <w:pPr>
        <w:spacing w:line="360" w:lineRule="auto"/>
        <w:ind w:firstLine="420"/>
        <w:rPr>
          <w:rFonts w:cs="宋体"/>
          <w:bCs/>
        </w:rPr>
      </w:pPr>
      <w:r>
        <w:rPr>
          <w:rFonts w:hint="eastAsia" w:cs="宋体"/>
          <w:bCs/>
        </w:rPr>
        <w:t>（9）现行法律、法规、规章和招标文件规定的其他无效情形。</w:t>
      </w:r>
    </w:p>
    <w:bookmarkEnd w:id="244"/>
    <w:p w14:paraId="7D46343E">
      <w:pPr>
        <w:spacing w:before="120" w:line="360" w:lineRule="auto"/>
        <w:ind w:left="214" w:firstLine="480"/>
        <w:rPr>
          <w:rFonts w:cs="仿宋"/>
          <w:b/>
          <w:bCs/>
          <w:sz w:val="24"/>
        </w:rPr>
      </w:pPr>
    </w:p>
    <w:p w14:paraId="036597AF">
      <w:pPr>
        <w:pStyle w:val="4"/>
        <w:spacing w:line="360" w:lineRule="auto"/>
        <w:ind w:left="211" w:right="210" w:hanging="211"/>
        <w:rPr>
          <w:rFonts w:ascii="Times New Roman" w:hAnsi="Times New Roman" w:eastAsia="宋体" w:cs="Microsoft New Tai Lue"/>
        </w:rPr>
      </w:pPr>
      <w:bookmarkStart w:id="257" w:name="_Toc104560872"/>
      <w:bookmarkStart w:id="258" w:name="_Toc103848557"/>
      <w:bookmarkStart w:id="259" w:name="_Toc107246251"/>
      <w:bookmarkStart w:id="260" w:name="_Toc1251239192"/>
      <w:r>
        <w:rPr>
          <w:rFonts w:ascii="Times New Roman" w:hAnsi="Times New Roman" w:eastAsia="宋体" w:cs="Microsoft New Tai Lue"/>
        </w:rPr>
        <w:t>30.3投标文件澄清</w:t>
      </w:r>
      <w:bookmarkEnd w:id="257"/>
      <w:bookmarkEnd w:id="258"/>
      <w:bookmarkEnd w:id="259"/>
      <w:bookmarkEnd w:id="260"/>
    </w:p>
    <w:p w14:paraId="34ACF667">
      <w:pPr>
        <w:spacing w:line="360" w:lineRule="auto"/>
        <w:ind w:left="214" w:firstLine="420"/>
        <w:jc w:val="left"/>
        <w:rPr>
          <w:rFonts w:cs="Microsoft New Tai Lue"/>
        </w:rPr>
      </w:pPr>
      <w:r>
        <w:rPr>
          <w:rFonts w:cs="Microsoft New Tai Lue"/>
        </w:rPr>
        <w:t>30.3.1对于投标文件中含义不明确、同类问题表述不一致或者有明显文字和计算错误的内容，评标委员会应当以书面形式要求投标人作出必要的澄清、说明或者补正。</w:t>
      </w:r>
    </w:p>
    <w:p w14:paraId="737DEA51">
      <w:pPr>
        <w:spacing w:line="360" w:lineRule="auto"/>
        <w:ind w:left="214" w:firstLine="420"/>
        <w:jc w:val="left"/>
        <w:rPr>
          <w:rFonts w:cs="Microsoft New Tai Lue"/>
        </w:rPr>
      </w:pPr>
      <w:r>
        <w:rPr>
          <w:rFonts w:cs="Microsoft New Tai Lue"/>
        </w:rPr>
        <w:t>30.3.2投标人的澄清、说明或者补正应当采用书面形式，并加盖</w:t>
      </w:r>
      <w:r>
        <w:rPr>
          <w:rFonts w:hint="eastAsia" w:cs="Microsoft New Tai Lue"/>
          <w:lang w:eastAsia="zh-CN"/>
        </w:rPr>
        <w:t>电子公章</w:t>
      </w:r>
      <w:r>
        <w:rPr>
          <w:rFonts w:cs="Microsoft New Tai Lue"/>
        </w:rPr>
        <w:t>，或者由法定代表人或其授权的代表签字。投标人的澄清、说明或者补正不得超出投标文件的范围或者改变投标文件的实质性内容。</w:t>
      </w:r>
    </w:p>
    <w:p w14:paraId="5387DE02">
      <w:pPr>
        <w:spacing w:line="360" w:lineRule="auto"/>
        <w:ind w:left="214" w:firstLine="420"/>
        <w:jc w:val="left"/>
        <w:rPr>
          <w:rFonts w:cs="Microsoft New Tai Lue"/>
        </w:rPr>
      </w:pPr>
      <w:r>
        <w:rPr>
          <w:rFonts w:cs="Microsoft New Tai Lue"/>
        </w:rPr>
        <w:t>30.3.3评标委员会不接受投标人主动提出的澄清、说明。</w:t>
      </w:r>
    </w:p>
    <w:p w14:paraId="16060BE8">
      <w:pPr>
        <w:spacing w:line="360" w:lineRule="auto"/>
        <w:ind w:left="214" w:firstLine="420"/>
        <w:jc w:val="left"/>
        <w:rPr>
          <w:rFonts w:cs="Microsoft New Tai Lue"/>
        </w:rPr>
      </w:pPr>
      <w:r>
        <w:rPr>
          <w:rFonts w:cs="Microsoft New Tai Lue"/>
        </w:rPr>
        <w:t>30.3.4有效的书面澄清材料，是投标文件的补充材料，成为投标文件的组成部分。</w:t>
      </w:r>
    </w:p>
    <w:p w14:paraId="0B0B4266">
      <w:pPr>
        <w:pStyle w:val="4"/>
        <w:spacing w:line="360" w:lineRule="auto"/>
        <w:ind w:left="211" w:right="210" w:hanging="211"/>
        <w:rPr>
          <w:rFonts w:ascii="Times New Roman" w:hAnsi="Times New Roman" w:eastAsia="宋体" w:cs="Microsoft New Tai Lue"/>
        </w:rPr>
      </w:pPr>
      <w:bookmarkStart w:id="261" w:name="_Toc107246252"/>
      <w:bookmarkStart w:id="262" w:name="_Toc1417228520"/>
      <w:r>
        <w:rPr>
          <w:rFonts w:ascii="Times New Roman" w:hAnsi="Times New Roman" w:eastAsia="宋体" w:cs="Microsoft New Tai Lue"/>
        </w:rPr>
        <w:t>30.4</w:t>
      </w:r>
      <w:bookmarkEnd w:id="261"/>
      <w:r>
        <w:rPr>
          <w:rFonts w:hint="eastAsia" w:ascii="Times New Roman" w:hAnsi="Times New Roman" w:eastAsia="宋体" w:cs="Microsoft New Tai Lue"/>
        </w:rPr>
        <w:t>报价修正</w:t>
      </w:r>
      <w:bookmarkEnd w:id="262"/>
    </w:p>
    <w:p w14:paraId="2D6C46DB">
      <w:pPr>
        <w:spacing w:line="360" w:lineRule="auto"/>
        <w:ind w:firstLine="420"/>
        <w:jc w:val="left"/>
        <w:rPr>
          <w:rFonts w:cs="宋体"/>
        </w:rPr>
      </w:pPr>
      <w:r>
        <w:rPr>
          <w:rFonts w:hint="eastAsia" w:cs="宋体"/>
        </w:rPr>
        <w:t>30.4.1投标文件报价出现前后不一致的，除招标文件另有规定外，按照下列规定修正：</w:t>
      </w:r>
    </w:p>
    <w:p w14:paraId="2F4EA798">
      <w:pPr>
        <w:spacing w:line="360" w:lineRule="auto"/>
        <w:ind w:firstLine="315"/>
        <w:jc w:val="left"/>
        <w:rPr>
          <w:rFonts w:cs="宋体"/>
        </w:rPr>
      </w:pPr>
      <w:r>
        <w:rPr>
          <w:rFonts w:hint="eastAsia" w:cs="宋体"/>
        </w:rPr>
        <w:t>（1）投标文件中开标一览表（报价表）内容与投标文件中相应内容不一致的，以开标一览表（报价表）为准；</w:t>
      </w:r>
    </w:p>
    <w:p w14:paraId="40247742">
      <w:pPr>
        <w:spacing w:line="360" w:lineRule="auto"/>
        <w:ind w:firstLine="315"/>
        <w:jc w:val="left"/>
        <w:rPr>
          <w:rFonts w:cs="宋体"/>
        </w:rPr>
      </w:pPr>
      <w:r>
        <w:rPr>
          <w:rFonts w:hint="eastAsia" w:cs="宋体"/>
        </w:rPr>
        <w:t>（2）大写金额和小写金额不一致的，以大写金额为准；</w:t>
      </w:r>
    </w:p>
    <w:p w14:paraId="77E4665E">
      <w:pPr>
        <w:spacing w:line="360" w:lineRule="auto"/>
        <w:ind w:firstLine="315"/>
        <w:jc w:val="left"/>
        <w:rPr>
          <w:rFonts w:cs="宋体"/>
        </w:rPr>
      </w:pPr>
      <w:r>
        <w:rPr>
          <w:rFonts w:hint="eastAsia" w:cs="宋体"/>
        </w:rPr>
        <w:t>（3）单价金额小数点或者百分比有明显错位的，以开标一览表的总价为准，并修改单价；</w:t>
      </w:r>
    </w:p>
    <w:p w14:paraId="09E340C1">
      <w:pPr>
        <w:spacing w:line="360" w:lineRule="auto"/>
        <w:ind w:firstLine="315"/>
        <w:jc w:val="left"/>
        <w:rPr>
          <w:rFonts w:cs="宋体"/>
        </w:rPr>
      </w:pPr>
      <w:r>
        <w:rPr>
          <w:rFonts w:hint="eastAsia" w:cs="宋体"/>
        </w:rPr>
        <w:t>（4）总价金额与按单价汇总金额不一致的，以单价金额计算结果为准。</w:t>
      </w:r>
    </w:p>
    <w:p w14:paraId="2502C15D">
      <w:pPr>
        <w:spacing w:line="360" w:lineRule="auto"/>
        <w:ind w:firstLine="420"/>
        <w:jc w:val="left"/>
        <w:rPr>
          <w:rFonts w:cs="宋体"/>
        </w:rPr>
      </w:pPr>
      <w:r>
        <w:rPr>
          <w:rFonts w:hint="eastAsia" w:cs="宋体"/>
        </w:rPr>
        <w:t>同时出现两种以上不一致的，按照前款规定的顺序修正。修正后的报价按照上述规定经投标人确认后产生约束力，投标人不确认的，其投标无效。</w:t>
      </w:r>
    </w:p>
    <w:p w14:paraId="42F7D059">
      <w:pPr>
        <w:pStyle w:val="4"/>
        <w:spacing w:line="360" w:lineRule="auto"/>
        <w:ind w:left="211" w:right="210" w:hanging="211"/>
        <w:rPr>
          <w:rFonts w:ascii="Times New Roman" w:hAnsi="Times New Roman" w:eastAsia="宋体" w:cs="Microsoft New Tai Lue"/>
        </w:rPr>
      </w:pPr>
      <w:bookmarkStart w:id="263" w:name="_Toc104560873"/>
      <w:bookmarkStart w:id="264" w:name="_Toc107246253"/>
      <w:bookmarkStart w:id="265" w:name="_Toc103848558"/>
      <w:bookmarkStart w:id="266" w:name="_Toc1618606763"/>
      <w:r>
        <w:rPr>
          <w:rFonts w:ascii="Times New Roman" w:hAnsi="Times New Roman" w:eastAsia="宋体" w:cs="Microsoft New Tai Lue"/>
        </w:rPr>
        <w:t>30.5同品牌多家投标人处理原则</w:t>
      </w:r>
      <w:bookmarkEnd w:id="263"/>
      <w:bookmarkEnd w:id="264"/>
      <w:bookmarkEnd w:id="265"/>
      <w:bookmarkEnd w:id="266"/>
    </w:p>
    <w:p w14:paraId="1992085E">
      <w:pPr>
        <w:spacing w:line="360" w:lineRule="auto"/>
        <w:ind w:left="214" w:firstLine="420"/>
        <w:jc w:val="left"/>
        <w:rPr>
          <w:rFonts w:cs="Microsoft New Tai Lue"/>
        </w:rPr>
      </w:pPr>
      <w:r>
        <w:rPr>
          <w:rFonts w:cs="Microsoft New Tai Lue"/>
        </w:rPr>
        <w:t>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124868EA">
      <w:pPr>
        <w:spacing w:line="360" w:lineRule="auto"/>
        <w:ind w:left="214" w:firstLine="420"/>
        <w:jc w:val="left"/>
        <w:rPr>
          <w:rFonts w:cs="Microsoft New Tai Lue"/>
        </w:rPr>
      </w:pPr>
      <w:r>
        <w:rPr>
          <w:rFonts w:cs="Microsoft New Tai Lue"/>
        </w:rPr>
        <w:t>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235C956A">
      <w:pPr>
        <w:spacing w:line="360" w:lineRule="auto"/>
        <w:ind w:left="214" w:firstLine="420"/>
        <w:jc w:val="left"/>
        <w:rPr>
          <w:rStyle w:val="44"/>
        </w:rPr>
      </w:pPr>
      <w:r>
        <w:rPr>
          <w:rFonts w:cs="Microsoft New Tai Lue"/>
        </w:rPr>
        <w:t>30.5.3非单一产品采购项目，根据采购项目技术构成、产品价格比重等合理确定核心产品，核心产品见</w:t>
      </w:r>
      <w:r>
        <w:rPr>
          <w:rFonts w:cs="Microsoft New Tai Lue"/>
          <w:b/>
        </w:rPr>
        <w:t>投标人须知前附表</w:t>
      </w:r>
      <w:r>
        <w:rPr>
          <w:rFonts w:cs="Microsoft New Tai Lue"/>
        </w:rPr>
        <w:t>。多家投标人提供的核心产品品牌相同的，按前两款规定处理。</w:t>
      </w:r>
    </w:p>
    <w:p w14:paraId="32F3D8C7">
      <w:pPr>
        <w:pStyle w:val="4"/>
        <w:spacing w:line="360" w:lineRule="auto"/>
        <w:ind w:left="211" w:right="210" w:hanging="211"/>
        <w:rPr>
          <w:rFonts w:ascii="Times New Roman" w:hAnsi="Times New Roman" w:eastAsia="宋体" w:cs="Microsoft New Tai Lue"/>
        </w:rPr>
      </w:pPr>
      <w:bookmarkStart w:id="267" w:name="_Toc1748509192"/>
      <w:bookmarkStart w:id="268" w:name="_Toc107246254"/>
      <w:bookmarkStart w:id="269" w:name="_Toc103848559"/>
      <w:bookmarkStart w:id="270" w:name="_Toc104560874"/>
      <w:r>
        <w:rPr>
          <w:rFonts w:ascii="Times New Roman" w:hAnsi="Times New Roman" w:eastAsia="宋体" w:cs="Microsoft New Tai Lue"/>
        </w:rPr>
        <w:t>30.6比较与评价</w:t>
      </w:r>
      <w:bookmarkEnd w:id="267"/>
      <w:bookmarkEnd w:id="268"/>
      <w:bookmarkEnd w:id="269"/>
      <w:bookmarkEnd w:id="270"/>
    </w:p>
    <w:p w14:paraId="1E9FF2FF">
      <w:pPr>
        <w:spacing w:line="360" w:lineRule="auto"/>
        <w:ind w:left="214" w:firstLine="420"/>
        <w:jc w:val="left"/>
        <w:rPr>
          <w:rFonts w:cs="Microsoft New Tai Lue"/>
        </w:rPr>
      </w:pPr>
      <w:r>
        <w:rPr>
          <w:rFonts w:cs="Microsoft New Tai Lue"/>
        </w:rPr>
        <w:t>30.6.1评标委员会应当按照招标文件中</w:t>
      </w:r>
      <w:r>
        <w:rPr>
          <w:rFonts w:hint="eastAsia" w:cs="Microsoft New Tai Lue"/>
        </w:rPr>
        <w:t>第五章《</w:t>
      </w:r>
      <w:r>
        <w:rPr>
          <w:rFonts w:cs="Microsoft New Tai Lue"/>
        </w:rPr>
        <w:t>评标</w:t>
      </w:r>
      <w:r>
        <w:rPr>
          <w:rFonts w:hint="eastAsia" w:cs="Microsoft New Tai Lue"/>
        </w:rPr>
        <w:t>方法</w:t>
      </w:r>
      <w:r>
        <w:rPr>
          <w:rFonts w:cs="Microsoft New Tai Lue"/>
        </w:rPr>
        <w:t>和</w:t>
      </w:r>
      <w:r>
        <w:rPr>
          <w:rFonts w:hint="eastAsia" w:cs="Microsoft New Tai Lue"/>
        </w:rPr>
        <w:t>评标</w:t>
      </w:r>
      <w:r>
        <w:rPr>
          <w:rFonts w:cs="Microsoft New Tai Lue"/>
        </w:rPr>
        <w:t>标准</w:t>
      </w:r>
      <w:r>
        <w:rPr>
          <w:rFonts w:hint="eastAsia" w:cs="Microsoft New Tai Lue"/>
        </w:rPr>
        <w:t>》</w:t>
      </w:r>
      <w:r>
        <w:rPr>
          <w:rFonts w:cs="Microsoft New Tai Lue"/>
        </w:rPr>
        <w:t>，对符合性审查合格的投标文件进行比较与评价。</w:t>
      </w:r>
    </w:p>
    <w:p w14:paraId="4050DF39">
      <w:pPr>
        <w:pStyle w:val="310"/>
        <w:spacing w:before="58" w:after="58" w:line="288" w:lineRule="auto"/>
        <w:ind w:left="42" w:right="42" w:firstLine="420"/>
        <w:rPr>
          <w:rFonts w:ascii="Times New Roman" w:hAnsi="Times New Roman" w:cs="Microsoft New Tai Lue"/>
          <w:sz w:val="21"/>
        </w:rPr>
      </w:pPr>
      <w:r>
        <w:rPr>
          <w:rFonts w:ascii="Times New Roman" w:hAnsi="Times New Roman" w:cs="Microsoft New Tai Lue"/>
          <w:sz w:val="21"/>
        </w:rPr>
        <w:t>30.6.2异常低价</w:t>
      </w:r>
    </w:p>
    <w:p w14:paraId="1565D192">
      <w:pPr>
        <w:pStyle w:val="310"/>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依据财库〔2026〕2号，评审中出现下列情形之一的，评标委员会将启动异常低价投标（响应）审查程序：</w:t>
      </w:r>
    </w:p>
    <w:p w14:paraId="413A4A87">
      <w:pPr>
        <w:pStyle w:val="310"/>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（1）投标（响应）报价低于全部通过符合性审查供应商投标（响应）报价平均值50%的，即投标（响应）报价&lt;全部通过符合性审查供应商投标（响应）报价平均值×50%；</w:t>
      </w:r>
    </w:p>
    <w:p w14:paraId="36131240">
      <w:pPr>
        <w:pStyle w:val="310"/>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（2）投标（响应）报价低于通过符合性审查的次低报价供应商投标（响应）报价50%的，即投标（响应）报价&lt;通过符合性审查的次低报价供应商投标（响应）报价×50%；</w:t>
      </w:r>
    </w:p>
    <w:p w14:paraId="3FB964C6">
      <w:pPr>
        <w:pStyle w:val="310"/>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（3）投标（响应）报价低于采购项目最高限价45%的，即投标（响应）报价&lt;采购项目最高限价×45%；</w:t>
      </w:r>
    </w:p>
    <w:p w14:paraId="59B086EC">
      <w:pPr>
        <w:pStyle w:val="310"/>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（4）评标委员会基于专业判断，认为供应商报价过低，有可能影响产品质量或者不能诚信履约的其他情形。</w:t>
      </w:r>
    </w:p>
    <w:p w14:paraId="1F4F235C">
      <w:pPr>
        <w:pStyle w:val="310"/>
        <w:spacing w:before="58" w:after="58" w:line="288" w:lineRule="auto"/>
        <w:ind w:left="42" w:right="42" w:firstLine="420"/>
        <w:rPr>
          <w:rFonts w:ascii="Times New Roman" w:hAnsi="Times New Roman" w:cs="Microsoft New Tai Lue"/>
          <w:bCs/>
          <w:sz w:val="21"/>
        </w:rPr>
      </w:pPr>
      <w:r>
        <w:rPr>
          <w:rFonts w:hint="eastAsia" w:ascii="Times New Roman" w:hAnsi="Times New Roman" w:cs="Microsoft New Tai Lue"/>
          <w:bCs/>
          <w:sz w:val="21"/>
        </w:rPr>
        <w:t>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CF3A32E">
      <w:pPr>
        <w:pStyle w:val="310"/>
        <w:spacing w:before="58" w:after="58" w:line="288" w:lineRule="auto"/>
        <w:ind w:left="42" w:right="42" w:firstLine="420"/>
        <w:rPr>
          <w:rFonts w:ascii="Times New Roman" w:hAnsi="Times New Roman" w:cs="Microsoft New Tai Lue"/>
        </w:rPr>
      </w:pPr>
      <w:r>
        <w:rPr>
          <w:rFonts w:hint="eastAsia" w:ascii="Times New Roman" w:hAnsi="Times New Roman" w:cs="Microsoft New Tai Lue"/>
          <w:bCs/>
          <w:sz w:val="21"/>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872CC5A">
      <w:pPr>
        <w:pStyle w:val="4"/>
        <w:spacing w:line="360" w:lineRule="auto"/>
        <w:ind w:left="211" w:right="210" w:hanging="211"/>
        <w:rPr>
          <w:rFonts w:ascii="Times New Roman" w:hAnsi="Times New Roman" w:eastAsia="宋体" w:cs="Microsoft New Tai Lue"/>
        </w:rPr>
      </w:pPr>
      <w:bookmarkStart w:id="271" w:name="_Toc1027764396"/>
      <w:bookmarkStart w:id="272" w:name="_Toc107246255"/>
      <w:r>
        <w:rPr>
          <w:rFonts w:ascii="Times New Roman" w:hAnsi="Times New Roman" w:eastAsia="宋体" w:cs="Microsoft New Tai Lue"/>
        </w:rPr>
        <w:t>30.7</w:t>
      </w:r>
      <w:r>
        <w:rPr>
          <w:rFonts w:hint="eastAsia" w:ascii="Times New Roman" w:hAnsi="Times New Roman" w:eastAsia="宋体" w:cs="Microsoft New Tai Lue"/>
        </w:rPr>
        <w:t>编写评标报告</w:t>
      </w:r>
      <w:bookmarkEnd w:id="271"/>
      <w:bookmarkEnd w:id="272"/>
    </w:p>
    <w:p w14:paraId="73D66CC5">
      <w:pPr>
        <w:spacing w:line="360" w:lineRule="auto"/>
        <w:ind w:left="214" w:firstLine="420"/>
        <w:jc w:val="left"/>
        <w:rPr>
          <w:rFonts w:cs="Microsoft New Tai Lue"/>
        </w:rPr>
      </w:pPr>
      <w:r>
        <w:rPr>
          <w:rFonts w:hint="eastAsia" w:cs="Microsoft New Tai Lue"/>
        </w:rPr>
        <w:t>3</w:t>
      </w:r>
      <w:r>
        <w:rPr>
          <w:rFonts w:cs="Microsoft New Tai Lue"/>
        </w:rPr>
        <w:t>0.7.1评标委员会根据全体评标成员签字的原始评标记录和评标结果编写评标报告</w:t>
      </w:r>
      <w:r>
        <w:rPr>
          <w:rFonts w:hint="eastAsia" w:cs="Microsoft New Tai Lue"/>
        </w:rPr>
        <w:t>。</w:t>
      </w:r>
    </w:p>
    <w:p w14:paraId="679F59B0">
      <w:pPr>
        <w:pStyle w:val="4"/>
        <w:tabs>
          <w:tab w:val="left" w:pos="5882"/>
        </w:tabs>
        <w:spacing w:line="360" w:lineRule="auto"/>
        <w:ind w:left="211" w:right="210" w:hanging="211"/>
        <w:rPr>
          <w:rFonts w:ascii="Times New Roman" w:hAnsi="Times New Roman" w:eastAsia="宋体" w:cs="Microsoft New Tai Lue"/>
        </w:rPr>
      </w:pPr>
      <w:bookmarkStart w:id="273" w:name="_Toc103848561"/>
      <w:bookmarkStart w:id="274" w:name="_Toc1425230751"/>
      <w:bookmarkStart w:id="275" w:name="_Toc104560876"/>
      <w:bookmarkStart w:id="276" w:name="_Toc107246256"/>
      <w:r>
        <w:rPr>
          <w:rFonts w:ascii="Times New Roman" w:hAnsi="Times New Roman" w:eastAsia="宋体" w:cs="Microsoft New Tai Lue"/>
        </w:rPr>
        <w:t>30.8评标过程的保密</w:t>
      </w:r>
      <w:bookmarkEnd w:id="273"/>
      <w:bookmarkEnd w:id="274"/>
      <w:bookmarkEnd w:id="275"/>
      <w:bookmarkEnd w:id="276"/>
      <w:r>
        <w:rPr>
          <w:rFonts w:ascii="Times New Roman" w:hAnsi="Times New Roman" w:eastAsia="宋体" w:cs="Microsoft New Tai Lue"/>
        </w:rPr>
        <w:tab/>
      </w:r>
    </w:p>
    <w:p w14:paraId="20CA4614">
      <w:pPr>
        <w:spacing w:line="360" w:lineRule="auto"/>
        <w:ind w:left="214" w:firstLine="315"/>
        <w:jc w:val="left"/>
        <w:rPr>
          <w:rFonts w:cs="Microsoft New Tai Lue"/>
        </w:rPr>
      </w:pPr>
      <w:r>
        <w:rPr>
          <w:rFonts w:cs="Microsoft New Tai Lue"/>
        </w:rPr>
        <w:t>30.8.1</w:t>
      </w:r>
      <w:r>
        <w:rPr>
          <w:rFonts w:hint="eastAsia" w:cs="Microsoft New Tai Lue"/>
        </w:rPr>
        <w:t>评标委员会成员名单在评标结果公示前应当保密。</w:t>
      </w:r>
    </w:p>
    <w:p w14:paraId="796A6AC4">
      <w:pPr>
        <w:spacing w:line="360" w:lineRule="auto"/>
        <w:ind w:left="214" w:firstLine="315"/>
        <w:jc w:val="left"/>
        <w:rPr>
          <w:rFonts w:cs="Microsoft New Tai Lue"/>
        </w:rPr>
      </w:pPr>
      <w:r>
        <w:rPr>
          <w:rFonts w:hint="eastAsia" w:cs="Microsoft New Tai Lue"/>
        </w:rPr>
        <w:t>3</w:t>
      </w:r>
      <w:r>
        <w:rPr>
          <w:rFonts w:cs="Microsoft New Tai Lue"/>
        </w:rPr>
        <w:t>0.8.2</w:t>
      </w:r>
      <w:r>
        <w:rPr>
          <w:rFonts w:hint="eastAsia" w:cs="Microsoft New Tai Lue"/>
        </w:rPr>
        <w:t>采购方应当</w:t>
      </w:r>
      <w:r>
        <w:rPr>
          <w:rFonts w:cs="Microsoft New Tai Lue"/>
        </w:rPr>
        <w:t>采取必要</w:t>
      </w:r>
      <w:r>
        <w:rPr>
          <w:rFonts w:hint="eastAsia" w:cs="Microsoft New Tai Lue"/>
        </w:rPr>
        <w:t>的</w:t>
      </w:r>
      <w:r>
        <w:rPr>
          <w:rFonts w:cs="Microsoft New Tai Lue"/>
        </w:rPr>
        <w:t>措施，保证评标在严格保密的情况下进行。</w:t>
      </w:r>
    </w:p>
    <w:p w14:paraId="0D9DD438">
      <w:pPr>
        <w:spacing w:line="360" w:lineRule="auto"/>
        <w:ind w:left="214" w:firstLine="315"/>
        <w:jc w:val="left"/>
        <w:rPr>
          <w:rFonts w:cs="Microsoft New Tai Lue"/>
        </w:rPr>
      </w:pPr>
      <w:r>
        <w:rPr>
          <w:rFonts w:cs="Microsoft New Tai Lue"/>
        </w:rPr>
        <w:t>30.8.3</w:t>
      </w:r>
      <w:r>
        <w:rPr>
          <w:rFonts w:hint="eastAsia" w:cs="Microsoft New Tai Lue"/>
        </w:rPr>
        <w:t>有关人员对评标情况以及在评标过程中获悉的国家秘密、商业秘密负有保密责任。</w:t>
      </w:r>
    </w:p>
    <w:p w14:paraId="4271297F">
      <w:pPr>
        <w:pStyle w:val="3"/>
        <w:spacing w:line="360" w:lineRule="auto"/>
        <w:ind w:left="211" w:right="210" w:hanging="211"/>
        <w:rPr>
          <w:rFonts w:ascii="Times New Roman" w:hAnsi="Times New Roman" w:eastAsia="宋体" w:cs="Microsoft New Tai Lue"/>
        </w:rPr>
      </w:pPr>
      <w:bookmarkStart w:id="277" w:name="_Toc820633419"/>
      <w:bookmarkStart w:id="278" w:name="_Toc7844"/>
      <w:r>
        <w:rPr>
          <w:rFonts w:ascii="Times New Roman" w:hAnsi="Times New Roman" w:eastAsia="宋体" w:cs="Microsoft New Tai Lue"/>
        </w:rPr>
        <w:t>六．</w:t>
      </w:r>
      <w:r>
        <w:rPr>
          <w:rFonts w:hint="eastAsia" w:ascii="Times New Roman" w:hAnsi="Times New Roman" w:eastAsia="宋体" w:cs="Microsoft New Tai Lue"/>
        </w:rPr>
        <w:t>确定中标</w:t>
      </w:r>
      <w:bookmarkEnd w:id="277"/>
      <w:bookmarkEnd w:id="278"/>
    </w:p>
    <w:p w14:paraId="1071019A">
      <w:pPr>
        <w:pStyle w:val="4"/>
        <w:spacing w:line="360" w:lineRule="auto"/>
        <w:ind w:left="211" w:right="210" w:hanging="211"/>
        <w:rPr>
          <w:rFonts w:ascii="Times New Roman" w:hAnsi="Times New Roman" w:eastAsia="宋体" w:cs="Microsoft New Tai Lue"/>
        </w:rPr>
      </w:pPr>
      <w:bookmarkStart w:id="279" w:name="_Toc104560878"/>
      <w:bookmarkStart w:id="280" w:name="_Toc103848563"/>
      <w:bookmarkStart w:id="281" w:name="_Toc1245892099"/>
      <w:bookmarkStart w:id="282" w:name="_Toc107246258"/>
      <w:r>
        <w:rPr>
          <w:rFonts w:ascii="Times New Roman" w:hAnsi="Times New Roman" w:eastAsia="宋体" w:cs="Microsoft New Tai Lue"/>
        </w:rPr>
        <w:t>31.确定中标</w:t>
      </w:r>
      <w:bookmarkEnd w:id="279"/>
      <w:bookmarkEnd w:id="280"/>
      <w:r>
        <w:rPr>
          <w:rFonts w:hint="eastAsia" w:ascii="Times New Roman" w:hAnsi="Times New Roman" w:eastAsia="宋体" w:cs="Microsoft New Tai Lue"/>
        </w:rPr>
        <w:t>人</w:t>
      </w:r>
      <w:bookmarkEnd w:id="281"/>
      <w:bookmarkEnd w:id="282"/>
    </w:p>
    <w:p w14:paraId="3E34F8B5">
      <w:pPr>
        <w:spacing w:line="360" w:lineRule="auto"/>
        <w:ind w:left="214" w:firstLine="420"/>
        <w:jc w:val="left"/>
        <w:rPr>
          <w:rFonts w:cs="Microsoft New Tai Lue"/>
        </w:rPr>
      </w:pPr>
      <w:r>
        <w:rPr>
          <w:rFonts w:cs="Microsoft New Tai Lue"/>
        </w:rPr>
        <w:t>31.1采用最低评标价法的，评标结果按投标报价由低到高顺序排列。投标报价相同的并列。投标文件满足招标文件全部实质性要求且投标报价最低的投标人为排名第一的中标候选人。</w:t>
      </w:r>
    </w:p>
    <w:p w14:paraId="4AA597BC">
      <w:pPr>
        <w:spacing w:line="360" w:lineRule="auto"/>
        <w:ind w:left="214" w:firstLine="420"/>
        <w:jc w:val="left"/>
        <w:rPr>
          <w:rFonts w:cs="Microsoft New Tai Lue"/>
        </w:rPr>
      </w:pPr>
      <w:r>
        <w:rPr>
          <w:rFonts w:cs="Microsoft New Tai Lue"/>
        </w:rPr>
        <w:t>31.2</w:t>
      </w:r>
      <w:r>
        <w:rPr>
          <w:rFonts w:hint="eastAsia" w:cs="Microsoft New Tai Lue"/>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EB29EAD">
      <w:pPr>
        <w:spacing w:line="360" w:lineRule="auto"/>
        <w:ind w:left="214" w:firstLine="420"/>
        <w:jc w:val="left"/>
        <w:rPr>
          <w:rFonts w:cs="Microsoft New Tai Lue"/>
        </w:rPr>
      </w:pPr>
      <w:r>
        <w:rPr>
          <w:rFonts w:cs="Microsoft New Tai Lue"/>
        </w:rPr>
        <w:t>31</w:t>
      </w:r>
      <w:r>
        <w:rPr>
          <w:rFonts w:hint="eastAsia" w:cs="Microsoft New Tai Lue"/>
        </w:rPr>
        <w:t>.3中标候选人并列的，由采购人或者采购人委托评标委员会按照</w:t>
      </w:r>
      <w:r>
        <w:rPr>
          <w:rFonts w:hint="eastAsia" w:cs="Microsoft New Tai Lue"/>
          <w:b/>
        </w:rPr>
        <w:t>投标人须知前附表</w:t>
      </w:r>
      <w:r>
        <w:rPr>
          <w:rFonts w:hint="eastAsia" w:cs="Microsoft New Tai Lue"/>
        </w:rPr>
        <w:t>规定的方式确定中标人。</w:t>
      </w:r>
    </w:p>
    <w:p w14:paraId="0DA9AE7D">
      <w:pPr>
        <w:spacing w:line="360" w:lineRule="auto"/>
        <w:ind w:left="214" w:firstLine="420"/>
        <w:jc w:val="left"/>
        <w:rPr>
          <w:rFonts w:cs="Microsoft New Tai Lue"/>
        </w:rPr>
      </w:pPr>
      <w:r>
        <w:rPr>
          <w:rFonts w:cs="Microsoft New Tai Lue"/>
        </w:rPr>
        <w:t>31.4评审结束后，中标</w:t>
      </w:r>
      <w:r>
        <w:rPr>
          <w:rFonts w:hint="eastAsia" w:cs="Microsoft New Tai Lue"/>
        </w:rPr>
        <w:t>人</w:t>
      </w:r>
      <w:r>
        <w:rPr>
          <w:rFonts w:cs="Microsoft New Tai Lue"/>
        </w:rPr>
        <w:t>名单将</w:t>
      </w:r>
      <w:r>
        <w:rPr>
          <w:rFonts w:hint="eastAsia" w:cs="Microsoft New Tai Lue"/>
        </w:rPr>
        <w:t>在相应</w:t>
      </w:r>
      <w:r>
        <w:rPr>
          <w:rFonts w:cs="Microsoft New Tai Lue"/>
        </w:rPr>
        <w:t>的媒体上公告中标结果，中标公告期为1个工作日</w:t>
      </w:r>
      <w:r>
        <w:rPr>
          <w:rFonts w:hint="eastAsia" w:cs="Microsoft New Tai Lue"/>
        </w:rPr>
        <w:t>，</w:t>
      </w:r>
      <w:r>
        <w:rPr>
          <w:rFonts w:cs="Microsoft New Tai Lue"/>
        </w:rPr>
        <w:t>公告媒体</w:t>
      </w:r>
      <w:r>
        <w:rPr>
          <w:rFonts w:hint="eastAsia" w:cs="Microsoft New Tai Lue"/>
        </w:rPr>
        <w:t>见</w:t>
      </w:r>
      <w:r>
        <w:rPr>
          <w:rFonts w:hint="eastAsia" w:cs="Microsoft New Tai Lue"/>
          <w:b/>
        </w:rPr>
        <w:t>投标人</w:t>
      </w:r>
      <w:r>
        <w:rPr>
          <w:rFonts w:cs="Microsoft New Tai Lue"/>
          <w:b/>
        </w:rPr>
        <w:t>须知</w:t>
      </w:r>
      <w:r>
        <w:rPr>
          <w:rFonts w:hint="eastAsia" w:cs="Microsoft New Tai Lue"/>
          <w:b/>
        </w:rPr>
        <w:t>前附表。</w:t>
      </w:r>
    </w:p>
    <w:p w14:paraId="46AFF4C1">
      <w:pPr>
        <w:pStyle w:val="4"/>
        <w:spacing w:line="360" w:lineRule="auto"/>
        <w:ind w:left="211" w:right="210" w:hanging="211"/>
        <w:rPr>
          <w:rFonts w:ascii="Times New Roman" w:hAnsi="Times New Roman" w:eastAsia="宋体" w:cs="Microsoft New Tai Lue"/>
        </w:rPr>
      </w:pPr>
      <w:bookmarkStart w:id="283" w:name="_Toc107246259"/>
      <w:bookmarkStart w:id="284" w:name="_Toc103848564"/>
      <w:bookmarkStart w:id="285" w:name="_Toc104560879"/>
      <w:bookmarkStart w:id="286" w:name="_Toc1742949643"/>
      <w:r>
        <w:rPr>
          <w:rFonts w:ascii="Times New Roman" w:hAnsi="Times New Roman" w:eastAsia="宋体" w:cs="Microsoft New Tai Lue"/>
        </w:rPr>
        <w:t>32.中标通知书</w:t>
      </w:r>
      <w:bookmarkEnd w:id="283"/>
      <w:bookmarkEnd w:id="284"/>
      <w:bookmarkEnd w:id="285"/>
      <w:bookmarkEnd w:id="286"/>
    </w:p>
    <w:p w14:paraId="441783B5">
      <w:pPr>
        <w:spacing w:line="360" w:lineRule="auto"/>
        <w:ind w:left="214" w:firstLine="420"/>
        <w:jc w:val="left"/>
        <w:rPr>
          <w:rFonts w:cs="Microsoft New Tai Lue"/>
        </w:rPr>
      </w:pPr>
      <w:r>
        <w:rPr>
          <w:rFonts w:cs="Microsoft New Tai Lue"/>
        </w:rPr>
        <w:t>32.1采购代理机构将在中标公告发布的同时向中标</w:t>
      </w:r>
      <w:r>
        <w:rPr>
          <w:rFonts w:hint="eastAsia" w:cs="Microsoft New Tai Lue"/>
        </w:rPr>
        <w:t>人</w:t>
      </w:r>
      <w:r>
        <w:rPr>
          <w:rFonts w:cs="Microsoft New Tai Lue"/>
        </w:rPr>
        <w:t>发出中标通知书。</w:t>
      </w:r>
    </w:p>
    <w:p w14:paraId="71346986">
      <w:pPr>
        <w:spacing w:line="360" w:lineRule="auto"/>
        <w:ind w:left="214" w:firstLine="420"/>
        <w:jc w:val="left"/>
        <w:rPr>
          <w:rFonts w:cs="Microsoft New Tai Lue"/>
        </w:rPr>
      </w:pPr>
      <w:r>
        <w:rPr>
          <w:rFonts w:cs="Microsoft New Tai Lue"/>
        </w:rPr>
        <w:t>32.2中标通知书将是合同的组成部分。对采购人和中标</w:t>
      </w:r>
      <w:r>
        <w:rPr>
          <w:rFonts w:hint="eastAsia" w:cs="Microsoft New Tai Lue"/>
        </w:rPr>
        <w:t>人</w:t>
      </w:r>
      <w:r>
        <w:rPr>
          <w:rFonts w:cs="Microsoft New Tai Lue"/>
        </w:rPr>
        <w:t>均具有法律效力。</w:t>
      </w:r>
    </w:p>
    <w:p w14:paraId="1329F312">
      <w:pPr>
        <w:spacing w:line="360" w:lineRule="auto"/>
        <w:ind w:left="214" w:firstLine="420"/>
        <w:jc w:val="left"/>
        <w:rPr>
          <w:rFonts w:cs="Microsoft New Tai Lue"/>
        </w:rPr>
      </w:pPr>
      <w:r>
        <w:rPr>
          <w:rFonts w:cs="Microsoft New Tai Lue"/>
        </w:rPr>
        <w:t>32.3</w:t>
      </w:r>
      <w:bookmarkStart w:id="287" w:name="_Toc103848560"/>
      <w:bookmarkStart w:id="288" w:name="_Toc104560875"/>
      <w:r>
        <w:rPr>
          <w:rFonts w:cs="Microsoft New Tai Lue"/>
        </w:rPr>
        <w:t>中标通知书发出后</w:t>
      </w:r>
      <w:r>
        <w:rPr>
          <w:rFonts w:hint="eastAsia" w:cs="Microsoft New Tai Lue"/>
        </w:rPr>
        <w:t>，中标人无正当理由不得放弃中标，否则将依法承担法律责任。</w:t>
      </w:r>
    </w:p>
    <w:p w14:paraId="51F244A1">
      <w:pPr>
        <w:pStyle w:val="4"/>
        <w:spacing w:line="360" w:lineRule="auto"/>
        <w:ind w:left="211" w:right="210" w:hanging="211"/>
        <w:rPr>
          <w:rFonts w:ascii="Times New Roman" w:hAnsi="Times New Roman" w:eastAsia="宋体" w:cs="Microsoft New Tai Lue"/>
        </w:rPr>
      </w:pPr>
      <w:bookmarkStart w:id="289" w:name="_Toc107246260"/>
      <w:bookmarkStart w:id="290" w:name="_Toc2077704821"/>
      <w:r>
        <w:rPr>
          <w:rFonts w:ascii="Times New Roman" w:hAnsi="Times New Roman" w:eastAsia="宋体" w:cs="Microsoft New Tai Lue"/>
        </w:rPr>
        <w:t>33.废标</w:t>
      </w:r>
      <w:bookmarkEnd w:id="287"/>
      <w:bookmarkEnd w:id="288"/>
      <w:bookmarkEnd w:id="289"/>
      <w:bookmarkEnd w:id="290"/>
    </w:p>
    <w:p w14:paraId="56CA11B1">
      <w:pPr>
        <w:spacing w:line="360" w:lineRule="auto"/>
        <w:ind w:left="214" w:firstLine="315"/>
        <w:jc w:val="left"/>
        <w:rPr>
          <w:rFonts w:cs="Microsoft New Tai Lue"/>
          <w:b/>
        </w:rPr>
      </w:pPr>
      <w:r>
        <w:rPr>
          <w:rFonts w:cs="Microsoft New Tai Lue"/>
          <w:b/>
        </w:rPr>
        <w:t>33</w:t>
      </w:r>
      <w:r>
        <w:rPr>
          <w:rFonts w:hint="eastAsia" w:cs="Microsoft New Tai Lue"/>
          <w:b/>
        </w:rPr>
        <w:t>.1出现下列情形之一的，应予废标：</w:t>
      </w:r>
    </w:p>
    <w:p w14:paraId="2DDC4586">
      <w:pPr>
        <w:spacing w:line="360" w:lineRule="auto"/>
        <w:ind w:left="214" w:firstLine="315"/>
        <w:jc w:val="left"/>
        <w:rPr>
          <w:rFonts w:cs="Microsoft New Tai Lue"/>
          <w:bCs/>
        </w:rPr>
      </w:pPr>
      <w:r>
        <w:rPr>
          <w:rFonts w:hint="eastAsia" w:cs="Microsoft New Tai Lue"/>
          <w:bCs/>
        </w:rPr>
        <w:t>（1）符合专业条件的投标人或者对招标文件作实质响应的投标人不足三家的；</w:t>
      </w:r>
    </w:p>
    <w:p w14:paraId="353678BB">
      <w:pPr>
        <w:spacing w:line="360" w:lineRule="auto"/>
        <w:ind w:left="214" w:firstLine="315"/>
        <w:jc w:val="left"/>
        <w:rPr>
          <w:rFonts w:cs="Microsoft New Tai Lue"/>
          <w:bCs/>
        </w:rPr>
      </w:pPr>
      <w:r>
        <w:rPr>
          <w:rFonts w:hint="eastAsia" w:cs="Microsoft New Tai Lue"/>
          <w:bCs/>
        </w:rPr>
        <w:t>（2）出现影响采购公正的违法、违规行为的；</w:t>
      </w:r>
    </w:p>
    <w:p w14:paraId="367FF436">
      <w:pPr>
        <w:spacing w:line="360" w:lineRule="auto"/>
        <w:ind w:left="214" w:firstLine="315"/>
        <w:jc w:val="left"/>
        <w:rPr>
          <w:rFonts w:cs="Microsoft New Tai Lue"/>
          <w:bCs/>
        </w:rPr>
      </w:pPr>
      <w:r>
        <w:rPr>
          <w:rFonts w:hint="eastAsia" w:cs="Microsoft New Tai Lue"/>
          <w:bCs/>
        </w:rPr>
        <w:t>（3）投标人的报价均超过了采购预算，采购人不能支付的；</w:t>
      </w:r>
    </w:p>
    <w:p w14:paraId="5F2B9E3D">
      <w:pPr>
        <w:spacing w:line="360" w:lineRule="auto"/>
        <w:ind w:left="214" w:firstLine="315"/>
        <w:jc w:val="left"/>
        <w:rPr>
          <w:rFonts w:cs="Microsoft New Tai Lue"/>
          <w:bCs/>
        </w:rPr>
      </w:pPr>
      <w:r>
        <w:rPr>
          <w:rFonts w:hint="eastAsia" w:cs="Microsoft New Tai Lue"/>
          <w:bCs/>
        </w:rPr>
        <w:t>（4）因重大变故，采购任务取消的。</w:t>
      </w:r>
    </w:p>
    <w:p w14:paraId="685827AD">
      <w:pPr>
        <w:spacing w:line="360" w:lineRule="auto"/>
        <w:ind w:left="214" w:firstLine="315"/>
        <w:jc w:val="left"/>
        <w:rPr>
          <w:rFonts w:cs="Microsoft New Tai Lue"/>
        </w:rPr>
      </w:pPr>
      <w:r>
        <w:rPr>
          <w:rFonts w:cs="Microsoft New Tai Lue"/>
        </w:rPr>
        <w:t>33.2</w:t>
      </w:r>
      <w:r>
        <w:rPr>
          <w:rFonts w:hint="eastAsia" w:cs="Microsoft New Tai Lue"/>
        </w:rPr>
        <w:t>废标后，采购人将废标理由通知所有投标人。</w:t>
      </w:r>
    </w:p>
    <w:p w14:paraId="0F3D6DF0">
      <w:pPr>
        <w:pStyle w:val="4"/>
        <w:spacing w:line="360" w:lineRule="auto"/>
        <w:ind w:left="211" w:right="210" w:hanging="211"/>
        <w:rPr>
          <w:rFonts w:ascii="Times New Roman" w:hAnsi="Times New Roman" w:eastAsia="宋体" w:cs="Microsoft New Tai Lue"/>
        </w:rPr>
      </w:pPr>
      <w:bookmarkStart w:id="291" w:name="_Toc104560880"/>
      <w:bookmarkStart w:id="292" w:name="_Toc103848565"/>
      <w:bookmarkStart w:id="293" w:name="_Toc107246261"/>
      <w:bookmarkStart w:id="294" w:name="_Toc1900826327"/>
      <w:r>
        <w:rPr>
          <w:rFonts w:ascii="Times New Roman" w:hAnsi="Times New Roman" w:eastAsia="宋体" w:cs="Microsoft New Tai Lue"/>
        </w:rPr>
        <w:t>34.签订合同</w:t>
      </w:r>
      <w:bookmarkEnd w:id="291"/>
      <w:bookmarkEnd w:id="292"/>
      <w:bookmarkEnd w:id="293"/>
      <w:bookmarkEnd w:id="294"/>
    </w:p>
    <w:p w14:paraId="1A3DDBAB">
      <w:pPr>
        <w:spacing w:line="360" w:lineRule="auto"/>
        <w:ind w:left="214" w:firstLine="420"/>
        <w:jc w:val="left"/>
        <w:rPr>
          <w:rFonts w:cs="Microsoft New Tai Lue"/>
        </w:rPr>
      </w:pPr>
      <w:r>
        <w:rPr>
          <w:rFonts w:hint="eastAsia" w:cs="Microsoft New Tai Lue"/>
        </w:rPr>
        <w:t>3</w:t>
      </w:r>
      <w:r>
        <w:rPr>
          <w:rFonts w:cs="Microsoft New Tai Lue"/>
        </w:rPr>
        <w:t>4.1中标人、采购人应当自中标通知书发出之日起30日内，按照招标文件和中标人投标文件的规定签订书面合同。所签订的合同不得对招标文件确定的事项和中标人投标文件作实质性修改。</w:t>
      </w:r>
    </w:p>
    <w:p w14:paraId="3278427A">
      <w:pPr>
        <w:spacing w:line="360" w:lineRule="auto"/>
        <w:ind w:left="214" w:firstLine="420"/>
        <w:jc w:val="left"/>
        <w:rPr>
          <w:rFonts w:cs="Microsoft New Tai Lue"/>
        </w:rPr>
      </w:pPr>
      <w:r>
        <w:rPr>
          <w:rFonts w:hint="eastAsia" w:cs="Microsoft New Tai Lue"/>
        </w:rPr>
        <w:t>3</w:t>
      </w:r>
      <w:r>
        <w:rPr>
          <w:rFonts w:cs="Microsoft New Tai Lue"/>
        </w:rPr>
        <w:t>4.2中标人</w:t>
      </w:r>
      <w:r>
        <w:rPr>
          <w:rFonts w:hint="eastAsia" w:cs="Microsoft New Tai Lue"/>
        </w:rPr>
        <w:t>拒绝</w:t>
      </w:r>
      <w:r>
        <w:rPr>
          <w:rFonts w:cs="Microsoft New Tai Lue"/>
        </w:rPr>
        <w:t>与采购人签订合同的，采购人</w:t>
      </w:r>
      <w:r>
        <w:rPr>
          <w:rFonts w:hint="eastAsia" w:cs="Microsoft New Tai Lue"/>
        </w:rPr>
        <w:t>可以</w:t>
      </w:r>
      <w:r>
        <w:rPr>
          <w:rFonts w:cs="Microsoft New Tai Lue"/>
        </w:rPr>
        <w:t>按照评</w:t>
      </w:r>
      <w:r>
        <w:rPr>
          <w:rFonts w:hint="eastAsia" w:cs="Microsoft New Tai Lue"/>
        </w:rPr>
        <w:t>标</w:t>
      </w:r>
      <w:r>
        <w:rPr>
          <w:rFonts w:cs="Microsoft New Tai Lue"/>
        </w:rPr>
        <w:t>报告推荐的中标候选人名单排序，确定下一候选人为中标人，</w:t>
      </w:r>
      <w:r>
        <w:rPr>
          <w:rFonts w:hint="eastAsia" w:cs="Microsoft New Tai Lue"/>
        </w:rPr>
        <w:t>也可以</w:t>
      </w:r>
      <w:r>
        <w:rPr>
          <w:rFonts w:cs="Microsoft New Tai Lue"/>
        </w:rPr>
        <w:t>重新开展政府采购活动。</w:t>
      </w:r>
    </w:p>
    <w:p w14:paraId="141FEB3B">
      <w:pPr>
        <w:spacing w:line="360" w:lineRule="auto"/>
        <w:ind w:left="214" w:firstLine="420"/>
        <w:jc w:val="left"/>
        <w:rPr>
          <w:rFonts w:cs="Microsoft New Tai Lue"/>
        </w:rPr>
      </w:pPr>
      <w:r>
        <w:rPr>
          <w:rFonts w:cs="Microsoft New Tai Lue"/>
        </w:rPr>
        <w:t>34.3联合体中标的，联合体各方应当共同与采购人签订合同，就中标项目向采购人承担连带责任。</w:t>
      </w:r>
    </w:p>
    <w:p w14:paraId="7A4975E3">
      <w:pPr>
        <w:spacing w:line="360" w:lineRule="auto"/>
        <w:ind w:left="214" w:firstLine="420"/>
        <w:jc w:val="left"/>
        <w:rPr>
          <w:rFonts w:cs="Microsoft New Tai Lue"/>
        </w:rPr>
      </w:pPr>
      <w:r>
        <w:rPr>
          <w:rFonts w:cs="Microsoft New Tai Lue"/>
        </w:rPr>
        <w:t>34.4</w:t>
      </w:r>
      <w:r>
        <w:rPr>
          <w:rFonts w:hint="eastAsia" w:cs="Microsoft New Tai Lue"/>
        </w:rPr>
        <w:t>政府采购合同不能转包</w:t>
      </w:r>
      <w:r>
        <w:rPr>
          <w:rFonts w:cs="Microsoft New Tai Lue"/>
        </w:rPr>
        <w:t>。未经采购人同意，中标人也不得采用分包的形式履行合同，否则采购人有权终止合同。转包或分包造成采购人损失的，中标人应承担相应赔偿责任。</w:t>
      </w:r>
    </w:p>
    <w:p w14:paraId="5AA88CCD">
      <w:pPr>
        <w:pStyle w:val="4"/>
        <w:spacing w:line="360" w:lineRule="auto"/>
        <w:ind w:left="211" w:right="210" w:hanging="211"/>
        <w:rPr>
          <w:rFonts w:ascii="Times New Roman" w:hAnsi="Times New Roman" w:eastAsia="宋体" w:cs="Microsoft New Tai Lue"/>
          <w:szCs w:val="21"/>
        </w:rPr>
      </w:pPr>
      <w:bookmarkStart w:id="295" w:name="_Toc103848567"/>
      <w:bookmarkStart w:id="296" w:name="_Toc107246262"/>
      <w:bookmarkStart w:id="297" w:name="_Toc104560881"/>
      <w:bookmarkStart w:id="298" w:name="_Toc1221345117"/>
      <w:r>
        <w:rPr>
          <w:rFonts w:ascii="Times New Roman" w:hAnsi="Times New Roman" w:eastAsia="宋体" w:cs="Microsoft New Tai Lue"/>
          <w:szCs w:val="21"/>
        </w:rPr>
        <w:t>35.履约保证金</w:t>
      </w:r>
      <w:bookmarkEnd w:id="295"/>
      <w:bookmarkEnd w:id="296"/>
      <w:bookmarkEnd w:id="297"/>
      <w:bookmarkEnd w:id="298"/>
    </w:p>
    <w:p w14:paraId="011B5925">
      <w:pPr>
        <w:spacing w:line="360" w:lineRule="auto"/>
        <w:ind w:left="214" w:firstLine="420"/>
        <w:jc w:val="left"/>
        <w:rPr>
          <w:rFonts w:cs="Microsoft New Tai Lue"/>
        </w:rPr>
      </w:pPr>
      <w:r>
        <w:rPr>
          <w:rFonts w:cs="Microsoft New Tai Lue"/>
        </w:rPr>
        <w:t>35.1本项目是否缴纳履约保证金见</w:t>
      </w:r>
      <w:r>
        <w:rPr>
          <w:rFonts w:cs="Microsoft New Tai Lue"/>
          <w:b/>
        </w:rPr>
        <w:t>投标人须知前附表</w:t>
      </w:r>
      <w:r>
        <w:rPr>
          <w:rFonts w:cs="Microsoft New Tai Lue"/>
        </w:rPr>
        <w:t>。</w:t>
      </w:r>
    </w:p>
    <w:p w14:paraId="2C5A7441">
      <w:pPr>
        <w:spacing w:line="360" w:lineRule="auto"/>
        <w:ind w:left="214" w:firstLine="420"/>
        <w:jc w:val="left"/>
        <w:rPr>
          <w:rFonts w:cs="Microsoft New Tai Lue"/>
        </w:rPr>
      </w:pPr>
      <w:r>
        <w:rPr>
          <w:rFonts w:cs="Microsoft New Tai Lue"/>
        </w:rPr>
        <w:t>35.2</w:t>
      </w:r>
      <w:r>
        <w:rPr>
          <w:rFonts w:cs="Microsoft New Tai Lue"/>
          <w:b/>
        </w:rPr>
        <w:t>投标人须知前附表</w:t>
      </w:r>
      <w:r>
        <w:rPr>
          <w:rFonts w:cs="Microsoft New Tai Lue"/>
        </w:rPr>
        <w:t>规定交纳履约保证金的，中标人在签订采购合同前，向采购人提交履约保证金。联合体成交的，履约保证金以联合体各方或联合体中牵头人的名义提交。</w:t>
      </w:r>
    </w:p>
    <w:p w14:paraId="2073B8C8">
      <w:pPr>
        <w:spacing w:line="360" w:lineRule="auto"/>
        <w:ind w:left="214" w:firstLine="420"/>
        <w:jc w:val="left"/>
        <w:rPr>
          <w:rFonts w:cs="Microsoft New Tai Lue"/>
        </w:rPr>
      </w:pPr>
      <w:r>
        <w:rPr>
          <w:rFonts w:cs="Microsoft New Tai Lue"/>
        </w:rPr>
        <w:t>35.3中标人没有按照</w:t>
      </w:r>
      <w:r>
        <w:rPr>
          <w:rFonts w:cs="Microsoft New Tai Lue"/>
          <w:b/>
        </w:rPr>
        <w:t>投标人须知前附表</w:t>
      </w:r>
      <w:r>
        <w:rPr>
          <w:rFonts w:cs="Microsoft New Tai Lue"/>
        </w:rPr>
        <w:t>的规定提交履约保证金的，视为放弃中标，其投标保证金不予退还。</w:t>
      </w:r>
    </w:p>
    <w:p w14:paraId="2A4435FE">
      <w:pPr>
        <w:pStyle w:val="3"/>
        <w:spacing w:line="360" w:lineRule="auto"/>
        <w:ind w:left="211" w:right="210" w:hanging="211"/>
        <w:rPr>
          <w:rFonts w:ascii="Times New Roman" w:hAnsi="Times New Roman" w:eastAsia="宋体" w:cs="Microsoft New Tai Lue"/>
        </w:rPr>
      </w:pPr>
      <w:bookmarkStart w:id="299" w:name="_Toc1498683393"/>
      <w:bookmarkStart w:id="300" w:name="_Toc17788"/>
      <w:r>
        <w:rPr>
          <w:rFonts w:ascii="Times New Roman" w:hAnsi="Times New Roman" w:eastAsia="宋体" w:cs="Microsoft New Tai Lue"/>
        </w:rPr>
        <w:t>七．</w:t>
      </w:r>
      <w:bookmarkStart w:id="301" w:name="_Toc103848569"/>
      <w:r>
        <w:rPr>
          <w:rFonts w:hint="eastAsia" w:ascii="Times New Roman" w:hAnsi="Times New Roman" w:eastAsia="宋体" w:cs="Microsoft New Tai Lue"/>
        </w:rPr>
        <w:t>询问与质疑</w:t>
      </w:r>
      <w:bookmarkEnd w:id="299"/>
      <w:bookmarkEnd w:id="300"/>
      <w:bookmarkEnd w:id="301"/>
    </w:p>
    <w:p w14:paraId="457E5B76">
      <w:pPr>
        <w:pStyle w:val="4"/>
        <w:spacing w:line="360" w:lineRule="auto"/>
        <w:ind w:left="211" w:right="210" w:hanging="211"/>
        <w:rPr>
          <w:rFonts w:ascii="Times New Roman" w:hAnsi="Times New Roman" w:eastAsia="宋体" w:cs="Microsoft New Tai Lue"/>
          <w:szCs w:val="21"/>
        </w:rPr>
      </w:pPr>
      <w:bookmarkStart w:id="302" w:name="_Toc102117305"/>
      <w:bookmarkStart w:id="303" w:name="_Toc104560883"/>
      <w:bookmarkStart w:id="304" w:name="_Toc107246264"/>
      <w:bookmarkStart w:id="305" w:name="_Toc536090488"/>
      <w:r>
        <w:rPr>
          <w:rFonts w:ascii="Times New Roman" w:hAnsi="Times New Roman" w:eastAsia="宋体" w:cs="Microsoft New Tai Lue"/>
          <w:szCs w:val="21"/>
        </w:rPr>
        <w:t>36.询问</w:t>
      </w:r>
      <w:bookmarkEnd w:id="302"/>
      <w:bookmarkEnd w:id="303"/>
      <w:bookmarkEnd w:id="304"/>
      <w:bookmarkEnd w:id="305"/>
    </w:p>
    <w:p w14:paraId="5E1EE9C7">
      <w:pPr>
        <w:spacing w:line="360" w:lineRule="auto"/>
        <w:ind w:left="214" w:firstLine="420"/>
        <w:jc w:val="left"/>
        <w:rPr>
          <w:rFonts w:cs="Microsoft New Tai Lue"/>
        </w:rPr>
      </w:pPr>
      <w:r>
        <w:rPr>
          <w:rFonts w:cs="Microsoft New Tai Lue"/>
        </w:rPr>
        <w:t>36.1</w:t>
      </w:r>
      <w:r>
        <w:rPr>
          <w:rFonts w:hint="eastAsia" w:cs="Microsoft New Tai Lue"/>
        </w:rPr>
        <w:t>供应商</w:t>
      </w:r>
      <w:r>
        <w:rPr>
          <w:rFonts w:cs="Microsoft New Tai Lue"/>
        </w:rPr>
        <w:t>对政府采购活动事项有疑问的，可依法提出询问，并按</w:t>
      </w:r>
      <w:r>
        <w:rPr>
          <w:rFonts w:hint="eastAsia" w:cs="Microsoft New Tai Lue"/>
          <w:b/>
        </w:rPr>
        <w:t>投标人</w:t>
      </w:r>
      <w:r>
        <w:rPr>
          <w:rFonts w:cs="Microsoft New Tai Lue"/>
          <w:b/>
        </w:rPr>
        <w:t>须知前附表</w:t>
      </w:r>
      <w:r>
        <w:rPr>
          <w:rFonts w:cs="Microsoft New Tai Lue"/>
        </w:rPr>
        <w:t>载明的形式通知采购方。</w:t>
      </w:r>
    </w:p>
    <w:p w14:paraId="6AD7B5EE">
      <w:pPr>
        <w:spacing w:line="360" w:lineRule="auto"/>
        <w:ind w:left="214" w:firstLine="420"/>
        <w:jc w:val="left"/>
      </w:pPr>
      <w:r>
        <w:rPr>
          <w:rFonts w:cs="Microsoft New Tai Lue"/>
        </w:rPr>
        <w:t>36.2采购方对</w:t>
      </w:r>
      <w:r>
        <w:rPr>
          <w:rFonts w:hint="eastAsia" w:cs="Microsoft New Tai Lue"/>
        </w:rPr>
        <w:t>供应商</w:t>
      </w:r>
      <w:r>
        <w:rPr>
          <w:rFonts w:cs="Microsoft New Tai Lue"/>
        </w:rPr>
        <w:t>依法提出的询问，在3个工作日内作出答复，但答复的内容不得涉及商</w:t>
      </w:r>
      <w:r>
        <w:t>业秘密。</w:t>
      </w:r>
    </w:p>
    <w:p w14:paraId="52C91E2E">
      <w:pPr>
        <w:pStyle w:val="4"/>
        <w:spacing w:line="360" w:lineRule="auto"/>
        <w:ind w:left="211" w:right="210" w:hanging="211"/>
        <w:rPr>
          <w:rFonts w:ascii="Times New Roman" w:hAnsi="Times New Roman" w:eastAsia="宋体" w:cs="Microsoft New Tai Lue"/>
          <w:szCs w:val="21"/>
        </w:rPr>
      </w:pPr>
      <w:bookmarkStart w:id="306" w:name="_Toc1378932651"/>
      <w:bookmarkStart w:id="307" w:name="_Toc102117306"/>
      <w:bookmarkStart w:id="308" w:name="_Toc104560884"/>
      <w:bookmarkStart w:id="309" w:name="_Toc107246265"/>
      <w:r>
        <w:rPr>
          <w:rFonts w:ascii="Times New Roman" w:hAnsi="Times New Roman" w:eastAsia="宋体" w:cs="Microsoft New Tai Lue"/>
          <w:szCs w:val="21"/>
        </w:rPr>
        <w:t>37.质疑</w:t>
      </w:r>
      <w:bookmarkEnd w:id="306"/>
      <w:bookmarkEnd w:id="307"/>
      <w:bookmarkEnd w:id="308"/>
      <w:bookmarkEnd w:id="309"/>
    </w:p>
    <w:p w14:paraId="740103B5">
      <w:pPr>
        <w:spacing w:line="360" w:lineRule="auto"/>
        <w:ind w:left="214" w:firstLine="420"/>
        <w:jc w:val="left"/>
        <w:rPr>
          <w:rFonts w:cs="Microsoft New Tai Lue"/>
        </w:rPr>
      </w:pPr>
      <w:r>
        <w:rPr>
          <w:rFonts w:cs="Microsoft New Tai Lue"/>
        </w:rPr>
        <w:t>37.1</w:t>
      </w:r>
      <w:r>
        <w:rPr>
          <w:rFonts w:hint="eastAsia" w:cs="Microsoft New Tai Lue"/>
        </w:rPr>
        <w:t>供应商</w:t>
      </w:r>
      <w:r>
        <w:rPr>
          <w:rFonts w:cs="Microsoft New Tai Lue"/>
        </w:rPr>
        <w:t>认为采购文件、采购过程和成交结果使自己的权益受到损害的，可以在知道或者应知其权益受到损害之日起7个工作日内，以</w:t>
      </w:r>
      <w:r>
        <w:rPr>
          <w:rFonts w:hint="eastAsia" w:cs="Microsoft New Tai Lue"/>
          <w:b/>
        </w:rPr>
        <w:t>投标人</w:t>
      </w:r>
      <w:r>
        <w:rPr>
          <w:rFonts w:cs="Microsoft New Tai Lue"/>
          <w:b/>
        </w:rPr>
        <w:t>须知前附表</w:t>
      </w:r>
      <w:r>
        <w:rPr>
          <w:rFonts w:cs="Microsoft New Tai Lue"/>
        </w:rPr>
        <w:t>的要求向采购方提出质疑。采购方将以书面形式答复质疑供应商，但答复的内容不涉及商业秘密。</w:t>
      </w:r>
      <w:r>
        <w:rPr>
          <w:rFonts w:hint="eastAsia" w:cs="Microsoft New Tai Lue"/>
        </w:rPr>
        <w:t>投标人</w:t>
      </w:r>
      <w:r>
        <w:rPr>
          <w:rFonts w:cs="Microsoft New Tai Lue"/>
        </w:rPr>
        <w:t>在法定质疑期内针对同一采购程序环节的质疑必须一次性提出。</w:t>
      </w:r>
    </w:p>
    <w:p w14:paraId="1F8D3563">
      <w:pPr>
        <w:spacing w:line="360" w:lineRule="auto"/>
        <w:ind w:left="214" w:firstLine="420"/>
        <w:jc w:val="left"/>
        <w:rPr>
          <w:rFonts w:cs="Microsoft New Tai Lue"/>
        </w:rPr>
      </w:pPr>
      <w:r>
        <w:rPr>
          <w:rFonts w:hint="eastAsia" w:cs="Microsoft New Tai Lue"/>
        </w:rPr>
        <w:t>3</w:t>
      </w:r>
      <w:r>
        <w:rPr>
          <w:rFonts w:cs="Microsoft New Tai Lue"/>
        </w:rPr>
        <w:t>7</w:t>
      </w:r>
      <w:r>
        <w:rPr>
          <w:rFonts w:hint="eastAsia" w:cs="Microsoft New Tai Lue"/>
        </w:rPr>
        <w:t>.2</w:t>
      </w:r>
      <w:r>
        <w:rPr>
          <w:rFonts w:cs="Microsoft New Tai Lue"/>
        </w:rPr>
        <w:t>以联合体形式参加</w:t>
      </w:r>
      <w:r>
        <w:rPr>
          <w:rFonts w:hint="eastAsia" w:cs="Microsoft New Tai Lue"/>
        </w:rPr>
        <w:t>投标</w:t>
      </w:r>
      <w:r>
        <w:rPr>
          <w:rFonts w:cs="Microsoft New Tai Lue"/>
        </w:rPr>
        <w:t>的，应当由组成联合体的所有供应商共同提出</w:t>
      </w:r>
      <w:r>
        <w:rPr>
          <w:rFonts w:hint="eastAsia" w:cs="Microsoft New Tai Lue"/>
        </w:rPr>
        <w:t>。</w:t>
      </w:r>
    </w:p>
    <w:p w14:paraId="03C75E63">
      <w:pPr>
        <w:spacing w:line="360" w:lineRule="auto"/>
        <w:ind w:left="214" w:firstLine="420"/>
        <w:jc w:val="left"/>
        <w:rPr>
          <w:rFonts w:cs="Microsoft New Tai Lue"/>
        </w:rPr>
      </w:pPr>
      <w:r>
        <w:rPr>
          <w:rFonts w:cs="Microsoft New Tai Lue"/>
        </w:rPr>
        <w:t>37.</w:t>
      </w:r>
      <w:r>
        <w:rPr>
          <w:rFonts w:hint="eastAsia" w:cs="Microsoft New Tai Lue"/>
        </w:rPr>
        <w:t>3</w:t>
      </w:r>
      <w:r>
        <w:rPr>
          <w:rFonts w:cs="Microsoft New Tai Lue"/>
        </w:rPr>
        <w:t>质疑函</w:t>
      </w:r>
      <w:r>
        <w:rPr>
          <w:rFonts w:hint="eastAsia" w:cs="Microsoft New Tai Lue"/>
        </w:rPr>
        <w:t>应</w:t>
      </w:r>
      <w:r>
        <w:rPr>
          <w:rFonts w:cs="Microsoft New Tai Lue"/>
        </w:rPr>
        <w:t>使用财政部制定的范本文件。</w:t>
      </w:r>
    </w:p>
    <w:p w14:paraId="476D114A">
      <w:pPr>
        <w:pStyle w:val="3"/>
        <w:spacing w:line="360" w:lineRule="auto"/>
        <w:ind w:left="211" w:right="210" w:hanging="211"/>
        <w:rPr>
          <w:rFonts w:ascii="Times New Roman" w:hAnsi="Times New Roman" w:eastAsia="宋体" w:cs="Microsoft New Tai Lue"/>
        </w:rPr>
      </w:pPr>
      <w:bookmarkStart w:id="310" w:name="_Toc77546933"/>
      <w:bookmarkStart w:id="311" w:name="_Toc22618"/>
      <w:r>
        <w:rPr>
          <w:rFonts w:ascii="Times New Roman" w:hAnsi="Times New Roman" w:eastAsia="宋体" w:cs="Microsoft New Tai Lue"/>
        </w:rPr>
        <w:t>八．其他</w:t>
      </w:r>
      <w:bookmarkEnd w:id="310"/>
      <w:bookmarkEnd w:id="311"/>
    </w:p>
    <w:p w14:paraId="36E923E7">
      <w:pPr>
        <w:pStyle w:val="4"/>
        <w:spacing w:line="360" w:lineRule="auto"/>
        <w:ind w:left="211" w:right="210" w:hanging="211"/>
        <w:rPr>
          <w:rFonts w:ascii="Times New Roman" w:hAnsi="Times New Roman" w:eastAsia="宋体" w:cs="Microsoft New Tai Lue"/>
          <w:szCs w:val="21"/>
        </w:rPr>
      </w:pPr>
      <w:bookmarkStart w:id="312" w:name="_Toc103848572"/>
      <w:bookmarkStart w:id="313" w:name="_Toc107246267"/>
      <w:bookmarkStart w:id="314" w:name="_Toc1956212849"/>
      <w:bookmarkStart w:id="315" w:name="_Toc104560886"/>
      <w:r>
        <w:rPr>
          <w:rFonts w:ascii="Times New Roman" w:hAnsi="Times New Roman" w:eastAsia="宋体" w:cs="Microsoft New Tai Lue"/>
          <w:szCs w:val="21"/>
        </w:rPr>
        <w:t>38.招标代理服务费</w:t>
      </w:r>
      <w:bookmarkEnd w:id="312"/>
      <w:bookmarkEnd w:id="313"/>
      <w:bookmarkEnd w:id="314"/>
      <w:bookmarkEnd w:id="315"/>
    </w:p>
    <w:p w14:paraId="30271E41">
      <w:pPr>
        <w:spacing w:line="360" w:lineRule="auto"/>
        <w:ind w:left="214" w:firstLine="420"/>
        <w:jc w:val="left"/>
        <w:rPr>
          <w:rFonts w:cs="Microsoft New Tai Lue"/>
        </w:rPr>
      </w:pPr>
      <w:r>
        <w:rPr>
          <w:rFonts w:cs="Microsoft New Tai Lue"/>
        </w:rPr>
        <w:t>38.1中标人是否交纳投招标代理服务费及相关要求见</w:t>
      </w:r>
      <w:r>
        <w:rPr>
          <w:rFonts w:cs="Microsoft New Tai Lue"/>
          <w:b/>
        </w:rPr>
        <w:t>投标人须知前附表</w:t>
      </w:r>
      <w:r>
        <w:rPr>
          <w:rFonts w:cs="Microsoft New Tai Lue"/>
        </w:rPr>
        <w:t>。</w:t>
      </w:r>
    </w:p>
    <w:p w14:paraId="4009B6C8">
      <w:pPr>
        <w:pStyle w:val="4"/>
        <w:spacing w:line="360" w:lineRule="auto"/>
        <w:ind w:left="211" w:right="210" w:hanging="211"/>
        <w:rPr>
          <w:rFonts w:ascii="Times New Roman" w:hAnsi="Times New Roman" w:eastAsia="宋体" w:cs="Microsoft New Tai Lue"/>
          <w:szCs w:val="21"/>
        </w:rPr>
      </w:pPr>
      <w:bookmarkStart w:id="316" w:name="_Toc94717573"/>
      <w:bookmarkStart w:id="317" w:name="_Toc107246268"/>
      <w:bookmarkStart w:id="318" w:name="_Toc104560887"/>
      <w:bookmarkStart w:id="319" w:name="_Toc103848573"/>
      <w:r>
        <w:rPr>
          <w:rFonts w:ascii="Times New Roman" w:hAnsi="Times New Roman" w:eastAsia="宋体" w:cs="Microsoft New Tai Lue"/>
          <w:szCs w:val="21"/>
        </w:rPr>
        <w:t>39.其他规定</w:t>
      </w:r>
      <w:bookmarkEnd w:id="316"/>
      <w:bookmarkEnd w:id="317"/>
      <w:bookmarkEnd w:id="318"/>
      <w:bookmarkEnd w:id="319"/>
    </w:p>
    <w:p w14:paraId="4F42406F">
      <w:pPr>
        <w:spacing w:line="360" w:lineRule="auto"/>
        <w:ind w:left="214" w:firstLine="420"/>
        <w:jc w:val="left"/>
        <w:rPr>
          <w:rFonts w:cs="Microsoft New Tai Lue"/>
        </w:rPr>
      </w:pPr>
      <w:r>
        <w:rPr>
          <w:rFonts w:cs="Microsoft New Tai Lue"/>
        </w:rPr>
        <w:t>39.1投标文件的其他规定见</w:t>
      </w:r>
      <w:r>
        <w:rPr>
          <w:rFonts w:cs="Microsoft New Tai Lue"/>
          <w:b/>
        </w:rPr>
        <w:t>投标人须知前附</w:t>
      </w:r>
      <w:r>
        <w:rPr>
          <w:rFonts w:cs="Microsoft New Tai Lue"/>
        </w:rPr>
        <w:t>表。</w:t>
      </w:r>
    </w:p>
    <w:p w14:paraId="01171F5F">
      <w:pPr>
        <w:pStyle w:val="4"/>
        <w:spacing w:line="360" w:lineRule="auto"/>
        <w:ind w:left="211" w:right="210" w:hanging="211"/>
        <w:rPr>
          <w:rFonts w:ascii="Times New Roman" w:hAnsi="Times New Roman" w:eastAsia="宋体" w:cs="Microsoft New Tai Lue"/>
          <w:szCs w:val="21"/>
        </w:rPr>
      </w:pPr>
      <w:bookmarkStart w:id="320" w:name="_Toc103848574"/>
      <w:bookmarkStart w:id="321" w:name="_Toc632866984"/>
      <w:bookmarkStart w:id="322" w:name="_Toc107246269"/>
      <w:bookmarkStart w:id="323" w:name="_Toc104560888"/>
      <w:r>
        <w:rPr>
          <w:rFonts w:ascii="Times New Roman" w:hAnsi="Times New Roman" w:eastAsia="宋体" w:cs="Microsoft New Tai Lue"/>
          <w:szCs w:val="21"/>
        </w:rPr>
        <w:t>40.文件解释权</w:t>
      </w:r>
      <w:bookmarkEnd w:id="320"/>
      <w:bookmarkEnd w:id="321"/>
      <w:bookmarkEnd w:id="322"/>
      <w:bookmarkEnd w:id="323"/>
    </w:p>
    <w:p w14:paraId="2331BE11">
      <w:pPr>
        <w:spacing w:line="360" w:lineRule="auto"/>
        <w:ind w:left="214" w:firstLine="420"/>
        <w:jc w:val="left"/>
        <w:rPr>
          <w:rFonts w:cs="Microsoft New Tai Lue"/>
        </w:rPr>
      </w:pPr>
      <w:r>
        <w:rPr>
          <w:rFonts w:cs="Microsoft New Tai Lue"/>
        </w:rPr>
        <w:t>40.1本招标文件的解释权归采购人（或采购代理机构）所有。</w:t>
      </w:r>
      <w:bookmarkEnd w:id="228"/>
    </w:p>
    <w:bookmarkEnd w:id="44"/>
    <w:bookmarkEnd w:id="45"/>
    <w:bookmarkEnd w:id="46"/>
    <w:bookmarkEnd w:id="47"/>
    <w:p w14:paraId="78D52A86">
      <w:bookmarkStart w:id="324" w:name="_Toc120614221"/>
      <w:bookmarkStart w:id="325" w:name="_Toc16938558"/>
      <w:bookmarkStart w:id="326" w:name="_Toc513029242"/>
      <w:bookmarkStart w:id="327" w:name="_Toc479757207"/>
      <w:bookmarkStart w:id="328" w:name="_Toc20823314"/>
    </w:p>
    <w:p w14:paraId="013FF195">
      <w:pPr>
        <w:pStyle w:val="196"/>
        <w:spacing w:line="360" w:lineRule="auto"/>
        <w:rPr>
          <w:rFonts w:hint="eastAsia" w:ascii="宋体" w:hAnsi="宋体"/>
          <w:bCs/>
          <w:sz w:val="24"/>
        </w:rPr>
      </w:pPr>
    </w:p>
    <w:p w14:paraId="185981AB">
      <w:pPr>
        <w:pStyle w:val="196"/>
        <w:spacing w:line="400" w:lineRule="exact"/>
        <w:ind w:firstLine="0"/>
        <w:rPr>
          <w:rFonts w:hint="eastAsia" w:ascii="宋体" w:hAnsi="宋体"/>
          <w:bCs/>
          <w:sz w:val="24"/>
        </w:rPr>
      </w:pPr>
    </w:p>
    <w:p w14:paraId="420D2B19">
      <w:pPr>
        <w:pStyle w:val="196"/>
        <w:spacing w:line="400" w:lineRule="exact"/>
        <w:rPr>
          <w:rFonts w:hint="eastAsia" w:ascii="宋体" w:hAnsi="宋体"/>
          <w:bCs/>
          <w:sz w:val="24"/>
        </w:rPr>
      </w:pPr>
    </w:p>
    <w:p w14:paraId="4455712C">
      <w:pPr>
        <w:rPr>
          <w:rFonts w:ascii="黑体" w:eastAsia="黑体"/>
          <w:bCs/>
          <w:sz w:val="44"/>
        </w:rPr>
      </w:pPr>
      <w:r>
        <w:rPr>
          <w:rFonts w:hint="eastAsia" w:ascii="黑体" w:eastAsia="黑体"/>
          <w:bCs/>
          <w:sz w:val="44"/>
        </w:rPr>
        <w:br w:type="page"/>
      </w:r>
    </w:p>
    <w:p w14:paraId="4607182B">
      <w:pPr>
        <w:pStyle w:val="194"/>
        <w:rPr>
          <w:rFonts w:ascii="黑体" w:eastAsia="黑体"/>
          <w:bCs/>
          <w:sz w:val="44"/>
        </w:rPr>
      </w:pPr>
      <w:bookmarkStart w:id="329" w:name="_Toc15291"/>
      <w:r>
        <w:rPr>
          <w:rFonts w:hint="eastAsia" w:ascii="黑体" w:eastAsia="黑体"/>
          <w:bCs/>
          <w:sz w:val="44"/>
        </w:rPr>
        <w:t>第三章  合同</w:t>
      </w:r>
      <w:bookmarkEnd w:id="324"/>
      <w:bookmarkEnd w:id="325"/>
      <w:bookmarkEnd w:id="326"/>
      <w:bookmarkEnd w:id="327"/>
      <w:bookmarkEnd w:id="328"/>
      <w:r>
        <w:rPr>
          <w:rFonts w:hint="eastAsia" w:ascii="黑体" w:eastAsia="黑体"/>
          <w:bCs/>
          <w:sz w:val="44"/>
        </w:rPr>
        <w:t>文本</w:t>
      </w:r>
      <w:bookmarkEnd w:id="329"/>
    </w:p>
    <w:p w14:paraId="7AEEFAF9">
      <w:pPr>
        <w:pStyle w:val="15"/>
        <w:spacing w:line="360" w:lineRule="auto"/>
        <w:jc w:val="center"/>
        <w:rPr>
          <w:rFonts w:ascii="宋体" w:hAnsi="宋体" w:eastAsia="宋体"/>
          <w:sz w:val="21"/>
          <w:szCs w:val="21"/>
        </w:rPr>
      </w:pPr>
      <w:bookmarkStart w:id="330" w:name="_Toc28829_WPSOffice_Level2"/>
      <w:bookmarkStart w:id="331" w:name="_Toc16938559"/>
      <w:bookmarkStart w:id="332" w:name="_Toc20823315"/>
      <w:bookmarkStart w:id="333" w:name="_Toc513029243"/>
      <w:r>
        <w:rPr>
          <w:rFonts w:hint="eastAsia" w:ascii="宋体" w:hAnsi="宋体" w:eastAsia="宋体"/>
          <w:sz w:val="21"/>
          <w:szCs w:val="21"/>
        </w:rPr>
        <w:t>（参考格式，本合同内容条款在正式签署前可具体补充细化，仅作参考，最终合同以采购人法务审查通过的版本为准）</w:t>
      </w:r>
    </w:p>
    <w:bookmarkEnd w:id="330"/>
    <w:p w14:paraId="06E9C0E7">
      <w:pPr>
        <w:adjustRightInd w:val="0"/>
        <w:snapToGrid w:val="0"/>
        <w:spacing w:line="360" w:lineRule="auto"/>
        <w:ind w:firstLine="420"/>
        <w:jc w:val="center"/>
        <w:rPr>
          <w:rFonts w:ascii="宋体" w:hAnsi="宋体" w:eastAsia="宋体"/>
          <w:szCs w:val="21"/>
        </w:rPr>
      </w:pPr>
      <w:bookmarkStart w:id="334" w:name="_Toc26846"/>
    </w:p>
    <w:bookmarkEnd w:id="334"/>
    <w:p w14:paraId="191354D1">
      <w:pPr>
        <w:widowControl w:val="0"/>
        <w:spacing w:line="360" w:lineRule="auto"/>
        <w:jc w:val="center"/>
        <w:rPr>
          <w:rFonts w:ascii="宋体" w:hAnsi="宋体" w:eastAsia="宋体"/>
          <w:b/>
          <w:kern w:val="2"/>
          <w:sz w:val="36"/>
          <w:szCs w:val="36"/>
        </w:rPr>
      </w:pPr>
      <w:r>
        <w:rPr>
          <w:rFonts w:hint="eastAsia" w:ascii="宋体" w:hAnsi="宋体" w:eastAsia="宋体"/>
          <w:b/>
          <w:kern w:val="2"/>
          <w:sz w:val="36"/>
          <w:szCs w:val="36"/>
        </w:rPr>
        <w:t>南京中医药大学物资采购合同（国产设备）</w:t>
      </w:r>
    </w:p>
    <w:p w14:paraId="634ED80A">
      <w:pPr>
        <w:widowControl w:val="0"/>
        <w:spacing w:line="360" w:lineRule="auto"/>
        <w:jc w:val="both"/>
        <w:rPr>
          <w:rFonts w:ascii="宋体" w:hAnsi="宋体" w:eastAsia="宋体"/>
          <w:kern w:val="2"/>
          <w:szCs w:val="21"/>
        </w:rPr>
      </w:pPr>
      <w:r>
        <w:rPr>
          <w:rFonts w:hint="eastAsia" w:ascii="宋体" w:hAnsi="宋体" w:eastAsia="宋体"/>
          <w:kern w:val="2"/>
          <w:szCs w:val="21"/>
        </w:rPr>
        <w:t>甲方（需方）：南京中医药大学</w:t>
      </w:r>
    </w:p>
    <w:p w14:paraId="4DD7E5C0">
      <w:pPr>
        <w:widowControl w:val="0"/>
        <w:spacing w:line="360" w:lineRule="auto"/>
        <w:jc w:val="both"/>
        <w:rPr>
          <w:rFonts w:ascii="宋体" w:hAnsi="宋体" w:eastAsia="宋体"/>
          <w:kern w:val="2"/>
          <w:szCs w:val="21"/>
        </w:rPr>
      </w:pPr>
      <w:r>
        <w:rPr>
          <w:rFonts w:hint="eastAsia" w:ascii="宋体" w:hAnsi="宋体" w:eastAsia="宋体"/>
          <w:kern w:val="2"/>
          <w:szCs w:val="21"/>
        </w:rPr>
        <w:t>法定代表人：</w:t>
      </w:r>
    </w:p>
    <w:p w14:paraId="721F5356">
      <w:pPr>
        <w:widowControl w:val="0"/>
        <w:spacing w:line="360" w:lineRule="auto"/>
        <w:jc w:val="both"/>
        <w:rPr>
          <w:rFonts w:ascii="宋体" w:hAnsi="宋体" w:eastAsia="宋体"/>
          <w:kern w:val="2"/>
          <w:szCs w:val="21"/>
        </w:rPr>
      </w:pPr>
      <w:r>
        <w:rPr>
          <w:rFonts w:hint="eastAsia" w:ascii="宋体" w:hAnsi="宋体" w:eastAsia="宋体"/>
          <w:kern w:val="2"/>
          <w:szCs w:val="21"/>
        </w:rPr>
        <w:t>乙方（供方）：</w:t>
      </w:r>
    </w:p>
    <w:p w14:paraId="2E783363">
      <w:pPr>
        <w:widowControl w:val="0"/>
        <w:spacing w:line="360" w:lineRule="auto"/>
        <w:jc w:val="both"/>
        <w:rPr>
          <w:rFonts w:ascii="宋体" w:hAnsi="宋体" w:eastAsia="宋体"/>
          <w:kern w:val="2"/>
          <w:szCs w:val="21"/>
        </w:rPr>
      </w:pPr>
      <w:r>
        <w:rPr>
          <w:rFonts w:hint="eastAsia" w:ascii="宋体" w:hAnsi="宋体" w:eastAsia="宋体"/>
          <w:kern w:val="2"/>
          <w:szCs w:val="21"/>
        </w:rPr>
        <w:t>法定代表人：</w:t>
      </w:r>
    </w:p>
    <w:p w14:paraId="0A723FF7">
      <w:pPr>
        <w:widowControl w:val="0"/>
        <w:spacing w:line="360" w:lineRule="auto"/>
        <w:jc w:val="both"/>
        <w:rPr>
          <w:rFonts w:ascii="宋体" w:hAnsi="宋体" w:eastAsia="宋体"/>
          <w:kern w:val="2"/>
          <w:sz w:val="24"/>
          <w:szCs w:val="24"/>
        </w:rPr>
      </w:pPr>
      <w:r>
        <w:rPr>
          <w:rFonts w:hint="eastAsia" w:ascii="宋体" w:hAnsi="宋体" w:eastAsia="宋体"/>
          <w:kern w:val="2"/>
          <w:szCs w:val="21"/>
        </w:rPr>
        <w:t>合同编号</w:t>
      </w:r>
      <w:r>
        <w:rPr>
          <w:rFonts w:hint="eastAsia" w:ascii="宋体" w:hAnsi="宋体" w:eastAsia="宋体"/>
          <w:kern w:val="2"/>
          <w:sz w:val="24"/>
          <w:szCs w:val="24"/>
        </w:rPr>
        <w:t>：</w:t>
      </w:r>
    </w:p>
    <w:p w14:paraId="7140BC0A">
      <w:pPr>
        <w:widowControl w:val="0"/>
        <w:spacing w:line="360" w:lineRule="auto"/>
        <w:jc w:val="both"/>
        <w:rPr>
          <w:rFonts w:ascii="宋体" w:hAnsi="宋体" w:eastAsia="宋体" w:cs="宋体"/>
          <w:kern w:val="2"/>
          <w:szCs w:val="21"/>
        </w:rPr>
      </w:pPr>
      <w:r>
        <w:rPr>
          <w:rFonts w:hint="eastAsia" w:ascii="宋体" w:hAnsi="宋体" w:eastAsia="宋体" w:cs="宋体"/>
          <w:kern w:val="2"/>
          <w:szCs w:val="21"/>
        </w:rPr>
        <w:t>　　经招标（项目编号：</w:t>
      </w:r>
      <w:r>
        <w:rPr>
          <w:rFonts w:hint="eastAsia" w:ascii="宋体" w:hAnsi="宋体" w:eastAsia="宋体" w:cs="宋体"/>
          <w:kern w:val="2"/>
          <w:szCs w:val="21"/>
          <w:u w:val="single"/>
        </w:rPr>
        <w:t xml:space="preserve">               </w:t>
      </w:r>
      <w:r>
        <w:rPr>
          <w:rFonts w:hint="eastAsia" w:ascii="宋体" w:hAnsi="宋体" w:eastAsia="宋体" w:cs="宋体"/>
          <w:kern w:val="2"/>
          <w:szCs w:val="21"/>
        </w:rPr>
        <w:t>），双方同意按照以下条款就</w:t>
      </w:r>
      <w:r>
        <w:rPr>
          <w:rFonts w:hint="eastAsia" w:ascii="宋体" w:hAnsi="宋体" w:eastAsia="宋体" w:cs="宋体"/>
          <w:kern w:val="2"/>
          <w:szCs w:val="21"/>
          <w:u w:val="single"/>
        </w:rPr>
        <w:t xml:space="preserve">             </w:t>
      </w:r>
      <w:r>
        <w:rPr>
          <w:rFonts w:hint="eastAsia" w:ascii="宋体" w:hAnsi="宋体" w:eastAsia="宋体" w:cs="宋体"/>
          <w:kern w:val="2"/>
          <w:szCs w:val="21"/>
        </w:rPr>
        <w:t>货物的买卖签订本合同：</w:t>
      </w:r>
    </w:p>
    <w:p w14:paraId="69DD30F2">
      <w:pPr>
        <w:widowControl w:val="0"/>
        <w:spacing w:line="360" w:lineRule="auto"/>
        <w:jc w:val="both"/>
        <w:rPr>
          <w:rFonts w:ascii="宋体" w:hAnsi="宋体" w:eastAsia="宋体"/>
          <w:b/>
          <w:bCs/>
          <w:kern w:val="2"/>
          <w:sz w:val="28"/>
          <w:szCs w:val="28"/>
        </w:rPr>
      </w:pPr>
      <w:r>
        <w:rPr>
          <w:rFonts w:hint="eastAsia" w:ascii="宋体" w:hAnsi="宋体" w:eastAsia="宋体" w:cs="宋体"/>
          <w:b/>
          <w:bCs/>
          <w:kern w:val="2"/>
          <w:sz w:val="28"/>
          <w:szCs w:val="28"/>
        </w:rPr>
        <w:t>1.甲方向乙方购买的货物清单和金额</w:t>
      </w:r>
    </w:p>
    <w:tbl>
      <w:tblPr>
        <w:tblStyle w:val="39"/>
        <w:tblW w:w="87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8"/>
        <w:gridCol w:w="900"/>
        <w:gridCol w:w="769"/>
        <w:gridCol w:w="975"/>
        <w:gridCol w:w="1312"/>
        <w:gridCol w:w="1240"/>
        <w:gridCol w:w="553"/>
        <w:gridCol w:w="722"/>
        <w:gridCol w:w="643"/>
        <w:gridCol w:w="721"/>
      </w:tblGrid>
      <w:tr w14:paraId="619F7D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99" w:hRule="atLeast"/>
          <w:jc w:val="center"/>
        </w:trPr>
        <w:tc>
          <w:tcPr>
            <w:tcW w:w="918" w:type="dxa"/>
            <w:noWrap w:val="0"/>
            <w:vAlign w:val="top"/>
          </w:tcPr>
          <w:p w14:paraId="65110D44">
            <w:pPr>
              <w:widowControl w:val="0"/>
              <w:tabs>
                <w:tab w:val="left" w:pos="795"/>
              </w:tabs>
              <w:jc w:val="center"/>
              <w:rPr>
                <w:rFonts w:ascii="宋体" w:hAnsi="宋体" w:eastAsia="宋体" w:cs="宋体"/>
                <w:b/>
                <w:bCs/>
                <w:kern w:val="2"/>
                <w:szCs w:val="21"/>
              </w:rPr>
            </w:pPr>
            <w:r>
              <w:rPr>
                <w:rFonts w:hint="eastAsia" w:ascii="宋体" w:hAnsi="宋体" w:eastAsia="宋体" w:cs="宋体"/>
                <w:b/>
                <w:bCs/>
                <w:kern w:val="2"/>
                <w:szCs w:val="21"/>
              </w:rPr>
              <w:t>序号</w:t>
            </w:r>
          </w:p>
        </w:tc>
        <w:tc>
          <w:tcPr>
            <w:tcW w:w="900" w:type="dxa"/>
            <w:noWrap w:val="0"/>
            <w:vAlign w:val="top"/>
          </w:tcPr>
          <w:p w14:paraId="41390E2D">
            <w:pPr>
              <w:widowControl w:val="0"/>
              <w:tabs>
                <w:tab w:val="left" w:pos="795"/>
              </w:tabs>
              <w:jc w:val="center"/>
              <w:rPr>
                <w:rFonts w:ascii="宋体" w:hAnsi="宋体" w:eastAsia="宋体" w:cs="宋体"/>
                <w:b/>
                <w:bCs/>
                <w:kern w:val="2"/>
                <w:szCs w:val="21"/>
              </w:rPr>
            </w:pPr>
            <w:r>
              <w:rPr>
                <w:rFonts w:hint="eastAsia" w:ascii="宋体" w:hAnsi="宋体" w:eastAsia="宋体" w:cs="宋体"/>
                <w:b/>
                <w:bCs/>
                <w:kern w:val="2"/>
                <w:szCs w:val="21"/>
              </w:rPr>
              <w:t>产品</w:t>
            </w:r>
          </w:p>
          <w:p w14:paraId="44EEF727">
            <w:pPr>
              <w:widowControl w:val="0"/>
              <w:tabs>
                <w:tab w:val="left" w:pos="795"/>
              </w:tabs>
              <w:jc w:val="center"/>
              <w:rPr>
                <w:rFonts w:ascii="宋体" w:hAnsi="宋体" w:eastAsia="宋体" w:cs="宋体"/>
                <w:b/>
                <w:bCs/>
                <w:kern w:val="2"/>
                <w:szCs w:val="21"/>
              </w:rPr>
            </w:pPr>
            <w:r>
              <w:rPr>
                <w:rFonts w:hint="eastAsia" w:ascii="宋体" w:hAnsi="宋体" w:eastAsia="宋体" w:cs="宋体"/>
                <w:b/>
                <w:bCs/>
                <w:kern w:val="2"/>
                <w:szCs w:val="21"/>
              </w:rPr>
              <w:t>名称</w:t>
            </w:r>
          </w:p>
        </w:tc>
        <w:tc>
          <w:tcPr>
            <w:tcW w:w="769" w:type="dxa"/>
            <w:noWrap w:val="0"/>
            <w:vAlign w:val="top"/>
          </w:tcPr>
          <w:p w14:paraId="05EF5FAB">
            <w:pPr>
              <w:widowControl w:val="0"/>
              <w:jc w:val="center"/>
              <w:rPr>
                <w:rFonts w:ascii="宋体" w:hAnsi="宋体" w:eastAsia="宋体" w:cs="宋体"/>
                <w:b/>
                <w:bCs/>
                <w:kern w:val="2"/>
                <w:szCs w:val="21"/>
              </w:rPr>
            </w:pPr>
            <w:r>
              <w:rPr>
                <w:rFonts w:hint="eastAsia" w:ascii="宋体" w:hAnsi="宋体" w:eastAsia="宋体" w:cs="宋体"/>
                <w:b/>
                <w:bCs/>
                <w:kern w:val="2"/>
                <w:szCs w:val="21"/>
              </w:rPr>
              <w:t>厂家</w:t>
            </w:r>
          </w:p>
        </w:tc>
        <w:tc>
          <w:tcPr>
            <w:tcW w:w="975" w:type="dxa"/>
            <w:noWrap w:val="0"/>
            <w:vAlign w:val="top"/>
          </w:tcPr>
          <w:p w14:paraId="7F4E5B50">
            <w:pPr>
              <w:widowControl w:val="0"/>
              <w:jc w:val="center"/>
              <w:rPr>
                <w:rFonts w:ascii="宋体" w:hAnsi="宋体" w:eastAsia="宋体" w:cs="宋体"/>
                <w:b/>
                <w:bCs/>
                <w:kern w:val="2"/>
                <w:szCs w:val="21"/>
              </w:rPr>
            </w:pPr>
            <w:r>
              <w:rPr>
                <w:rFonts w:hint="eastAsia" w:ascii="宋体" w:hAnsi="宋体" w:eastAsia="宋体" w:cs="宋体"/>
                <w:b/>
                <w:bCs/>
                <w:kern w:val="2"/>
                <w:szCs w:val="21"/>
              </w:rPr>
              <w:t>型号</w:t>
            </w:r>
          </w:p>
        </w:tc>
        <w:tc>
          <w:tcPr>
            <w:tcW w:w="1312" w:type="dxa"/>
            <w:noWrap w:val="0"/>
            <w:vAlign w:val="top"/>
          </w:tcPr>
          <w:p w14:paraId="417838E8">
            <w:pPr>
              <w:widowControl w:val="0"/>
              <w:jc w:val="center"/>
              <w:rPr>
                <w:rFonts w:ascii="宋体" w:hAnsi="宋体" w:eastAsia="宋体" w:cs="宋体"/>
                <w:b/>
                <w:bCs/>
                <w:kern w:val="2"/>
                <w:szCs w:val="21"/>
              </w:rPr>
            </w:pPr>
            <w:r>
              <w:rPr>
                <w:rFonts w:hint="eastAsia" w:ascii="宋体" w:hAnsi="宋体" w:eastAsia="宋体" w:cs="宋体"/>
                <w:b/>
                <w:bCs/>
                <w:kern w:val="2"/>
                <w:szCs w:val="21"/>
              </w:rPr>
              <w:t>规格或描述</w:t>
            </w:r>
          </w:p>
        </w:tc>
        <w:tc>
          <w:tcPr>
            <w:tcW w:w="1240" w:type="dxa"/>
            <w:noWrap w:val="0"/>
            <w:vAlign w:val="top"/>
          </w:tcPr>
          <w:p w14:paraId="7A427D09">
            <w:pPr>
              <w:widowControl w:val="0"/>
              <w:jc w:val="center"/>
              <w:rPr>
                <w:rFonts w:ascii="宋体" w:hAnsi="宋体" w:eastAsia="宋体" w:cs="宋体"/>
                <w:b/>
                <w:bCs/>
                <w:kern w:val="2"/>
                <w:szCs w:val="21"/>
              </w:rPr>
            </w:pPr>
            <w:r>
              <w:rPr>
                <w:rFonts w:hint="eastAsia" w:ascii="宋体" w:hAnsi="宋体" w:eastAsia="宋体" w:cs="宋体"/>
                <w:b/>
                <w:bCs/>
                <w:kern w:val="2"/>
                <w:szCs w:val="21"/>
              </w:rPr>
              <w:t>质保期(自安装调试甲方最终验收合格日起)</w:t>
            </w:r>
          </w:p>
        </w:tc>
        <w:tc>
          <w:tcPr>
            <w:tcW w:w="553" w:type="dxa"/>
            <w:noWrap w:val="0"/>
            <w:vAlign w:val="top"/>
          </w:tcPr>
          <w:p w14:paraId="4F9F4054">
            <w:pPr>
              <w:widowControl w:val="0"/>
              <w:jc w:val="center"/>
              <w:rPr>
                <w:rFonts w:ascii="宋体" w:hAnsi="宋体" w:eastAsia="宋体" w:cs="宋体"/>
                <w:b/>
                <w:bCs/>
                <w:kern w:val="2"/>
                <w:szCs w:val="21"/>
              </w:rPr>
            </w:pPr>
            <w:r>
              <w:rPr>
                <w:rFonts w:hint="eastAsia" w:ascii="宋体" w:hAnsi="宋体" w:eastAsia="宋体" w:cs="宋体"/>
                <w:b/>
                <w:bCs/>
                <w:kern w:val="2"/>
                <w:szCs w:val="21"/>
              </w:rPr>
              <w:t>数量</w:t>
            </w:r>
          </w:p>
        </w:tc>
        <w:tc>
          <w:tcPr>
            <w:tcW w:w="722" w:type="dxa"/>
            <w:noWrap w:val="0"/>
            <w:vAlign w:val="top"/>
          </w:tcPr>
          <w:p w14:paraId="4505E929">
            <w:pPr>
              <w:widowControl w:val="0"/>
              <w:jc w:val="center"/>
              <w:rPr>
                <w:rFonts w:ascii="宋体" w:hAnsi="宋体" w:eastAsia="宋体" w:cs="宋体"/>
                <w:b/>
                <w:bCs/>
                <w:kern w:val="2"/>
                <w:szCs w:val="21"/>
              </w:rPr>
            </w:pPr>
            <w:r>
              <w:rPr>
                <w:rFonts w:hint="eastAsia" w:ascii="宋体" w:hAnsi="宋体" w:eastAsia="宋体" w:cs="宋体"/>
                <w:b/>
                <w:bCs/>
                <w:kern w:val="2"/>
                <w:szCs w:val="21"/>
              </w:rPr>
              <w:t>单位</w:t>
            </w:r>
          </w:p>
        </w:tc>
        <w:tc>
          <w:tcPr>
            <w:tcW w:w="643" w:type="dxa"/>
            <w:noWrap w:val="0"/>
            <w:vAlign w:val="top"/>
          </w:tcPr>
          <w:p w14:paraId="5A4B5C8C">
            <w:pPr>
              <w:widowControl w:val="0"/>
              <w:jc w:val="center"/>
              <w:rPr>
                <w:rFonts w:ascii="宋体" w:hAnsi="宋体" w:eastAsia="宋体" w:cs="宋体"/>
                <w:b/>
                <w:bCs/>
                <w:kern w:val="2"/>
                <w:szCs w:val="21"/>
              </w:rPr>
            </w:pPr>
            <w:r>
              <w:rPr>
                <w:rFonts w:hint="eastAsia" w:ascii="宋体" w:hAnsi="宋体" w:eastAsia="宋体" w:cs="宋体"/>
                <w:b/>
                <w:bCs/>
                <w:kern w:val="2"/>
                <w:szCs w:val="21"/>
              </w:rPr>
              <w:t>单价(元)</w:t>
            </w:r>
          </w:p>
        </w:tc>
        <w:tc>
          <w:tcPr>
            <w:tcW w:w="721" w:type="dxa"/>
            <w:noWrap w:val="0"/>
            <w:vAlign w:val="top"/>
          </w:tcPr>
          <w:p w14:paraId="209C50D6">
            <w:pPr>
              <w:widowControl w:val="0"/>
              <w:jc w:val="center"/>
              <w:rPr>
                <w:rFonts w:ascii="宋体" w:hAnsi="宋体" w:eastAsia="宋体" w:cs="宋体"/>
                <w:b/>
                <w:bCs/>
                <w:kern w:val="2"/>
                <w:szCs w:val="21"/>
              </w:rPr>
            </w:pPr>
            <w:r>
              <w:rPr>
                <w:rFonts w:hint="eastAsia" w:ascii="宋体" w:hAnsi="宋体" w:eastAsia="宋体" w:cs="宋体"/>
                <w:b/>
                <w:bCs/>
                <w:kern w:val="2"/>
                <w:szCs w:val="21"/>
              </w:rPr>
              <w:t>总价(元)</w:t>
            </w:r>
          </w:p>
        </w:tc>
      </w:tr>
      <w:tr w14:paraId="43EBA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4" w:hRule="atLeast"/>
          <w:jc w:val="center"/>
        </w:trPr>
        <w:tc>
          <w:tcPr>
            <w:tcW w:w="918" w:type="dxa"/>
            <w:noWrap w:val="0"/>
            <w:vAlign w:val="top"/>
          </w:tcPr>
          <w:p w14:paraId="2BF138FF">
            <w:pPr>
              <w:widowControl w:val="0"/>
              <w:jc w:val="both"/>
              <w:rPr>
                <w:rFonts w:ascii="宋体" w:hAnsi="宋体" w:eastAsia="宋体" w:cs="宋体"/>
                <w:b/>
                <w:bCs/>
                <w:kern w:val="2"/>
                <w:szCs w:val="21"/>
              </w:rPr>
            </w:pPr>
          </w:p>
        </w:tc>
        <w:tc>
          <w:tcPr>
            <w:tcW w:w="900" w:type="dxa"/>
            <w:noWrap w:val="0"/>
            <w:vAlign w:val="top"/>
          </w:tcPr>
          <w:p w14:paraId="6ABF2111">
            <w:pPr>
              <w:widowControl w:val="0"/>
              <w:jc w:val="both"/>
              <w:rPr>
                <w:rFonts w:ascii="宋体" w:hAnsi="宋体" w:eastAsia="宋体" w:cs="宋体"/>
                <w:b/>
                <w:bCs/>
                <w:kern w:val="2"/>
                <w:szCs w:val="21"/>
              </w:rPr>
            </w:pPr>
          </w:p>
        </w:tc>
        <w:tc>
          <w:tcPr>
            <w:tcW w:w="769" w:type="dxa"/>
            <w:noWrap w:val="0"/>
            <w:vAlign w:val="top"/>
          </w:tcPr>
          <w:p w14:paraId="17BC714C">
            <w:pPr>
              <w:widowControl w:val="0"/>
              <w:jc w:val="center"/>
              <w:rPr>
                <w:rFonts w:ascii="宋体" w:hAnsi="宋体" w:eastAsia="宋体" w:cs="宋体"/>
                <w:b/>
                <w:bCs/>
                <w:kern w:val="2"/>
                <w:szCs w:val="21"/>
              </w:rPr>
            </w:pPr>
          </w:p>
        </w:tc>
        <w:tc>
          <w:tcPr>
            <w:tcW w:w="975" w:type="dxa"/>
            <w:noWrap w:val="0"/>
            <w:vAlign w:val="top"/>
          </w:tcPr>
          <w:p w14:paraId="3BA42B59">
            <w:pPr>
              <w:widowControl w:val="0"/>
              <w:jc w:val="center"/>
              <w:rPr>
                <w:rFonts w:ascii="宋体" w:hAnsi="宋体" w:eastAsia="宋体" w:cs="宋体"/>
                <w:b/>
                <w:bCs/>
                <w:kern w:val="2"/>
                <w:szCs w:val="21"/>
              </w:rPr>
            </w:pPr>
          </w:p>
        </w:tc>
        <w:tc>
          <w:tcPr>
            <w:tcW w:w="1312" w:type="dxa"/>
            <w:noWrap w:val="0"/>
            <w:vAlign w:val="top"/>
          </w:tcPr>
          <w:p w14:paraId="7B9663CA">
            <w:pPr>
              <w:widowControl w:val="0"/>
              <w:rPr>
                <w:rFonts w:ascii="宋体" w:hAnsi="宋体" w:eastAsia="宋体" w:cs="宋体"/>
                <w:b/>
                <w:bCs/>
                <w:kern w:val="2"/>
                <w:szCs w:val="21"/>
              </w:rPr>
            </w:pPr>
            <w:r>
              <w:rPr>
                <w:rFonts w:hint="eastAsia" w:ascii="宋体" w:hAnsi="宋体" w:eastAsia="宋体" w:cs="宋体"/>
                <w:b/>
                <w:bCs/>
                <w:kern w:val="2"/>
                <w:szCs w:val="21"/>
              </w:rPr>
              <w:t>简单描述，</w:t>
            </w:r>
          </w:p>
          <w:p w14:paraId="2F1E88A8">
            <w:pPr>
              <w:widowControl w:val="0"/>
              <w:rPr>
                <w:rFonts w:ascii="宋体" w:hAnsi="宋体" w:eastAsia="宋体" w:cs="宋体"/>
                <w:b/>
                <w:bCs/>
                <w:kern w:val="2"/>
                <w:szCs w:val="21"/>
              </w:rPr>
            </w:pPr>
            <w:r>
              <w:rPr>
                <w:rFonts w:hint="eastAsia" w:ascii="宋体" w:hAnsi="宋体" w:eastAsia="宋体" w:cs="宋体"/>
                <w:b/>
                <w:bCs/>
                <w:kern w:val="2"/>
                <w:szCs w:val="21"/>
              </w:rPr>
              <w:t>详见附件货物技术要求及参数</w:t>
            </w:r>
          </w:p>
        </w:tc>
        <w:tc>
          <w:tcPr>
            <w:tcW w:w="1240" w:type="dxa"/>
            <w:noWrap w:val="0"/>
            <w:vAlign w:val="top"/>
          </w:tcPr>
          <w:p w14:paraId="140565BF">
            <w:pPr>
              <w:widowControl w:val="0"/>
              <w:jc w:val="center"/>
              <w:rPr>
                <w:rFonts w:ascii="宋体" w:hAnsi="宋体" w:eastAsia="宋体" w:cs="宋体"/>
                <w:b/>
                <w:bCs/>
                <w:kern w:val="2"/>
                <w:szCs w:val="21"/>
              </w:rPr>
            </w:pPr>
          </w:p>
        </w:tc>
        <w:tc>
          <w:tcPr>
            <w:tcW w:w="553" w:type="dxa"/>
            <w:noWrap w:val="0"/>
            <w:vAlign w:val="top"/>
          </w:tcPr>
          <w:p w14:paraId="20C82F5E">
            <w:pPr>
              <w:widowControl w:val="0"/>
              <w:jc w:val="center"/>
              <w:rPr>
                <w:rFonts w:ascii="宋体" w:hAnsi="宋体" w:eastAsia="宋体" w:cs="宋体"/>
                <w:b/>
                <w:bCs/>
                <w:kern w:val="2"/>
                <w:szCs w:val="21"/>
              </w:rPr>
            </w:pPr>
          </w:p>
        </w:tc>
        <w:tc>
          <w:tcPr>
            <w:tcW w:w="722" w:type="dxa"/>
            <w:noWrap w:val="0"/>
            <w:vAlign w:val="top"/>
          </w:tcPr>
          <w:p w14:paraId="7E41FDB0">
            <w:pPr>
              <w:widowControl w:val="0"/>
              <w:jc w:val="center"/>
              <w:rPr>
                <w:rFonts w:ascii="宋体" w:hAnsi="宋体" w:eastAsia="宋体" w:cs="宋体"/>
                <w:b/>
                <w:bCs/>
                <w:kern w:val="2"/>
                <w:szCs w:val="21"/>
              </w:rPr>
            </w:pPr>
          </w:p>
        </w:tc>
        <w:tc>
          <w:tcPr>
            <w:tcW w:w="643" w:type="dxa"/>
            <w:noWrap w:val="0"/>
            <w:vAlign w:val="top"/>
          </w:tcPr>
          <w:p w14:paraId="55000D03">
            <w:pPr>
              <w:widowControl w:val="0"/>
              <w:jc w:val="center"/>
              <w:rPr>
                <w:rFonts w:ascii="宋体" w:hAnsi="宋体" w:eastAsia="宋体" w:cs="宋体"/>
                <w:b/>
                <w:bCs/>
                <w:kern w:val="2"/>
                <w:szCs w:val="21"/>
              </w:rPr>
            </w:pPr>
          </w:p>
        </w:tc>
        <w:tc>
          <w:tcPr>
            <w:tcW w:w="721" w:type="dxa"/>
            <w:noWrap w:val="0"/>
            <w:vAlign w:val="top"/>
          </w:tcPr>
          <w:p w14:paraId="3750D267">
            <w:pPr>
              <w:widowControl w:val="0"/>
              <w:jc w:val="center"/>
              <w:rPr>
                <w:rFonts w:ascii="宋体" w:hAnsi="宋体" w:eastAsia="宋体" w:cs="宋体"/>
                <w:b/>
                <w:bCs/>
                <w:kern w:val="2"/>
                <w:szCs w:val="21"/>
              </w:rPr>
            </w:pPr>
          </w:p>
        </w:tc>
      </w:tr>
      <w:tr w14:paraId="30C3F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8" w:hRule="atLeast"/>
          <w:jc w:val="center"/>
        </w:trPr>
        <w:tc>
          <w:tcPr>
            <w:tcW w:w="918" w:type="dxa"/>
            <w:noWrap w:val="0"/>
            <w:vAlign w:val="top"/>
          </w:tcPr>
          <w:p w14:paraId="6EABC561">
            <w:pPr>
              <w:widowControl w:val="0"/>
              <w:spacing w:line="360" w:lineRule="auto"/>
              <w:jc w:val="both"/>
              <w:rPr>
                <w:rFonts w:ascii="宋体" w:hAnsi="宋体" w:eastAsia="宋体" w:cs="宋体"/>
                <w:b/>
                <w:bCs/>
                <w:kern w:val="2"/>
                <w:szCs w:val="21"/>
              </w:rPr>
            </w:pPr>
            <w:r>
              <w:rPr>
                <w:rFonts w:hint="eastAsia" w:ascii="宋体" w:hAnsi="宋体" w:eastAsia="宋体" w:cs="宋体"/>
                <w:b/>
                <w:bCs/>
                <w:kern w:val="2"/>
                <w:szCs w:val="21"/>
              </w:rPr>
              <w:t>合计</w:t>
            </w:r>
          </w:p>
        </w:tc>
        <w:tc>
          <w:tcPr>
            <w:tcW w:w="7835" w:type="dxa"/>
            <w:gridSpan w:val="9"/>
            <w:noWrap w:val="0"/>
            <w:vAlign w:val="top"/>
          </w:tcPr>
          <w:p w14:paraId="78EF8451">
            <w:pPr>
              <w:widowControl w:val="0"/>
              <w:spacing w:line="360" w:lineRule="auto"/>
              <w:rPr>
                <w:rFonts w:ascii="宋体" w:hAnsi="宋体" w:eastAsia="宋体" w:cs="宋体"/>
                <w:b/>
                <w:bCs/>
                <w:kern w:val="2"/>
                <w:szCs w:val="21"/>
              </w:rPr>
            </w:pPr>
            <w:r>
              <w:rPr>
                <w:rFonts w:ascii="宋体" w:hAnsi="宋体" w:eastAsia="宋体" w:cs="宋体"/>
                <w:kern w:val="2"/>
                <w:szCs w:val="24"/>
              </w:rPr>
              <w:t>人民币：大写</w:t>
            </w:r>
            <w:r>
              <w:rPr>
                <w:rFonts w:ascii="宋体" w:hAnsi="宋体" w:eastAsia="宋体" w:cs="宋体"/>
                <w:kern w:val="2"/>
                <w:szCs w:val="24"/>
                <w:u w:val="single"/>
              </w:rPr>
              <w:t>　　　　　</w:t>
            </w:r>
            <w:r>
              <w:rPr>
                <w:rFonts w:ascii="宋体" w:hAnsi="宋体" w:eastAsia="宋体" w:cs="宋体"/>
                <w:kern w:val="2"/>
                <w:szCs w:val="24"/>
              </w:rPr>
              <w:t xml:space="preserve"> （￥ </w:t>
            </w:r>
            <w:r>
              <w:rPr>
                <w:rFonts w:ascii="宋体" w:hAnsi="宋体" w:eastAsia="宋体" w:cs="宋体"/>
                <w:kern w:val="2"/>
                <w:szCs w:val="24"/>
                <w:u w:val="single"/>
              </w:rPr>
              <w:t>　　　　　</w:t>
            </w:r>
            <w:r>
              <w:rPr>
                <w:rFonts w:ascii="宋体" w:hAnsi="宋体" w:eastAsia="宋体" w:cs="宋体"/>
                <w:kern w:val="2"/>
                <w:szCs w:val="24"/>
              </w:rPr>
              <w:t xml:space="preserve"> 元）</w:t>
            </w:r>
          </w:p>
        </w:tc>
      </w:tr>
      <w:tr w14:paraId="3885AA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0" w:hRule="atLeast"/>
          <w:jc w:val="center"/>
        </w:trPr>
        <w:tc>
          <w:tcPr>
            <w:tcW w:w="918" w:type="dxa"/>
            <w:noWrap w:val="0"/>
            <w:vAlign w:val="top"/>
          </w:tcPr>
          <w:p w14:paraId="56BCD795">
            <w:pPr>
              <w:widowControl w:val="0"/>
              <w:spacing w:line="360" w:lineRule="auto"/>
              <w:jc w:val="both"/>
              <w:rPr>
                <w:rFonts w:ascii="宋体" w:hAnsi="宋体" w:eastAsia="宋体" w:cs="宋体"/>
                <w:b/>
                <w:bCs/>
                <w:kern w:val="2"/>
                <w:szCs w:val="21"/>
              </w:rPr>
            </w:pPr>
            <w:r>
              <w:rPr>
                <w:rFonts w:hint="eastAsia" w:ascii="宋体" w:hAnsi="宋体" w:eastAsia="宋体" w:cs="宋体"/>
                <w:b/>
                <w:bCs/>
                <w:kern w:val="2"/>
                <w:szCs w:val="21"/>
              </w:rPr>
              <w:t>备注</w:t>
            </w:r>
          </w:p>
        </w:tc>
        <w:tc>
          <w:tcPr>
            <w:tcW w:w="7835" w:type="dxa"/>
            <w:gridSpan w:val="9"/>
            <w:noWrap w:val="0"/>
            <w:vAlign w:val="top"/>
          </w:tcPr>
          <w:p w14:paraId="24EA3B8E">
            <w:pPr>
              <w:widowControl w:val="0"/>
              <w:spacing w:line="360" w:lineRule="auto"/>
              <w:rPr>
                <w:rFonts w:ascii="宋体" w:hAnsi="宋体" w:eastAsia="宋体" w:cs="宋体"/>
                <w:kern w:val="2"/>
                <w:szCs w:val="21"/>
              </w:rPr>
            </w:pPr>
            <w:r>
              <w:rPr>
                <w:rFonts w:hint="eastAsia" w:ascii="宋体" w:hAnsi="宋体" w:eastAsia="宋体" w:cs="宋体"/>
                <w:kern w:val="2"/>
                <w:szCs w:val="21"/>
              </w:rPr>
              <w:t>本合同总价款是全部设备（含软件系统执行文件、软件产品及其配套的相关内容、资料和安装光盘等）、材料、随设备提供的备品配件及专用工具的价格、全部税金（含增值税等）、包装费、运杂费（运抵甲方指点交货安装地点）、保险费、安装费、调试费、甲方操作维护人员培训费、验收检测费、鉴定费和甲方最终验收合格之前乙方认为需要的其他费用及质保期内备品备件发生的所有含税费用。</w:t>
            </w:r>
            <w:r>
              <w:rPr>
                <w:rFonts w:eastAsia="宋体"/>
                <w:kern w:val="2"/>
                <w:szCs w:val="21"/>
              </w:rPr>
              <w:t>即除甲方应付合同款</w:t>
            </w:r>
            <w:r>
              <w:rPr>
                <w:rFonts w:hint="eastAsia" w:eastAsia="宋体"/>
                <w:kern w:val="2"/>
                <w:szCs w:val="21"/>
              </w:rPr>
              <w:t>项</w:t>
            </w:r>
            <w:r>
              <w:rPr>
                <w:rFonts w:eastAsia="宋体"/>
                <w:kern w:val="2"/>
                <w:szCs w:val="21"/>
              </w:rPr>
              <w:t>外，</w:t>
            </w:r>
            <w:r>
              <w:rPr>
                <w:rFonts w:hint="eastAsia" w:ascii="宋体" w:hAnsi="宋体" w:eastAsia="宋体" w:cs="宋体"/>
                <w:kern w:val="2"/>
                <w:szCs w:val="21"/>
              </w:rPr>
              <w:t>甲方</w:t>
            </w:r>
            <w:r>
              <w:rPr>
                <w:rFonts w:eastAsia="宋体"/>
                <w:kern w:val="2"/>
                <w:szCs w:val="21"/>
              </w:rPr>
              <w:t>取得本合同项下全部货物</w:t>
            </w:r>
            <w:r>
              <w:rPr>
                <w:rFonts w:hint="eastAsia" w:ascii="宋体" w:hAnsi="宋体" w:eastAsia="宋体" w:cs="宋体"/>
                <w:kern w:val="2"/>
                <w:szCs w:val="21"/>
              </w:rPr>
              <w:t>无需再支付任何费用，所有设备安装实施完毕后就能正常使用。本合同总价款还包含乙方应当提供的伴随服务/售后服务费用。</w:t>
            </w:r>
          </w:p>
        </w:tc>
      </w:tr>
    </w:tbl>
    <w:p w14:paraId="4109DC22">
      <w:pPr>
        <w:widowControl w:val="0"/>
        <w:spacing w:after="120" w:line="360" w:lineRule="auto"/>
        <w:ind w:left="420" w:leftChars="200" w:firstLine="420" w:firstLineChars="200"/>
        <w:jc w:val="both"/>
        <w:rPr>
          <w:rFonts w:ascii="宋体" w:hAnsi="宋体" w:eastAsia="宋体" w:cs="宋体"/>
          <w:kern w:val="2"/>
          <w:szCs w:val="24"/>
        </w:rPr>
      </w:pPr>
      <w:r>
        <w:rPr>
          <w:rFonts w:hint="eastAsia" w:eastAsia="宋体" w:cs="宋体"/>
          <w:kern w:val="2"/>
          <w:szCs w:val="24"/>
        </w:rPr>
        <w:t>1.1</w:t>
      </w:r>
      <w:r>
        <w:rPr>
          <w:rFonts w:hint="eastAsia" w:ascii="宋体" w:hAnsi="宋体" w:eastAsia="宋体" w:cs="宋体"/>
          <w:kern w:val="2"/>
          <w:szCs w:val="24"/>
        </w:rPr>
        <w:t>乙方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具有计算机软件著作权登记证书，符合《中华人民共和国网络安全法》、《软件产品管理办法》等相关法律法规要求，且不会侵犯任何第三方权利，否则由此引起的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r>
        <w:rPr>
          <w:rFonts w:hint="eastAsia" w:eastAsia="宋体" w:cs="宋体"/>
          <w:kern w:val="2"/>
          <w:szCs w:val="24"/>
        </w:rPr>
        <w:t>。</w:t>
      </w:r>
    </w:p>
    <w:p w14:paraId="6E0DD558">
      <w:pPr>
        <w:widowControl w:val="0"/>
        <w:spacing w:after="120" w:line="360" w:lineRule="auto"/>
        <w:ind w:left="420" w:leftChars="200" w:firstLine="420" w:firstLineChars="200"/>
        <w:jc w:val="both"/>
        <w:rPr>
          <w:rFonts w:ascii="宋体" w:hAnsi="宋体" w:eastAsia="宋体" w:cs="宋体"/>
          <w:kern w:val="2"/>
          <w:szCs w:val="24"/>
        </w:rPr>
      </w:pPr>
      <w:r>
        <w:rPr>
          <w:rFonts w:hint="eastAsia" w:eastAsia="宋体" w:cs="宋体"/>
          <w:kern w:val="2"/>
          <w:szCs w:val="24"/>
        </w:rPr>
        <w:t>1.2</w:t>
      </w:r>
      <w:r>
        <w:rPr>
          <w:rFonts w:hint="eastAsia" w:ascii="宋体" w:hAnsi="宋体" w:eastAsia="宋体" w:cs="宋体"/>
          <w:kern w:val="2"/>
          <w:szCs w:val="24"/>
        </w:rPr>
        <w:t>乙方应根据甲方的要求（</w:t>
      </w:r>
      <w:r>
        <w:rPr>
          <w:rFonts w:hint="eastAsia" w:eastAsia="宋体" w:cs="宋体"/>
          <w:kern w:val="2"/>
          <w:szCs w:val="24"/>
        </w:rPr>
        <w:t>包括招标文件和本合同约定的要求</w:t>
      </w:r>
      <w:r>
        <w:rPr>
          <w:rFonts w:hint="eastAsia" w:ascii="宋体" w:hAnsi="宋体" w:eastAsia="宋体" w:cs="宋体"/>
          <w:kern w:val="2"/>
          <w:szCs w:val="24"/>
        </w:rPr>
        <w:t>），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w:t>
      </w:r>
      <w:r>
        <w:rPr>
          <w:rFonts w:hint="eastAsia" w:eastAsia="宋体" w:cs="宋体"/>
          <w:kern w:val="2"/>
          <w:szCs w:val="24"/>
        </w:rPr>
        <w:t>良</w:t>
      </w:r>
      <w:r>
        <w:rPr>
          <w:rFonts w:hint="eastAsia" w:ascii="宋体" w:hAnsi="宋体" w:eastAsia="宋体" w:cs="宋体"/>
          <w:kern w:val="2"/>
          <w:szCs w:val="24"/>
        </w:rPr>
        <w:t>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55982B0F">
      <w:pPr>
        <w:widowControl w:val="0"/>
        <w:spacing w:after="120" w:line="360" w:lineRule="auto"/>
        <w:ind w:left="420" w:leftChars="200" w:firstLine="420" w:firstLineChars="200"/>
        <w:jc w:val="both"/>
        <w:rPr>
          <w:rFonts w:ascii="宋体" w:hAnsi="宋体" w:eastAsia="宋体" w:cs="宋体"/>
          <w:kern w:val="2"/>
          <w:szCs w:val="24"/>
        </w:rPr>
      </w:pPr>
      <w:r>
        <w:rPr>
          <w:rFonts w:hint="eastAsia" w:eastAsia="宋体" w:cs="宋体"/>
          <w:kern w:val="2"/>
          <w:szCs w:val="24"/>
        </w:rPr>
        <w:t>1.3</w:t>
      </w:r>
      <w:r>
        <w:rPr>
          <w:rFonts w:hint="eastAsia" w:ascii="宋体" w:hAnsi="宋体" w:eastAsia="宋体" w:cs="宋体"/>
          <w:kern w:val="2"/>
          <w:szCs w:val="24"/>
        </w:rPr>
        <w:t>如因乙方运输、安装、后期维保或产品质量问题而发生事故造成甲方或第三方的人身伤害或财产损失，包括</w:t>
      </w:r>
      <w:r>
        <w:rPr>
          <w:rFonts w:hint="eastAsia" w:eastAsia="宋体" w:cs="宋体"/>
          <w:kern w:val="2"/>
          <w:szCs w:val="24"/>
        </w:rPr>
        <w:t>出现</w:t>
      </w:r>
      <w:r>
        <w:rPr>
          <w:rFonts w:hint="eastAsia" w:ascii="宋体" w:hAnsi="宋体" w:eastAsia="宋体" w:cs="宋体"/>
          <w:kern w:val="2"/>
          <w:szCs w:val="24"/>
        </w:rPr>
        <w:t>质量责任事故导致甲方被第三方索赔或遭受国家有关部门处罚</w:t>
      </w:r>
      <w:r>
        <w:rPr>
          <w:rFonts w:hint="eastAsia" w:eastAsia="宋体" w:cs="宋体"/>
          <w:kern w:val="2"/>
          <w:szCs w:val="24"/>
        </w:rPr>
        <w:t>情形</w:t>
      </w:r>
      <w:r>
        <w:rPr>
          <w:rFonts w:hint="eastAsia" w:ascii="宋体" w:hAnsi="宋体" w:eastAsia="宋体" w:cs="宋体"/>
          <w:kern w:val="2"/>
          <w:szCs w:val="24"/>
        </w:rPr>
        <w:t>的，凡经国家认可的技术监督部门或专业检测机构认定是乙方责任的，乙方均应承担全部赔偿责任，包括对甲方及第三方因此蒙受的所有直接或者间接的损失</w:t>
      </w:r>
      <w:r>
        <w:rPr>
          <w:rFonts w:hint="eastAsia" w:eastAsia="宋体" w:cs="宋体"/>
          <w:kern w:val="2"/>
          <w:szCs w:val="24"/>
        </w:rPr>
        <w:t>给予赔偿</w:t>
      </w:r>
      <w:r>
        <w:rPr>
          <w:rFonts w:hint="eastAsia" w:ascii="宋体" w:hAnsi="宋体" w:eastAsia="宋体" w:cs="宋体"/>
          <w:kern w:val="2"/>
          <w:szCs w:val="24"/>
        </w:rPr>
        <w:t>；同时，造成本合同项下及甲方物品损毁的，乙方负责恢复原样，如无法复原则按被损坏物品市场价格1倍向甲方进行赔偿，并向甲方支付合同价</w:t>
      </w:r>
      <w:r>
        <w:rPr>
          <w:rFonts w:hint="eastAsia" w:eastAsia="宋体" w:cs="宋体"/>
          <w:kern w:val="2"/>
          <w:szCs w:val="24"/>
          <w:u w:val="single"/>
        </w:rPr>
        <w:t xml:space="preserve">   </w:t>
      </w:r>
      <w:r>
        <w:rPr>
          <w:rFonts w:hint="eastAsia" w:ascii="宋体" w:hAnsi="宋体" w:eastAsia="宋体" w:cs="宋体"/>
          <w:kern w:val="2"/>
          <w:szCs w:val="24"/>
          <w:u w:val="single"/>
        </w:rPr>
        <w:t>%</w:t>
      </w:r>
      <w:r>
        <w:rPr>
          <w:rFonts w:hint="eastAsia" w:ascii="宋体" w:hAnsi="宋体" w:eastAsia="宋体" w:cs="宋体"/>
          <w:kern w:val="2"/>
          <w:szCs w:val="24"/>
        </w:rPr>
        <w:t>违约金。</w:t>
      </w:r>
    </w:p>
    <w:p w14:paraId="1A43653A">
      <w:pPr>
        <w:widowControl w:val="0"/>
        <w:spacing w:after="120" w:line="360" w:lineRule="auto"/>
        <w:ind w:left="420" w:leftChars="200" w:firstLine="420" w:firstLineChars="200"/>
        <w:jc w:val="both"/>
        <w:rPr>
          <w:rFonts w:ascii="宋体" w:hAnsi="宋体" w:eastAsia="宋体" w:cs="宋体"/>
          <w:kern w:val="2"/>
          <w:szCs w:val="24"/>
        </w:rPr>
      </w:pPr>
      <w:r>
        <w:rPr>
          <w:rFonts w:hint="eastAsia" w:eastAsia="宋体" w:cs="宋体"/>
          <w:kern w:val="2"/>
          <w:szCs w:val="24"/>
        </w:rPr>
        <w:t>1.4</w:t>
      </w:r>
      <w:r>
        <w:rPr>
          <w:rFonts w:hint="eastAsia" w:ascii="宋体" w:hAnsi="宋体" w:eastAsia="宋体" w:cs="宋体"/>
          <w:kern w:val="2"/>
          <w:szCs w:val="24"/>
        </w:rPr>
        <w:t>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789A6F0C">
      <w:pPr>
        <w:widowControl w:val="0"/>
        <w:spacing w:after="120" w:line="360" w:lineRule="auto"/>
        <w:ind w:left="420" w:leftChars="200" w:firstLine="420" w:firstLineChars="200"/>
        <w:jc w:val="both"/>
        <w:rPr>
          <w:rFonts w:ascii="宋体" w:hAnsi="宋体" w:eastAsia="宋体" w:cs="宋体"/>
          <w:kern w:val="2"/>
          <w:szCs w:val="24"/>
        </w:rPr>
      </w:pPr>
      <w:r>
        <w:rPr>
          <w:rFonts w:hint="eastAsia" w:eastAsia="宋体" w:cs="宋体"/>
          <w:kern w:val="2"/>
          <w:szCs w:val="24"/>
        </w:rPr>
        <w:t>1.5</w:t>
      </w:r>
      <w:r>
        <w:rPr>
          <w:rFonts w:hint="eastAsia" w:ascii="宋体" w:hAnsi="宋体" w:eastAsia="宋体" w:cs="宋体"/>
          <w:kern w:val="2"/>
          <w:szCs w:val="24"/>
        </w:rPr>
        <w:t>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eastAsia="宋体" w:cs="宋体"/>
          <w:kern w:val="2"/>
          <w:szCs w:val="24"/>
          <w:u w:val="single"/>
        </w:rPr>
        <w:t xml:space="preserve">   </w:t>
      </w:r>
      <w:r>
        <w:rPr>
          <w:rFonts w:hint="eastAsia" w:ascii="宋体" w:hAnsi="宋体" w:eastAsia="宋体" w:cs="宋体"/>
          <w:kern w:val="2"/>
          <w:szCs w:val="24"/>
          <w:u w:val="single"/>
        </w:rPr>
        <w:t>%</w:t>
      </w:r>
      <w:r>
        <w:rPr>
          <w:rFonts w:hint="eastAsia" w:ascii="宋体" w:hAnsi="宋体" w:eastAsia="宋体" w:cs="宋体"/>
          <w:kern w:val="2"/>
          <w:szCs w:val="24"/>
        </w:rPr>
        <w:t xml:space="preserve">的违约金。若乙方支付的违约金不足以弥补甲方损失的，乙方还须继续承担损失赔偿责任。  </w:t>
      </w:r>
    </w:p>
    <w:p w14:paraId="499E2966">
      <w:pPr>
        <w:widowControl w:val="0"/>
        <w:spacing w:after="120" w:line="360" w:lineRule="auto"/>
        <w:ind w:left="420" w:leftChars="200" w:firstLine="422" w:firstLineChars="200"/>
        <w:jc w:val="both"/>
        <w:rPr>
          <w:rFonts w:ascii="宋体" w:hAnsi="宋体" w:eastAsia="宋体" w:cs="宋体"/>
          <w:b/>
          <w:bCs/>
          <w:kern w:val="2"/>
          <w:szCs w:val="24"/>
        </w:rPr>
      </w:pPr>
      <w:r>
        <w:rPr>
          <w:rFonts w:hint="eastAsia" w:ascii="宋体" w:hAnsi="宋体" w:eastAsia="宋体" w:cs="宋体"/>
          <w:b/>
          <w:bCs/>
          <w:kern w:val="2"/>
          <w:szCs w:val="24"/>
        </w:rPr>
        <w:t>以上条款中乙方的责任承担期限不受甲方已收货且出具验收确认书的限制。</w:t>
      </w:r>
    </w:p>
    <w:p w14:paraId="42AAD9D1">
      <w:pPr>
        <w:widowControl w:val="0"/>
        <w:spacing w:after="120" w:line="360" w:lineRule="auto"/>
        <w:ind w:left="420" w:leftChars="200" w:firstLine="420" w:firstLineChars="200"/>
        <w:jc w:val="both"/>
        <w:rPr>
          <w:rFonts w:ascii="宋体" w:hAnsi="宋体" w:eastAsia="宋体" w:cs="宋体"/>
          <w:kern w:val="2"/>
          <w:szCs w:val="24"/>
        </w:rPr>
      </w:pPr>
      <w:r>
        <w:rPr>
          <w:rFonts w:hint="eastAsia" w:eastAsia="宋体" w:cs="宋体"/>
          <w:kern w:val="2"/>
          <w:szCs w:val="24"/>
        </w:rPr>
        <w:t>1.6</w:t>
      </w:r>
      <w:r>
        <w:rPr>
          <w:rFonts w:hint="eastAsia" w:ascii="宋体" w:hAnsi="宋体" w:eastAsia="宋体" w:cs="宋体"/>
          <w:kern w:val="2"/>
          <w:szCs w:val="24"/>
        </w:rPr>
        <w:t>乙方指定【           （电话：）】为项目经理，由其全面负责本合同履行过程中与甲方确认到货情况、安排货物安装调试、参与验收、售后服务等事宜，乙方对其项目经理在本合同履行过程中向甲方出具的任何</w:t>
      </w:r>
      <w:r>
        <w:rPr>
          <w:rFonts w:hint="eastAsia" w:eastAsia="宋体" w:cs="宋体"/>
          <w:kern w:val="2"/>
          <w:szCs w:val="24"/>
        </w:rPr>
        <w:t>签名</w:t>
      </w:r>
      <w:r>
        <w:rPr>
          <w:rFonts w:hint="eastAsia" w:ascii="宋体" w:hAnsi="宋体" w:eastAsia="宋体" w:cs="宋体"/>
          <w:kern w:val="2"/>
          <w:szCs w:val="24"/>
        </w:rPr>
        <w:t>文件或材料均予以认可。若乙方前述项目经理发生变化，应及时以书面方式通知甲方。</w:t>
      </w:r>
    </w:p>
    <w:p w14:paraId="56FC7D44">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sym w:font="Wingdings 2" w:char="00A3"/>
      </w:r>
      <w:r>
        <w:rPr>
          <w:rFonts w:hint="eastAsia" w:ascii="宋体" w:hAnsi="宋体" w:eastAsia="宋体" w:cs="宋体"/>
          <w:kern w:val="2"/>
          <w:szCs w:val="21"/>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08E5692B">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2.</w:t>
      </w:r>
      <w:r>
        <w:rPr>
          <w:rFonts w:hint="eastAsia" w:ascii="宋体" w:hAnsi="宋体" w:eastAsia="宋体" w:cs="宋体"/>
          <w:kern w:val="2"/>
          <w:szCs w:val="24"/>
        </w:rPr>
        <w:t xml:space="preserve"> </w:t>
      </w:r>
      <w:r>
        <w:rPr>
          <w:rFonts w:hint="eastAsia" w:ascii="宋体" w:hAnsi="宋体" w:eastAsia="宋体" w:cs="宋体"/>
          <w:b/>
          <w:bCs/>
          <w:kern w:val="2"/>
          <w:sz w:val="28"/>
          <w:szCs w:val="28"/>
        </w:rPr>
        <w:t>交货时间</w:t>
      </w:r>
    </w:p>
    <w:p w14:paraId="0B9D3FC5">
      <w:pPr>
        <w:widowControl w:val="0"/>
        <w:spacing w:line="360" w:lineRule="auto"/>
        <w:ind w:firstLine="420"/>
        <w:jc w:val="both"/>
        <w:rPr>
          <w:rFonts w:ascii="宋体" w:hAnsi="宋体" w:eastAsia="宋体" w:cs="宋体"/>
          <w:kern w:val="2"/>
          <w:szCs w:val="21"/>
        </w:rPr>
      </w:pPr>
      <w:r>
        <w:rPr>
          <w:rFonts w:hint="eastAsia" w:ascii="宋体" w:hAnsi="宋体" w:eastAsia="宋体" w:cs="宋体"/>
          <w:kern w:val="2"/>
          <w:szCs w:val="21"/>
        </w:rPr>
        <w:t>乙方应在本合同签订生效后</w:t>
      </w:r>
      <w:r>
        <w:rPr>
          <w:rFonts w:hint="eastAsia" w:ascii="宋体" w:hAnsi="宋体" w:eastAsia="宋体" w:cs="宋体"/>
          <w:kern w:val="2"/>
          <w:szCs w:val="21"/>
          <w:u w:val="single"/>
        </w:rPr>
        <w:t>90</w:t>
      </w:r>
      <w:r>
        <w:rPr>
          <w:rFonts w:hint="eastAsia" w:ascii="宋体" w:hAnsi="宋体" w:eastAsia="宋体" w:cs="宋体"/>
          <w:kern w:val="2"/>
          <w:szCs w:val="21"/>
        </w:rPr>
        <w:t>个日历日内向甲方交付合同条款１中所列的全部货物。</w:t>
      </w:r>
    </w:p>
    <w:p w14:paraId="35227A80">
      <w:pPr>
        <w:widowControl w:val="0"/>
        <w:spacing w:line="360" w:lineRule="auto"/>
        <w:ind w:firstLine="420" w:firstLineChars="200"/>
        <w:jc w:val="both"/>
        <w:rPr>
          <w:rFonts w:eastAsia="宋体"/>
          <w:kern w:val="2"/>
          <w:szCs w:val="24"/>
        </w:rPr>
      </w:pPr>
      <w:r>
        <w:rPr>
          <w:rFonts w:hint="eastAsia" w:ascii="宋体" w:hAnsi="宋体" w:eastAsia="宋体" w:cs="宋体"/>
          <w:kern w:val="2"/>
          <w:szCs w:val="21"/>
        </w:rPr>
        <w:sym w:font="Wingdings 2" w:char="00A3"/>
      </w:r>
      <w:r>
        <w:rPr>
          <w:rFonts w:hint="eastAsia" w:ascii="宋体" w:hAnsi="宋体" w:eastAsia="宋体" w:cs="宋体"/>
          <w:kern w:val="2"/>
          <w:szCs w:val="21"/>
        </w:rPr>
        <w:t>同时，乙方应于</w:t>
      </w:r>
      <w:r>
        <w:rPr>
          <w:rFonts w:hint="eastAsia" w:ascii="宋体" w:hAnsi="宋体" w:eastAsia="宋体" w:cs="宋体"/>
          <w:kern w:val="2"/>
          <w:szCs w:val="21"/>
          <w:u w:val="single"/>
        </w:rPr>
        <w:t xml:space="preserve">    </w:t>
      </w:r>
      <w:r>
        <w:rPr>
          <w:rFonts w:hint="eastAsia" w:ascii="宋体" w:hAnsi="宋体" w:eastAsia="宋体" w:cs="宋体"/>
          <w:kern w:val="2"/>
          <w:szCs w:val="21"/>
        </w:rPr>
        <w:t>年</w:t>
      </w:r>
      <w:r>
        <w:rPr>
          <w:rFonts w:hint="eastAsia" w:ascii="宋体" w:hAnsi="宋体" w:eastAsia="宋体" w:cs="宋体"/>
          <w:kern w:val="2"/>
          <w:szCs w:val="21"/>
          <w:u w:val="single"/>
        </w:rPr>
        <w:t xml:space="preserve">     </w:t>
      </w:r>
      <w:r>
        <w:rPr>
          <w:rFonts w:hint="eastAsia" w:ascii="宋体" w:hAnsi="宋体" w:eastAsia="宋体" w:cs="宋体"/>
          <w:kern w:val="2"/>
          <w:szCs w:val="21"/>
        </w:rPr>
        <w:t>月</w:t>
      </w:r>
      <w:r>
        <w:rPr>
          <w:rFonts w:hint="eastAsia" w:ascii="宋体" w:hAnsi="宋体" w:eastAsia="宋体" w:cs="宋体"/>
          <w:kern w:val="2"/>
          <w:szCs w:val="21"/>
          <w:u w:val="single"/>
        </w:rPr>
        <w:t xml:space="preserve">     </w:t>
      </w:r>
      <w:r>
        <w:rPr>
          <w:rFonts w:hint="eastAsia" w:ascii="宋体" w:hAnsi="宋体" w:eastAsia="宋体" w:cs="宋体"/>
          <w:kern w:val="2"/>
          <w:szCs w:val="21"/>
        </w:rPr>
        <w:t>日前完成合同条款1 中所列的全部货物的安装调试并可以达到本合同约定的验收要求。</w:t>
      </w:r>
    </w:p>
    <w:p w14:paraId="753F7C6B">
      <w:pPr>
        <w:widowControl w:val="0"/>
        <w:numPr>
          <w:ilvl w:val="0"/>
          <w:numId w:val="4"/>
        </w:numPr>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交货地点</w:t>
      </w:r>
    </w:p>
    <w:p w14:paraId="78416E84">
      <w:pPr>
        <w:widowControl w:val="0"/>
        <w:spacing w:line="360" w:lineRule="auto"/>
        <w:ind w:firstLine="210" w:firstLineChars="100"/>
        <w:jc w:val="both"/>
        <w:rPr>
          <w:rFonts w:ascii="宋体" w:hAnsi="宋体" w:eastAsia="宋体" w:cs="宋体"/>
          <w:b/>
          <w:bCs/>
          <w:kern w:val="2"/>
          <w:sz w:val="28"/>
          <w:szCs w:val="28"/>
          <w:u w:val="single"/>
        </w:rPr>
      </w:pPr>
      <w:r>
        <w:rPr>
          <w:rFonts w:hint="eastAsia" w:ascii="宋体" w:hAnsi="宋体" w:eastAsia="宋体" w:cs="宋体"/>
          <w:kern w:val="2"/>
          <w:szCs w:val="21"/>
          <w:u w:val="single"/>
        </w:rPr>
        <w:t xml:space="preserve">江苏省南京市栖霞区仙林大道南京中医药大学动物中心新大楼二楼功能实验室 </w:t>
      </w:r>
      <w:r>
        <w:rPr>
          <w:rFonts w:hint="eastAsia" w:ascii="宋体" w:hAnsi="宋体" w:eastAsia="宋体" w:cs="宋体"/>
          <w:kern w:val="2"/>
          <w:sz w:val="28"/>
          <w:szCs w:val="28"/>
          <w:u w:val="single"/>
        </w:rPr>
        <w:t xml:space="preserve"> </w:t>
      </w:r>
    </w:p>
    <w:p w14:paraId="7638204B">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4. 保证金</w:t>
      </w:r>
      <w:r>
        <w:rPr>
          <w:rFonts w:hint="eastAsia" w:ascii="宋体" w:hAnsi="宋体" w:eastAsia="宋体"/>
          <w:b/>
          <w:bCs/>
          <w:kern w:val="2"/>
          <w:sz w:val="24"/>
          <w:szCs w:val="24"/>
        </w:rPr>
        <w:t>（根据招标文件要求选用）</w:t>
      </w:r>
    </w:p>
    <w:p w14:paraId="59F8F22D">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甲方指定的履约保证金汇款银行、帐号及户名如下：</w:t>
      </w:r>
    </w:p>
    <w:p w14:paraId="0857C763">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账号为：4301010109001027264</w:t>
      </w:r>
    </w:p>
    <w:p w14:paraId="0C043FE5">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开户行：工行汉中门支行</w:t>
      </w:r>
    </w:p>
    <w:p w14:paraId="58CB54F5">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收款人：南京中医药大学</w:t>
      </w:r>
    </w:p>
    <w:p w14:paraId="23FB4956">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kern w:val="2"/>
          <w:szCs w:val="21"/>
        </w:rPr>
        <w:t>汇款必须从乙方的基本账户转出，在备注、用途或附加说明中写明是本项目的履约保证金。</w:t>
      </w:r>
    </w:p>
    <w:p w14:paraId="330A650D">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lang w:bidi="ar"/>
        </w:rPr>
        <w:sym w:font="Wingdings 2" w:char="00A3"/>
      </w:r>
      <w:r>
        <w:rPr>
          <w:rFonts w:hint="eastAsia" w:ascii="宋体" w:hAnsi="宋体" w:eastAsia="宋体" w:cs="宋体"/>
          <w:szCs w:val="21"/>
        </w:rPr>
        <w:t>4.1乙方于本合同签订前向甲方交纳</w:t>
      </w:r>
      <w:r>
        <w:rPr>
          <w:rFonts w:hint="eastAsia" w:ascii="宋体" w:hAnsi="宋体" w:eastAsia="宋体" w:cs="宋体"/>
          <w:szCs w:val="21"/>
          <w:lang w:bidi="ar"/>
        </w:rPr>
        <w:t>人民币</w:t>
      </w:r>
      <w:r>
        <w:rPr>
          <w:rFonts w:hint="eastAsia" w:ascii="宋体" w:hAnsi="宋体" w:eastAsia="宋体" w:cs="宋体"/>
          <w:szCs w:val="21"/>
          <w:u w:val="single"/>
          <w:lang w:bidi="ar"/>
        </w:rPr>
        <w:t xml:space="preserve">    </w:t>
      </w:r>
      <w:r>
        <w:rPr>
          <w:rFonts w:hint="eastAsia" w:ascii="宋体" w:hAnsi="宋体" w:eastAsia="宋体" w:cs="宋体"/>
          <w:szCs w:val="21"/>
          <w:lang w:bidi="ar"/>
        </w:rPr>
        <w:t>元（</w:t>
      </w:r>
      <w:r>
        <w:rPr>
          <w:rFonts w:hint="eastAsia" w:ascii="宋体" w:hAnsi="宋体" w:eastAsia="宋体" w:cs="宋体"/>
          <w:szCs w:val="21"/>
        </w:rPr>
        <w:t>合同价的【 】%）作为本合同的履约保证金。</w:t>
      </w:r>
    </w:p>
    <w:p w14:paraId="76F59168">
      <w:pPr>
        <w:widowControl w:val="0"/>
        <w:spacing w:line="360" w:lineRule="auto"/>
        <w:ind w:firstLine="420" w:firstLineChars="200"/>
        <w:jc w:val="both"/>
        <w:rPr>
          <w:rFonts w:ascii="宋体" w:hAnsi="宋体" w:eastAsia="宋体" w:cs="宋体"/>
          <w:szCs w:val="21"/>
          <w:lang w:bidi="ar"/>
        </w:rPr>
      </w:pPr>
      <w:r>
        <w:rPr>
          <w:rFonts w:hint="eastAsia" w:ascii="宋体" w:hAnsi="宋体" w:eastAsia="宋体" w:cs="宋体"/>
          <w:szCs w:val="21"/>
          <w:lang w:bidi="ar"/>
        </w:rPr>
        <w:t>自甲方最终书面确认验收合格之日起算【12】个月后</w:t>
      </w:r>
      <w:r>
        <w:rPr>
          <w:rFonts w:hint="eastAsia" w:ascii="宋体" w:hAnsi="宋体" w:eastAsia="宋体" w:cs="宋体"/>
        </w:rPr>
        <w:t>30个工作日内</w:t>
      </w:r>
      <w:r>
        <w:rPr>
          <w:rFonts w:hint="eastAsia" w:ascii="宋体" w:hAnsi="宋体" w:eastAsia="宋体" w:cs="宋体"/>
          <w:szCs w:val="21"/>
          <w:lang w:bidi="ar"/>
        </w:rPr>
        <w:t>，甲方确认无质量问题且乙方无违约情形后将履约保证金无息退还给乙方。乙方若有违约情形的或产品存在质量问题，甲方有权依据合同约定在履约保证金中先行扣除相应金额的违约金或质量赔偿金。履约保证金不足扣除的，乙方应在接到甲方通知后及时补足。</w:t>
      </w:r>
    </w:p>
    <w:p w14:paraId="7CB60EAC">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5.其它费用</w:t>
      </w:r>
    </w:p>
    <w:p w14:paraId="443A75D0">
      <w:pPr>
        <w:widowControl w:val="0"/>
        <w:spacing w:line="360" w:lineRule="auto"/>
        <w:ind w:firstLine="420" w:firstLineChars="200"/>
        <w:jc w:val="both"/>
        <w:rPr>
          <w:rFonts w:ascii="宋体" w:hAnsi="宋体" w:eastAsia="宋体" w:cs="宋体"/>
          <w:bCs/>
          <w:kern w:val="2"/>
          <w:szCs w:val="21"/>
        </w:rPr>
      </w:pPr>
      <w:r>
        <w:rPr>
          <w:rFonts w:hint="eastAsia" w:ascii="宋体" w:hAnsi="宋体" w:eastAsia="宋体" w:cs="宋体"/>
          <w:bCs/>
          <w:kern w:val="2"/>
          <w:szCs w:val="21"/>
        </w:rPr>
        <w:t>5.1货物的运输、拆卸、安装过程中以及质保期内所有货物维修产生的全部费用均由乙方承担。</w:t>
      </w:r>
    </w:p>
    <w:p w14:paraId="1E52D8FE">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6.调试和验收</w:t>
      </w:r>
    </w:p>
    <w:p w14:paraId="256B3DFF">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6.1甲方对乙方提交的货物依据招标文件上的技术要求、本合同约定和国家有关质量标准进行现场清点、初步验收，外观、说明书符合招标文件技术要求的，予以签收，初步验收不合格的不予签收。货到甲方指定地点后，乙方须在5个工作日内配合甲方予以初步验收，乙方项目经理应参与初步验收。</w:t>
      </w:r>
    </w:p>
    <w:p w14:paraId="711798DE">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6.2乙方交货前应对产品做出全面检查和对初步验收文件进行整理，提供与货物有关的清晰、正确、完整的技术资料，并列出清单，如：可运行的系统（安装光盘，如有）、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090C4781">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6.3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并没收乙方的履约保证金，乙方必须无条件接受退货。</w:t>
      </w:r>
    </w:p>
    <w:p w14:paraId="062E5614">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6.4设备到货后，乙方应派专业工程师前往甲方指定的安装地点负责设备的安装调试，且甲方在设备使用前进行调试时，乙方应免费培训甲方的使用操作人员，提供相关的技术咨询，并协助甲方一起调试，直到符合招标文件及本合同约定的技术要求并被甲方所能应用，甲方才做最终验收。乙方项目经理应参与最终验收。</w:t>
      </w:r>
    </w:p>
    <w:p w14:paraId="3564986A">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6.5对于本合同约定的货物，乙方同意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2FDAC411">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7.付款方式</w:t>
      </w:r>
    </w:p>
    <w:p w14:paraId="3565B92A">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7.1乙方将全部货物运到甲方指定的交货地点，并按照招标文件、本合同约定及甲方的要求安装调试结束，经甲方最终书面确认验收合格无误后，乙方向甲方提供合法有效的正规增值税发票，甲方在收到发票后向乙方付清应付款项。</w:t>
      </w:r>
    </w:p>
    <w:p w14:paraId="54B8715E">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7.2每次甲方付款前，乙方应向甲方提供符合甲方财务要求的正规合法有效，发票开具方与乙方相一致、且金额与应付款金额相一致的增值税发票，否则甲方有权拒绝付款。</w:t>
      </w:r>
    </w:p>
    <w:p w14:paraId="0F67CF8B">
      <w:pPr>
        <w:widowControl w:val="0"/>
        <w:spacing w:line="360" w:lineRule="auto"/>
        <w:ind w:firstLine="422" w:firstLineChars="200"/>
        <w:jc w:val="both"/>
        <w:rPr>
          <w:rFonts w:ascii="宋体" w:hAnsi="宋体" w:eastAsia="宋体"/>
          <w:b/>
          <w:bCs/>
          <w:kern w:val="2"/>
          <w:szCs w:val="21"/>
        </w:rPr>
      </w:pPr>
      <w:r>
        <w:rPr>
          <w:rFonts w:hint="eastAsia" w:ascii="宋体" w:hAnsi="宋体" w:eastAsia="宋体"/>
          <w:b/>
          <w:bCs/>
          <w:kern w:val="2"/>
          <w:szCs w:val="21"/>
        </w:rPr>
        <w:t>如遇甲方高校寒暑假期等财务封帐特殊原因或不可抗拒事件等情形不受此时间限制，付款时间相应顺延。对此乙方表示：遇此情况下甲方可以推迟付款且不构成违约，且乙方不主张顺延期间的利息。</w:t>
      </w:r>
    </w:p>
    <w:p w14:paraId="1D3CC9B0">
      <w:pPr>
        <w:widowControl w:val="0"/>
        <w:spacing w:line="360" w:lineRule="auto"/>
        <w:ind w:firstLine="422" w:firstLineChars="200"/>
        <w:jc w:val="both"/>
        <w:rPr>
          <w:rFonts w:ascii="宋体" w:hAnsi="宋体" w:eastAsia="宋体" w:cs="宋体"/>
          <w:b/>
          <w:bCs/>
          <w:kern w:val="2"/>
          <w:szCs w:val="21"/>
        </w:rPr>
      </w:pPr>
      <w:r>
        <w:rPr>
          <w:rFonts w:hint="eastAsia" w:ascii="宋体" w:hAnsi="宋体" w:eastAsia="宋体" w:cs="宋体"/>
          <w:b/>
          <w:bCs/>
          <w:kern w:val="2"/>
          <w:szCs w:val="21"/>
        </w:rPr>
        <w:t>7.3乙方指定的收取本合同项下所有应收款项的账户如下：</w:t>
      </w:r>
    </w:p>
    <w:p w14:paraId="3E982FFA">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开户名称：【     】</w:t>
      </w:r>
    </w:p>
    <w:p w14:paraId="13D8297A">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开户行： 【     】</w:t>
      </w:r>
    </w:p>
    <w:p w14:paraId="2791C30B">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银行账户：【     】</w:t>
      </w:r>
    </w:p>
    <w:p w14:paraId="14434998">
      <w:pPr>
        <w:widowControl w:val="0"/>
        <w:spacing w:line="360" w:lineRule="auto"/>
        <w:ind w:firstLine="420" w:firstLineChars="200"/>
        <w:jc w:val="both"/>
        <w:rPr>
          <w:rFonts w:ascii="宋体" w:hAnsi="宋体" w:eastAsia="宋体" w:cs="宋体"/>
          <w:b/>
          <w:bCs/>
          <w:kern w:val="2"/>
          <w:szCs w:val="21"/>
        </w:rPr>
      </w:pPr>
      <w:r>
        <w:rPr>
          <w:rFonts w:hint="eastAsia" w:ascii="宋体" w:hAnsi="宋体" w:eastAsia="宋体" w:cs="宋体"/>
          <w:kern w:val="2"/>
          <w:szCs w:val="21"/>
        </w:rPr>
        <w:t>因乙方提供银行账户信息有误，或银行账户自身问题（包括但不限于被查封、冻结），导致甲方未能按照本合同约定付款的，所造成的法律后果由乙方自行承担，甲方不承担任何责任。</w:t>
      </w:r>
    </w:p>
    <w:p w14:paraId="7338989B">
      <w:pPr>
        <w:widowControl w:val="0"/>
        <w:spacing w:line="360" w:lineRule="auto"/>
        <w:jc w:val="both"/>
        <w:rPr>
          <w:rFonts w:ascii="宋体" w:hAnsi="宋体" w:eastAsia="宋体" w:cs="宋体"/>
          <w:i/>
          <w:iCs/>
          <w:kern w:val="2"/>
          <w:sz w:val="28"/>
          <w:szCs w:val="28"/>
        </w:rPr>
      </w:pPr>
      <w:r>
        <w:rPr>
          <w:rFonts w:hint="eastAsia" w:ascii="宋体" w:hAnsi="宋体" w:eastAsia="宋体" w:cs="宋体"/>
          <w:b/>
          <w:bCs/>
          <w:kern w:val="2"/>
          <w:sz w:val="28"/>
          <w:szCs w:val="28"/>
        </w:rPr>
        <w:t>8.乙方的其他义务</w:t>
      </w:r>
    </w:p>
    <w:p w14:paraId="7FD693DE">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29BB2F31">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p>
    <w:p w14:paraId="5BE06318">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8.3售后服务响应时间：乙方应在国内有专门负责的维修工程师或技术支持工程师。质保期内，如在使用过程中发生问题等，则乙方在接到甲方提出的维修维保要求通知后，应于</w:t>
      </w:r>
      <w:r>
        <w:rPr>
          <w:rFonts w:hint="eastAsia" w:ascii="宋体" w:hAnsi="宋体" w:eastAsia="宋体" w:cs="宋体"/>
          <w:szCs w:val="21"/>
        </w:rPr>
        <w:t>2</w:t>
      </w:r>
      <w:r>
        <w:rPr>
          <w:rFonts w:hint="eastAsia" w:ascii="宋体" w:hAnsi="宋体" w:eastAsia="宋体" w:cs="宋体"/>
          <w:kern w:val="2"/>
          <w:szCs w:val="21"/>
        </w:rPr>
        <w:t>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p>
    <w:p w14:paraId="188D4464">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8.4乙方在维修维保过程中应确保按正确的检修规程进行专业操作，并承担全部安全责任。</w:t>
      </w:r>
    </w:p>
    <w:p w14:paraId="61B6F570">
      <w:pPr>
        <w:widowControl w:val="0"/>
        <w:spacing w:line="360" w:lineRule="auto"/>
        <w:ind w:firstLine="420" w:firstLineChars="200"/>
        <w:jc w:val="both"/>
        <w:rPr>
          <w:rFonts w:ascii="宋体" w:hAnsi="宋体" w:eastAsia="宋体" w:cs="宋体"/>
          <w:kern w:val="2"/>
          <w:szCs w:val="21"/>
          <w:u w:val="single"/>
        </w:rPr>
      </w:pPr>
      <w:r>
        <w:rPr>
          <w:rFonts w:hint="eastAsia" w:ascii="宋体" w:hAnsi="宋体" w:eastAsia="宋体" w:cs="宋体"/>
          <w:kern w:val="2"/>
          <w:szCs w:val="21"/>
        </w:rPr>
        <w:t>8.5其他：</w:t>
      </w:r>
      <w:r>
        <w:rPr>
          <w:rFonts w:hint="eastAsia" w:ascii="宋体" w:hAnsi="宋体" w:eastAsia="宋体" w:cs="宋体"/>
          <w:kern w:val="2"/>
          <w:szCs w:val="21"/>
          <w:u w:val="single"/>
        </w:rPr>
        <w:t>乙方提供的质保服务应为原厂质保服务。免费质保期满后，乙方应提供至少每年两次的免费上门维护。质保期内发生任何设备损坏，所需要的维修费用（包括零部件费用、维修费用）均由乙方承担（人为操作不当造成的损坏除外）。保修期满前6个月内由乙方对甲方的仪器进行一次免费的、全面的检查。免费质保期后，乙方提供系统终身优惠维修服务。乙方在质保期内免费提供一次由专业工程师现场负责的校内移机服务，并安装、调试。本条约定中部分内容与本合同中其他约定内容有冲突的，以本条约定内容为准。</w:t>
      </w:r>
    </w:p>
    <w:p w14:paraId="638232B1">
      <w:pPr>
        <w:widowControl w:val="0"/>
        <w:spacing w:line="360" w:lineRule="auto"/>
        <w:jc w:val="both"/>
        <w:rPr>
          <w:rFonts w:ascii="宋体" w:hAnsi="宋体" w:eastAsia="宋体" w:cs="宋体"/>
          <w:b/>
          <w:kern w:val="2"/>
          <w:sz w:val="28"/>
          <w:szCs w:val="28"/>
        </w:rPr>
      </w:pPr>
      <w:r>
        <w:rPr>
          <w:rFonts w:hint="eastAsia" w:ascii="宋体" w:hAnsi="宋体" w:eastAsia="宋体" w:cs="宋体"/>
          <w:b/>
          <w:bCs/>
          <w:kern w:val="2"/>
          <w:sz w:val="28"/>
          <w:szCs w:val="28"/>
        </w:rPr>
        <w:t>9.违约责任</w:t>
      </w:r>
    </w:p>
    <w:p w14:paraId="188FEF5E">
      <w:pPr>
        <w:widowControl w:val="0"/>
        <w:wordWrap w:val="0"/>
        <w:spacing w:line="360" w:lineRule="auto"/>
        <w:ind w:firstLine="420" w:firstLineChars="200"/>
        <w:rPr>
          <w:rFonts w:ascii="宋体" w:hAnsi="宋体" w:eastAsia="宋体" w:cs="宋体"/>
          <w:kern w:val="2"/>
          <w:szCs w:val="24"/>
        </w:rPr>
      </w:pPr>
      <w:r>
        <w:rPr>
          <w:rFonts w:hint="eastAsia" w:ascii="宋体" w:hAnsi="宋体" w:eastAsia="宋体" w:cs="宋体"/>
          <w:szCs w:val="21"/>
        </w:rPr>
        <w:t xml:space="preserve"> 9.1乙</w:t>
      </w:r>
      <w:r>
        <w:rPr>
          <w:rFonts w:hint="eastAsia" w:ascii="宋体" w:hAnsi="宋体" w:eastAsia="宋体" w:cs="宋体"/>
          <w:kern w:val="2"/>
          <w:szCs w:val="24"/>
        </w:rPr>
        <w:t>方因故需要延迟交货（包括迟延履行安装</w:t>
      </w:r>
      <w:r>
        <w:rPr>
          <w:rFonts w:hint="eastAsia" w:eastAsia="宋体" w:cs="宋体"/>
          <w:kern w:val="2"/>
          <w:szCs w:val="24"/>
        </w:rPr>
        <w:t>调试或培训</w:t>
      </w:r>
      <w:r>
        <w:rPr>
          <w:rFonts w:hint="eastAsia" w:ascii="宋体" w:hAnsi="宋体" w:eastAsia="宋体" w:cs="宋体"/>
          <w:kern w:val="2"/>
          <w:szCs w:val="24"/>
        </w:rPr>
        <w:t>义务）的，应提前向甲方说明缘由并征得甲方同意。若未事先说明且取得甲方书面</w:t>
      </w:r>
      <w:r>
        <w:rPr>
          <w:rFonts w:hint="eastAsia" w:eastAsia="宋体" w:cs="宋体"/>
          <w:kern w:val="2"/>
          <w:szCs w:val="24"/>
        </w:rPr>
        <w:t>同意</w:t>
      </w:r>
      <w:r>
        <w:rPr>
          <w:rFonts w:hint="eastAsia" w:ascii="宋体" w:hAnsi="宋体" w:eastAsia="宋体" w:cs="宋体"/>
          <w:kern w:val="2"/>
          <w:szCs w:val="24"/>
        </w:rPr>
        <w:t>的，每延迟一天，则应按照迟延交货部分合同金额的</w:t>
      </w:r>
      <w:r>
        <w:rPr>
          <w:rFonts w:hint="eastAsia" w:eastAsia="宋体" w:cs="宋体"/>
          <w:kern w:val="2"/>
          <w:szCs w:val="24"/>
          <w:u w:val="single"/>
        </w:rPr>
        <w:t xml:space="preserve">   </w:t>
      </w:r>
      <w:r>
        <w:rPr>
          <w:rFonts w:hint="eastAsia" w:ascii="宋体" w:hAnsi="宋体" w:eastAsia="宋体" w:cs="宋体"/>
          <w:kern w:val="2"/>
          <w:szCs w:val="24"/>
        </w:rPr>
        <w:t>%向甲方支付违约金</w:t>
      </w:r>
      <w:r>
        <w:rPr>
          <w:rFonts w:hint="eastAsia" w:eastAsia="宋体" w:cs="宋体"/>
          <w:kern w:val="2"/>
          <w:szCs w:val="24"/>
        </w:rPr>
        <w:t>，甲方有权从</w:t>
      </w:r>
      <w:r>
        <w:rPr>
          <w:rFonts w:hint="eastAsia" w:ascii="宋体" w:hAnsi="宋体" w:eastAsia="宋体" w:cs="宋体"/>
          <w:b/>
          <w:kern w:val="2"/>
          <w:szCs w:val="24"/>
        </w:rPr>
        <w:sym w:font="Wingdings 2" w:char="00A3"/>
      </w:r>
      <w:r>
        <w:rPr>
          <w:rFonts w:hint="eastAsia" w:ascii="宋体" w:hAnsi="宋体" w:eastAsia="宋体" w:cs="宋体"/>
          <w:b/>
          <w:kern w:val="2"/>
          <w:szCs w:val="24"/>
        </w:rPr>
        <w:t>履约保证金中</w:t>
      </w:r>
      <w:r>
        <w:rPr>
          <w:rFonts w:hint="eastAsia" w:ascii="宋体" w:hAnsi="宋体" w:eastAsia="宋体" w:cs="宋体"/>
          <w:b/>
          <w:kern w:val="2"/>
          <w:szCs w:val="24"/>
        </w:rPr>
        <w:sym w:font="Wingdings 2" w:char="0052"/>
      </w:r>
      <w:r>
        <w:rPr>
          <w:rFonts w:hint="eastAsia" w:ascii="宋体" w:hAnsi="宋体" w:eastAsia="宋体" w:cs="宋体"/>
          <w:b/>
          <w:kern w:val="2"/>
          <w:szCs w:val="24"/>
        </w:rPr>
        <w:t>待付合同款项</w:t>
      </w:r>
      <w:r>
        <w:rPr>
          <w:rFonts w:hint="eastAsia" w:ascii="宋体" w:hAnsi="宋体" w:eastAsia="宋体" w:cs="宋体"/>
          <w:bCs/>
          <w:kern w:val="2"/>
          <w:szCs w:val="24"/>
        </w:rPr>
        <w:t>中</w:t>
      </w:r>
      <w:r>
        <w:rPr>
          <w:rFonts w:hint="eastAsia" w:eastAsia="宋体" w:cs="宋体"/>
          <w:bCs/>
          <w:kern w:val="2"/>
          <w:szCs w:val="24"/>
        </w:rPr>
        <w:t>直</w:t>
      </w:r>
      <w:r>
        <w:rPr>
          <w:rFonts w:hint="eastAsia" w:eastAsia="宋体" w:cs="宋体"/>
          <w:kern w:val="2"/>
          <w:szCs w:val="24"/>
        </w:rPr>
        <w:t>接扣除前述违约金，不足扣除的，乙方应继续向甲方支付</w:t>
      </w:r>
      <w:r>
        <w:rPr>
          <w:rFonts w:hint="eastAsia" w:ascii="宋体" w:hAnsi="宋体" w:eastAsia="宋体" w:cs="宋体"/>
          <w:kern w:val="2"/>
          <w:szCs w:val="24"/>
        </w:rPr>
        <w:t>。乙方迟延交货达</w:t>
      </w:r>
      <w:r>
        <w:rPr>
          <w:rFonts w:hint="eastAsia" w:eastAsia="宋体" w:cs="宋体"/>
          <w:kern w:val="2"/>
          <w:szCs w:val="24"/>
          <w:u w:val="single"/>
        </w:rPr>
        <w:t xml:space="preserve">   </w:t>
      </w:r>
      <w:r>
        <w:rPr>
          <w:rFonts w:hint="eastAsia" w:ascii="宋体" w:hAnsi="宋体" w:eastAsia="宋体" w:cs="宋体"/>
          <w:kern w:val="2"/>
          <w:szCs w:val="24"/>
        </w:rPr>
        <w:t>日的，甲方有权单方解除合同并追究乙方的违约责任，乙方须按未能交货部分合同金额或不合格货物对应合同金额的</w:t>
      </w:r>
      <w:r>
        <w:rPr>
          <w:rFonts w:hint="eastAsia" w:eastAsia="宋体" w:cs="宋体"/>
          <w:kern w:val="2"/>
          <w:szCs w:val="24"/>
          <w:u w:val="single"/>
        </w:rPr>
        <w:t xml:space="preserve">   </w:t>
      </w:r>
      <w:r>
        <w:rPr>
          <w:rFonts w:hint="eastAsia" w:ascii="宋体" w:hAnsi="宋体" w:eastAsia="宋体" w:cs="宋体"/>
          <w:kern w:val="2"/>
          <w:szCs w:val="24"/>
        </w:rPr>
        <w:t>%向甲方支付违约金，违约金不足以补偿甲方损失的，甲方有权要求乙方补足。</w:t>
      </w:r>
    </w:p>
    <w:p w14:paraId="12666994">
      <w:pPr>
        <w:widowControl w:val="0"/>
        <w:snapToGrid w:val="0"/>
        <w:spacing w:after="120" w:line="360" w:lineRule="auto"/>
        <w:ind w:firstLine="420" w:firstLineChars="200"/>
        <w:jc w:val="both"/>
        <w:rPr>
          <w:rFonts w:ascii="宋体" w:hAnsi="宋体" w:eastAsia="宋体" w:cs="宋体"/>
          <w:kern w:val="2"/>
          <w:szCs w:val="24"/>
        </w:rPr>
      </w:pPr>
      <w:r>
        <w:rPr>
          <w:rFonts w:ascii="宋体" w:hAnsi="宋体" w:eastAsia="宋体" w:cs="宋体"/>
          <w:szCs w:val="21"/>
        </w:rPr>
        <w:t>9.2</w:t>
      </w:r>
      <w:r>
        <w:rPr>
          <w:rFonts w:hint="eastAsia" w:ascii="宋体" w:hAnsi="宋体" w:eastAsia="宋体" w:cs="宋体"/>
          <w:szCs w:val="21"/>
        </w:rPr>
        <w:t>乙方必须遵守甲方有关管理制度和规定，在货物运输、安装调试、维修维保等过程</w:t>
      </w:r>
      <w:r>
        <w:rPr>
          <w:rFonts w:hint="eastAsia" w:ascii="宋体" w:hAnsi="宋体" w:eastAsia="宋体" w:cs="宋体"/>
          <w:kern w:val="2"/>
          <w:szCs w:val="24"/>
        </w:rPr>
        <w:t>中须服从甲方管理，禁止非乙方单位人员、车辆进出甲方，给甲方造成安全隐患，如因乙方违反此约定给甲方或第三人造成伤害或财产损失的，乙方承担全部赔偿责任。</w:t>
      </w:r>
    </w:p>
    <w:p w14:paraId="27E43CCA">
      <w:pPr>
        <w:widowControl w:val="0"/>
        <w:snapToGrid w:val="0"/>
        <w:spacing w:after="120" w:line="360" w:lineRule="auto"/>
        <w:ind w:firstLine="420" w:firstLineChars="200"/>
        <w:jc w:val="both"/>
        <w:rPr>
          <w:rFonts w:ascii="宋体" w:hAnsi="宋体" w:eastAsia="宋体" w:cs="宋体"/>
          <w:szCs w:val="21"/>
        </w:rPr>
      </w:pPr>
      <w:r>
        <w:rPr>
          <w:rFonts w:ascii="宋体" w:hAnsi="宋体" w:eastAsia="宋体" w:cs="宋体"/>
          <w:szCs w:val="21"/>
        </w:rPr>
        <w:t>9.3</w:t>
      </w:r>
      <w:r>
        <w:rPr>
          <w:rFonts w:hint="eastAsia" w:ascii="宋体" w:hAnsi="宋体" w:eastAsia="宋体" w:cs="宋体"/>
          <w:szCs w:val="21"/>
        </w:rPr>
        <w:t>因不可抗力或国家法律、法规或其他相关文件规定造成合同不能履行的，双方互不追究违约责任。</w:t>
      </w:r>
    </w:p>
    <w:p w14:paraId="396A3A14">
      <w:pPr>
        <w:widowControl w:val="0"/>
        <w:snapToGrid w:val="0"/>
        <w:spacing w:after="120" w:line="360" w:lineRule="auto"/>
        <w:ind w:firstLine="420" w:firstLineChars="200"/>
        <w:jc w:val="both"/>
        <w:rPr>
          <w:rFonts w:ascii="宋体" w:hAnsi="宋体" w:eastAsia="宋体" w:cs="宋体"/>
          <w:kern w:val="2"/>
          <w:szCs w:val="24"/>
        </w:rPr>
      </w:pPr>
      <w:r>
        <w:rPr>
          <w:rFonts w:hint="eastAsia" w:eastAsia="宋体" w:cs="宋体"/>
          <w:kern w:val="2"/>
          <w:szCs w:val="24"/>
        </w:rPr>
        <w:t>9.4其他：</w:t>
      </w:r>
      <w:r>
        <w:rPr>
          <w:rFonts w:hint="eastAsia" w:ascii="宋体" w:hAnsi="宋体" w:eastAsia="宋体" w:cs="宋体"/>
          <w:kern w:val="2"/>
          <w:szCs w:val="21"/>
          <w:u w:val="single"/>
        </w:rPr>
        <w:t xml:space="preserve"> 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p>
    <w:p w14:paraId="2AF5B59E">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10.其他约定事项</w:t>
      </w:r>
    </w:p>
    <w:p w14:paraId="18200148">
      <w:pPr>
        <w:widowControl w:val="0"/>
        <w:snapToGrid w:val="0"/>
        <w:spacing w:line="360" w:lineRule="auto"/>
        <w:ind w:firstLine="420" w:firstLineChars="200"/>
        <w:jc w:val="both"/>
        <w:rPr>
          <w:rFonts w:ascii="宋体" w:hAnsi="宋体" w:eastAsia="宋体" w:cs="宋体"/>
          <w:bCs/>
          <w:kern w:val="2"/>
          <w:szCs w:val="21"/>
          <w:u w:val="single"/>
        </w:rPr>
      </w:pPr>
      <w:r>
        <w:rPr>
          <w:rFonts w:hint="eastAsia" w:ascii="宋体" w:hAnsi="宋体" w:eastAsia="宋体" w:cs="宋体"/>
          <w:bCs/>
          <w:kern w:val="2"/>
          <w:szCs w:val="21"/>
          <w:u w:val="single"/>
        </w:rPr>
        <w:t xml:space="preserve">保密条款：乙方应对履行本合同过程中知悉的甲方任何信息承担严格保密义务，不得以任何形式泄露、告知、交付或以任何其他方式转移或提供给任何第三人（法律法规要求披露的除外），也不得用于本合同目的以外的任何用途。乙方应对其工作人员进行保密教育，确保其工作人员在职期间和离职后均能履行保密义务。如因乙方保密措施不力或乙方工作人员过失或故意，造成甲方技术情报、资料泄密的，即视为乙方严重违约，则甲方有权单方解除合同并向有关国家行政部门举报或报案，乙方应承担甲方的经济损失和相关法律责任，同时乙方应按合同总金额的20%向甲方支付违约金。违约金不足以弥补甲方损失的，甲方有权要求乙方继续承担损失赔偿责任。涉及人员范围：合同履行中所有乙方工作人员或乙方委派甲方的人员。保密期限：永久。本保密条款不受本合同期限的限制。 </w:t>
      </w:r>
    </w:p>
    <w:p w14:paraId="12A593DC">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11.争议解决</w:t>
      </w:r>
    </w:p>
    <w:p w14:paraId="43AE0158">
      <w:pPr>
        <w:widowControl w:val="0"/>
        <w:spacing w:line="360" w:lineRule="auto"/>
        <w:ind w:firstLine="420" w:firstLineChars="200"/>
        <w:jc w:val="both"/>
        <w:rPr>
          <w:rFonts w:eastAsia="宋体"/>
          <w:kern w:val="2"/>
          <w:szCs w:val="24"/>
        </w:rPr>
      </w:pPr>
      <w:r>
        <w:rPr>
          <w:rFonts w:hint="eastAsia" w:ascii="宋体" w:hAnsi="宋体" w:eastAsia="宋体" w:cs="宋体"/>
          <w:bCs/>
          <w:kern w:val="2"/>
          <w:szCs w:val="21"/>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2B1DF44D">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12.合同效力和其他</w:t>
      </w:r>
    </w:p>
    <w:p w14:paraId="57A5CBA1">
      <w:pPr>
        <w:widowControl w:val="0"/>
        <w:spacing w:line="360" w:lineRule="auto"/>
        <w:ind w:firstLine="420" w:firstLineChars="200"/>
        <w:jc w:val="both"/>
        <w:rPr>
          <w:rFonts w:ascii="宋体" w:hAnsi="宋体" w:eastAsia="宋体" w:cs="宋体"/>
          <w:bCs/>
          <w:kern w:val="2"/>
          <w:szCs w:val="21"/>
        </w:rPr>
      </w:pPr>
      <w:r>
        <w:rPr>
          <w:rFonts w:hint="eastAsia" w:ascii="宋体" w:hAnsi="宋体" w:eastAsia="宋体" w:cs="宋体"/>
          <w:bCs/>
          <w:kern w:val="2"/>
          <w:szCs w:val="21"/>
        </w:rPr>
        <w:t>12.1本合同附件、相关的</w:t>
      </w:r>
      <w:r>
        <w:rPr>
          <w:rFonts w:hint="eastAsia" w:ascii="宋体" w:hAnsi="宋体" w:eastAsia="宋体" w:cs="宋体"/>
          <w:bCs/>
          <w:kern w:val="2"/>
          <w:szCs w:val="21"/>
          <w:u w:val="single"/>
        </w:rPr>
        <w:t>招投标资料/谈判纪要以及与本合同相关的其他文件</w:t>
      </w:r>
      <w:r>
        <w:rPr>
          <w:rFonts w:hint="eastAsia" w:ascii="宋体" w:hAnsi="宋体" w:eastAsia="宋体" w:cs="宋体"/>
          <w:bCs/>
          <w:kern w:val="2"/>
          <w:szCs w:val="21"/>
        </w:rPr>
        <w:t>均为本合同不可分割的组成部分，与本合同具有同等法律效力；若存在不一致之处或不明确之处，甲乙双方同意以最有利于甲方利益的文件或文意进行解释。</w:t>
      </w:r>
    </w:p>
    <w:p w14:paraId="3DD53C8C">
      <w:pPr>
        <w:widowControl w:val="0"/>
        <w:spacing w:line="360" w:lineRule="auto"/>
        <w:ind w:firstLine="420"/>
        <w:jc w:val="both"/>
        <w:rPr>
          <w:rFonts w:eastAsia="宋体"/>
          <w:kern w:val="2"/>
          <w:szCs w:val="24"/>
        </w:rPr>
      </w:pPr>
      <w:r>
        <w:rPr>
          <w:rFonts w:hint="eastAsia" w:ascii="宋体" w:hAnsi="宋体" w:eastAsia="宋体" w:cs="宋体"/>
          <w:bCs/>
          <w:kern w:val="2"/>
          <w:szCs w:val="21"/>
        </w:rPr>
        <w:t>12.2本合同一式</w:t>
      </w:r>
      <w:r>
        <w:rPr>
          <w:rFonts w:hint="eastAsia" w:ascii="宋体" w:hAnsi="宋体" w:eastAsia="宋体" w:cs="宋体"/>
          <w:bCs/>
          <w:kern w:val="2"/>
          <w:szCs w:val="21"/>
          <w:u w:val="single"/>
        </w:rPr>
        <w:t xml:space="preserve">   </w:t>
      </w:r>
      <w:r>
        <w:rPr>
          <w:rFonts w:hint="eastAsia" w:ascii="宋体" w:hAnsi="宋体" w:eastAsia="宋体" w:cs="宋体"/>
          <w:bCs/>
          <w:kern w:val="2"/>
          <w:szCs w:val="21"/>
        </w:rPr>
        <w:t>份，自甲乙双方法定代表人或其授权代表签名并加盖单位印章（注：甲方加盖单位印章为甲方单位经济合同专用章）之日起生效，甲方持有</w:t>
      </w:r>
      <w:r>
        <w:rPr>
          <w:rFonts w:hint="eastAsia" w:ascii="宋体" w:hAnsi="宋体" w:eastAsia="宋体" w:cs="宋体"/>
          <w:bCs/>
          <w:kern w:val="2"/>
          <w:szCs w:val="21"/>
          <w:u w:val="single"/>
        </w:rPr>
        <w:t xml:space="preserve">    </w:t>
      </w:r>
      <w:r>
        <w:rPr>
          <w:rFonts w:hint="eastAsia" w:ascii="宋体" w:hAnsi="宋体" w:eastAsia="宋体" w:cs="宋体"/>
          <w:bCs/>
          <w:kern w:val="2"/>
          <w:szCs w:val="21"/>
        </w:rPr>
        <w:t>份，乙方持有</w:t>
      </w:r>
      <w:r>
        <w:rPr>
          <w:rFonts w:hint="eastAsia" w:ascii="宋体" w:hAnsi="宋体" w:eastAsia="宋体" w:cs="宋体"/>
          <w:bCs/>
          <w:kern w:val="2"/>
          <w:szCs w:val="21"/>
          <w:u w:val="single"/>
        </w:rPr>
        <w:t xml:space="preserve">   </w:t>
      </w:r>
      <w:r>
        <w:rPr>
          <w:rFonts w:hint="eastAsia" w:ascii="宋体" w:hAnsi="宋体" w:eastAsia="宋体" w:cs="宋体"/>
          <w:bCs/>
          <w:kern w:val="2"/>
          <w:szCs w:val="21"/>
        </w:rPr>
        <w:t>份，均具有同等法律效力。</w:t>
      </w:r>
    </w:p>
    <w:p w14:paraId="255B8791">
      <w:pPr>
        <w:widowControl w:val="0"/>
        <w:spacing w:line="360" w:lineRule="auto"/>
        <w:jc w:val="both"/>
        <w:rPr>
          <w:rFonts w:ascii="宋体" w:hAnsi="宋体" w:eastAsia="宋体" w:cs="宋体"/>
          <w:bCs/>
          <w:kern w:val="2"/>
          <w:szCs w:val="21"/>
        </w:rPr>
      </w:pPr>
      <w:r>
        <w:rPr>
          <w:rFonts w:hint="eastAsia" w:ascii="宋体" w:hAnsi="宋体" w:eastAsia="宋体" w:cs="宋体"/>
          <w:bCs/>
          <w:kern w:val="2"/>
          <w:szCs w:val="21"/>
        </w:rPr>
        <w:t>附件：</w:t>
      </w:r>
    </w:p>
    <w:p w14:paraId="3F807AE2">
      <w:pPr>
        <w:widowControl w:val="0"/>
        <w:spacing w:line="360" w:lineRule="auto"/>
        <w:jc w:val="both"/>
        <w:rPr>
          <w:rFonts w:ascii="宋体" w:hAnsi="宋体" w:eastAsia="宋体" w:cs="宋体"/>
          <w:bCs/>
          <w:kern w:val="2"/>
          <w:szCs w:val="21"/>
        </w:rPr>
      </w:pPr>
      <w:r>
        <w:rPr>
          <w:rFonts w:hint="eastAsia" w:ascii="宋体" w:hAnsi="宋体" w:eastAsia="宋体" w:cs="宋体"/>
          <w:szCs w:val="21"/>
          <w:lang w:bidi="ar"/>
        </w:rPr>
        <w:sym w:font="Wingdings 2" w:char="00A3"/>
      </w:r>
      <w:r>
        <w:rPr>
          <w:rFonts w:hint="eastAsia" w:ascii="宋体" w:hAnsi="宋体" w:eastAsia="宋体" w:cs="宋体"/>
          <w:szCs w:val="21"/>
          <w:lang w:bidi="ar"/>
        </w:rPr>
        <w:t>货物明细</w:t>
      </w:r>
    </w:p>
    <w:p w14:paraId="3FF4DF5E">
      <w:pPr>
        <w:keepNext/>
        <w:keepLines/>
        <w:widowControl w:val="0"/>
        <w:spacing w:before="260" w:after="260" w:line="360" w:lineRule="auto"/>
        <w:jc w:val="both"/>
        <w:outlineLvl w:val="1"/>
        <w:rPr>
          <w:rFonts w:ascii="宋体" w:hAnsi="宋体" w:eastAsia="宋体" w:cs="宋体"/>
          <w:szCs w:val="21"/>
          <w:lang w:bidi="ar"/>
        </w:rPr>
      </w:pPr>
      <w:bookmarkStart w:id="335" w:name="_Toc26390"/>
      <w:r>
        <w:rPr>
          <w:rFonts w:hint="eastAsia" w:ascii="宋体" w:hAnsi="宋体" w:eastAsia="宋体" w:cs="宋体"/>
          <w:szCs w:val="21"/>
          <w:lang w:bidi="ar"/>
        </w:rPr>
        <w:sym w:font="Wingdings 2" w:char="00A3"/>
      </w:r>
      <w:r>
        <w:rPr>
          <w:rFonts w:hint="eastAsia" w:ascii="宋体" w:hAnsi="宋体" w:eastAsia="宋体" w:cs="宋体"/>
          <w:szCs w:val="21"/>
          <w:lang w:bidi="ar"/>
        </w:rPr>
        <w:t>货物技术参数</w:t>
      </w:r>
      <w:bookmarkEnd w:id="335"/>
    </w:p>
    <w:p w14:paraId="690195AC">
      <w:pPr>
        <w:widowControl w:val="0"/>
        <w:jc w:val="both"/>
        <w:rPr>
          <w:rFonts w:ascii="宋体" w:hAnsi="宋体" w:eastAsia="宋体" w:cs="宋体"/>
          <w:szCs w:val="21"/>
          <w:lang w:bidi="ar"/>
        </w:rPr>
      </w:pPr>
    </w:p>
    <w:p w14:paraId="5A2A78E6">
      <w:pPr>
        <w:widowControl w:val="0"/>
        <w:spacing w:line="360" w:lineRule="auto"/>
        <w:ind w:firstLine="420"/>
        <w:jc w:val="both"/>
        <w:rPr>
          <w:rFonts w:ascii="宋体" w:hAnsi="宋体" w:eastAsia="宋体" w:cs="宋体"/>
          <w:bCs/>
          <w:kern w:val="2"/>
          <w:szCs w:val="21"/>
        </w:rPr>
      </w:pPr>
      <w:r>
        <w:rPr>
          <w:rFonts w:hint="eastAsia" w:ascii="宋体" w:hAnsi="宋体" w:eastAsia="宋体" w:cs="宋体"/>
          <w:bCs/>
          <w:kern w:val="2"/>
          <w:szCs w:val="21"/>
        </w:rPr>
        <w:t>（以下无正文）</w:t>
      </w:r>
    </w:p>
    <w:p w14:paraId="55E213EE">
      <w:pPr>
        <w:widowControl w:val="0"/>
        <w:spacing w:line="360" w:lineRule="auto"/>
        <w:jc w:val="both"/>
        <w:rPr>
          <w:rFonts w:hint="eastAsia" w:ascii="宋体" w:hAnsi="宋体" w:eastAsia="宋体" w:cs="宋体"/>
          <w:kern w:val="2"/>
          <w:sz w:val="24"/>
          <w:szCs w:val="24"/>
        </w:rPr>
      </w:pPr>
    </w:p>
    <w:p w14:paraId="71D00E8F">
      <w:pPr>
        <w:widowControl w:val="0"/>
        <w:spacing w:line="360" w:lineRule="auto"/>
        <w:jc w:val="both"/>
        <w:rPr>
          <w:rFonts w:hint="eastAsia" w:ascii="宋体" w:hAnsi="宋体" w:eastAsia="宋体" w:cs="宋体"/>
          <w:kern w:val="2"/>
          <w:sz w:val="24"/>
          <w:szCs w:val="24"/>
        </w:rPr>
      </w:pPr>
    </w:p>
    <w:p w14:paraId="2587BBDA">
      <w:pPr>
        <w:widowControl w:val="0"/>
        <w:spacing w:line="360" w:lineRule="auto"/>
        <w:jc w:val="both"/>
        <w:rPr>
          <w:rFonts w:hint="eastAsia" w:ascii="宋体" w:hAnsi="宋体" w:eastAsia="宋体" w:cs="宋体"/>
          <w:kern w:val="2"/>
          <w:sz w:val="24"/>
          <w:szCs w:val="24"/>
        </w:rPr>
      </w:pPr>
    </w:p>
    <w:p w14:paraId="5484B3DA">
      <w:pPr>
        <w:widowControl w:val="0"/>
        <w:spacing w:line="360" w:lineRule="auto"/>
        <w:jc w:val="both"/>
        <w:rPr>
          <w:rFonts w:hint="eastAsia" w:ascii="宋体" w:hAnsi="宋体" w:eastAsia="宋体" w:cs="宋体"/>
          <w:kern w:val="2"/>
          <w:sz w:val="24"/>
          <w:szCs w:val="24"/>
        </w:rPr>
      </w:pPr>
    </w:p>
    <w:p w14:paraId="2F165319">
      <w:pPr>
        <w:widowControl w:val="0"/>
        <w:spacing w:line="360" w:lineRule="auto"/>
        <w:jc w:val="both"/>
        <w:rPr>
          <w:rFonts w:hint="eastAsia" w:ascii="宋体" w:hAnsi="宋体" w:eastAsia="宋体" w:cs="宋体"/>
          <w:kern w:val="2"/>
          <w:sz w:val="24"/>
          <w:szCs w:val="24"/>
        </w:rPr>
      </w:pPr>
    </w:p>
    <w:p w14:paraId="1F403349">
      <w:pPr>
        <w:widowControl w:val="0"/>
        <w:spacing w:line="360" w:lineRule="auto"/>
        <w:jc w:val="both"/>
        <w:rPr>
          <w:rFonts w:hint="eastAsia" w:ascii="宋体" w:hAnsi="宋体" w:eastAsia="宋体" w:cs="宋体"/>
          <w:kern w:val="2"/>
          <w:sz w:val="24"/>
          <w:szCs w:val="24"/>
        </w:rPr>
      </w:pPr>
    </w:p>
    <w:p w14:paraId="276FE3C6">
      <w:pPr>
        <w:widowControl w:val="0"/>
        <w:spacing w:line="360" w:lineRule="auto"/>
        <w:jc w:val="both"/>
        <w:rPr>
          <w:rFonts w:ascii="宋体" w:hAnsi="宋体" w:eastAsia="宋体" w:cs="宋体"/>
          <w:kern w:val="2"/>
          <w:szCs w:val="24"/>
        </w:rPr>
      </w:pPr>
      <w:r>
        <w:rPr>
          <w:rFonts w:hint="eastAsia" w:ascii="宋体" w:hAnsi="宋体" w:eastAsia="宋体" w:cs="宋体"/>
          <w:kern w:val="2"/>
          <w:sz w:val="24"/>
          <w:szCs w:val="24"/>
        </w:rPr>
        <w:t xml:space="preserve">        　    </w:t>
      </w:r>
    </w:p>
    <w:tbl>
      <w:tblPr>
        <w:tblStyle w:val="39"/>
        <w:tblpPr w:leftFromText="180" w:rightFromText="180" w:vertAnchor="text" w:horzAnchor="page" w:tblpXSpec="center" w:tblpY="465"/>
        <w:tblOverlap w:val="never"/>
        <w:tblW w:w="8831"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415"/>
        <w:gridCol w:w="4416"/>
      </w:tblGrid>
      <w:tr w14:paraId="2812C4F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0269805A">
            <w:pPr>
              <w:widowControl w:val="0"/>
              <w:wordWrap w:val="0"/>
              <w:spacing w:line="360" w:lineRule="auto"/>
              <w:rPr>
                <w:rFonts w:eastAsia="宋体"/>
                <w:kern w:val="2"/>
                <w:sz w:val="24"/>
                <w:szCs w:val="32"/>
              </w:rPr>
            </w:pPr>
            <w:r>
              <w:rPr>
                <w:rFonts w:ascii="宋体" w:hAnsi="宋体" w:eastAsia="宋体" w:cs="宋体"/>
                <w:kern w:val="2"/>
                <w:sz w:val="24"/>
                <w:szCs w:val="32"/>
              </w:rPr>
              <w:t>甲方(</w:t>
            </w:r>
            <w:r>
              <w:rPr>
                <w:rFonts w:hint="eastAsia" w:ascii="宋体" w:hAnsi="宋体" w:eastAsia="宋体" w:cs="宋体"/>
                <w:kern w:val="2"/>
                <w:sz w:val="24"/>
                <w:szCs w:val="32"/>
              </w:rPr>
              <w:t>盖</w:t>
            </w:r>
            <w:r>
              <w:rPr>
                <w:rFonts w:ascii="宋体" w:hAnsi="宋体" w:eastAsia="宋体" w:cs="宋体"/>
                <w:kern w:val="2"/>
                <w:sz w:val="24"/>
                <w:szCs w:val="32"/>
              </w:rPr>
              <w:t>章)：南京中医药大学</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2605C418">
            <w:pPr>
              <w:widowControl w:val="0"/>
              <w:wordWrap w:val="0"/>
              <w:spacing w:line="360" w:lineRule="auto"/>
              <w:rPr>
                <w:rFonts w:eastAsia="宋体"/>
                <w:kern w:val="2"/>
                <w:sz w:val="24"/>
                <w:szCs w:val="32"/>
              </w:rPr>
            </w:pPr>
            <w:r>
              <w:rPr>
                <w:rFonts w:ascii="宋体" w:hAnsi="宋体" w:eastAsia="宋体" w:cs="宋体"/>
                <w:kern w:val="2"/>
                <w:sz w:val="24"/>
                <w:szCs w:val="32"/>
              </w:rPr>
              <w:t>乙方(</w:t>
            </w:r>
            <w:r>
              <w:rPr>
                <w:rFonts w:hint="eastAsia" w:ascii="宋体" w:hAnsi="宋体" w:eastAsia="宋体" w:cs="宋体"/>
                <w:kern w:val="2"/>
                <w:sz w:val="24"/>
                <w:szCs w:val="32"/>
              </w:rPr>
              <w:t>盖</w:t>
            </w:r>
            <w:r>
              <w:rPr>
                <w:rFonts w:ascii="宋体" w:hAnsi="宋体" w:eastAsia="宋体" w:cs="宋体"/>
                <w:kern w:val="2"/>
                <w:sz w:val="24"/>
                <w:szCs w:val="32"/>
              </w:rPr>
              <w:t>章)</w:t>
            </w:r>
            <w:r>
              <w:rPr>
                <w:rFonts w:hint="eastAsia" w:ascii="宋体" w:hAnsi="宋体" w:eastAsia="宋体" w:cs="宋体"/>
                <w:kern w:val="2"/>
                <w:sz w:val="24"/>
                <w:szCs w:val="32"/>
              </w:rPr>
              <w:t>：</w:t>
            </w:r>
          </w:p>
        </w:tc>
      </w:tr>
      <w:tr w14:paraId="7A04104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557" w:hRule="exact"/>
          <w:jc w:val="center"/>
        </w:trPr>
        <w:tc>
          <w:tcPr>
            <w:tcW w:w="4415" w:type="dxa"/>
            <w:tcBorders>
              <w:top w:val="nil"/>
              <w:left w:val="single" w:color="auto" w:sz="6" w:space="0"/>
              <w:bottom w:val="nil"/>
              <w:right w:val="nil"/>
            </w:tcBorders>
            <w:noWrap w:val="0"/>
            <w:tcMar>
              <w:top w:w="20" w:type="dxa"/>
              <w:left w:w="20" w:type="dxa"/>
              <w:bottom w:w="20" w:type="dxa"/>
              <w:right w:w="20" w:type="dxa"/>
            </w:tcMar>
            <w:vAlign w:val="center"/>
          </w:tcPr>
          <w:p w14:paraId="0833E682">
            <w:pPr>
              <w:widowControl w:val="0"/>
              <w:wordWrap w:val="0"/>
              <w:spacing w:line="360" w:lineRule="auto"/>
              <w:jc w:val="both"/>
              <w:rPr>
                <w:rFonts w:eastAsia="宋体"/>
                <w:kern w:val="2"/>
                <w:sz w:val="24"/>
                <w:szCs w:val="32"/>
              </w:rPr>
            </w:pPr>
          </w:p>
        </w:tc>
        <w:tc>
          <w:tcPr>
            <w:tcW w:w="4416"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747E93BF">
            <w:pPr>
              <w:widowControl w:val="0"/>
              <w:wordWrap w:val="0"/>
              <w:spacing w:line="360" w:lineRule="auto"/>
              <w:jc w:val="both"/>
              <w:rPr>
                <w:rFonts w:eastAsia="宋体"/>
                <w:kern w:val="2"/>
                <w:sz w:val="24"/>
                <w:szCs w:val="32"/>
              </w:rPr>
            </w:pPr>
          </w:p>
        </w:tc>
      </w:tr>
      <w:tr w14:paraId="68734F0B">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nil"/>
              <w:left w:val="single" w:color="auto" w:sz="6" w:space="0"/>
              <w:bottom w:val="nil"/>
              <w:right w:val="nil"/>
            </w:tcBorders>
            <w:noWrap w:val="0"/>
            <w:tcMar>
              <w:top w:w="20" w:type="dxa"/>
              <w:left w:w="20" w:type="dxa"/>
              <w:bottom w:w="20" w:type="dxa"/>
              <w:right w:w="20" w:type="dxa"/>
            </w:tcMar>
            <w:vAlign w:val="center"/>
          </w:tcPr>
          <w:p w14:paraId="2372F28B">
            <w:pPr>
              <w:widowControl w:val="0"/>
              <w:wordWrap w:val="0"/>
              <w:spacing w:line="360" w:lineRule="auto"/>
              <w:ind w:firstLine="2880" w:firstLineChars="1200"/>
              <w:rPr>
                <w:rFonts w:eastAsia="宋体"/>
                <w:kern w:val="2"/>
                <w:sz w:val="24"/>
                <w:szCs w:val="32"/>
              </w:rPr>
            </w:pPr>
            <w:r>
              <w:rPr>
                <w:rFonts w:ascii="宋体" w:hAnsi="宋体" w:eastAsia="宋体" w:cs="宋体"/>
                <w:kern w:val="2"/>
                <w:sz w:val="24"/>
                <w:szCs w:val="32"/>
              </w:rPr>
              <w:t>　　</w:t>
            </w:r>
          </w:p>
        </w:tc>
        <w:tc>
          <w:tcPr>
            <w:tcW w:w="4416"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1FEE2993">
            <w:pPr>
              <w:widowControl w:val="0"/>
              <w:wordWrap w:val="0"/>
              <w:spacing w:line="360" w:lineRule="auto"/>
              <w:ind w:firstLine="2880" w:firstLineChars="1200"/>
              <w:rPr>
                <w:rFonts w:eastAsia="宋体"/>
                <w:kern w:val="2"/>
                <w:sz w:val="24"/>
                <w:szCs w:val="32"/>
              </w:rPr>
            </w:pPr>
            <w:r>
              <w:rPr>
                <w:rFonts w:ascii="宋体" w:hAnsi="宋体" w:eastAsia="宋体" w:cs="宋体"/>
                <w:kern w:val="2"/>
                <w:sz w:val="24"/>
                <w:szCs w:val="32"/>
              </w:rPr>
              <w:t>　　</w:t>
            </w:r>
          </w:p>
        </w:tc>
      </w:tr>
      <w:tr w14:paraId="5E85B6B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16C51BD6">
            <w:pPr>
              <w:widowControl w:val="0"/>
              <w:wordWrap w:val="0"/>
              <w:spacing w:line="360" w:lineRule="auto"/>
              <w:rPr>
                <w:rFonts w:eastAsia="宋体"/>
                <w:kern w:val="2"/>
                <w:sz w:val="24"/>
                <w:szCs w:val="32"/>
              </w:rPr>
            </w:pPr>
            <w:r>
              <w:rPr>
                <w:rFonts w:ascii="宋体" w:hAnsi="宋体" w:eastAsia="宋体" w:cs="宋体"/>
                <w:kern w:val="2"/>
                <w:sz w:val="24"/>
                <w:szCs w:val="32"/>
              </w:rPr>
              <w:t>单位地址：南京仙林大学城仙林大道138号</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3DED2455">
            <w:pPr>
              <w:widowControl w:val="0"/>
              <w:wordWrap w:val="0"/>
              <w:spacing w:line="360" w:lineRule="auto"/>
              <w:rPr>
                <w:rFonts w:eastAsia="宋体"/>
                <w:kern w:val="2"/>
                <w:sz w:val="24"/>
                <w:szCs w:val="32"/>
              </w:rPr>
            </w:pPr>
            <w:r>
              <w:rPr>
                <w:rFonts w:ascii="宋体" w:hAnsi="宋体" w:eastAsia="宋体" w:cs="宋体"/>
                <w:kern w:val="2"/>
                <w:sz w:val="24"/>
                <w:szCs w:val="32"/>
              </w:rPr>
              <w:t>单位地址：　　　　　　　　　　　</w:t>
            </w:r>
          </w:p>
        </w:tc>
      </w:tr>
      <w:tr w14:paraId="5BA94FA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074EAF82">
            <w:pPr>
              <w:widowControl w:val="0"/>
              <w:wordWrap w:val="0"/>
              <w:spacing w:line="360" w:lineRule="auto"/>
              <w:rPr>
                <w:rFonts w:eastAsia="宋体"/>
                <w:kern w:val="2"/>
                <w:sz w:val="24"/>
                <w:szCs w:val="32"/>
              </w:rPr>
            </w:pPr>
            <w:r>
              <w:rPr>
                <w:rFonts w:ascii="宋体" w:hAnsi="宋体" w:eastAsia="宋体" w:cs="宋体"/>
                <w:kern w:val="2"/>
                <w:sz w:val="24"/>
                <w:szCs w:val="32"/>
              </w:rPr>
              <w:t>法定代表人（或</w:t>
            </w:r>
            <w:r>
              <w:rPr>
                <w:rFonts w:hint="eastAsia" w:ascii="宋体" w:hAnsi="宋体" w:eastAsia="宋体" w:cs="宋体"/>
                <w:kern w:val="2"/>
                <w:sz w:val="24"/>
                <w:szCs w:val="32"/>
              </w:rPr>
              <w:t>授权代表</w:t>
            </w:r>
            <w:r>
              <w:rPr>
                <w:rFonts w:ascii="宋体" w:hAnsi="宋体" w:eastAsia="宋体" w:cs="宋体"/>
                <w:kern w:val="2"/>
                <w:sz w:val="24"/>
                <w:szCs w:val="32"/>
              </w:rPr>
              <w:t>）</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183C1938">
            <w:pPr>
              <w:widowControl w:val="0"/>
              <w:wordWrap w:val="0"/>
              <w:spacing w:line="360" w:lineRule="auto"/>
              <w:rPr>
                <w:rFonts w:eastAsia="宋体"/>
                <w:kern w:val="2"/>
                <w:sz w:val="24"/>
                <w:szCs w:val="32"/>
              </w:rPr>
            </w:pPr>
            <w:r>
              <w:rPr>
                <w:rFonts w:ascii="宋体" w:hAnsi="宋体" w:eastAsia="宋体" w:cs="宋体"/>
                <w:kern w:val="2"/>
                <w:sz w:val="24"/>
                <w:szCs w:val="32"/>
              </w:rPr>
              <w:t>法定代表人（或</w:t>
            </w:r>
            <w:r>
              <w:rPr>
                <w:rFonts w:hint="eastAsia" w:ascii="宋体" w:hAnsi="宋体" w:eastAsia="宋体" w:cs="宋体"/>
                <w:kern w:val="2"/>
                <w:sz w:val="24"/>
                <w:szCs w:val="32"/>
              </w:rPr>
              <w:t>授权代表</w:t>
            </w:r>
            <w:r>
              <w:rPr>
                <w:rFonts w:ascii="宋体" w:hAnsi="宋体" w:eastAsia="宋体" w:cs="宋体"/>
                <w:kern w:val="2"/>
                <w:sz w:val="24"/>
                <w:szCs w:val="32"/>
              </w:rPr>
              <w:t>）</w:t>
            </w:r>
          </w:p>
        </w:tc>
      </w:tr>
      <w:tr w14:paraId="70C82F39">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30" w:hRule="atLeast"/>
          <w:jc w:val="center"/>
        </w:trPr>
        <w:tc>
          <w:tcPr>
            <w:tcW w:w="4415" w:type="dxa"/>
            <w:tcBorders>
              <w:top w:val="nil"/>
              <w:left w:val="single" w:color="auto" w:sz="6" w:space="0"/>
              <w:bottom w:val="nil"/>
              <w:right w:val="nil"/>
            </w:tcBorders>
            <w:noWrap w:val="0"/>
            <w:tcMar>
              <w:top w:w="20" w:type="dxa"/>
              <w:left w:w="20" w:type="dxa"/>
              <w:bottom w:w="20" w:type="dxa"/>
              <w:right w:w="20" w:type="dxa"/>
            </w:tcMar>
            <w:vAlign w:val="center"/>
          </w:tcPr>
          <w:p w14:paraId="327BD6B5">
            <w:pPr>
              <w:widowControl w:val="0"/>
              <w:wordWrap w:val="0"/>
              <w:spacing w:line="360" w:lineRule="auto"/>
              <w:rPr>
                <w:rFonts w:ascii="宋体" w:hAnsi="宋体" w:eastAsia="宋体" w:cs="宋体"/>
                <w:kern w:val="2"/>
                <w:sz w:val="24"/>
                <w:szCs w:val="32"/>
              </w:rPr>
            </w:pPr>
            <w:r>
              <w:rPr>
                <w:rFonts w:ascii="宋体" w:hAnsi="宋体" w:eastAsia="宋体" w:cs="宋体"/>
                <w:kern w:val="2"/>
                <w:sz w:val="24"/>
                <w:szCs w:val="32"/>
              </w:rPr>
              <w:t>（签</w:t>
            </w:r>
            <w:r>
              <w:rPr>
                <w:rFonts w:hint="eastAsia" w:ascii="宋体" w:hAnsi="宋体" w:eastAsia="宋体" w:cs="宋体"/>
                <w:kern w:val="2"/>
                <w:sz w:val="24"/>
                <w:szCs w:val="32"/>
              </w:rPr>
              <w:t>名</w:t>
            </w:r>
            <w:r>
              <w:rPr>
                <w:rFonts w:ascii="宋体" w:hAnsi="宋体" w:eastAsia="宋体" w:cs="宋体"/>
                <w:kern w:val="2"/>
                <w:sz w:val="24"/>
                <w:szCs w:val="32"/>
              </w:rPr>
              <w:t>）：</w:t>
            </w:r>
          </w:p>
          <w:p w14:paraId="40E9D437">
            <w:pPr>
              <w:widowControl w:val="0"/>
              <w:wordWrap w:val="0"/>
              <w:spacing w:line="360" w:lineRule="auto"/>
              <w:jc w:val="right"/>
              <w:rPr>
                <w:rFonts w:ascii="宋体" w:hAnsi="宋体" w:eastAsia="宋体" w:cs="宋体"/>
                <w:kern w:val="2"/>
                <w:sz w:val="24"/>
                <w:szCs w:val="32"/>
              </w:rPr>
            </w:pPr>
            <w:r>
              <w:rPr>
                <w:rFonts w:ascii="宋体" w:hAnsi="宋体" w:eastAsia="宋体" w:cs="宋体"/>
                <w:kern w:val="2"/>
                <w:sz w:val="24"/>
                <w:szCs w:val="32"/>
              </w:rPr>
              <w:t>年　月　日</w:t>
            </w:r>
          </w:p>
        </w:tc>
        <w:tc>
          <w:tcPr>
            <w:tcW w:w="4416"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41E23069">
            <w:pPr>
              <w:widowControl w:val="0"/>
              <w:wordWrap w:val="0"/>
              <w:spacing w:line="360" w:lineRule="auto"/>
              <w:rPr>
                <w:rFonts w:ascii="宋体" w:hAnsi="宋体" w:eastAsia="宋体" w:cs="宋体"/>
                <w:kern w:val="2"/>
                <w:sz w:val="24"/>
                <w:szCs w:val="32"/>
              </w:rPr>
            </w:pPr>
            <w:r>
              <w:rPr>
                <w:rFonts w:ascii="宋体" w:hAnsi="宋体" w:eastAsia="宋体" w:cs="宋体"/>
                <w:kern w:val="2"/>
                <w:sz w:val="24"/>
                <w:szCs w:val="32"/>
              </w:rPr>
              <w:t>（签</w:t>
            </w:r>
            <w:r>
              <w:rPr>
                <w:rFonts w:hint="eastAsia" w:ascii="宋体" w:hAnsi="宋体" w:eastAsia="宋体" w:cs="宋体"/>
                <w:kern w:val="2"/>
                <w:sz w:val="24"/>
                <w:szCs w:val="32"/>
              </w:rPr>
              <w:t>名</w:t>
            </w:r>
            <w:r>
              <w:rPr>
                <w:rFonts w:ascii="宋体" w:hAnsi="宋体" w:eastAsia="宋体" w:cs="宋体"/>
                <w:kern w:val="2"/>
                <w:sz w:val="24"/>
                <w:szCs w:val="32"/>
              </w:rPr>
              <w:t>）：</w:t>
            </w:r>
          </w:p>
          <w:p w14:paraId="17AC3E7A">
            <w:pPr>
              <w:widowControl w:val="0"/>
              <w:wordWrap w:val="0"/>
              <w:spacing w:line="360" w:lineRule="auto"/>
              <w:jc w:val="right"/>
              <w:rPr>
                <w:rFonts w:ascii="宋体" w:hAnsi="宋体" w:eastAsia="宋体" w:cs="宋体"/>
                <w:kern w:val="2"/>
                <w:sz w:val="24"/>
                <w:szCs w:val="32"/>
              </w:rPr>
            </w:pPr>
            <w:r>
              <w:rPr>
                <w:rFonts w:ascii="宋体" w:hAnsi="宋体" w:eastAsia="宋体" w:cs="宋体"/>
                <w:kern w:val="2"/>
                <w:sz w:val="24"/>
                <w:szCs w:val="32"/>
              </w:rPr>
              <w:t>年　月　日</w:t>
            </w:r>
          </w:p>
        </w:tc>
      </w:tr>
      <w:tr w14:paraId="5737560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6A68AF0E">
            <w:pPr>
              <w:widowControl w:val="0"/>
              <w:wordWrap w:val="0"/>
              <w:spacing w:line="360" w:lineRule="auto"/>
              <w:rPr>
                <w:rFonts w:eastAsia="宋体"/>
                <w:kern w:val="2"/>
                <w:sz w:val="24"/>
                <w:szCs w:val="32"/>
              </w:rPr>
            </w:pPr>
            <w:r>
              <w:rPr>
                <w:rFonts w:ascii="宋体" w:hAnsi="宋体" w:eastAsia="宋体" w:cs="宋体"/>
                <w:kern w:val="2"/>
                <w:sz w:val="24"/>
                <w:szCs w:val="32"/>
              </w:rPr>
              <w:t>电话：　　　　　　</w:t>
            </w:r>
          </w:p>
        </w:tc>
        <w:tc>
          <w:tcPr>
            <w:tcW w:w="4416"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5D36E3CB">
            <w:pPr>
              <w:widowControl w:val="0"/>
              <w:wordWrap w:val="0"/>
              <w:spacing w:line="360" w:lineRule="auto"/>
              <w:rPr>
                <w:rFonts w:eastAsia="宋体"/>
                <w:kern w:val="2"/>
                <w:sz w:val="24"/>
                <w:szCs w:val="32"/>
              </w:rPr>
            </w:pPr>
            <w:r>
              <w:rPr>
                <w:rFonts w:ascii="宋体" w:hAnsi="宋体" w:eastAsia="宋体" w:cs="宋体"/>
                <w:kern w:val="2"/>
                <w:sz w:val="24"/>
                <w:szCs w:val="32"/>
              </w:rPr>
              <w:t>电话：　　　　　　</w:t>
            </w:r>
          </w:p>
        </w:tc>
      </w:tr>
      <w:tr w14:paraId="2486875C">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390" w:hRule="atLeast"/>
          <w:jc w:val="center"/>
        </w:trPr>
        <w:tc>
          <w:tcPr>
            <w:tcW w:w="4415" w:type="dxa"/>
            <w:tcBorders>
              <w:top w:val="single" w:color="auto" w:sz="6" w:space="0"/>
              <w:left w:val="single" w:color="auto" w:sz="6" w:space="0"/>
              <w:bottom w:val="single" w:color="auto" w:sz="6" w:space="0"/>
              <w:right w:val="nil"/>
            </w:tcBorders>
            <w:noWrap w:val="0"/>
            <w:tcMar>
              <w:top w:w="20" w:type="dxa"/>
              <w:left w:w="20" w:type="dxa"/>
              <w:bottom w:w="20" w:type="dxa"/>
              <w:right w:w="20" w:type="dxa"/>
            </w:tcMar>
            <w:vAlign w:val="center"/>
          </w:tcPr>
          <w:p w14:paraId="731B5857">
            <w:pPr>
              <w:widowControl w:val="0"/>
              <w:wordWrap w:val="0"/>
              <w:spacing w:line="360" w:lineRule="auto"/>
              <w:rPr>
                <w:rFonts w:eastAsia="宋体"/>
                <w:kern w:val="2"/>
                <w:sz w:val="24"/>
                <w:szCs w:val="32"/>
              </w:rPr>
            </w:pPr>
            <w:r>
              <w:rPr>
                <w:rFonts w:ascii="宋体" w:hAnsi="宋体" w:eastAsia="宋体" w:cs="宋体"/>
                <w:kern w:val="2"/>
                <w:sz w:val="24"/>
                <w:szCs w:val="32"/>
              </w:rPr>
              <w:t>邮政编码：21</w:t>
            </w:r>
            <w:r>
              <w:rPr>
                <w:rFonts w:hint="eastAsia" w:ascii="宋体" w:hAnsi="宋体" w:eastAsia="宋体" w:cs="宋体"/>
                <w:kern w:val="2"/>
                <w:sz w:val="24"/>
                <w:szCs w:val="32"/>
              </w:rPr>
              <w:t>0000</w:t>
            </w:r>
          </w:p>
        </w:tc>
        <w:tc>
          <w:tcPr>
            <w:tcW w:w="4416" w:type="dxa"/>
            <w:tcBorders>
              <w:top w:val="single" w:color="auto" w:sz="6" w:space="0"/>
              <w:left w:val="single" w:color="auto" w:sz="6" w:space="0"/>
              <w:bottom w:val="single" w:color="auto" w:sz="6" w:space="0"/>
              <w:right w:val="single" w:color="auto" w:sz="6" w:space="0"/>
            </w:tcBorders>
            <w:noWrap w:val="0"/>
            <w:tcMar>
              <w:top w:w="20" w:type="dxa"/>
              <w:left w:w="20" w:type="dxa"/>
              <w:bottom w:w="20" w:type="dxa"/>
              <w:right w:w="20" w:type="dxa"/>
            </w:tcMar>
            <w:vAlign w:val="center"/>
          </w:tcPr>
          <w:p w14:paraId="73E1B09A">
            <w:pPr>
              <w:widowControl w:val="0"/>
              <w:wordWrap w:val="0"/>
              <w:spacing w:line="360" w:lineRule="auto"/>
              <w:rPr>
                <w:rFonts w:eastAsia="宋体"/>
                <w:kern w:val="2"/>
                <w:sz w:val="24"/>
                <w:szCs w:val="32"/>
              </w:rPr>
            </w:pPr>
            <w:r>
              <w:rPr>
                <w:rFonts w:ascii="宋体" w:hAnsi="宋体" w:eastAsia="宋体" w:cs="宋体"/>
                <w:kern w:val="2"/>
                <w:sz w:val="24"/>
                <w:szCs w:val="32"/>
              </w:rPr>
              <w:t>邮政编码：　　　　　　</w:t>
            </w:r>
          </w:p>
        </w:tc>
      </w:tr>
    </w:tbl>
    <w:p w14:paraId="66877A75">
      <w:pPr>
        <w:widowControl w:val="0"/>
        <w:spacing w:before="240" w:after="60"/>
        <w:jc w:val="center"/>
        <w:outlineLvl w:val="0"/>
        <w:rPr>
          <w:rFonts w:hint="eastAsia" w:ascii="宋体" w:hAnsi="宋体" w:eastAsia="宋体"/>
          <w:b/>
          <w:kern w:val="2"/>
          <w:sz w:val="36"/>
          <w:szCs w:val="36"/>
        </w:rPr>
      </w:pPr>
    </w:p>
    <w:p w14:paraId="15B57AA5">
      <w:pPr>
        <w:widowControl w:val="0"/>
        <w:spacing w:before="240" w:after="60"/>
        <w:jc w:val="center"/>
        <w:outlineLvl w:val="0"/>
        <w:rPr>
          <w:rFonts w:hint="eastAsia" w:ascii="宋体" w:hAnsi="宋体" w:eastAsia="宋体"/>
          <w:b/>
          <w:kern w:val="2"/>
          <w:sz w:val="36"/>
          <w:szCs w:val="36"/>
        </w:rPr>
      </w:pPr>
    </w:p>
    <w:p w14:paraId="34194F60">
      <w:pPr>
        <w:widowControl w:val="0"/>
        <w:spacing w:before="240" w:after="60"/>
        <w:jc w:val="center"/>
        <w:outlineLvl w:val="0"/>
        <w:rPr>
          <w:rFonts w:hint="eastAsia" w:ascii="宋体" w:hAnsi="宋体" w:eastAsia="宋体"/>
          <w:b/>
          <w:kern w:val="2"/>
          <w:sz w:val="36"/>
          <w:szCs w:val="36"/>
        </w:rPr>
      </w:pPr>
    </w:p>
    <w:p w14:paraId="26D2A2C0">
      <w:pPr>
        <w:widowControl w:val="0"/>
        <w:spacing w:before="240" w:after="60"/>
        <w:jc w:val="center"/>
        <w:outlineLvl w:val="0"/>
        <w:rPr>
          <w:rFonts w:hint="eastAsia" w:ascii="宋体" w:hAnsi="宋体" w:eastAsia="宋体"/>
          <w:b/>
          <w:kern w:val="2"/>
          <w:sz w:val="36"/>
          <w:szCs w:val="36"/>
        </w:rPr>
      </w:pPr>
    </w:p>
    <w:p w14:paraId="1963668B">
      <w:pPr>
        <w:widowControl w:val="0"/>
        <w:spacing w:before="240" w:after="60"/>
        <w:jc w:val="center"/>
        <w:outlineLvl w:val="0"/>
        <w:rPr>
          <w:rFonts w:hint="eastAsia" w:ascii="宋体" w:hAnsi="宋体" w:eastAsia="宋体"/>
          <w:b/>
          <w:kern w:val="2"/>
          <w:sz w:val="36"/>
          <w:szCs w:val="36"/>
        </w:rPr>
      </w:pPr>
    </w:p>
    <w:p w14:paraId="66FDFD36">
      <w:pPr>
        <w:widowControl w:val="0"/>
        <w:spacing w:before="240" w:after="60"/>
        <w:jc w:val="center"/>
        <w:outlineLvl w:val="0"/>
        <w:rPr>
          <w:rFonts w:hint="eastAsia" w:ascii="宋体" w:hAnsi="宋体" w:eastAsia="宋体"/>
          <w:b/>
          <w:kern w:val="2"/>
          <w:sz w:val="36"/>
          <w:szCs w:val="36"/>
        </w:rPr>
      </w:pPr>
    </w:p>
    <w:p w14:paraId="670A921E">
      <w:pPr>
        <w:widowControl w:val="0"/>
        <w:spacing w:before="240" w:after="60"/>
        <w:jc w:val="center"/>
        <w:outlineLvl w:val="0"/>
        <w:rPr>
          <w:rFonts w:hint="eastAsia" w:ascii="宋体" w:hAnsi="宋体" w:eastAsia="宋体"/>
          <w:b/>
          <w:kern w:val="2"/>
          <w:sz w:val="36"/>
          <w:szCs w:val="36"/>
        </w:rPr>
      </w:pPr>
    </w:p>
    <w:p w14:paraId="4845AFCF">
      <w:pPr>
        <w:widowControl w:val="0"/>
        <w:spacing w:before="240" w:after="60"/>
        <w:jc w:val="both"/>
        <w:outlineLvl w:val="0"/>
        <w:rPr>
          <w:rFonts w:hint="eastAsia" w:ascii="宋体" w:hAnsi="宋体" w:eastAsia="宋体"/>
          <w:b/>
          <w:kern w:val="2"/>
          <w:sz w:val="36"/>
          <w:szCs w:val="36"/>
        </w:rPr>
      </w:pPr>
    </w:p>
    <w:p w14:paraId="445AC891">
      <w:pPr>
        <w:widowControl w:val="0"/>
        <w:spacing w:before="240" w:after="60"/>
        <w:jc w:val="center"/>
        <w:outlineLvl w:val="0"/>
        <w:rPr>
          <w:rFonts w:ascii="宋体" w:hAnsi="宋体" w:eastAsia="宋体"/>
          <w:b/>
          <w:kern w:val="2"/>
          <w:sz w:val="36"/>
          <w:szCs w:val="36"/>
        </w:rPr>
      </w:pPr>
      <w:bookmarkStart w:id="336" w:name="_Toc10304"/>
      <w:r>
        <w:rPr>
          <w:rFonts w:hint="eastAsia" w:ascii="宋体" w:hAnsi="宋体" w:eastAsia="宋体"/>
          <w:b/>
          <w:kern w:val="2"/>
          <w:sz w:val="36"/>
          <w:szCs w:val="36"/>
        </w:rPr>
        <w:t>南京中医药大学进口设备采购合同</w:t>
      </w:r>
      <w:bookmarkEnd w:id="336"/>
    </w:p>
    <w:p w14:paraId="68C95F2E">
      <w:pPr>
        <w:widowControl w:val="0"/>
        <w:spacing w:line="520" w:lineRule="exact"/>
        <w:jc w:val="both"/>
        <w:rPr>
          <w:rFonts w:ascii="宋体" w:hAnsi="宋体" w:eastAsia="宋体" w:cs="宋体"/>
          <w:b/>
          <w:kern w:val="2"/>
          <w:sz w:val="24"/>
          <w:szCs w:val="24"/>
        </w:rPr>
      </w:pPr>
      <w:r>
        <w:rPr>
          <w:rFonts w:hint="eastAsia" w:ascii="宋体" w:hAnsi="宋体" w:eastAsia="宋体" w:cs="宋体"/>
          <w:b/>
          <w:kern w:val="2"/>
          <w:sz w:val="24"/>
          <w:szCs w:val="24"/>
        </w:rPr>
        <w:t>甲方（需方）：南京中医药大学</w:t>
      </w:r>
    </w:p>
    <w:p w14:paraId="356E5B0D">
      <w:pPr>
        <w:widowControl w:val="0"/>
        <w:spacing w:line="520" w:lineRule="exact"/>
        <w:jc w:val="both"/>
        <w:rPr>
          <w:rFonts w:ascii="宋体" w:hAnsi="宋体" w:eastAsia="宋体" w:cs="宋体"/>
          <w:kern w:val="2"/>
          <w:sz w:val="24"/>
          <w:szCs w:val="24"/>
        </w:rPr>
      </w:pPr>
      <w:r>
        <w:rPr>
          <w:rFonts w:hint="eastAsia" w:ascii="宋体" w:hAnsi="宋体" w:eastAsia="宋体" w:cs="宋体"/>
          <w:kern w:val="2"/>
          <w:sz w:val="24"/>
          <w:szCs w:val="24"/>
        </w:rPr>
        <w:t>法定代表人：</w:t>
      </w:r>
    </w:p>
    <w:p w14:paraId="2C4900D9">
      <w:pPr>
        <w:widowControl w:val="0"/>
        <w:spacing w:line="520" w:lineRule="exact"/>
        <w:jc w:val="both"/>
        <w:rPr>
          <w:rFonts w:ascii="宋体" w:hAnsi="宋体" w:eastAsia="宋体" w:cs="宋体"/>
          <w:b/>
          <w:kern w:val="2"/>
          <w:sz w:val="24"/>
          <w:szCs w:val="24"/>
        </w:rPr>
      </w:pPr>
      <w:r>
        <w:rPr>
          <w:rFonts w:hint="eastAsia" w:ascii="宋体" w:hAnsi="宋体" w:eastAsia="宋体" w:cs="宋体"/>
          <w:b/>
          <w:kern w:val="2"/>
          <w:sz w:val="24"/>
          <w:szCs w:val="24"/>
        </w:rPr>
        <w:t>乙方（供方）：</w:t>
      </w:r>
    </w:p>
    <w:p w14:paraId="5BEC7902">
      <w:pPr>
        <w:widowControl w:val="0"/>
        <w:spacing w:line="520" w:lineRule="exact"/>
        <w:jc w:val="both"/>
        <w:rPr>
          <w:rFonts w:ascii="宋体" w:hAnsi="宋体" w:eastAsia="宋体" w:cs="宋体"/>
          <w:kern w:val="2"/>
          <w:sz w:val="24"/>
          <w:szCs w:val="24"/>
        </w:rPr>
      </w:pPr>
      <w:r>
        <w:rPr>
          <w:rFonts w:hint="eastAsia" w:ascii="宋体" w:hAnsi="宋体" w:eastAsia="宋体" w:cs="宋体"/>
          <w:kern w:val="2"/>
          <w:sz w:val="24"/>
          <w:szCs w:val="24"/>
        </w:rPr>
        <w:t>法定代表人：</w:t>
      </w:r>
    </w:p>
    <w:p w14:paraId="4DB52848">
      <w:pPr>
        <w:widowControl w:val="0"/>
        <w:spacing w:line="520" w:lineRule="exact"/>
        <w:jc w:val="both"/>
        <w:rPr>
          <w:rFonts w:ascii="宋体" w:hAnsi="宋体" w:eastAsia="宋体" w:cs="宋体"/>
          <w:kern w:val="2"/>
          <w:sz w:val="24"/>
          <w:szCs w:val="24"/>
        </w:rPr>
      </w:pPr>
      <w:r>
        <w:rPr>
          <w:rFonts w:hint="eastAsia" w:ascii="宋体" w:hAnsi="宋体" w:eastAsia="宋体" w:cs="宋体"/>
          <w:kern w:val="2"/>
          <w:sz w:val="24"/>
          <w:szCs w:val="24"/>
        </w:rPr>
        <w:t>合同编号：</w:t>
      </w:r>
    </w:p>
    <w:p w14:paraId="543D6141">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经招标（项目编号：</w:t>
      </w:r>
      <w:r>
        <w:rPr>
          <w:rFonts w:hint="eastAsia" w:ascii="宋体" w:hAnsi="宋体" w:eastAsia="宋体" w:cs="宋体"/>
          <w:kern w:val="2"/>
          <w:szCs w:val="21"/>
          <w:u w:val="single"/>
        </w:rPr>
        <w:t xml:space="preserve">          </w:t>
      </w:r>
      <w:r>
        <w:rPr>
          <w:rFonts w:hint="eastAsia" w:ascii="宋体" w:hAnsi="宋体" w:eastAsia="宋体" w:cs="宋体"/>
          <w:kern w:val="2"/>
          <w:szCs w:val="21"/>
        </w:rPr>
        <w:t>），双方同意按照以下条款就</w:t>
      </w:r>
      <w:r>
        <w:rPr>
          <w:rFonts w:hint="eastAsia" w:ascii="宋体" w:hAnsi="宋体" w:eastAsia="宋体" w:cs="宋体"/>
          <w:kern w:val="2"/>
          <w:szCs w:val="21"/>
          <w:u w:val="single"/>
        </w:rPr>
        <w:t xml:space="preserve">        货物</w:t>
      </w:r>
      <w:r>
        <w:rPr>
          <w:rFonts w:hint="eastAsia" w:ascii="宋体" w:hAnsi="宋体" w:eastAsia="宋体" w:cs="宋体"/>
          <w:kern w:val="2"/>
          <w:szCs w:val="21"/>
        </w:rPr>
        <w:t>的买卖签订本合同：</w:t>
      </w:r>
    </w:p>
    <w:p w14:paraId="474C6693">
      <w:pPr>
        <w:widowControl w:val="0"/>
        <w:spacing w:line="360" w:lineRule="auto"/>
        <w:jc w:val="both"/>
        <w:rPr>
          <w:rFonts w:ascii="宋体" w:hAnsi="宋体" w:eastAsia="宋体" w:cs="宋体"/>
          <w:b/>
          <w:bCs/>
          <w:kern w:val="2"/>
          <w:szCs w:val="21"/>
        </w:rPr>
      </w:pPr>
      <w:r>
        <w:rPr>
          <w:rFonts w:hint="eastAsia" w:ascii="宋体" w:hAnsi="宋体" w:eastAsia="宋体" w:cs="宋体"/>
          <w:b/>
          <w:bCs/>
          <w:kern w:val="2"/>
          <w:szCs w:val="21"/>
        </w:rPr>
        <w:t>1.甲方向乙方购买的货物清单和金额</w:t>
      </w:r>
    </w:p>
    <w:tbl>
      <w:tblPr>
        <w:tblStyle w:val="39"/>
        <w:tblW w:w="9755"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108" w:type="dxa"/>
          <w:bottom w:w="0" w:type="dxa"/>
          <w:right w:w="108" w:type="dxa"/>
        </w:tblCellMar>
      </w:tblPr>
      <w:tblGrid>
        <w:gridCol w:w="705"/>
        <w:gridCol w:w="912"/>
        <w:gridCol w:w="492"/>
        <w:gridCol w:w="1332"/>
        <w:gridCol w:w="1025"/>
        <w:gridCol w:w="1528"/>
        <w:gridCol w:w="588"/>
        <w:gridCol w:w="398"/>
        <w:gridCol w:w="1312"/>
        <w:gridCol w:w="1463"/>
      </w:tblGrid>
      <w:tr w14:paraId="43C162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1335" w:hRule="atLeast"/>
        </w:trPr>
        <w:tc>
          <w:tcPr>
            <w:tcW w:w="705" w:type="dxa"/>
            <w:shd w:val="clear" w:color="auto" w:fill="FFFFFF"/>
            <w:noWrap w:val="0"/>
            <w:vAlign w:val="top"/>
          </w:tcPr>
          <w:p w14:paraId="3CA68296">
            <w:pPr>
              <w:widowControl w:val="0"/>
              <w:tabs>
                <w:tab w:val="left" w:pos="795"/>
              </w:tabs>
              <w:spacing w:line="360" w:lineRule="auto"/>
              <w:jc w:val="center"/>
              <w:rPr>
                <w:rFonts w:eastAsia="宋体"/>
                <w:b/>
                <w:bCs/>
                <w:kern w:val="2"/>
                <w:szCs w:val="21"/>
              </w:rPr>
            </w:pPr>
            <w:r>
              <w:rPr>
                <w:rFonts w:hint="eastAsia" w:eastAsia="宋体"/>
                <w:b/>
                <w:bCs/>
                <w:kern w:val="2"/>
                <w:szCs w:val="21"/>
              </w:rPr>
              <w:t>序号</w:t>
            </w:r>
          </w:p>
        </w:tc>
        <w:tc>
          <w:tcPr>
            <w:tcW w:w="912" w:type="dxa"/>
            <w:shd w:val="clear" w:color="auto" w:fill="FFFFFF"/>
            <w:noWrap w:val="0"/>
            <w:vAlign w:val="top"/>
          </w:tcPr>
          <w:p w14:paraId="083F3F9C">
            <w:pPr>
              <w:widowControl w:val="0"/>
              <w:tabs>
                <w:tab w:val="left" w:pos="795"/>
              </w:tabs>
              <w:spacing w:line="360" w:lineRule="auto"/>
              <w:jc w:val="center"/>
              <w:rPr>
                <w:rFonts w:eastAsia="宋体"/>
                <w:b/>
                <w:bCs/>
                <w:kern w:val="2"/>
                <w:szCs w:val="21"/>
              </w:rPr>
            </w:pPr>
            <w:r>
              <w:rPr>
                <w:rFonts w:hint="eastAsia" w:eastAsia="宋体"/>
                <w:b/>
                <w:bCs/>
                <w:kern w:val="2"/>
                <w:szCs w:val="21"/>
              </w:rPr>
              <w:t>产品</w:t>
            </w:r>
          </w:p>
          <w:p w14:paraId="01E17936">
            <w:pPr>
              <w:widowControl w:val="0"/>
              <w:tabs>
                <w:tab w:val="left" w:pos="795"/>
              </w:tabs>
              <w:spacing w:line="360" w:lineRule="auto"/>
              <w:jc w:val="center"/>
              <w:rPr>
                <w:rFonts w:eastAsia="宋体"/>
                <w:b/>
                <w:bCs/>
                <w:kern w:val="2"/>
                <w:szCs w:val="21"/>
              </w:rPr>
            </w:pPr>
            <w:r>
              <w:rPr>
                <w:rFonts w:eastAsia="宋体"/>
                <w:b/>
                <w:bCs/>
                <w:kern w:val="2"/>
                <w:szCs w:val="21"/>
              </w:rPr>
              <w:t>名称</w:t>
            </w:r>
          </w:p>
        </w:tc>
        <w:tc>
          <w:tcPr>
            <w:tcW w:w="492" w:type="dxa"/>
            <w:shd w:val="clear" w:color="auto" w:fill="FFFFFF"/>
            <w:noWrap w:val="0"/>
            <w:vAlign w:val="top"/>
          </w:tcPr>
          <w:p w14:paraId="319B652E">
            <w:pPr>
              <w:widowControl w:val="0"/>
              <w:spacing w:line="360" w:lineRule="auto"/>
              <w:jc w:val="center"/>
              <w:rPr>
                <w:rFonts w:eastAsia="宋体"/>
                <w:b/>
                <w:bCs/>
                <w:kern w:val="2"/>
                <w:szCs w:val="21"/>
              </w:rPr>
            </w:pPr>
            <w:r>
              <w:rPr>
                <w:rFonts w:eastAsia="宋体"/>
                <w:b/>
                <w:bCs/>
                <w:kern w:val="2"/>
                <w:szCs w:val="21"/>
              </w:rPr>
              <w:t>厂家</w:t>
            </w:r>
          </w:p>
        </w:tc>
        <w:tc>
          <w:tcPr>
            <w:tcW w:w="1332" w:type="dxa"/>
            <w:shd w:val="clear" w:color="auto" w:fill="FFFFFF"/>
            <w:noWrap w:val="0"/>
            <w:vAlign w:val="top"/>
          </w:tcPr>
          <w:p w14:paraId="5B5B96E9">
            <w:pPr>
              <w:widowControl w:val="0"/>
              <w:spacing w:line="360" w:lineRule="auto"/>
              <w:jc w:val="center"/>
              <w:rPr>
                <w:rFonts w:eastAsia="宋体"/>
                <w:b/>
                <w:bCs/>
                <w:kern w:val="2"/>
                <w:szCs w:val="21"/>
              </w:rPr>
            </w:pPr>
            <w:r>
              <w:rPr>
                <w:rFonts w:eastAsia="宋体"/>
                <w:b/>
                <w:bCs/>
                <w:kern w:val="2"/>
                <w:szCs w:val="21"/>
              </w:rPr>
              <w:t>型号</w:t>
            </w:r>
          </w:p>
        </w:tc>
        <w:tc>
          <w:tcPr>
            <w:tcW w:w="1025" w:type="dxa"/>
            <w:shd w:val="clear" w:color="auto" w:fill="FFFFFF"/>
            <w:noWrap w:val="0"/>
            <w:vAlign w:val="top"/>
          </w:tcPr>
          <w:p w14:paraId="0B6CFA7D">
            <w:pPr>
              <w:widowControl w:val="0"/>
              <w:spacing w:line="360" w:lineRule="auto"/>
              <w:jc w:val="center"/>
              <w:rPr>
                <w:rFonts w:eastAsia="宋体"/>
                <w:b/>
                <w:bCs/>
                <w:kern w:val="2"/>
                <w:szCs w:val="21"/>
              </w:rPr>
            </w:pPr>
            <w:r>
              <w:rPr>
                <w:rFonts w:eastAsia="宋体"/>
                <w:b/>
                <w:bCs/>
                <w:kern w:val="2"/>
                <w:szCs w:val="21"/>
              </w:rPr>
              <w:t>规格或</w:t>
            </w:r>
          </w:p>
          <w:p w14:paraId="6EFF7F99">
            <w:pPr>
              <w:widowControl w:val="0"/>
              <w:spacing w:line="360" w:lineRule="auto"/>
              <w:jc w:val="center"/>
              <w:rPr>
                <w:rFonts w:eastAsia="宋体"/>
                <w:b/>
                <w:bCs/>
                <w:kern w:val="2"/>
                <w:szCs w:val="21"/>
              </w:rPr>
            </w:pPr>
            <w:r>
              <w:rPr>
                <w:rFonts w:eastAsia="宋体"/>
                <w:b/>
                <w:bCs/>
                <w:kern w:val="2"/>
                <w:szCs w:val="21"/>
              </w:rPr>
              <w:t>描述</w:t>
            </w:r>
          </w:p>
        </w:tc>
        <w:tc>
          <w:tcPr>
            <w:tcW w:w="1528" w:type="dxa"/>
            <w:shd w:val="clear" w:color="auto" w:fill="FFFFFF"/>
            <w:noWrap w:val="0"/>
            <w:vAlign w:val="top"/>
          </w:tcPr>
          <w:p w14:paraId="78324A57">
            <w:pPr>
              <w:widowControl w:val="0"/>
              <w:spacing w:line="360" w:lineRule="auto"/>
              <w:jc w:val="center"/>
              <w:rPr>
                <w:rFonts w:eastAsia="宋体"/>
                <w:b/>
                <w:bCs/>
                <w:kern w:val="2"/>
                <w:szCs w:val="21"/>
              </w:rPr>
            </w:pPr>
            <w:r>
              <w:rPr>
                <w:rFonts w:eastAsia="宋体"/>
                <w:b/>
                <w:bCs/>
                <w:kern w:val="2"/>
                <w:szCs w:val="21"/>
              </w:rPr>
              <w:t>质保期(自安装调试</w:t>
            </w:r>
            <w:r>
              <w:rPr>
                <w:rFonts w:hint="eastAsia" w:eastAsia="宋体"/>
                <w:b/>
                <w:bCs/>
                <w:kern w:val="2"/>
                <w:szCs w:val="21"/>
              </w:rPr>
              <w:t>甲方最终</w:t>
            </w:r>
            <w:r>
              <w:rPr>
                <w:rFonts w:eastAsia="宋体"/>
                <w:b/>
                <w:bCs/>
                <w:kern w:val="2"/>
                <w:szCs w:val="21"/>
              </w:rPr>
              <w:t>验收合格日起)</w:t>
            </w:r>
          </w:p>
        </w:tc>
        <w:tc>
          <w:tcPr>
            <w:tcW w:w="588" w:type="dxa"/>
            <w:shd w:val="clear" w:color="auto" w:fill="FFFFFF"/>
            <w:noWrap w:val="0"/>
            <w:vAlign w:val="top"/>
          </w:tcPr>
          <w:p w14:paraId="62948E9B">
            <w:pPr>
              <w:widowControl w:val="0"/>
              <w:spacing w:line="360" w:lineRule="auto"/>
              <w:jc w:val="center"/>
              <w:rPr>
                <w:rFonts w:eastAsia="宋体"/>
                <w:b/>
                <w:bCs/>
                <w:kern w:val="2"/>
                <w:szCs w:val="21"/>
              </w:rPr>
            </w:pPr>
            <w:r>
              <w:rPr>
                <w:rFonts w:eastAsia="宋体"/>
                <w:b/>
                <w:bCs/>
                <w:kern w:val="2"/>
                <w:szCs w:val="21"/>
              </w:rPr>
              <w:t>数量</w:t>
            </w:r>
          </w:p>
        </w:tc>
        <w:tc>
          <w:tcPr>
            <w:tcW w:w="398" w:type="dxa"/>
            <w:shd w:val="clear" w:color="auto" w:fill="FFFFFF"/>
            <w:noWrap w:val="0"/>
            <w:vAlign w:val="top"/>
          </w:tcPr>
          <w:p w14:paraId="7D7DE96A">
            <w:pPr>
              <w:widowControl w:val="0"/>
              <w:spacing w:line="360" w:lineRule="auto"/>
              <w:jc w:val="center"/>
              <w:rPr>
                <w:rFonts w:eastAsia="宋体"/>
                <w:b/>
                <w:bCs/>
                <w:kern w:val="2"/>
                <w:szCs w:val="21"/>
              </w:rPr>
            </w:pPr>
            <w:r>
              <w:rPr>
                <w:rFonts w:hint="eastAsia" w:eastAsia="宋体"/>
                <w:b/>
                <w:bCs/>
                <w:kern w:val="2"/>
                <w:szCs w:val="21"/>
              </w:rPr>
              <w:t>单位</w:t>
            </w:r>
          </w:p>
        </w:tc>
        <w:tc>
          <w:tcPr>
            <w:tcW w:w="1312" w:type="dxa"/>
            <w:shd w:val="clear" w:color="auto" w:fill="FFFFFF"/>
            <w:noWrap w:val="0"/>
            <w:vAlign w:val="top"/>
          </w:tcPr>
          <w:p w14:paraId="3292D1B4">
            <w:pPr>
              <w:widowControl w:val="0"/>
              <w:spacing w:line="360" w:lineRule="auto"/>
              <w:jc w:val="center"/>
              <w:rPr>
                <w:rFonts w:eastAsia="宋体"/>
                <w:b/>
                <w:bCs/>
                <w:kern w:val="2"/>
                <w:szCs w:val="21"/>
              </w:rPr>
            </w:pPr>
            <w:r>
              <w:rPr>
                <w:rFonts w:eastAsia="宋体"/>
                <w:b/>
                <w:bCs/>
                <w:kern w:val="2"/>
                <w:szCs w:val="21"/>
              </w:rPr>
              <w:t>单价</w:t>
            </w:r>
          </w:p>
          <w:p w14:paraId="71A1E08F">
            <w:pPr>
              <w:widowControl w:val="0"/>
              <w:spacing w:line="360" w:lineRule="auto"/>
              <w:jc w:val="center"/>
              <w:rPr>
                <w:rFonts w:eastAsia="宋体"/>
                <w:b/>
                <w:bCs/>
                <w:kern w:val="2"/>
                <w:szCs w:val="21"/>
              </w:rPr>
            </w:pPr>
            <w:r>
              <w:rPr>
                <w:rFonts w:eastAsia="宋体"/>
                <w:b/>
                <w:bCs/>
                <w:kern w:val="2"/>
                <w:szCs w:val="21"/>
              </w:rPr>
              <w:t>(人民币:元)</w:t>
            </w:r>
          </w:p>
        </w:tc>
        <w:tc>
          <w:tcPr>
            <w:tcW w:w="1463" w:type="dxa"/>
            <w:shd w:val="clear" w:color="auto" w:fill="FFFFFF"/>
            <w:noWrap w:val="0"/>
            <w:vAlign w:val="top"/>
          </w:tcPr>
          <w:p w14:paraId="4C80AF56">
            <w:pPr>
              <w:widowControl w:val="0"/>
              <w:spacing w:line="360" w:lineRule="auto"/>
              <w:jc w:val="center"/>
              <w:rPr>
                <w:rFonts w:eastAsia="宋体"/>
                <w:b/>
                <w:bCs/>
                <w:kern w:val="2"/>
                <w:szCs w:val="21"/>
              </w:rPr>
            </w:pPr>
            <w:r>
              <w:rPr>
                <w:rFonts w:eastAsia="宋体"/>
                <w:b/>
                <w:bCs/>
                <w:kern w:val="2"/>
                <w:szCs w:val="21"/>
              </w:rPr>
              <w:t>总价</w:t>
            </w:r>
          </w:p>
          <w:p w14:paraId="15283CB3">
            <w:pPr>
              <w:widowControl w:val="0"/>
              <w:spacing w:line="360" w:lineRule="auto"/>
              <w:jc w:val="center"/>
              <w:rPr>
                <w:rFonts w:eastAsia="宋体"/>
                <w:b/>
                <w:bCs/>
                <w:kern w:val="2"/>
                <w:szCs w:val="21"/>
              </w:rPr>
            </w:pPr>
            <w:r>
              <w:rPr>
                <w:rFonts w:eastAsia="宋体"/>
                <w:b/>
                <w:bCs/>
                <w:kern w:val="2"/>
                <w:szCs w:val="21"/>
              </w:rPr>
              <w:t>(人民币:元)</w:t>
            </w:r>
          </w:p>
        </w:tc>
      </w:tr>
      <w:tr w14:paraId="5642D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705" w:type="dxa"/>
            <w:shd w:val="clear" w:color="auto" w:fill="FFFFFF"/>
            <w:noWrap w:val="0"/>
            <w:vAlign w:val="top"/>
          </w:tcPr>
          <w:p w14:paraId="040BF2A3">
            <w:pPr>
              <w:widowControl w:val="0"/>
              <w:spacing w:line="360" w:lineRule="auto"/>
              <w:jc w:val="both"/>
              <w:rPr>
                <w:rFonts w:eastAsia="宋体"/>
                <w:b/>
                <w:bCs/>
                <w:kern w:val="2"/>
                <w:szCs w:val="21"/>
              </w:rPr>
            </w:pPr>
          </w:p>
        </w:tc>
        <w:tc>
          <w:tcPr>
            <w:tcW w:w="912" w:type="dxa"/>
            <w:shd w:val="clear" w:color="auto" w:fill="FFFFFF"/>
            <w:noWrap w:val="0"/>
            <w:vAlign w:val="top"/>
          </w:tcPr>
          <w:p w14:paraId="3D7664C3">
            <w:pPr>
              <w:widowControl w:val="0"/>
              <w:spacing w:line="360" w:lineRule="auto"/>
              <w:jc w:val="both"/>
              <w:rPr>
                <w:rFonts w:eastAsia="宋体"/>
                <w:b/>
                <w:bCs/>
                <w:kern w:val="2"/>
                <w:szCs w:val="21"/>
              </w:rPr>
            </w:pPr>
          </w:p>
        </w:tc>
        <w:tc>
          <w:tcPr>
            <w:tcW w:w="492" w:type="dxa"/>
            <w:shd w:val="clear" w:color="auto" w:fill="FFFFFF"/>
            <w:noWrap w:val="0"/>
            <w:vAlign w:val="top"/>
          </w:tcPr>
          <w:p w14:paraId="73B75320">
            <w:pPr>
              <w:widowControl w:val="0"/>
              <w:spacing w:line="360" w:lineRule="auto"/>
              <w:jc w:val="center"/>
              <w:rPr>
                <w:rFonts w:eastAsia="宋体"/>
                <w:b/>
                <w:bCs/>
                <w:kern w:val="2"/>
                <w:szCs w:val="21"/>
              </w:rPr>
            </w:pPr>
          </w:p>
        </w:tc>
        <w:tc>
          <w:tcPr>
            <w:tcW w:w="1332" w:type="dxa"/>
            <w:shd w:val="clear" w:color="auto" w:fill="FFFFFF"/>
            <w:noWrap w:val="0"/>
            <w:vAlign w:val="top"/>
          </w:tcPr>
          <w:p w14:paraId="75CB5590">
            <w:pPr>
              <w:widowControl w:val="0"/>
              <w:spacing w:line="360" w:lineRule="auto"/>
              <w:jc w:val="center"/>
              <w:rPr>
                <w:rFonts w:eastAsia="宋体"/>
                <w:b/>
                <w:bCs/>
                <w:kern w:val="2"/>
                <w:szCs w:val="21"/>
              </w:rPr>
            </w:pPr>
          </w:p>
        </w:tc>
        <w:tc>
          <w:tcPr>
            <w:tcW w:w="1025" w:type="dxa"/>
            <w:shd w:val="clear" w:color="auto" w:fill="FFFFFF"/>
            <w:noWrap w:val="0"/>
            <w:vAlign w:val="top"/>
          </w:tcPr>
          <w:p w14:paraId="15E0DA56">
            <w:pPr>
              <w:widowControl w:val="0"/>
              <w:spacing w:line="360" w:lineRule="auto"/>
              <w:rPr>
                <w:rFonts w:eastAsia="宋体"/>
                <w:b/>
                <w:bCs/>
                <w:kern w:val="2"/>
                <w:szCs w:val="21"/>
              </w:rPr>
            </w:pPr>
          </w:p>
        </w:tc>
        <w:tc>
          <w:tcPr>
            <w:tcW w:w="1528" w:type="dxa"/>
            <w:shd w:val="clear" w:color="auto" w:fill="FFFFFF"/>
            <w:noWrap w:val="0"/>
            <w:vAlign w:val="top"/>
          </w:tcPr>
          <w:p w14:paraId="7EA7DEFD">
            <w:pPr>
              <w:widowControl w:val="0"/>
              <w:spacing w:line="360" w:lineRule="auto"/>
              <w:jc w:val="center"/>
              <w:rPr>
                <w:rFonts w:eastAsia="宋体"/>
                <w:b/>
                <w:bCs/>
                <w:kern w:val="2"/>
                <w:szCs w:val="21"/>
              </w:rPr>
            </w:pPr>
          </w:p>
        </w:tc>
        <w:tc>
          <w:tcPr>
            <w:tcW w:w="588" w:type="dxa"/>
            <w:shd w:val="clear" w:color="auto" w:fill="FFFFFF"/>
            <w:noWrap w:val="0"/>
            <w:vAlign w:val="top"/>
          </w:tcPr>
          <w:p w14:paraId="5886B6C8">
            <w:pPr>
              <w:widowControl w:val="0"/>
              <w:spacing w:line="360" w:lineRule="auto"/>
              <w:jc w:val="center"/>
              <w:rPr>
                <w:rFonts w:eastAsia="宋体"/>
                <w:b/>
                <w:bCs/>
                <w:kern w:val="2"/>
                <w:szCs w:val="21"/>
              </w:rPr>
            </w:pPr>
          </w:p>
        </w:tc>
        <w:tc>
          <w:tcPr>
            <w:tcW w:w="398" w:type="dxa"/>
            <w:shd w:val="clear" w:color="auto" w:fill="FFFFFF"/>
            <w:noWrap w:val="0"/>
            <w:vAlign w:val="top"/>
          </w:tcPr>
          <w:p w14:paraId="587AB3BE">
            <w:pPr>
              <w:widowControl w:val="0"/>
              <w:spacing w:line="360" w:lineRule="auto"/>
              <w:jc w:val="center"/>
              <w:rPr>
                <w:rFonts w:eastAsia="宋体"/>
                <w:b/>
                <w:bCs/>
                <w:kern w:val="2"/>
                <w:szCs w:val="21"/>
              </w:rPr>
            </w:pPr>
          </w:p>
        </w:tc>
        <w:tc>
          <w:tcPr>
            <w:tcW w:w="1312" w:type="dxa"/>
            <w:shd w:val="clear" w:color="auto" w:fill="FFFFFF"/>
            <w:noWrap w:val="0"/>
            <w:vAlign w:val="top"/>
          </w:tcPr>
          <w:p w14:paraId="33D4DFE8">
            <w:pPr>
              <w:widowControl w:val="0"/>
              <w:spacing w:line="360" w:lineRule="auto"/>
              <w:jc w:val="center"/>
              <w:rPr>
                <w:rFonts w:eastAsia="宋体"/>
                <w:b/>
                <w:bCs/>
                <w:kern w:val="2"/>
                <w:szCs w:val="21"/>
              </w:rPr>
            </w:pPr>
          </w:p>
        </w:tc>
        <w:tc>
          <w:tcPr>
            <w:tcW w:w="1463" w:type="dxa"/>
            <w:shd w:val="clear" w:color="auto" w:fill="FFFFFF"/>
            <w:noWrap w:val="0"/>
            <w:vAlign w:val="top"/>
          </w:tcPr>
          <w:p w14:paraId="0C2145C6">
            <w:pPr>
              <w:widowControl w:val="0"/>
              <w:spacing w:line="360" w:lineRule="auto"/>
              <w:jc w:val="center"/>
              <w:rPr>
                <w:rFonts w:eastAsia="宋体"/>
                <w:b/>
                <w:bCs/>
                <w:kern w:val="2"/>
                <w:szCs w:val="21"/>
              </w:rPr>
            </w:pPr>
          </w:p>
        </w:tc>
      </w:tr>
      <w:tr w14:paraId="0271B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452" w:hRule="atLeast"/>
        </w:trPr>
        <w:tc>
          <w:tcPr>
            <w:tcW w:w="1617" w:type="dxa"/>
            <w:gridSpan w:val="2"/>
            <w:shd w:val="clear" w:color="auto" w:fill="FFFFFF"/>
            <w:noWrap w:val="0"/>
            <w:vAlign w:val="top"/>
          </w:tcPr>
          <w:p w14:paraId="3B4A15F4">
            <w:pPr>
              <w:widowControl w:val="0"/>
              <w:spacing w:line="360" w:lineRule="auto"/>
              <w:rPr>
                <w:rFonts w:eastAsia="宋体"/>
                <w:b/>
                <w:bCs/>
                <w:kern w:val="2"/>
                <w:szCs w:val="21"/>
              </w:rPr>
            </w:pPr>
            <w:r>
              <w:rPr>
                <w:rFonts w:hint="eastAsia" w:eastAsia="宋体"/>
                <w:b/>
                <w:bCs/>
                <w:kern w:val="2"/>
                <w:szCs w:val="21"/>
              </w:rPr>
              <w:t>合</w:t>
            </w:r>
            <w:r>
              <w:rPr>
                <w:rFonts w:eastAsia="宋体"/>
                <w:b/>
                <w:bCs/>
                <w:kern w:val="2"/>
                <w:szCs w:val="21"/>
              </w:rPr>
              <w:t>计</w:t>
            </w:r>
          </w:p>
        </w:tc>
        <w:tc>
          <w:tcPr>
            <w:tcW w:w="6675" w:type="dxa"/>
            <w:gridSpan w:val="7"/>
            <w:shd w:val="clear" w:color="auto" w:fill="FFFFFF"/>
            <w:noWrap w:val="0"/>
            <w:vAlign w:val="top"/>
          </w:tcPr>
          <w:p w14:paraId="1FBD9A0F">
            <w:pPr>
              <w:widowControl w:val="0"/>
              <w:spacing w:line="360" w:lineRule="auto"/>
              <w:rPr>
                <w:rFonts w:eastAsia="宋体"/>
                <w:b/>
                <w:bCs/>
                <w:kern w:val="2"/>
                <w:szCs w:val="21"/>
              </w:rPr>
            </w:pPr>
            <w:r>
              <w:rPr>
                <w:rFonts w:ascii="宋体" w:hAnsi="宋体" w:eastAsia="宋体" w:cs="宋体"/>
                <w:kern w:val="2"/>
                <w:szCs w:val="24"/>
              </w:rPr>
              <w:t>人民币：大写</w:t>
            </w:r>
            <w:r>
              <w:rPr>
                <w:rFonts w:ascii="宋体" w:hAnsi="宋体" w:eastAsia="宋体" w:cs="宋体"/>
                <w:kern w:val="2"/>
                <w:szCs w:val="24"/>
                <w:u w:val="single"/>
              </w:rPr>
              <w:t>　　　　　</w:t>
            </w:r>
            <w:r>
              <w:rPr>
                <w:rFonts w:ascii="宋体" w:hAnsi="宋体" w:eastAsia="宋体" w:cs="宋体"/>
                <w:kern w:val="2"/>
                <w:szCs w:val="24"/>
              </w:rPr>
              <w:t xml:space="preserve"> （￥ </w:t>
            </w:r>
            <w:r>
              <w:rPr>
                <w:rFonts w:ascii="宋体" w:hAnsi="宋体" w:eastAsia="宋体" w:cs="宋体"/>
                <w:kern w:val="2"/>
                <w:szCs w:val="24"/>
                <w:u w:val="single"/>
              </w:rPr>
              <w:t>　　　　　</w:t>
            </w:r>
            <w:r>
              <w:rPr>
                <w:rFonts w:ascii="宋体" w:hAnsi="宋体" w:eastAsia="宋体" w:cs="宋体"/>
                <w:kern w:val="2"/>
                <w:szCs w:val="24"/>
              </w:rPr>
              <w:t xml:space="preserve"> 元）</w:t>
            </w:r>
          </w:p>
        </w:tc>
        <w:tc>
          <w:tcPr>
            <w:tcW w:w="1463" w:type="dxa"/>
            <w:shd w:val="clear" w:color="auto" w:fill="FFFFFF"/>
            <w:noWrap w:val="0"/>
            <w:vAlign w:val="top"/>
          </w:tcPr>
          <w:p w14:paraId="71E0C91B">
            <w:pPr>
              <w:widowControl w:val="0"/>
              <w:spacing w:line="360" w:lineRule="auto"/>
              <w:rPr>
                <w:rFonts w:ascii="宋体" w:hAnsi="宋体" w:eastAsia="宋体" w:cs="宋体"/>
                <w:kern w:val="2"/>
                <w:szCs w:val="24"/>
              </w:rPr>
            </w:pPr>
          </w:p>
        </w:tc>
      </w:tr>
      <w:tr w14:paraId="1E9BA0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108" w:type="dxa"/>
            <w:bottom w:w="0" w:type="dxa"/>
            <w:right w:w="108" w:type="dxa"/>
          </w:tblCellMar>
        </w:tblPrEx>
        <w:trPr>
          <w:trHeight w:val="2833" w:hRule="atLeast"/>
        </w:trPr>
        <w:tc>
          <w:tcPr>
            <w:tcW w:w="1617" w:type="dxa"/>
            <w:gridSpan w:val="2"/>
            <w:shd w:val="clear" w:color="auto" w:fill="FFFFFF"/>
            <w:noWrap w:val="0"/>
            <w:vAlign w:val="top"/>
          </w:tcPr>
          <w:p w14:paraId="680B7882">
            <w:pPr>
              <w:widowControl w:val="0"/>
              <w:spacing w:line="360" w:lineRule="auto"/>
              <w:rPr>
                <w:rFonts w:eastAsia="宋体"/>
                <w:b/>
                <w:bCs/>
                <w:kern w:val="2"/>
                <w:szCs w:val="21"/>
              </w:rPr>
            </w:pPr>
            <w:r>
              <w:rPr>
                <w:rFonts w:eastAsia="宋体"/>
                <w:b/>
                <w:bCs/>
                <w:kern w:val="2"/>
                <w:szCs w:val="21"/>
              </w:rPr>
              <w:t>备注</w:t>
            </w:r>
          </w:p>
        </w:tc>
        <w:tc>
          <w:tcPr>
            <w:tcW w:w="8138" w:type="dxa"/>
            <w:gridSpan w:val="8"/>
            <w:shd w:val="clear" w:color="auto" w:fill="FFFFFF"/>
            <w:noWrap w:val="0"/>
            <w:vAlign w:val="top"/>
          </w:tcPr>
          <w:p w14:paraId="751EDF07">
            <w:pPr>
              <w:widowControl w:val="0"/>
              <w:spacing w:line="360" w:lineRule="auto"/>
              <w:rPr>
                <w:rFonts w:eastAsia="宋体"/>
                <w:kern w:val="2"/>
                <w:szCs w:val="21"/>
              </w:rPr>
            </w:pPr>
            <w:r>
              <w:rPr>
                <w:rFonts w:eastAsia="宋体"/>
                <w:kern w:val="2"/>
                <w:szCs w:val="21"/>
              </w:rPr>
              <w:t>本合同总价款是人民币全包价，为全部设备、材料、随设备提供的备品配件及专用工具的价格、全部税金（含增值税等）、包装费、运杂费（运抵甲方指</w:t>
            </w:r>
            <w:r>
              <w:rPr>
                <w:rFonts w:hint="eastAsia" w:eastAsia="宋体"/>
                <w:kern w:val="2"/>
                <w:szCs w:val="21"/>
              </w:rPr>
              <w:t>定</w:t>
            </w:r>
            <w:r>
              <w:rPr>
                <w:rFonts w:eastAsia="宋体"/>
                <w:kern w:val="2"/>
                <w:szCs w:val="21"/>
              </w:rPr>
              <w:t>交货地点）、保险费、安装费、调试费、甲方操作维护人员培训费、验收</w:t>
            </w:r>
            <w:r>
              <w:rPr>
                <w:rFonts w:hint="eastAsia" w:eastAsia="宋体"/>
                <w:kern w:val="2"/>
                <w:szCs w:val="21"/>
              </w:rPr>
              <w:t>检测费、鉴</w:t>
            </w:r>
            <w:r>
              <w:rPr>
                <w:rFonts w:eastAsia="宋体"/>
                <w:kern w:val="2"/>
                <w:szCs w:val="21"/>
              </w:rPr>
              <w:t>定费、外贸代理公司代理服务费</w:t>
            </w:r>
            <w:r>
              <w:rPr>
                <w:rFonts w:hint="eastAsia" w:eastAsia="宋体"/>
                <w:kern w:val="2"/>
                <w:szCs w:val="21"/>
              </w:rPr>
              <w:t>及</w:t>
            </w:r>
            <w:r>
              <w:rPr>
                <w:rFonts w:eastAsia="宋体"/>
                <w:kern w:val="2"/>
                <w:szCs w:val="21"/>
              </w:rPr>
              <w:t>手续费、甲方最终验收合格之前乙方认为需要的其他费用及质保期内备品备件发生的所有含税费用。即除甲方应付合同</w:t>
            </w:r>
            <w:r>
              <w:rPr>
                <w:rFonts w:hint="eastAsia" w:eastAsia="宋体"/>
                <w:kern w:val="2"/>
                <w:szCs w:val="21"/>
              </w:rPr>
              <w:t>款项</w:t>
            </w:r>
            <w:r>
              <w:rPr>
                <w:rFonts w:eastAsia="宋体"/>
                <w:kern w:val="2"/>
                <w:szCs w:val="21"/>
              </w:rPr>
              <w:t>外，甲方取得本合同项下全部货物无需再支付任何费用，所有设备安装实施完毕后就能正常使用。本合同总价款还包含乙方应当提供的伴随服务/售后服务费用。</w:t>
            </w:r>
          </w:p>
        </w:tc>
      </w:tr>
    </w:tbl>
    <w:p w14:paraId="60FA2F3A">
      <w:pPr>
        <w:widowControl w:val="0"/>
        <w:spacing w:line="360" w:lineRule="auto"/>
        <w:jc w:val="both"/>
        <w:rPr>
          <w:rFonts w:ascii="宋体" w:hAnsi="宋体" w:eastAsia="宋体" w:cs="宋体"/>
          <w:szCs w:val="21"/>
        </w:rPr>
      </w:pPr>
      <w:r>
        <w:rPr>
          <w:rFonts w:hint="eastAsia" w:ascii="宋体" w:hAnsi="宋体" w:eastAsia="宋体" w:cs="宋体"/>
          <w:szCs w:val="21"/>
        </w:rPr>
        <w:t xml:space="preserve">    备注：外贸代理公司代理服务费及手续费由《委托代理进口合同》另行约定，乙方承诺已充分考虑相关情况，外贸代理公司代理服务费及手续费已包含在本合同总价款中，乙方不得以任何理由收取额外费用。</w:t>
      </w:r>
    </w:p>
    <w:p w14:paraId="1BC18EEC">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1.1乙方对其所提供货物应当拥有完整物权，货物中的软件产品或货物中所载有的软件系统具有计算机软件著作权登记证书，并且乙方负有保证第三人不得向甲方主张任何权利（包括知识产权）的义务，且乙方所提供的货物必须符合招标文件要求，符合中国国家有关规定和行业通行标准并能够提供货物合格证书；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甲方还保留按有关规定进一步索赔的权利。</w:t>
      </w:r>
    </w:p>
    <w:p w14:paraId="40EE5050">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1.2乙方应根据甲方的要求（包括招标文件和本合同约定要求），严格按照经甲方认可的设计图纸、布局图或作法说明安装调试货物和配套装饰装修，并应在安装和配套装饰装修过程中严格执行施工规范、安全操作规程、防火安全规定、环境保护规定和乙方投标响应文件承诺的项目实施方案等。乙方在作业过程中出现的安全事故，由乙方承担全部责任。安装调试过程中，乙方应无条件负责对现场的一切设施和工程成品进行保护，在不影响安装进度的前提下，无条件配合甲方关于安装时间等安排，在约定时间内文明规范施工，避免对施工区域内正常教学、工作、生活秩序等的不良影响，如因乙方安装、施工不规范或其他违反法律法规的行为造成甲方、甲方师生或其他方财产损失或人身伤害的，则由乙方承担全部损失赔偿责任及其他相关法律责任。安装调试结束后，乙方必须及时完成安装现场及周边环境的恢复清理，确保完工后安装现场及周边环境的整洁美观且无安全隐患，相关费用已包含在本合同总价款中，甲方不再额外支付费用。</w:t>
      </w:r>
    </w:p>
    <w:p w14:paraId="0AB7CFB6">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1.3如因乙方运输、安装、后期维保或产品质量问题而发生事故造成甲方或第三方的人身伤害或财产损失，包括质量责任事故导致甲方被第三方索赔或遭受国家有关部门处罚的，凡经国家认可的技术监督部门或专业检测机构认定是乙方责任的，乙方均应承担全部赔偿责任，包括对甲方及第三方因此蒙受的所有直接或者间接的损失给予赔偿；同时，造成本合同项下及甲方物品损毁的，乙方负责恢复原样，如无法复原则按被损坏物品市场价格1倍向甲方进行赔偿，并向甲方支付合同价</w:t>
      </w:r>
      <w:r>
        <w:rPr>
          <w:rFonts w:hint="eastAsia" w:ascii="楷体_GB2312" w:eastAsia="楷体_GB2312" w:cs="宋体"/>
          <w:szCs w:val="20"/>
          <w:u w:val="single"/>
        </w:rPr>
        <w:t xml:space="preserve">   </w:t>
      </w:r>
      <w:r>
        <w:rPr>
          <w:rFonts w:hint="eastAsia" w:ascii="宋体" w:hAnsi="宋体" w:eastAsia="宋体" w:cs="宋体"/>
          <w:szCs w:val="20"/>
          <w:u w:val="single"/>
        </w:rPr>
        <w:t>%</w:t>
      </w:r>
      <w:r>
        <w:rPr>
          <w:rFonts w:hint="eastAsia" w:ascii="宋体" w:hAnsi="宋体" w:eastAsia="宋体" w:cs="宋体"/>
          <w:szCs w:val="21"/>
        </w:rPr>
        <w:t>的违约金。</w:t>
      </w:r>
    </w:p>
    <w:p w14:paraId="4B8FBC14">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1.4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p>
    <w:p w14:paraId="5B5D3B6E">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1.5本合同货物及相关伴随/售后服务由乙方负责直接向甲方供应，乙方不得分包或转包给他人供应，如存在未经甲方同意的分包或转包行为，甲方有权单方面解除合同，并没收履约保证金，届时乙方还须向甲方支付本合同价款的</w:t>
      </w:r>
      <w:r>
        <w:rPr>
          <w:rFonts w:hint="eastAsia" w:ascii="楷体_GB2312" w:eastAsia="楷体_GB2312" w:cs="宋体"/>
          <w:szCs w:val="20"/>
          <w:u w:val="single"/>
        </w:rPr>
        <w:t xml:space="preserve">   </w:t>
      </w:r>
      <w:r>
        <w:rPr>
          <w:rFonts w:hint="eastAsia" w:ascii="宋体" w:hAnsi="宋体" w:eastAsia="宋体" w:cs="宋体"/>
          <w:szCs w:val="20"/>
          <w:u w:val="single"/>
        </w:rPr>
        <w:t>%</w:t>
      </w:r>
      <w:r>
        <w:rPr>
          <w:rFonts w:hint="eastAsia" w:ascii="宋体" w:hAnsi="宋体" w:eastAsia="宋体" w:cs="宋体"/>
          <w:szCs w:val="21"/>
        </w:rPr>
        <w:t xml:space="preserve">的违约金。若乙方支付的违约金不足以弥补甲方损失的，乙方还须继续承担损失赔偿责任。  </w:t>
      </w:r>
    </w:p>
    <w:p w14:paraId="1465ACC8">
      <w:pPr>
        <w:widowControl w:val="0"/>
        <w:spacing w:line="360" w:lineRule="auto"/>
        <w:ind w:firstLine="422" w:firstLineChars="200"/>
        <w:jc w:val="both"/>
        <w:rPr>
          <w:rFonts w:ascii="宋体" w:hAnsi="宋体" w:eastAsia="宋体" w:cs="宋体"/>
          <w:b/>
          <w:szCs w:val="21"/>
        </w:rPr>
      </w:pPr>
      <w:r>
        <w:rPr>
          <w:rFonts w:hint="eastAsia" w:ascii="宋体" w:hAnsi="宋体" w:eastAsia="宋体" w:cs="宋体"/>
          <w:b/>
          <w:szCs w:val="21"/>
        </w:rPr>
        <w:t>本合同约定条款中乙方的责任承担期限均不受甲方已收货且出具验收确认书的限制。</w:t>
      </w:r>
    </w:p>
    <w:p w14:paraId="69BAD6C2">
      <w:pPr>
        <w:widowControl w:val="0"/>
        <w:spacing w:line="360" w:lineRule="auto"/>
        <w:ind w:firstLine="420" w:firstLineChars="200"/>
        <w:jc w:val="both"/>
        <w:rPr>
          <w:rFonts w:ascii="宋体" w:hAnsi="宋体" w:eastAsia="宋体" w:cs="宋体"/>
          <w:bCs/>
          <w:szCs w:val="21"/>
        </w:rPr>
      </w:pPr>
      <w:r>
        <w:rPr>
          <w:rFonts w:hint="eastAsia" w:ascii="宋体" w:hAnsi="宋体" w:eastAsia="宋体" w:cs="宋体"/>
          <w:bCs/>
          <w:szCs w:val="21"/>
        </w:rPr>
        <w:t>1.6乙方指定【        （电话：      ）】为项目经理，由其全面负责本合同履行过程中与甲方确认到货情况、安排货物安装调试、参与验收、售后服务等事宜，乙方对其项目经理在本合同履行过程中向甲方出具的任何签字文件或材料均予以认可。若乙方前述项目经理发生变化，应及时以书面方式通知甲方。</w:t>
      </w:r>
    </w:p>
    <w:p w14:paraId="18F84EC0">
      <w:pPr>
        <w:widowControl w:val="0"/>
        <w:spacing w:line="360" w:lineRule="auto"/>
        <w:ind w:firstLine="422" w:firstLineChars="200"/>
        <w:jc w:val="both"/>
        <w:rPr>
          <w:rFonts w:ascii="宋体" w:hAnsi="宋体" w:eastAsia="宋体" w:cs="宋体"/>
          <w:b/>
          <w:szCs w:val="21"/>
        </w:rPr>
      </w:pPr>
      <w:r>
        <w:rPr>
          <w:rFonts w:hint="eastAsia" w:ascii="宋体" w:hAnsi="宋体" w:eastAsia="宋体" w:cs="宋体"/>
          <w:b/>
          <w:szCs w:val="21"/>
        </w:rPr>
        <w:t>若本合同项下的进口设备按国家政策不能免税，则乙方应及时告知甲方并由</w:t>
      </w:r>
      <w:r>
        <w:rPr>
          <w:rFonts w:hint="eastAsia" w:ascii="宋体" w:hAnsi="宋体" w:eastAsia="宋体" w:cs="宋体"/>
          <w:b/>
          <w:szCs w:val="21"/>
        </w:rPr>
        <w:sym w:font="Wingdings 2" w:char="00A3"/>
      </w:r>
      <w:r>
        <w:rPr>
          <w:rFonts w:hint="eastAsia" w:ascii="宋体" w:hAnsi="宋体" w:eastAsia="宋体" w:cs="宋体"/>
          <w:b/>
          <w:szCs w:val="21"/>
        </w:rPr>
        <w:t>甲方</w:t>
      </w:r>
      <w:r>
        <w:rPr>
          <w:rFonts w:hint="eastAsia" w:ascii="宋体" w:hAnsi="宋体" w:eastAsia="宋体" w:cs="宋体"/>
          <w:b/>
          <w:szCs w:val="21"/>
        </w:rPr>
        <w:sym w:font="Wingdings 2" w:char="00A3"/>
      </w:r>
      <w:r>
        <w:rPr>
          <w:rFonts w:hint="eastAsia" w:ascii="宋体" w:hAnsi="宋体" w:eastAsia="宋体" w:cs="宋体"/>
          <w:b/>
          <w:szCs w:val="21"/>
        </w:rPr>
        <w:t>乙方承担</w:t>
      </w:r>
      <w:r>
        <w:rPr>
          <w:rFonts w:hint="eastAsia" w:ascii="宋体" w:hAnsi="宋体" w:eastAsia="楷体_GB2312" w:cs="宋体"/>
          <w:sz w:val="32"/>
          <w:szCs w:val="21"/>
          <w:u w:val="single"/>
        </w:rPr>
        <w:t xml:space="preserve">     </w:t>
      </w:r>
      <w:r>
        <w:rPr>
          <w:rFonts w:hint="eastAsia" w:ascii="宋体" w:hAnsi="宋体" w:eastAsia="宋体" w:cs="宋体"/>
          <w:b/>
          <w:szCs w:val="21"/>
        </w:rPr>
        <w:t>税费。</w:t>
      </w:r>
    </w:p>
    <w:p w14:paraId="79B6340B">
      <w:pPr>
        <w:widowControl w:val="0"/>
        <w:spacing w:line="360" w:lineRule="auto"/>
        <w:ind w:firstLine="420" w:firstLineChars="200"/>
        <w:jc w:val="both"/>
        <w:rPr>
          <w:rFonts w:ascii="宋体" w:hAnsi="宋体" w:eastAsia="宋体" w:cs="宋体"/>
          <w:b/>
          <w:kern w:val="2"/>
          <w:szCs w:val="21"/>
        </w:rPr>
      </w:pPr>
      <w:r>
        <w:rPr>
          <w:rFonts w:hint="eastAsia" w:ascii="宋体" w:hAnsi="宋体" w:eastAsia="宋体" w:cs="宋体"/>
          <w:kern w:val="2"/>
          <w:szCs w:val="21"/>
        </w:rPr>
        <w:sym w:font="Wingdings 2" w:char="00A3"/>
      </w:r>
      <w:r>
        <w:rPr>
          <w:rFonts w:hint="eastAsia" w:ascii="宋体" w:hAnsi="宋体" w:eastAsia="宋体" w:cs="宋体"/>
          <w:kern w:val="2"/>
          <w:szCs w:val="21"/>
        </w:rPr>
        <w:t>若甲方需追加采购与本合同标的相同的货物的，在不改变本合同约定的其他条款前提下，可以与乙方协商签订书面补充合同，但所有补充合同的采购金额不得超过本合同总金额的10%，且本合同和补充合同采购金额的合计总额不得超过本项目的采购预算。</w:t>
      </w:r>
    </w:p>
    <w:p w14:paraId="10B22D50">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2.交货时间</w:t>
      </w:r>
    </w:p>
    <w:p w14:paraId="7F1AD509">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乙方应在本合同签订生效后</w:t>
      </w:r>
      <w:r>
        <w:rPr>
          <w:rFonts w:hint="eastAsia" w:ascii="宋体" w:hAnsi="宋体" w:eastAsia="宋体" w:cs="宋体"/>
          <w:kern w:val="2"/>
          <w:szCs w:val="21"/>
          <w:u w:val="single"/>
        </w:rPr>
        <w:t>【 】</w:t>
      </w:r>
      <w:r>
        <w:rPr>
          <w:rFonts w:hint="eastAsia" w:ascii="宋体" w:hAnsi="宋体" w:eastAsia="宋体" w:cs="宋体"/>
          <w:kern w:val="2"/>
          <w:szCs w:val="21"/>
        </w:rPr>
        <w:t>个工作日内向甲方交付本合同条款1中所列的全部货物。</w:t>
      </w:r>
    </w:p>
    <w:p w14:paraId="59FF4AF1">
      <w:pPr>
        <w:widowControl w:val="0"/>
        <w:spacing w:line="360" w:lineRule="auto"/>
        <w:ind w:firstLine="420" w:firstLineChars="200"/>
        <w:jc w:val="both"/>
        <w:rPr>
          <w:rFonts w:eastAsia="宋体"/>
          <w:kern w:val="2"/>
          <w:szCs w:val="24"/>
        </w:rPr>
      </w:pPr>
      <w:r>
        <w:rPr>
          <w:rFonts w:hint="eastAsia" w:ascii="宋体" w:hAnsi="宋体" w:eastAsia="宋体" w:cs="宋体"/>
          <w:kern w:val="2"/>
          <w:szCs w:val="21"/>
        </w:rPr>
        <w:sym w:font="Wingdings 2" w:char="00A3"/>
      </w:r>
      <w:r>
        <w:rPr>
          <w:rFonts w:hint="eastAsia" w:ascii="宋体" w:hAnsi="宋体" w:eastAsia="宋体" w:cs="宋体"/>
          <w:kern w:val="2"/>
          <w:szCs w:val="21"/>
        </w:rPr>
        <w:t>同时，乙方应于</w:t>
      </w:r>
      <w:r>
        <w:rPr>
          <w:rFonts w:hint="eastAsia" w:ascii="宋体" w:hAnsi="宋体" w:eastAsia="宋体" w:cs="宋体"/>
          <w:kern w:val="2"/>
          <w:szCs w:val="21"/>
          <w:u w:val="single"/>
        </w:rPr>
        <w:t xml:space="preserve">    </w:t>
      </w:r>
      <w:r>
        <w:rPr>
          <w:rFonts w:hint="eastAsia" w:ascii="宋体" w:hAnsi="宋体" w:eastAsia="宋体" w:cs="宋体"/>
          <w:kern w:val="2"/>
          <w:szCs w:val="21"/>
        </w:rPr>
        <w:t>年</w:t>
      </w:r>
      <w:r>
        <w:rPr>
          <w:rFonts w:hint="eastAsia" w:ascii="宋体" w:hAnsi="宋体" w:eastAsia="宋体" w:cs="宋体"/>
          <w:kern w:val="2"/>
          <w:szCs w:val="21"/>
          <w:u w:val="single"/>
        </w:rPr>
        <w:t xml:space="preserve">     </w:t>
      </w:r>
      <w:r>
        <w:rPr>
          <w:rFonts w:hint="eastAsia" w:ascii="宋体" w:hAnsi="宋体" w:eastAsia="宋体" w:cs="宋体"/>
          <w:kern w:val="2"/>
          <w:szCs w:val="21"/>
        </w:rPr>
        <w:t>月</w:t>
      </w:r>
      <w:r>
        <w:rPr>
          <w:rFonts w:hint="eastAsia" w:ascii="宋体" w:hAnsi="宋体" w:eastAsia="宋体" w:cs="宋体"/>
          <w:kern w:val="2"/>
          <w:szCs w:val="21"/>
          <w:u w:val="single"/>
        </w:rPr>
        <w:t xml:space="preserve">     </w:t>
      </w:r>
      <w:r>
        <w:rPr>
          <w:rFonts w:hint="eastAsia" w:ascii="宋体" w:hAnsi="宋体" w:eastAsia="宋体" w:cs="宋体"/>
          <w:kern w:val="2"/>
          <w:szCs w:val="21"/>
        </w:rPr>
        <w:t>日前完成合同条款1 中所列的全部货物的安装调试并可以达到本合同约定的验收要求。</w:t>
      </w:r>
    </w:p>
    <w:p w14:paraId="7BC8133F">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3.交货地点</w:t>
      </w:r>
    </w:p>
    <w:p w14:paraId="7BBE5D2C">
      <w:pPr>
        <w:widowControl w:val="0"/>
        <w:spacing w:line="360" w:lineRule="auto"/>
        <w:ind w:firstLine="420" w:firstLineChars="200"/>
        <w:jc w:val="both"/>
        <w:rPr>
          <w:rFonts w:hint="eastAsia" w:ascii="宋体" w:hAnsi="宋体" w:eastAsia="宋体" w:cs="宋体"/>
          <w:kern w:val="2"/>
          <w:szCs w:val="21"/>
          <w:u w:val="single"/>
        </w:rPr>
      </w:pPr>
      <w:r>
        <w:rPr>
          <w:rFonts w:hint="eastAsia" w:ascii="宋体" w:hAnsi="宋体" w:eastAsia="宋体" w:cs="宋体"/>
          <w:kern w:val="2"/>
          <w:szCs w:val="21"/>
          <w:u w:val="single"/>
        </w:rPr>
        <w:t>江苏省南京市栖霞区仙林大道南京中医药大学动物中心新大楼二楼功能实验室</w:t>
      </w:r>
    </w:p>
    <w:p w14:paraId="3DA89324">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4.其它费用</w:t>
      </w:r>
    </w:p>
    <w:p w14:paraId="453A30DA">
      <w:pPr>
        <w:widowControl w:val="0"/>
        <w:spacing w:line="360" w:lineRule="auto"/>
        <w:ind w:firstLine="420" w:firstLineChars="200"/>
        <w:jc w:val="both"/>
        <w:rPr>
          <w:rFonts w:ascii="宋体" w:hAnsi="宋体" w:eastAsia="宋体" w:cs="宋体"/>
          <w:bCs/>
          <w:kern w:val="2"/>
          <w:szCs w:val="21"/>
        </w:rPr>
      </w:pPr>
      <w:r>
        <w:rPr>
          <w:rFonts w:hint="eastAsia" w:ascii="宋体" w:hAnsi="宋体" w:eastAsia="宋体" w:cs="宋体"/>
          <w:bCs/>
          <w:kern w:val="2"/>
          <w:szCs w:val="21"/>
        </w:rPr>
        <w:t>4.1货物的运输、拆卸、安装过程中以及免费质保期内所有货物维修产生的全部费用均由乙方承担。</w:t>
      </w:r>
    </w:p>
    <w:p w14:paraId="7F6407E7">
      <w:pPr>
        <w:widowControl w:val="0"/>
        <w:spacing w:line="360" w:lineRule="auto"/>
        <w:jc w:val="both"/>
        <w:rPr>
          <w:rFonts w:ascii="宋体" w:hAnsi="宋体" w:eastAsia="宋体"/>
          <w:b/>
          <w:bCs/>
          <w:kern w:val="2"/>
          <w:sz w:val="24"/>
          <w:szCs w:val="24"/>
        </w:rPr>
      </w:pPr>
      <w:r>
        <w:rPr>
          <w:rFonts w:hint="eastAsia" w:ascii="宋体" w:hAnsi="宋体" w:eastAsia="宋体" w:cs="宋体"/>
          <w:b/>
          <w:bCs/>
          <w:kern w:val="2"/>
          <w:sz w:val="28"/>
          <w:szCs w:val="28"/>
        </w:rPr>
        <w:t>5.保证金</w:t>
      </w:r>
      <w:r>
        <w:rPr>
          <w:rFonts w:hint="eastAsia" w:ascii="宋体" w:hAnsi="宋体" w:eastAsia="宋体"/>
          <w:b/>
          <w:bCs/>
          <w:kern w:val="2"/>
          <w:sz w:val="24"/>
          <w:szCs w:val="24"/>
        </w:rPr>
        <w:t>（根据招标文件要求选用）</w:t>
      </w:r>
    </w:p>
    <w:p w14:paraId="39C33524">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甲方指定的履约保证金汇款银行、帐号及户名如下：</w:t>
      </w:r>
    </w:p>
    <w:p w14:paraId="0D774A97">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账号为：4301010109001027264</w:t>
      </w:r>
    </w:p>
    <w:p w14:paraId="10AB5370">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开户行：工行汉中门支行</w:t>
      </w:r>
    </w:p>
    <w:p w14:paraId="2D70A18C">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收款人：南京中医药大学</w:t>
      </w:r>
    </w:p>
    <w:p w14:paraId="43615B62">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kern w:val="2"/>
          <w:szCs w:val="21"/>
        </w:rPr>
        <w:t>汇款必须从乙方的基本账户转出，在备注、用途或附加说明中写明是本项目的履约保证金。</w:t>
      </w:r>
    </w:p>
    <w:p w14:paraId="48CF28E7">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lang w:bidi="ar"/>
        </w:rPr>
        <w:sym w:font="Wingdings 2" w:char="00A3"/>
      </w:r>
      <w:r>
        <w:rPr>
          <w:rFonts w:hint="eastAsia" w:ascii="宋体" w:hAnsi="宋体" w:eastAsia="宋体" w:cs="宋体"/>
          <w:szCs w:val="21"/>
        </w:rPr>
        <w:t>4.1乙方于本合同签订前向甲方交纳</w:t>
      </w:r>
      <w:r>
        <w:rPr>
          <w:rFonts w:hint="eastAsia" w:ascii="宋体" w:hAnsi="宋体" w:eastAsia="宋体" w:cs="宋体"/>
          <w:szCs w:val="21"/>
          <w:lang w:bidi="ar"/>
        </w:rPr>
        <w:t>人民币</w:t>
      </w:r>
      <w:r>
        <w:rPr>
          <w:rFonts w:hint="eastAsia" w:ascii="宋体" w:hAnsi="宋体" w:eastAsia="宋体" w:cs="宋体"/>
          <w:szCs w:val="21"/>
          <w:u w:val="single"/>
          <w:lang w:bidi="ar"/>
        </w:rPr>
        <w:t xml:space="preserve">    </w:t>
      </w:r>
      <w:r>
        <w:rPr>
          <w:rFonts w:hint="eastAsia" w:ascii="宋体" w:hAnsi="宋体" w:eastAsia="宋体" w:cs="宋体"/>
          <w:szCs w:val="21"/>
          <w:lang w:bidi="ar"/>
        </w:rPr>
        <w:t>元（</w:t>
      </w:r>
      <w:r>
        <w:rPr>
          <w:rFonts w:hint="eastAsia" w:ascii="宋体" w:hAnsi="宋体" w:eastAsia="宋体" w:cs="宋体"/>
          <w:szCs w:val="21"/>
        </w:rPr>
        <w:t>合同价的【 】%）作为本合同的履约保证金。</w:t>
      </w:r>
    </w:p>
    <w:p w14:paraId="58DD083C">
      <w:pPr>
        <w:widowControl w:val="0"/>
        <w:spacing w:line="360" w:lineRule="auto"/>
        <w:ind w:firstLine="420" w:firstLineChars="200"/>
        <w:rPr>
          <w:rFonts w:eastAsia="宋体"/>
          <w:kern w:val="2"/>
          <w:szCs w:val="24"/>
        </w:rPr>
      </w:pPr>
      <w:r>
        <w:rPr>
          <w:rFonts w:hint="eastAsia" w:ascii="宋体" w:hAnsi="宋体" w:eastAsia="宋体" w:cs="宋体"/>
          <w:szCs w:val="21"/>
        </w:rPr>
        <w:t>自甲方最终书面确认验收合格之日起算【12】个月后，甲方确认无质量问题且乙方无违约情形后将履约保证金一次性无息退还给乙方。乙方若有违约情形的或产品存在质量问题，甲方有权依据合同约定在履约保证金中先行扣除相应金额的违约金或质量赔偿金。履约保证金不足扣除的，乙方应在接到甲方通知后及时补足。</w:t>
      </w:r>
    </w:p>
    <w:p w14:paraId="43A64F1D">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6.调试和验收</w:t>
      </w:r>
    </w:p>
    <w:p w14:paraId="381DD885">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6.1甲乙双方均认可本合同项下的全部货物由乙方指定的外商直接向甲方及甲方指定的外贸代理机构提供，乙方指定的外商向甲方及甲方指定的外贸代理机构提供的货物视为本合同“乙方提交的货物”，乙方应当按照本合同的约定承担责任。</w:t>
      </w:r>
    </w:p>
    <w:p w14:paraId="7BD8ED02">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6.2甲方对乙方提交的货物依据招标文件上的技术参数要求、本合同约定和国家有关质量标准进行现场清点、初步验收，外观、说明书符合招标文件技术要求的，予以签收，初步验收不合格的不予签收。货到后甲方指定地点，乙方须在5个工作日内配合甲方予以初步验收，乙方项目经理应参加初步验收。验收不合格的，乙方应当按照甲方要求限期提供符合约定的产品，由此给甲方造成迟延的，乙方应当按照每日验收不合格货物对应总价的【  】%支付迟延违约金；乙方针对同一批货物交付两次均验收不合格的，甲方有权针对该部分货物另行委托第三方购买，由此给甲方造成损失的，乙方应当承担赔偿责任。</w:t>
      </w:r>
    </w:p>
    <w:p w14:paraId="303F2258">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6.3乙方交货前应对产品做出全面检查和对初步验收文件进行整理，提供与货物有关的清晰、正确、完整的技术资料，并列出清单，如：产品合格证书、质量保证书、产品说明书、操作手册、维修指南及相应的检测合格证书等，作为甲方交货验收和使用的技术条件依据，但不能作为有关标的物质量、规格、数量或性能的最终检验结果。乙方应确保所供货物及安装均能满足甲方和相关主管部门的验收合格要求，清点、核查的结果应随货物一并移交甲方。</w:t>
      </w:r>
    </w:p>
    <w:p w14:paraId="6B61E120">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6.4甲方人员在清点核查、初步验收时若发现货物有明显缺漏、损坏、包装破损、遗失等情形，甲方有权拒绝接收该批次货物，乙方应按照甲方的要求及时整改，免费更换直至符合招标文件及本合同约定要求，因此产生的相关费用全部由乙方自行承担。甲方人员在验收时发现货物无法正常使用或不符合招标文件及本合同约定要求的，应立即向乙方提出整改意见，乙方应及时整改，因此产生的相关费用全部由乙方自行承担；经乙方整改后货物仍不能正常使用或无法满足甲方招标文件及本合同约定要求的，甲方有权单方解除本合同、没收乙方的履约保证金，并追究乙方不能履约的违约责任，届时乙方必须无条件接受退货。若乙方已从外贸代理公司收到与本合同履行相关的费用的，乙方还负有直接向甲方退还全部相关费用的义务。</w:t>
      </w:r>
    </w:p>
    <w:p w14:paraId="18F3F5FF">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6.5乙方在接到甲方通知的7个工作日内派人前往甲方指定地点，负责该货物的安装、调试和操作培训。甲方对乙方提供的货物在使用前进行调试时，乙方需负责免费安装并免费培训甲方的使用操作人员，并协助甲方一起调试，直到符合招标文件及本合同约定的技术要求并被甲方所能应用，甲方才做最终验收。乙方项目经理应参加最终验收。在安装、调试和验收过程中，如发现有漏件、缺件，乙方应无条件、无偿补齐，所发生的一切费用已包含本合同总价款中，甲方不再另行付费，且并不因此而影响交付甲方使用的时间。</w:t>
      </w:r>
    </w:p>
    <w:p w14:paraId="651E5BF2">
      <w:pPr>
        <w:widowControl w:val="0"/>
        <w:spacing w:line="360" w:lineRule="auto"/>
        <w:ind w:firstLine="420" w:firstLineChars="200"/>
        <w:jc w:val="both"/>
        <w:rPr>
          <w:rFonts w:ascii="宋体" w:hAnsi="宋体" w:eastAsia="宋体" w:cs="宋体"/>
          <w:szCs w:val="21"/>
        </w:rPr>
      </w:pPr>
      <w:r>
        <w:rPr>
          <w:rFonts w:hint="eastAsia" w:ascii="宋体" w:hAnsi="宋体" w:eastAsia="宋体" w:cs="宋体"/>
          <w:szCs w:val="21"/>
        </w:rPr>
        <w:t>6.6对于本合同约定的货物，乙方同意由甲方有权单方聘请国家认可的专业检测机构参与初步验收及最终验收，并由其出具质量检测报告，相关检测费用由乙方承担。对于国家有环保要求的货物，必须符合国家相关产品的环保要求标准。如货物质量检测、环保检测不合格或不符合招标文件、本合同约定要求时，乙方应无条件接受甲方的退货，造成甲方损失的，甲方有权向乙方索赔。</w:t>
      </w:r>
    </w:p>
    <w:p w14:paraId="4828E2BD">
      <w:pPr>
        <w:widowControl w:val="0"/>
        <w:spacing w:line="360" w:lineRule="auto"/>
        <w:jc w:val="both"/>
        <w:rPr>
          <w:rFonts w:ascii="宋体" w:hAnsi="宋体" w:eastAsia="宋体"/>
          <w:b/>
          <w:bCs/>
          <w:kern w:val="2"/>
          <w:sz w:val="24"/>
          <w:szCs w:val="24"/>
        </w:rPr>
      </w:pPr>
      <w:r>
        <w:rPr>
          <w:rFonts w:hint="eastAsia" w:ascii="宋体" w:hAnsi="宋体" w:eastAsia="宋体" w:cs="宋体"/>
          <w:b/>
          <w:bCs/>
          <w:kern w:val="2"/>
          <w:sz w:val="28"/>
          <w:szCs w:val="28"/>
        </w:rPr>
        <w:t>7.付款方式</w:t>
      </w:r>
    </w:p>
    <w:p w14:paraId="027AAB27">
      <w:pPr>
        <w:widowControl w:val="0"/>
        <w:spacing w:line="360" w:lineRule="auto"/>
        <w:ind w:firstLine="420" w:firstLineChars="200"/>
        <w:jc w:val="both"/>
        <w:rPr>
          <w:rFonts w:ascii="宋体" w:hAnsi="宋体" w:eastAsia="宋体" w:cs="宋体"/>
          <w:bCs/>
          <w:kern w:val="2"/>
          <w:szCs w:val="21"/>
        </w:rPr>
      </w:pPr>
      <w:r>
        <w:rPr>
          <w:rFonts w:hint="eastAsia" w:ascii="宋体" w:hAnsi="宋体" w:eastAsia="宋体" w:cs="宋体"/>
          <w:bCs/>
          <w:kern w:val="2"/>
          <w:szCs w:val="21"/>
        </w:rPr>
        <w:t>7.1乙方委托甲方指定的外贸代理公司（即本合同项下货物的进口代理商）向甲方提供委托代理全额发票、外商发票复印件，在甲方收到上述完整资料并与乙方确认无误后，根据甲方与外贸代理公司签订的《委托代理进口合同》的约定，甲方向甲</w:t>
      </w:r>
      <w:r>
        <w:rPr>
          <w:rFonts w:hint="eastAsia" w:ascii="宋体" w:hAnsi="宋体" w:eastAsia="宋体"/>
          <w:bCs/>
          <w:kern w:val="2"/>
          <w:szCs w:val="21"/>
        </w:rPr>
        <w:t>乙双</w:t>
      </w:r>
      <w:r>
        <w:rPr>
          <w:rFonts w:hint="eastAsia" w:ascii="宋体" w:hAnsi="宋体" w:eastAsia="宋体" w:cs="宋体"/>
          <w:bCs/>
          <w:kern w:val="2"/>
          <w:szCs w:val="21"/>
        </w:rPr>
        <w:t>方</w:t>
      </w:r>
      <w:r>
        <w:rPr>
          <w:rFonts w:hint="eastAsia" w:ascii="宋体" w:hAnsi="宋体" w:eastAsia="宋体"/>
          <w:bCs/>
          <w:kern w:val="2"/>
          <w:szCs w:val="21"/>
        </w:rPr>
        <w:t>一致确认</w:t>
      </w:r>
      <w:r>
        <w:rPr>
          <w:rFonts w:hint="eastAsia" w:ascii="宋体" w:hAnsi="宋体" w:eastAsia="宋体" w:cs="宋体"/>
          <w:bCs/>
          <w:kern w:val="2"/>
          <w:szCs w:val="21"/>
        </w:rPr>
        <w:t>的外贸代理公司预先支付货物的人民币全款</w:t>
      </w:r>
      <w:r>
        <w:rPr>
          <w:rFonts w:hint="eastAsia" w:ascii="宋体" w:hAnsi="宋体" w:eastAsia="宋体"/>
          <w:bCs/>
          <w:kern w:val="2"/>
          <w:szCs w:val="21"/>
        </w:rPr>
        <w:t>（即本合同条款1约定的本合同总价）</w:t>
      </w:r>
      <w:r>
        <w:rPr>
          <w:rFonts w:hint="eastAsia" w:ascii="宋体" w:hAnsi="宋体" w:eastAsia="宋体" w:cs="宋体"/>
          <w:bCs/>
          <w:kern w:val="2"/>
          <w:szCs w:val="21"/>
        </w:rPr>
        <w:t>。</w:t>
      </w:r>
    </w:p>
    <w:p w14:paraId="27EDAEE4">
      <w:pPr>
        <w:widowControl w:val="0"/>
        <w:spacing w:line="360" w:lineRule="auto"/>
        <w:ind w:firstLine="420" w:firstLineChars="200"/>
        <w:jc w:val="both"/>
        <w:rPr>
          <w:rFonts w:ascii="宋体" w:hAnsi="宋体" w:eastAsia="宋体" w:cs="宋体"/>
          <w:bCs/>
          <w:kern w:val="2"/>
          <w:szCs w:val="21"/>
        </w:rPr>
      </w:pPr>
      <w:r>
        <w:rPr>
          <w:rFonts w:hint="eastAsia" w:ascii="宋体" w:hAnsi="宋体" w:eastAsia="宋体" w:cs="宋体"/>
          <w:bCs/>
          <w:kern w:val="2"/>
          <w:szCs w:val="21"/>
        </w:rPr>
        <w:t>乙方将货物送达甲方指定交货地点并经甲方初步确认无误、</w:t>
      </w:r>
      <w:r>
        <w:rPr>
          <w:rFonts w:hint="eastAsia" w:ascii="宋体" w:hAnsi="宋体" w:eastAsia="宋体"/>
          <w:bCs/>
          <w:kern w:val="2"/>
          <w:szCs w:val="21"/>
        </w:rPr>
        <w:t>且外贸代理公司与甲方一致确认到货后，由</w:t>
      </w:r>
      <w:r>
        <w:rPr>
          <w:rFonts w:hint="eastAsia" w:ascii="宋体" w:hAnsi="宋体" w:eastAsia="宋体" w:cs="宋体"/>
          <w:bCs/>
          <w:kern w:val="2"/>
          <w:szCs w:val="21"/>
        </w:rPr>
        <w:t>外贸代理公司凭装运单据向乙方支付90%的</w:t>
      </w:r>
      <w:r>
        <w:rPr>
          <w:rFonts w:hint="eastAsia" w:ascii="宋体" w:hAnsi="宋体" w:eastAsia="宋体" w:cs="宋体"/>
          <w:b/>
          <w:kern w:val="2"/>
          <w:szCs w:val="21"/>
        </w:rPr>
        <w:t>货款</w:t>
      </w:r>
      <w:r>
        <w:rPr>
          <w:rFonts w:hint="eastAsia" w:ascii="宋体" w:hAnsi="宋体" w:eastAsia="宋体" w:cs="宋体"/>
          <w:bCs/>
          <w:kern w:val="2"/>
          <w:szCs w:val="21"/>
        </w:rPr>
        <w:t>，待乙方将货物安装、调试完毕并经甲方验收合格后，由外贸代理公司凭甲方签署的正本验收合格报告向乙方支付剩余</w:t>
      </w:r>
      <w:r>
        <w:rPr>
          <w:rFonts w:hint="eastAsia" w:ascii="宋体" w:hAnsi="宋体" w:eastAsia="宋体" w:cs="宋体"/>
          <w:b/>
          <w:kern w:val="2"/>
          <w:szCs w:val="21"/>
          <w:u w:val="single"/>
        </w:rPr>
        <w:t>10%的</w:t>
      </w:r>
      <w:r>
        <w:rPr>
          <w:rFonts w:hint="eastAsia" w:ascii="宋体" w:hAnsi="宋体" w:eastAsia="宋体" w:cs="宋体"/>
          <w:b/>
          <w:kern w:val="2"/>
          <w:szCs w:val="21"/>
        </w:rPr>
        <w:t>货款</w:t>
      </w:r>
      <w:r>
        <w:rPr>
          <w:rFonts w:hint="eastAsia" w:ascii="宋体" w:hAnsi="宋体" w:eastAsia="宋体" w:cs="宋体"/>
          <w:bCs/>
          <w:kern w:val="2"/>
          <w:szCs w:val="21"/>
        </w:rPr>
        <w:t>（乙方与外贸代理公司之间的其他权利和义务，按两方之间的合同约定执行）。</w:t>
      </w:r>
    </w:p>
    <w:p w14:paraId="283DE996">
      <w:pPr>
        <w:widowControl w:val="0"/>
        <w:spacing w:line="360" w:lineRule="auto"/>
        <w:ind w:firstLine="422" w:firstLineChars="200"/>
        <w:jc w:val="both"/>
        <w:rPr>
          <w:rFonts w:ascii="宋体" w:hAnsi="宋体" w:eastAsia="宋体" w:cs="宋体"/>
          <w:b/>
          <w:kern w:val="2"/>
          <w:szCs w:val="21"/>
        </w:rPr>
      </w:pPr>
      <w:r>
        <w:rPr>
          <w:rFonts w:hint="eastAsia" w:ascii="宋体" w:hAnsi="宋体" w:eastAsia="宋体" w:cs="宋体"/>
          <w:b/>
          <w:kern w:val="2"/>
          <w:szCs w:val="21"/>
        </w:rPr>
        <w:t>7.2乙方确认：乙方对甲方、乙方、乙方指定的外商及外贸代理公司之间的关系明确知晓，并自愿、自行与甲方指定的外贸代理公司建立合作关系和款项结付关系，以保证本合同项下甲方的权利得以全面实现。甲方依照甲方与外贸代理公司所约定的人民币全包价（即本合同条款1约定的本合同总价），向外贸代理公司付清全部货款后，甲方在本合同项下的付款义务即告履行完毕，乙方不得再以任何理由要求甲方支付款项，乙方或乙方指定的外商与甲方指定的外贸代理公司之间的争议由乙方或乙方指定的外商自行主张，甲方可视情况提供必要协助。乙方签署本合同即视为确认和接受甲方所指定的外贸代理公司，确认外贸代理服务费率和结算方式，确认本合同项下的款项全部由乙方（及乙方指定的外商）与外贸代理公司结算、收付，确认甲方不负有直接向乙方付款的义务。乙方认可：由外贸代理公司向乙方指定的外商付款的亦视为向乙方付款。</w:t>
      </w:r>
    </w:p>
    <w:p w14:paraId="5AB14CF3">
      <w:pPr>
        <w:widowControl w:val="0"/>
        <w:spacing w:line="360" w:lineRule="auto"/>
        <w:ind w:firstLine="422" w:firstLineChars="200"/>
        <w:jc w:val="both"/>
        <w:rPr>
          <w:rFonts w:ascii="宋体" w:hAnsi="宋体" w:eastAsia="宋体" w:cs="宋体"/>
          <w:b/>
          <w:bCs/>
          <w:kern w:val="2"/>
          <w:szCs w:val="21"/>
        </w:rPr>
      </w:pPr>
      <w:r>
        <w:rPr>
          <w:rFonts w:hint="eastAsia" w:ascii="宋体" w:hAnsi="宋体" w:eastAsia="宋体" w:cs="宋体"/>
          <w:b/>
          <w:bCs/>
          <w:kern w:val="2"/>
          <w:szCs w:val="21"/>
        </w:rPr>
        <w:t>7.3如遇甲方高校寒暑假期等财务封帐特殊原因或不可抗拒事件等情形不受此时间限制，付款时间相应顺延。对此乙方表示：遇此情况下甲方可以推迟付款且不构成违约，且乙方不主张顺延期间的利息。</w:t>
      </w:r>
    </w:p>
    <w:p w14:paraId="5C378E72">
      <w:pPr>
        <w:widowControl w:val="0"/>
        <w:spacing w:line="360" w:lineRule="auto"/>
        <w:ind w:firstLine="422" w:firstLineChars="200"/>
        <w:jc w:val="both"/>
        <w:rPr>
          <w:rFonts w:ascii="宋体" w:hAnsi="宋体" w:eastAsia="宋体" w:cs="宋体"/>
          <w:b/>
          <w:bCs/>
          <w:kern w:val="2"/>
          <w:szCs w:val="21"/>
        </w:rPr>
      </w:pPr>
      <w:r>
        <w:rPr>
          <w:rFonts w:hint="eastAsia" w:ascii="宋体" w:hAnsi="宋体" w:eastAsia="宋体" w:cs="宋体"/>
          <w:b/>
          <w:bCs/>
          <w:kern w:val="2"/>
          <w:szCs w:val="21"/>
        </w:rPr>
        <w:t>7.4因本合同约定的货物为进口仪器设备，依我国相关法律规定可以减免税，同时为了甲方的交易安全，乙方同意并承诺如下：</w:t>
      </w:r>
    </w:p>
    <w:p w14:paraId="6F959E79">
      <w:pPr>
        <w:widowControl w:val="0"/>
        <w:spacing w:line="360" w:lineRule="auto"/>
        <w:ind w:firstLine="422" w:firstLineChars="200"/>
        <w:jc w:val="both"/>
        <w:rPr>
          <w:rFonts w:ascii="宋体" w:hAnsi="宋体" w:eastAsia="宋体" w:cs="宋体"/>
          <w:b/>
          <w:bCs/>
          <w:kern w:val="2"/>
          <w:szCs w:val="21"/>
        </w:rPr>
      </w:pPr>
      <w:r>
        <w:rPr>
          <w:rFonts w:hint="eastAsia" w:ascii="宋体" w:hAnsi="宋体" w:eastAsia="宋体" w:cs="宋体"/>
          <w:b/>
          <w:bCs/>
          <w:kern w:val="2"/>
          <w:szCs w:val="21"/>
        </w:rPr>
        <w:t>甲方委托外贸代理公司与乙方指定的外商签订《外贸合同》。若乙方指定的外商在《外贸合同》执行中给甲方及甲方委托的外贸代理公司造成任何经济及名誉损失，均由乙方承担。乙方应无条件保证甲方资金不受损失。同时，乙方承诺乙方无条件按照本合同约定对乙方指定外商向甲方及甲方委托外贸代理公司提供的全部货物承担质量保证责任，若乙方指定外商提供的货物不符合本合同的约定，则乙方应按照本合同约定向甲方及甲方委托外卖代理公司承担全部责任。</w:t>
      </w:r>
    </w:p>
    <w:p w14:paraId="378BE780">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8.乙方的其他义务</w:t>
      </w:r>
    </w:p>
    <w:p w14:paraId="3869C430">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8.1技术培训：乙方负责派专业技术人员到甲方免费进行设备使用集中培训，并提供相关培训资料，使甲方相关老师能熟练掌握设备的各项性能（包括硬件和软件），时间不少于一天，具体时间以甲方要求为准。在设备使用集中培训以后，若甲方仍有技术问题，乙方在任何时候，都应在24小时以内提供详细技术方案并予以解决。</w:t>
      </w:r>
    </w:p>
    <w:p w14:paraId="510461F8">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8.2质保和售后服务：乙方保证按本合同约定以及投标响应文件的服务承诺履行质保和售后服务义务，其中免费质保期为【   】年，自甲方最终书面确认验收合格之日起算。免费质保期内，乙方应对货物出现的任何损坏、质量及安全问题负责处理解决并承担一切费用，免费为甲方提供维修维保服务，所需要的维修维保费用（包括零部件费用、维修费用、人工费用等）均由乙方承担（非乙方人为操作不当造成的损坏除外）。如货物中包含的系统软件发生改进，增加新功能以及适应新建议所做实质性修改的最新版本，乙方应向甲方提供免费升级，并对软件系统安全漏洞或bug负责终身免费解决。本合同项下所有采购货物超出免费质保期后，乙方须按甲方要求继续提供维修维保服务，维修时只收取部件成本费，人工费由乙方自行承担。</w:t>
      </w:r>
    </w:p>
    <w:p w14:paraId="44AA7F58">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8.3售后服务响应时间：乙方应在国内有专门负责的维修工程师或技术支持工程师。质保期内，如在使用过程中发生问题等，则乙方在接到甲方提出的维修维保要求通知后，应于</w:t>
      </w:r>
      <w:r>
        <w:rPr>
          <w:rFonts w:hint="eastAsia" w:ascii="宋体" w:hAnsi="宋体" w:eastAsia="宋体" w:cs="宋体"/>
          <w:szCs w:val="21"/>
        </w:rPr>
        <w:t>2</w:t>
      </w:r>
      <w:r>
        <w:rPr>
          <w:rFonts w:hint="eastAsia" w:ascii="宋体" w:hAnsi="宋体" w:eastAsia="宋体" w:cs="宋体"/>
          <w:kern w:val="2"/>
          <w:szCs w:val="21"/>
        </w:rPr>
        <w:t>小时电话响应，对甲方的服务要求提出解决方案，经确认如有需要，技术人员须在24小时内到达甲方现场，并于【  】日内完成维修维保工作；重大问题或其他无法迅速解决的问题应在一周内解决或提出明确解决方案，否则乙方应赔偿甲方相应损失。如未能及时解决问题，则须向甲方支付【  】元违约金/次，甲方有权从履约保证金中直接扣除前述违约金，若履约保证金已退还乙方或不足扣除的，甲方有权要求乙方继续履行质保义务的同时向甲方支付前述违约金；若乙方在质保期内不能及时完成维修维保工作累计达【  】次，甲方有权扣除履约保证金作为违约金，若履约保证金不足扣除的或已退还乙方的，甲方有权要求乙方继续履行质保义务的同时向甲方支付本合同总价5%的违约金，且有权将乙方列入黑名单，取消其以后投标资格。</w:t>
      </w:r>
    </w:p>
    <w:p w14:paraId="09B26CBC">
      <w:pPr>
        <w:widowControl w:val="0"/>
        <w:spacing w:line="360" w:lineRule="auto"/>
        <w:ind w:firstLine="420" w:firstLineChars="200"/>
        <w:jc w:val="both"/>
        <w:rPr>
          <w:rFonts w:ascii="宋体" w:hAnsi="宋体" w:eastAsia="宋体" w:cs="宋体"/>
          <w:kern w:val="2"/>
          <w:szCs w:val="21"/>
        </w:rPr>
      </w:pPr>
      <w:r>
        <w:rPr>
          <w:rFonts w:hint="eastAsia" w:ascii="宋体" w:hAnsi="宋体" w:eastAsia="宋体" w:cs="宋体"/>
          <w:kern w:val="2"/>
          <w:szCs w:val="21"/>
        </w:rPr>
        <w:t>8.4乙方在维修维保过程中应确保按正确的检修规程进行专业操作，并承担全部安全责任。</w:t>
      </w:r>
    </w:p>
    <w:p w14:paraId="21597DB2">
      <w:pPr>
        <w:widowControl w:val="0"/>
        <w:spacing w:line="360" w:lineRule="auto"/>
        <w:ind w:firstLine="420" w:firstLineChars="200"/>
        <w:jc w:val="both"/>
        <w:rPr>
          <w:rFonts w:ascii="宋体" w:hAnsi="宋体" w:eastAsia="宋体" w:cs="宋体"/>
          <w:kern w:val="2"/>
          <w:szCs w:val="21"/>
          <w:u w:val="single"/>
        </w:rPr>
      </w:pPr>
      <w:r>
        <w:rPr>
          <w:rFonts w:hint="eastAsia" w:ascii="宋体" w:hAnsi="宋体" w:eastAsia="宋体" w:cs="宋体"/>
          <w:kern w:val="2"/>
          <w:szCs w:val="21"/>
        </w:rPr>
        <w:t>8.5其他：</w:t>
      </w:r>
      <w:r>
        <w:rPr>
          <w:rFonts w:hint="eastAsia" w:ascii="宋体" w:hAnsi="宋体" w:eastAsia="宋体" w:cs="宋体"/>
          <w:kern w:val="2"/>
          <w:szCs w:val="21"/>
          <w:u w:val="single"/>
        </w:rPr>
        <w:t xml:space="preserve">                            </w:t>
      </w:r>
    </w:p>
    <w:p w14:paraId="416919BB">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9.违约责任</w:t>
      </w:r>
    </w:p>
    <w:p w14:paraId="12520A40">
      <w:pPr>
        <w:widowControl w:val="0"/>
        <w:wordWrap w:val="0"/>
        <w:spacing w:line="360" w:lineRule="auto"/>
        <w:ind w:firstLine="420" w:firstLineChars="200"/>
        <w:rPr>
          <w:rFonts w:ascii="宋体" w:hAnsi="宋体" w:eastAsia="宋体" w:cs="宋体"/>
          <w:kern w:val="2"/>
          <w:szCs w:val="24"/>
        </w:rPr>
      </w:pPr>
      <w:r>
        <w:rPr>
          <w:rFonts w:hint="eastAsia" w:ascii="宋体" w:hAnsi="宋体" w:eastAsia="宋体" w:cs="宋体"/>
          <w:szCs w:val="21"/>
        </w:rPr>
        <w:t xml:space="preserve"> 9.1乙</w:t>
      </w:r>
      <w:r>
        <w:rPr>
          <w:rFonts w:hint="eastAsia" w:ascii="宋体" w:hAnsi="宋体" w:eastAsia="宋体" w:cs="宋体"/>
          <w:kern w:val="2"/>
          <w:szCs w:val="24"/>
        </w:rPr>
        <w:t>方因故需要延迟交货（包括迟延履行安装</w:t>
      </w:r>
      <w:r>
        <w:rPr>
          <w:rFonts w:hint="eastAsia" w:eastAsia="宋体" w:cs="宋体"/>
          <w:kern w:val="2"/>
          <w:szCs w:val="24"/>
        </w:rPr>
        <w:t>调试或培训</w:t>
      </w:r>
      <w:r>
        <w:rPr>
          <w:rFonts w:hint="eastAsia" w:ascii="宋体" w:hAnsi="宋体" w:eastAsia="宋体" w:cs="宋体"/>
          <w:kern w:val="2"/>
          <w:szCs w:val="24"/>
        </w:rPr>
        <w:t>义务）的，应提前向甲方说明缘由并征得甲方同意。若未事先说明且取得甲方书面</w:t>
      </w:r>
      <w:r>
        <w:rPr>
          <w:rFonts w:hint="eastAsia" w:eastAsia="宋体" w:cs="宋体"/>
          <w:kern w:val="2"/>
          <w:szCs w:val="24"/>
        </w:rPr>
        <w:t>同意</w:t>
      </w:r>
      <w:r>
        <w:rPr>
          <w:rFonts w:hint="eastAsia" w:ascii="宋体" w:hAnsi="宋体" w:eastAsia="宋体" w:cs="宋体"/>
          <w:kern w:val="2"/>
          <w:szCs w:val="24"/>
        </w:rPr>
        <w:t>的，每延迟一天，则应按照迟延交货部分合同金额的</w:t>
      </w:r>
      <w:r>
        <w:rPr>
          <w:rFonts w:hint="eastAsia" w:eastAsia="宋体" w:cs="宋体"/>
          <w:kern w:val="2"/>
          <w:szCs w:val="24"/>
          <w:u w:val="single"/>
        </w:rPr>
        <w:t xml:space="preserve">   </w:t>
      </w:r>
      <w:r>
        <w:rPr>
          <w:rFonts w:hint="eastAsia" w:ascii="宋体" w:hAnsi="宋体" w:eastAsia="宋体" w:cs="宋体"/>
          <w:kern w:val="2"/>
          <w:szCs w:val="24"/>
        </w:rPr>
        <w:t>%向甲方支付违约金</w:t>
      </w:r>
      <w:r>
        <w:rPr>
          <w:rFonts w:hint="eastAsia" w:eastAsia="宋体" w:cs="宋体"/>
          <w:kern w:val="2"/>
          <w:szCs w:val="24"/>
        </w:rPr>
        <w:t>，甲方有权从</w:t>
      </w:r>
      <w:r>
        <w:rPr>
          <w:rFonts w:hint="eastAsia" w:ascii="宋体" w:hAnsi="宋体" w:eastAsia="宋体" w:cs="宋体"/>
          <w:b/>
          <w:kern w:val="2"/>
          <w:szCs w:val="24"/>
        </w:rPr>
        <w:sym w:font="Wingdings 2" w:char="00A3"/>
      </w:r>
      <w:r>
        <w:rPr>
          <w:rFonts w:hint="eastAsia" w:ascii="宋体" w:hAnsi="宋体" w:eastAsia="宋体" w:cs="宋体"/>
          <w:b/>
          <w:kern w:val="2"/>
          <w:szCs w:val="24"/>
        </w:rPr>
        <w:t>履约保证金中</w:t>
      </w:r>
      <w:r>
        <w:rPr>
          <w:rFonts w:hint="eastAsia" w:ascii="宋体" w:hAnsi="宋体" w:eastAsia="宋体" w:cs="宋体"/>
          <w:b/>
          <w:kern w:val="2"/>
          <w:szCs w:val="24"/>
        </w:rPr>
        <w:sym w:font="Wingdings 2" w:char="0052"/>
      </w:r>
      <w:r>
        <w:rPr>
          <w:rFonts w:hint="eastAsia" w:ascii="宋体" w:hAnsi="宋体" w:eastAsia="宋体" w:cs="宋体"/>
          <w:b/>
          <w:kern w:val="2"/>
          <w:szCs w:val="24"/>
        </w:rPr>
        <w:t>待付合同款项中</w:t>
      </w:r>
      <w:r>
        <w:rPr>
          <w:rFonts w:hint="eastAsia" w:eastAsia="宋体" w:cs="宋体"/>
          <w:kern w:val="2"/>
          <w:szCs w:val="24"/>
        </w:rPr>
        <w:t>直接扣除前述违约金，不足扣除的，乙方应继续向甲方支付</w:t>
      </w:r>
      <w:r>
        <w:rPr>
          <w:rFonts w:hint="eastAsia" w:ascii="宋体" w:hAnsi="宋体" w:eastAsia="宋体" w:cs="宋体"/>
          <w:kern w:val="2"/>
          <w:szCs w:val="24"/>
        </w:rPr>
        <w:t>。乙方迟延交货达</w:t>
      </w:r>
      <w:r>
        <w:rPr>
          <w:rFonts w:hint="eastAsia" w:eastAsia="宋体" w:cs="宋体"/>
          <w:kern w:val="2"/>
          <w:szCs w:val="24"/>
          <w:u w:val="single"/>
        </w:rPr>
        <w:t xml:space="preserve">   </w:t>
      </w:r>
      <w:r>
        <w:rPr>
          <w:rFonts w:hint="eastAsia" w:ascii="宋体" w:hAnsi="宋体" w:eastAsia="宋体" w:cs="宋体"/>
          <w:kern w:val="2"/>
          <w:szCs w:val="24"/>
        </w:rPr>
        <w:t>日的，甲方有权单方解除合同并追究乙方的违约责任，乙方须按未能交货部分合同金额或不合格货物对应合同金额的</w:t>
      </w:r>
      <w:r>
        <w:rPr>
          <w:rFonts w:hint="eastAsia" w:eastAsia="宋体" w:cs="宋体"/>
          <w:kern w:val="2"/>
          <w:szCs w:val="24"/>
          <w:u w:val="single"/>
        </w:rPr>
        <w:t xml:space="preserve">   </w:t>
      </w:r>
      <w:r>
        <w:rPr>
          <w:rFonts w:hint="eastAsia" w:ascii="宋体" w:hAnsi="宋体" w:eastAsia="宋体" w:cs="宋体"/>
          <w:kern w:val="2"/>
          <w:szCs w:val="24"/>
        </w:rPr>
        <w:t>%向甲方支付违约金，违约金不足以补偿甲方损失的，甲方有权要求乙方补足。</w:t>
      </w:r>
    </w:p>
    <w:p w14:paraId="1DE38CB0">
      <w:pPr>
        <w:widowControl w:val="0"/>
        <w:wordWrap w:val="0"/>
        <w:spacing w:line="360" w:lineRule="auto"/>
        <w:ind w:firstLine="420" w:firstLineChars="200"/>
        <w:rPr>
          <w:rFonts w:ascii="宋体" w:hAnsi="宋体" w:eastAsia="宋体" w:cs="宋体"/>
          <w:kern w:val="2"/>
          <w:szCs w:val="24"/>
        </w:rPr>
      </w:pPr>
      <w:r>
        <w:rPr>
          <w:rFonts w:hint="eastAsia" w:ascii="宋体" w:hAnsi="宋体" w:eastAsia="宋体" w:cs="宋体"/>
          <w:kern w:val="2"/>
          <w:szCs w:val="24"/>
        </w:rPr>
        <w:t>9.2乙方必须遵守甲方有关管理制度和规定，在货物运输、安装调试、维修维保等过程中须服从甲方管理，禁止非乙方单位人员、车辆进出甲方，给甲方造成安全隐患，如因乙方违反此约定给甲方或第三人造成伤害或财产损失的，乙方承担全部赔偿责任。</w:t>
      </w:r>
    </w:p>
    <w:p w14:paraId="5560969F">
      <w:pPr>
        <w:widowControl w:val="0"/>
        <w:wordWrap w:val="0"/>
        <w:spacing w:line="360" w:lineRule="auto"/>
        <w:ind w:firstLine="420" w:firstLineChars="200"/>
        <w:rPr>
          <w:rFonts w:ascii="宋体" w:hAnsi="宋体" w:eastAsia="宋体" w:cs="宋体"/>
          <w:kern w:val="2"/>
          <w:szCs w:val="24"/>
        </w:rPr>
      </w:pPr>
      <w:r>
        <w:rPr>
          <w:rFonts w:hint="eastAsia" w:ascii="宋体" w:hAnsi="宋体" w:eastAsia="宋体" w:cs="宋体"/>
          <w:kern w:val="2"/>
          <w:szCs w:val="24"/>
        </w:rPr>
        <w:t>9.3因不可抗力或国家法律、法规或其他相关文件规定造成合同不能履行的，双方互不追究违约责任。</w:t>
      </w:r>
    </w:p>
    <w:p w14:paraId="3DB6799B">
      <w:pPr>
        <w:widowControl w:val="0"/>
        <w:wordWrap w:val="0"/>
        <w:spacing w:line="360" w:lineRule="auto"/>
        <w:ind w:firstLine="420" w:firstLineChars="200"/>
        <w:rPr>
          <w:rFonts w:ascii="宋体" w:hAnsi="宋体" w:eastAsia="宋体" w:cs="宋体"/>
          <w:kern w:val="2"/>
          <w:szCs w:val="21"/>
          <w:u w:val="single"/>
        </w:rPr>
      </w:pPr>
      <w:r>
        <w:rPr>
          <w:rFonts w:hint="eastAsia" w:ascii="宋体" w:hAnsi="宋体" w:eastAsia="宋体" w:cs="宋体"/>
          <w:kern w:val="2"/>
          <w:szCs w:val="24"/>
        </w:rPr>
        <w:t>9.4其他：</w:t>
      </w:r>
      <w:r>
        <w:rPr>
          <w:rFonts w:hint="eastAsia" w:ascii="宋体" w:hAnsi="宋体" w:eastAsia="宋体" w:cs="宋体"/>
          <w:kern w:val="2"/>
          <w:szCs w:val="21"/>
          <w:u w:val="single"/>
        </w:rPr>
        <w:t>如乙方公司实际提供的产品无法满足招投标文件要求的，甲方有权要求乙方更换产品，若乙方更换3次仍未能达到招投标文件要求的，则甲方有权单方解除合同，并扣除乙方全部履约保证金，如给甲方造成损失的甲方有权继续追究乙方违约责任，因此导致的乙方任何经济损失，甲方不承担赔偿责任，也不给予任何经济补偿。</w:t>
      </w:r>
    </w:p>
    <w:p w14:paraId="06FEB9C6">
      <w:pPr>
        <w:widowControl w:val="0"/>
        <w:tabs>
          <w:tab w:val="left" w:pos="319"/>
        </w:tabs>
        <w:spacing w:line="360" w:lineRule="auto"/>
        <w:jc w:val="both"/>
        <w:rPr>
          <w:rFonts w:eastAsia="宋体"/>
          <w:kern w:val="2"/>
          <w:szCs w:val="24"/>
        </w:rPr>
      </w:pPr>
      <w:r>
        <w:rPr>
          <w:rFonts w:hint="eastAsia" w:ascii="宋体" w:hAnsi="宋体" w:eastAsia="宋体" w:cs="宋体"/>
          <w:b/>
          <w:bCs/>
          <w:kern w:val="2"/>
          <w:sz w:val="28"/>
          <w:szCs w:val="28"/>
        </w:rPr>
        <w:t>10.其他约定事项</w:t>
      </w:r>
    </w:p>
    <w:p w14:paraId="48F6D405">
      <w:pPr>
        <w:widowControl w:val="0"/>
        <w:spacing w:line="360" w:lineRule="auto"/>
        <w:jc w:val="both"/>
        <w:rPr>
          <w:rFonts w:eastAsia="宋体"/>
          <w:kern w:val="2"/>
          <w:szCs w:val="24"/>
        </w:rPr>
      </w:pPr>
      <w:r>
        <w:rPr>
          <w:rFonts w:hint="eastAsia" w:ascii="宋体" w:hAnsi="宋体" w:eastAsia="宋体" w:cs="宋体"/>
          <w:kern w:val="2"/>
          <w:szCs w:val="21"/>
          <w:u w:val="single"/>
        </w:rPr>
        <w:t xml:space="preserve">                            </w:t>
      </w:r>
      <w:r>
        <w:rPr>
          <w:rFonts w:hint="eastAsia" w:eastAsia="宋体" w:cs="宋体"/>
          <w:kern w:val="2"/>
          <w:szCs w:val="24"/>
        </w:rPr>
        <w:t>。</w:t>
      </w:r>
      <w:r>
        <w:rPr>
          <w:rFonts w:hint="eastAsia" w:ascii="宋体" w:hAnsi="宋体" w:eastAsia="宋体" w:cs="宋体"/>
          <w:kern w:val="2"/>
          <w:szCs w:val="24"/>
        </w:rPr>
        <w:t xml:space="preserve"> </w:t>
      </w:r>
    </w:p>
    <w:p w14:paraId="25E8BB79">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11.争议解决</w:t>
      </w:r>
    </w:p>
    <w:p w14:paraId="64BE7C38">
      <w:pPr>
        <w:widowControl w:val="0"/>
        <w:spacing w:line="360" w:lineRule="auto"/>
        <w:ind w:firstLine="420"/>
        <w:jc w:val="both"/>
        <w:rPr>
          <w:rFonts w:ascii="宋体" w:hAnsi="宋体" w:eastAsia="宋体" w:cs="宋体"/>
          <w:bCs/>
          <w:kern w:val="2"/>
          <w:szCs w:val="21"/>
        </w:rPr>
      </w:pPr>
      <w:r>
        <w:rPr>
          <w:rFonts w:hint="eastAsia" w:ascii="宋体" w:hAnsi="宋体" w:eastAsia="宋体" w:cs="宋体"/>
          <w:kern w:val="2"/>
          <w:szCs w:val="21"/>
        </w:rPr>
        <w:t>本合同的订立、效力、解释、履行、争议的解决均适用中华人民共和国法律。本合同执行中引起的争议及未尽事宜，双方应本着友好合作的精神协商解决。如协商不成，任何一方均可向甲方所在地人民法院提起诉讼。</w:t>
      </w:r>
    </w:p>
    <w:p w14:paraId="2762CF43">
      <w:pPr>
        <w:widowControl w:val="0"/>
        <w:spacing w:line="360" w:lineRule="auto"/>
        <w:jc w:val="both"/>
        <w:rPr>
          <w:rFonts w:ascii="宋体" w:hAnsi="宋体" w:eastAsia="宋体" w:cs="宋体"/>
          <w:b/>
          <w:bCs/>
          <w:kern w:val="2"/>
          <w:sz w:val="28"/>
          <w:szCs w:val="28"/>
        </w:rPr>
      </w:pPr>
      <w:r>
        <w:rPr>
          <w:rFonts w:hint="eastAsia" w:ascii="宋体" w:hAnsi="宋体" w:eastAsia="宋体" w:cs="宋体"/>
          <w:b/>
          <w:bCs/>
          <w:kern w:val="2"/>
          <w:sz w:val="28"/>
          <w:szCs w:val="28"/>
        </w:rPr>
        <w:t>12.合同生效和其他</w:t>
      </w:r>
    </w:p>
    <w:p w14:paraId="5389B320">
      <w:pPr>
        <w:widowControl w:val="0"/>
        <w:spacing w:line="360" w:lineRule="auto"/>
        <w:ind w:firstLine="420" w:firstLineChars="200"/>
        <w:jc w:val="both"/>
        <w:rPr>
          <w:rFonts w:ascii="宋体" w:hAnsi="宋体" w:eastAsia="宋体" w:cs="宋体"/>
          <w:bCs/>
          <w:kern w:val="2"/>
          <w:szCs w:val="21"/>
        </w:rPr>
      </w:pPr>
      <w:r>
        <w:rPr>
          <w:rFonts w:hint="eastAsia" w:ascii="宋体" w:hAnsi="宋体" w:eastAsia="宋体" w:cs="宋体"/>
          <w:bCs/>
          <w:kern w:val="2"/>
          <w:szCs w:val="21"/>
        </w:rPr>
        <w:t>12.1本合同附件、相关的</w:t>
      </w:r>
      <w:r>
        <w:rPr>
          <w:rFonts w:hint="eastAsia" w:ascii="宋体" w:hAnsi="宋体" w:eastAsia="宋体" w:cs="宋体"/>
          <w:bCs/>
          <w:kern w:val="2"/>
          <w:szCs w:val="21"/>
          <w:u w:val="single"/>
        </w:rPr>
        <w:t>招投标资料/谈判纪要以及与本合同相关的其他文件</w:t>
      </w:r>
      <w:r>
        <w:rPr>
          <w:rFonts w:hint="eastAsia" w:ascii="宋体" w:hAnsi="宋体" w:eastAsia="宋体" w:cs="宋体"/>
          <w:bCs/>
          <w:kern w:val="2"/>
          <w:szCs w:val="21"/>
        </w:rPr>
        <w:t>均为本合同的组成部分，与本合同具有同等法律效力；若存在不一致之处或不明确之处，甲乙双方同意以最有利于甲方利益的文件或文意进行解释。</w:t>
      </w:r>
    </w:p>
    <w:p w14:paraId="4D691663">
      <w:pPr>
        <w:widowControl w:val="0"/>
        <w:spacing w:line="360" w:lineRule="auto"/>
        <w:ind w:firstLine="420" w:firstLineChars="200"/>
        <w:jc w:val="both"/>
        <w:rPr>
          <w:rFonts w:ascii="宋体" w:hAnsi="宋体" w:eastAsia="宋体" w:cs="宋体"/>
          <w:bCs/>
          <w:kern w:val="2"/>
          <w:szCs w:val="21"/>
        </w:rPr>
      </w:pPr>
      <w:r>
        <w:rPr>
          <w:rFonts w:hint="eastAsia" w:ascii="宋体" w:hAnsi="宋体" w:eastAsia="宋体" w:cs="宋体"/>
          <w:bCs/>
          <w:kern w:val="2"/>
          <w:szCs w:val="21"/>
        </w:rPr>
        <w:t>12.2本合同一式</w:t>
      </w:r>
      <w:r>
        <w:rPr>
          <w:rFonts w:hint="eastAsia" w:ascii="宋体" w:hAnsi="宋体" w:eastAsia="宋体" w:cs="宋体"/>
          <w:bCs/>
          <w:kern w:val="2"/>
          <w:szCs w:val="21"/>
          <w:u w:val="single"/>
        </w:rPr>
        <w:t xml:space="preserve"> 伍 </w:t>
      </w:r>
      <w:r>
        <w:rPr>
          <w:rFonts w:hint="eastAsia" w:ascii="宋体" w:hAnsi="宋体" w:eastAsia="宋体" w:cs="宋体"/>
          <w:bCs/>
          <w:kern w:val="2"/>
          <w:szCs w:val="21"/>
        </w:rPr>
        <w:t>份，自甲乙双方法定代表人或其授权代表签名并加盖单位印章（注：甲方加盖单位印章为甲方单位经济合同专用章）之日起生效，甲方持有</w:t>
      </w:r>
      <w:r>
        <w:rPr>
          <w:rFonts w:hint="eastAsia" w:ascii="宋体" w:hAnsi="宋体" w:eastAsia="宋体" w:cs="宋体"/>
          <w:bCs/>
          <w:kern w:val="2"/>
          <w:szCs w:val="21"/>
          <w:u w:val="single"/>
        </w:rPr>
        <w:t xml:space="preserve"> 肆 </w:t>
      </w:r>
      <w:r>
        <w:rPr>
          <w:rFonts w:hint="eastAsia" w:ascii="宋体" w:hAnsi="宋体" w:eastAsia="宋体" w:cs="宋体"/>
          <w:bCs/>
          <w:kern w:val="2"/>
          <w:szCs w:val="21"/>
        </w:rPr>
        <w:t>份，乙方持有</w:t>
      </w:r>
      <w:r>
        <w:rPr>
          <w:rFonts w:hint="eastAsia" w:ascii="宋体" w:hAnsi="宋体" w:eastAsia="宋体" w:cs="宋体"/>
          <w:bCs/>
          <w:kern w:val="2"/>
          <w:szCs w:val="21"/>
          <w:u w:val="single"/>
        </w:rPr>
        <w:t xml:space="preserve">壹 </w:t>
      </w:r>
      <w:r>
        <w:rPr>
          <w:rFonts w:hint="eastAsia" w:ascii="宋体" w:hAnsi="宋体" w:eastAsia="宋体" w:cs="宋体"/>
          <w:bCs/>
          <w:kern w:val="2"/>
          <w:szCs w:val="21"/>
        </w:rPr>
        <w:t>份，均具有同等法律效力。</w:t>
      </w:r>
    </w:p>
    <w:p w14:paraId="3ABA3C16">
      <w:pPr>
        <w:keepNext/>
        <w:keepLines/>
        <w:widowControl w:val="0"/>
        <w:spacing w:before="260" w:after="260" w:line="360" w:lineRule="auto"/>
        <w:jc w:val="both"/>
        <w:outlineLvl w:val="1"/>
        <w:rPr>
          <w:rFonts w:ascii="宋体" w:hAnsi="宋体" w:eastAsia="宋体" w:cs="宋体"/>
          <w:szCs w:val="21"/>
          <w:lang w:bidi="ar"/>
        </w:rPr>
      </w:pPr>
      <w:bookmarkStart w:id="337" w:name="_Toc4104"/>
      <w:r>
        <w:rPr>
          <w:rFonts w:hint="eastAsia" w:ascii="宋体" w:hAnsi="宋体" w:eastAsia="宋体" w:cs="宋体"/>
          <w:szCs w:val="21"/>
          <w:lang w:bidi="ar"/>
        </w:rPr>
        <w:t>附件：</w:t>
      </w:r>
      <w:bookmarkEnd w:id="337"/>
    </w:p>
    <w:p w14:paraId="1D0EFE35">
      <w:pPr>
        <w:keepNext/>
        <w:keepLines/>
        <w:widowControl w:val="0"/>
        <w:spacing w:before="260" w:after="260" w:line="360" w:lineRule="auto"/>
        <w:jc w:val="both"/>
        <w:outlineLvl w:val="1"/>
        <w:rPr>
          <w:rFonts w:ascii="Calibri Light" w:hAnsi="Calibri Light" w:eastAsia="宋体"/>
          <w:b/>
          <w:bCs/>
          <w:kern w:val="2"/>
          <w:sz w:val="32"/>
          <w:szCs w:val="32"/>
        </w:rPr>
      </w:pPr>
      <w:bookmarkStart w:id="338" w:name="_Toc14348"/>
      <w:r>
        <w:rPr>
          <w:rFonts w:hint="eastAsia" w:ascii="宋体" w:hAnsi="宋体" w:eastAsia="宋体" w:cs="宋体"/>
          <w:szCs w:val="21"/>
          <w:lang w:bidi="ar"/>
        </w:rPr>
        <w:sym w:font="Wingdings 2" w:char="00A3"/>
      </w:r>
      <w:r>
        <w:rPr>
          <w:rFonts w:hint="eastAsia" w:ascii="宋体" w:hAnsi="宋体" w:eastAsia="宋体" w:cs="宋体"/>
          <w:szCs w:val="21"/>
          <w:lang w:bidi="ar"/>
        </w:rPr>
        <w:t>货物配置表</w:t>
      </w:r>
      <w:bookmarkEnd w:id="338"/>
    </w:p>
    <w:p w14:paraId="2CA10EF0">
      <w:pPr>
        <w:keepNext/>
        <w:keepLines/>
        <w:widowControl w:val="0"/>
        <w:spacing w:before="260" w:after="260" w:line="360" w:lineRule="auto"/>
        <w:jc w:val="both"/>
        <w:outlineLvl w:val="1"/>
        <w:rPr>
          <w:rFonts w:ascii="Calibri Light" w:hAnsi="Calibri Light" w:eastAsia="宋体"/>
          <w:b/>
          <w:bCs/>
          <w:kern w:val="2"/>
          <w:sz w:val="32"/>
          <w:szCs w:val="32"/>
        </w:rPr>
      </w:pPr>
      <w:bookmarkStart w:id="339" w:name="_Toc15962"/>
      <w:r>
        <w:rPr>
          <w:rFonts w:hint="eastAsia" w:ascii="宋体" w:hAnsi="宋体" w:eastAsia="宋体" w:cs="宋体"/>
          <w:szCs w:val="21"/>
          <w:lang w:bidi="ar"/>
        </w:rPr>
        <w:sym w:font="Wingdings 2" w:char="00A3"/>
      </w:r>
      <w:r>
        <w:rPr>
          <w:rFonts w:hint="eastAsia" w:ascii="宋体" w:hAnsi="宋体" w:eastAsia="宋体" w:cs="宋体"/>
          <w:szCs w:val="21"/>
          <w:lang w:bidi="ar"/>
        </w:rPr>
        <w:t>货物技术参数</w:t>
      </w:r>
      <w:bookmarkEnd w:id="339"/>
    </w:p>
    <w:p w14:paraId="1B077127">
      <w:pPr>
        <w:widowControl w:val="0"/>
        <w:spacing w:line="360" w:lineRule="auto"/>
        <w:ind w:firstLine="420"/>
        <w:jc w:val="both"/>
        <w:rPr>
          <w:rFonts w:eastAsia="宋体"/>
          <w:kern w:val="2"/>
          <w:szCs w:val="24"/>
        </w:rPr>
      </w:pPr>
      <w:r>
        <w:rPr>
          <w:rFonts w:hint="eastAsia" w:ascii="宋体" w:hAnsi="宋体" w:eastAsia="宋体" w:cs="宋体"/>
          <w:bCs/>
          <w:kern w:val="2"/>
          <w:szCs w:val="21"/>
        </w:rPr>
        <w:t>（以下无正文）</w:t>
      </w:r>
    </w:p>
    <w:p w14:paraId="4E23E587">
      <w:pPr>
        <w:widowControl w:val="0"/>
        <w:spacing w:line="360" w:lineRule="auto"/>
        <w:jc w:val="both"/>
        <w:rPr>
          <w:rFonts w:eastAsia="宋体"/>
          <w:kern w:val="2"/>
          <w:szCs w:val="24"/>
        </w:rPr>
      </w:pPr>
    </w:p>
    <w:tbl>
      <w:tblPr>
        <w:tblStyle w:val="39"/>
        <w:tblpPr w:leftFromText="180" w:rightFromText="180" w:vertAnchor="text" w:horzAnchor="page" w:tblpX="1590" w:tblpY="-138"/>
        <w:tblOverlap w:val="never"/>
        <w:tblW w:w="8900" w:type="dxa"/>
        <w:tblInd w:w="0" w:type="dxa"/>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top w:w="0" w:type="dxa"/>
          <w:left w:w="10" w:type="dxa"/>
          <w:bottom w:w="0" w:type="dxa"/>
          <w:right w:w="10" w:type="dxa"/>
        </w:tblCellMar>
      </w:tblPr>
      <w:tblGrid>
        <w:gridCol w:w="4702"/>
        <w:gridCol w:w="4198"/>
      </w:tblGrid>
      <w:tr w14:paraId="48AC776A">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72DDC9A6">
            <w:pPr>
              <w:widowControl w:val="0"/>
              <w:wordWrap w:val="0"/>
              <w:spacing w:line="360" w:lineRule="auto"/>
              <w:rPr>
                <w:rFonts w:eastAsia="宋体"/>
                <w:kern w:val="2"/>
                <w:sz w:val="24"/>
                <w:szCs w:val="32"/>
              </w:rPr>
            </w:pPr>
            <w:r>
              <w:rPr>
                <w:rFonts w:ascii="宋体" w:hAnsi="宋体" w:eastAsia="宋体" w:cs="宋体"/>
                <w:kern w:val="2"/>
                <w:sz w:val="24"/>
                <w:szCs w:val="32"/>
              </w:rPr>
              <w:t>甲方(</w:t>
            </w:r>
            <w:r>
              <w:rPr>
                <w:rFonts w:hint="eastAsia" w:ascii="宋体" w:hAnsi="宋体" w:eastAsia="宋体" w:cs="宋体"/>
                <w:kern w:val="2"/>
                <w:sz w:val="24"/>
                <w:szCs w:val="32"/>
              </w:rPr>
              <w:t>盖</w:t>
            </w:r>
            <w:r>
              <w:rPr>
                <w:rFonts w:ascii="宋体" w:hAnsi="宋体" w:eastAsia="宋体" w:cs="宋体"/>
                <w:kern w:val="2"/>
                <w:sz w:val="24"/>
                <w:szCs w:val="32"/>
              </w:rPr>
              <w:t>章)：南京中医药大学</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057A5DC8">
            <w:pPr>
              <w:widowControl w:val="0"/>
              <w:wordWrap w:val="0"/>
              <w:spacing w:line="360" w:lineRule="auto"/>
              <w:rPr>
                <w:rFonts w:eastAsia="宋体"/>
                <w:kern w:val="2"/>
                <w:sz w:val="24"/>
                <w:szCs w:val="32"/>
              </w:rPr>
            </w:pPr>
            <w:r>
              <w:rPr>
                <w:rFonts w:ascii="宋体" w:hAnsi="宋体" w:eastAsia="宋体" w:cs="宋体"/>
                <w:kern w:val="2"/>
                <w:sz w:val="24"/>
                <w:szCs w:val="32"/>
              </w:rPr>
              <w:t>乙方(</w:t>
            </w:r>
            <w:r>
              <w:rPr>
                <w:rFonts w:hint="eastAsia" w:ascii="宋体" w:hAnsi="宋体" w:eastAsia="宋体" w:cs="宋体"/>
                <w:kern w:val="2"/>
                <w:sz w:val="24"/>
                <w:szCs w:val="32"/>
              </w:rPr>
              <w:t>盖</w:t>
            </w:r>
            <w:r>
              <w:rPr>
                <w:rFonts w:ascii="宋体" w:hAnsi="宋体" w:eastAsia="宋体" w:cs="宋体"/>
                <w:kern w:val="2"/>
                <w:sz w:val="24"/>
                <w:szCs w:val="32"/>
              </w:rPr>
              <w:t>章)</w:t>
            </w:r>
            <w:r>
              <w:rPr>
                <w:rFonts w:hint="eastAsia" w:ascii="宋体" w:hAnsi="宋体" w:eastAsia="宋体" w:cs="宋体"/>
                <w:kern w:val="2"/>
                <w:sz w:val="24"/>
                <w:szCs w:val="32"/>
              </w:rPr>
              <w:t>：</w:t>
            </w:r>
          </w:p>
        </w:tc>
      </w:tr>
      <w:tr w14:paraId="4ED461D1">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81" w:hRule="exact"/>
        </w:trPr>
        <w:tc>
          <w:tcPr>
            <w:tcW w:w="4702" w:type="dxa"/>
            <w:tcBorders>
              <w:top w:val="nil"/>
              <w:left w:val="single" w:color="auto" w:sz="6" w:space="0"/>
              <w:bottom w:val="nil"/>
              <w:right w:val="nil"/>
            </w:tcBorders>
            <w:noWrap w:val="0"/>
            <w:tcMar>
              <w:top w:w="20" w:type="dxa"/>
              <w:left w:w="20" w:type="dxa"/>
              <w:bottom w:w="20" w:type="dxa"/>
              <w:right w:w="20" w:type="dxa"/>
            </w:tcMar>
            <w:vAlign w:val="center"/>
          </w:tcPr>
          <w:p w14:paraId="429ACBF9">
            <w:pPr>
              <w:widowControl w:val="0"/>
              <w:wordWrap w:val="0"/>
              <w:spacing w:line="360" w:lineRule="auto"/>
              <w:jc w:val="both"/>
              <w:rPr>
                <w:rFonts w:eastAsia="宋体"/>
                <w:kern w:val="2"/>
                <w:szCs w:val="24"/>
              </w:rPr>
            </w:pPr>
          </w:p>
          <w:p w14:paraId="48AFB27B">
            <w:pPr>
              <w:keepNext/>
              <w:keepLines/>
              <w:widowControl w:val="0"/>
              <w:spacing w:before="260" w:after="260" w:line="416" w:lineRule="auto"/>
              <w:jc w:val="both"/>
              <w:outlineLvl w:val="1"/>
              <w:rPr>
                <w:rFonts w:ascii="Calibri Light" w:hAnsi="Calibri Light" w:eastAsia="宋体"/>
                <w:b/>
                <w:bCs/>
                <w:kern w:val="2"/>
                <w:sz w:val="32"/>
                <w:szCs w:val="32"/>
              </w:rPr>
            </w:pPr>
          </w:p>
          <w:p w14:paraId="170F30B5">
            <w:pPr>
              <w:widowControl w:val="0"/>
              <w:jc w:val="both"/>
              <w:rPr>
                <w:rFonts w:eastAsia="宋体"/>
                <w:kern w:val="2"/>
                <w:szCs w:val="24"/>
              </w:rPr>
            </w:pPr>
          </w:p>
        </w:tc>
        <w:tc>
          <w:tcPr>
            <w:tcW w:w="4198"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195EE419">
            <w:pPr>
              <w:widowControl w:val="0"/>
              <w:wordWrap w:val="0"/>
              <w:spacing w:line="360" w:lineRule="auto"/>
              <w:jc w:val="both"/>
              <w:rPr>
                <w:rFonts w:eastAsia="宋体"/>
                <w:kern w:val="2"/>
                <w:szCs w:val="24"/>
              </w:rPr>
            </w:pPr>
          </w:p>
          <w:p w14:paraId="7B604EC9">
            <w:pPr>
              <w:keepNext/>
              <w:keepLines/>
              <w:widowControl w:val="0"/>
              <w:spacing w:before="260" w:after="260" w:line="416" w:lineRule="auto"/>
              <w:jc w:val="both"/>
              <w:outlineLvl w:val="1"/>
              <w:rPr>
                <w:rFonts w:ascii="Calibri Light" w:hAnsi="Calibri Light" w:eastAsia="宋体"/>
                <w:b/>
                <w:bCs/>
                <w:kern w:val="2"/>
                <w:sz w:val="32"/>
                <w:szCs w:val="32"/>
              </w:rPr>
            </w:pPr>
          </w:p>
        </w:tc>
      </w:tr>
      <w:tr w14:paraId="5CE4934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noWrap w:val="0"/>
            <w:tcMar>
              <w:top w:w="20" w:type="dxa"/>
              <w:left w:w="20" w:type="dxa"/>
              <w:bottom w:w="20" w:type="dxa"/>
              <w:right w:w="20" w:type="dxa"/>
            </w:tcMar>
            <w:vAlign w:val="center"/>
          </w:tcPr>
          <w:p w14:paraId="26D801D2">
            <w:pPr>
              <w:widowControl w:val="0"/>
              <w:wordWrap w:val="0"/>
              <w:spacing w:line="360" w:lineRule="auto"/>
              <w:ind w:firstLine="2880" w:firstLineChars="1200"/>
              <w:rPr>
                <w:rFonts w:eastAsia="宋体"/>
                <w:kern w:val="2"/>
                <w:sz w:val="24"/>
                <w:szCs w:val="32"/>
              </w:rPr>
            </w:pPr>
            <w:r>
              <w:rPr>
                <w:rFonts w:ascii="宋体" w:hAnsi="宋体" w:eastAsia="宋体" w:cs="宋体"/>
                <w:kern w:val="2"/>
                <w:sz w:val="24"/>
                <w:szCs w:val="32"/>
              </w:rPr>
              <w:t>　</w:t>
            </w:r>
          </w:p>
        </w:tc>
        <w:tc>
          <w:tcPr>
            <w:tcW w:w="4198"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09B5597C">
            <w:pPr>
              <w:widowControl w:val="0"/>
              <w:wordWrap w:val="0"/>
              <w:spacing w:line="360" w:lineRule="auto"/>
              <w:ind w:firstLine="2880" w:firstLineChars="1200"/>
              <w:rPr>
                <w:rFonts w:eastAsia="宋体"/>
                <w:kern w:val="2"/>
                <w:sz w:val="24"/>
                <w:szCs w:val="32"/>
              </w:rPr>
            </w:pPr>
          </w:p>
        </w:tc>
      </w:tr>
      <w:tr w14:paraId="07D6F3F6">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52E95080">
            <w:pPr>
              <w:widowControl w:val="0"/>
              <w:wordWrap w:val="0"/>
              <w:spacing w:line="360" w:lineRule="auto"/>
              <w:rPr>
                <w:rFonts w:eastAsia="宋体"/>
                <w:kern w:val="2"/>
                <w:sz w:val="24"/>
                <w:szCs w:val="32"/>
              </w:rPr>
            </w:pPr>
            <w:r>
              <w:rPr>
                <w:rFonts w:ascii="宋体" w:hAnsi="宋体" w:eastAsia="宋体" w:cs="宋体"/>
                <w:kern w:val="2"/>
                <w:sz w:val="24"/>
                <w:szCs w:val="32"/>
              </w:rPr>
              <w:t>单位地址：南京仙林大学城仙林大道138号</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1E9BDEBF">
            <w:pPr>
              <w:widowControl w:val="0"/>
              <w:wordWrap w:val="0"/>
              <w:spacing w:line="360" w:lineRule="auto"/>
              <w:rPr>
                <w:rFonts w:eastAsia="宋体"/>
                <w:kern w:val="2"/>
                <w:sz w:val="24"/>
                <w:szCs w:val="32"/>
              </w:rPr>
            </w:pPr>
            <w:r>
              <w:rPr>
                <w:rFonts w:ascii="宋体" w:hAnsi="宋体" w:eastAsia="宋体" w:cs="宋体"/>
                <w:kern w:val="2"/>
                <w:sz w:val="24"/>
                <w:szCs w:val="32"/>
              </w:rPr>
              <w:t>单位地址：　　　　　　　　　　　</w:t>
            </w:r>
          </w:p>
        </w:tc>
      </w:tr>
      <w:tr w14:paraId="5CEC593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4DBF7F8A">
            <w:pPr>
              <w:widowControl w:val="0"/>
              <w:wordWrap w:val="0"/>
              <w:spacing w:line="360" w:lineRule="auto"/>
              <w:rPr>
                <w:rFonts w:eastAsia="宋体"/>
                <w:kern w:val="2"/>
                <w:sz w:val="24"/>
                <w:szCs w:val="32"/>
              </w:rPr>
            </w:pPr>
            <w:r>
              <w:rPr>
                <w:rFonts w:ascii="宋体" w:hAnsi="宋体" w:eastAsia="宋体" w:cs="宋体"/>
                <w:kern w:val="2"/>
                <w:sz w:val="24"/>
                <w:szCs w:val="32"/>
              </w:rPr>
              <w:t>法定代表人（或</w:t>
            </w:r>
            <w:r>
              <w:rPr>
                <w:rFonts w:hint="eastAsia" w:ascii="宋体" w:hAnsi="宋体" w:eastAsia="宋体" w:cs="宋体"/>
                <w:kern w:val="2"/>
                <w:sz w:val="24"/>
                <w:szCs w:val="32"/>
              </w:rPr>
              <w:t>授权代表</w:t>
            </w:r>
            <w:r>
              <w:rPr>
                <w:rFonts w:ascii="宋体" w:hAnsi="宋体" w:eastAsia="宋体" w:cs="宋体"/>
                <w:kern w:val="2"/>
                <w:sz w:val="24"/>
                <w:szCs w:val="32"/>
              </w:rPr>
              <w:t>）</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123716BF">
            <w:pPr>
              <w:widowControl w:val="0"/>
              <w:wordWrap w:val="0"/>
              <w:spacing w:line="360" w:lineRule="auto"/>
              <w:rPr>
                <w:rFonts w:eastAsia="宋体"/>
                <w:kern w:val="2"/>
                <w:sz w:val="24"/>
                <w:szCs w:val="32"/>
              </w:rPr>
            </w:pPr>
            <w:r>
              <w:rPr>
                <w:rFonts w:ascii="宋体" w:hAnsi="宋体" w:eastAsia="宋体" w:cs="宋体"/>
                <w:kern w:val="2"/>
                <w:sz w:val="24"/>
                <w:szCs w:val="32"/>
              </w:rPr>
              <w:t>法定代表人（或</w:t>
            </w:r>
            <w:r>
              <w:rPr>
                <w:rFonts w:hint="eastAsia" w:ascii="宋体" w:hAnsi="宋体" w:eastAsia="宋体" w:cs="宋体"/>
                <w:kern w:val="2"/>
                <w:sz w:val="24"/>
                <w:szCs w:val="32"/>
              </w:rPr>
              <w:t>授权代表</w:t>
            </w:r>
            <w:r>
              <w:rPr>
                <w:rFonts w:ascii="宋体" w:hAnsi="宋体" w:eastAsia="宋体" w:cs="宋体"/>
                <w:kern w:val="2"/>
                <w:sz w:val="24"/>
                <w:szCs w:val="32"/>
              </w:rPr>
              <w:t>）</w:t>
            </w:r>
          </w:p>
        </w:tc>
      </w:tr>
      <w:tr w14:paraId="000E5745">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24" w:hRule="atLeast"/>
        </w:trPr>
        <w:tc>
          <w:tcPr>
            <w:tcW w:w="4702" w:type="dxa"/>
            <w:tcBorders>
              <w:top w:val="nil"/>
              <w:left w:val="single" w:color="auto" w:sz="6" w:space="0"/>
              <w:bottom w:val="nil"/>
              <w:right w:val="nil"/>
            </w:tcBorders>
            <w:noWrap w:val="0"/>
            <w:tcMar>
              <w:top w:w="20" w:type="dxa"/>
              <w:left w:w="20" w:type="dxa"/>
              <w:bottom w:w="20" w:type="dxa"/>
              <w:right w:w="20" w:type="dxa"/>
            </w:tcMar>
            <w:vAlign w:val="center"/>
          </w:tcPr>
          <w:p w14:paraId="505367B7">
            <w:pPr>
              <w:widowControl w:val="0"/>
              <w:wordWrap w:val="0"/>
              <w:spacing w:line="360" w:lineRule="auto"/>
              <w:jc w:val="both"/>
              <w:rPr>
                <w:rFonts w:ascii="宋体" w:hAnsi="宋体" w:eastAsia="宋体" w:cs="宋体"/>
                <w:kern w:val="2"/>
                <w:sz w:val="24"/>
                <w:szCs w:val="32"/>
              </w:rPr>
            </w:pPr>
            <w:r>
              <w:rPr>
                <w:rFonts w:ascii="宋体" w:hAnsi="宋体" w:eastAsia="宋体" w:cs="宋体"/>
                <w:kern w:val="2"/>
                <w:sz w:val="24"/>
                <w:szCs w:val="32"/>
              </w:rPr>
              <w:t>（签</w:t>
            </w:r>
            <w:r>
              <w:rPr>
                <w:rFonts w:hint="eastAsia" w:ascii="宋体" w:hAnsi="宋体" w:eastAsia="宋体" w:cs="宋体"/>
                <w:kern w:val="2"/>
                <w:sz w:val="24"/>
                <w:szCs w:val="32"/>
              </w:rPr>
              <w:t>名</w:t>
            </w:r>
            <w:r>
              <w:rPr>
                <w:rFonts w:ascii="宋体" w:hAnsi="宋体" w:eastAsia="宋体" w:cs="宋体"/>
                <w:kern w:val="2"/>
                <w:sz w:val="24"/>
                <w:szCs w:val="32"/>
              </w:rPr>
              <w:t>）：</w:t>
            </w:r>
            <w:r>
              <w:rPr>
                <w:rFonts w:hint="eastAsia" w:ascii="宋体" w:hAnsi="宋体" w:eastAsia="宋体" w:cs="宋体"/>
                <w:kern w:val="2"/>
                <w:sz w:val="24"/>
                <w:szCs w:val="32"/>
              </w:rPr>
              <w:t xml:space="preserve">            </w:t>
            </w:r>
          </w:p>
          <w:p w14:paraId="24073FDD">
            <w:pPr>
              <w:widowControl w:val="0"/>
              <w:wordWrap w:val="0"/>
              <w:spacing w:line="360" w:lineRule="auto"/>
              <w:ind w:firstLine="960" w:firstLineChars="400"/>
              <w:jc w:val="right"/>
              <w:rPr>
                <w:rFonts w:ascii="宋体" w:hAnsi="宋体" w:eastAsia="宋体" w:cs="宋体"/>
                <w:kern w:val="2"/>
                <w:sz w:val="24"/>
                <w:szCs w:val="32"/>
              </w:rPr>
            </w:pPr>
            <w:r>
              <w:rPr>
                <w:rFonts w:ascii="宋体" w:hAnsi="宋体" w:eastAsia="宋体" w:cs="宋体"/>
                <w:kern w:val="2"/>
                <w:sz w:val="24"/>
                <w:szCs w:val="32"/>
              </w:rPr>
              <w:t>年　月　日</w:t>
            </w:r>
          </w:p>
        </w:tc>
        <w:tc>
          <w:tcPr>
            <w:tcW w:w="4198" w:type="dxa"/>
            <w:tcBorders>
              <w:top w:val="nil"/>
              <w:left w:val="single" w:color="auto" w:sz="6" w:space="0"/>
              <w:bottom w:val="nil"/>
              <w:right w:val="single" w:color="auto" w:sz="6" w:space="0"/>
            </w:tcBorders>
            <w:noWrap w:val="0"/>
            <w:tcMar>
              <w:top w:w="20" w:type="dxa"/>
              <w:left w:w="20" w:type="dxa"/>
              <w:bottom w:w="20" w:type="dxa"/>
              <w:right w:w="20" w:type="dxa"/>
            </w:tcMar>
            <w:vAlign w:val="center"/>
          </w:tcPr>
          <w:p w14:paraId="77F2CA73">
            <w:pPr>
              <w:widowControl w:val="0"/>
              <w:wordWrap w:val="0"/>
              <w:spacing w:line="360" w:lineRule="auto"/>
              <w:jc w:val="both"/>
              <w:rPr>
                <w:rFonts w:ascii="宋体" w:hAnsi="宋体" w:eastAsia="宋体" w:cs="宋体"/>
                <w:kern w:val="2"/>
                <w:sz w:val="24"/>
                <w:szCs w:val="32"/>
              </w:rPr>
            </w:pPr>
            <w:r>
              <w:rPr>
                <w:rFonts w:ascii="宋体" w:hAnsi="宋体" w:eastAsia="宋体" w:cs="宋体"/>
                <w:kern w:val="2"/>
                <w:sz w:val="24"/>
                <w:szCs w:val="32"/>
              </w:rPr>
              <w:t>（签</w:t>
            </w:r>
            <w:r>
              <w:rPr>
                <w:rFonts w:hint="eastAsia" w:ascii="宋体" w:hAnsi="宋体" w:eastAsia="宋体" w:cs="宋体"/>
                <w:kern w:val="2"/>
                <w:sz w:val="24"/>
                <w:szCs w:val="32"/>
              </w:rPr>
              <w:t>名</w:t>
            </w:r>
            <w:r>
              <w:rPr>
                <w:rFonts w:ascii="宋体" w:hAnsi="宋体" w:eastAsia="宋体" w:cs="宋体"/>
                <w:kern w:val="2"/>
                <w:sz w:val="24"/>
                <w:szCs w:val="32"/>
              </w:rPr>
              <w:t>）：</w:t>
            </w:r>
          </w:p>
          <w:p w14:paraId="110C82A3">
            <w:pPr>
              <w:widowControl w:val="0"/>
              <w:wordWrap w:val="0"/>
              <w:spacing w:line="360" w:lineRule="auto"/>
              <w:ind w:firstLine="960" w:firstLineChars="400"/>
              <w:jc w:val="right"/>
              <w:rPr>
                <w:rFonts w:ascii="宋体" w:hAnsi="宋体" w:eastAsia="宋体" w:cs="宋体"/>
                <w:kern w:val="2"/>
                <w:sz w:val="24"/>
                <w:szCs w:val="32"/>
              </w:rPr>
            </w:pPr>
            <w:r>
              <w:rPr>
                <w:rFonts w:ascii="宋体" w:hAnsi="宋体" w:eastAsia="宋体" w:cs="宋体"/>
                <w:kern w:val="2"/>
                <w:sz w:val="24"/>
                <w:szCs w:val="32"/>
              </w:rPr>
              <w:t>年　月　日</w:t>
            </w:r>
          </w:p>
        </w:tc>
      </w:tr>
      <w:tr w14:paraId="3B1B621D">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36" w:hRule="atLeast"/>
        </w:trPr>
        <w:tc>
          <w:tcPr>
            <w:tcW w:w="4702" w:type="dxa"/>
            <w:tcBorders>
              <w:top w:val="single" w:color="auto" w:sz="6" w:space="0"/>
              <w:left w:val="single" w:color="auto" w:sz="6" w:space="0"/>
              <w:bottom w:val="nil"/>
              <w:right w:val="nil"/>
            </w:tcBorders>
            <w:noWrap w:val="0"/>
            <w:tcMar>
              <w:top w:w="20" w:type="dxa"/>
              <w:left w:w="20" w:type="dxa"/>
              <w:bottom w:w="20" w:type="dxa"/>
              <w:right w:w="20" w:type="dxa"/>
            </w:tcMar>
            <w:vAlign w:val="center"/>
          </w:tcPr>
          <w:p w14:paraId="0E4F0BD4">
            <w:pPr>
              <w:widowControl w:val="0"/>
              <w:wordWrap w:val="0"/>
              <w:spacing w:line="360" w:lineRule="auto"/>
              <w:rPr>
                <w:rFonts w:eastAsia="宋体"/>
                <w:kern w:val="2"/>
                <w:sz w:val="24"/>
                <w:szCs w:val="32"/>
              </w:rPr>
            </w:pPr>
            <w:r>
              <w:rPr>
                <w:rFonts w:ascii="宋体" w:hAnsi="宋体" w:eastAsia="宋体" w:cs="宋体"/>
                <w:kern w:val="2"/>
                <w:sz w:val="24"/>
                <w:szCs w:val="32"/>
              </w:rPr>
              <w:t>电话：　　　　　　</w:t>
            </w:r>
          </w:p>
        </w:tc>
        <w:tc>
          <w:tcPr>
            <w:tcW w:w="4198" w:type="dxa"/>
            <w:tcBorders>
              <w:top w:val="single" w:color="auto" w:sz="6" w:space="0"/>
              <w:left w:val="single" w:color="auto" w:sz="6" w:space="0"/>
              <w:bottom w:val="nil"/>
              <w:right w:val="single" w:color="auto" w:sz="6" w:space="0"/>
            </w:tcBorders>
            <w:noWrap w:val="0"/>
            <w:tcMar>
              <w:top w:w="20" w:type="dxa"/>
              <w:left w:w="20" w:type="dxa"/>
              <w:bottom w:w="20" w:type="dxa"/>
              <w:right w:w="20" w:type="dxa"/>
            </w:tcMar>
            <w:vAlign w:val="center"/>
          </w:tcPr>
          <w:p w14:paraId="0E773440">
            <w:pPr>
              <w:widowControl w:val="0"/>
              <w:wordWrap w:val="0"/>
              <w:spacing w:line="360" w:lineRule="auto"/>
              <w:rPr>
                <w:rFonts w:eastAsia="宋体"/>
                <w:kern w:val="2"/>
                <w:sz w:val="24"/>
                <w:szCs w:val="32"/>
              </w:rPr>
            </w:pPr>
            <w:r>
              <w:rPr>
                <w:rFonts w:ascii="宋体" w:hAnsi="宋体" w:eastAsia="宋体" w:cs="宋体"/>
                <w:kern w:val="2"/>
                <w:sz w:val="24"/>
                <w:szCs w:val="32"/>
              </w:rPr>
              <w:t>电话：　　　　　　</w:t>
            </w:r>
          </w:p>
        </w:tc>
      </w:tr>
      <w:tr w14:paraId="4E58802F">
        <w:tblPrEx>
          <w:tblBorders>
            <w:top w:val="none" w:color="auto" w:sz="0" w:space="0"/>
            <w:left w:val="none" w:color="auto" w:sz="0" w:space="0"/>
            <w:bottom w:val="none" w:color="auto" w:sz="0" w:space="0"/>
            <w:right w:val="none" w:color="auto" w:sz="0" w:space="0"/>
            <w:insideH w:val="single" w:color="auto" w:sz="0" w:space="0"/>
            <w:insideV w:val="single" w:color="auto" w:sz="0" w:space="0"/>
          </w:tblBorders>
          <w:tblCellMar>
            <w:top w:w="0" w:type="dxa"/>
            <w:left w:w="10" w:type="dxa"/>
            <w:bottom w:w="0" w:type="dxa"/>
            <w:right w:w="10" w:type="dxa"/>
          </w:tblCellMar>
        </w:tblPrEx>
        <w:trPr>
          <w:trHeight w:val="449" w:hRule="atLeast"/>
        </w:trPr>
        <w:tc>
          <w:tcPr>
            <w:tcW w:w="4702" w:type="dxa"/>
            <w:tcBorders>
              <w:top w:val="single" w:color="auto" w:sz="6" w:space="0"/>
              <w:left w:val="single" w:color="auto" w:sz="6" w:space="0"/>
              <w:bottom w:val="single" w:color="auto" w:sz="6" w:space="0"/>
              <w:right w:val="nil"/>
            </w:tcBorders>
            <w:noWrap w:val="0"/>
            <w:tcMar>
              <w:top w:w="20" w:type="dxa"/>
              <w:left w:w="20" w:type="dxa"/>
              <w:bottom w:w="20" w:type="dxa"/>
              <w:right w:w="20" w:type="dxa"/>
            </w:tcMar>
            <w:vAlign w:val="center"/>
          </w:tcPr>
          <w:p w14:paraId="1AAFCA99">
            <w:pPr>
              <w:widowControl w:val="0"/>
              <w:wordWrap w:val="0"/>
              <w:spacing w:line="360" w:lineRule="auto"/>
              <w:rPr>
                <w:rFonts w:eastAsia="宋体"/>
                <w:kern w:val="2"/>
                <w:sz w:val="24"/>
                <w:szCs w:val="32"/>
              </w:rPr>
            </w:pPr>
            <w:r>
              <w:rPr>
                <w:rFonts w:ascii="宋体" w:hAnsi="宋体" w:eastAsia="宋体" w:cs="宋体"/>
                <w:kern w:val="2"/>
                <w:sz w:val="24"/>
                <w:szCs w:val="32"/>
              </w:rPr>
              <w:t>邮政编码：21</w:t>
            </w:r>
            <w:r>
              <w:rPr>
                <w:rFonts w:hint="eastAsia" w:ascii="宋体" w:hAnsi="宋体" w:eastAsia="宋体" w:cs="宋体"/>
                <w:kern w:val="2"/>
                <w:sz w:val="24"/>
                <w:szCs w:val="32"/>
              </w:rPr>
              <w:t>0000</w:t>
            </w:r>
          </w:p>
        </w:tc>
        <w:tc>
          <w:tcPr>
            <w:tcW w:w="4198" w:type="dxa"/>
            <w:tcBorders>
              <w:top w:val="single" w:color="auto" w:sz="6" w:space="0"/>
              <w:left w:val="single" w:color="auto" w:sz="6" w:space="0"/>
              <w:bottom w:val="single" w:color="auto" w:sz="6" w:space="0"/>
              <w:right w:val="single" w:color="auto" w:sz="6" w:space="0"/>
            </w:tcBorders>
            <w:noWrap w:val="0"/>
            <w:tcMar>
              <w:top w:w="20" w:type="dxa"/>
              <w:left w:w="20" w:type="dxa"/>
              <w:bottom w:w="20" w:type="dxa"/>
              <w:right w:w="20" w:type="dxa"/>
            </w:tcMar>
            <w:vAlign w:val="center"/>
          </w:tcPr>
          <w:p w14:paraId="73DBA315">
            <w:pPr>
              <w:widowControl w:val="0"/>
              <w:wordWrap w:val="0"/>
              <w:spacing w:line="360" w:lineRule="auto"/>
              <w:rPr>
                <w:rFonts w:eastAsia="宋体"/>
                <w:kern w:val="2"/>
                <w:sz w:val="24"/>
                <w:szCs w:val="32"/>
              </w:rPr>
            </w:pPr>
            <w:r>
              <w:rPr>
                <w:rFonts w:ascii="宋体" w:hAnsi="宋体" w:eastAsia="宋体" w:cs="宋体"/>
                <w:kern w:val="2"/>
                <w:sz w:val="24"/>
                <w:szCs w:val="32"/>
              </w:rPr>
              <w:t>邮政编码：　　　　　　</w:t>
            </w:r>
          </w:p>
        </w:tc>
      </w:tr>
    </w:tbl>
    <w:p w14:paraId="54E8CB48">
      <w:pPr>
        <w:spacing w:before="145" w:after="145"/>
        <w:jc w:val="center"/>
        <w:outlineLvl w:val="0"/>
        <w:rPr>
          <w:rFonts w:hint="eastAsia" w:ascii="宋体" w:hAnsi="宋体"/>
          <w:b/>
          <w:sz w:val="30"/>
        </w:rPr>
      </w:pPr>
    </w:p>
    <w:bookmarkEnd w:id="331"/>
    <w:bookmarkEnd w:id="332"/>
    <w:bookmarkEnd w:id="333"/>
    <w:p w14:paraId="11BC1991">
      <w:pPr>
        <w:pStyle w:val="231"/>
        <w:spacing w:before="120" w:after="120" w:line="0" w:lineRule="atLeast"/>
        <w:jc w:val="center"/>
        <w:outlineLvl w:val="0"/>
        <w:rPr>
          <w:rFonts w:hint="eastAsia" w:ascii="黑体" w:eastAsia="黑体"/>
          <w:bCs/>
          <w:sz w:val="44"/>
        </w:rPr>
      </w:pPr>
      <w:bookmarkStart w:id="340" w:name="_Hlt16619369"/>
      <w:bookmarkEnd w:id="340"/>
      <w:bookmarkStart w:id="341" w:name="_Toc49090575"/>
      <w:bookmarkStart w:id="342" w:name="_Toc120614281"/>
      <w:bookmarkStart w:id="343" w:name="_Toc26554093"/>
      <w:bookmarkStart w:id="344" w:name="_Toc462564139"/>
      <w:bookmarkStart w:id="345" w:name="_Toc479757211"/>
    </w:p>
    <w:p w14:paraId="153AC014">
      <w:pPr>
        <w:pStyle w:val="231"/>
        <w:spacing w:before="120" w:after="120" w:line="0" w:lineRule="atLeast"/>
        <w:jc w:val="center"/>
        <w:outlineLvl w:val="0"/>
        <w:rPr>
          <w:rFonts w:hint="eastAsia" w:ascii="黑体" w:eastAsia="黑体"/>
          <w:bCs/>
          <w:sz w:val="44"/>
        </w:rPr>
      </w:pPr>
    </w:p>
    <w:p w14:paraId="57E2A609">
      <w:pPr>
        <w:rPr>
          <w:rFonts w:hint="eastAsia" w:ascii="黑体" w:eastAsia="黑体"/>
          <w:bCs/>
          <w:sz w:val="44"/>
        </w:rPr>
      </w:pPr>
      <w:r>
        <w:rPr>
          <w:rFonts w:hint="eastAsia" w:ascii="黑体" w:eastAsia="黑体"/>
          <w:bCs/>
          <w:sz w:val="44"/>
        </w:rPr>
        <w:br w:type="page"/>
      </w:r>
    </w:p>
    <w:p w14:paraId="64BE1659">
      <w:pPr>
        <w:pStyle w:val="231"/>
        <w:spacing w:before="120" w:after="120" w:line="0" w:lineRule="atLeast"/>
        <w:jc w:val="center"/>
        <w:outlineLvl w:val="0"/>
        <w:rPr>
          <w:rFonts w:hint="eastAsia" w:hAnsi="宋体"/>
          <w:sz w:val="24"/>
          <w:szCs w:val="24"/>
        </w:rPr>
      </w:pPr>
      <w:bookmarkStart w:id="346" w:name="_Toc6926"/>
      <w:r>
        <w:rPr>
          <w:rFonts w:hint="eastAsia" w:ascii="黑体" w:eastAsia="黑体"/>
          <w:bCs/>
          <w:sz w:val="44"/>
        </w:rPr>
        <w:t>第四章 采购需求</w:t>
      </w:r>
      <w:bookmarkEnd w:id="346"/>
    </w:p>
    <w:p w14:paraId="4BCAE733">
      <w:pPr>
        <w:adjustRightInd w:val="0"/>
        <w:snapToGrid w:val="0"/>
        <w:spacing w:line="360" w:lineRule="auto"/>
        <w:ind w:firstLine="472" w:firstLineChars="196"/>
        <w:rPr>
          <w:rFonts w:hint="eastAsia" w:ascii="宋体" w:hAnsi="宋体" w:eastAsia="宋体" w:cs="宋体"/>
          <w:b/>
          <w:sz w:val="24"/>
          <w:lang w:eastAsia="zh-CN"/>
        </w:rPr>
      </w:pPr>
      <w:r>
        <w:rPr>
          <w:rFonts w:hint="eastAsia" w:ascii="宋体" w:hAnsi="宋体" w:cs="宋体"/>
          <w:b/>
          <w:sz w:val="24"/>
        </w:rPr>
        <w:t>一、项目名称：</w:t>
      </w:r>
      <w:r>
        <w:rPr>
          <w:rFonts w:hint="eastAsia" w:ascii="宋体" w:hAnsi="宋体" w:cs="宋体"/>
          <w:sz w:val="24"/>
          <w:lang w:eastAsia="zh-CN"/>
        </w:rPr>
        <w:t>南京中医药大学小动物辐照仪</w:t>
      </w:r>
    </w:p>
    <w:p w14:paraId="4B20402D">
      <w:pPr>
        <w:adjustRightInd w:val="0"/>
        <w:snapToGrid w:val="0"/>
        <w:spacing w:line="360" w:lineRule="auto"/>
        <w:ind w:firstLine="472" w:firstLineChars="196"/>
        <w:rPr>
          <w:rFonts w:hint="default" w:ascii="宋体" w:hAnsi="宋体" w:eastAsia="宋体" w:cs="宋体"/>
          <w:sz w:val="24"/>
          <w:lang w:val="en-US" w:eastAsia="zh-CN"/>
        </w:rPr>
      </w:pPr>
      <w:r>
        <w:rPr>
          <w:rFonts w:hint="eastAsia" w:ascii="宋体" w:hAnsi="宋体" w:cs="宋体"/>
          <w:b/>
          <w:sz w:val="24"/>
        </w:rPr>
        <w:t>二、服务地点：</w:t>
      </w:r>
      <w:r>
        <w:rPr>
          <w:rFonts w:hint="eastAsia" w:ascii="宋体" w:hAnsi="宋体" w:cs="宋体"/>
          <w:sz w:val="24"/>
          <w:lang w:eastAsia="zh-CN"/>
        </w:rPr>
        <w:t>江苏省南京市栖霞区仙林大道南京中医药大学动物中心新大楼二楼功能实验室</w:t>
      </w:r>
      <w:r>
        <w:rPr>
          <w:rFonts w:hint="eastAsia" w:ascii="宋体" w:hAnsi="宋体" w:cs="宋体"/>
          <w:sz w:val="24"/>
          <w:lang w:val="en-US" w:eastAsia="zh-CN"/>
        </w:rPr>
        <w:t>/采购人指定地点。</w:t>
      </w:r>
    </w:p>
    <w:p w14:paraId="20D47CE2">
      <w:pPr>
        <w:adjustRightInd w:val="0"/>
        <w:snapToGrid w:val="0"/>
        <w:spacing w:line="360" w:lineRule="auto"/>
        <w:ind w:firstLine="472" w:firstLineChars="196"/>
        <w:rPr>
          <w:rFonts w:hint="eastAsia" w:ascii="宋体" w:hAnsi="宋体" w:cs="宋体"/>
          <w:sz w:val="24"/>
        </w:rPr>
      </w:pPr>
      <w:r>
        <w:rPr>
          <w:rFonts w:hint="eastAsia" w:ascii="宋体" w:hAnsi="宋体" w:cs="宋体"/>
          <w:b/>
          <w:sz w:val="24"/>
        </w:rPr>
        <w:t>三、服务时间：</w:t>
      </w:r>
      <w:r>
        <w:rPr>
          <w:rFonts w:hint="eastAsia" w:ascii="宋体" w:hAnsi="宋体" w:cs="宋体"/>
          <w:sz w:val="24"/>
          <w:lang w:eastAsia="zh-CN"/>
        </w:rPr>
        <w:t>应在本合同签订生效后90个日历日内向采购人交付全部货物（具体时间以采购人通知为准）</w:t>
      </w:r>
      <w:r>
        <w:rPr>
          <w:rFonts w:hint="eastAsia" w:ascii="宋体" w:hAnsi="宋体" w:cs="宋体"/>
          <w:sz w:val="24"/>
        </w:rPr>
        <w:t>。</w:t>
      </w:r>
    </w:p>
    <w:p w14:paraId="310FB3D3">
      <w:pPr>
        <w:spacing w:line="360" w:lineRule="auto"/>
        <w:ind w:firstLine="482" w:firstLineChars="200"/>
        <w:rPr>
          <w:rFonts w:hint="eastAsia" w:ascii="宋体" w:hAnsi="宋体"/>
          <w:b/>
          <w:color w:val="000000"/>
          <w:sz w:val="24"/>
          <w:szCs w:val="24"/>
        </w:rPr>
      </w:pPr>
      <w:r>
        <w:rPr>
          <w:rFonts w:hint="eastAsia" w:ascii="宋体" w:hAnsi="宋体"/>
          <w:b/>
          <w:color w:val="000000"/>
          <w:sz w:val="24"/>
          <w:szCs w:val="24"/>
        </w:rPr>
        <w:t>四</w:t>
      </w:r>
      <w:r>
        <w:rPr>
          <w:rFonts w:ascii="宋体" w:hAnsi="宋体"/>
          <w:b/>
          <w:color w:val="000000"/>
          <w:sz w:val="24"/>
          <w:szCs w:val="24"/>
        </w:rPr>
        <w:t>、技术要求</w:t>
      </w:r>
    </w:p>
    <w:p w14:paraId="64435A2A">
      <w:pPr>
        <w:spacing w:line="360" w:lineRule="auto"/>
        <w:ind w:firstLine="480" w:firstLineChars="200"/>
        <w:rPr>
          <w:rFonts w:hint="eastAsia" w:ascii="宋体" w:hAnsi="宋体" w:cs="宋体"/>
          <w:b/>
          <w:bCs/>
          <w:sz w:val="24"/>
        </w:rPr>
      </w:pPr>
      <w:r>
        <w:rPr>
          <w:rFonts w:hint="eastAsia" w:ascii="宋体" w:hAnsi="宋体"/>
          <w:bCs/>
          <w:sz w:val="24"/>
          <w:szCs w:val="24"/>
        </w:rPr>
        <w:t>其中</w:t>
      </w:r>
      <w:r>
        <w:rPr>
          <w:rFonts w:hint="eastAsia" w:ascii="宋体" w:hAnsi="宋体"/>
          <w:b/>
          <w:bCs/>
          <w:i/>
          <w:sz w:val="24"/>
          <w:u w:val="single"/>
        </w:rPr>
        <w:t>斜体且有下划线部分</w:t>
      </w:r>
      <w:r>
        <w:rPr>
          <w:rFonts w:hint="eastAsia" w:ascii="宋体" w:hAnsi="宋体"/>
          <w:b/>
          <w:bCs/>
          <w:sz w:val="24"/>
        </w:rPr>
        <w:t>或加</w:t>
      </w:r>
      <w:r>
        <w:rPr>
          <w:rFonts w:cs="Segoe UI Symbol"/>
          <w:b/>
        </w:rPr>
        <w:t>★</w:t>
      </w:r>
      <w:r>
        <w:rPr>
          <w:rFonts w:hint="eastAsia" w:ascii="宋体" w:hAnsi="宋体"/>
          <w:b/>
          <w:bCs/>
          <w:sz w:val="24"/>
        </w:rPr>
        <w:t>号条款为实质性要求。</w:t>
      </w:r>
    </w:p>
    <w:p w14:paraId="4E90A805">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 采用高精度、可精准调控的X射线球管作为射线源，可对实验动物、特定器官组织、细胞及其他生物样本的可重复、定位精确的辐照处理。采用的X射线球管最大电压</w:t>
      </w:r>
      <w:r>
        <w:rPr>
          <w:rFonts w:ascii="宋体" w:hAnsi="宋体" w:eastAsia="宋体" w:cs="宋体"/>
          <w:sz w:val="24"/>
          <w:szCs w:val="24"/>
        </w:rPr>
        <w:t>≥</w:t>
      </w:r>
      <w:r>
        <w:rPr>
          <w:rFonts w:hint="eastAsia" w:ascii="宋体" w:hAnsi="宋体" w:cs="宋体"/>
          <w:color w:val="000000"/>
          <w:sz w:val="24"/>
        </w:rPr>
        <w:t>225 kV；球管可调最大功率</w:t>
      </w:r>
      <w:r>
        <w:rPr>
          <w:rFonts w:ascii="宋体" w:hAnsi="宋体" w:eastAsia="宋体" w:cs="宋体"/>
          <w:sz w:val="24"/>
          <w:szCs w:val="24"/>
        </w:rPr>
        <w:t>≥</w:t>
      </w:r>
      <w:r>
        <w:rPr>
          <w:rFonts w:hint="eastAsia" w:ascii="宋体" w:hAnsi="宋体" w:cs="宋体"/>
          <w:color w:val="000000"/>
          <w:sz w:val="24"/>
          <w:lang w:val="en-US" w:eastAsia="zh-CN"/>
        </w:rPr>
        <w:t>30</w:t>
      </w:r>
      <w:r>
        <w:rPr>
          <w:rFonts w:hint="eastAsia" w:ascii="宋体" w:hAnsi="宋体" w:cs="宋体"/>
          <w:color w:val="000000"/>
          <w:sz w:val="24"/>
        </w:rPr>
        <w:t>00W；球管固有过滤铍窗(Be)厚度</w:t>
      </w:r>
      <w:r>
        <w:rPr>
          <w:rFonts w:ascii="宋体" w:hAnsi="宋体" w:eastAsia="宋体" w:cs="宋体"/>
          <w:sz w:val="24"/>
          <w:szCs w:val="24"/>
        </w:rPr>
        <w:t>≥</w:t>
      </w:r>
      <w:r>
        <w:rPr>
          <w:rFonts w:hint="eastAsia" w:ascii="宋体" w:hAnsi="宋体" w:cs="宋体"/>
          <w:color w:val="000000"/>
          <w:sz w:val="24"/>
        </w:rPr>
        <w:t>2 mm；辐射角度</w:t>
      </w:r>
      <w:r>
        <w:rPr>
          <w:rFonts w:ascii="宋体" w:hAnsi="宋体" w:eastAsia="宋体" w:cs="宋体"/>
          <w:sz w:val="24"/>
          <w:szCs w:val="24"/>
        </w:rPr>
        <w:t>≥</w:t>
      </w:r>
      <w:r>
        <w:rPr>
          <w:rFonts w:hint="eastAsia" w:ascii="宋体" w:hAnsi="宋体" w:cs="宋体"/>
          <w:color w:val="000000"/>
          <w:sz w:val="24"/>
        </w:rPr>
        <w:t>40°。（需</w:t>
      </w:r>
      <w:r>
        <w:rPr>
          <w:rFonts w:ascii="宋体" w:hAnsi="宋体" w:eastAsia="宋体" w:cs="宋体"/>
          <w:sz w:val="24"/>
          <w:szCs w:val="24"/>
        </w:rPr>
        <w:t>提供加盖</w:t>
      </w:r>
      <w:r>
        <w:rPr>
          <w:rFonts w:hint="eastAsia" w:ascii="宋体" w:hAnsi="宋体" w:cs="宋体"/>
          <w:sz w:val="24"/>
          <w:szCs w:val="24"/>
          <w:lang w:eastAsia="zh-CN"/>
        </w:rPr>
        <w:t>电子公章</w:t>
      </w:r>
      <w:r>
        <w:rPr>
          <w:rFonts w:ascii="宋体" w:hAnsi="宋体" w:eastAsia="宋体" w:cs="宋体"/>
          <w:sz w:val="24"/>
          <w:szCs w:val="24"/>
        </w:rPr>
        <w:t>的规格数据表、出厂校准报告</w:t>
      </w:r>
      <w:r>
        <w:rPr>
          <w:rFonts w:hint="eastAsia" w:ascii="宋体" w:hAnsi="宋体" w:cs="宋体"/>
          <w:color w:val="000000"/>
          <w:sz w:val="24"/>
        </w:rPr>
        <w:t>）</w:t>
      </w:r>
    </w:p>
    <w:p w14:paraId="248CA9D0">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2.安全性：仪器为自屏蔽设计一体机，辐照系统的高压发生器和高压电缆为内置模块，仪器运行时，距离机器任何表面5cm处杂散剂量＜0.5μSv/h。</w:t>
      </w:r>
    </w:p>
    <w:p w14:paraId="1E9F3859">
      <w:pPr>
        <w:wordWrap w:val="0"/>
        <w:spacing w:line="431" w:lineRule="exact"/>
        <w:ind w:firstLine="480" w:firstLineChars="200"/>
        <w:jc w:val="left"/>
        <w:rPr>
          <w:rFonts w:hint="eastAsia" w:ascii="宋体" w:hAnsi="宋体" w:cs="宋体"/>
          <w:color w:val="000000"/>
          <w:sz w:val="24"/>
          <w:highlight w:val="none"/>
        </w:rPr>
      </w:pPr>
      <w:r>
        <w:rPr>
          <w:rFonts w:hint="eastAsia" w:ascii="宋体" w:hAnsi="宋体" w:cs="宋体"/>
          <w:color w:val="000000"/>
          <w:sz w:val="24"/>
        </w:rPr>
        <w:t>3.用户可根据实际需要设定的最</w:t>
      </w:r>
      <w:r>
        <w:rPr>
          <w:rFonts w:hint="eastAsia" w:ascii="宋体" w:hAnsi="宋体" w:cs="宋体"/>
          <w:color w:val="000000"/>
          <w:sz w:val="24"/>
          <w:highlight w:val="none"/>
        </w:rPr>
        <w:t>大单次辐照剂量≥9999 Gy，可设定最大单次辐照时间≥999分钟59秒。</w:t>
      </w:r>
    </w:p>
    <w:p w14:paraId="675E32BC">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▲4. 样品源距（SSD）可调节；为保证实验效果和剂量率能量≥1Gy/min以上（0.3mm铜合金过滤片的条件下），样品源距SSD≤50cm；为提高剂量均一性，减少实验误差，辐照范围≤35cm×35cm</w:t>
      </w:r>
      <w:r>
        <w:rPr>
          <w:rFonts w:hint="eastAsia" w:ascii="宋体" w:hAnsi="宋体" w:cs="宋体"/>
          <w:color w:val="000000"/>
          <w:sz w:val="24"/>
          <w:lang w:eastAsia="zh-CN"/>
        </w:rPr>
        <w:t>，</w:t>
      </w:r>
      <w:r>
        <w:rPr>
          <w:rFonts w:hint="eastAsia" w:ascii="宋体" w:hAnsi="宋体" w:cs="宋体"/>
          <w:color w:val="000000"/>
          <w:sz w:val="24"/>
        </w:rPr>
        <w:t>辐照</w:t>
      </w:r>
      <w:r>
        <w:rPr>
          <w:rFonts w:hint="eastAsia" w:ascii="宋体" w:hAnsi="宋体" w:cs="宋体"/>
          <w:color w:val="000000"/>
          <w:sz w:val="24"/>
          <w:lang w:val="en-US" w:eastAsia="zh-CN"/>
        </w:rPr>
        <w:t>视</w:t>
      </w:r>
      <w:r>
        <w:rPr>
          <w:rFonts w:hint="eastAsia" w:ascii="宋体" w:hAnsi="宋体" w:cs="宋体"/>
          <w:color w:val="000000"/>
          <w:sz w:val="24"/>
        </w:rPr>
        <w:t>野内剂量均匀性符合行业通用标准。</w:t>
      </w:r>
    </w:p>
    <w:p w14:paraId="1F76111F">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★5. 碳化硼反射体均一性辐照技术：最大限度减少边缘效应，提升水平剂量均一性；≥24cm×24cm范围内水平剂量均一性≥95％。需至少有以下几种类型的反射装置：矩形（能容纳过滤小鼠笼或方形分隔式辐照笼）、圆形（能容纳圆形分隔式辐照笼）、专用于细胞培养板型。（投标文件中提供厂家公开发布的产品彩页、官网截图、功能截图、第三方检测报告，提供其一即可）</w:t>
      </w:r>
    </w:p>
    <w:p w14:paraId="4774A5BB">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6. 在设备允许的最远SSD的情况下，在碳化硼反射装置内同一平面上任意两点剂量率差异≤5％。</w:t>
      </w:r>
    </w:p>
    <w:p w14:paraId="65DBA97D">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▲7. 控制系统采用闭源可编程逻辑控制器（PLC）或工业控制计算机（IPC）系统，而非普通个人电脑（PC）系统，以确保系统运行的稳定性与可靠性。控制系统具备良好的抗电磁干扰能力，不受计算机病毒感染风险影响。控制系统中无法自行安装任何第三方软件或修改系统数据，以保证辐照安全与程序完整性。</w:t>
      </w:r>
    </w:p>
    <w:p w14:paraId="00EF9660">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8.具备输出参数的实时监测功能，能够持续检测管电压（kV）和管电流（mA）的实际运行值。当设备监测到的实时kV或mA值超过允许范围时，控制系统可立即中断辐照过程，防止过压、过流或辐照剂量异常。球管电压与电流的设定精度不低于 99％，实际输出值与设定值的偏差不超过±1％。</w:t>
      </w:r>
    </w:p>
    <w:p w14:paraId="60017955">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9.用户可自主设置的辐照参数至少包括：剂量、时间、球管电压、球管电流、载物台位置、过滤片类型、反射体类型、局部辐照器。软件具备内置可校准计量表，并支持基于时间或剂量的自动控制模式，可根据输入的总剂量或总时间调用特定参数完成辐照任务。</w:t>
      </w:r>
    </w:p>
    <w:p w14:paraId="79458850">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10.设备设有双重安全联锁装置，确保操作安全：照射室门打开时会自动切断射线管电源，同时仪器工作时照射室门保持锁闭，无法打开。设备仅能通过专用开启钥匙启动，防止误操作。</w:t>
      </w:r>
    </w:p>
    <w:p w14:paraId="2151E37C">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11.设备具备延时启动功能，在辐照程序启动前自动进行安全预警，预警时间不少于5秒。</w:t>
      </w:r>
    </w:p>
    <w:p w14:paraId="410B5658">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12. 配备专用过滤辐照笼，可同时容纳并辐照不少于5只小鼠。过滤辐照笼带有孔径为≤0.22 μm的高效滤膜，可阻隔微生物和颗粒污染，在辐照或运输过程中有效防止小鼠样本的交叉感染和环境污染。</w:t>
      </w:r>
    </w:p>
    <w:p w14:paraId="622D3688">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13. 配备亚力克材质高通量分隔式全身辐照笼，</w:t>
      </w:r>
      <w:r>
        <w:rPr>
          <w:rFonts w:ascii="宋体" w:hAnsi="宋体" w:eastAsia="宋体" w:cs="宋体"/>
          <w:sz w:val="24"/>
          <w:szCs w:val="24"/>
        </w:rPr>
        <w:t>单次</w:t>
      </w:r>
      <w:r>
        <w:rPr>
          <w:rFonts w:hint="eastAsia" w:ascii="宋体" w:hAnsi="宋体" w:cs="宋体"/>
          <w:color w:val="000000"/>
          <w:sz w:val="24"/>
        </w:rPr>
        <w:t>可容纳≥14只小鼠同时辐照且</w:t>
      </w:r>
      <w:r>
        <w:rPr>
          <w:rFonts w:ascii="宋体" w:hAnsi="宋体" w:eastAsia="宋体" w:cs="宋体"/>
          <w:sz w:val="24"/>
          <w:szCs w:val="24"/>
        </w:rPr>
        <w:t>笼体水平辐照剂量均一性</w:t>
      </w:r>
      <w:r>
        <w:rPr>
          <w:rFonts w:hint="eastAsia" w:ascii="宋体" w:hAnsi="宋体" w:cs="宋体"/>
          <w:color w:val="000000"/>
          <w:sz w:val="24"/>
        </w:rPr>
        <w:t>≥95％；分隔笼互相隔开避免小鼠互相影响，且每个分隔单元应设有通气孔。</w:t>
      </w:r>
    </w:p>
    <w:p w14:paraId="7A20EFCA">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▲14. 配备用于小鼠和大鼠的高通量局部辐照装置，可对动物特定器官进行辐照：小鼠模块可同时对1-5只小鼠特定区域进行局部辐照；大鼠模块可同时对1～3只大鼠进行局部辐照。(投标文件中提供厂家公开发布的产品彩页、官网截图、功能截图、第三方检测报告，提供其一即可）</w:t>
      </w:r>
    </w:p>
    <w:p w14:paraId="1BD6B321">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★15. 配备的小鼠局部辐照装置兼容气体麻醉辐照模式。（投标文件中提供厂家公开发布的产品彩页、官网截图、功能截图、第三方检测报告，提供其一即可）</w:t>
      </w:r>
    </w:p>
    <w:p w14:paraId="1A21907C">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▲16. 冷却系统：采用内置自循环水冷与≥2级独立可控风冷散热器，内置水箱容积≥5 L，无需额外接入上下水。冷却系统整体散热能力不小于4000 W，支持设备以满功率运行。（投标文件中提供厂家公开发布的产品彩页、官网截图、功能截图、第三方检测报告，提供其一即可）</w:t>
      </w:r>
    </w:p>
    <w:p w14:paraId="44EF06AE">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▲17. 在等剂量照射条件下，设备应能够产生与钴-60或铯-137同位素源辐照系统相当的DNA损伤效应，其诱导DNA断裂的能力不低于上述放射源水平。（投标文件中提供厂家公开发布的产品彩页、官网截图、功能截图、第三方检测报告，提供其一即可）</w:t>
      </w:r>
    </w:p>
    <w:p w14:paraId="4611F699">
      <w:pPr>
        <w:wordWrap w:val="0"/>
        <w:spacing w:line="431" w:lineRule="exact"/>
        <w:ind w:firstLine="480" w:firstLineChars="200"/>
        <w:jc w:val="left"/>
        <w:rPr>
          <w:rFonts w:hint="eastAsia" w:ascii="宋体" w:hAnsi="宋体" w:cs="宋体"/>
          <w:color w:val="000000"/>
          <w:sz w:val="24"/>
        </w:rPr>
      </w:pPr>
      <w:r>
        <w:rPr>
          <w:rFonts w:hint="eastAsia" w:ascii="宋体" w:hAnsi="宋体" w:cs="宋体"/>
          <w:color w:val="000000"/>
          <w:sz w:val="24"/>
        </w:rPr>
        <w:t>▲18. 具有较好的动物清髓能力，C57BL/6小鼠的有效清髓剂量≤10 Gy。（投标文件中提供厂家公开发布的产品彩页、官网截图、功能截图、第三方检测报告，提供其一即可）</w:t>
      </w:r>
    </w:p>
    <w:p w14:paraId="4D03E3A7">
      <w:pPr>
        <w:wordWrap w:val="0"/>
        <w:spacing w:line="431" w:lineRule="exact"/>
        <w:jc w:val="left"/>
      </w:pPr>
      <w:r>
        <w:rPr>
          <w:rFonts w:hint="eastAsia" w:ascii="宋体" w:hAnsi="宋体"/>
          <w:b/>
          <w:bCs/>
          <w:sz w:val="24"/>
        </w:rPr>
        <w:t>★</w:t>
      </w:r>
      <w:r>
        <w:rPr>
          <w:rFonts w:ascii="宋体" w:hAnsi="宋体" w:cs="宋体"/>
          <w:b/>
          <w:color w:val="000000"/>
          <w:sz w:val="24"/>
        </w:rPr>
        <w:t>二、配置清单</w:t>
      </w:r>
    </w:p>
    <w:tbl>
      <w:tblPr>
        <w:tblStyle w:val="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5486"/>
        <w:gridCol w:w="1100"/>
      </w:tblGrid>
      <w:tr w14:paraId="298C3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07E02337">
            <w:pPr>
              <w:spacing w:line="360" w:lineRule="auto"/>
              <w:rPr>
                <w:rFonts w:ascii="宋体" w:hAnsi="宋体" w:eastAsia="宋体"/>
                <w:color w:val="000000"/>
                <w:sz w:val="24"/>
                <w:szCs w:val="24"/>
              </w:rPr>
            </w:pPr>
            <w:r>
              <w:rPr>
                <w:rFonts w:hint="eastAsia" w:ascii="宋体" w:hAnsi="宋体" w:eastAsia="宋体"/>
                <w:color w:val="000000"/>
                <w:sz w:val="24"/>
                <w:szCs w:val="24"/>
              </w:rPr>
              <w:t>序号</w:t>
            </w:r>
          </w:p>
        </w:tc>
        <w:tc>
          <w:tcPr>
            <w:tcW w:w="5486" w:type="dxa"/>
            <w:noWrap w:val="0"/>
            <w:vAlign w:val="top"/>
          </w:tcPr>
          <w:p w14:paraId="42D55D80">
            <w:pPr>
              <w:spacing w:line="360" w:lineRule="auto"/>
              <w:rPr>
                <w:rFonts w:ascii="宋体" w:hAnsi="宋体" w:eastAsia="宋体"/>
                <w:color w:val="000000"/>
                <w:sz w:val="24"/>
                <w:szCs w:val="24"/>
              </w:rPr>
            </w:pPr>
            <w:r>
              <w:rPr>
                <w:rFonts w:hint="eastAsia" w:ascii="宋体" w:hAnsi="宋体" w:eastAsia="宋体"/>
                <w:color w:val="000000"/>
                <w:sz w:val="24"/>
                <w:szCs w:val="24"/>
              </w:rPr>
              <w:t>配置项目</w:t>
            </w:r>
          </w:p>
        </w:tc>
        <w:tc>
          <w:tcPr>
            <w:tcW w:w="1100" w:type="dxa"/>
            <w:noWrap w:val="0"/>
            <w:vAlign w:val="top"/>
          </w:tcPr>
          <w:p w14:paraId="03AF2496">
            <w:pPr>
              <w:spacing w:line="360" w:lineRule="auto"/>
              <w:rPr>
                <w:rFonts w:ascii="宋体" w:hAnsi="宋体" w:eastAsia="宋体"/>
                <w:color w:val="000000"/>
                <w:sz w:val="24"/>
                <w:szCs w:val="24"/>
              </w:rPr>
            </w:pPr>
            <w:r>
              <w:rPr>
                <w:rFonts w:hint="eastAsia" w:ascii="宋体" w:hAnsi="宋体" w:eastAsia="宋体"/>
                <w:color w:val="000000"/>
                <w:sz w:val="24"/>
                <w:szCs w:val="24"/>
              </w:rPr>
              <w:t>数量</w:t>
            </w:r>
          </w:p>
        </w:tc>
      </w:tr>
      <w:tr w14:paraId="7725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7B983FF3">
            <w:pPr>
              <w:spacing w:line="360" w:lineRule="auto"/>
              <w:rPr>
                <w:rFonts w:ascii="宋体" w:hAnsi="宋体" w:eastAsia="宋体"/>
                <w:color w:val="000000"/>
                <w:sz w:val="24"/>
                <w:szCs w:val="24"/>
              </w:rPr>
            </w:pPr>
            <w:r>
              <w:rPr>
                <w:rFonts w:hint="eastAsia" w:ascii="宋体" w:hAnsi="宋体" w:eastAsia="宋体"/>
                <w:color w:val="000000"/>
                <w:sz w:val="24"/>
                <w:szCs w:val="24"/>
              </w:rPr>
              <w:t>1</w:t>
            </w:r>
          </w:p>
        </w:tc>
        <w:tc>
          <w:tcPr>
            <w:tcW w:w="5486" w:type="dxa"/>
            <w:noWrap w:val="0"/>
            <w:vAlign w:val="top"/>
          </w:tcPr>
          <w:p w14:paraId="5782FBA5">
            <w:pPr>
              <w:spacing w:line="360" w:lineRule="auto"/>
              <w:rPr>
                <w:rFonts w:hint="eastAsia" w:ascii="宋体" w:hAnsi="宋体" w:eastAsia="宋体"/>
                <w:color w:val="000000"/>
                <w:sz w:val="24"/>
                <w:szCs w:val="24"/>
              </w:rPr>
            </w:pPr>
            <w:r>
              <w:rPr>
                <w:rFonts w:hint="eastAsia" w:ascii="宋体" w:hAnsi="宋体" w:cs="宋体"/>
                <w:color w:val="000000"/>
                <w:sz w:val="24"/>
                <w:szCs w:val="24"/>
              </w:rPr>
              <w:t>生物学X射线辐照仪主机</w:t>
            </w:r>
          </w:p>
        </w:tc>
        <w:tc>
          <w:tcPr>
            <w:tcW w:w="1100" w:type="dxa"/>
            <w:noWrap w:val="0"/>
            <w:vAlign w:val="top"/>
          </w:tcPr>
          <w:p w14:paraId="684BB7F8">
            <w:pPr>
              <w:spacing w:line="360" w:lineRule="auto"/>
              <w:rPr>
                <w:rFonts w:ascii="宋体" w:hAnsi="宋体" w:eastAsia="宋体"/>
                <w:color w:val="000000"/>
                <w:sz w:val="24"/>
                <w:szCs w:val="24"/>
              </w:rPr>
            </w:pPr>
            <w:r>
              <w:rPr>
                <w:rFonts w:ascii="宋体" w:hAnsi="宋体" w:eastAsia="宋体" w:cs="宋体"/>
                <w:color w:val="000000"/>
                <w:sz w:val="24"/>
                <w:szCs w:val="24"/>
              </w:rPr>
              <w:t>1台</w:t>
            </w:r>
          </w:p>
        </w:tc>
      </w:tr>
      <w:tr w14:paraId="6255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4F4F801F">
            <w:pPr>
              <w:spacing w:line="360" w:lineRule="auto"/>
              <w:rPr>
                <w:rFonts w:ascii="宋体" w:hAnsi="宋体" w:eastAsia="宋体"/>
                <w:color w:val="000000"/>
                <w:sz w:val="24"/>
                <w:szCs w:val="24"/>
              </w:rPr>
            </w:pPr>
            <w:r>
              <w:rPr>
                <w:rFonts w:hint="eastAsia" w:ascii="宋体" w:hAnsi="宋体" w:eastAsia="宋体"/>
                <w:color w:val="000000"/>
                <w:sz w:val="24"/>
                <w:szCs w:val="24"/>
              </w:rPr>
              <w:t>2</w:t>
            </w:r>
          </w:p>
        </w:tc>
        <w:tc>
          <w:tcPr>
            <w:tcW w:w="5486" w:type="dxa"/>
            <w:noWrap w:val="0"/>
            <w:vAlign w:val="top"/>
          </w:tcPr>
          <w:p w14:paraId="35E92D6B">
            <w:pPr>
              <w:spacing w:line="360" w:lineRule="auto"/>
              <w:rPr>
                <w:rFonts w:hint="eastAsia" w:ascii="宋体" w:hAnsi="宋体" w:eastAsia="宋体"/>
                <w:color w:val="000000"/>
                <w:sz w:val="24"/>
                <w:szCs w:val="24"/>
              </w:rPr>
            </w:pPr>
            <w:r>
              <w:rPr>
                <w:rFonts w:hint="eastAsia" w:ascii="宋体" w:hAnsi="宋体" w:cs="宋体"/>
                <w:color w:val="000000"/>
                <w:sz w:val="24"/>
                <w:szCs w:val="24"/>
              </w:rPr>
              <w:t>三级冷却系统</w:t>
            </w:r>
          </w:p>
        </w:tc>
        <w:tc>
          <w:tcPr>
            <w:tcW w:w="1100" w:type="dxa"/>
            <w:noWrap w:val="0"/>
            <w:vAlign w:val="top"/>
          </w:tcPr>
          <w:p w14:paraId="7CBE10B1">
            <w:pPr>
              <w:spacing w:line="360" w:lineRule="auto"/>
              <w:rPr>
                <w:rFonts w:hint="eastAsia" w:ascii="宋体" w:hAnsi="宋体" w:eastAsia="宋体"/>
                <w:color w:val="000000"/>
                <w:sz w:val="24"/>
                <w:szCs w:val="24"/>
              </w:rPr>
            </w:pPr>
            <w:r>
              <w:rPr>
                <w:rFonts w:hint="eastAsia" w:ascii="宋体" w:hAnsi="宋体" w:cs="宋体"/>
                <w:color w:val="000000"/>
                <w:sz w:val="24"/>
                <w:szCs w:val="24"/>
              </w:rPr>
              <w:t>1套</w:t>
            </w:r>
          </w:p>
        </w:tc>
      </w:tr>
      <w:tr w14:paraId="1656A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57F266AF">
            <w:pPr>
              <w:spacing w:line="360" w:lineRule="auto"/>
              <w:rPr>
                <w:rFonts w:ascii="宋体" w:hAnsi="宋体" w:eastAsia="宋体"/>
                <w:color w:val="000000"/>
                <w:sz w:val="24"/>
                <w:szCs w:val="24"/>
              </w:rPr>
            </w:pPr>
            <w:r>
              <w:rPr>
                <w:rFonts w:hint="eastAsia" w:ascii="宋体" w:hAnsi="宋体" w:eastAsia="宋体"/>
                <w:color w:val="000000"/>
                <w:sz w:val="24"/>
                <w:szCs w:val="24"/>
              </w:rPr>
              <w:t>3</w:t>
            </w:r>
          </w:p>
        </w:tc>
        <w:tc>
          <w:tcPr>
            <w:tcW w:w="5486" w:type="dxa"/>
            <w:noWrap w:val="0"/>
            <w:vAlign w:val="top"/>
          </w:tcPr>
          <w:p w14:paraId="157887B0">
            <w:pPr>
              <w:spacing w:line="360" w:lineRule="auto"/>
              <w:rPr>
                <w:rFonts w:hint="eastAsia" w:ascii="宋体" w:hAnsi="宋体" w:eastAsia="宋体"/>
                <w:color w:val="000000"/>
                <w:sz w:val="24"/>
                <w:szCs w:val="24"/>
              </w:rPr>
            </w:pPr>
            <w:r>
              <w:rPr>
                <w:rFonts w:hint="eastAsia" w:ascii="宋体" w:hAnsi="宋体" w:cs="宋体"/>
                <w:color w:val="000000"/>
                <w:sz w:val="24"/>
                <w:szCs w:val="24"/>
              </w:rPr>
              <w:t>碳化硼材质均一性反射装置（矩形）</w:t>
            </w:r>
          </w:p>
        </w:tc>
        <w:tc>
          <w:tcPr>
            <w:tcW w:w="1100" w:type="dxa"/>
            <w:noWrap w:val="0"/>
            <w:vAlign w:val="top"/>
          </w:tcPr>
          <w:p w14:paraId="433CA987">
            <w:pPr>
              <w:spacing w:line="360" w:lineRule="auto"/>
              <w:rPr>
                <w:rFonts w:hint="eastAsia" w:ascii="宋体" w:hAnsi="宋体" w:eastAsia="宋体"/>
                <w:color w:val="000000"/>
                <w:sz w:val="24"/>
                <w:szCs w:val="24"/>
              </w:rPr>
            </w:pPr>
            <w:r>
              <w:rPr>
                <w:rFonts w:hint="eastAsia" w:ascii="宋体" w:hAnsi="宋体" w:cs="宋体"/>
                <w:color w:val="000000"/>
                <w:sz w:val="24"/>
                <w:szCs w:val="24"/>
              </w:rPr>
              <w:t>1套</w:t>
            </w:r>
          </w:p>
        </w:tc>
      </w:tr>
      <w:tr w14:paraId="22CAC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01EECE01">
            <w:pPr>
              <w:spacing w:line="360" w:lineRule="auto"/>
              <w:rPr>
                <w:rFonts w:ascii="宋体" w:hAnsi="宋体" w:eastAsia="宋体"/>
                <w:color w:val="000000"/>
                <w:sz w:val="24"/>
                <w:szCs w:val="24"/>
              </w:rPr>
            </w:pPr>
            <w:r>
              <w:rPr>
                <w:rFonts w:hint="eastAsia" w:ascii="宋体" w:hAnsi="宋体" w:eastAsia="宋体"/>
                <w:color w:val="000000"/>
                <w:sz w:val="24"/>
                <w:szCs w:val="24"/>
              </w:rPr>
              <w:t>4</w:t>
            </w:r>
          </w:p>
        </w:tc>
        <w:tc>
          <w:tcPr>
            <w:tcW w:w="5486" w:type="dxa"/>
            <w:noWrap w:val="0"/>
            <w:vAlign w:val="top"/>
          </w:tcPr>
          <w:p w14:paraId="6D24B84F">
            <w:pPr>
              <w:spacing w:line="360" w:lineRule="auto"/>
              <w:rPr>
                <w:rFonts w:hint="eastAsia" w:ascii="宋体" w:hAnsi="宋体" w:eastAsia="宋体"/>
                <w:color w:val="000000"/>
                <w:sz w:val="24"/>
                <w:szCs w:val="24"/>
              </w:rPr>
            </w:pPr>
            <w:r>
              <w:rPr>
                <w:rFonts w:hint="eastAsia" w:ascii="宋体" w:hAnsi="宋体" w:cs="宋体"/>
                <w:color w:val="000000"/>
                <w:sz w:val="24"/>
                <w:szCs w:val="24"/>
              </w:rPr>
              <w:t>方形分隔式辐照笼</w:t>
            </w:r>
          </w:p>
        </w:tc>
        <w:tc>
          <w:tcPr>
            <w:tcW w:w="1100" w:type="dxa"/>
            <w:noWrap w:val="0"/>
            <w:vAlign w:val="top"/>
          </w:tcPr>
          <w:p w14:paraId="15957608">
            <w:pPr>
              <w:spacing w:line="360" w:lineRule="auto"/>
              <w:rPr>
                <w:rFonts w:hint="eastAsia" w:ascii="宋体" w:hAnsi="宋体" w:eastAsia="宋体"/>
                <w:color w:val="000000"/>
                <w:sz w:val="24"/>
                <w:szCs w:val="24"/>
              </w:rPr>
            </w:pPr>
            <w:r>
              <w:rPr>
                <w:rFonts w:hint="eastAsia" w:ascii="宋体" w:hAnsi="宋体" w:cs="宋体"/>
                <w:color w:val="000000"/>
                <w:sz w:val="24"/>
                <w:szCs w:val="24"/>
              </w:rPr>
              <w:t>1套</w:t>
            </w:r>
          </w:p>
        </w:tc>
      </w:tr>
      <w:tr w14:paraId="56542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0B82E1BC">
            <w:pPr>
              <w:spacing w:line="360" w:lineRule="auto"/>
              <w:rPr>
                <w:rFonts w:ascii="宋体" w:hAnsi="宋体" w:eastAsia="宋体"/>
                <w:color w:val="000000"/>
                <w:sz w:val="24"/>
                <w:szCs w:val="24"/>
              </w:rPr>
            </w:pPr>
            <w:r>
              <w:rPr>
                <w:rFonts w:hint="eastAsia" w:ascii="宋体" w:hAnsi="宋体" w:eastAsia="宋体"/>
                <w:color w:val="000000"/>
                <w:sz w:val="24"/>
                <w:szCs w:val="24"/>
              </w:rPr>
              <w:t>5</w:t>
            </w:r>
          </w:p>
        </w:tc>
        <w:tc>
          <w:tcPr>
            <w:tcW w:w="5486" w:type="dxa"/>
            <w:noWrap w:val="0"/>
            <w:vAlign w:val="top"/>
          </w:tcPr>
          <w:p w14:paraId="4FF7DC67">
            <w:pPr>
              <w:spacing w:line="360" w:lineRule="auto"/>
              <w:rPr>
                <w:rFonts w:hint="eastAsia" w:ascii="宋体" w:hAnsi="宋体" w:eastAsia="宋体"/>
                <w:color w:val="000000"/>
                <w:sz w:val="24"/>
                <w:szCs w:val="24"/>
              </w:rPr>
            </w:pPr>
            <w:r>
              <w:rPr>
                <w:rFonts w:hint="eastAsia" w:ascii="宋体" w:hAnsi="宋体" w:cs="宋体"/>
                <w:color w:val="000000"/>
                <w:sz w:val="24"/>
                <w:szCs w:val="24"/>
              </w:rPr>
              <w:t>圆形分隔式辐照笼</w:t>
            </w:r>
          </w:p>
        </w:tc>
        <w:tc>
          <w:tcPr>
            <w:tcW w:w="1100" w:type="dxa"/>
            <w:noWrap w:val="0"/>
            <w:vAlign w:val="top"/>
          </w:tcPr>
          <w:p w14:paraId="0703FE8F">
            <w:pPr>
              <w:spacing w:line="360" w:lineRule="auto"/>
              <w:rPr>
                <w:rFonts w:hint="eastAsia" w:ascii="宋体" w:hAnsi="宋体" w:eastAsia="宋体"/>
                <w:color w:val="000000"/>
                <w:sz w:val="24"/>
                <w:szCs w:val="24"/>
              </w:rPr>
            </w:pPr>
            <w:r>
              <w:rPr>
                <w:rFonts w:hint="eastAsia" w:ascii="宋体" w:hAnsi="宋体" w:cs="宋体"/>
                <w:color w:val="000000"/>
                <w:sz w:val="24"/>
                <w:szCs w:val="24"/>
              </w:rPr>
              <w:t>1套</w:t>
            </w:r>
          </w:p>
        </w:tc>
      </w:tr>
      <w:tr w14:paraId="67727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38E8FD72">
            <w:pPr>
              <w:spacing w:line="360" w:lineRule="auto"/>
              <w:rPr>
                <w:rFonts w:ascii="宋体" w:hAnsi="宋体" w:eastAsia="宋体"/>
                <w:color w:val="000000"/>
                <w:sz w:val="24"/>
                <w:szCs w:val="24"/>
              </w:rPr>
            </w:pPr>
            <w:r>
              <w:rPr>
                <w:rFonts w:hint="eastAsia" w:ascii="宋体" w:hAnsi="宋体" w:eastAsia="宋体"/>
                <w:color w:val="000000"/>
                <w:sz w:val="24"/>
                <w:szCs w:val="24"/>
              </w:rPr>
              <w:t>6</w:t>
            </w:r>
          </w:p>
        </w:tc>
        <w:tc>
          <w:tcPr>
            <w:tcW w:w="5486" w:type="dxa"/>
            <w:noWrap w:val="0"/>
            <w:vAlign w:val="top"/>
          </w:tcPr>
          <w:p w14:paraId="6993912D">
            <w:pPr>
              <w:spacing w:line="360" w:lineRule="auto"/>
              <w:rPr>
                <w:rFonts w:hint="eastAsia" w:ascii="宋体" w:hAnsi="宋体" w:eastAsia="宋体"/>
                <w:color w:val="000000"/>
                <w:sz w:val="24"/>
                <w:szCs w:val="24"/>
              </w:rPr>
            </w:pPr>
            <w:r>
              <w:rPr>
                <w:rFonts w:hint="eastAsia" w:ascii="宋体" w:hAnsi="宋体" w:cs="宋体"/>
                <w:color w:val="000000"/>
                <w:sz w:val="24"/>
                <w:szCs w:val="24"/>
              </w:rPr>
              <w:t>碳化硼材质均一性反射装置（圆形）</w:t>
            </w:r>
          </w:p>
        </w:tc>
        <w:tc>
          <w:tcPr>
            <w:tcW w:w="1100" w:type="dxa"/>
            <w:noWrap w:val="0"/>
            <w:vAlign w:val="top"/>
          </w:tcPr>
          <w:p w14:paraId="1F5EF2EB">
            <w:pPr>
              <w:spacing w:line="360" w:lineRule="auto"/>
              <w:rPr>
                <w:rFonts w:hint="eastAsia" w:ascii="宋体" w:hAnsi="宋体" w:eastAsia="宋体"/>
                <w:color w:val="000000"/>
                <w:sz w:val="24"/>
                <w:szCs w:val="24"/>
              </w:rPr>
            </w:pPr>
            <w:r>
              <w:rPr>
                <w:rFonts w:hint="eastAsia" w:ascii="宋体" w:hAnsi="宋体" w:cs="宋体"/>
                <w:color w:val="000000"/>
                <w:sz w:val="24"/>
                <w:szCs w:val="24"/>
              </w:rPr>
              <w:t>1套</w:t>
            </w:r>
          </w:p>
        </w:tc>
      </w:tr>
      <w:tr w14:paraId="79EDE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03D2DA4F">
            <w:pPr>
              <w:spacing w:line="360" w:lineRule="auto"/>
              <w:rPr>
                <w:rFonts w:ascii="宋体" w:hAnsi="宋体" w:eastAsia="宋体"/>
                <w:color w:val="000000"/>
                <w:sz w:val="24"/>
                <w:szCs w:val="24"/>
              </w:rPr>
            </w:pPr>
            <w:r>
              <w:rPr>
                <w:rFonts w:hint="eastAsia" w:ascii="宋体" w:hAnsi="宋体" w:eastAsia="宋体"/>
                <w:color w:val="000000"/>
                <w:sz w:val="24"/>
                <w:szCs w:val="24"/>
              </w:rPr>
              <w:t>7</w:t>
            </w:r>
          </w:p>
        </w:tc>
        <w:tc>
          <w:tcPr>
            <w:tcW w:w="5486" w:type="dxa"/>
            <w:noWrap w:val="0"/>
            <w:vAlign w:val="top"/>
          </w:tcPr>
          <w:p w14:paraId="1D08521A">
            <w:pPr>
              <w:spacing w:line="360" w:lineRule="auto"/>
              <w:rPr>
                <w:rFonts w:hint="eastAsia" w:ascii="宋体" w:hAnsi="宋体" w:eastAsia="宋体"/>
                <w:color w:val="000000"/>
                <w:sz w:val="24"/>
                <w:szCs w:val="24"/>
              </w:rPr>
            </w:pPr>
            <w:r>
              <w:rPr>
                <w:rFonts w:hint="eastAsia" w:ascii="宋体" w:hAnsi="宋体" w:cs="宋体"/>
                <w:color w:val="000000"/>
                <w:sz w:val="24"/>
                <w:szCs w:val="24"/>
              </w:rPr>
              <w:t>过滤辐照笼</w:t>
            </w:r>
          </w:p>
        </w:tc>
        <w:tc>
          <w:tcPr>
            <w:tcW w:w="1100" w:type="dxa"/>
            <w:noWrap w:val="0"/>
            <w:vAlign w:val="top"/>
          </w:tcPr>
          <w:p w14:paraId="2FB0A006">
            <w:pPr>
              <w:spacing w:line="360" w:lineRule="auto"/>
              <w:rPr>
                <w:rFonts w:hint="eastAsia" w:ascii="宋体" w:hAnsi="宋体" w:eastAsia="宋体"/>
                <w:color w:val="000000"/>
                <w:sz w:val="24"/>
                <w:szCs w:val="24"/>
              </w:rPr>
            </w:pPr>
            <w:r>
              <w:rPr>
                <w:rFonts w:hint="eastAsia" w:ascii="宋体" w:hAnsi="宋体" w:cs="宋体"/>
                <w:color w:val="000000"/>
                <w:sz w:val="24"/>
                <w:szCs w:val="24"/>
              </w:rPr>
              <w:t>1套</w:t>
            </w:r>
          </w:p>
        </w:tc>
      </w:tr>
      <w:tr w14:paraId="686CF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62DAA300">
            <w:pPr>
              <w:spacing w:line="360" w:lineRule="auto"/>
              <w:rPr>
                <w:rFonts w:ascii="宋体" w:hAnsi="宋体" w:eastAsia="宋体"/>
                <w:color w:val="000000"/>
                <w:sz w:val="24"/>
                <w:szCs w:val="24"/>
              </w:rPr>
            </w:pPr>
            <w:r>
              <w:rPr>
                <w:rFonts w:hint="eastAsia" w:ascii="宋体" w:hAnsi="宋体" w:eastAsia="宋体"/>
                <w:color w:val="000000"/>
                <w:sz w:val="24"/>
                <w:szCs w:val="24"/>
              </w:rPr>
              <w:t>8</w:t>
            </w:r>
          </w:p>
        </w:tc>
        <w:tc>
          <w:tcPr>
            <w:tcW w:w="5486" w:type="dxa"/>
            <w:noWrap w:val="0"/>
            <w:vAlign w:val="top"/>
          </w:tcPr>
          <w:p w14:paraId="0E782A93">
            <w:pPr>
              <w:spacing w:line="360" w:lineRule="auto"/>
              <w:rPr>
                <w:rFonts w:ascii="宋体" w:hAnsi="宋体" w:eastAsia="宋体" w:cs="宋体"/>
                <w:color w:val="000000"/>
                <w:sz w:val="24"/>
                <w:szCs w:val="24"/>
              </w:rPr>
            </w:pPr>
            <w:r>
              <w:rPr>
                <w:rFonts w:hint="eastAsia" w:ascii="宋体" w:hAnsi="宋体" w:cs="宋体"/>
                <w:color w:val="000000"/>
                <w:sz w:val="24"/>
                <w:szCs w:val="24"/>
              </w:rPr>
              <w:t>实时环境剂量监测仪</w:t>
            </w:r>
          </w:p>
        </w:tc>
        <w:tc>
          <w:tcPr>
            <w:tcW w:w="1100" w:type="dxa"/>
            <w:noWrap w:val="0"/>
            <w:vAlign w:val="top"/>
          </w:tcPr>
          <w:p w14:paraId="2DB114EF">
            <w:pPr>
              <w:wordWrap w:val="0"/>
              <w:spacing w:line="378" w:lineRule="exact"/>
              <w:rPr>
                <w:rFonts w:ascii="宋体" w:hAnsi="宋体" w:eastAsia="宋体" w:cs="宋体"/>
                <w:color w:val="000000"/>
                <w:sz w:val="24"/>
                <w:szCs w:val="24"/>
              </w:rPr>
            </w:pPr>
            <w:r>
              <w:rPr>
                <w:rFonts w:hint="eastAsia" w:ascii="宋体" w:hAnsi="宋体" w:cs="宋体"/>
                <w:color w:val="000000"/>
                <w:sz w:val="24"/>
                <w:szCs w:val="24"/>
              </w:rPr>
              <w:t>1套</w:t>
            </w:r>
          </w:p>
        </w:tc>
      </w:tr>
      <w:tr w14:paraId="04F62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0D3471F2">
            <w:pPr>
              <w:spacing w:line="360" w:lineRule="auto"/>
              <w:rPr>
                <w:rFonts w:ascii="宋体" w:hAnsi="宋体" w:eastAsia="宋体"/>
                <w:color w:val="000000"/>
                <w:sz w:val="24"/>
                <w:szCs w:val="24"/>
              </w:rPr>
            </w:pPr>
            <w:r>
              <w:rPr>
                <w:rFonts w:hint="eastAsia" w:ascii="宋体" w:hAnsi="宋体" w:eastAsia="宋体"/>
                <w:color w:val="000000"/>
                <w:sz w:val="24"/>
                <w:szCs w:val="24"/>
              </w:rPr>
              <w:t>9</w:t>
            </w:r>
          </w:p>
        </w:tc>
        <w:tc>
          <w:tcPr>
            <w:tcW w:w="5486" w:type="dxa"/>
            <w:noWrap w:val="0"/>
            <w:vAlign w:val="top"/>
          </w:tcPr>
          <w:p w14:paraId="66780037">
            <w:pPr>
              <w:spacing w:line="360" w:lineRule="auto"/>
              <w:rPr>
                <w:rFonts w:ascii="宋体" w:hAnsi="宋体" w:eastAsia="宋体" w:cs="宋体"/>
                <w:color w:val="000000"/>
                <w:sz w:val="24"/>
                <w:szCs w:val="24"/>
              </w:rPr>
            </w:pPr>
            <w:r>
              <w:rPr>
                <w:rFonts w:hint="eastAsia" w:ascii="宋体" w:hAnsi="宋体" w:cs="宋体"/>
                <w:color w:val="000000"/>
                <w:sz w:val="24"/>
                <w:szCs w:val="24"/>
              </w:rPr>
              <w:t>过滤片—0.3 mm铜</w:t>
            </w:r>
          </w:p>
        </w:tc>
        <w:tc>
          <w:tcPr>
            <w:tcW w:w="1100" w:type="dxa"/>
            <w:noWrap w:val="0"/>
            <w:vAlign w:val="top"/>
          </w:tcPr>
          <w:p w14:paraId="2E104908">
            <w:pPr>
              <w:spacing w:line="360" w:lineRule="auto"/>
              <w:rPr>
                <w:rFonts w:ascii="宋体" w:hAnsi="宋体" w:eastAsia="宋体" w:cs="宋体"/>
                <w:color w:val="000000"/>
                <w:sz w:val="24"/>
                <w:szCs w:val="24"/>
              </w:rPr>
            </w:pPr>
            <w:r>
              <w:rPr>
                <w:rFonts w:hint="eastAsia" w:ascii="宋体" w:hAnsi="宋体" w:cs="宋体"/>
                <w:color w:val="000000"/>
                <w:sz w:val="24"/>
                <w:szCs w:val="24"/>
              </w:rPr>
              <w:t>1套</w:t>
            </w:r>
          </w:p>
        </w:tc>
      </w:tr>
      <w:tr w14:paraId="7C3D9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6C8B1002">
            <w:pPr>
              <w:spacing w:line="360" w:lineRule="auto"/>
              <w:rPr>
                <w:rFonts w:ascii="宋体" w:hAnsi="宋体" w:eastAsia="宋体"/>
                <w:color w:val="000000"/>
                <w:sz w:val="24"/>
                <w:szCs w:val="24"/>
              </w:rPr>
            </w:pPr>
            <w:r>
              <w:rPr>
                <w:rFonts w:hint="eastAsia" w:ascii="宋体" w:hAnsi="宋体" w:eastAsia="宋体"/>
                <w:color w:val="000000"/>
                <w:sz w:val="24"/>
                <w:szCs w:val="24"/>
              </w:rPr>
              <w:t>10</w:t>
            </w:r>
          </w:p>
        </w:tc>
        <w:tc>
          <w:tcPr>
            <w:tcW w:w="5486" w:type="dxa"/>
            <w:noWrap w:val="0"/>
            <w:vAlign w:val="top"/>
          </w:tcPr>
          <w:p w14:paraId="30050411">
            <w:pPr>
              <w:spacing w:line="360" w:lineRule="auto"/>
              <w:rPr>
                <w:rFonts w:ascii="宋体" w:hAnsi="宋体" w:eastAsia="宋体" w:cs="宋体"/>
                <w:color w:val="000000"/>
                <w:sz w:val="24"/>
                <w:szCs w:val="24"/>
              </w:rPr>
            </w:pPr>
            <w:r>
              <w:rPr>
                <w:rFonts w:hint="eastAsia" w:ascii="宋体" w:hAnsi="宋体" w:cs="宋体"/>
                <w:color w:val="000000"/>
                <w:sz w:val="24"/>
                <w:szCs w:val="24"/>
              </w:rPr>
              <w:t>过滤片—0.5 mm铝</w:t>
            </w:r>
          </w:p>
        </w:tc>
        <w:tc>
          <w:tcPr>
            <w:tcW w:w="1100" w:type="dxa"/>
            <w:noWrap w:val="0"/>
            <w:vAlign w:val="top"/>
          </w:tcPr>
          <w:p w14:paraId="1EAC131D">
            <w:pPr>
              <w:spacing w:line="360" w:lineRule="auto"/>
              <w:rPr>
                <w:rFonts w:ascii="宋体" w:hAnsi="宋体" w:eastAsia="宋体" w:cs="宋体"/>
                <w:color w:val="000000"/>
                <w:sz w:val="24"/>
                <w:szCs w:val="24"/>
              </w:rPr>
            </w:pPr>
            <w:r>
              <w:rPr>
                <w:rFonts w:hint="eastAsia" w:ascii="宋体" w:hAnsi="宋体" w:cs="宋体"/>
                <w:color w:val="000000"/>
                <w:sz w:val="24"/>
                <w:szCs w:val="24"/>
              </w:rPr>
              <w:t>1套</w:t>
            </w:r>
          </w:p>
        </w:tc>
      </w:tr>
      <w:tr w14:paraId="0ACBD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31C62289">
            <w:pPr>
              <w:spacing w:line="360" w:lineRule="auto"/>
              <w:rPr>
                <w:rFonts w:ascii="宋体" w:hAnsi="宋体" w:eastAsia="宋体"/>
                <w:color w:val="000000"/>
                <w:sz w:val="24"/>
                <w:szCs w:val="24"/>
              </w:rPr>
            </w:pPr>
            <w:r>
              <w:rPr>
                <w:rFonts w:hint="eastAsia" w:ascii="宋体" w:hAnsi="宋体" w:eastAsia="宋体"/>
                <w:color w:val="000000"/>
                <w:sz w:val="24"/>
                <w:szCs w:val="24"/>
              </w:rPr>
              <w:t>11</w:t>
            </w:r>
          </w:p>
        </w:tc>
        <w:tc>
          <w:tcPr>
            <w:tcW w:w="5486" w:type="dxa"/>
            <w:noWrap w:val="0"/>
            <w:vAlign w:val="top"/>
          </w:tcPr>
          <w:p w14:paraId="68A45B8D">
            <w:pPr>
              <w:spacing w:line="360" w:lineRule="auto"/>
              <w:rPr>
                <w:rFonts w:ascii="宋体" w:hAnsi="宋体" w:eastAsia="宋体" w:cs="宋体"/>
                <w:color w:val="000000"/>
                <w:sz w:val="24"/>
                <w:szCs w:val="24"/>
              </w:rPr>
            </w:pPr>
            <w:r>
              <w:rPr>
                <w:rFonts w:hint="eastAsia" w:ascii="宋体" w:hAnsi="宋体" w:cs="宋体"/>
                <w:color w:val="000000"/>
                <w:sz w:val="24"/>
                <w:szCs w:val="24"/>
              </w:rPr>
              <w:t>高通量小鼠局部辐照器</w:t>
            </w:r>
          </w:p>
        </w:tc>
        <w:tc>
          <w:tcPr>
            <w:tcW w:w="1100" w:type="dxa"/>
            <w:noWrap w:val="0"/>
            <w:vAlign w:val="top"/>
          </w:tcPr>
          <w:p w14:paraId="1B4E6AEF">
            <w:pPr>
              <w:spacing w:line="360" w:lineRule="auto"/>
              <w:rPr>
                <w:rFonts w:ascii="宋体" w:hAnsi="宋体" w:eastAsia="宋体" w:cs="宋体"/>
                <w:color w:val="000000"/>
                <w:sz w:val="24"/>
                <w:szCs w:val="24"/>
              </w:rPr>
            </w:pPr>
            <w:r>
              <w:rPr>
                <w:rFonts w:ascii="宋体" w:hAnsi="宋体" w:eastAsia="宋体" w:cs="宋体"/>
                <w:color w:val="000000"/>
                <w:sz w:val="24"/>
                <w:szCs w:val="24"/>
              </w:rPr>
              <w:t>1套</w:t>
            </w:r>
          </w:p>
        </w:tc>
      </w:tr>
      <w:tr w14:paraId="5DD2B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6CA9232E">
            <w:pPr>
              <w:spacing w:line="360" w:lineRule="auto"/>
              <w:rPr>
                <w:rFonts w:ascii="宋体" w:hAnsi="宋体" w:eastAsia="宋体"/>
                <w:color w:val="000000"/>
                <w:sz w:val="24"/>
                <w:szCs w:val="24"/>
              </w:rPr>
            </w:pPr>
            <w:r>
              <w:rPr>
                <w:rFonts w:hint="eastAsia" w:ascii="宋体" w:hAnsi="宋体" w:eastAsia="宋体"/>
                <w:color w:val="000000"/>
                <w:sz w:val="24"/>
                <w:szCs w:val="24"/>
              </w:rPr>
              <w:t>12</w:t>
            </w:r>
          </w:p>
        </w:tc>
        <w:tc>
          <w:tcPr>
            <w:tcW w:w="5486" w:type="dxa"/>
            <w:noWrap w:val="0"/>
            <w:vAlign w:val="top"/>
          </w:tcPr>
          <w:p w14:paraId="38E03D17">
            <w:pPr>
              <w:spacing w:line="360" w:lineRule="auto"/>
              <w:rPr>
                <w:rFonts w:ascii="宋体" w:hAnsi="宋体" w:eastAsia="宋体" w:cs="宋体"/>
                <w:color w:val="000000"/>
                <w:sz w:val="24"/>
                <w:szCs w:val="24"/>
              </w:rPr>
            </w:pPr>
            <w:r>
              <w:rPr>
                <w:rFonts w:hint="eastAsia" w:ascii="宋体" w:hAnsi="宋体" w:cs="宋体"/>
                <w:color w:val="000000"/>
                <w:sz w:val="24"/>
                <w:szCs w:val="24"/>
              </w:rPr>
              <w:t>高通量大鼠局部辐照器</w:t>
            </w:r>
          </w:p>
        </w:tc>
        <w:tc>
          <w:tcPr>
            <w:tcW w:w="1100" w:type="dxa"/>
            <w:noWrap w:val="0"/>
            <w:vAlign w:val="top"/>
          </w:tcPr>
          <w:p w14:paraId="5684E5DB">
            <w:pPr>
              <w:spacing w:line="360" w:lineRule="auto"/>
              <w:rPr>
                <w:rFonts w:ascii="宋体" w:hAnsi="宋体" w:eastAsia="宋体" w:cs="宋体"/>
                <w:color w:val="000000"/>
                <w:sz w:val="24"/>
                <w:szCs w:val="24"/>
              </w:rPr>
            </w:pPr>
            <w:r>
              <w:rPr>
                <w:rFonts w:ascii="宋体" w:hAnsi="宋体" w:eastAsia="宋体" w:cs="宋体"/>
                <w:color w:val="000000"/>
                <w:sz w:val="24"/>
                <w:szCs w:val="24"/>
              </w:rPr>
              <w:t>1套</w:t>
            </w:r>
          </w:p>
        </w:tc>
      </w:tr>
      <w:tr w14:paraId="3FEAC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063EAF8F">
            <w:pPr>
              <w:spacing w:line="360" w:lineRule="auto"/>
              <w:rPr>
                <w:rFonts w:ascii="宋体" w:hAnsi="宋体" w:eastAsia="宋体"/>
                <w:color w:val="000000"/>
                <w:sz w:val="24"/>
                <w:szCs w:val="24"/>
              </w:rPr>
            </w:pPr>
            <w:r>
              <w:rPr>
                <w:rFonts w:hint="eastAsia" w:ascii="宋体" w:hAnsi="宋体" w:eastAsia="宋体"/>
                <w:color w:val="000000"/>
                <w:sz w:val="24"/>
                <w:szCs w:val="24"/>
              </w:rPr>
              <w:t>13</w:t>
            </w:r>
          </w:p>
        </w:tc>
        <w:tc>
          <w:tcPr>
            <w:tcW w:w="5486" w:type="dxa"/>
            <w:noWrap w:val="0"/>
            <w:vAlign w:val="top"/>
          </w:tcPr>
          <w:p w14:paraId="5E7D4F86">
            <w:pPr>
              <w:spacing w:line="360" w:lineRule="auto"/>
              <w:rPr>
                <w:rFonts w:ascii="宋体" w:hAnsi="宋体" w:eastAsia="宋体" w:cs="宋体"/>
                <w:color w:val="000000"/>
                <w:sz w:val="24"/>
                <w:szCs w:val="24"/>
              </w:rPr>
            </w:pPr>
            <w:r>
              <w:rPr>
                <w:rFonts w:hint="eastAsia" w:ascii="宋体" w:hAnsi="宋体" w:cs="宋体"/>
                <w:color w:val="000000"/>
                <w:sz w:val="24"/>
                <w:szCs w:val="24"/>
              </w:rPr>
              <w:t>个人剂量监测仪</w:t>
            </w:r>
          </w:p>
        </w:tc>
        <w:tc>
          <w:tcPr>
            <w:tcW w:w="1100" w:type="dxa"/>
            <w:noWrap w:val="0"/>
            <w:vAlign w:val="top"/>
          </w:tcPr>
          <w:p w14:paraId="2966D9D6">
            <w:pPr>
              <w:spacing w:line="360" w:lineRule="auto"/>
              <w:rPr>
                <w:rFonts w:ascii="宋体" w:hAnsi="宋体" w:eastAsia="宋体" w:cs="宋体"/>
                <w:color w:val="000000"/>
                <w:sz w:val="24"/>
                <w:szCs w:val="24"/>
              </w:rPr>
            </w:pPr>
            <w:r>
              <w:rPr>
                <w:rFonts w:ascii="宋体" w:hAnsi="宋体" w:eastAsia="宋体" w:cs="宋体"/>
                <w:color w:val="000000"/>
                <w:sz w:val="24"/>
                <w:szCs w:val="24"/>
              </w:rPr>
              <w:t>1套</w:t>
            </w:r>
          </w:p>
        </w:tc>
      </w:tr>
      <w:tr w14:paraId="14F0A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66A2030D">
            <w:pPr>
              <w:spacing w:line="360" w:lineRule="auto"/>
              <w:rPr>
                <w:rFonts w:ascii="宋体" w:hAnsi="宋体" w:eastAsia="宋体"/>
                <w:color w:val="000000"/>
                <w:sz w:val="24"/>
                <w:szCs w:val="24"/>
              </w:rPr>
            </w:pPr>
            <w:r>
              <w:rPr>
                <w:rFonts w:hint="eastAsia" w:ascii="宋体" w:hAnsi="宋体" w:eastAsia="宋体"/>
                <w:color w:val="000000"/>
                <w:sz w:val="24"/>
                <w:szCs w:val="24"/>
              </w:rPr>
              <w:t>14</w:t>
            </w:r>
          </w:p>
        </w:tc>
        <w:tc>
          <w:tcPr>
            <w:tcW w:w="5486" w:type="dxa"/>
            <w:noWrap w:val="0"/>
            <w:vAlign w:val="top"/>
          </w:tcPr>
          <w:p w14:paraId="5A418713">
            <w:pPr>
              <w:spacing w:line="360" w:lineRule="auto"/>
              <w:rPr>
                <w:rFonts w:ascii="宋体" w:hAnsi="宋体" w:eastAsia="宋体" w:cs="宋体"/>
                <w:color w:val="000000"/>
                <w:sz w:val="24"/>
                <w:szCs w:val="24"/>
              </w:rPr>
            </w:pPr>
            <w:r>
              <w:rPr>
                <w:rFonts w:hint="eastAsia" w:ascii="宋体" w:hAnsi="宋体" w:cs="宋体"/>
                <w:color w:val="000000"/>
                <w:sz w:val="24"/>
                <w:szCs w:val="24"/>
              </w:rPr>
              <w:t>激光电动限束仪</w:t>
            </w:r>
          </w:p>
        </w:tc>
        <w:tc>
          <w:tcPr>
            <w:tcW w:w="1100" w:type="dxa"/>
            <w:noWrap w:val="0"/>
            <w:vAlign w:val="top"/>
          </w:tcPr>
          <w:p w14:paraId="2C7A88B6">
            <w:pPr>
              <w:spacing w:line="360" w:lineRule="auto"/>
              <w:rPr>
                <w:rFonts w:ascii="宋体" w:hAnsi="宋体" w:eastAsia="宋体" w:cs="宋体"/>
                <w:color w:val="000000"/>
                <w:sz w:val="24"/>
                <w:szCs w:val="24"/>
              </w:rPr>
            </w:pPr>
            <w:r>
              <w:rPr>
                <w:rFonts w:ascii="宋体" w:hAnsi="宋体" w:eastAsia="宋体" w:cs="宋体"/>
                <w:color w:val="000000"/>
                <w:sz w:val="24"/>
                <w:szCs w:val="24"/>
              </w:rPr>
              <w:t>1套</w:t>
            </w:r>
          </w:p>
        </w:tc>
      </w:tr>
      <w:tr w14:paraId="0DDC2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10" w:type="dxa"/>
            <w:noWrap w:val="0"/>
            <w:vAlign w:val="top"/>
          </w:tcPr>
          <w:p w14:paraId="0ABD5BA6">
            <w:pPr>
              <w:spacing w:line="360" w:lineRule="auto"/>
              <w:rPr>
                <w:rFonts w:ascii="宋体" w:hAnsi="宋体" w:eastAsia="宋体"/>
                <w:color w:val="000000"/>
                <w:sz w:val="24"/>
                <w:szCs w:val="24"/>
              </w:rPr>
            </w:pPr>
            <w:r>
              <w:rPr>
                <w:rFonts w:hint="eastAsia" w:ascii="宋体" w:hAnsi="宋体" w:eastAsia="宋体"/>
                <w:color w:val="000000"/>
                <w:sz w:val="24"/>
                <w:szCs w:val="24"/>
              </w:rPr>
              <w:t>15</w:t>
            </w:r>
          </w:p>
        </w:tc>
        <w:tc>
          <w:tcPr>
            <w:tcW w:w="5486" w:type="dxa"/>
            <w:noWrap w:val="0"/>
            <w:vAlign w:val="top"/>
          </w:tcPr>
          <w:p w14:paraId="60A8505E">
            <w:pPr>
              <w:spacing w:line="360" w:lineRule="auto"/>
              <w:rPr>
                <w:rFonts w:ascii="宋体" w:hAnsi="宋体" w:eastAsia="宋体" w:cs="宋体"/>
                <w:color w:val="000000"/>
                <w:sz w:val="24"/>
                <w:szCs w:val="24"/>
              </w:rPr>
            </w:pPr>
            <w:r>
              <w:rPr>
                <w:rFonts w:hint="eastAsia" w:ascii="宋体" w:hAnsi="宋体" w:cs="宋体"/>
                <w:color w:val="000000"/>
                <w:sz w:val="24"/>
                <w:szCs w:val="24"/>
              </w:rPr>
              <w:t>远程控制系统</w:t>
            </w:r>
          </w:p>
        </w:tc>
        <w:tc>
          <w:tcPr>
            <w:tcW w:w="1100" w:type="dxa"/>
            <w:noWrap w:val="0"/>
            <w:vAlign w:val="top"/>
          </w:tcPr>
          <w:p w14:paraId="0AED793B">
            <w:pPr>
              <w:spacing w:line="360" w:lineRule="auto"/>
              <w:rPr>
                <w:rFonts w:ascii="宋体" w:hAnsi="宋体" w:eastAsia="宋体" w:cs="宋体"/>
                <w:color w:val="000000"/>
                <w:sz w:val="24"/>
                <w:szCs w:val="24"/>
              </w:rPr>
            </w:pPr>
            <w:r>
              <w:rPr>
                <w:rFonts w:ascii="宋体" w:hAnsi="宋体" w:eastAsia="宋体" w:cs="宋体"/>
                <w:color w:val="000000"/>
                <w:sz w:val="24"/>
                <w:szCs w:val="24"/>
              </w:rPr>
              <w:t>1套</w:t>
            </w:r>
          </w:p>
        </w:tc>
      </w:tr>
    </w:tbl>
    <w:p w14:paraId="503E5877">
      <w:pPr>
        <w:widowControl/>
        <w:wordWrap w:val="0"/>
        <w:spacing w:line="360" w:lineRule="auto"/>
        <w:ind w:firstLine="0" w:firstLineChars="0"/>
        <w:jc w:val="left"/>
        <w:rPr>
          <w:rFonts w:hint="eastAsia" w:ascii="宋体" w:hAnsi="宋体" w:cs="宋体"/>
          <w:color w:val="000000"/>
          <w:sz w:val="24"/>
        </w:rPr>
      </w:pPr>
    </w:p>
    <w:p w14:paraId="0A4A6D84">
      <w:pPr>
        <w:widowControl/>
        <w:spacing w:line="360" w:lineRule="auto"/>
        <w:ind w:firstLine="482" w:firstLineChars="200"/>
        <w:rPr>
          <w:rFonts w:hint="eastAsia" w:ascii="宋体" w:hAnsi="宋体"/>
          <w:b/>
          <w:bCs/>
          <w:sz w:val="24"/>
          <w:szCs w:val="24"/>
        </w:rPr>
      </w:pPr>
      <w:r>
        <w:rPr>
          <w:rFonts w:hint="eastAsia" w:ascii="宋体" w:hAnsi="宋体"/>
          <w:b/>
          <w:bCs/>
          <w:sz w:val="24"/>
          <w:szCs w:val="24"/>
        </w:rPr>
        <w:t>五</w:t>
      </w:r>
      <w:r>
        <w:rPr>
          <w:rFonts w:ascii="宋体" w:hAnsi="宋体"/>
          <w:b/>
          <w:bCs/>
          <w:sz w:val="24"/>
          <w:szCs w:val="24"/>
        </w:rPr>
        <w:t>、</w:t>
      </w:r>
      <w:r>
        <w:rPr>
          <w:rFonts w:hint="eastAsia" w:ascii="宋体" w:hAnsi="宋体"/>
          <w:b/>
          <w:bCs/>
          <w:sz w:val="24"/>
          <w:szCs w:val="24"/>
        </w:rPr>
        <w:t>商务</w:t>
      </w:r>
      <w:r>
        <w:rPr>
          <w:rFonts w:ascii="宋体" w:hAnsi="宋体"/>
          <w:b/>
          <w:bCs/>
          <w:sz w:val="24"/>
          <w:szCs w:val="24"/>
        </w:rPr>
        <w:t>要求</w:t>
      </w:r>
    </w:p>
    <w:p w14:paraId="7732FBAC">
      <w:pPr>
        <w:spacing w:line="360" w:lineRule="auto"/>
        <w:ind w:firstLine="480"/>
        <w:rPr>
          <w:rFonts w:hint="eastAsia" w:ascii="宋体" w:hAnsi="宋体"/>
          <w:b/>
          <w:sz w:val="24"/>
          <w:szCs w:val="24"/>
        </w:rPr>
      </w:pPr>
      <w:r>
        <w:rPr>
          <w:rFonts w:hint="eastAsia" w:ascii="宋体" w:hAnsi="宋体"/>
          <w:bCs/>
          <w:sz w:val="24"/>
          <w:szCs w:val="24"/>
        </w:rPr>
        <w:t>其中</w:t>
      </w:r>
      <w:r>
        <w:rPr>
          <w:rFonts w:hint="eastAsia" w:ascii="宋体" w:hAnsi="宋体"/>
          <w:b/>
          <w:bCs/>
          <w:i/>
          <w:sz w:val="24"/>
          <w:u w:val="single"/>
        </w:rPr>
        <w:t>斜体且有下划线部分</w:t>
      </w:r>
      <w:r>
        <w:rPr>
          <w:rFonts w:hint="eastAsia" w:ascii="宋体" w:hAnsi="宋体"/>
          <w:b/>
          <w:bCs/>
          <w:sz w:val="24"/>
        </w:rPr>
        <w:t>或加★号条款为实质性要求。</w:t>
      </w:r>
    </w:p>
    <w:p w14:paraId="7B7C777F">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(一)售后服务要求</w:t>
      </w:r>
    </w:p>
    <w:p w14:paraId="6E5F15F0">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1、无论是质量保证期内还是质量保证期外，供应商应承诺在设备发生故障时,应在接到报修电话8小时内，以线上方式了解故障情况、原因并指导仪器管理人员妥善处置；如故障未能解决，</w:t>
      </w:r>
      <w:r>
        <w:rPr>
          <w:rFonts w:hint="eastAsia" w:ascii="宋体" w:hAnsi="宋体" w:cs="宋体"/>
          <w:color w:val="000000"/>
          <w:sz w:val="24"/>
          <w:lang w:val="en-US" w:eastAsia="zh-CN"/>
        </w:rPr>
        <w:t>原厂</w:t>
      </w:r>
      <w:r>
        <w:rPr>
          <w:rFonts w:ascii="宋体" w:hAnsi="宋体" w:cs="宋体"/>
          <w:color w:val="000000"/>
          <w:sz w:val="24"/>
        </w:rPr>
        <w:t>维修工程师应于48小时内至现场解决。在质量保证期内，免费维修更换有缺陷的设备或部件，质量保证期外，卖方继续提供维修服务及零部件更换。</w:t>
      </w:r>
    </w:p>
    <w:p w14:paraId="0C9E0181">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2、质量保证期内及质量保证期外的服务收费标准：供应商应保证提供的设备在正确安装、正常使用和保养条件下，在（配套服务、增值服务、维保服务等）其使用寿命期内运转良好。供应商对由于设计、工艺或材料的缺陷而造成的任何设备缺陷和故障负责；供应商终身提供广泛优惠的技术支持及备件供应，质量保证期满后，只收取部件成本费，人工费由供应商自行承担。零备件、备品库，能终身提供广泛优惠的技术支持及配件供应。</w:t>
      </w:r>
    </w:p>
    <w:p w14:paraId="7094D97C">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3、其他的服务内容：供应商根据合同规定提供设备安装调试所需的资料, 并在保证安全和质量的前提下提供技术支持, 包括技术咨询、现场服务等。</w:t>
      </w:r>
    </w:p>
    <w:p w14:paraId="222E018D">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4、在设备交付运行后，供应商如对系统软件改进，增加新功能以及适应新建议所做实质性修改的最新版本，应主动提示采购人并免费提供升级服务。</w:t>
      </w:r>
    </w:p>
    <w:p w14:paraId="3424DA02">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5、供应商应设有技术支持中心，提供专业的技术支持和维修服务，在所提供设备的寿命期内保证设备终身技术支持。</w:t>
      </w:r>
    </w:p>
    <w:p w14:paraId="79311EC2">
      <w:pPr>
        <w:widowControl/>
        <w:spacing w:line="360" w:lineRule="auto"/>
        <w:ind w:firstLine="480"/>
        <w:jc w:val="left"/>
        <w:rPr>
          <w:rFonts w:hint="eastAsia" w:ascii="宋体" w:hAnsi="宋体" w:cs="宋体"/>
          <w:color w:val="000000"/>
          <w:sz w:val="24"/>
        </w:rPr>
      </w:pPr>
      <w:r>
        <w:rPr>
          <w:rFonts w:hint="eastAsia" w:ascii="宋体" w:hAnsi="宋体"/>
          <w:b/>
          <w:bCs/>
          <w:sz w:val="24"/>
        </w:rPr>
        <w:t>★</w:t>
      </w:r>
      <w:r>
        <w:rPr>
          <w:rFonts w:ascii="宋体" w:hAnsi="宋体" w:cs="宋体"/>
          <w:color w:val="000000"/>
          <w:sz w:val="24"/>
        </w:rPr>
        <w:t>6、供应商应承诺，根据采购人实际需要提供在同一校区内免费设备移机服务1次。</w:t>
      </w:r>
      <w:r>
        <w:rPr>
          <w:rFonts w:hint="eastAsia" w:asciiTheme="minorEastAsia" w:hAnsiTheme="minorEastAsia" w:eastAsiaTheme="minorEastAsia"/>
          <w:bCs/>
          <w:sz w:val="24"/>
          <w:szCs w:val="24"/>
          <w:lang w:bidi="ar"/>
        </w:rPr>
        <w:t>（提供承诺书加盖供应商</w:t>
      </w:r>
      <w:r>
        <w:rPr>
          <w:rFonts w:hint="eastAsia" w:asciiTheme="minorEastAsia" w:hAnsiTheme="minorEastAsia" w:eastAsiaTheme="minorEastAsia"/>
          <w:bCs/>
          <w:sz w:val="24"/>
          <w:szCs w:val="24"/>
          <w:lang w:eastAsia="zh-CN" w:bidi="ar"/>
        </w:rPr>
        <w:t>电子公章</w:t>
      </w:r>
      <w:r>
        <w:rPr>
          <w:rFonts w:hint="eastAsia" w:asciiTheme="minorEastAsia" w:hAnsiTheme="minorEastAsia" w:eastAsiaTheme="minorEastAsia"/>
          <w:bCs/>
          <w:sz w:val="24"/>
          <w:szCs w:val="24"/>
          <w:lang w:bidi="ar"/>
        </w:rPr>
        <w:t>，格式自拟）</w:t>
      </w:r>
    </w:p>
    <w:p w14:paraId="7DD4EC67">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7、供应商需在仪器安装完72h内安排仪器操作人员、维护人员的培训，培训形式包括现场培训或线上培训。</w:t>
      </w:r>
    </w:p>
    <w:p w14:paraId="7EA18ECF">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(二)质保期限</w:t>
      </w:r>
    </w:p>
    <w:p w14:paraId="2BB70C1A">
      <w:pPr>
        <w:wordWrap w:val="0"/>
        <w:spacing w:line="360" w:lineRule="auto"/>
        <w:ind w:firstLine="480" w:firstLineChars="200"/>
        <w:jc w:val="left"/>
        <w:rPr>
          <w:rFonts w:hint="eastAsia" w:ascii="宋体" w:hAnsi="宋体" w:cs="宋体"/>
          <w:color w:val="000000"/>
          <w:sz w:val="24"/>
        </w:rPr>
      </w:pPr>
      <w:r>
        <w:rPr>
          <w:rFonts w:ascii="宋体" w:hAnsi="宋体" w:cs="宋体"/>
          <w:color w:val="000000"/>
          <w:sz w:val="24"/>
        </w:rPr>
        <w:t>本次采购设备的质量保证期自设备完成验收后，采购人与供应商双方签字之日起计算，质量保证期至少为</w:t>
      </w:r>
      <w:r>
        <w:rPr>
          <w:rFonts w:hint="eastAsia" w:ascii="宋体" w:hAnsi="宋体" w:cs="宋体"/>
          <w:color w:val="000000"/>
          <w:sz w:val="24"/>
          <w:lang w:val="en-US" w:eastAsia="zh-CN"/>
        </w:rPr>
        <w:t>2</w:t>
      </w:r>
      <w:r>
        <w:rPr>
          <w:rFonts w:ascii="宋体" w:hAnsi="宋体" w:cs="宋体"/>
          <w:color w:val="000000"/>
          <w:sz w:val="24"/>
        </w:rPr>
        <w:t>年（</w:t>
      </w:r>
      <w:r>
        <w:rPr>
          <w:rFonts w:hint="eastAsia" w:ascii="宋体" w:hAnsi="宋体" w:cs="宋体"/>
          <w:color w:val="000000"/>
          <w:sz w:val="24"/>
          <w:lang w:val="en-US" w:eastAsia="zh-CN"/>
        </w:rPr>
        <w:t>24</w:t>
      </w:r>
      <w:r>
        <w:rPr>
          <w:rFonts w:ascii="宋体" w:hAnsi="宋体" w:cs="宋体"/>
          <w:color w:val="000000"/>
          <w:sz w:val="24"/>
        </w:rPr>
        <w:t>个月）。</w:t>
      </w:r>
    </w:p>
    <w:p w14:paraId="7178EFFB">
      <w:pPr>
        <w:wordWrap w:val="0"/>
        <w:spacing w:line="360" w:lineRule="auto"/>
        <w:ind w:firstLine="480" w:firstLineChars="200"/>
        <w:jc w:val="left"/>
        <w:rPr>
          <w:rFonts w:hint="eastAsia" w:ascii="宋体" w:hAnsi="宋体" w:cs="宋体"/>
          <w:color w:val="000000"/>
          <w:sz w:val="24"/>
        </w:rPr>
      </w:pPr>
    </w:p>
    <w:p w14:paraId="697AF7C0">
      <w:pPr>
        <w:widowControl/>
        <w:spacing w:line="360" w:lineRule="auto"/>
        <w:ind w:firstLine="482" w:firstLineChars="200"/>
        <w:rPr>
          <w:rFonts w:hint="eastAsia" w:ascii="宋体" w:hAnsi="宋体"/>
          <w:b/>
          <w:color w:val="000000"/>
          <w:sz w:val="24"/>
          <w:szCs w:val="24"/>
        </w:rPr>
      </w:pPr>
      <w:r>
        <w:rPr>
          <w:rFonts w:hint="eastAsia" w:ascii="宋体" w:hAnsi="宋体"/>
          <w:b/>
          <w:bCs/>
          <w:sz w:val="24"/>
          <w:szCs w:val="24"/>
        </w:rPr>
        <w:t>六、验收标准</w:t>
      </w:r>
    </w:p>
    <w:p w14:paraId="13C47C25">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1、中标人交货前应对货物全面检查并对验收文件进行整理，列出清单提交采购人，检验的结果亦应随货物交采购人。</w:t>
      </w:r>
    </w:p>
    <w:p w14:paraId="7464F66B">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2、采购人对中标人提供的货物在使用前进行调试时，中标人需负责安装并培训采购人的使用操作人员，并协助采购人一起调试，直到符合技术要求。</w:t>
      </w:r>
    </w:p>
    <w:p w14:paraId="695B534F">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3、在安装、调试和验收过程中，如发现有漏件、缺件，中标人应无条件、无偿补齐，所发生的一切费用，视为已包含在磋商时的磋商报价中，且并不因此而影响交付采购人使用的时间。</w:t>
      </w:r>
    </w:p>
    <w:p w14:paraId="3131A8E4">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4、采购人对中标人提交的货物依据</w:t>
      </w:r>
      <w:r>
        <w:rPr>
          <w:rFonts w:hint="eastAsia" w:ascii="宋体" w:hAnsi="宋体"/>
          <w:color w:val="000000"/>
          <w:sz w:val="24"/>
          <w:szCs w:val="24"/>
          <w:lang w:eastAsia="zh-CN"/>
        </w:rPr>
        <w:t>招标文件</w:t>
      </w:r>
      <w:r>
        <w:rPr>
          <w:rFonts w:hint="eastAsia" w:ascii="宋体" w:hAnsi="宋体"/>
          <w:color w:val="000000"/>
          <w:sz w:val="24"/>
          <w:szCs w:val="24"/>
        </w:rPr>
        <w:t>上的技术规格要求和国家有关质量标准进行现场初步验收。外观、说明书符合</w:t>
      </w:r>
      <w:r>
        <w:rPr>
          <w:rFonts w:hint="eastAsia" w:ascii="宋体" w:hAnsi="宋体"/>
          <w:color w:val="000000"/>
          <w:sz w:val="24"/>
          <w:szCs w:val="24"/>
          <w:lang w:eastAsia="zh-CN"/>
        </w:rPr>
        <w:t>招标文件</w:t>
      </w:r>
      <w:r>
        <w:rPr>
          <w:rFonts w:hint="eastAsia" w:ascii="宋体" w:hAnsi="宋体"/>
          <w:color w:val="000000"/>
          <w:sz w:val="24"/>
          <w:szCs w:val="24"/>
        </w:rPr>
        <w:t>技术要求的，给予签收，初步验收不合格的不予签收。采购人需在10个工作日内完成初步验收。</w:t>
      </w:r>
    </w:p>
    <w:p w14:paraId="0C0C417C">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5、设备、材料安装、调试结束，甲、乙双方派员共同验收，达到验收标准则由采购人最终验收合格。最终验收完毕后出具验收结果报告并经双方签字确认；验收相关</w:t>
      </w:r>
      <w:r>
        <w:rPr>
          <w:rFonts w:hint="eastAsia" w:ascii="宋体" w:hAnsi="宋体"/>
          <w:color w:val="000000"/>
          <w:sz w:val="24"/>
          <w:szCs w:val="24"/>
          <w:lang w:val="en-US" w:eastAsia="zh-CN"/>
        </w:rPr>
        <w:t>检测</w:t>
      </w:r>
      <w:r>
        <w:rPr>
          <w:rFonts w:hint="eastAsia" w:ascii="宋体" w:hAnsi="宋体"/>
          <w:color w:val="000000"/>
          <w:sz w:val="24"/>
          <w:szCs w:val="24"/>
        </w:rPr>
        <w:t>费用由中标人承担。</w:t>
      </w:r>
    </w:p>
    <w:p w14:paraId="404691F2">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6、采购人可聘请国家认可的专业检测机构参与初步验收及最终验收，并由其出具质量检测报告，作为采购人判断中标人的货物能否通过验收的条件之一，无论是否通过验收，相关检测费用均由中标人承担。因中标人交付的货物不符合标准导致重复支出的验收费用，亦由中标人承担。</w:t>
      </w:r>
    </w:p>
    <w:p w14:paraId="466B1282">
      <w:pPr>
        <w:widowControl/>
        <w:spacing w:line="360" w:lineRule="auto"/>
        <w:ind w:firstLine="482" w:firstLineChars="200"/>
        <w:rPr>
          <w:rFonts w:hint="eastAsia" w:ascii="宋体" w:hAnsi="宋体"/>
          <w:b/>
          <w:bCs/>
          <w:sz w:val="24"/>
          <w:szCs w:val="24"/>
        </w:rPr>
      </w:pPr>
      <w:r>
        <w:rPr>
          <w:rFonts w:hint="eastAsia" w:ascii="宋体" w:hAnsi="宋体"/>
          <w:b/>
          <w:bCs/>
          <w:sz w:val="24"/>
          <w:szCs w:val="24"/>
        </w:rPr>
        <w:t>七、质保期及履约保证金</w:t>
      </w:r>
    </w:p>
    <w:p w14:paraId="4329864D">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一、免费质保期</w:t>
      </w:r>
    </w:p>
    <w:p w14:paraId="5C9A3760">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自项目验收合格之日起，不少于</w:t>
      </w:r>
      <w:r>
        <w:rPr>
          <w:rFonts w:hint="eastAsia" w:ascii="宋体" w:hAnsi="宋体"/>
          <w:color w:val="000000"/>
          <w:sz w:val="24"/>
          <w:szCs w:val="24"/>
          <w:lang w:val="en-US" w:eastAsia="zh-CN"/>
        </w:rPr>
        <w:t>24</w:t>
      </w:r>
      <w:r>
        <w:rPr>
          <w:rFonts w:hint="eastAsia" w:ascii="宋体" w:hAnsi="宋体"/>
          <w:color w:val="000000"/>
          <w:sz w:val="24"/>
          <w:szCs w:val="24"/>
        </w:rPr>
        <w:t>个月。(无质保要求的“/”表示)</w:t>
      </w:r>
    </w:p>
    <w:p w14:paraId="4852FBF5">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二、履约保证金</w:t>
      </w:r>
    </w:p>
    <w:p w14:paraId="4DE1E535">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中标人于本合同签订前向采购人交纳人民币　　　元（合同价的【5】%）作为本合同的履约保证金。</w:t>
      </w:r>
    </w:p>
    <w:p w14:paraId="348AAB2B">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 xml:space="preserve">自采购人最终书面确认验收合格之日起算【12】个月后，采购人确认无质量问题且中标人无违约情形后将履约保证金无息退还给中标人。中标人若有违约情形的或产品存在质量问题，采购人有权依据合同约定在履约保证金中先行扣除相应金额的违约金或质量赔偿金。履约保证金不足扣除的，中标人应在接到采购人通知后及时补足。 </w:t>
      </w:r>
    </w:p>
    <w:p w14:paraId="534F36AA">
      <w:pPr>
        <w:widowControl/>
        <w:spacing w:line="360" w:lineRule="auto"/>
        <w:ind w:firstLine="482" w:firstLineChars="200"/>
        <w:rPr>
          <w:rFonts w:hint="eastAsia" w:ascii="宋体" w:hAnsi="宋体"/>
          <w:b/>
          <w:bCs/>
          <w:sz w:val="24"/>
          <w:szCs w:val="24"/>
        </w:rPr>
      </w:pPr>
      <w:r>
        <w:rPr>
          <w:rFonts w:hint="eastAsia" w:ascii="宋体" w:hAnsi="宋体"/>
          <w:b/>
          <w:bCs/>
          <w:sz w:val="24"/>
          <w:szCs w:val="24"/>
        </w:rPr>
        <w:t>八、付款方式</w:t>
      </w:r>
    </w:p>
    <w:p w14:paraId="4DD36154">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如中标产品为非进口设备，则付款方式为：合同签订后，中标供应商将全部货物运到采购人指定的交货地点，并按照招标文件、合同约定及采购人的要求安装调试结束，经采购人最终书面确认验收合格无误后，中标供货商向采购人提供合法有效的正规增值税发票，采购人在收到发票后</w:t>
      </w:r>
      <w:r>
        <w:rPr>
          <w:rFonts w:hint="eastAsia" w:ascii="宋体" w:hAnsi="宋体"/>
          <w:color w:val="000000"/>
          <w:sz w:val="24"/>
          <w:szCs w:val="24"/>
          <w:lang w:val="en-US" w:eastAsia="zh-CN"/>
        </w:rPr>
        <w:t>15个工作日</w:t>
      </w:r>
      <w:r>
        <w:rPr>
          <w:rFonts w:hint="eastAsia" w:ascii="宋体" w:hAnsi="宋体"/>
          <w:color w:val="000000"/>
          <w:sz w:val="24"/>
          <w:szCs w:val="24"/>
        </w:rPr>
        <w:t>向中标供货商付清应付款项。</w:t>
      </w:r>
    </w:p>
    <w:p w14:paraId="613204D8">
      <w:pPr>
        <w:spacing w:line="360" w:lineRule="auto"/>
        <w:ind w:firstLine="480" w:firstLineChars="200"/>
        <w:rPr>
          <w:rFonts w:hint="eastAsia" w:ascii="宋体" w:hAnsi="宋体"/>
          <w:color w:val="000000"/>
          <w:sz w:val="24"/>
          <w:szCs w:val="24"/>
        </w:rPr>
      </w:pPr>
      <w:r>
        <w:rPr>
          <w:rFonts w:hint="eastAsia" w:ascii="宋体" w:hAnsi="宋体"/>
          <w:color w:val="000000"/>
          <w:sz w:val="24"/>
          <w:szCs w:val="24"/>
        </w:rPr>
        <w:t>如中标产品为进口设备，则付款方式为：合同签订后，中标供应商委托采购人指定的外贸代理公司向采购人提供海关报关清单复印件、购汇凭证、境外发票复印件、代理手续费发票原件等（复印件须加盖外贸代理公司</w:t>
      </w:r>
      <w:r>
        <w:rPr>
          <w:rFonts w:hint="eastAsia" w:ascii="宋体" w:hAnsi="宋体"/>
          <w:color w:val="000000"/>
          <w:sz w:val="24"/>
          <w:szCs w:val="24"/>
          <w:lang w:eastAsia="zh-CN"/>
        </w:rPr>
        <w:t>公章</w:t>
      </w:r>
      <w:r>
        <w:rPr>
          <w:rFonts w:hint="eastAsia" w:ascii="宋体" w:hAnsi="宋体"/>
          <w:color w:val="000000"/>
          <w:sz w:val="24"/>
          <w:szCs w:val="24"/>
        </w:rPr>
        <w:t>），在采购人在收到上述完整资料并与中标供应商确认无误后，根据采购人与外贸代理公司签订的外贸合同（即《委托代理进口合同》）的约定，采购人外贸代理公司预先支付货物的人民币全款（中标金额）。中标供货商将货物送达采购人指定交货地点并经采购人初步确认无误、且外贸代理公司与采购人一致确认到货后，由外贸代理公司按照与采购人签订的外贸合同的约定向中标供货商支付90％货款，待中标供货商将货物安装、调试完毕并经采购人验收合格后，由外贸代理公司凭采购人签署的正本验收合格报告向中标供货商支付剩余10％货款（中标供货商与外贸代理公司之间的其他权利和义务，按该两方之间的合同约定执行）。中标供货商对采购人、中标供货商及外贸代理公司三者之间的关系明确知晓，并自愿、自行与采购人指定的外贸代理公司建立合作关系和款项结付关系，以保证采购人的权利得以全面实现。采购人依照采购人与外贸代理公司签订的外贸合同所约定的人民币全包价（中标金额），向外贸代理公司付清全部货款后，采购人的付款义务即告履行完毕。</w:t>
      </w:r>
    </w:p>
    <w:p w14:paraId="0D46C8B4">
      <w:pPr>
        <w:spacing w:line="360" w:lineRule="auto"/>
        <w:ind w:firstLine="480" w:firstLineChars="200"/>
        <w:rPr>
          <w:rFonts w:ascii="黑体" w:eastAsia="黑体"/>
          <w:bCs/>
          <w:sz w:val="44"/>
        </w:rPr>
      </w:pPr>
      <w:r>
        <w:rPr>
          <w:rFonts w:hint="eastAsia" w:ascii="宋体" w:hAnsi="宋体"/>
          <w:color w:val="000000"/>
          <w:sz w:val="24"/>
          <w:szCs w:val="24"/>
        </w:rPr>
        <w:t>中标供应商产品如为进口设备，在报价中，需考虑因中美贸易战或其他不可控因素导致的关税增加及其他风险费用，成交后，采购人将按照成交价格与成交供应商签订合同并支付合同款，合同执行期间，采购人不再另外支付任何费用。</w:t>
      </w:r>
    </w:p>
    <w:p w14:paraId="104F8B37">
      <w:pPr>
        <w:rPr>
          <w:rFonts w:ascii="黑体" w:eastAsia="黑体"/>
          <w:bCs/>
          <w:sz w:val="44"/>
        </w:rPr>
      </w:pPr>
    </w:p>
    <w:p w14:paraId="26192F82">
      <w:pPr>
        <w:rPr>
          <w:rFonts w:ascii="黑体" w:eastAsia="黑体"/>
          <w:bCs/>
          <w:sz w:val="44"/>
        </w:rPr>
      </w:pPr>
    </w:p>
    <w:p w14:paraId="1B046970">
      <w:pPr>
        <w:rPr>
          <w:rFonts w:ascii="黑体" w:eastAsia="黑体"/>
          <w:bCs/>
          <w:sz w:val="44"/>
        </w:rPr>
      </w:pPr>
    </w:p>
    <w:p w14:paraId="3D950B0A">
      <w:pPr>
        <w:rPr>
          <w:rFonts w:ascii="黑体" w:eastAsia="黑体"/>
          <w:bCs/>
          <w:sz w:val="44"/>
        </w:rPr>
      </w:pPr>
    </w:p>
    <w:p w14:paraId="03FB0D53">
      <w:pPr>
        <w:rPr>
          <w:rFonts w:hint="eastAsia" w:ascii="黑体" w:eastAsia="黑体"/>
          <w:bCs/>
          <w:sz w:val="44"/>
        </w:rPr>
      </w:pPr>
      <w:r>
        <w:rPr>
          <w:rFonts w:hint="eastAsia" w:ascii="黑体" w:eastAsia="黑体"/>
          <w:bCs/>
          <w:sz w:val="44"/>
        </w:rPr>
        <w:br w:type="page"/>
      </w:r>
    </w:p>
    <w:p w14:paraId="7E5BF0B0">
      <w:pPr>
        <w:pStyle w:val="194"/>
        <w:rPr>
          <w:rFonts w:ascii="黑体" w:eastAsia="黑体"/>
          <w:bCs/>
          <w:sz w:val="44"/>
        </w:rPr>
      </w:pPr>
      <w:bookmarkStart w:id="347" w:name="_Toc13829"/>
      <w:r>
        <w:rPr>
          <w:rFonts w:hint="eastAsia" w:ascii="黑体" w:eastAsia="黑体"/>
          <w:bCs/>
          <w:sz w:val="44"/>
        </w:rPr>
        <w:t xml:space="preserve">第五章  </w:t>
      </w:r>
      <w:r>
        <w:rPr>
          <w:rFonts w:hint="eastAsia" w:ascii="黑体" w:eastAsia="黑体"/>
          <w:b/>
          <w:bCs/>
          <w:sz w:val="44"/>
        </w:rPr>
        <w:t>评标方法与评标标准</w:t>
      </w:r>
      <w:bookmarkEnd w:id="347"/>
    </w:p>
    <w:p w14:paraId="63AACA49"/>
    <w:p w14:paraId="203073A6">
      <w:pPr>
        <w:pStyle w:val="279"/>
        <w:ind w:firstLine="439"/>
        <w:rPr>
          <w:rFonts w:cs="Arial"/>
        </w:rPr>
      </w:pPr>
      <w:r>
        <w:rPr>
          <w:rFonts w:hint="eastAsia" w:cs="Arial"/>
        </w:rPr>
        <w:t>采用综合评分法的，评标结果按评审得分由高到低顺序排列。得分相同的，按投标报价由低到高顺序排列，得分和投标报价均相同的并列，投标文件满足招标文件全部实质性要求，由评标委员会按照评审因素的</w:t>
      </w:r>
      <w:r>
        <w:rPr>
          <w:rFonts w:hint="eastAsia" w:cs="Arial"/>
          <w:u w:val="single"/>
        </w:rPr>
        <w:t>技术能力与招标文件投标程度</w:t>
      </w:r>
      <w:r>
        <w:rPr>
          <w:rFonts w:hint="eastAsia" w:cs="Arial"/>
        </w:rPr>
        <w:t>得分最高的投标人推荐为中标候选人。</w:t>
      </w:r>
    </w:p>
    <w:p w14:paraId="161BA824">
      <w:pPr>
        <w:pStyle w:val="279"/>
        <w:spacing w:line="0" w:lineRule="atLeast"/>
        <w:ind w:firstLine="441"/>
        <w:rPr>
          <w:rFonts w:hint="eastAsia" w:ascii="宋体" w:hAnsi="宋体"/>
          <w:b/>
          <w:highlight w:val="yellow"/>
        </w:rPr>
      </w:pPr>
      <w:r>
        <w:rPr>
          <w:rFonts w:hint="eastAsia" w:ascii="宋体" w:hAnsi="宋体"/>
          <w:b/>
        </w:rPr>
        <w:t>政府采购政策功能落实</w:t>
      </w:r>
    </w:p>
    <w:p w14:paraId="1899A8D7">
      <w:pPr>
        <w:pStyle w:val="279"/>
        <w:spacing w:line="0" w:lineRule="atLeast"/>
        <w:rPr>
          <w:rFonts w:hint="eastAsia" w:ascii="宋体" w:hAnsi="宋体"/>
        </w:rPr>
      </w:pPr>
      <w:r>
        <w:rPr>
          <w:rFonts w:hint="eastAsia" w:ascii="宋体" w:hAnsi="宋体"/>
        </w:rPr>
        <w:t>1、小微型企业价格扣除</w:t>
      </w:r>
    </w:p>
    <w:p w14:paraId="15E6C835">
      <w:pPr>
        <w:pStyle w:val="279"/>
        <w:spacing w:line="0" w:lineRule="atLeast"/>
        <w:ind w:firstLine="360"/>
        <w:rPr>
          <w:rFonts w:hint="eastAsia" w:ascii="宋体" w:hAnsi="宋体"/>
        </w:rPr>
      </w:pPr>
      <w:r>
        <w:rPr>
          <w:rFonts w:hint="eastAsia" w:ascii="宋体" w:hAnsi="宋体"/>
        </w:rPr>
        <w:t>（1）本项目对小型和微型企业提供的服务给予</w:t>
      </w:r>
      <w:r>
        <w:rPr>
          <w:rFonts w:hint="eastAsia" w:ascii="宋体" w:hAnsi="宋体"/>
          <w:u w:val="single"/>
        </w:rPr>
        <w:t>10%</w:t>
      </w:r>
      <w:r>
        <w:rPr>
          <w:rFonts w:hint="eastAsia" w:ascii="宋体" w:hAnsi="宋体"/>
        </w:rPr>
        <w:t>的扣除价格，用扣除后的价格参与评审。</w:t>
      </w:r>
    </w:p>
    <w:p w14:paraId="6297E5ED">
      <w:pPr>
        <w:pStyle w:val="279"/>
        <w:spacing w:line="0" w:lineRule="atLeast"/>
        <w:ind w:firstLine="360"/>
        <w:rPr>
          <w:rFonts w:hint="eastAsia" w:ascii="宋体" w:hAnsi="宋体"/>
        </w:rPr>
      </w:pPr>
      <w:r>
        <w:rPr>
          <w:rFonts w:hint="eastAsia" w:ascii="宋体" w:hAnsi="宋体"/>
        </w:rPr>
        <w:t>（2）投标人需按照采购文件的要求提供相应的《中小微企业声明函》。</w:t>
      </w:r>
    </w:p>
    <w:p w14:paraId="7A16AB09">
      <w:pPr>
        <w:pStyle w:val="279"/>
        <w:spacing w:line="0" w:lineRule="atLeast"/>
        <w:rPr>
          <w:rFonts w:hint="eastAsia" w:ascii="宋体" w:hAnsi="宋体"/>
        </w:rPr>
      </w:pPr>
      <w:r>
        <w:rPr>
          <w:rFonts w:hint="eastAsia" w:ascii="宋体" w:hAnsi="宋体"/>
        </w:rPr>
        <w:t>2、残疾人福利单位价格扣除</w:t>
      </w:r>
    </w:p>
    <w:p w14:paraId="1BDF9C58">
      <w:pPr>
        <w:pStyle w:val="279"/>
        <w:spacing w:line="0" w:lineRule="atLeast"/>
        <w:ind w:left="120" w:firstLine="360"/>
        <w:rPr>
          <w:rFonts w:hint="eastAsia" w:ascii="宋体" w:hAnsi="宋体"/>
        </w:rPr>
      </w:pPr>
      <w:r>
        <w:rPr>
          <w:rFonts w:hint="eastAsia" w:ascii="宋体" w:hAnsi="宋体"/>
        </w:rPr>
        <w:t>（1）本项目对残疾人福利性单位视同小型、微型企业，给予</w:t>
      </w:r>
      <w:r>
        <w:rPr>
          <w:rFonts w:hint="eastAsia" w:ascii="宋体" w:hAnsi="宋体"/>
          <w:u w:val="single"/>
        </w:rPr>
        <w:t>10%</w:t>
      </w:r>
      <w:r>
        <w:rPr>
          <w:rFonts w:hint="eastAsia" w:ascii="宋体" w:hAnsi="宋体"/>
        </w:rPr>
        <w:t>的价格扣除，用扣除后的价格参与评审。</w:t>
      </w:r>
    </w:p>
    <w:p w14:paraId="46224571">
      <w:pPr>
        <w:pStyle w:val="279"/>
        <w:spacing w:line="0" w:lineRule="atLeast"/>
        <w:ind w:left="120" w:firstLine="360"/>
        <w:rPr>
          <w:rFonts w:hint="eastAsia" w:ascii="宋体" w:hAnsi="宋体"/>
        </w:rPr>
      </w:pPr>
      <w:r>
        <w:rPr>
          <w:rFonts w:hint="eastAsia" w:ascii="宋体" w:hAnsi="宋体"/>
        </w:rPr>
        <w:t>（2）残疾人福利单位需按照采购文件的要求提供《残疾人福利性单位声明函》。</w:t>
      </w:r>
    </w:p>
    <w:p w14:paraId="03E41F1B">
      <w:pPr>
        <w:pStyle w:val="279"/>
        <w:spacing w:line="0" w:lineRule="atLeast"/>
        <w:ind w:left="120" w:firstLine="360"/>
        <w:rPr>
          <w:rFonts w:hint="eastAsia" w:ascii="宋体" w:hAnsi="宋体"/>
        </w:rPr>
      </w:pPr>
      <w:r>
        <w:rPr>
          <w:rFonts w:hint="eastAsia" w:ascii="宋体" w:hAnsi="宋体"/>
        </w:rPr>
        <w:t>（3）残疾人福利单位标准请参照《关于促进残疾人就业政府采购政策的通知》（财库〔2017〕141号）。</w:t>
      </w:r>
    </w:p>
    <w:p w14:paraId="647A3D5A">
      <w:pPr>
        <w:pStyle w:val="279"/>
        <w:spacing w:line="0" w:lineRule="atLeast"/>
        <w:rPr>
          <w:rFonts w:hint="eastAsia" w:ascii="宋体" w:hAnsi="宋体"/>
        </w:rPr>
      </w:pPr>
      <w:r>
        <w:rPr>
          <w:rFonts w:hint="eastAsia" w:ascii="宋体" w:hAnsi="宋体"/>
        </w:rPr>
        <w:t>3、监狱和戒毒企业价格扣除</w:t>
      </w:r>
    </w:p>
    <w:p w14:paraId="2C4266E8">
      <w:pPr>
        <w:pStyle w:val="279"/>
        <w:spacing w:line="0" w:lineRule="atLeast"/>
        <w:rPr>
          <w:rFonts w:hint="eastAsia" w:ascii="宋体" w:hAnsi="宋体"/>
        </w:rPr>
      </w:pPr>
      <w:r>
        <w:rPr>
          <w:rFonts w:hint="eastAsia" w:ascii="宋体" w:hAnsi="宋体"/>
        </w:rPr>
        <w:t>（1）本项目对监狱和戒毒企业（简称监狱企业）视同小型、微型企业，给予</w:t>
      </w:r>
      <w:r>
        <w:rPr>
          <w:rFonts w:hint="eastAsia" w:ascii="宋体" w:hAnsi="宋体"/>
          <w:u w:val="single"/>
        </w:rPr>
        <w:t>10%</w:t>
      </w:r>
      <w:r>
        <w:rPr>
          <w:rFonts w:hint="eastAsia" w:ascii="宋体" w:hAnsi="宋体"/>
        </w:rPr>
        <w:t>的价格扣除，用扣除后的价格参与评审。</w:t>
      </w:r>
    </w:p>
    <w:p w14:paraId="0CB74729">
      <w:pPr>
        <w:pStyle w:val="279"/>
        <w:spacing w:line="0" w:lineRule="atLeast"/>
        <w:rPr>
          <w:rFonts w:hint="eastAsia" w:ascii="宋体" w:hAnsi="宋体"/>
        </w:rPr>
      </w:pPr>
      <w:r>
        <w:rPr>
          <w:rFonts w:hint="eastAsia" w:ascii="宋体" w:hAnsi="宋体"/>
        </w:rPr>
        <w:t>（2）监狱企业参加政府采购活动时，需提供由省级以上监狱管理局、戒毒管理局(含新疆生产建设兵团)出具的属于监狱企业的证明文件。投标人如不提供上述证明文件，价格将不做相应扣除。</w:t>
      </w:r>
    </w:p>
    <w:p w14:paraId="6AB7B1AD">
      <w:pPr>
        <w:pStyle w:val="279"/>
        <w:spacing w:line="0" w:lineRule="atLeast"/>
        <w:rPr>
          <w:rFonts w:hint="eastAsia" w:ascii="宋体" w:hAnsi="宋体"/>
        </w:rPr>
      </w:pPr>
      <w:r>
        <w:rPr>
          <w:rFonts w:hint="eastAsia" w:ascii="宋体" w:hAnsi="宋体"/>
        </w:rPr>
        <w:t>（3）监狱企业标准请参照《关于政府采购支持监狱企业发展有关问题的通知》（财库〔2014〕68号）。</w:t>
      </w:r>
    </w:p>
    <w:p w14:paraId="4D8C6E4B">
      <w:pPr>
        <w:pStyle w:val="279"/>
        <w:adjustRightInd w:val="0"/>
        <w:spacing w:line="0" w:lineRule="atLeast"/>
        <w:ind w:firstLineChars="200"/>
        <w:textAlignment w:val="baseline"/>
        <w:rPr>
          <w:rFonts w:hint="eastAsia" w:ascii="宋体" w:hAnsi="宋体"/>
        </w:rPr>
      </w:pPr>
      <w:r>
        <w:rPr>
          <w:rFonts w:hint="eastAsia" w:ascii="宋体" w:hAnsi="宋体"/>
        </w:rPr>
        <w:t>4、残疾人福利单位、监狱企业属于小型、微型企业的，不重复享受政策。</w:t>
      </w:r>
    </w:p>
    <w:p w14:paraId="28283A5C">
      <w:pPr>
        <w:adjustRightInd w:val="0"/>
        <w:spacing w:before="120" w:after="120" w:line="360" w:lineRule="auto"/>
        <w:ind w:firstLine="480" w:firstLineChars="200"/>
        <w:jc w:val="left"/>
        <w:textAlignment w:val="baseline"/>
        <w:rPr>
          <w:rFonts w:hint="eastAsia" w:ascii="宋体" w:hAnsi="宋体"/>
          <w:sz w:val="24"/>
        </w:rPr>
      </w:pPr>
      <w:r>
        <w:rPr>
          <w:rFonts w:hint="eastAsia" w:ascii="宋体" w:hAnsi="宋体"/>
          <w:sz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14:paraId="6817A78E">
      <w:pPr>
        <w:adjustRightInd w:val="0"/>
        <w:spacing w:line="360" w:lineRule="auto"/>
        <w:ind w:firstLine="480" w:firstLineChars="200"/>
        <w:textAlignment w:val="baseline"/>
        <w:rPr>
          <w:rFonts w:hint="eastAsia" w:ascii="宋体" w:hAnsi="宋体"/>
          <w:b/>
        </w:rPr>
      </w:pPr>
      <w:r>
        <w:rPr>
          <w:rFonts w:hint="eastAsia" w:ascii="宋体" w:hAnsi="宋体"/>
          <w:sz w:val="24"/>
        </w:rPr>
        <w:t>6、联合体各方均为小型、微型企业（残疾人福利单位、监狱企业）的，联合体享受10%价格扣除，用扣除后的价格参与评审。</w:t>
      </w:r>
    </w:p>
    <w:p w14:paraId="65F165A3">
      <w:pPr>
        <w:pStyle w:val="279"/>
        <w:spacing w:line="0" w:lineRule="atLeast"/>
        <w:ind w:firstLine="482"/>
        <w:rPr>
          <w:rFonts w:hint="eastAsia" w:ascii="宋体" w:hAnsi="宋体"/>
          <w:b/>
          <w:highlight w:val="yellow"/>
        </w:rPr>
      </w:pPr>
      <w:r>
        <w:rPr>
          <w:rFonts w:hint="eastAsia" w:ascii="宋体" w:hAnsi="宋体"/>
          <w:b/>
        </w:rPr>
        <w:t>评标方法与评标标准</w:t>
      </w:r>
    </w:p>
    <w:tbl>
      <w:tblPr>
        <w:tblStyle w:val="39"/>
        <w:tblW w:w="9169" w:type="dxa"/>
        <w:tblInd w:w="462" w:type="dxa"/>
        <w:tblLayout w:type="autofit"/>
        <w:tblCellMar>
          <w:top w:w="0" w:type="dxa"/>
          <w:left w:w="108" w:type="dxa"/>
          <w:bottom w:w="0" w:type="dxa"/>
          <w:right w:w="108" w:type="dxa"/>
        </w:tblCellMar>
      </w:tblPr>
      <w:tblGrid>
        <w:gridCol w:w="1191"/>
        <w:gridCol w:w="1289"/>
        <w:gridCol w:w="6689"/>
      </w:tblGrid>
      <w:tr w14:paraId="4291AB88">
        <w:tblPrEx>
          <w:tblCellMar>
            <w:top w:w="0" w:type="dxa"/>
            <w:left w:w="108" w:type="dxa"/>
            <w:bottom w:w="0" w:type="dxa"/>
            <w:right w:w="108" w:type="dxa"/>
          </w:tblCellMar>
        </w:tblPrEx>
        <w:trPr>
          <w:tblHeader/>
        </w:trPr>
        <w:tc>
          <w:tcPr>
            <w:tcW w:w="1191" w:type="dxa"/>
            <w:tcBorders>
              <w:top w:val="single" w:color="000000" w:sz="4" w:space="0"/>
              <w:left w:val="single" w:color="000000" w:sz="4" w:space="0"/>
              <w:bottom w:val="single" w:color="000000" w:sz="4" w:space="0"/>
              <w:right w:val="single" w:color="000000" w:sz="4" w:space="0"/>
            </w:tcBorders>
            <w:vAlign w:val="center"/>
          </w:tcPr>
          <w:p w14:paraId="1FA7D96D">
            <w:pPr>
              <w:keepLines/>
              <w:widowControl/>
              <w:snapToGrid w:val="0"/>
              <w:spacing w:line="360" w:lineRule="auto"/>
              <w:jc w:val="center"/>
              <w:rPr>
                <w:rFonts w:hint="eastAsia" w:ascii="宋体" w:hAnsi="宋体" w:cs="宋体"/>
                <w:b/>
                <w:sz w:val="24"/>
                <w:szCs w:val="24"/>
              </w:rPr>
            </w:pPr>
            <w:r>
              <w:rPr>
                <w:rFonts w:hint="eastAsia" w:ascii="宋体" w:hAnsi="宋体" w:cs="宋体"/>
                <w:b/>
                <w:sz w:val="24"/>
                <w:szCs w:val="24"/>
              </w:rPr>
              <w:t>项目</w:t>
            </w:r>
          </w:p>
        </w:tc>
        <w:tc>
          <w:tcPr>
            <w:tcW w:w="1289" w:type="dxa"/>
            <w:tcBorders>
              <w:top w:val="single" w:color="000000" w:sz="4" w:space="0"/>
              <w:left w:val="nil"/>
              <w:bottom w:val="single" w:color="000000" w:sz="4" w:space="0"/>
              <w:right w:val="single" w:color="000000" w:sz="4" w:space="0"/>
            </w:tcBorders>
            <w:vAlign w:val="center"/>
          </w:tcPr>
          <w:p w14:paraId="70753CF2">
            <w:pPr>
              <w:keepLines/>
              <w:widowControl/>
              <w:snapToGrid w:val="0"/>
              <w:spacing w:line="360" w:lineRule="auto"/>
              <w:jc w:val="center"/>
              <w:rPr>
                <w:rFonts w:hint="eastAsia" w:ascii="宋体" w:hAnsi="宋体" w:cs="宋体"/>
                <w:b/>
                <w:sz w:val="24"/>
                <w:szCs w:val="24"/>
              </w:rPr>
            </w:pPr>
            <w:r>
              <w:rPr>
                <w:rFonts w:hint="eastAsia" w:ascii="宋体" w:hAnsi="宋体" w:cs="宋体"/>
                <w:b/>
                <w:sz w:val="24"/>
                <w:szCs w:val="24"/>
              </w:rPr>
              <w:t>评分类别</w:t>
            </w:r>
          </w:p>
        </w:tc>
        <w:tc>
          <w:tcPr>
            <w:tcW w:w="6689" w:type="dxa"/>
            <w:tcBorders>
              <w:top w:val="single" w:color="000000" w:sz="4" w:space="0"/>
              <w:left w:val="nil"/>
              <w:bottom w:val="single" w:color="000000" w:sz="4" w:space="0"/>
              <w:right w:val="single" w:color="000000" w:sz="4" w:space="0"/>
            </w:tcBorders>
            <w:vAlign w:val="center"/>
          </w:tcPr>
          <w:p w14:paraId="6348ECAA">
            <w:pPr>
              <w:keepLines/>
              <w:widowControl/>
              <w:snapToGrid w:val="0"/>
              <w:spacing w:line="360" w:lineRule="auto"/>
              <w:jc w:val="center"/>
              <w:rPr>
                <w:rFonts w:hint="eastAsia" w:ascii="宋体" w:hAnsi="宋体" w:cs="宋体"/>
                <w:b/>
                <w:sz w:val="24"/>
                <w:szCs w:val="24"/>
              </w:rPr>
            </w:pPr>
            <w:r>
              <w:rPr>
                <w:rFonts w:hint="eastAsia" w:ascii="宋体" w:hAnsi="宋体" w:cs="宋体"/>
                <w:b/>
                <w:sz w:val="24"/>
                <w:szCs w:val="24"/>
              </w:rPr>
              <w:t>评分内容及方法</w:t>
            </w:r>
          </w:p>
        </w:tc>
      </w:tr>
      <w:tr w14:paraId="4738AC75">
        <w:tblPrEx>
          <w:tblCellMar>
            <w:top w:w="0" w:type="dxa"/>
            <w:left w:w="108" w:type="dxa"/>
            <w:bottom w:w="0" w:type="dxa"/>
            <w:right w:w="108" w:type="dxa"/>
          </w:tblCellMar>
        </w:tblPrEx>
        <w:tc>
          <w:tcPr>
            <w:tcW w:w="1191" w:type="dxa"/>
            <w:tcBorders>
              <w:top w:val="single" w:color="000000" w:sz="4" w:space="0"/>
              <w:left w:val="single" w:color="000000" w:sz="4" w:space="0"/>
              <w:bottom w:val="single" w:color="000000" w:sz="4" w:space="0"/>
              <w:right w:val="single" w:color="000000" w:sz="4" w:space="0"/>
            </w:tcBorders>
            <w:vAlign w:val="center"/>
          </w:tcPr>
          <w:p w14:paraId="3B45D067">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1、价格</w:t>
            </w:r>
          </w:p>
          <w:p w14:paraId="111F8D69">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部分</w:t>
            </w:r>
          </w:p>
          <w:p w14:paraId="5C034112">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lang w:eastAsia="en-US"/>
              </w:rPr>
              <w:t>（</w:t>
            </w:r>
            <w:r>
              <w:rPr>
                <w:rFonts w:hint="eastAsia" w:ascii="宋体" w:hAnsi="宋体" w:cs="宋体"/>
                <w:sz w:val="24"/>
                <w:szCs w:val="24"/>
              </w:rPr>
              <w:t>4</w:t>
            </w:r>
            <w:r>
              <w:rPr>
                <w:rFonts w:hint="eastAsia" w:ascii="宋体" w:hAnsi="宋体" w:cs="宋体"/>
                <w:sz w:val="24"/>
                <w:szCs w:val="24"/>
                <w:lang w:eastAsia="en-US"/>
              </w:rPr>
              <w:t>0分）</w:t>
            </w:r>
          </w:p>
        </w:tc>
        <w:tc>
          <w:tcPr>
            <w:tcW w:w="1289" w:type="dxa"/>
            <w:tcBorders>
              <w:top w:val="single" w:color="000000" w:sz="4" w:space="0"/>
              <w:left w:val="single" w:color="000000" w:sz="4" w:space="0"/>
              <w:bottom w:val="single" w:color="000000" w:sz="4" w:space="0"/>
              <w:right w:val="single" w:color="000000" w:sz="4" w:space="0"/>
            </w:tcBorders>
            <w:vAlign w:val="center"/>
          </w:tcPr>
          <w:p w14:paraId="15D27AF0">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价格分</w:t>
            </w:r>
          </w:p>
          <w:p w14:paraId="2EE1B068">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（40分）</w:t>
            </w:r>
          </w:p>
        </w:tc>
        <w:tc>
          <w:tcPr>
            <w:tcW w:w="6689" w:type="dxa"/>
            <w:tcBorders>
              <w:top w:val="single" w:color="000000" w:sz="4" w:space="0"/>
              <w:left w:val="nil"/>
              <w:bottom w:val="single" w:color="000000" w:sz="4" w:space="0"/>
              <w:right w:val="single" w:color="000000" w:sz="4" w:space="0"/>
            </w:tcBorders>
            <w:vAlign w:val="center"/>
          </w:tcPr>
          <w:p w14:paraId="322990D8">
            <w:pPr>
              <w:keepLines/>
              <w:widowControl/>
              <w:snapToGrid w:val="0"/>
              <w:spacing w:line="360" w:lineRule="auto"/>
              <w:jc w:val="left"/>
              <w:rPr>
                <w:rFonts w:hint="eastAsia" w:ascii="宋体" w:hAnsi="宋体" w:cs="宋体"/>
                <w:sz w:val="24"/>
                <w:szCs w:val="24"/>
              </w:rPr>
            </w:pPr>
            <w:r>
              <w:rPr>
                <w:rFonts w:ascii="宋体" w:hAnsi="宋体" w:cs="宋体"/>
                <w:b/>
                <w:color w:val="000000"/>
                <w:sz w:val="24"/>
                <w:szCs w:val="24"/>
              </w:rPr>
              <w:t>投标最低报价为评标基准价</w:t>
            </w:r>
            <w:r>
              <w:rPr>
                <w:rFonts w:ascii="宋体" w:hAnsi="宋体" w:cs="宋体"/>
                <w:color w:val="000000"/>
                <w:sz w:val="24"/>
                <w:szCs w:val="24"/>
              </w:rPr>
              <w:t>：满足招标文件要求且投标价格最低的投标报价为评标基准价，其价格分为满分。其他投标人的价格分统一按照下列公式计算：投标报价得分=(评标基准价/投标报价)×40。</w:t>
            </w:r>
          </w:p>
        </w:tc>
      </w:tr>
      <w:tr w14:paraId="49E50336">
        <w:tblPrEx>
          <w:tblCellMar>
            <w:top w:w="0" w:type="dxa"/>
            <w:left w:w="108" w:type="dxa"/>
            <w:bottom w:w="0" w:type="dxa"/>
            <w:right w:w="108" w:type="dxa"/>
          </w:tblCellMar>
        </w:tblPrEx>
        <w:tc>
          <w:tcPr>
            <w:tcW w:w="1191" w:type="dxa"/>
            <w:vMerge w:val="restart"/>
            <w:tcBorders>
              <w:top w:val="single" w:color="000000" w:sz="4" w:space="0"/>
              <w:left w:val="single" w:color="000000" w:sz="4" w:space="0"/>
              <w:right w:val="single" w:color="000000" w:sz="4" w:space="0"/>
            </w:tcBorders>
            <w:vAlign w:val="center"/>
          </w:tcPr>
          <w:p w14:paraId="3A2C285C">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2、商务部分</w:t>
            </w:r>
            <w:r>
              <w:rPr>
                <w:rFonts w:hint="eastAsia" w:ascii="宋体" w:hAnsi="宋体" w:cs="宋体"/>
                <w:sz w:val="24"/>
                <w:szCs w:val="24"/>
                <w:lang w:eastAsia="en-US"/>
              </w:rPr>
              <w:t>（</w:t>
            </w:r>
            <w:r>
              <w:rPr>
                <w:rFonts w:hint="eastAsia" w:ascii="宋体" w:hAnsi="宋体" w:cs="宋体"/>
                <w:sz w:val="24"/>
                <w:szCs w:val="24"/>
                <w:lang w:val="en-US" w:eastAsia="zh-CN"/>
              </w:rPr>
              <w:t>9</w:t>
            </w:r>
            <w:r>
              <w:rPr>
                <w:rFonts w:hint="eastAsia" w:ascii="宋体" w:hAnsi="宋体" w:cs="宋体"/>
                <w:sz w:val="24"/>
                <w:szCs w:val="24"/>
                <w:lang w:eastAsia="en-US"/>
              </w:rPr>
              <w:t>分）</w:t>
            </w:r>
          </w:p>
        </w:tc>
        <w:tc>
          <w:tcPr>
            <w:tcW w:w="1289" w:type="dxa"/>
            <w:tcBorders>
              <w:top w:val="single" w:color="000000" w:sz="4" w:space="0"/>
              <w:left w:val="single" w:color="000000" w:sz="4" w:space="0"/>
              <w:bottom w:val="single" w:color="000000" w:sz="4" w:space="0"/>
              <w:right w:val="single" w:color="000000" w:sz="4" w:space="0"/>
            </w:tcBorders>
            <w:vAlign w:val="center"/>
          </w:tcPr>
          <w:p w14:paraId="15601897">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2.1业绩</w:t>
            </w:r>
          </w:p>
          <w:p w14:paraId="6B5D5018">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（4分）</w:t>
            </w:r>
          </w:p>
        </w:tc>
        <w:tc>
          <w:tcPr>
            <w:tcW w:w="6689" w:type="dxa"/>
            <w:tcBorders>
              <w:top w:val="single" w:color="000000" w:sz="4" w:space="0"/>
              <w:left w:val="single" w:color="000000" w:sz="4" w:space="0"/>
              <w:bottom w:val="single" w:color="000000" w:sz="4" w:space="0"/>
              <w:right w:val="single" w:color="000000" w:sz="4" w:space="0"/>
            </w:tcBorders>
            <w:vAlign w:val="center"/>
          </w:tcPr>
          <w:p w14:paraId="35BC9ACF">
            <w:pPr>
              <w:wordWrap w:val="0"/>
              <w:spacing w:line="360" w:lineRule="auto"/>
              <w:jc w:val="left"/>
              <w:rPr>
                <w:rFonts w:hint="eastAsia" w:ascii="宋体" w:hAnsi="宋体" w:cs="宋体"/>
                <w:color w:val="000000"/>
                <w:sz w:val="24"/>
                <w:szCs w:val="24"/>
              </w:rPr>
            </w:pPr>
            <w:r>
              <w:rPr>
                <w:rFonts w:ascii="宋体" w:hAnsi="宋体" w:cs="宋体"/>
                <w:color w:val="000000"/>
                <w:sz w:val="24"/>
                <w:szCs w:val="24"/>
              </w:rPr>
              <w:t>投标人提供2023年7月1日以来的</w:t>
            </w:r>
            <w:r>
              <w:rPr>
                <w:rFonts w:hint="eastAsia" w:ascii="宋体" w:hAnsi="宋体" w:cs="宋体"/>
                <w:color w:val="000000"/>
                <w:sz w:val="24"/>
                <w:szCs w:val="24"/>
              </w:rPr>
              <w:t>类似</w:t>
            </w:r>
            <w:r>
              <w:rPr>
                <w:rFonts w:hint="eastAsia" w:ascii="宋体" w:hAnsi="宋体" w:cs="宋体"/>
                <w:color w:val="000000"/>
                <w:sz w:val="24"/>
                <w:szCs w:val="24"/>
                <w:lang w:eastAsia="zh-CN"/>
              </w:rPr>
              <w:t>小动物辐照仪</w:t>
            </w:r>
            <w:r>
              <w:rPr>
                <w:rFonts w:ascii="宋体" w:hAnsi="宋体" w:cs="宋体"/>
                <w:color w:val="000000"/>
                <w:sz w:val="24"/>
                <w:szCs w:val="24"/>
              </w:rPr>
              <w:t>项目业绩合同，每提供一个得1分，最高得4分。</w:t>
            </w:r>
          </w:p>
          <w:p w14:paraId="49F9740A">
            <w:pPr>
              <w:keepLines/>
              <w:widowControl/>
              <w:snapToGrid w:val="0"/>
              <w:spacing w:line="360" w:lineRule="auto"/>
              <w:jc w:val="left"/>
              <w:rPr>
                <w:rFonts w:hint="eastAsia" w:ascii="宋体" w:hAnsi="宋体" w:cs="宋体"/>
                <w:sz w:val="24"/>
                <w:szCs w:val="24"/>
              </w:rPr>
            </w:pPr>
            <w:r>
              <w:rPr>
                <w:rFonts w:hint="eastAsia" w:ascii="宋体" w:hAnsi="宋体" w:cs="宋体"/>
                <w:color w:val="000000"/>
                <w:sz w:val="24"/>
                <w:szCs w:val="24"/>
              </w:rPr>
              <w:t>注：</w:t>
            </w:r>
            <w:r>
              <w:rPr>
                <w:rFonts w:hint="eastAsia" w:asciiTheme="minorEastAsia" w:hAnsiTheme="minorEastAsia" w:eastAsiaTheme="minorEastAsia" w:cstheme="minorEastAsia"/>
                <w:color w:val="000000"/>
                <w:sz w:val="24"/>
                <w:szCs w:val="24"/>
              </w:rPr>
              <w:t>投标文件中提供业绩合同（日期以合同签订日期为准，合同必须含有标的物、合同价以及盖章签字部分所在页且清晰可见，否则不得分）复印件加盖供应商</w:t>
            </w:r>
            <w:r>
              <w:rPr>
                <w:rFonts w:hint="eastAsia" w:asciiTheme="minorEastAsia" w:hAnsiTheme="minorEastAsia" w:eastAsiaTheme="minorEastAsia" w:cstheme="minorEastAsia"/>
                <w:color w:val="000000"/>
                <w:sz w:val="24"/>
                <w:szCs w:val="24"/>
                <w:lang w:eastAsia="zh-CN"/>
              </w:rPr>
              <w:t>电子公章</w:t>
            </w:r>
            <w:r>
              <w:rPr>
                <w:rFonts w:hint="eastAsia" w:asciiTheme="minorEastAsia" w:hAnsiTheme="minorEastAsia" w:eastAsiaTheme="minorEastAsia" w:cstheme="minorEastAsia"/>
                <w:color w:val="000000"/>
                <w:sz w:val="24"/>
                <w:szCs w:val="24"/>
              </w:rPr>
              <w:t>。</w:t>
            </w:r>
            <w:r>
              <w:rPr>
                <w:rFonts w:hint="eastAsia" w:asciiTheme="minorEastAsia" w:hAnsiTheme="minorEastAsia" w:eastAsiaTheme="minorEastAsia" w:cstheme="minorEastAsia"/>
                <w:color w:val="000000"/>
                <w:sz w:val="24"/>
                <w:szCs w:val="24"/>
              </w:rPr>
              <w:t>注：合同中设备名称可与本项目的设备名称不同，但属于设备功能（或参数）相近的予以认可。</w:t>
            </w:r>
          </w:p>
        </w:tc>
      </w:tr>
      <w:tr w14:paraId="41D3FD82">
        <w:tblPrEx>
          <w:tblCellMar>
            <w:top w:w="0" w:type="dxa"/>
            <w:left w:w="108" w:type="dxa"/>
            <w:bottom w:w="0" w:type="dxa"/>
            <w:right w:w="108" w:type="dxa"/>
          </w:tblCellMar>
        </w:tblPrEx>
        <w:tc>
          <w:tcPr>
            <w:tcW w:w="1191" w:type="dxa"/>
            <w:vMerge w:val="continue"/>
            <w:tcBorders>
              <w:left w:val="single" w:color="000000" w:sz="4" w:space="0"/>
              <w:right w:val="single" w:color="000000" w:sz="4" w:space="0"/>
            </w:tcBorders>
            <w:vAlign w:val="center"/>
          </w:tcPr>
          <w:p w14:paraId="40516B31">
            <w:pPr>
              <w:keepLines/>
              <w:widowControl/>
              <w:snapToGrid w:val="0"/>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000000" w:sz="4" w:space="0"/>
              <w:right w:val="single" w:color="000000" w:sz="4" w:space="0"/>
            </w:tcBorders>
            <w:vAlign w:val="center"/>
          </w:tcPr>
          <w:p w14:paraId="6D98723F">
            <w:pPr>
              <w:keepLines/>
              <w:widowControl/>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2.2</w:t>
            </w:r>
            <w:r>
              <w:rPr>
                <w:rFonts w:ascii="宋体" w:hAnsi="宋体" w:cs="宋体"/>
                <w:color w:val="000000"/>
                <w:sz w:val="24"/>
                <w:szCs w:val="24"/>
              </w:rPr>
              <w:t>服务承诺</w:t>
            </w:r>
          </w:p>
          <w:p w14:paraId="00D7F74C">
            <w:pPr>
              <w:keepLines/>
              <w:widowControl/>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w:t>
            </w:r>
            <w:r>
              <w:rPr>
                <w:rFonts w:hint="eastAsia" w:ascii="宋体" w:hAnsi="宋体" w:cs="宋体"/>
                <w:color w:val="000000"/>
                <w:sz w:val="24"/>
                <w:szCs w:val="24"/>
                <w:lang w:val="en-US" w:eastAsia="zh-CN"/>
              </w:rPr>
              <w:t>1</w:t>
            </w:r>
            <w:r>
              <w:rPr>
                <w:rFonts w:hint="eastAsia" w:ascii="宋体" w:hAnsi="宋体" w:cs="宋体"/>
                <w:color w:val="000000"/>
                <w:sz w:val="24"/>
                <w:szCs w:val="24"/>
              </w:rPr>
              <w:t>分）</w:t>
            </w:r>
          </w:p>
        </w:tc>
        <w:tc>
          <w:tcPr>
            <w:tcW w:w="6689" w:type="dxa"/>
            <w:tcBorders>
              <w:top w:val="single" w:color="000000" w:sz="4" w:space="0"/>
              <w:left w:val="single" w:color="000000" w:sz="4" w:space="0"/>
              <w:bottom w:val="single" w:color="000000" w:sz="4" w:space="0"/>
              <w:right w:val="single" w:color="000000" w:sz="4" w:space="0"/>
            </w:tcBorders>
            <w:vAlign w:val="center"/>
          </w:tcPr>
          <w:p w14:paraId="2E7686A9">
            <w:pPr>
              <w:widowControl/>
              <w:snapToGrid w:val="0"/>
              <w:spacing w:line="360" w:lineRule="auto"/>
              <w:jc w:val="left"/>
              <w:rPr>
                <w:rFonts w:hint="eastAsia" w:ascii="宋体" w:hAnsi="宋体" w:cs="宋体"/>
                <w:color w:val="000000"/>
                <w:sz w:val="24"/>
                <w:szCs w:val="24"/>
              </w:rPr>
            </w:pPr>
            <w:r>
              <w:rPr>
                <w:rFonts w:ascii="宋体" w:hAnsi="宋体" w:cs="宋体"/>
                <w:color w:val="000000"/>
                <w:sz w:val="24"/>
                <w:szCs w:val="24"/>
              </w:rPr>
              <w:t>投标人承诺有专业技术人员进行售后服务，且应在接到报修电话8小时内，至现场提供技术支持并解决故障。如维修工程师安排困难，应以线上方式先行了解故障情况、原因并指导招标人仪器管理人员妥善处置；如故障未能解决，维修工程师须于48小时内至现场提供技术支持并解决。本项得</w:t>
            </w:r>
            <w:r>
              <w:rPr>
                <w:rFonts w:hint="eastAsia" w:ascii="宋体" w:hAnsi="宋体" w:cs="宋体"/>
                <w:color w:val="000000"/>
                <w:sz w:val="24"/>
                <w:szCs w:val="24"/>
                <w:lang w:val="en-US" w:eastAsia="zh-CN"/>
              </w:rPr>
              <w:t>1</w:t>
            </w:r>
            <w:r>
              <w:rPr>
                <w:rFonts w:ascii="宋体" w:hAnsi="宋体" w:cs="宋体"/>
                <w:color w:val="000000"/>
                <w:sz w:val="24"/>
                <w:szCs w:val="24"/>
              </w:rPr>
              <w:t>分。</w:t>
            </w:r>
          </w:p>
          <w:p w14:paraId="3E32049D">
            <w:pPr>
              <w:widowControl/>
              <w:snapToGrid w:val="0"/>
              <w:spacing w:line="360" w:lineRule="auto"/>
              <w:jc w:val="left"/>
              <w:rPr>
                <w:rFonts w:hint="eastAsia" w:ascii="宋体" w:hAnsi="宋体" w:cs="宋体"/>
                <w:color w:val="000000"/>
                <w:sz w:val="24"/>
                <w:szCs w:val="24"/>
              </w:rPr>
            </w:pPr>
            <w:r>
              <w:rPr>
                <w:rFonts w:hint="eastAsia" w:ascii="宋体" w:hAnsi="宋体" w:cs="宋体"/>
                <w:color w:val="000000"/>
                <w:sz w:val="24"/>
                <w:szCs w:val="24"/>
              </w:rPr>
              <w:t>注：</w:t>
            </w:r>
            <w:r>
              <w:rPr>
                <w:rFonts w:hint="eastAsia" w:asciiTheme="minorEastAsia" w:hAnsiTheme="minorEastAsia" w:eastAsiaTheme="minorEastAsia" w:cstheme="minorEastAsia"/>
                <w:sz w:val="24"/>
                <w:szCs w:val="24"/>
              </w:rPr>
              <w:t>提供承诺书加盖供应商</w:t>
            </w:r>
            <w:r>
              <w:rPr>
                <w:rFonts w:hint="eastAsia" w:asciiTheme="minorEastAsia" w:hAnsiTheme="minorEastAsia" w:eastAsiaTheme="minorEastAsia" w:cstheme="minorEastAsia"/>
                <w:sz w:val="24"/>
                <w:szCs w:val="24"/>
                <w:lang w:eastAsia="zh-CN"/>
              </w:rPr>
              <w:t>电子公章</w:t>
            </w:r>
            <w:r>
              <w:rPr>
                <w:rFonts w:hint="eastAsia" w:asciiTheme="minorEastAsia" w:hAnsiTheme="minorEastAsia" w:eastAsiaTheme="minorEastAsia" w:cstheme="minorEastAsia"/>
                <w:sz w:val="24"/>
                <w:szCs w:val="24"/>
              </w:rPr>
              <w:t>，格式自拟。</w:t>
            </w:r>
          </w:p>
        </w:tc>
      </w:tr>
      <w:tr w14:paraId="6AAFF336">
        <w:tblPrEx>
          <w:tblCellMar>
            <w:top w:w="0" w:type="dxa"/>
            <w:left w:w="108" w:type="dxa"/>
            <w:bottom w:w="0" w:type="dxa"/>
            <w:right w:w="108" w:type="dxa"/>
          </w:tblCellMar>
        </w:tblPrEx>
        <w:tc>
          <w:tcPr>
            <w:tcW w:w="1191" w:type="dxa"/>
            <w:vMerge w:val="continue"/>
            <w:tcBorders>
              <w:left w:val="single" w:color="000000" w:sz="4" w:space="0"/>
              <w:right w:val="single" w:color="000000" w:sz="4" w:space="0"/>
            </w:tcBorders>
            <w:vAlign w:val="center"/>
          </w:tcPr>
          <w:p w14:paraId="141DF0C1">
            <w:pPr>
              <w:keepLines/>
              <w:widowControl/>
              <w:snapToGrid w:val="0"/>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000000" w:sz="4" w:space="0"/>
              <w:right w:val="single" w:color="000000" w:sz="4" w:space="0"/>
            </w:tcBorders>
            <w:vAlign w:val="center"/>
          </w:tcPr>
          <w:p w14:paraId="1C8887BB">
            <w:pPr>
              <w:keepLines/>
              <w:widowControl/>
              <w:snapToGrid w:val="0"/>
              <w:spacing w:line="360" w:lineRule="auto"/>
              <w:jc w:val="center"/>
              <w:rPr>
                <w:rFonts w:hint="eastAsia" w:ascii="宋体" w:hAnsi="宋体" w:cs="宋体"/>
                <w:color w:val="000000"/>
                <w:sz w:val="24"/>
                <w:szCs w:val="24"/>
              </w:rPr>
            </w:pPr>
            <w:r>
              <w:rPr>
                <w:rFonts w:hint="eastAsia" w:ascii="宋体" w:hAnsi="宋体" w:cs="宋体"/>
                <w:color w:val="000000"/>
                <w:sz w:val="24"/>
                <w:szCs w:val="24"/>
              </w:rPr>
              <w:t>2.3</w:t>
            </w:r>
            <w:r>
              <w:rPr>
                <w:rFonts w:ascii="宋体" w:hAnsi="宋体" w:cs="宋体"/>
                <w:color w:val="000000"/>
                <w:sz w:val="24"/>
                <w:szCs w:val="24"/>
              </w:rPr>
              <w:t>质保承诺</w:t>
            </w:r>
            <w:r>
              <w:rPr>
                <w:rFonts w:hint="eastAsia" w:ascii="宋体" w:hAnsi="宋体" w:cs="宋体"/>
                <w:color w:val="000000"/>
                <w:sz w:val="24"/>
                <w:szCs w:val="24"/>
              </w:rPr>
              <w:t>（3分）</w:t>
            </w:r>
          </w:p>
        </w:tc>
        <w:tc>
          <w:tcPr>
            <w:tcW w:w="6689" w:type="dxa"/>
            <w:tcBorders>
              <w:top w:val="single" w:color="000000" w:sz="4" w:space="0"/>
              <w:left w:val="single" w:color="000000" w:sz="4" w:space="0"/>
              <w:bottom w:val="single" w:color="000000" w:sz="4" w:space="0"/>
              <w:right w:val="single" w:color="000000" w:sz="4" w:space="0"/>
            </w:tcBorders>
            <w:vAlign w:val="center"/>
          </w:tcPr>
          <w:p w14:paraId="2FBC4FD3">
            <w:pPr>
              <w:wordWrap w:val="0"/>
              <w:spacing w:line="360" w:lineRule="auto"/>
              <w:jc w:val="left"/>
              <w:rPr>
                <w:rFonts w:hint="eastAsia" w:ascii="宋体" w:hAnsi="宋体" w:cs="宋体"/>
                <w:color w:val="000000"/>
                <w:sz w:val="24"/>
                <w:szCs w:val="24"/>
              </w:rPr>
            </w:pPr>
            <w:r>
              <w:rPr>
                <w:rFonts w:ascii="宋体" w:hAnsi="宋体" w:cs="宋体"/>
                <w:color w:val="000000"/>
                <w:sz w:val="24"/>
                <w:szCs w:val="24"/>
              </w:rPr>
              <w:t>在满足采购文件中对质量保证期（</w:t>
            </w:r>
            <w:r>
              <w:rPr>
                <w:rFonts w:hint="eastAsia" w:ascii="宋体" w:hAnsi="宋体" w:cs="宋体"/>
                <w:color w:val="000000"/>
                <w:sz w:val="24"/>
                <w:szCs w:val="24"/>
                <w:lang w:val="en-US" w:eastAsia="zh-CN"/>
              </w:rPr>
              <w:t>2</w:t>
            </w:r>
            <w:r>
              <w:rPr>
                <w:rFonts w:hint="eastAsia" w:ascii="宋体" w:hAnsi="宋体" w:cs="宋体"/>
                <w:color w:val="000000"/>
                <w:sz w:val="24"/>
                <w:szCs w:val="24"/>
              </w:rPr>
              <w:t>年</w:t>
            </w:r>
            <w:r>
              <w:rPr>
                <w:rFonts w:ascii="宋体" w:hAnsi="宋体" w:cs="宋体"/>
                <w:color w:val="000000"/>
                <w:sz w:val="24"/>
                <w:szCs w:val="24"/>
              </w:rPr>
              <w:t>）要求的基础上，增加1年加1分，增加2年加3分。本项最高得3分。</w:t>
            </w:r>
          </w:p>
          <w:p w14:paraId="3CE88A4C">
            <w:pPr>
              <w:widowControl/>
              <w:snapToGrid w:val="0"/>
              <w:spacing w:line="360" w:lineRule="auto"/>
              <w:jc w:val="left"/>
              <w:rPr>
                <w:rFonts w:hint="eastAsia" w:ascii="宋体" w:hAnsi="宋体" w:cs="宋体"/>
                <w:color w:val="000000"/>
                <w:sz w:val="24"/>
                <w:szCs w:val="24"/>
              </w:rPr>
            </w:pPr>
            <w:r>
              <w:rPr>
                <w:rFonts w:hint="eastAsia" w:ascii="宋体" w:hAnsi="宋体" w:cs="宋体"/>
                <w:color w:val="000000"/>
                <w:sz w:val="24"/>
                <w:szCs w:val="24"/>
              </w:rPr>
              <w:t>注：</w:t>
            </w:r>
            <w:r>
              <w:rPr>
                <w:rFonts w:hint="eastAsia" w:asciiTheme="minorEastAsia" w:hAnsiTheme="minorEastAsia" w:eastAsiaTheme="minorEastAsia" w:cstheme="minorEastAsia"/>
                <w:sz w:val="24"/>
                <w:szCs w:val="24"/>
              </w:rPr>
              <w:t>提供承诺书加盖供应商</w:t>
            </w:r>
            <w:r>
              <w:rPr>
                <w:rFonts w:hint="eastAsia" w:asciiTheme="minorEastAsia" w:hAnsiTheme="minorEastAsia" w:eastAsiaTheme="minorEastAsia" w:cstheme="minorEastAsia"/>
                <w:sz w:val="24"/>
                <w:szCs w:val="24"/>
                <w:lang w:eastAsia="zh-CN"/>
              </w:rPr>
              <w:t>电子公章</w:t>
            </w:r>
            <w:r>
              <w:rPr>
                <w:rFonts w:hint="eastAsia" w:asciiTheme="minorEastAsia" w:hAnsiTheme="minorEastAsia" w:eastAsiaTheme="minorEastAsia" w:cstheme="minorEastAsia"/>
                <w:sz w:val="24"/>
                <w:szCs w:val="24"/>
              </w:rPr>
              <w:t>，格式自拟</w:t>
            </w:r>
            <w:r>
              <w:rPr>
                <w:rFonts w:hint="eastAsia" w:ascii="宋体" w:hAnsi="宋体" w:cs="宋体"/>
                <w:color w:val="000000"/>
                <w:sz w:val="24"/>
                <w:szCs w:val="24"/>
              </w:rPr>
              <w:t>。</w:t>
            </w:r>
          </w:p>
        </w:tc>
      </w:tr>
      <w:tr w14:paraId="59DCA0F6">
        <w:tblPrEx>
          <w:tblCellMar>
            <w:top w:w="0" w:type="dxa"/>
            <w:left w:w="108" w:type="dxa"/>
            <w:bottom w:w="0" w:type="dxa"/>
            <w:right w:w="108" w:type="dxa"/>
          </w:tblCellMar>
        </w:tblPrEx>
        <w:tc>
          <w:tcPr>
            <w:tcW w:w="1191" w:type="dxa"/>
            <w:vMerge w:val="continue"/>
            <w:tcBorders>
              <w:left w:val="single" w:color="000000" w:sz="4" w:space="0"/>
              <w:right w:val="single" w:color="000000" w:sz="4" w:space="0"/>
            </w:tcBorders>
            <w:vAlign w:val="center"/>
          </w:tcPr>
          <w:p w14:paraId="6759C118">
            <w:pPr>
              <w:keepLines/>
              <w:widowControl/>
              <w:snapToGrid w:val="0"/>
              <w:spacing w:line="360" w:lineRule="auto"/>
              <w:jc w:val="center"/>
              <w:rPr>
                <w:rFonts w:hint="eastAsia" w:ascii="宋体" w:hAnsi="宋体" w:cs="宋体"/>
                <w:sz w:val="24"/>
                <w:szCs w:val="24"/>
              </w:rPr>
            </w:pPr>
          </w:p>
        </w:tc>
        <w:tc>
          <w:tcPr>
            <w:tcW w:w="1289" w:type="dxa"/>
            <w:vMerge w:val="restart"/>
            <w:tcBorders>
              <w:top w:val="single" w:color="000000" w:sz="4" w:space="0"/>
              <w:left w:val="single" w:color="000000" w:sz="4" w:space="0"/>
              <w:right w:val="single" w:color="000000" w:sz="4" w:space="0"/>
            </w:tcBorders>
            <w:vAlign w:val="center"/>
          </w:tcPr>
          <w:p w14:paraId="20E16EB1">
            <w:pPr>
              <w:keepLines/>
              <w:widowControl/>
              <w:snapToGrid w:val="0"/>
              <w:spacing w:line="360" w:lineRule="auto"/>
              <w:jc w:val="center"/>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2.4</w:t>
            </w:r>
            <w:r>
              <w:rPr>
                <w:rFonts w:hint="eastAsia" w:ascii="宋体" w:hAnsi="宋体" w:eastAsia="宋体" w:cs="宋体"/>
                <w:color w:val="000000"/>
                <w:sz w:val="24"/>
                <w:szCs w:val="24"/>
              </w:rPr>
              <w:t>节能环保</w:t>
            </w:r>
            <w:r>
              <w:rPr>
                <w:rFonts w:hint="eastAsia" w:ascii="宋体" w:hAnsi="宋体" w:eastAsia="宋体" w:cs="宋体"/>
                <w:color w:val="000000"/>
                <w:sz w:val="24"/>
                <w:szCs w:val="24"/>
                <w:lang w:val="en-US" w:eastAsia="zh-CN"/>
              </w:rPr>
              <w:t>(1分)</w:t>
            </w:r>
          </w:p>
        </w:tc>
        <w:tc>
          <w:tcPr>
            <w:tcW w:w="6689" w:type="dxa"/>
            <w:tcBorders>
              <w:top w:val="single" w:color="000000" w:sz="4" w:space="0"/>
              <w:left w:val="single" w:color="000000" w:sz="4" w:space="0"/>
              <w:bottom w:val="single" w:color="000000" w:sz="4" w:space="0"/>
              <w:right w:val="single" w:color="000000" w:sz="4" w:space="0"/>
            </w:tcBorders>
            <w:vAlign w:val="top"/>
          </w:tcPr>
          <w:p w14:paraId="278A214D">
            <w:pPr>
              <w:wordWrap w:val="0"/>
              <w:spacing w:line="360" w:lineRule="auto"/>
              <w:rPr>
                <w:rFonts w:hint="eastAsia" w:ascii="宋体" w:hAnsi="宋体" w:cs="宋体"/>
                <w:color w:val="000000"/>
                <w:sz w:val="24"/>
                <w:szCs w:val="24"/>
              </w:rPr>
            </w:pPr>
            <w:r>
              <w:rPr>
                <w:rFonts w:hint="eastAsia" w:ascii="宋体" w:hAnsi="宋体" w:eastAsia="宋体"/>
                <w:sz w:val="24"/>
                <w:szCs w:val="24"/>
              </w:rPr>
              <w:t>根据财政部、发展改革委、生态环境部、市场监管总局《关于调整优化节能产品、环境标志产品政府采购执行机制的通知》，投标标的如是《节能产品政府采购品目清单》（最新一期）内的产品，供应商需提供国家确定的认证机构出具的、处于有效期之内的节能产品认证证书，且同时提供《节能产品信息表》明确说明此产品在《节能产品政府采购品目清单》（最新一期）中归属的编码及名称。以上条件均符合情况下，得0.5分。</w:t>
            </w:r>
          </w:p>
        </w:tc>
      </w:tr>
      <w:tr w14:paraId="42AD3E58">
        <w:tblPrEx>
          <w:tblCellMar>
            <w:top w:w="0" w:type="dxa"/>
            <w:left w:w="108" w:type="dxa"/>
            <w:bottom w:w="0" w:type="dxa"/>
            <w:right w:w="108" w:type="dxa"/>
          </w:tblCellMar>
        </w:tblPrEx>
        <w:tc>
          <w:tcPr>
            <w:tcW w:w="1191" w:type="dxa"/>
            <w:vMerge w:val="continue"/>
            <w:tcBorders>
              <w:left w:val="single" w:color="000000" w:sz="4" w:space="0"/>
              <w:bottom w:val="single" w:color="auto" w:sz="4" w:space="0"/>
              <w:right w:val="single" w:color="000000" w:sz="4" w:space="0"/>
            </w:tcBorders>
            <w:vAlign w:val="center"/>
          </w:tcPr>
          <w:p w14:paraId="31777518">
            <w:pPr>
              <w:keepLines/>
              <w:widowControl/>
              <w:snapToGrid w:val="0"/>
              <w:spacing w:line="360" w:lineRule="auto"/>
              <w:jc w:val="center"/>
              <w:rPr>
                <w:rFonts w:hint="eastAsia" w:ascii="宋体" w:hAnsi="宋体" w:cs="宋体"/>
                <w:sz w:val="24"/>
                <w:szCs w:val="24"/>
              </w:rPr>
            </w:pPr>
          </w:p>
        </w:tc>
        <w:tc>
          <w:tcPr>
            <w:tcW w:w="1289" w:type="dxa"/>
            <w:vMerge w:val="continue"/>
            <w:tcBorders>
              <w:left w:val="single" w:color="000000" w:sz="4" w:space="0"/>
              <w:bottom w:val="single" w:color="auto" w:sz="4" w:space="0"/>
              <w:right w:val="single" w:color="000000" w:sz="4" w:space="0"/>
            </w:tcBorders>
            <w:vAlign w:val="center"/>
          </w:tcPr>
          <w:p w14:paraId="1FEF208F">
            <w:pPr>
              <w:keepLines/>
              <w:widowControl/>
              <w:snapToGrid w:val="0"/>
              <w:spacing w:line="360" w:lineRule="auto"/>
              <w:jc w:val="center"/>
              <w:rPr>
                <w:rFonts w:hint="eastAsia" w:ascii="宋体" w:hAnsi="宋体" w:cs="宋体"/>
                <w:color w:val="000000"/>
                <w:sz w:val="24"/>
                <w:szCs w:val="24"/>
              </w:rPr>
            </w:pPr>
          </w:p>
        </w:tc>
        <w:tc>
          <w:tcPr>
            <w:tcW w:w="6689" w:type="dxa"/>
            <w:tcBorders>
              <w:top w:val="single" w:color="000000" w:sz="4" w:space="0"/>
              <w:left w:val="single" w:color="000000" w:sz="4" w:space="0"/>
              <w:bottom w:val="single" w:color="000000" w:sz="4" w:space="0"/>
              <w:right w:val="single" w:color="000000" w:sz="4" w:space="0"/>
            </w:tcBorders>
            <w:vAlign w:val="top"/>
          </w:tcPr>
          <w:p w14:paraId="2B48DC72">
            <w:pPr>
              <w:wordWrap w:val="0"/>
              <w:spacing w:line="360" w:lineRule="auto"/>
              <w:rPr>
                <w:rFonts w:hint="eastAsia" w:ascii="宋体" w:hAnsi="宋体" w:cs="宋体"/>
                <w:color w:val="000000"/>
                <w:sz w:val="24"/>
                <w:szCs w:val="24"/>
              </w:rPr>
            </w:pPr>
            <w:r>
              <w:rPr>
                <w:rFonts w:hint="eastAsia" w:ascii="宋体" w:hAnsi="宋体" w:eastAsia="宋体"/>
                <w:sz w:val="24"/>
                <w:szCs w:val="24"/>
              </w:rPr>
              <w:t>环境标志产品：根据财政部、发展改革委、生态环境部、市场监管总局《关于调整优化节能产品、环境标志产品政府采购执行机制的通知》，投标标的如是《环境标志产品政府采购品目清单》（最新一期）内的产品，供应商需提供国家确定的认证机构出具的、处于有效期之内的环境标志产品认证证书，且同时提供《环境标志产品信息表》明确说明此产品在《环境标志产品政府采购品目清单》（最新一期）中归属的编码及名称。以上条件均符合情况下，得0.5分。</w:t>
            </w:r>
          </w:p>
        </w:tc>
      </w:tr>
      <w:tr w14:paraId="5731DF84">
        <w:tblPrEx>
          <w:tblCellMar>
            <w:top w:w="0" w:type="dxa"/>
            <w:left w:w="108" w:type="dxa"/>
            <w:bottom w:w="0" w:type="dxa"/>
            <w:right w:w="108" w:type="dxa"/>
          </w:tblCellMar>
        </w:tblPrEx>
        <w:tc>
          <w:tcPr>
            <w:tcW w:w="1191" w:type="dxa"/>
            <w:vMerge w:val="restart"/>
            <w:tcBorders>
              <w:top w:val="single" w:color="auto" w:sz="4" w:space="0"/>
              <w:left w:val="single" w:color="auto" w:sz="4" w:space="0"/>
              <w:bottom w:val="nil"/>
              <w:right w:val="single" w:color="000000" w:sz="4" w:space="0"/>
            </w:tcBorders>
            <w:vAlign w:val="center"/>
          </w:tcPr>
          <w:p w14:paraId="487CE1FF">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3、技术部分</w:t>
            </w:r>
            <w:r>
              <w:rPr>
                <w:rFonts w:hint="eastAsia" w:ascii="宋体" w:hAnsi="宋体" w:cs="宋体"/>
                <w:sz w:val="24"/>
                <w:szCs w:val="24"/>
                <w:lang w:eastAsia="en-US"/>
              </w:rPr>
              <w:t>（</w:t>
            </w:r>
            <w:r>
              <w:rPr>
                <w:rFonts w:hint="eastAsia" w:ascii="宋体" w:hAnsi="宋体" w:cs="宋体"/>
                <w:sz w:val="24"/>
                <w:szCs w:val="24"/>
              </w:rPr>
              <w:t>51</w:t>
            </w:r>
            <w:r>
              <w:rPr>
                <w:rFonts w:hint="eastAsia" w:ascii="宋体" w:hAnsi="宋体" w:cs="宋体"/>
                <w:sz w:val="24"/>
                <w:szCs w:val="24"/>
                <w:lang w:eastAsia="en-US"/>
              </w:rPr>
              <w:t>分）</w:t>
            </w:r>
          </w:p>
        </w:tc>
        <w:tc>
          <w:tcPr>
            <w:tcW w:w="1289" w:type="dxa"/>
            <w:tcBorders>
              <w:top w:val="single" w:color="auto" w:sz="4" w:space="0"/>
              <w:left w:val="single" w:color="000000" w:sz="4" w:space="0"/>
              <w:bottom w:val="single" w:color="000000" w:sz="4" w:space="0"/>
              <w:right w:val="single" w:color="auto" w:sz="4" w:space="0"/>
            </w:tcBorders>
            <w:vAlign w:val="center"/>
          </w:tcPr>
          <w:p w14:paraId="404108C9">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3.1</w:t>
            </w:r>
            <w:r>
              <w:rPr>
                <w:rFonts w:ascii="宋体" w:hAnsi="宋体" w:cs="宋体"/>
                <w:color w:val="000000"/>
                <w:sz w:val="24"/>
                <w:szCs w:val="24"/>
              </w:rPr>
              <w:t>技术能力与招标文件投标程度</w:t>
            </w:r>
            <w:r>
              <w:rPr>
                <w:rFonts w:hint="eastAsia" w:ascii="宋体" w:hAnsi="宋体" w:cs="宋体"/>
                <w:sz w:val="24"/>
                <w:szCs w:val="24"/>
              </w:rPr>
              <w:t>（45分）</w:t>
            </w:r>
          </w:p>
        </w:tc>
        <w:tc>
          <w:tcPr>
            <w:tcW w:w="6689" w:type="dxa"/>
            <w:tcBorders>
              <w:top w:val="single" w:color="000000" w:sz="4" w:space="0"/>
              <w:left w:val="single" w:color="auto" w:sz="4" w:space="0"/>
              <w:bottom w:val="single" w:color="000000" w:sz="4" w:space="0"/>
              <w:right w:val="single" w:color="000000" w:sz="4" w:space="0"/>
            </w:tcBorders>
            <w:vAlign w:val="center"/>
          </w:tcPr>
          <w:p w14:paraId="3E53F4E4">
            <w:pPr>
              <w:wordWrap w:val="0"/>
              <w:spacing w:line="360" w:lineRule="auto"/>
              <w:jc w:val="left"/>
              <w:rPr>
                <w:sz w:val="24"/>
                <w:szCs w:val="24"/>
              </w:rPr>
            </w:pPr>
            <w:r>
              <w:rPr>
                <w:rFonts w:ascii="宋体" w:hAnsi="宋体" w:cs="宋体"/>
                <w:color w:val="000000"/>
                <w:sz w:val="24"/>
                <w:szCs w:val="24"/>
              </w:rPr>
              <w:t>投标人所投产品对招标文件具体需求的响应程度：</w:t>
            </w:r>
          </w:p>
          <w:p w14:paraId="7C84EE6E">
            <w:pPr>
              <w:wordWrap w:val="0"/>
              <w:spacing w:line="360" w:lineRule="auto"/>
              <w:jc w:val="left"/>
              <w:rPr>
                <w:sz w:val="24"/>
                <w:szCs w:val="24"/>
              </w:rPr>
            </w:pPr>
            <w:r>
              <w:rPr>
                <w:rFonts w:ascii="宋体" w:hAnsi="宋体" w:cs="宋体"/>
                <w:color w:val="000000"/>
                <w:sz w:val="24"/>
                <w:szCs w:val="24"/>
              </w:rPr>
              <w:t>满足招标文件技术指标、参数要求的得45分。“★”项的为实质性要求，有一项不符合的，作无效投标处理；“▲”项的为主要指标，不满足的每项扣6分；其他每有一项负偏离扣1分，扣完为止。</w:t>
            </w:r>
          </w:p>
          <w:p w14:paraId="74D4B274">
            <w:pPr>
              <w:widowControl/>
              <w:wordWrap w:val="0"/>
              <w:spacing w:line="360" w:lineRule="auto"/>
              <w:jc w:val="left"/>
              <w:rPr>
                <w:rFonts w:hint="eastAsia" w:ascii="宋体" w:hAnsi="宋体" w:cs="宋体"/>
                <w:sz w:val="24"/>
                <w:szCs w:val="24"/>
              </w:rPr>
            </w:pPr>
            <w:r>
              <w:rPr>
                <w:rFonts w:hint="eastAsia" w:asciiTheme="minorEastAsia" w:hAnsiTheme="minorEastAsia" w:eastAsiaTheme="minorEastAsia" w:cstheme="minorEastAsia"/>
                <w:color w:val="000000"/>
                <w:sz w:val="24"/>
                <w:szCs w:val="24"/>
              </w:rPr>
              <w:t>注：供应商需在《技术条款偏离表》中逐条进行应答，列明所投产品详细技术特性，并说明偏离情况。标★项和标▲项须提供相关证明资料【如产品彩页、官网截图、功能截图、第三方检测报告等证明材料扫描件加盖电子</w:t>
            </w:r>
            <w:r>
              <w:rPr>
                <w:rFonts w:hint="eastAsia" w:asciiTheme="minorEastAsia" w:hAnsiTheme="minorEastAsia" w:eastAsiaTheme="minorEastAsia" w:cstheme="minorEastAsia"/>
                <w:color w:val="000000"/>
                <w:sz w:val="24"/>
                <w:szCs w:val="24"/>
                <w:lang w:eastAsia="zh-CN"/>
              </w:rPr>
              <w:t>电子公章</w:t>
            </w:r>
            <w:r>
              <w:rPr>
                <w:rFonts w:hint="eastAsia" w:asciiTheme="minorEastAsia" w:hAnsiTheme="minorEastAsia" w:eastAsiaTheme="minorEastAsia" w:cstheme="minorEastAsia"/>
                <w:color w:val="000000"/>
                <w:sz w:val="24"/>
                <w:szCs w:val="24"/>
              </w:rPr>
              <w:t>，投标人自行承诺的材料不予认可】，所有标注“★”及“▲”的技术参数，均须提供证明材料；并在《技术条款偏离表》注明证明材料具体位置；一般参数以技术条款偏离表应答为准。标★项指标未按要求提供技术支持资料的作无效投标处理，标▲项指标未按要求提供支持资料的作负偏离处理。</w:t>
            </w:r>
          </w:p>
        </w:tc>
      </w:tr>
      <w:tr w14:paraId="5679377B">
        <w:tblPrEx>
          <w:tblCellMar>
            <w:top w:w="0" w:type="dxa"/>
            <w:left w:w="108" w:type="dxa"/>
            <w:bottom w:w="0" w:type="dxa"/>
            <w:right w:w="108" w:type="dxa"/>
          </w:tblCellMar>
        </w:tblPrEx>
        <w:tc>
          <w:tcPr>
            <w:tcW w:w="1191" w:type="dxa"/>
            <w:vMerge w:val="continue"/>
            <w:tcBorders>
              <w:top w:val="nil"/>
              <w:left w:val="single" w:color="auto" w:sz="4" w:space="0"/>
              <w:bottom w:val="nil"/>
              <w:right w:val="single" w:color="000000" w:sz="4" w:space="0"/>
            </w:tcBorders>
            <w:vAlign w:val="center"/>
          </w:tcPr>
          <w:p w14:paraId="27566D9F">
            <w:pPr>
              <w:keepLines/>
              <w:widowControl/>
              <w:snapToGrid w:val="0"/>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000000" w:sz="4" w:space="0"/>
              <w:right w:val="single" w:color="auto" w:sz="4" w:space="0"/>
            </w:tcBorders>
            <w:vAlign w:val="center"/>
          </w:tcPr>
          <w:p w14:paraId="0B170F58">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3.2</w:t>
            </w:r>
            <w:r>
              <w:rPr>
                <w:rFonts w:ascii="宋体" w:hAnsi="宋体" w:cs="宋体"/>
                <w:color w:val="000000"/>
                <w:sz w:val="24"/>
                <w:szCs w:val="24"/>
              </w:rPr>
              <w:t>售后服务方案</w:t>
            </w:r>
            <w:r>
              <w:rPr>
                <w:rFonts w:hint="eastAsia" w:ascii="宋体" w:hAnsi="宋体" w:cs="宋体"/>
                <w:sz w:val="24"/>
                <w:szCs w:val="24"/>
              </w:rPr>
              <w:t>（3分）</w:t>
            </w:r>
          </w:p>
        </w:tc>
        <w:tc>
          <w:tcPr>
            <w:tcW w:w="6689" w:type="dxa"/>
            <w:tcBorders>
              <w:top w:val="single" w:color="000000" w:sz="4" w:space="0"/>
              <w:left w:val="single" w:color="auto" w:sz="4" w:space="0"/>
              <w:bottom w:val="single" w:color="000000" w:sz="4" w:space="0"/>
              <w:right w:val="single" w:color="000000" w:sz="4" w:space="0"/>
            </w:tcBorders>
            <w:vAlign w:val="center"/>
          </w:tcPr>
          <w:p w14:paraId="45FD3ECB">
            <w:pPr>
              <w:adjustRightInd w:val="0"/>
              <w:snapToGrid w:val="0"/>
              <w:spacing w:line="360" w:lineRule="auto"/>
              <w:rPr>
                <w:rFonts w:hint="eastAsia" w:ascii="宋体" w:hAnsi="宋体" w:cs="宋体"/>
                <w:sz w:val="24"/>
                <w:szCs w:val="24"/>
              </w:rPr>
            </w:pPr>
            <w:r>
              <w:rPr>
                <w:rFonts w:hint="eastAsia" w:asciiTheme="minorEastAsia" w:hAnsiTheme="minorEastAsia" w:eastAsiaTheme="minorEastAsia" w:cstheme="minorEastAsia"/>
                <w:sz w:val="24"/>
                <w:szCs w:val="24"/>
              </w:rPr>
              <w:t>根据供应商提供的售后服务方案中对售后服务体系、售后服务承诺，质量保证期内的售后服务范围、质保期满后的售后服务范围和收费情况、备品备件的承诺情况进行评审。方案完整、合理可行、售后服务应答及处理及时的得3分；方案较完整、较合理可行、售后服务应答及处理较及时的得2分；方案不完整、不合理的得1分；没有的不得分。</w:t>
            </w:r>
          </w:p>
        </w:tc>
      </w:tr>
      <w:tr w14:paraId="1CC85830">
        <w:tblPrEx>
          <w:tblCellMar>
            <w:top w:w="0" w:type="dxa"/>
            <w:left w:w="108" w:type="dxa"/>
            <w:bottom w:w="0" w:type="dxa"/>
            <w:right w:w="108" w:type="dxa"/>
          </w:tblCellMar>
        </w:tblPrEx>
        <w:tc>
          <w:tcPr>
            <w:tcW w:w="1191" w:type="dxa"/>
            <w:vMerge w:val="continue"/>
            <w:tcBorders>
              <w:top w:val="nil"/>
              <w:left w:val="single" w:color="auto" w:sz="4" w:space="0"/>
              <w:bottom w:val="single" w:color="auto" w:sz="4" w:space="0"/>
              <w:right w:val="single" w:color="000000" w:sz="4" w:space="0"/>
            </w:tcBorders>
            <w:vAlign w:val="center"/>
          </w:tcPr>
          <w:p w14:paraId="3DE46DDD">
            <w:pPr>
              <w:keepLines/>
              <w:widowControl/>
              <w:snapToGrid w:val="0"/>
              <w:spacing w:line="360" w:lineRule="auto"/>
              <w:jc w:val="center"/>
              <w:rPr>
                <w:rFonts w:hint="eastAsia" w:ascii="宋体" w:hAnsi="宋体" w:cs="宋体"/>
                <w:sz w:val="24"/>
                <w:szCs w:val="24"/>
              </w:rPr>
            </w:pPr>
          </w:p>
        </w:tc>
        <w:tc>
          <w:tcPr>
            <w:tcW w:w="1289" w:type="dxa"/>
            <w:tcBorders>
              <w:top w:val="single" w:color="000000" w:sz="4" w:space="0"/>
              <w:left w:val="single" w:color="000000" w:sz="4" w:space="0"/>
              <w:bottom w:val="single" w:color="auto" w:sz="4" w:space="0"/>
              <w:right w:val="single" w:color="auto" w:sz="4" w:space="0"/>
            </w:tcBorders>
            <w:vAlign w:val="center"/>
          </w:tcPr>
          <w:p w14:paraId="7D0864A8">
            <w:pPr>
              <w:keepLines/>
              <w:widowControl/>
              <w:snapToGrid w:val="0"/>
              <w:spacing w:line="360" w:lineRule="auto"/>
              <w:jc w:val="center"/>
              <w:rPr>
                <w:rFonts w:hint="eastAsia" w:ascii="宋体" w:hAnsi="宋体" w:cs="宋体"/>
                <w:sz w:val="24"/>
                <w:szCs w:val="24"/>
              </w:rPr>
            </w:pPr>
            <w:r>
              <w:rPr>
                <w:rFonts w:hint="eastAsia" w:ascii="宋体" w:hAnsi="宋体" w:cs="宋体"/>
                <w:sz w:val="24"/>
                <w:szCs w:val="24"/>
              </w:rPr>
              <w:t>3.3</w:t>
            </w:r>
            <w:r>
              <w:rPr>
                <w:rFonts w:ascii="宋体" w:hAnsi="宋体" w:cs="宋体"/>
                <w:color w:val="000000"/>
                <w:sz w:val="24"/>
                <w:szCs w:val="24"/>
              </w:rPr>
              <w:t>培训方案</w:t>
            </w:r>
            <w:r>
              <w:rPr>
                <w:rFonts w:hint="eastAsia" w:ascii="宋体" w:hAnsi="宋体" w:cs="宋体"/>
                <w:sz w:val="24"/>
                <w:szCs w:val="24"/>
              </w:rPr>
              <w:t>（3分）</w:t>
            </w:r>
          </w:p>
        </w:tc>
        <w:tc>
          <w:tcPr>
            <w:tcW w:w="6689" w:type="dxa"/>
            <w:tcBorders>
              <w:top w:val="single" w:color="000000" w:sz="4" w:space="0"/>
              <w:left w:val="single" w:color="auto" w:sz="4" w:space="0"/>
              <w:bottom w:val="single" w:color="000000" w:sz="4" w:space="0"/>
              <w:right w:val="single" w:color="000000" w:sz="4" w:space="0"/>
            </w:tcBorders>
            <w:vAlign w:val="center"/>
          </w:tcPr>
          <w:p w14:paraId="0730D836">
            <w:pPr>
              <w:adjustRightInd w:val="0"/>
              <w:snapToGrid w:val="0"/>
              <w:spacing w:line="360" w:lineRule="auto"/>
              <w:rPr>
                <w:rFonts w:hint="eastAsia" w:ascii="宋体" w:hAnsi="宋体" w:cs="宋体"/>
                <w:sz w:val="24"/>
                <w:szCs w:val="24"/>
              </w:rPr>
            </w:pPr>
            <w:r>
              <w:rPr>
                <w:rFonts w:hint="eastAsia" w:asciiTheme="minorEastAsia" w:hAnsiTheme="minorEastAsia" w:eastAsiaTheme="minorEastAsia" w:cstheme="minorEastAsia"/>
                <w:sz w:val="24"/>
                <w:szCs w:val="24"/>
              </w:rPr>
              <w:t>根据供应商提供的对采购人仪器操作人员、维护人员等的培训方案及计划进行评审。培训方案完整详细，计划合理的得3分；培训方案较完整，计划较合理的得2分；培训方案不完整，计划不合理的得1分；没有的不得分。</w:t>
            </w:r>
          </w:p>
        </w:tc>
      </w:tr>
    </w:tbl>
    <w:p w14:paraId="748B67BB">
      <w:pPr>
        <w:rPr>
          <w:rFonts w:ascii="黑体" w:eastAsia="黑体"/>
          <w:bCs/>
          <w:sz w:val="44"/>
        </w:rPr>
      </w:pPr>
      <w:r>
        <w:rPr>
          <w:rFonts w:hint="eastAsia" w:ascii="黑体" w:eastAsia="黑体"/>
          <w:bCs/>
          <w:sz w:val="44"/>
        </w:rPr>
        <w:br w:type="page"/>
      </w:r>
    </w:p>
    <w:p w14:paraId="3853E0D3">
      <w:pPr>
        <w:pStyle w:val="194"/>
        <w:rPr>
          <w:rFonts w:ascii="黑体" w:eastAsia="黑体"/>
          <w:bCs/>
          <w:sz w:val="44"/>
        </w:rPr>
      </w:pPr>
      <w:bookmarkStart w:id="348" w:name="_Toc4633"/>
      <w:r>
        <w:rPr>
          <w:rFonts w:hint="eastAsia" w:ascii="黑体" w:eastAsia="黑体"/>
          <w:bCs/>
          <w:sz w:val="44"/>
        </w:rPr>
        <w:t>第六章  投标</w:t>
      </w:r>
      <w:bookmarkEnd w:id="341"/>
      <w:bookmarkEnd w:id="342"/>
      <w:bookmarkEnd w:id="343"/>
      <w:r>
        <w:rPr>
          <w:rFonts w:hint="eastAsia" w:ascii="黑体" w:eastAsia="黑体"/>
          <w:bCs/>
          <w:sz w:val="44"/>
        </w:rPr>
        <w:t>文件格式</w:t>
      </w:r>
      <w:bookmarkEnd w:id="348"/>
      <w:r>
        <w:rPr>
          <w:rFonts w:hint="eastAsia" w:ascii="黑体" w:eastAsia="黑体"/>
          <w:bCs/>
          <w:sz w:val="44"/>
        </w:rPr>
        <w:t xml:space="preserve"> </w:t>
      </w:r>
    </w:p>
    <w:p w14:paraId="04E35C62">
      <w:pPr>
        <w:jc w:val="center"/>
        <w:rPr>
          <w:rFonts w:hint="eastAsia" w:ascii="宋体" w:hAnsi="宋体"/>
          <w:b/>
          <w:sz w:val="72"/>
        </w:rPr>
      </w:pPr>
      <w:bookmarkStart w:id="349" w:name="_Hlt26671244"/>
      <w:bookmarkEnd w:id="349"/>
      <w:bookmarkStart w:id="350" w:name="_Hlt26955039"/>
      <w:bookmarkEnd w:id="350"/>
      <w:bookmarkStart w:id="351" w:name="_Toc120614282"/>
      <w:bookmarkStart w:id="352" w:name="_Toc49090576"/>
      <w:bookmarkStart w:id="353" w:name="_Toc26554094"/>
    </w:p>
    <w:p w14:paraId="1327DAAE">
      <w:pPr>
        <w:jc w:val="center"/>
        <w:rPr>
          <w:rFonts w:hint="eastAsia" w:ascii="宋体" w:hAnsi="宋体"/>
          <w:b/>
          <w:sz w:val="72"/>
        </w:rPr>
      </w:pPr>
      <w:r>
        <w:rPr>
          <w:rFonts w:hint="eastAsia" w:ascii="宋体" w:hAnsi="宋体"/>
          <w:b/>
          <w:sz w:val="72"/>
        </w:rPr>
        <w:t>投  标  文  件</w:t>
      </w:r>
    </w:p>
    <w:p w14:paraId="07313DA2">
      <w:pPr>
        <w:jc w:val="center"/>
        <w:rPr>
          <w:rFonts w:hint="eastAsia" w:ascii="宋体" w:hAnsi="宋体"/>
          <w:b/>
          <w:sz w:val="72"/>
        </w:rPr>
      </w:pPr>
    </w:p>
    <w:p w14:paraId="63533144">
      <w:pPr>
        <w:jc w:val="center"/>
        <w:rPr>
          <w:rFonts w:hint="eastAsia" w:ascii="宋体" w:hAnsi="宋体"/>
          <w:b/>
          <w:sz w:val="72"/>
        </w:rPr>
      </w:pPr>
    </w:p>
    <w:p w14:paraId="7D2AB0F4">
      <w:pPr>
        <w:jc w:val="center"/>
        <w:rPr>
          <w:rFonts w:hint="eastAsia" w:ascii="宋体" w:hAnsi="宋体"/>
          <w:b/>
          <w:sz w:val="36"/>
        </w:rPr>
      </w:pPr>
    </w:p>
    <w:p w14:paraId="18BDD51E">
      <w:pPr>
        <w:jc w:val="center"/>
        <w:rPr>
          <w:rFonts w:hint="eastAsia" w:ascii="宋体" w:hAnsi="宋体"/>
          <w:b/>
          <w:sz w:val="36"/>
        </w:rPr>
      </w:pPr>
    </w:p>
    <w:p w14:paraId="01AF03EB">
      <w:pPr>
        <w:jc w:val="center"/>
        <w:rPr>
          <w:rFonts w:hint="eastAsia" w:ascii="宋体" w:hAnsi="宋体"/>
          <w:b/>
          <w:sz w:val="36"/>
        </w:rPr>
      </w:pPr>
    </w:p>
    <w:p w14:paraId="6FFA376E">
      <w:pPr>
        <w:ind w:firstLine="1084"/>
        <w:rPr>
          <w:rFonts w:hint="eastAsia" w:ascii="宋体" w:hAnsi="宋体"/>
          <w:b/>
          <w:sz w:val="36"/>
        </w:rPr>
      </w:pPr>
      <w:r>
        <w:rPr>
          <w:rFonts w:hint="eastAsia" w:ascii="宋体" w:hAnsi="宋体"/>
          <w:b/>
          <w:sz w:val="36"/>
        </w:rPr>
        <w:t>项 目 名 称：</w:t>
      </w:r>
      <w:r>
        <w:rPr>
          <w:rFonts w:hint="eastAsia" w:ascii="宋体" w:hAnsi="宋体"/>
          <w:b/>
          <w:sz w:val="36"/>
          <w:u w:val="single"/>
        </w:rPr>
        <w:t xml:space="preserve">               </w:t>
      </w:r>
    </w:p>
    <w:p w14:paraId="323169D7">
      <w:pPr>
        <w:ind w:firstLine="1084"/>
        <w:rPr>
          <w:rFonts w:hint="eastAsia" w:ascii="宋体" w:hAnsi="宋体"/>
          <w:b/>
          <w:sz w:val="36"/>
          <w:u w:val="single"/>
        </w:rPr>
      </w:pPr>
      <w:r>
        <w:rPr>
          <w:rFonts w:hint="eastAsia" w:ascii="宋体" w:hAnsi="宋体"/>
          <w:b/>
          <w:sz w:val="36"/>
          <w:szCs w:val="21"/>
        </w:rPr>
        <w:t>项</w:t>
      </w:r>
      <w:r>
        <w:rPr>
          <w:rFonts w:hint="eastAsia" w:ascii="宋体" w:hAnsi="宋体"/>
          <w:b/>
          <w:sz w:val="36"/>
          <w:szCs w:val="21"/>
          <w:lang w:val="en-US" w:eastAsia="zh-CN"/>
        </w:rPr>
        <w:t xml:space="preserve"> </w:t>
      </w:r>
      <w:r>
        <w:rPr>
          <w:rFonts w:hint="eastAsia" w:ascii="宋体" w:hAnsi="宋体"/>
          <w:b/>
          <w:sz w:val="36"/>
          <w:szCs w:val="21"/>
        </w:rPr>
        <w:t>目</w:t>
      </w:r>
      <w:r>
        <w:rPr>
          <w:rFonts w:hint="eastAsia" w:ascii="宋体" w:hAnsi="宋体"/>
          <w:b/>
          <w:sz w:val="36"/>
        </w:rPr>
        <w:t xml:space="preserve"> 编 号：</w:t>
      </w:r>
      <w:r>
        <w:rPr>
          <w:rFonts w:hint="eastAsia" w:ascii="宋体" w:hAnsi="宋体"/>
          <w:b/>
          <w:sz w:val="36"/>
          <w:u w:val="single"/>
        </w:rPr>
        <w:t xml:space="preserve">               </w:t>
      </w:r>
    </w:p>
    <w:p w14:paraId="1B2A0152">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（加盖CA</w:t>
      </w:r>
      <w:r>
        <w:rPr>
          <w:rFonts w:hint="eastAsia" w:ascii="宋体" w:hAnsi="宋体"/>
          <w:b/>
          <w:sz w:val="36"/>
          <w:u w:val="single"/>
          <w:lang w:eastAsia="zh-CN"/>
        </w:rPr>
        <w:t>电子公章</w:t>
      </w:r>
      <w:r>
        <w:rPr>
          <w:rFonts w:hint="eastAsia" w:ascii="宋体" w:hAnsi="宋体"/>
          <w:b/>
          <w:sz w:val="36"/>
          <w:u w:val="single"/>
        </w:rPr>
        <w:t>）</w:t>
      </w:r>
    </w:p>
    <w:p w14:paraId="3A2F94DF">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p>
    <w:p w14:paraId="21336287">
      <w:pPr>
        <w:spacing w:line="440" w:lineRule="exact"/>
        <w:jc w:val="center"/>
        <w:rPr>
          <w:rFonts w:hint="eastAsia" w:ascii="宋体" w:hAnsi="宋体"/>
          <w:b/>
          <w:bCs/>
          <w:sz w:val="32"/>
          <w:szCs w:val="32"/>
        </w:rPr>
      </w:pPr>
    </w:p>
    <w:p w14:paraId="7097B42A">
      <w:pPr>
        <w:spacing w:line="440" w:lineRule="exact"/>
        <w:rPr>
          <w:rFonts w:hint="eastAsia" w:ascii="宋体" w:hAnsi="宋体"/>
        </w:rPr>
      </w:pPr>
    </w:p>
    <w:p w14:paraId="6C875256">
      <w:pPr>
        <w:ind w:firstLine="1084"/>
        <w:rPr>
          <w:rFonts w:hint="eastAsia" w:ascii="宋体" w:hAnsi="宋体"/>
          <w:b/>
          <w:bCs/>
          <w:sz w:val="32"/>
          <w:szCs w:val="32"/>
        </w:rPr>
      </w:pPr>
      <w:r>
        <w:rPr>
          <w:rFonts w:ascii="宋体" w:hAnsi="宋体"/>
          <w:b/>
          <w:sz w:val="36"/>
          <w:u w:val="single"/>
        </w:rPr>
        <w:br w:type="page" w:clear="all"/>
      </w:r>
    </w:p>
    <w:p w14:paraId="38EB4675">
      <w:pPr>
        <w:spacing w:line="440" w:lineRule="exact"/>
        <w:jc w:val="center"/>
        <w:rPr>
          <w:rFonts w:hint="eastAsia" w:ascii="宋体" w:hAnsi="宋体"/>
          <w:b/>
          <w:bCs/>
          <w:sz w:val="32"/>
          <w:szCs w:val="32"/>
        </w:rPr>
      </w:pPr>
      <w:r>
        <w:rPr>
          <w:rFonts w:hint="eastAsia" w:ascii="宋体" w:hAnsi="宋体"/>
          <w:b/>
          <w:bCs/>
          <w:sz w:val="32"/>
          <w:szCs w:val="32"/>
        </w:rPr>
        <w:t>投标文件的</w:t>
      </w:r>
      <w:r>
        <w:rPr>
          <w:rFonts w:ascii="宋体" w:hAnsi="宋体"/>
          <w:b/>
          <w:bCs/>
          <w:sz w:val="32"/>
          <w:szCs w:val="32"/>
        </w:rPr>
        <w:t>组成</w:t>
      </w:r>
    </w:p>
    <w:p w14:paraId="20A5AC0F">
      <w:pPr>
        <w:spacing w:line="440" w:lineRule="exact"/>
        <w:jc w:val="center"/>
        <w:rPr>
          <w:rFonts w:hint="eastAsia" w:ascii="宋体" w:hAnsi="宋体"/>
          <w:b/>
          <w:bCs/>
          <w:sz w:val="32"/>
          <w:szCs w:val="32"/>
        </w:rPr>
      </w:pPr>
    </w:p>
    <w:p w14:paraId="57099C31">
      <w:pPr>
        <w:spacing w:line="400" w:lineRule="exact"/>
        <w:ind w:left="480"/>
        <w:rPr>
          <w:rFonts w:hint="eastAsia" w:ascii="宋体" w:hAnsi="宋体"/>
          <w:b/>
          <w:sz w:val="24"/>
        </w:rPr>
      </w:pPr>
      <w:r>
        <w:rPr>
          <w:rFonts w:hint="eastAsia" w:ascii="宋体" w:hAnsi="宋体"/>
          <w:b/>
          <w:sz w:val="24"/>
        </w:rPr>
        <w:t>一、基本目录</w:t>
      </w:r>
    </w:p>
    <w:p w14:paraId="65F135DD">
      <w:pPr>
        <w:spacing w:line="400" w:lineRule="exact"/>
        <w:ind w:left="480"/>
        <w:rPr>
          <w:rFonts w:hint="eastAsia" w:ascii="宋体" w:hAnsi="宋体"/>
          <w:sz w:val="24"/>
        </w:rPr>
      </w:pPr>
      <w:r>
        <w:rPr>
          <w:rFonts w:ascii="宋体" w:hAnsi="宋体"/>
          <w:sz w:val="24"/>
        </w:rPr>
        <w:t>1.</w:t>
      </w:r>
      <w:r>
        <w:rPr>
          <w:rFonts w:hint="eastAsia" w:ascii="宋体" w:hAnsi="宋体"/>
          <w:sz w:val="24"/>
        </w:rPr>
        <w:t>开标一览表（格式见附件</w:t>
      </w:r>
      <w:r>
        <w:rPr>
          <w:rFonts w:ascii="宋体" w:hAnsi="宋体"/>
          <w:sz w:val="24"/>
        </w:rPr>
        <w:t>1</w:t>
      </w:r>
      <w:r>
        <w:rPr>
          <w:rFonts w:hint="eastAsia" w:ascii="宋体" w:hAnsi="宋体"/>
          <w:sz w:val="24"/>
        </w:rPr>
        <w:t>）</w:t>
      </w:r>
    </w:p>
    <w:p w14:paraId="3913795D">
      <w:pPr>
        <w:spacing w:line="400" w:lineRule="exact"/>
        <w:ind w:left="480"/>
        <w:rPr>
          <w:rFonts w:hint="eastAsia" w:ascii="宋体" w:hAnsi="宋体"/>
          <w:sz w:val="24"/>
        </w:rPr>
      </w:pPr>
      <w:r>
        <w:rPr>
          <w:rFonts w:ascii="宋体" w:hAnsi="宋体"/>
          <w:sz w:val="24"/>
        </w:rPr>
        <w:t>2.</w:t>
      </w:r>
      <w:r>
        <w:rPr>
          <w:rFonts w:hint="eastAsia" w:ascii="宋体" w:hAnsi="宋体"/>
          <w:sz w:val="24"/>
        </w:rPr>
        <w:t>投标分项报价表（格式见</w:t>
      </w:r>
      <w:r>
        <w:rPr>
          <w:rFonts w:ascii="宋体" w:hAnsi="宋体"/>
          <w:sz w:val="24"/>
        </w:rPr>
        <w:t>附件2</w:t>
      </w:r>
      <w:r>
        <w:rPr>
          <w:rFonts w:hint="eastAsia" w:ascii="宋体" w:hAnsi="宋体"/>
          <w:sz w:val="24"/>
        </w:rPr>
        <w:t>）</w:t>
      </w:r>
    </w:p>
    <w:p w14:paraId="3C7A436A">
      <w:pPr>
        <w:spacing w:line="400" w:lineRule="exact"/>
        <w:ind w:left="480"/>
        <w:rPr>
          <w:rFonts w:hint="eastAsia" w:ascii="宋体" w:hAnsi="宋体"/>
          <w:sz w:val="24"/>
        </w:rPr>
      </w:pPr>
      <w:r>
        <w:rPr>
          <w:rFonts w:ascii="宋体" w:hAnsi="宋体"/>
          <w:sz w:val="24"/>
        </w:rPr>
        <w:t>3.</w:t>
      </w:r>
      <w:r>
        <w:rPr>
          <w:rFonts w:hint="eastAsia" w:ascii="宋体" w:hAnsi="宋体"/>
          <w:sz w:val="24"/>
        </w:rPr>
        <w:t>技术要求响应及偏离表（格式见</w:t>
      </w:r>
      <w:r>
        <w:rPr>
          <w:rFonts w:ascii="宋体" w:hAnsi="宋体"/>
          <w:sz w:val="24"/>
        </w:rPr>
        <w:t>附件3</w:t>
      </w:r>
      <w:r>
        <w:rPr>
          <w:rFonts w:hint="eastAsia" w:ascii="宋体" w:hAnsi="宋体"/>
          <w:sz w:val="24"/>
        </w:rPr>
        <w:t>）</w:t>
      </w:r>
    </w:p>
    <w:p w14:paraId="5C134C60">
      <w:pPr>
        <w:spacing w:line="400" w:lineRule="exact"/>
        <w:ind w:firstLine="480"/>
        <w:rPr>
          <w:rFonts w:hint="eastAsia" w:ascii="宋体" w:hAnsi="宋体"/>
          <w:sz w:val="24"/>
        </w:rPr>
      </w:pPr>
      <w:r>
        <w:rPr>
          <w:rFonts w:ascii="宋体" w:hAnsi="宋体"/>
          <w:sz w:val="24"/>
        </w:rPr>
        <w:t>4.</w:t>
      </w:r>
      <w:r>
        <w:rPr>
          <w:rFonts w:hint="eastAsia" w:ascii="宋体" w:hAnsi="宋体"/>
          <w:sz w:val="24"/>
        </w:rPr>
        <w:t>商务要求响应及偏离表（格式见</w:t>
      </w:r>
      <w:r>
        <w:rPr>
          <w:rFonts w:ascii="宋体" w:hAnsi="宋体"/>
          <w:sz w:val="24"/>
        </w:rPr>
        <w:t>附件4</w:t>
      </w:r>
      <w:r>
        <w:rPr>
          <w:rFonts w:hint="eastAsia" w:ascii="宋体" w:hAnsi="宋体"/>
          <w:sz w:val="24"/>
        </w:rPr>
        <w:t>）</w:t>
      </w:r>
    </w:p>
    <w:p w14:paraId="172B2C83">
      <w:pPr>
        <w:spacing w:line="400" w:lineRule="exact"/>
        <w:ind w:firstLine="480"/>
        <w:rPr>
          <w:rFonts w:hint="eastAsia" w:ascii="宋体" w:hAnsi="宋体"/>
          <w:sz w:val="24"/>
        </w:rPr>
      </w:pPr>
      <w:r>
        <w:rPr>
          <w:rFonts w:hint="eastAsia" w:ascii="宋体" w:hAnsi="宋体"/>
          <w:sz w:val="24"/>
        </w:rPr>
        <w:t>5.★★★★（格式</w:t>
      </w:r>
      <w:r>
        <w:rPr>
          <w:rFonts w:ascii="宋体" w:hAnsi="宋体"/>
          <w:sz w:val="24"/>
        </w:rPr>
        <w:t>见附件</w:t>
      </w:r>
      <w:r>
        <w:rPr>
          <w:rFonts w:hint="eastAsia" w:ascii="宋体" w:hAnsi="宋体"/>
          <w:sz w:val="24"/>
        </w:rPr>
        <w:t>★★）</w:t>
      </w:r>
    </w:p>
    <w:p w14:paraId="4E48F1BA">
      <w:pPr>
        <w:spacing w:line="400" w:lineRule="exact"/>
        <w:ind w:left="480"/>
        <w:rPr>
          <w:rFonts w:hint="eastAsia" w:ascii="宋体" w:hAnsi="宋体"/>
          <w:b/>
          <w:sz w:val="24"/>
        </w:rPr>
      </w:pPr>
      <w:r>
        <w:rPr>
          <w:rFonts w:hint="eastAsia" w:ascii="宋体" w:hAnsi="宋体"/>
          <w:b/>
          <w:sz w:val="24"/>
        </w:rPr>
        <w:t>二</w:t>
      </w:r>
      <w:r>
        <w:rPr>
          <w:rFonts w:ascii="宋体" w:hAnsi="宋体"/>
          <w:b/>
          <w:sz w:val="24"/>
        </w:rPr>
        <w:t>、资格审查内容</w:t>
      </w:r>
    </w:p>
    <w:p w14:paraId="50D1F7E7">
      <w:pPr>
        <w:spacing w:line="360" w:lineRule="auto"/>
        <w:ind w:firstLine="480"/>
        <w:rPr>
          <w:rFonts w:hint="eastAsia" w:ascii="宋体" w:hAnsi="宋体"/>
          <w:sz w:val="24"/>
          <w:szCs w:val="24"/>
        </w:rPr>
      </w:pPr>
      <w:r>
        <w:rPr>
          <w:rFonts w:hint="eastAsia" w:ascii="宋体" w:hAnsi="宋体"/>
          <w:sz w:val="24"/>
          <w:szCs w:val="24"/>
        </w:rPr>
        <w:t>1.具有独立承担民事责任的能力，提供法人或其他组织的营业执照等证明文件，自然人的身份证明，复印件加盖</w:t>
      </w:r>
      <w:r>
        <w:rPr>
          <w:rFonts w:hint="eastAsia" w:ascii="宋体" w:hAnsi="宋体"/>
          <w:sz w:val="24"/>
          <w:szCs w:val="24"/>
          <w:lang w:eastAsia="zh-CN"/>
        </w:rPr>
        <w:t>电子公章</w:t>
      </w:r>
      <w:r>
        <w:rPr>
          <w:rFonts w:hint="eastAsia" w:ascii="宋体" w:hAnsi="宋体"/>
          <w:sz w:val="24"/>
          <w:szCs w:val="24"/>
        </w:rPr>
        <w:t>。</w:t>
      </w:r>
    </w:p>
    <w:p w14:paraId="4CBD250C">
      <w:pPr>
        <w:spacing w:line="360" w:lineRule="auto"/>
        <w:ind w:firstLine="480"/>
        <w:rPr>
          <w:rFonts w:hint="eastAsia" w:ascii="宋体" w:hAnsi="宋体"/>
          <w:sz w:val="24"/>
          <w:szCs w:val="24"/>
        </w:rPr>
      </w:pPr>
      <w:r>
        <w:rPr>
          <w:rFonts w:hint="eastAsia" w:ascii="宋体" w:hAnsi="宋体"/>
          <w:sz w:val="24"/>
          <w:szCs w:val="24"/>
        </w:rPr>
        <w:t>2.具有良好的商业信誉和健全的财务会计制度，须提供参加本次政府招标活动上一年度的财务报表，或本次政府招标活动截止时间前六个月内银行出具的资信证明，或财政部门认可的政府招标专业担保机构出具的投标担保函）（法人或者其他组织成立未满一年的可以不提供）。</w:t>
      </w:r>
    </w:p>
    <w:p w14:paraId="23CF3DC3">
      <w:pPr>
        <w:spacing w:line="360" w:lineRule="auto"/>
        <w:ind w:firstLine="480"/>
        <w:rPr>
          <w:rFonts w:hint="eastAsia" w:ascii="宋体" w:hAnsi="宋体"/>
          <w:sz w:val="24"/>
          <w:szCs w:val="24"/>
        </w:rPr>
      </w:pPr>
      <w:r>
        <w:rPr>
          <w:rFonts w:hint="eastAsia" w:ascii="宋体" w:hAnsi="宋体"/>
          <w:sz w:val="24"/>
          <w:szCs w:val="24"/>
        </w:rPr>
        <w:t>3.有依法缴纳税收和社会保障资金的良好记录(提供参加本次政府采购活动前半年内至少一个月的依法缴纳税收和社会保障资金的有效凭据复印件加盖</w:t>
      </w:r>
      <w:r>
        <w:rPr>
          <w:rFonts w:hint="eastAsia" w:ascii="宋体" w:hAnsi="宋体"/>
          <w:sz w:val="24"/>
          <w:szCs w:val="24"/>
          <w:lang w:eastAsia="zh-CN"/>
        </w:rPr>
        <w:t>电子公章</w:t>
      </w:r>
      <w:r>
        <w:rPr>
          <w:rFonts w:hint="eastAsia" w:ascii="宋体" w:hAnsi="宋体"/>
          <w:sz w:val="24"/>
          <w:szCs w:val="24"/>
        </w:rPr>
        <w:t>，依法免税或不需要缴纳社会保障资金的投标人，应提供相应证明文件)。</w:t>
      </w:r>
    </w:p>
    <w:p w14:paraId="11208F64">
      <w:pPr>
        <w:spacing w:line="360" w:lineRule="auto"/>
        <w:ind w:firstLine="480"/>
        <w:rPr>
          <w:rFonts w:hint="eastAsia" w:ascii="宋体" w:hAnsi="宋体"/>
          <w:sz w:val="24"/>
          <w:szCs w:val="24"/>
        </w:rPr>
      </w:pPr>
      <w:r>
        <w:rPr>
          <w:rFonts w:hint="eastAsia" w:ascii="宋体" w:hAnsi="宋体"/>
          <w:sz w:val="24"/>
          <w:szCs w:val="24"/>
        </w:rPr>
        <w:t>4.具有履行合同所必需的设备和专业技术能力</w:t>
      </w:r>
      <w:r>
        <w:rPr>
          <w:rFonts w:hint="eastAsia" w:ascii="宋体" w:hAnsi="宋体"/>
          <w:sz w:val="24"/>
        </w:rPr>
        <w:t>（格式见</w:t>
      </w:r>
      <w:r>
        <w:rPr>
          <w:rFonts w:ascii="宋体" w:hAnsi="宋体"/>
          <w:sz w:val="24"/>
        </w:rPr>
        <w:t>附件5</w:t>
      </w:r>
      <w:r>
        <w:rPr>
          <w:rFonts w:hint="eastAsia" w:ascii="宋体" w:hAnsi="宋体"/>
          <w:sz w:val="24"/>
        </w:rPr>
        <w:t>)</w:t>
      </w:r>
      <w:r>
        <w:rPr>
          <w:rFonts w:hint="eastAsia" w:ascii="宋体" w:hAnsi="宋体"/>
          <w:sz w:val="24"/>
          <w:szCs w:val="24"/>
        </w:rPr>
        <w:t>。</w:t>
      </w:r>
    </w:p>
    <w:p w14:paraId="4B89B376">
      <w:pPr>
        <w:spacing w:line="400" w:lineRule="exact"/>
        <w:ind w:firstLine="480" w:firstLineChars="200"/>
        <w:rPr>
          <w:rFonts w:hint="eastAsia" w:ascii="宋体" w:hAnsi="宋体"/>
          <w:sz w:val="24"/>
        </w:rPr>
      </w:pPr>
      <w:r>
        <w:rPr>
          <w:rFonts w:hint="eastAsia" w:ascii="宋体" w:hAnsi="宋体"/>
          <w:sz w:val="24"/>
        </w:rPr>
        <w:t>5.</w:t>
      </w:r>
      <w:r>
        <w:rPr>
          <w:rFonts w:hint="eastAsia" w:ascii="宋体" w:hAnsi="宋体"/>
          <w:sz w:val="24"/>
          <w:szCs w:val="24"/>
        </w:rPr>
        <w:t>参加政府招标活动前3年内在经营活动中没有重大违法记录的书面声明（</w:t>
      </w:r>
      <w:r>
        <w:rPr>
          <w:rFonts w:hint="eastAsia" w:ascii="宋体" w:hAnsi="宋体"/>
          <w:sz w:val="24"/>
        </w:rPr>
        <w:t>（格式见</w:t>
      </w:r>
      <w:r>
        <w:rPr>
          <w:rFonts w:ascii="宋体" w:hAnsi="宋体"/>
          <w:sz w:val="24"/>
        </w:rPr>
        <w:t>附件6</w:t>
      </w:r>
      <w:r>
        <w:rPr>
          <w:rFonts w:hint="eastAsia" w:ascii="宋体" w:hAnsi="宋体"/>
          <w:sz w:val="24"/>
        </w:rPr>
        <w:t>）</w:t>
      </w:r>
      <w:r>
        <w:rPr>
          <w:rFonts w:hint="eastAsia" w:ascii="宋体" w:hAnsi="宋体"/>
          <w:sz w:val="24"/>
          <w:szCs w:val="24"/>
        </w:rPr>
        <w:t>。</w:t>
      </w:r>
    </w:p>
    <w:p w14:paraId="48354F56">
      <w:pPr>
        <w:spacing w:line="400" w:lineRule="exact"/>
        <w:ind w:firstLine="480"/>
        <w:rPr>
          <w:rFonts w:hint="eastAsia" w:ascii="宋体" w:hAnsi="宋体"/>
          <w:sz w:val="24"/>
        </w:rPr>
      </w:pPr>
      <w:r>
        <w:rPr>
          <w:rFonts w:hint="eastAsia" w:ascii="宋体" w:hAnsi="宋体"/>
          <w:sz w:val="24"/>
        </w:rPr>
        <w:t>6</w:t>
      </w:r>
      <w:r>
        <w:rPr>
          <w:rFonts w:ascii="宋体" w:hAnsi="宋体"/>
          <w:sz w:val="24"/>
        </w:rPr>
        <w:t>.</w:t>
      </w:r>
      <w:r>
        <w:rPr>
          <w:rFonts w:hint="eastAsia" w:ascii="宋体" w:hAnsi="宋体"/>
          <w:sz w:val="24"/>
        </w:rPr>
        <w:t>特定资格要求的证明文件（如果本项目对投标人</w:t>
      </w:r>
      <w:r>
        <w:rPr>
          <w:rFonts w:ascii="宋体" w:hAnsi="宋体"/>
          <w:sz w:val="24"/>
        </w:rPr>
        <w:t>做出特定资格要求的</w:t>
      </w:r>
      <w:r>
        <w:rPr>
          <w:rFonts w:hint="eastAsia" w:ascii="宋体" w:hAnsi="宋体"/>
          <w:sz w:val="24"/>
        </w:rPr>
        <w:t>，必须提供）</w:t>
      </w:r>
    </w:p>
    <w:p w14:paraId="6C132EB6">
      <w:pPr>
        <w:spacing w:line="400" w:lineRule="exact"/>
        <w:ind w:firstLine="480"/>
        <w:rPr>
          <w:rFonts w:hint="eastAsia" w:ascii="宋体" w:hAnsi="宋体"/>
          <w:sz w:val="24"/>
          <w:szCs w:val="24"/>
        </w:rPr>
      </w:pPr>
      <w:r>
        <w:rPr>
          <w:rFonts w:hint="eastAsia" w:ascii="宋体" w:hAnsi="宋体"/>
          <w:sz w:val="24"/>
        </w:rPr>
        <w:t>7.</w:t>
      </w:r>
      <w:r>
        <w:rPr>
          <w:rFonts w:hint="eastAsia" w:ascii="宋体" w:hAnsi="宋体"/>
          <w:sz w:val="24"/>
          <w:szCs w:val="24"/>
        </w:rPr>
        <w:t>在“信用中国”网站（www.creditchina.gov.cn）查询，无被列入失信被执行人、重大税收违法案件当事人名单、政府采购严重失信行为记录名单及其他不符合《中华人民共和国政府采购法》第二十二条规定条件的信用记录</w:t>
      </w:r>
    </w:p>
    <w:p w14:paraId="29828324">
      <w:pPr>
        <w:spacing w:line="400" w:lineRule="exact"/>
        <w:ind w:firstLine="480"/>
        <w:rPr>
          <w:rFonts w:hint="eastAsia" w:ascii="宋体" w:hAnsi="宋体"/>
          <w:sz w:val="24"/>
        </w:rPr>
      </w:pPr>
      <w:r>
        <w:rPr>
          <w:rFonts w:ascii="宋体" w:hAnsi="宋体"/>
          <w:sz w:val="24"/>
        </w:rPr>
        <w:t>8.</w:t>
      </w:r>
      <w:r>
        <w:rPr>
          <w:rFonts w:hint="eastAsia" w:ascii="宋体" w:hAnsi="宋体"/>
          <w:sz w:val="24"/>
        </w:rPr>
        <w:t>法人授权书（格式见附件</w:t>
      </w:r>
      <w:r>
        <w:rPr>
          <w:rFonts w:ascii="宋体" w:hAnsi="宋体"/>
          <w:sz w:val="24"/>
        </w:rPr>
        <w:t>7</w:t>
      </w:r>
      <w:r>
        <w:rPr>
          <w:rFonts w:hint="eastAsia" w:ascii="宋体" w:hAnsi="宋体"/>
          <w:sz w:val="24"/>
        </w:rPr>
        <w:t>）</w:t>
      </w:r>
    </w:p>
    <w:p w14:paraId="4DDC0C00">
      <w:pPr>
        <w:spacing w:line="400" w:lineRule="exact"/>
        <w:ind w:firstLine="480"/>
        <w:rPr>
          <w:rFonts w:hint="eastAsia" w:ascii="宋体" w:hAnsi="宋体"/>
          <w:sz w:val="24"/>
        </w:rPr>
      </w:pPr>
      <w:r>
        <w:rPr>
          <w:rFonts w:ascii="宋体" w:hAnsi="宋体"/>
          <w:sz w:val="24"/>
        </w:rPr>
        <w:t>9.</w:t>
      </w:r>
      <w:r>
        <w:rPr>
          <w:rFonts w:hint="eastAsia" w:ascii="宋体" w:hAnsi="宋体"/>
          <w:sz w:val="24"/>
        </w:rPr>
        <w:t>投标函（格式见附件</w:t>
      </w:r>
      <w:r>
        <w:rPr>
          <w:rFonts w:ascii="宋体" w:hAnsi="宋体"/>
          <w:sz w:val="24"/>
        </w:rPr>
        <w:t>8</w:t>
      </w:r>
      <w:r>
        <w:rPr>
          <w:rFonts w:hint="eastAsia" w:ascii="宋体" w:hAnsi="宋体"/>
          <w:sz w:val="24"/>
        </w:rPr>
        <w:t>）</w:t>
      </w:r>
    </w:p>
    <w:p w14:paraId="60C2AB38">
      <w:pPr>
        <w:spacing w:line="400" w:lineRule="exact"/>
        <w:ind w:firstLine="480"/>
        <w:rPr>
          <w:rFonts w:hint="eastAsia" w:ascii="宋体" w:hAnsi="宋体"/>
          <w:sz w:val="24"/>
        </w:rPr>
      </w:pPr>
      <w:r>
        <w:rPr>
          <w:rFonts w:ascii="宋体" w:hAnsi="宋体"/>
          <w:sz w:val="24"/>
        </w:rPr>
        <w:t>10.</w:t>
      </w:r>
      <w:r>
        <w:rPr>
          <w:rFonts w:hint="eastAsia" w:ascii="宋体" w:hAnsi="宋体"/>
          <w:sz w:val="24"/>
        </w:rPr>
        <w:t>中小微企业声明函（如果本项目</w:t>
      </w:r>
      <w:r>
        <w:rPr>
          <w:rFonts w:ascii="宋体" w:hAnsi="宋体"/>
          <w:sz w:val="24"/>
        </w:rPr>
        <w:t>专门面向中小微型企业采购，则必须提供</w:t>
      </w:r>
      <w:r>
        <w:rPr>
          <w:rFonts w:hint="eastAsia" w:ascii="宋体" w:hAnsi="宋体"/>
          <w:sz w:val="24"/>
        </w:rPr>
        <w:t>。</w:t>
      </w:r>
      <w:r>
        <w:rPr>
          <w:rFonts w:ascii="宋体" w:hAnsi="宋体"/>
          <w:sz w:val="24"/>
        </w:rPr>
        <w:t>格式</w:t>
      </w:r>
      <w:r>
        <w:rPr>
          <w:rFonts w:hint="eastAsia" w:ascii="宋体" w:hAnsi="宋体"/>
          <w:sz w:val="24"/>
        </w:rPr>
        <w:t>见</w:t>
      </w:r>
      <w:r>
        <w:rPr>
          <w:rFonts w:ascii="宋体" w:hAnsi="宋体"/>
          <w:sz w:val="24"/>
        </w:rPr>
        <w:t>附件9</w:t>
      </w:r>
      <w:r>
        <w:rPr>
          <w:rFonts w:hint="eastAsia" w:ascii="宋体" w:hAnsi="宋体"/>
          <w:sz w:val="24"/>
        </w:rPr>
        <w:t>）</w:t>
      </w:r>
    </w:p>
    <w:p w14:paraId="580DCB3C">
      <w:pPr>
        <w:spacing w:line="400" w:lineRule="exact"/>
        <w:ind w:firstLine="480"/>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rPr>
        <w:t>残疾人福利性单位声明函（如果本项目</w:t>
      </w:r>
      <w:r>
        <w:rPr>
          <w:rFonts w:ascii="宋体" w:hAnsi="宋体"/>
          <w:sz w:val="24"/>
        </w:rPr>
        <w:t>专门面向中小微型企业采购，</w:t>
      </w:r>
      <w:r>
        <w:rPr>
          <w:rFonts w:hint="eastAsia" w:ascii="宋体" w:hAnsi="宋体"/>
          <w:sz w:val="24"/>
        </w:rPr>
        <w:t>投标人为</w:t>
      </w:r>
      <w:r>
        <w:rPr>
          <w:rFonts w:ascii="宋体" w:hAnsi="宋体"/>
          <w:sz w:val="24"/>
        </w:rPr>
        <w:t>残疾人福利性单位并</w:t>
      </w:r>
      <w:r>
        <w:rPr>
          <w:rFonts w:hint="eastAsia" w:ascii="宋体" w:hAnsi="宋体"/>
          <w:sz w:val="24"/>
        </w:rPr>
        <w:t>由本单位提供</w:t>
      </w:r>
      <w:r>
        <w:rPr>
          <w:rFonts w:ascii="宋体" w:hAnsi="宋体"/>
          <w:sz w:val="24"/>
        </w:rPr>
        <w:t>服务</w:t>
      </w:r>
      <w:r>
        <w:rPr>
          <w:rFonts w:hint="eastAsia" w:ascii="宋体" w:hAnsi="宋体"/>
          <w:sz w:val="24"/>
        </w:rPr>
        <w:t>。</w:t>
      </w:r>
      <w:r>
        <w:rPr>
          <w:rFonts w:ascii="宋体" w:hAnsi="宋体"/>
          <w:sz w:val="24"/>
        </w:rPr>
        <w:t>格式</w:t>
      </w:r>
      <w:r>
        <w:rPr>
          <w:rFonts w:hint="eastAsia" w:ascii="宋体" w:hAnsi="宋体"/>
          <w:sz w:val="24"/>
        </w:rPr>
        <w:t>见</w:t>
      </w:r>
      <w:r>
        <w:rPr>
          <w:rFonts w:ascii="宋体" w:hAnsi="宋体"/>
          <w:sz w:val="24"/>
        </w:rPr>
        <w:t>附件10</w:t>
      </w:r>
      <w:r>
        <w:rPr>
          <w:rFonts w:hint="eastAsia" w:ascii="宋体" w:hAnsi="宋体"/>
          <w:sz w:val="24"/>
        </w:rPr>
        <w:t>）</w:t>
      </w:r>
    </w:p>
    <w:p w14:paraId="28C85D60">
      <w:pPr>
        <w:wordWrap w:val="0"/>
        <w:spacing w:line="378" w:lineRule="exact"/>
        <w:ind w:firstLine="480" w:firstLineChars="200"/>
        <w:jc w:val="left"/>
        <w:rPr>
          <w:rFonts w:hint="eastAsia" w:ascii="宋体" w:hAnsi="宋体"/>
          <w:sz w:val="24"/>
        </w:rPr>
      </w:pPr>
      <w:r>
        <w:rPr>
          <w:rFonts w:hint="eastAsia" w:ascii="宋体" w:hAnsi="宋体"/>
          <w:sz w:val="24"/>
        </w:rPr>
        <w:t>12.</w:t>
      </w:r>
      <w:r>
        <w:rPr>
          <w:rFonts w:hint="eastAsia" w:ascii="宋体" w:hAnsi="宋体" w:cs="Times New Roman"/>
          <w:sz w:val="24"/>
        </w:rPr>
        <w:t>投标人如为代理商且所投产品为进口产品的（注：本文件所称进口产品是指通过中国海关报关验放进入中国境内且产自关境外的产品），需提供生产者或其驻中国办事机构（或生产者授权的中国境内最高级别代理机构）针对本项目的专项授权书，并明确承担一切售前、售后责任。（须提供有效授权书盖章原件）</w:t>
      </w:r>
    </w:p>
    <w:p w14:paraId="1A07561F">
      <w:pPr>
        <w:spacing w:line="400" w:lineRule="exact"/>
        <w:ind w:left="480"/>
        <w:rPr>
          <w:rFonts w:hint="eastAsia" w:ascii="宋体" w:hAnsi="宋体"/>
          <w:sz w:val="24"/>
          <w:szCs w:val="24"/>
        </w:rPr>
      </w:pPr>
      <w:r>
        <w:rPr>
          <w:rFonts w:hint="eastAsia" w:ascii="宋体" w:hAnsi="宋体"/>
          <w:sz w:val="24"/>
          <w:szCs w:val="24"/>
        </w:rPr>
        <w:t>总备注：上述“资格审查内容”中1-5条、8、9条投标人必须在投标文件中提</w:t>
      </w:r>
    </w:p>
    <w:p w14:paraId="685CF2BF">
      <w:pPr>
        <w:spacing w:line="400" w:lineRule="exact"/>
        <w:rPr>
          <w:rFonts w:hint="eastAsia" w:ascii="宋体" w:hAnsi="宋体"/>
          <w:sz w:val="24"/>
          <w:szCs w:val="24"/>
        </w:rPr>
      </w:pPr>
      <w:r>
        <w:rPr>
          <w:rFonts w:hint="eastAsia" w:ascii="宋体" w:hAnsi="宋体"/>
          <w:sz w:val="24"/>
          <w:szCs w:val="24"/>
        </w:rPr>
        <w:t>供相关材料，否则作无效投标处理；6、10、11条如招标文件要求必须提供相关材料而未提供的，作无效投标处理。</w:t>
      </w:r>
    </w:p>
    <w:p w14:paraId="0AE9A0DA">
      <w:pPr>
        <w:spacing w:line="400" w:lineRule="exact"/>
        <w:ind w:left="480"/>
        <w:rPr>
          <w:rFonts w:hint="eastAsia" w:ascii="宋体" w:hAnsi="宋体"/>
          <w:b/>
          <w:sz w:val="24"/>
        </w:rPr>
      </w:pPr>
      <w:r>
        <w:rPr>
          <w:rFonts w:hint="eastAsia" w:ascii="宋体" w:hAnsi="宋体"/>
          <w:b/>
          <w:sz w:val="24"/>
        </w:rPr>
        <w:t>三</w:t>
      </w:r>
      <w:r>
        <w:rPr>
          <w:rFonts w:ascii="宋体" w:hAnsi="宋体"/>
          <w:b/>
          <w:sz w:val="24"/>
        </w:rPr>
        <w:t>、</w:t>
      </w:r>
      <w:r>
        <w:rPr>
          <w:rFonts w:hint="eastAsia" w:ascii="宋体" w:hAnsi="宋体"/>
          <w:b/>
          <w:sz w:val="24"/>
        </w:rPr>
        <w:t>符合性</w:t>
      </w:r>
      <w:r>
        <w:rPr>
          <w:rFonts w:ascii="宋体" w:hAnsi="宋体"/>
          <w:b/>
          <w:sz w:val="24"/>
        </w:rPr>
        <w:t>审查内容</w:t>
      </w:r>
    </w:p>
    <w:p w14:paraId="46D30792">
      <w:pPr>
        <w:spacing w:line="400" w:lineRule="exact"/>
        <w:ind w:firstLine="480"/>
        <w:rPr>
          <w:rFonts w:hint="eastAsia" w:ascii="宋体" w:hAnsi="宋体"/>
          <w:color w:val="000000"/>
          <w:sz w:val="24"/>
        </w:rPr>
      </w:pPr>
      <w:r>
        <w:rPr>
          <w:rFonts w:hint="eastAsia" w:ascii="宋体" w:hAnsi="宋体"/>
          <w:color w:val="000000"/>
          <w:sz w:val="24"/>
        </w:rPr>
        <w:t>投标人必须</w:t>
      </w:r>
      <w:r>
        <w:rPr>
          <w:rFonts w:ascii="宋体" w:hAnsi="宋体"/>
          <w:color w:val="000000"/>
          <w:sz w:val="24"/>
        </w:rPr>
        <w:t>对</w:t>
      </w:r>
      <w:r>
        <w:rPr>
          <w:rFonts w:hint="eastAsia" w:ascii="宋体" w:hAnsi="宋体"/>
          <w:color w:val="000000"/>
          <w:sz w:val="24"/>
        </w:rPr>
        <w:t>招标文件（含技术</w:t>
      </w:r>
      <w:r>
        <w:rPr>
          <w:rFonts w:ascii="宋体" w:hAnsi="宋体"/>
          <w:color w:val="000000"/>
          <w:sz w:val="24"/>
        </w:rPr>
        <w:t>要求和商务</w:t>
      </w:r>
      <w:r>
        <w:rPr>
          <w:rFonts w:hint="eastAsia" w:ascii="宋体" w:hAnsi="宋体"/>
          <w:color w:val="000000"/>
          <w:sz w:val="24"/>
        </w:rPr>
        <w:t>要求）</w:t>
      </w:r>
      <w:r>
        <w:rPr>
          <w:rFonts w:ascii="宋体" w:hAnsi="宋体"/>
          <w:color w:val="000000"/>
          <w:sz w:val="24"/>
        </w:rPr>
        <w:t>中</w:t>
      </w:r>
      <w:r>
        <w:rPr>
          <w:rFonts w:hint="eastAsia" w:ascii="宋体" w:hAnsi="宋体"/>
          <w:b/>
          <w:bCs/>
          <w:i/>
          <w:color w:val="000000"/>
          <w:sz w:val="24"/>
          <w:u w:val="single"/>
        </w:rPr>
        <w:t>斜体且有下划线部分</w:t>
      </w:r>
      <w:r>
        <w:rPr>
          <w:rFonts w:hint="eastAsia" w:ascii="宋体" w:hAnsi="宋体"/>
          <w:b/>
          <w:bCs/>
          <w:color w:val="000000"/>
          <w:sz w:val="24"/>
        </w:rPr>
        <w:t>或加★号条款</w:t>
      </w:r>
      <w:r>
        <w:rPr>
          <w:rFonts w:ascii="宋体" w:hAnsi="宋体"/>
          <w:color w:val="000000"/>
          <w:sz w:val="24"/>
        </w:rPr>
        <w:t>的实质性要求</w:t>
      </w:r>
      <w:r>
        <w:rPr>
          <w:rFonts w:hint="eastAsia" w:ascii="宋体" w:hAnsi="宋体"/>
          <w:color w:val="000000"/>
          <w:sz w:val="24"/>
        </w:rPr>
        <w:t>逐条</w:t>
      </w:r>
      <w:r>
        <w:rPr>
          <w:rFonts w:ascii="宋体" w:hAnsi="宋体"/>
          <w:color w:val="000000"/>
          <w:sz w:val="24"/>
        </w:rPr>
        <w:t>做出响应，并按照招标</w:t>
      </w:r>
      <w:r>
        <w:rPr>
          <w:rFonts w:hint="eastAsia" w:ascii="宋体" w:hAnsi="宋体"/>
          <w:color w:val="000000"/>
          <w:sz w:val="24"/>
        </w:rPr>
        <w:t>文件</w:t>
      </w:r>
      <w:r>
        <w:rPr>
          <w:rFonts w:ascii="宋体" w:hAnsi="宋体"/>
          <w:color w:val="000000"/>
          <w:sz w:val="24"/>
        </w:rPr>
        <w:t>要求提供</w:t>
      </w:r>
      <w:r>
        <w:rPr>
          <w:rFonts w:hint="eastAsia" w:ascii="宋体" w:hAnsi="宋体"/>
          <w:color w:val="000000"/>
          <w:sz w:val="24"/>
        </w:rPr>
        <w:t>证明</w:t>
      </w:r>
      <w:r>
        <w:rPr>
          <w:rFonts w:ascii="宋体" w:hAnsi="宋体"/>
          <w:color w:val="000000"/>
          <w:sz w:val="24"/>
        </w:rPr>
        <w:t>材料</w:t>
      </w:r>
      <w:r>
        <w:rPr>
          <w:rFonts w:hint="eastAsia" w:ascii="宋体" w:hAnsi="宋体"/>
          <w:color w:val="000000"/>
          <w:sz w:val="24"/>
        </w:rPr>
        <w:t>，否则作无效投标处理</w:t>
      </w:r>
      <w:r>
        <w:rPr>
          <w:rFonts w:ascii="宋体" w:hAnsi="宋体"/>
          <w:color w:val="000000"/>
          <w:sz w:val="24"/>
        </w:rPr>
        <w:t>。</w:t>
      </w:r>
      <w:r>
        <w:rPr>
          <w:rFonts w:hint="eastAsia" w:ascii="宋体" w:hAnsi="宋体"/>
          <w:color w:val="000000"/>
          <w:sz w:val="24"/>
        </w:rPr>
        <w:t>（格式见</w:t>
      </w:r>
      <w:r>
        <w:rPr>
          <w:rFonts w:ascii="宋体" w:hAnsi="宋体"/>
          <w:color w:val="000000"/>
          <w:sz w:val="24"/>
        </w:rPr>
        <w:t>附件1</w:t>
      </w:r>
      <w:r>
        <w:rPr>
          <w:rFonts w:hint="eastAsia" w:ascii="宋体" w:hAnsi="宋体"/>
          <w:color w:val="000000"/>
          <w:sz w:val="24"/>
        </w:rPr>
        <w:t>1）</w:t>
      </w:r>
    </w:p>
    <w:p w14:paraId="7B526C72">
      <w:pPr>
        <w:ind w:firstLine="480"/>
        <w:rPr>
          <w:rFonts w:hint="eastAsia" w:ascii="宋体" w:hAnsi="宋体"/>
          <w:b/>
          <w:sz w:val="24"/>
        </w:rPr>
      </w:pPr>
      <w:r>
        <w:rPr>
          <w:rFonts w:hint="eastAsia" w:ascii="宋体" w:hAnsi="宋体"/>
          <w:b/>
          <w:sz w:val="24"/>
        </w:rPr>
        <w:t>四、价格</w:t>
      </w:r>
      <w:r>
        <w:rPr>
          <w:rFonts w:ascii="宋体" w:hAnsi="宋体"/>
          <w:b/>
          <w:sz w:val="24"/>
        </w:rPr>
        <w:t>扣除证明文件</w:t>
      </w:r>
    </w:p>
    <w:p w14:paraId="3726576B">
      <w:pPr>
        <w:spacing w:line="400" w:lineRule="exact"/>
        <w:ind w:firstLine="480"/>
        <w:rPr>
          <w:rFonts w:hint="eastAsia" w:ascii="宋体" w:hAnsi="宋体"/>
          <w:sz w:val="24"/>
        </w:rPr>
      </w:pPr>
      <w:r>
        <w:rPr>
          <w:rFonts w:ascii="宋体" w:hAnsi="宋体"/>
          <w:sz w:val="24"/>
        </w:rPr>
        <w:t>1.</w:t>
      </w:r>
      <w:r>
        <w:rPr>
          <w:rFonts w:hint="eastAsia" w:ascii="宋体" w:hAnsi="宋体"/>
          <w:sz w:val="24"/>
        </w:rPr>
        <w:t>中小微企业声明函（</w:t>
      </w:r>
      <w:r>
        <w:rPr>
          <w:rFonts w:ascii="宋体" w:hAnsi="宋体"/>
          <w:sz w:val="24"/>
        </w:rPr>
        <w:t>格式</w:t>
      </w:r>
      <w:r>
        <w:rPr>
          <w:rFonts w:hint="eastAsia" w:ascii="宋体" w:hAnsi="宋体"/>
          <w:sz w:val="24"/>
        </w:rPr>
        <w:t>见</w:t>
      </w:r>
      <w:r>
        <w:rPr>
          <w:rFonts w:ascii="宋体" w:hAnsi="宋体"/>
          <w:sz w:val="24"/>
        </w:rPr>
        <w:t>附件9</w:t>
      </w:r>
      <w:r>
        <w:rPr>
          <w:rFonts w:hint="eastAsia" w:ascii="宋体" w:hAnsi="宋体"/>
          <w:sz w:val="24"/>
        </w:rPr>
        <w:t>）</w:t>
      </w:r>
    </w:p>
    <w:p w14:paraId="0331C8FE">
      <w:pPr>
        <w:spacing w:line="400" w:lineRule="exact"/>
        <w:ind w:firstLine="480"/>
        <w:rPr>
          <w:rFonts w:hint="eastAsia" w:ascii="宋体" w:hAnsi="宋体"/>
          <w:sz w:val="24"/>
        </w:rPr>
      </w:pPr>
      <w:r>
        <w:rPr>
          <w:rFonts w:ascii="宋体" w:hAnsi="宋体"/>
          <w:sz w:val="24"/>
        </w:rPr>
        <w:t>2.</w:t>
      </w:r>
      <w:r>
        <w:rPr>
          <w:rFonts w:hint="eastAsia" w:ascii="宋体" w:hAnsi="宋体"/>
          <w:sz w:val="24"/>
        </w:rPr>
        <w:t>残疾人福利性单位声明函（</w:t>
      </w:r>
      <w:r>
        <w:rPr>
          <w:rFonts w:ascii="宋体" w:hAnsi="宋体"/>
          <w:sz w:val="24"/>
        </w:rPr>
        <w:t>格式</w:t>
      </w:r>
      <w:r>
        <w:rPr>
          <w:rFonts w:hint="eastAsia" w:ascii="宋体" w:hAnsi="宋体"/>
          <w:sz w:val="24"/>
        </w:rPr>
        <w:t>见</w:t>
      </w:r>
      <w:r>
        <w:rPr>
          <w:rFonts w:ascii="宋体" w:hAnsi="宋体"/>
          <w:sz w:val="24"/>
        </w:rPr>
        <w:t>附件10</w:t>
      </w:r>
      <w:r>
        <w:rPr>
          <w:rFonts w:hint="eastAsia" w:ascii="宋体" w:hAnsi="宋体"/>
          <w:sz w:val="24"/>
        </w:rPr>
        <w:t>）</w:t>
      </w:r>
    </w:p>
    <w:p w14:paraId="476318D9">
      <w:pPr>
        <w:spacing w:line="440" w:lineRule="exact"/>
        <w:ind w:firstLine="480"/>
        <w:rPr>
          <w:rFonts w:hint="eastAsia" w:ascii="宋体" w:hAnsi="宋体"/>
          <w:sz w:val="24"/>
        </w:rPr>
      </w:pPr>
    </w:p>
    <w:p w14:paraId="69906532">
      <w:pPr>
        <w:rPr>
          <w:rFonts w:hint="eastAsia" w:ascii="宋体" w:hAnsi="宋体"/>
          <w:b/>
          <w:color w:val="FF0000"/>
          <w:sz w:val="24"/>
          <w:szCs w:val="24"/>
        </w:rPr>
      </w:pPr>
    </w:p>
    <w:p w14:paraId="3B81267B">
      <w:pPr>
        <w:rPr>
          <w:rFonts w:hint="eastAsia" w:ascii="宋体" w:hAnsi="宋体"/>
          <w:b/>
          <w:sz w:val="24"/>
          <w:szCs w:val="24"/>
        </w:rPr>
      </w:pPr>
      <w:r>
        <w:rPr>
          <w:rFonts w:hint="eastAsia" w:ascii="宋体" w:hAnsi="宋体"/>
          <w:b/>
          <w:sz w:val="24"/>
          <w:szCs w:val="24"/>
        </w:rPr>
        <w:br w:type="page"/>
      </w:r>
    </w:p>
    <w:p w14:paraId="6FE53F2E">
      <w:pPr>
        <w:rPr>
          <w:rFonts w:eastAsia="仿宋_GB2312"/>
          <w:sz w:val="24"/>
          <w:szCs w:val="20"/>
        </w:rPr>
      </w:pPr>
      <w:r>
        <w:rPr>
          <w:rFonts w:hint="eastAsia" w:ascii="宋体" w:hAnsi="宋体"/>
          <w:b/>
          <w:sz w:val="24"/>
          <w:szCs w:val="24"/>
        </w:rPr>
        <w:t>附件1 开标一览表</w:t>
      </w:r>
    </w:p>
    <w:p w14:paraId="2789656E">
      <w:pPr>
        <w:spacing w:line="0" w:lineRule="atLeast"/>
        <w:ind w:firstLine="482"/>
        <w:rPr>
          <w:rFonts w:hint="eastAsia" w:ascii="宋体" w:hAnsi="宋体"/>
          <w:sz w:val="24"/>
          <w:szCs w:val="24"/>
        </w:rPr>
      </w:pPr>
      <w:r>
        <w:rPr>
          <w:rFonts w:hint="eastAsia" w:ascii="宋体" w:hAnsi="宋体"/>
          <w:sz w:val="24"/>
          <w:szCs w:val="24"/>
        </w:rPr>
        <w:t>投标人全称（加盖CA电子签章）：</w:t>
      </w:r>
    </w:p>
    <w:p w14:paraId="5ADCD568">
      <w:pPr>
        <w:spacing w:line="0" w:lineRule="atLeast"/>
        <w:ind w:firstLine="482"/>
        <w:rPr>
          <w:sz w:val="24"/>
          <w:szCs w:val="24"/>
        </w:rPr>
      </w:pPr>
      <w:r>
        <w:rPr>
          <w:rFonts w:hint="eastAsia" w:ascii="宋体" w:hAnsi="宋体"/>
          <w:sz w:val="24"/>
          <w:szCs w:val="24"/>
        </w:rPr>
        <w:t>项目名称：</w:t>
      </w:r>
    </w:p>
    <w:p w14:paraId="74C4265C">
      <w:pPr>
        <w:spacing w:line="0" w:lineRule="atLeast"/>
        <w:ind w:firstLine="482"/>
        <w:rPr>
          <w:rFonts w:hint="eastAsia" w:ascii="宋体" w:hAnsi="宋体"/>
          <w:sz w:val="24"/>
          <w:szCs w:val="24"/>
        </w:rPr>
      </w:pPr>
      <w:r>
        <w:rPr>
          <w:rFonts w:hint="eastAsia" w:ascii="宋体" w:hAnsi="宋体"/>
          <w:sz w:val="24"/>
          <w:szCs w:val="24"/>
        </w:rPr>
        <w:t xml:space="preserve">项目编号：                                   </w:t>
      </w:r>
    </w:p>
    <w:p w14:paraId="3DB3F84E">
      <w:pPr>
        <w:spacing w:line="0" w:lineRule="atLeast"/>
        <w:ind w:firstLine="482"/>
        <w:rPr>
          <w:rFonts w:hint="eastAsia" w:ascii="宋体" w:hAnsi="宋体"/>
          <w:sz w:val="24"/>
          <w:szCs w:val="24"/>
        </w:rPr>
      </w:pPr>
      <w:r>
        <w:rPr>
          <w:rFonts w:hint="eastAsia" w:ascii="宋体" w:hAnsi="宋体"/>
          <w:sz w:val="24"/>
          <w:szCs w:val="24"/>
        </w:rPr>
        <w:t>采购包号：</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5BF86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vAlign w:val="center"/>
          </w:tcPr>
          <w:p w14:paraId="7EDC5504">
            <w:pPr>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投标总报价</w:t>
            </w:r>
          </w:p>
        </w:tc>
      </w:tr>
      <w:tr w14:paraId="0A97DB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vAlign w:val="center"/>
          </w:tcPr>
          <w:p w14:paraId="33B48EB7">
            <w:pPr>
              <w:pStyle w:val="279"/>
              <w:spacing w:before="0" w:after="0" w:line="500" w:lineRule="exact"/>
              <w:ind w:firstLine="0"/>
              <w:rPr>
                <w:rFonts w:hint="eastAsia" w:ascii="宋体" w:hAnsi="宋体"/>
              </w:rPr>
            </w:pPr>
            <w:r>
              <w:rPr>
                <w:rFonts w:hint="eastAsia" w:ascii="宋体" w:hAnsi="宋体" w:cs="宋体"/>
              </w:rPr>
              <w:t>小写：                             （人民币：元）</w:t>
            </w:r>
          </w:p>
        </w:tc>
      </w:tr>
    </w:tbl>
    <w:p w14:paraId="6CEF73FA">
      <w:pPr>
        <w:widowControl/>
        <w:adjustRightInd/>
        <w:snapToGrid/>
        <w:spacing w:line="360" w:lineRule="auto"/>
        <w:ind w:firstLine="0" w:firstLineChars="0"/>
        <w:jc w:val="left"/>
        <w:rPr>
          <w:rFonts w:hint="eastAsia" w:ascii="宋体" w:hAnsi="宋体" w:cs="宋体"/>
          <w:b/>
          <w:bCs/>
          <w:sz w:val="24"/>
          <w:szCs w:val="24"/>
        </w:rPr>
      </w:pPr>
      <w:r>
        <w:rPr>
          <w:rFonts w:hint="eastAsia" w:ascii="宋体" w:hAnsi="宋体" w:cs="宋体"/>
          <w:b/>
          <w:bCs/>
          <w:sz w:val="24"/>
          <w:szCs w:val="24"/>
        </w:rPr>
        <w:t>注：供应商的投标响应报价应遵守“中华人民共和国价格法”。该报价为到采购人指定地点的全部费用，含相关税费，运输费，保险费，安装费，及相关服务费等一切可能发生的费用。如投标产品为进口产品，投标响应报价可报进口免税价（如最终未免税，税款由供应商承担）。进口免税价须包含在采购人指定地点交货的，包含安装、调试、培训和检测等的全部费用。进口代理公司由采购人指定。</w:t>
      </w:r>
    </w:p>
    <w:p w14:paraId="6FEE56D5">
      <w:pPr>
        <w:widowControl/>
        <w:adjustRightInd/>
        <w:snapToGrid/>
        <w:spacing w:line="360" w:lineRule="auto"/>
        <w:ind w:firstLine="0" w:firstLineChars="0"/>
        <w:jc w:val="left"/>
        <w:rPr>
          <w:rFonts w:hint="eastAsia" w:ascii="宋体" w:hAnsi="宋体" w:cs="宋体"/>
          <w:b/>
          <w:bCs/>
          <w:sz w:val="24"/>
          <w:szCs w:val="24"/>
        </w:rPr>
      </w:pPr>
      <w:r>
        <w:rPr>
          <w:rFonts w:hint="eastAsia" w:ascii="宋体" w:hAnsi="宋体" w:cs="宋体"/>
          <w:b/>
          <w:bCs/>
          <w:sz w:val="24"/>
          <w:szCs w:val="24"/>
        </w:rPr>
        <w:t>评标价不得超出预算。超预算的评标价视为实质性偏离，作无效投标处理。</w:t>
      </w:r>
    </w:p>
    <w:p w14:paraId="78DBD7E4">
      <w:pPr>
        <w:widowControl/>
        <w:adjustRightInd/>
        <w:snapToGrid/>
        <w:spacing w:line="360" w:lineRule="auto"/>
        <w:ind w:firstLine="0" w:firstLineChars="0"/>
        <w:jc w:val="left"/>
        <w:rPr>
          <w:rFonts w:hint="eastAsia" w:ascii="宋体" w:hAnsi="宋体" w:cs="宋体"/>
          <w:b/>
          <w:bCs/>
          <w:sz w:val="24"/>
          <w:szCs w:val="24"/>
          <w:lang w:val="zh-CN"/>
        </w:rPr>
      </w:pPr>
      <w:r>
        <w:rPr>
          <w:rFonts w:hint="eastAsia" w:ascii="宋体" w:hAnsi="宋体" w:cs="宋体"/>
          <w:b/>
          <w:bCs/>
          <w:sz w:val="24"/>
          <w:szCs w:val="24"/>
        </w:rPr>
        <w:t>注：供应商报价为最终报价，如因国家政策调整，增加的税费由供应商自行承担。</w:t>
      </w:r>
    </w:p>
    <w:p w14:paraId="7096C2AA">
      <w:pPr>
        <w:ind w:firstLine="480"/>
        <w:rPr>
          <w:rFonts w:hint="eastAsia" w:ascii="宋体" w:hAnsi="宋体"/>
          <w:sz w:val="24"/>
          <w:szCs w:val="24"/>
        </w:rPr>
      </w:pPr>
    </w:p>
    <w:p w14:paraId="2B74878C">
      <w:pPr>
        <w:jc w:val="center"/>
        <w:rPr>
          <w:rFonts w:hint="eastAsia" w:ascii="宋体" w:hAnsi="宋体"/>
          <w:b/>
          <w:sz w:val="24"/>
          <w:szCs w:val="24"/>
        </w:rPr>
      </w:pPr>
    </w:p>
    <w:p w14:paraId="30C8BE19">
      <w:pPr>
        <w:jc w:val="left"/>
        <w:rPr>
          <w:rFonts w:hint="eastAsia" w:ascii="宋体" w:hAnsi="宋体"/>
          <w:b/>
          <w:sz w:val="24"/>
          <w:szCs w:val="24"/>
        </w:rPr>
      </w:pPr>
      <w:r>
        <w:rPr>
          <w:rFonts w:hint="eastAsia" w:ascii="宋体" w:hAnsi="宋体"/>
          <w:b/>
          <w:sz w:val="24"/>
          <w:szCs w:val="24"/>
        </w:rPr>
        <w:br w:type="page"/>
      </w:r>
    </w:p>
    <w:p w14:paraId="44AB11E3">
      <w:pPr>
        <w:rPr>
          <w:rFonts w:hint="eastAsia" w:ascii="宋体" w:hAnsi="宋体"/>
          <w:b/>
          <w:sz w:val="24"/>
          <w:szCs w:val="24"/>
        </w:rPr>
      </w:pPr>
      <w:r>
        <w:rPr>
          <w:rFonts w:hint="eastAsia" w:ascii="宋体" w:hAnsi="宋体"/>
          <w:b/>
          <w:sz w:val="24"/>
          <w:szCs w:val="24"/>
        </w:rPr>
        <w:t>附件2 投标分项报价表（采购包号：★★）</w:t>
      </w:r>
    </w:p>
    <w:tbl>
      <w:tblPr>
        <w:tblStyle w:val="39"/>
        <w:tblW w:w="101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6"/>
        <w:gridCol w:w="1008"/>
        <w:gridCol w:w="1246"/>
        <w:gridCol w:w="1267"/>
        <w:gridCol w:w="1001"/>
        <w:gridCol w:w="1483"/>
        <w:gridCol w:w="1778"/>
        <w:gridCol w:w="1778"/>
      </w:tblGrid>
      <w:tr w14:paraId="62E453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56" w:type="dxa"/>
            <w:vMerge w:val="restart"/>
            <w:vAlign w:val="center"/>
          </w:tcPr>
          <w:p w14:paraId="08B3FFBF">
            <w:pPr>
              <w:spacing w:line="0" w:lineRule="atLeast"/>
              <w:jc w:val="center"/>
              <w:rPr>
                <w:rFonts w:hint="eastAsia" w:ascii="宋体" w:hAnsi="宋体"/>
                <w:sz w:val="24"/>
                <w:szCs w:val="24"/>
              </w:rPr>
            </w:pPr>
            <w:r>
              <w:rPr>
                <w:rFonts w:hint="eastAsia" w:ascii="宋体" w:hAnsi="宋体"/>
                <w:sz w:val="24"/>
                <w:szCs w:val="24"/>
              </w:rPr>
              <w:t>序号</w:t>
            </w:r>
          </w:p>
        </w:tc>
        <w:tc>
          <w:tcPr>
            <w:tcW w:w="1008" w:type="dxa"/>
            <w:vAlign w:val="center"/>
          </w:tcPr>
          <w:p w14:paraId="23C2D5E8">
            <w:pPr>
              <w:spacing w:line="0" w:lineRule="atLeast"/>
              <w:jc w:val="center"/>
              <w:rPr>
                <w:rFonts w:hint="eastAsia" w:ascii="宋体" w:hAnsi="宋体"/>
                <w:sz w:val="24"/>
                <w:szCs w:val="24"/>
              </w:rPr>
            </w:pPr>
            <w:r>
              <w:rPr>
                <w:rFonts w:hint="eastAsia" w:ascii="宋体" w:hAnsi="宋体"/>
                <w:sz w:val="24"/>
                <w:szCs w:val="24"/>
              </w:rPr>
              <w:t>1</w:t>
            </w:r>
          </w:p>
        </w:tc>
        <w:tc>
          <w:tcPr>
            <w:tcW w:w="1246" w:type="dxa"/>
            <w:vAlign w:val="center"/>
          </w:tcPr>
          <w:p w14:paraId="5EA008F4">
            <w:pPr>
              <w:spacing w:line="0" w:lineRule="atLeast"/>
              <w:jc w:val="center"/>
              <w:rPr>
                <w:rFonts w:hint="eastAsia" w:ascii="宋体" w:hAnsi="宋体"/>
                <w:sz w:val="24"/>
                <w:szCs w:val="24"/>
              </w:rPr>
            </w:pPr>
            <w:r>
              <w:rPr>
                <w:rFonts w:hint="eastAsia" w:ascii="宋体" w:hAnsi="宋体"/>
                <w:sz w:val="24"/>
                <w:szCs w:val="24"/>
              </w:rPr>
              <w:t>2</w:t>
            </w:r>
          </w:p>
        </w:tc>
        <w:tc>
          <w:tcPr>
            <w:tcW w:w="1267" w:type="dxa"/>
            <w:vAlign w:val="center"/>
          </w:tcPr>
          <w:p w14:paraId="3D57A33C">
            <w:pPr>
              <w:spacing w:line="0" w:lineRule="atLeast"/>
              <w:jc w:val="center"/>
              <w:rPr>
                <w:rFonts w:hint="eastAsia" w:ascii="宋体" w:hAnsi="宋体"/>
                <w:sz w:val="24"/>
                <w:szCs w:val="24"/>
              </w:rPr>
            </w:pPr>
            <w:r>
              <w:rPr>
                <w:rFonts w:hint="eastAsia" w:ascii="宋体" w:hAnsi="宋体"/>
                <w:sz w:val="24"/>
                <w:szCs w:val="24"/>
              </w:rPr>
              <w:t>3</w:t>
            </w:r>
          </w:p>
        </w:tc>
        <w:tc>
          <w:tcPr>
            <w:tcW w:w="1001" w:type="dxa"/>
            <w:vAlign w:val="center"/>
          </w:tcPr>
          <w:p w14:paraId="79AF3870">
            <w:pPr>
              <w:spacing w:line="0" w:lineRule="atLeast"/>
              <w:jc w:val="center"/>
              <w:rPr>
                <w:rFonts w:hint="eastAsia" w:ascii="宋体" w:hAnsi="宋体"/>
                <w:sz w:val="24"/>
                <w:szCs w:val="24"/>
              </w:rPr>
            </w:pPr>
            <w:r>
              <w:rPr>
                <w:rFonts w:hint="eastAsia" w:ascii="宋体" w:hAnsi="宋体"/>
                <w:sz w:val="24"/>
                <w:szCs w:val="24"/>
                <w:lang w:val="en-US" w:eastAsia="zh-CN"/>
              </w:rPr>
              <w:t>4</w:t>
            </w:r>
          </w:p>
        </w:tc>
        <w:tc>
          <w:tcPr>
            <w:tcW w:w="1483" w:type="dxa"/>
            <w:vAlign w:val="center"/>
          </w:tcPr>
          <w:p w14:paraId="384728DB">
            <w:pPr>
              <w:spacing w:line="0" w:lineRule="atLeast"/>
              <w:jc w:val="center"/>
              <w:rPr>
                <w:rFonts w:hint="eastAsia" w:ascii="宋体" w:hAnsi="宋体"/>
                <w:sz w:val="24"/>
                <w:szCs w:val="24"/>
              </w:rPr>
            </w:pPr>
            <w:r>
              <w:rPr>
                <w:rFonts w:hint="eastAsia" w:ascii="宋体" w:hAnsi="宋体"/>
                <w:sz w:val="24"/>
                <w:szCs w:val="24"/>
                <w:lang w:val="en-US" w:eastAsia="zh-CN"/>
              </w:rPr>
              <w:t>5</w:t>
            </w:r>
          </w:p>
        </w:tc>
        <w:tc>
          <w:tcPr>
            <w:tcW w:w="1778" w:type="dxa"/>
            <w:vAlign w:val="center"/>
          </w:tcPr>
          <w:p w14:paraId="1E05C12B">
            <w:pPr>
              <w:spacing w:line="0" w:lineRule="atLeast"/>
              <w:jc w:val="center"/>
              <w:rPr>
                <w:rFonts w:hint="eastAsia" w:ascii="宋体" w:hAnsi="宋体"/>
                <w:sz w:val="24"/>
                <w:szCs w:val="24"/>
              </w:rPr>
            </w:pPr>
            <w:r>
              <w:rPr>
                <w:rFonts w:hint="eastAsia" w:ascii="宋体" w:hAnsi="宋体"/>
                <w:sz w:val="24"/>
                <w:szCs w:val="24"/>
                <w:lang w:val="en-US" w:eastAsia="zh-CN"/>
              </w:rPr>
              <w:t>6</w:t>
            </w:r>
          </w:p>
        </w:tc>
        <w:tc>
          <w:tcPr>
            <w:tcW w:w="1778" w:type="dxa"/>
            <w:vAlign w:val="center"/>
          </w:tcPr>
          <w:p w14:paraId="125C620C">
            <w:pPr>
              <w:spacing w:line="0" w:lineRule="atLeast"/>
              <w:jc w:val="center"/>
              <w:rPr>
                <w:rFonts w:hint="eastAsia" w:ascii="宋体" w:hAnsi="宋体"/>
                <w:sz w:val="24"/>
                <w:szCs w:val="24"/>
              </w:rPr>
            </w:pPr>
            <w:r>
              <w:rPr>
                <w:rFonts w:hint="eastAsia" w:ascii="宋体" w:hAnsi="宋体"/>
                <w:sz w:val="24"/>
                <w:szCs w:val="24"/>
                <w:lang w:val="en-US" w:eastAsia="zh-CN"/>
              </w:rPr>
              <w:t>7</w:t>
            </w:r>
          </w:p>
        </w:tc>
      </w:tr>
      <w:tr w14:paraId="7AF46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4" w:hRule="atLeast"/>
        </w:trPr>
        <w:tc>
          <w:tcPr>
            <w:tcW w:w="556" w:type="dxa"/>
            <w:vMerge w:val="continue"/>
            <w:vAlign w:val="center"/>
          </w:tcPr>
          <w:p w14:paraId="00474F96">
            <w:pPr>
              <w:spacing w:line="0" w:lineRule="atLeast"/>
              <w:jc w:val="center"/>
              <w:rPr>
                <w:rFonts w:hint="eastAsia" w:ascii="宋体" w:hAnsi="宋体"/>
                <w:sz w:val="24"/>
                <w:szCs w:val="24"/>
              </w:rPr>
            </w:pPr>
          </w:p>
        </w:tc>
        <w:tc>
          <w:tcPr>
            <w:tcW w:w="1008" w:type="dxa"/>
            <w:vAlign w:val="center"/>
          </w:tcPr>
          <w:p w14:paraId="26216600">
            <w:pPr>
              <w:spacing w:line="0" w:lineRule="atLeast"/>
              <w:jc w:val="center"/>
              <w:rPr>
                <w:rFonts w:hint="eastAsia" w:ascii="宋体" w:hAnsi="宋体"/>
                <w:sz w:val="24"/>
                <w:szCs w:val="24"/>
              </w:rPr>
            </w:pPr>
            <w:r>
              <w:rPr>
                <w:rFonts w:hint="eastAsia" w:ascii="宋体" w:hAnsi="宋体"/>
                <w:sz w:val="24"/>
                <w:szCs w:val="24"/>
              </w:rPr>
              <w:t>分项服务名称</w:t>
            </w:r>
          </w:p>
        </w:tc>
        <w:tc>
          <w:tcPr>
            <w:tcW w:w="1246" w:type="dxa"/>
            <w:vAlign w:val="center"/>
          </w:tcPr>
          <w:p w14:paraId="35B2952F">
            <w:pPr>
              <w:spacing w:line="0" w:lineRule="atLeast"/>
              <w:jc w:val="center"/>
              <w:rPr>
                <w:rFonts w:hint="eastAsia" w:ascii="宋体" w:hAnsi="宋体"/>
                <w:sz w:val="24"/>
                <w:szCs w:val="24"/>
              </w:rPr>
            </w:pPr>
            <w:r>
              <w:rPr>
                <w:rFonts w:hint="eastAsia" w:ascii="宋体" w:hAnsi="宋体"/>
                <w:color w:val="auto"/>
                <w:sz w:val="24"/>
                <w:szCs w:val="24"/>
              </w:rPr>
              <w:t>品牌</w:t>
            </w:r>
          </w:p>
        </w:tc>
        <w:tc>
          <w:tcPr>
            <w:tcW w:w="1267" w:type="dxa"/>
            <w:vAlign w:val="center"/>
          </w:tcPr>
          <w:p w14:paraId="17D24A83">
            <w:pPr>
              <w:spacing w:line="0" w:lineRule="atLeast"/>
              <w:jc w:val="center"/>
              <w:rPr>
                <w:rFonts w:hint="eastAsia" w:ascii="宋体" w:hAnsi="宋体"/>
                <w:sz w:val="24"/>
                <w:szCs w:val="24"/>
              </w:rPr>
            </w:pPr>
            <w:r>
              <w:rPr>
                <w:rFonts w:hint="eastAsia" w:ascii="宋体" w:hAnsi="宋体"/>
                <w:color w:val="auto"/>
                <w:sz w:val="24"/>
                <w:szCs w:val="24"/>
              </w:rPr>
              <w:t>规格或型号</w:t>
            </w:r>
          </w:p>
        </w:tc>
        <w:tc>
          <w:tcPr>
            <w:tcW w:w="1001" w:type="dxa"/>
            <w:vAlign w:val="center"/>
          </w:tcPr>
          <w:p w14:paraId="0E8419A9">
            <w:pPr>
              <w:spacing w:line="0" w:lineRule="atLeast"/>
              <w:jc w:val="center"/>
              <w:rPr>
                <w:rFonts w:hint="eastAsia" w:ascii="宋体" w:hAnsi="宋体"/>
                <w:color w:val="auto"/>
                <w:sz w:val="24"/>
                <w:szCs w:val="24"/>
              </w:rPr>
            </w:pPr>
            <w:r>
              <w:rPr>
                <w:rFonts w:hint="eastAsia" w:ascii="宋体" w:hAnsi="宋体"/>
                <w:color w:val="auto"/>
                <w:sz w:val="24"/>
                <w:szCs w:val="24"/>
              </w:rPr>
              <w:t>原产地和</w:t>
            </w:r>
          </w:p>
          <w:p w14:paraId="37B8F241">
            <w:pPr>
              <w:spacing w:line="0" w:lineRule="atLeast"/>
              <w:jc w:val="center"/>
              <w:rPr>
                <w:rFonts w:hint="eastAsia" w:ascii="宋体" w:hAnsi="宋体"/>
                <w:sz w:val="24"/>
                <w:szCs w:val="24"/>
              </w:rPr>
            </w:pPr>
            <w:r>
              <w:rPr>
                <w:rFonts w:hint="eastAsia" w:ascii="宋体" w:hAnsi="宋体"/>
                <w:color w:val="auto"/>
                <w:sz w:val="24"/>
                <w:szCs w:val="24"/>
              </w:rPr>
              <w:t>制造商名称</w:t>
            </w:r>
          </w:p>
        </w:tc>
        <w:tc>
          <w:tcPr>
            <w:tcW w:w="1483" w:type="dxa"/>
            <w:vAlign w:val="center"/>
          </w:tcPr>
          <w:p w14:paraId="49E293D7">
            <w:pPr>
              <w:spacing w:line="0" w:lineRule="atLeast"/>
              <w:jc w:val="center"/>
              <w:rPr>
                <w:rFonts w:hint="eastAsia" w:ascii="宋体" w:hAnsi="宋体"/>
                <w:sz w:val="24"/>
                <w:szCs w:val="24"/>
              </w:rPr>
            </w:pPr>
            <w:r>
              <w:rPr>
                <w:rFonts w:hint="eastAsia" w:ascii="宋体" w:hAnsi="宋体"/>
                <w:sz w:val="24"/>
                <w:szCs w:val="24"/>
              </w:rPr>
              <w:t>数量</w:t>
            </w:r>
          </w:p>
        </w:tc>
        <w:tc>
          <w:tcPr>
            <w:tcW w:w="1778" w:type="dxa"/>
            <w:vAlign w:val="center"/>
          </w:tcPr>
          <w:p w14:paraId="20D7DFFC">
            <w:pPr>
              <w:spacing w:line="0" w:lineRule="atLeast"/>
              <w:jc w:val="center"/>
              <w:rPr>
                <w:rFonts w:hint="eastAsia" w:ascii="宋体" w:hAnsi="宋体"/>
                <w:sz w:val="24"/>
                <w:szCs w:val="24"/>
              </w:rPr>
            </w:pPr>
            <w:r>
              <w:rPr>
                <w:rFonts w:hint="eastAsia" w:ascii="宋体" w:hAnsi="宋体"/>
                <w:color w:val="auto"/>
                <w:sz w:val="24"/>
                <w:szCs w:val="24"/>
              </w:rPr>
              <w:t>单项金额</w:t>
            </w:r>
            <w:r>
              <w:rPr>
                <w:rFonts w:hint="eastAsia" w:ascii="宋体" w:hAnsi="宋体"/>
                <w:color w:val="auto"/>
                <w:sz w:val="24"/>
                <w:szCs w:val="24"/>
                <w:lang w:val="en-US" w:eastAsia="zh-CN"/>
              </w:rPr>
              <w:t>(元)</w:t>
            </w:r>
          </w:p>
        </w:tc>
        <w:tc>
          <w:tcPr>
            <w:tcW w:w="1778" w:type="dxa"/>
            <w:vAlign w:val="center"/>
          </w:tcPr>
          <w:p w14:paraId="493526B8">
            <w:pPr>
              <w:spacing w:line="0" w:lineRule="atLeast"/>
              <w:jc w:val="center"/>
              <w:rPr>
                <w:rFonts w:hint="eastAsia" w:ascii="宋体" w:hAnsi="宋体"/>
                <w:sz w:val="24"/>
                <w:szCs w:val="24"/>
              </w:rPr>
            </w:pPr>
            <w:r>
              <w:rPr>
                <w:rFonts w:hint="eastAsia" w:ascii="宋体" w:hAnsi="宋体"/>
                <w:color w:val="auto"/>
                <w:sz w:val="24"/>
                <w:szCs w:val="24"/>
                <w:lang w:val="en-US" w:eastAsia="zh-CN"/>
              </w:rPr>
              <w:t>总价</w:t>
            </w:r>
            <w:r>
              <w:rPr>
                <w:rFonts w:hint="eastAsia" w:ascii="宋体" w:hAnsi="宋体"/>
                <w:color w:val="auto"/>
                <w:sz w:val="24"/>
                <w:szCs w:val="24"/>
              </w:rPr>
              <w:t>金额</w:t>
            </w:r>
            <w:r>
              <w:rPr>
                <w:rFonts w:hint="eastAsia" w:ascii="宋体" w:hAnsi="宋体"/>
                <w:color w:val="auto"/>
                <w:sz w:val="24"/>
                <w:szCs w:val="24"/>
                <w:lang w:val="en-US" w:eastAsia="zh-CN"/>
              </w:rPr>
              <w:t>(元)</w:t>
            </w:r>
          </w:p>
        </w:tc>
      </w:tr>
      <w:tr w14:paraId="3F2919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26F87737">
            <w:pPr>
              <w:spacing w:line="360" w:lineRule="auto"/>
              <w:rPr>
                <w:rFonts w:hint="eastAsia" w:ascii="宋体" w:hAnsi="宋体"/>
                <w:sz w:val="24"/>
                <w:szCs w:val="24"/>
              </w:rPr>
            </w:pPr>
            <w:r>
              <w:rPr>
                <w:rFonts w:hint="eastAsia" w:ascii="宋体" w:hAnsi="宋体" w:eastAsia="宋体"/>
                <w:color w:val="000000"/>
                <w:sz w:val="24"/>
                <w:szCs w:val="24"/>
              </w:rPr>
              <w:t>1</w:t>
            </w:r>
          </w:p>
        </w:tc>
        <w:tc>
          <w:tcPr>
            <w:tcW w:w="1008" w:type="dxa"/>
            <w:vAlign w:val="top"/>
          </w:tcPr>
          <w:p w14:paraId="6CA9BDF6">
            <w:pPr>
              <w:spacing w:line="360" w:lineRule="auto"/>
              <w:rPr>
                <w:rFonts w:hint="eastAsia" w:ascii="宋体" w:hAnsi="宋体"/>
                <w:sz w:val="24"/>
                <w:szCs w:val="24"/>
              </w:rPr>
            </w:pPr>
            <w:r>
              <w:rPr>
                <w:rFonts w:hint="eastAsia" w:ascii="宋体" w:hAnsi="宋体" w:cs="宋体"/>
                <w:color w:val="000000"/>
                <w:sz w:val="24"/>
                <w:szCs w:val="24"/>
              </w:rPr>
              <w:t>生物学X射线辐照仪主机</w:t>
            </w:r>
          </w:p>
        </w:tc>
        <w:tc>
          <w:tcPr>
            <w:tcW w:w="1246" w:type="dxa"/>
            <w:vAlign w:val="center"/>
          </w:tcPr>
          <w:p w14:paraId="63234ED2">
            <w:pPr>
              <w:spacing w:line="0" w:lineRule="atLeast"/>
              <w:jc w:val="center"/>
              <w:rPr>
                <w:rFonts w:hint="eastAsia" w:ascii="宋体" w:hAnsi="宋体"/>
                <w:sz w:val="24"/>
                <w:szCs w:val="24"/>
                <w:u w:val="single"/>
              </w:rPr>
            </w:pPr>
          </w:p>
        </w:tc>
        <w:tc>
          <w:tcPr>
            <w:tcW w:w="1267" w:type="dxa"/>
            <w:vAlign w:val="center"/>
          </w:tcPr>
          <w:p w14:paraId="0701B452">
            <w:pPr>
              <w:spacing w:line="0" w:lineRule="atLeast"/>
              <w:jc w:val="center"/>
              <w:rPr>
                <w:rFonts w:hint="eastAsia" w:ascii="宋体" w:hAnsi="宋体"/>
                <w:sz w:val="24"/>
                <w:szCs w:val="24"/>
              </w:rPr>
            </w:pPr>
          </w:p>
        </w:tc>
        <w:tc>
          <w:tcPr>
            <w:tcW w:w="1001" w:type="dxa"/>
            <w:vAlign w:val="center"/>
          </w:tcPr>
          <w:p w14:paraId="5D1D58D4">
            <w:pPr>
              <w:spacing w:line="0" w:lineRule="atLeast"/>
              <w:jc w:val="center"/>
              <w:rPr>
                <w:rFonts w:hint="eastAsia" w:ascii="宋体" w:hAnsi="宋体"/>
                <w:sz w:val="24"/>
                <w:szCs w:val="24"/>
              </w:rPr>
            </w:pPr>
          </w:p>
        </w:tc>
        <w:tc>
          <w:tcPr>
            <w:tcW w:w="1483" w:type="dxa"/>
            <w:vAlign w:val="top"/>
          </w:tcPr>
          <w:p w14:paraId="35A52054">
            <w:pPr>
              <w:spacing w:line="360" w:lineRule="auto"/>
              <w:jc w:val="center"/>
              <w:rPr>
                <w:rFonts w:hint="eastAsia" w:ascii="宋体" w:hAnsi="宋体"/>
                <w:sz w:val="24"/>
                <w:szCs w:val="24"/>
              </w:rPr>
            </w:pPr>
            <w:r>
              <w:rPr>
                <w:rFonts w:ascii="宋体" w:hAnsi="宋体" w:eastAsia="宋体" w:cs="宋体"/>
                <w:color w:val="000000"/>
                <w:sz w:val="24"/>
                <w:szCs w:val="24"/>
              </w:rPr>
              <w:t>1台</w:t>
            </w:r>
          </w:p>
        </w:tc>
        <w:tc>
          <w:tcPr>
            <w:tcW w:w="1778" w:type="dxa"/>
            <w:vAlign w:val="center"/>
          </w:tcPr>
          <w:p w14:paraId="3B6595E0">
            <w:pPr>
              <w:spacing w:line="0" w:lineRule="atLeast"/>
              <w:jc w:val="center"/>
              <w:rPr>
                <w:rFonts w:hint="eastAsia" w:ascii="宋体" w:hAnsi="宋体"/>
                <w:sz w:val="24"/>
                <w:szCs w:val="24"/>
              </w:rPr>
            </w:pPr>
          </w:p>
        </w:tc>
        <w:tc>
          <w:tcPr>
            <w:tcW w:w="1778" w:type="dxa"/>
            <w:vAlign w:val="center"/>
          </w:tcPr>
          <w:p w14:paraId="39EF56EC">
            <w:pPr>
              <w:spacing w:line="0" w:lineRule="atLeast"/>
              <w:jc w:val="center"/>
              <w:rPr>
                <w:rFonts w:hint="eastAsia" w:ascii="宋体" w:hAnsi="宋体"/>
                <w:sz w:val="24"/>
                <w:szCs w:val="24"/>
              </w:rPr>
            </w:pPr>
          </w:p>
        </w:tc>
      </w:tr>
      <w:tr w14:paraId="61A391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0389F6D1">
            <w:pPr>
              <w:spacing w:line="360" w:lineRule="auto"/>
              <w:rPr>
                <w:rFonts w:hint="eastAsia" w:ascii="宋体" w:hAnsi="宋体"/>
                <w:sz w:val="24"/>
                <w:szCs w:val="24"/>
              </w:rPr>
            </w:pPr>
            <w:r>
              <w:rPr>
                <w:rFonts w:hint="eastAsia" w:ascii="宋体" w:hAnsi="宋体" w:eastAsia="宋体"/>
                <w:color w:val="000000"/>
                <w:sz w:val="24"/>
                <w:szCs w:val="24"/>
              </w:rPr>
              <w:t>2</w:t>
            </w:r>
          </w:p>
        </w:tc>
        <w:tc>
          <w:tcPr>
            <w:tcW w:w="1008" w:type="dxa"/>
            <w:vAlign w:val="top"/>
          </w:tcPr>
          <w:p w14:paraId="7777C8B1">
            <w:pPr>
              <w:spacing w:line="360" w:lineRule="auto"/>
              <w:rPr>
                <w:rFonts w:hint="eastAsia" w:ascii="宋体" w:hAnsi="宋体"/>
                <w:sz w:val="24"/>
                <w:szCs w:val="24"/>
              </w:rPr>
            </w:pPr>
            <w:r>
              <w:rPr>
                <w:rFonts w:hint="eastAsia" w:ascii="宋体" w:hAnsi="宋体" w:cs="宋体"/>
                <w:color w:val="000000"/>
                <w:sz w:val="24"/>
                <w:szCs w:val="24"/>
              </w:rPr>
              <w:t>三级冷却系统</w:t>
            </w:r>
          </w:p>
        </w:tc>
        <w:tc>
          <w:tcPr>
            <w:tcW w:w="1246" w:type="dxa"/>
            <w:vAlign w:val="center"/>
          </w:tcPr>
          <w:p w14:paraId="1591AF6D">
            <w:pPr>
              <w:spacing w:line="0" w:lineRule="atLeast"/>
              <w:jc w:val="center"/>
              <w:rPr>
                <w:rFonts w:hint="eastAsia" w:ascii="宋体" w:hAnsi="宋体"/>
                <w:sz w:val="24"/>
                <w:szCs w:val="24"/>
              </w:rPr>
            </w:pPr>
          </w:p>
        </w:tc>
        <w:tc>
          <w:tcPr>
            <w:tcW w:w="1267" w:type="dxa"/>
            <w:vAlign w:val="center"/>
          </w:tcPr>
          <w:p w14:paraId="2F4A6EF7">
            <w:pPr>
              <w:spacing w:line="0" w:lineRule="atLeast"/>
              <w:jc w:val="center"/>
              <w:rPr>
                <w:rFonts w:hint="eastAsia" w:ascii="宋体" w:hAnsi="宋体"/>
                <w:sz w:val="24"/>
                <w:szCs w:val="24"/>
              </w:rPr>
            </w:pPr>
          </w:p>
        </w:tc>
        <w:tc>
          <w:tcPr>
            <w:tcW w:w="1001" w:type="dxa"/>
            <w:vAlign w:val="center"/>
          </w:tcPr>
          <w:p w14:paraId="2B7F579E">
            <w:pPr>
              <w:spacing w:line="0" w:lineRule="atLeast"/>
              <w:jc w:val="center"/>
              <w:rPr>
                <w:rFonts w:hint="eastAsia" w:ascii="宋体" w:hAnsi="宋体"/>
                <w:sz w:val="24"/>
                <w:szCs w:val="24"/>
              </w:rPr>
            </w:pPr>
          </w:p>
        </w:tc>
        <w:tc>
          <w:tcPr>
            <w:tcW w:w="1483" w:type="dxa"/>
            <w:vAlign w:val="top"/>
          </w:tcPr>
          <w:p w14:paraId="7E4B3C4C">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003DA4E9">
            <w:pPr>
              <w:spacing w:line="0" w:lineRule="atLeast"/>
              <w:jc w:val="center"/>
              <w:rPr>
                <w:rFonts w:hint="eastAsia" w:ascii="宋体" w:hAnsi="宋体"/>
                <w:sz w:val="24"/>
                <w:szCs w:val="24"/>
              </w:rPr>
            </w:pPr>
          </w:p>
        </w:tc>
        <w:tc>
          <w:tcPr>
            <w:tcW w:w="1778" w:type="dxa"/>
            <w:vAlign w:val="center"/>
          </w:tcPr>
          <w:p w14:paraId="7EB16D28">
            <w:pPr>
              <w:spacing w:line="0" w:lineRule="atLeast"/>
              <w:jc w:val="center"/>
              <w:rPr>
                <w:rFonts w:hint="eastAsia" w:ascii="宋体" w:hAnsi="宋体"/>
                <w:sz w:val="24"/>
                <w:szCs w:val="24"/>
              </w:rPr>
            </w:pPr>
          </w:p>
        </w:tc>
      </w:tr>
      <w:tr w14:paraId="4BE72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115F598F">
            <w:pPr>
              <w:spacing w:line="360" w:lineRule="auto"/>
              <w:rPr>
                <w:rFonts w:hint="eastAsia" w:ascii="宋体" w:hAnsi="宋体"/>
                <w:sz w:val="24"/>
                <w:szCs w:val="24"/>
              </w:rPr>
            </w:pPr>
            <w:r>
              <w:rPr>
                <w:rFonts w:hint="eastAsia" w:ascii="宋体" w:hAnsi="宋体" w:eastAsia="宋体"/>
                <w:color w:val="000000"/>
                <w:sz w:val="24"/>
                <w:szCs w:val="24"/>
              </w:rPr>
              <w:t>3</w:t>
            </w:r>
          </w:p>
        </w:tc>
        <w:tc>
          <w:tcPr>
            <w:tcW w:w="1008" w:type="dxa"/>
            <w:vAlign w:val="top"/>
          </w:tcPr>
          <w:p w14:paraId="5642487D">
            <w:pPr>
              <w:spacing w:line="360" w:lineRule="auto"/>
              <w:rPr>
                <w:rFonts w:hint="eastAsia" w:ascii="宋体" w:hAnsi="宋体"/>
                <w:sz w:val="24"/>
                <w:szCs w:val="24"/>
              </w:rPr>
            </w:pPr>
            <w:r>
              <w:rPr>
                <w:rFonts w:hint="eastAsia" w:ascii="宋体" w:hAnsi="宋体" w:cs="宋体"/>
                <w:color w:val="000000"/>
                <w:sz w:val="24"/>
                <w:szCs w:val="24"/>
              </w:rPr>
              <w:t>碳化硼材质均一性反射装置（矩形）</w:t>
            </w:r>
          </w:p>
        </w:tc>
        <w:tc>
          <w:tcPr>
            <w:tcW w:w="1246" w:type="dxa"/>
            <w:vAlign w:val="center"/>
          </w:tcPr>
          <w:p w14:paraId="4482AB72">
            <w:pPr>
              <w:spacing w:line="0" w:lineRule="atLeast"/>
              <w:jc w:val="center"/>
              <w:rPr>
                <w:rFonts w:hint="eastAsia" w:ascii="宋体" w:hAnsi="宋体"/>
                <w:sz w:val="24"/>
                <w:szCs w:val="24"/>
              </w:rPr>
            </w:pPr>
          </w:p>
        </w:tc>
        <w:tc>
          <w:tcPr>
            <w:tcW w:w="1267" w:type="dxa"/>
            <w:vAlign w:val="center"/>
          </w:tcPr>
          <w:p w14:paraId="6B160C44">
            <w:pPr>
              <w:spacing w:line="0" w:lineRule="atLeast"/>
              <w:jc w:val="center"/>
              <w:rPr>
                <w:rFonts w:hint="eastAsia" w:ascii="宋体" w:hAnsi="宋体"/>
                <w:sz w:val="24"/>
                <w:szCs w:val="24"/>
              </w:rPr>
            </w:pPr>
          </w:p>
        </w:tc>
        <w:tc>
          <w:tcPr>
            <w:tcW w:w="1001" w:type="dxa"/>
            <w:vAlign w:val="center"/>
          </w:tcPr>
          <w:p w14:paraId="7E460C1A">
            <w:pPr>
              <w:spacing w:line="0" w:lineRule="atLeast"/>
              <w:jc w:val="center"/>
              <w:rPr>
                <w:rFonts w:hint="eastAsia" w:ascii="宋体" w:hAnsi="宋体"/>
                <w:sz w:val="24"/>
                <w:szCs w:val="24"/>
              </w:rPr>
            </w:pPr>
          </w:p>
        </w:tc>
        <w:tc>
          <w:tcPr>
            <w:tcW w:w="1483" w:type="dxa"/>
            <w:vAlign w:val="top"/>
          </w:tcPr>
          <w:p w14:paraId="0D4DCD99">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04C4697A">
            <w:pPr>
              <w:spacing w:line="0" w:lineRule="atLeast"/>
              <w:jc w:val="center"/>
              <w:rPr>
                <w:rFonts w:hint="eastAsia" w:ascii="宋体" w:hAnsi="宋体"/>
                <w:sz w:val="24"/>
                <w:szCs w:val="24"/>
              </w:rPr>
            </w:pPr>
          </w:p>
        </w:tc>
        <w:tc>
          <w:tcPr>
            <w:tcW w:w="1778" w:type="dxa"/>
            <w:vAlign w:val="center"/>
          </w:tcPr>
          <w:p w14:paraId="01817C32">
            <w:pPr>
              <w:spacing w:line="0" w:lineRule="atLeast"/>
              <w:jc w:val="center"/>
              <w:rPr>
                <w:rFonts w:hint="eastAsia" w:ascii="宋体" w:hAnsi="宋体"/>
                <w:sz w:val="24"/>
                <w:szCs w:val="24"/>
              </w:rPr>
            </w:pPr>
          </w:p>
        </w:tc>
      </w:tr>
      <w:tr w14:paraId="6CF582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05BACF31">
            <w:pPr>
              <w:spacing w:line="360" w:lineRule="auto"/>
              <w:rPr>
                <w:rFonts w:hint="eastAsia" w:ascii="宋体" w:hAnsi="宋体"/>
                <w:sz w:val="24"/>
                <w:szCs w:val="24"/>
              </w:rPr>
            </w:pPr>
            <w:r>
              <w:rPr>
                <w:rFonts w:hint="eastAsia" w:ascii="宋体" w:hAnsi="宋体" w:eastAsia="宋体"/>
                <w:color w:val="000000"/>
                <w:sz w:val="24"/>
                <w:szCs w:val="24"/>
              </w:rPr>
              <w:t>4</w:t>
            </w:r>
          </w:p>
        </w:tc>
        <w:tc>
          <w:tcPr>
            <w:tcW w:w="1008" w:type="dxa"/>
            <w:vAlign w:val="top"/>
          </w:tcPr>
          <w:p w14:paraId="6E6B81D0">
            <w:pPr>
              <w:spacing w:line="360" w:lineRule="auto"/>
              <w:rPr>
                <w:rFonts w:hint="eastAsia" w:ascii="宋体" w:hAnsi="宋体"/>
                <w:sz w:val="24"/>
                <w:szCs w:val="24"/>
              </w:rPr>
            </w:pPr>
            <w:r>
              <w:rPr>
                <w:rFonts w:hint="eastAsia" w:ascii="宋体" w:hAnsi="宋体" w:cs="宋体"/>
                <w:color w:val="000000"/>
                <w:sz w:val="24"/>
                <w:szCs w:val="24"/>
              </w:rPr>
              <w:t>方形分隔式辐照笼</w:t>
            </w:r>
          </w:p>
        </w:tc>
        <w:tc>
          <w:tcPr>
            <w:tcW w:w="1246" w:type="dxa"/>
            <w:vAlign w:val="center"/>
          </w:tcPr>
          <w:p w14:paraId="14F56A2D">
            <w:pPr>
              <w:spacing w:line="0" w:lineRule="atLeast"/>
              <w:jc w:val="center"/>
              <w:rPr>
                <w:rFonts w:hint="eastAsia" w:ascii="宋体" w:hAnsi="宋体"/>
                <w:sz w:val="24"/>
                <w:szCs w:val="24"/>
              </w:rPr>
            </w:pPr>
          </w:p>
        </w:tc>
        <w:tc>
          <w:tcPr>
            <w:tcW w:w="1267" w:type="dxa"/>
            <w:vAlign w:val="center"/>
          </w:tcPr>
          <w:p w14:paraId="33CD9EFE">
            <w:pPr>
              <w:spacing w:line="0" w:lineRule="atLeast"/>
              <w:jc w:val="center"/>
              <w:rPr>
                <w:rFonts w:hint="eastAsia" w:ascii="宋体" w:hAnsi="宋体"/>
                <w:sz w:val="24"/>
                <w:szCs w:val="24"/>
              </w:rPr>
            </w:pPr>
          </w:p>
        </w:tc>
        <w:tc>
          <w:tcPr>
            <w:tcW w:w="1001" w:type="dxa"/>
            <w:vAlign w:val="center"/>
          </w:tcPr>
          <w:p w14:paraId="44A53603">
            <w:pPr>
              <w:spacing w:line="0" w:lineRule="atLeast"/>
              <w:jc w:val="center"/>
              <w:rPr>
                <w:rFonts w:hint="eastAsia" w:ascii="宋体" w:hAnsi="宋体"/>
                <w:sz w:val="24"/>
                <w:szCs w:val="24"/>
              </w:rPr>
            </w:pPr>
          </w:p>
        </w:tc>
        <w:tc>
          <w:tcPr>
            <w:tcW w:w="1483" w:type="dxa"/>
            <w:vAlign w:val="top"/>
          </w:tcPr>
          <w:p w14:paraId="766D4469">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32263BC2">
            <w:pPr>
              <w:spacing w:line="0" w:lineRule="atLeast"/>
              <w:jc w:val="center"/>
              <w:rPr>
                <w:rFonts w:hint="eastAsia" w:ascii="宋体" w:hAnsi="宋体"/>
                <w:sz w:val="24"/>
                <w:szCs w:val="24"/>
              </w:rPr>
            </w:pPr>
          </w:p>
        </w:tc>
        <w:tc>
          <w:tcPr>
            <w:tcW w:w="1778" w:type="dxa"/>
            <w:vAlign w:val="center"/>
          </w:tcPr>
          <w:p w14:paraId="7FD4C9DF">
            <w:pPr>
              <w:spacing w:line="0" w:lineRule="atLeast"/>
              <w:jc w:val="center"/>
              <w:rPr>
                <w:rFonts w:hint="eastAsia" w:ascii="宋体" w:hAnsi="宋体"/>
                <w:sz w:val="24"/>
                <w:szCs w:val="24"/>
              </w:rPr>
            </w:pPr>
          </w:p>
        </w:tc>
      </w:tr>
      <w:tr w14:paraId="18A28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22A7C1EA">
            <w:pPr>
              <w:spacing w:line="360" w:lineRule="auto"/>
              <w:rPr>
                <w:rFonts w:hint="eastAsia" w:ascii="宋体" w:hAnsi="宋体"/>
                <w:sz w:val="24"/>
                <w:szCs w:val="24"/>
              </w:rPr>
            </w:pPr>
            <w:r>
              <w:rPr>
                <w:rFonts w:hint="eastAsia" w:ascii="宋体" w:hAnsi="宋体" w:eastAsia="宋体"/>
                <w:color w:val="000000"/>
                <w:sz w:val="24"/>
                <w:szCs w:val="24"/>
              </w:rPr>
              <w:t>5</w:t>
            </w:r>
          </w:p>
        </w:tc>
        <w:tc>
          <w:tcPr>
            <w:tcW w:w="1008" w:type="dxa"/>
            <w:vAlign w:val="top"/>
          </w:tcPr>
          <w:p w14:paraId="66D24AA8">
            <w:pPr>
              <w:spacing w:line="360" w:lineRule="auto"/>
              <w:rPr>
                <w:rFonts w:hint="eastAsia" w:ascii="宋体" w:hAnsi="宋体"/>
                <w:sz w:val="24"/>
                <w:szCs w:val="24"/>
              </w:rPr>
            </w:pPr>
            <w:r>
              <w:rPr>
                <w:rFonts w:hint="eastAsia" w:ascii="宋体" w:hAnsi="宋体" w:cs="宋体"/>
                <w:color w:val="000000"/>
                <w:sz w:val="24"/>
                <w:szCs w:val="24"/>
              </w:rPr>
              <w:t>圆形分隔式辐照笼</w:t>
            </w:r>
          </w:p>
        </w:tc>
        <w:tc>
          <w:tcPr>
            <w:tcW w:w="1246" w:type="dxa"/>
            <w:vAlign w:val="center"/>
          </w:tcPr>
          <w:p w14:paraId="2DBFBC36">
            <w:pPr>
              <w:spacing w:line="0" w:lineRule="atLeast"/>
              <w:jc w:val="center"/>
              <w:rPr>
                <w:rFonts w:hint="eastAsia" w:ascii="宋体" w:hAnsi="宋体"/>
                <w:sz w:val="24"/>
                <w:szCs w:val="24"/>
              </w:rPr>
            </w:pPr>
          </w:p>
        </w:tc>
        <w:tc>
          <w:tcPr>
            <w:tcW w:w="1267" w:type="dxa"/>
            <w:vAlign w:val="center"/>
          </w:tcPr>
          <w:p w14:paraId="19C30A0E">
            <w:pPr>
              <w:spacing w:line="0" w:lineRule="atLeast"/>
              <w:jc w:val="center"/>
              <w:rPr>
                <w:rFonts w:hint="eastAsia" w:ascii="宋体" w:hAnsi="宋体"/>
                <w:sz w:val="24"/>
                <w:szCs w:val="24"/>
              </w:rPr>
            </w:pPr>
          </w:p>
        </w:tc>
        <w:tc>
          <w:tcPr>
            <w:tcW w:w="1001" w:type="dxa"/>
            <w:vAlign w:val="center"/>
          </w:tcPr>
          <w:p w14:paraId="28A86381">
            <w:pPr>
              <w:spacing w:line="0" w:lineRule="atLeast"/>
              <w:jc w:val="center"/>
              <w:rPr>
                <w:rFonts w:hint="eastAsia" w:ascii="宋体" w:hAnsi="宋体"/>
                <w:sz w:val="24"/>
                <w:szCs w:val="24"/>
              </w:rPr>
            </w:pPr>
          </w:p>
        </w:tc>
        <w:tc>
          <w:tcPr>
            <w:tcW w:w="1483" w:type="dxa"/>
            <w:vAlign w:val="top"/>
          </w:tcPr>
          <w:p w14:paraId="6F03F0DB">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1F11100C">
            <w:pPr>
              <w:spacing w:line="0" w:lineRule="atLeast"/>
              <w:jc w:val="center"/>
              <w:rPr>
                <w:rFonts w:hint="eastAsia" w:ascii="宋体" w:hAnsi="宋体"/>
                <w:sz w:val="24"/>
                <w:szCs w:val="24"/>
              </w:rPr>
            </w:pPr>
          </w:p>
        </w:tc>
        <w:tc>
          <w:tcPr>
            <w:tcW w:w="1778" w:type="dxa"/>
            <w:vAlign w:val="center"/>
          </w:tcPr>
          <w:p w14:paraId="12B501FE">
            <w:pPr>
              <w:spacing w:line="0" w:lineRule="atLeast"/>
              <w:jc w:val="center"/>
              <w:rPr>
                <w:rFonts w:hint="eastAsia" w:ascii="宋体" w:hAnsi="宋体"/>
                <w:sz w:val="24"/>
                <w:szCs w:val="24"/>
              </w:rPr>
            </w:pPr>
          </w:p>
        </w:tc>
      </w:tr>
      <w:tr w14:paraId="1C6B9B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4F23979C">
            <w:pPr>
              <w:spacing w:line="360" w:lineRule="auto"/>
              <w:rPr>
                <w:rFonts w:hint="eastAsia" w:ascii="宋体" w:hAnsi="宋体"/>
                <w:sz w:val="24"/>
                <w:szCs w:val="24"/>
              </w:rPr>
            </w:pPr>
            <w:r>
              <w:rPr>
                <w:rFonts w:hint="eastAsia" w:ascii="宋体" w:hAnsi="宋体" w:eastAsia="宋体"/>
                <w:color w:val="000000"/>
                <w:sz w:val="24"/>
                <w:szCs w:val="24"/>
              </w:rPr>
              <w:t>6</w:t>
            </w:r>
          </w:p>
        </w:tc>
        <w:tc>
          <w:tcPr>
            <w:tcW w:w="1008" w:type="dxa"/>
            <w:vAlign w:val="top"/>
          </w:tcPr>
          <w:p w14:paraId="6E38973E">
            <w:pPr>
              <w:spacing w:line="360" w:lineRule="auto"/>
              <w:rPr>
                <w:rFonts w:hint="eastAsia" w:ascii="宋体" w:hAnsi="宋体"/>
                <w:sz w:val="24"/>
                <w:szCs w:val="24"/>
              </w:rPr>
            </w:pPr>
            <w:r>
              <w:rPr>
                <w:rFonts w:hint="eastAsia" w:ascii="宋体" w:hAnsi="宋体" w:cs="宋体"/>
                <w:color w:val="000000"/>
                <w:sz w:val="24"/>
                <w:szCs w:val="24"/>
              </w:rPr>
              <w:t>碳化硼材质均一性反射装置（圆形）</w:t>
            </w:r>
          </w:p>
        </w:tc>
        <w:tc>
          <w:tcPr>
            <w:tcW w:w="1246" w:type="dxa"/>
            <w:vAlign w:val="center"/>
          </w:tcPr>
          <w:p w14:paraId="6672898C">
            <w:pPr>
              <w:spacing w:line="0" w:lineRule="atLeast"/>
              <w:jc w:val="center"/>
              <w:rPr>
                <w:rFonts w:hint="eastAsia" w:ascii="宋体" w:hAnsi="宋体"/>
                <w:sz w:val="24"/>
                <w:szCs w:val="24"/>
              </w:rPr>
            </w:pPr>
          </w:p>
        </w:tc>
        <w:tc>
          <w:tcPr>
            <w:tcW w:w="1267" w:type="dxa"/>
            <w:vAlign w:val="center"/>
          </w:tcPr>
          <w:p w14:paraId="2F3A2CFA">
            <w:pPr>
              <w:spacing w:line="0" w:lineRule="atLeast"/>
              <w:jc w:val="center"/>
              <w:rPr>
                <w:rFonts w:hint="eastAsia" w:ascii="宋体" w:hAnsi="宋体"/>
                <w:sz w:val="24"/>
                <w:szCs w:val="24"/>
              </w:rPr>
            </w:pPr>
          </w:p>
        </w:tc>
        <w:tc>
          <w:tcPr>
            <w:tcW w:w="1001" w:type="dxa"/>
            <w:vAlign w:val="center"/>
          </w:tcPr>
          <w:p w14:paraId="3BF1E87F">
            <w:pPr>
              <w:spacing w:line="0" w:lineRule="atLeast"/>
              <w:jc w:val="center"/>
              <w:rPr>
                <w:rFonts w:hint="eastAsia" w:ascii="宋体" w:hAnsi="宋体"/>
                <w:sz w:val="24"/>
                <w:szCs w:val="24"/>
              </w:rPr>
            </w:pPr>
          </w:p>
        </w:tc>
        <w:tc>
          <w:tcPr>
            <w:tcW w:w="1483" w:type="dxa"/>
            <w:vAlign w:val="top"/>
          </w:tcPr>
          <w:p w14:paraId="2AE04102">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01066E5C">
            <w:pPr>
              <w:spacing w:line="0" w:lineRule="atLeast"/>
              <w:jc w:val="center"/>
              <w:rPr>
                <w:rFonts w:hint="eastAsia" w:ascii="宋体" w:hAnsi="宋体"/>
                <w:sz w:val="24"/>
                <w:szCs w:val="24"/>
              </w:rPr>
            </w:pPr>
          </w:p>
        </w:tc>
        <w:tc>
          <w:tcPr>
            <w:tcW w:w="1778" w:type="dxa"/>
            <w:vAlign w:val="center"/>
          </w:tcPr>
          <w:p w14:paraId="4369F1AA">
            <w:pPr>
              <w:spacing w:line="0" w:lineRule="atLeast"/>
              <w:jc w:val="center"/>
              <w:rPr>
                <w:rFonts w:hint="eastAsia" w:ascii="宋体" w:hAnsi="宋体"/>
                <w:sz w:val="24"/>
                <w:szCs w:val="24"/>
              </w:rPr>
            </w:pPr>
          </w:p>
        </w:tc>
      </w:tr>
      <w:tr w14:paraId="0AF31F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19E92D7A">
            <w:pPr>
              <w:spacing w:line="360" w:lineRule="auto"/>
              <w:rPr>
                <w:rFonts w:hint="eastAsia" w:ascii="宋体" w:hAnsi="宋体"/>
                <w:sz w:val="24"/>
                <w:szCs w:val="24"/>
              </w:rPr>
            </w:pPr>
            <w:r>
              <w:rPr>
                <w:rFonts w:hint="eastAsia" w:ascii="宋体" w:hAnsi="宋体" w:eastAsia="宋体"/>
                <w:color w:val="000000"/>
                <w:sz w:val="24"/>
                <w:szCs w:val="24"/>
              </w:rPr>
              <w:t>7</w:t>
            </w:r>
          </w:p>
        </w:tc>
        <w:tc>
          <w:tcPr>
            <w:tcW w:w="1008" w:type="dxa"/>
            <w:vAlign w:val="top"/>
          </w:tcPr>
          <w:p w14:paraId="0A36A4C0">
            <w:pPr>
              <w:spacing w:line="360" w:lineRule="auto"/>
              <w:rPr>
                <w:rFonts w:hint="eastAsia" w:ascii="宋体" w:hAnsi="宋体"/>
                <w:sz w:val="24"/>
                <w:szCs w:val="24"/>
              </w:rPr>
            </w:pPr>
            <w:r>
              <w:rPr>
                <w:rFonts w:hint="eastAsia" w:ascii="宋体" w:hAnsi="宋体" w:cs="宋体"/>
                <w:color w:val="000000"/>
                <w:sz w:val="24"/>
                <w:szCs w:val="24"/>
              </w:rPr>
              <w:t>过滤辐照笼</w:t>
            </w:r>
          </w:p>
        </w:tc>
        <w:tc>
          <w:tcPr>
            <w:tcW w:w="1246" w:type="dxa"/>
            <w:vAlign w:val="center"/>
          </w:tcPr>
          <w:p w14:paraId="2DC89F1D">
            <w:pPr>
              <w:spacing w:line="0" w:lineRule="atLeast"/>
              <w:jc w:val="center"/>
              <w:rPr>
                <w:rFonts w:hint="eastAsia" w:ascii="宋体" w:hAnsi="宋体"/>
                <w:sz w:val="24"/>
                <w:szCs w:val="24"/>
              </w:rPr>
            </w:pPr>
          </w:p>
        </w:tc>
        <w:tc>
          <w:tcPr>
            <w:tcW w:w="1267" w:type="dxa"/>
            <w:vAlign w:val="center"/>
          </w:tcPr>
          <w:p w14:paraId="652B4062">
            <w:pPr>
              <w:spacing w:line="0" w:lineRule="atLeast"/>
              <w:jc w:val="center"/>
              <w:rPr>
                <w:rFonts w:hint="eastAsia" w:ascii="宋体" w:hAnsi="宋体"/>
                <w:sz w:val="24"/>
                <w:szCs w:val="24"/>
              </w:rPr>
            </w:pPr>
          </w:p>
        </w:tc>
        <w:tc>
          <w:tcPr>
            <w:tcW w:w="1001" w:type="dxa"/>
            <w:vAlign w:val="center"/>
          </w:tcPr>
          <w:p w14:paraId="65DAE78D">
            <w:pPr>
              <w:spacing w:line="0" w:lineRule="atLeast"/>
              <w:jc w:val="center"/>
              <w:rPr>
                <w:rFonts w:hint="eastAsia" w:ascii="宋体" w:hAnsi="宋体"/>
                <w:sz w:val="24"/>
                <w:szCs w:val="24"/>
              </w:rPr>
            </w:pPr>
          </w:p>
        </w:tc>
        <w:tc>
          <w:tcPr>
            <w:tcW w:w="1483" w:type="dxa"/>
            <w:vAlign w:val="top"/>
          </w:tcPr>
          <w:p w14:paraId="39D4EAD9">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78CA3A63">
            <w:pPr>
              <w:spacing w:line="0" w:lineRule="atLeast"/>
              <w:jc w:val="center"/>
              <w:rPr>
                <w:rFonts w:hint="eastAsia" w:ascii="宋体" w:hAnsi="宋体"/>
                <w:sz w:val="24"/>
                <w:szCs w:val="24"/>
              </w:rPr>
            </w:pPr>
          </w:p>
        </w:tc>
        <w:tc>
          <w:tcPr>
            <w:tcW w:w="1778" w:type="dxa"/>
            <w:vAlign w:val="center"/>
          </w:tcPr>
          <w:p w14:paraId="77392171">
            <w:pPr>
              <w:spacing w:line="0" w:lineRule="atLeast"/>
              <w:jc w:val="center"/>
              <w:rPr>
                <w:rFonts w:hint="eastAsia" w:ascii="宋体" w:hAnsi="宋体"/>
                <w:sz w:val="24"/>
                <w:szCs w:val="24"/>
              </w:rPr>
            </w:pPr>
          </w:p>
        </w:tc>
      </w:tr>
      <w:tr w14:paraId="339B71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0718A649">
            <w:pPr>
              <w:spacing w:line="360" w:lineRule="auto"/>
              <w:rPr>
                <w:rFonts w:hint="eastAsia" w:ascii="宋体" w:hAnsi="宋体"/>
                <w:sz w:val="24"/>
                <w:szCs w:val="24"/>
              </w:rPr>
            </w:pPr>
            <w:r>
              <w:rPr>
                <w:rFonts w:hint="eastAsia" w:ascii="宋体" w:hAnsi="宋体" w:eastAsia="宋体"/>
                <w:color w:val="000000"/>
                <w:sz w:val="24"/>
                <w:szCs w:val="24"/>
              </w:rPr>
              <w:t>8</w:t>
            </w:r>
          </w:p>
        </w:tc>
        <w:tc>
          <w:tcPr>
            <w:tcW w:w="1008" w:type="dxa"/>
            <w:vAlign w:val="top"/>
          </w:tcPr>
          <w:p w14:paraId="151A096D">
            <w:pPr>
              <w:spacing w:line="360" w:lineRule="auto"/>
              <w:rPr>
                <w:rFonts w:hint="eastAsia" w:ascii="宋体" w:hAnsi="宋体"/>
                <w:sz w:val="24"/>
                <w:szCs w:val="24"/>
              </w:rPr>
            </w:pPr>
            <w:r>
              <w:rPr>
                <w:rFonts w:hint="eastAsia" w:ascii="宋体" w:hAnsi="宋体" w:cs="宋体"/>
                <w:color w:val="000000"/>
                <w:sz w:val="24"/>
                <w:szCs w:val="24"/>
              </w:rPr>
              <w:t>实时环境剂量监测仪</w:t>
            </w:r>
          </w:p>
        </w:tc>
        <w:tc>
          <w:tcPr>
            <w:tcW w:w="1246" w:type="dxa"/>
            <w:vAlign w:val="center"/>
          </w:tcPr>
          <w:p w14:paraId="72FF2EEE">
            <w:pPr>
              <w:spacing w:line="0" w:lineRule="atLeast"/>
              <w:jc w:val="center"/>
              <w:rPr>
                <w:rFonts w:hint="eastAsia" w:ascii="宋体" w:hAnsi="宋体"/>
                <w:sz w:val="24"/>
                <w:szCs w:val="24"/>
              </w:rPr>
            </w:pPr>
          </w:p>
        </w:tc>
        <w:tc>
          <w:tcPr>
            <w:tcW w:w="1267" w:type="dxa"/>
            <w:vAlign w:val="center"/>
          </w:tcPr>
          <w:p w14:paraId="3DF494DF">
            <w:pPr>
              <w:spacing w:line="0" w:lineRule="atLeast"/>
              <w:jc w:val="center"/>
              <w:rPr>
                <w:rFonts w:hint="eastAsia" w:ascii="宋体" w:hAnsi="宋体"/>
                <w:sz w:val="24"/>
                <w:szCs w:val="24"/>
              </w:rPr>
            </w:pPr>
          </w:p>
        </w:tc>
        <w:tc>
          <w:tcPr>
            <w:tcW w:w="1001" w:type="dxa"/>
            <w:vAlign w:val="center"/>
          </w:tcPr>
          <w:p w14:paraId="3510834B">
            <w:pPr>
              <w:spacing w:line="0" w:lineRule="atLeast"/>
              <w:jc w:val="center"/>
              <w:rPr>
                <w:rFonts w:hint="eastAsia" w:ascii="宋体" w:hAnsi="宋体"/>
                <w:sz w:val="24"/>
                <w:szCs w:val="24"/>
              </w:rPr>
            </w:pPr>
          </w:p>
        </w:tc>
        <w:tc>
          <w:tcPr>
            <w:tcW w:w="1483" w:type="dxa"/>
            <w:vAlign w:val="top"/>
          </w:tcPr>
          <w:p w14:paraId="214AF177">
            <w:pPr>
              <w:wordWrap w:val="0"/>
              <w:spacing w:line="378" w:lineRule="exact"/>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659D9E36">
            <w:pPr>
              <w:spacing w:line="0" w:lineRule="atLeast"/>
              <w:jc w:val="center"/>
              <w:rPr>
                <w:rFonts w:hint="eastAsia" w:ascii="宋体" w:hAnsi="宋体"/>
                <w:sz w:val="24"/>
                <w:szCs w:val="24"/>
              </w:rPr>
            </w:pPr>
          </w:p>
        </w:tc>
        <w:tc>
          <w:tcPr>
            <w:tcW w:w="1778" w:type="dxa"/>
            <w:vAlign w:val="center"/>
          </w:tcPr>
          <w:p w14:paraId="7FB71120">
            <w:pPr>
              <w:spacing w:line="0" w:lineRule="atLeast"/>
              <w:jc w:val="center"/>
              <w:rPr>
                <w:rFonts w:hint="eastAsia" w:ascii="宋体" w:hAnsi="宋体"/>
                <w:sz w:val="24"/>
                <w:szCs w:val="24"/>
              </w:rPr>
            </w:pPr>
          </w:p>
        </w:tc>
      </w:tr>
      <w:tr w14:paraId="16B32D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04B5042C">
            <w:pPr>
              <w:spacing w:line="360" w:lineRule="auto"/>
              <w:rPr>
                <w:rFonts w:hint="eastAsia" w:ascii="宋体" w:hAnsi="宋体"/>
                <w:sz w:val="24"/>
                <w:szCs w:val="24"/>
              </w:rPr>
            </w:pPr>
            <w:r>
              <w:rPr>
                <w:rFonts w:hint="eastAsia" w:ascii="宋体" w:hAnsi="宋体" w:eastAsia="宋体"/>
                <w:color w:val="000000"/>
                <w:sz w:val="24"/>
                <w:szCs w:val="24"/>
              </w:rPr>
              <w:t>9</w:t>
            </w:r>
          </w:p>
        </w:tc>
        <w:tc>
          <w:tcPr>
            <w:tcW w:w="1008" w:type="dxa"/>
            <w:vAlign w:val="top"/>
          </w:tcPr>
          <w:p w14:paraId="13771A03">
            <w:pPr>
              <w:spacing w:line="360" w:lineRule="auto"/>
              <w:rPr>
                <w:rFonts w:hint="eastAsia" w:ascii="宋体" w:hAnsi="宋体"/>
                <w:sz w:val="24"/>
                <w:szCs w:val="24"/>
              </w:rPr>
            </w:pPr>
            <w:r>
              <w:rPr>
                <w:rFonts w:hint="eastAsia" w:ascii="宋体" w:hAnsi="宋体" w:cs="宋体"/>
                <w:color w:val="000000"/>
                <w:sz w:val="24"/>
                <w:szCs w:val="24"/>
              </w:rPr>
              <w:t>过滤片—0.3 mm铜</w:t>
            </w:r>
          </w:p>
        </w:tc>
        <w:tc>
          <w:tcPr>
            <w:tcW w:w="1246" w:type="dxa"/>
            <w:vAlign w:val="center"/>
          </w:tcPr>
          <w:p w14:paraId="2E5DF470">
            <w:pPr>
              <w:spacing w:line="0" w:lineRule="atLeast"/>
              <w:jc w:val="center"/>
              <w:rPr>
                <w:rFonts w:hint="eastAsia" w:ascii="宋体" w:hAnsi="宋体"/>
                <w:sz w:val="24"/>
                <w:szCs w:val="24"/>
              </w:rPr>
            </w:pPr>
          </w:p>
        </w:tc>
        <w:tc>
          <w:tcPr>
            <w:tcW w:w="1267" w:type="dxa"/>
            <w:vAlign w:val="center"/>
          </w:tcPr>
          <w:p w14:paraId="436EDBE9">
            <w:pPr>
              <w:spacing w:line="0" w:lineRule="atLeast"/>
              <w:jc w:val="center"/>
              <w:rPr>
                <w:rFonts w:hint="eastAsia" w:ascii="宋体" w:hAnsi="宋体"/>
                <w:sz w:val="24"/>
                <w:szCs w:val="24"/>
              </w:rPr>
            </w:pPr>
          </w:p>
        </w:tc>
        <w:tc>
          <w:tcPr>
            <w:tcW w:w="1001" w:type="dxa"/>
            <w:vAlign w:val="center"/>
          </w:tcPr>
          <w:p w14:paraId="50C5620A">
            <w:pPr>
              <w:spacing w:line="0" w:lineRule="atLeast"/>
              <w:jc w:val="center"/>
              <w:rPr>
                <w:rFonts w:hint="eastAsia" w:ascii="宋体" w:hAnsi="宋体"/>
                <w:sz w:val="24"/>
                <w:szCs w:val="24"/>
              </w:rPr>
            </w:pPr>
          </w:p>
        </w:tc>
        <w:tc>
          <w:tcPr>
            <w:tcW w:w="1483" w:type="dxa"/>
            <w:vAlign w:val="top"/>
          </w:tcPr>
          <w:p w14:paraId="1612D06D">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7B775311">
            <w:pPr>
              <w:spacing w:line="0" w:lineRule="atLeast"/>
              <w:jc w:val="center"/>
              <w:rPr>
                <w:rFonts w:hint="eastAsia" w:ascii="宋体" w:hAnsi="宋体"/>
                <w:sz w:val="24"/>
                <w:szCs w:val="24"/>
              </w:rPr>
            </w:pPr>
          </w:p>
        </w:tc>
        <w:tc>
          <w:tcPr>
            <w:tcW w:w="1778" w:type="dxa"/>
            <w:vAlign w:val="center"/>
          </w:tcPr>
          <w:p w14:paraId="136D793C">
            <w:pPr>
              <w:spacing w:line="0" w:lineRule="atLeast"/>
              <w:jc w:val="center"/>
              <w:rPr>
                <w:rFonts w:hint="eastAsia" w:ascii="宋体" w:hAnsi="宋体"/>
                <w:sz w:val="24"/>
                <w:szCs w:val="24"/>
              </w:rPr>
            </w:pPr>
          </w:p>
        </w:tc>
      </w:tr>
      <w:tr w14:paraId="53DFD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5748D572">
            <w:pPr>
              <w:spacing w:line="360" w:lineRule="auto"/>
              <w:rPr>
                <w:rFonts w:hint="eastAsia" w:ascii="宋体" w:hAnsi="宋体"/>
                <w:sz w:val="24"/>
                <w:szCs w:val="24"/>
              </w:rPr>
            </w:pPr>
            <w:r>
              <w:rPr>
                <w:rFonts w:hint="eastAsia" w:ascii="宋体" w:hAnsi="宋体" w:eastAsia="宋体"/>
                <w:color w:val="000000"/>
                <w:sz w:val="24"/>
                <w:szCs w:val="24"/>
              </w:rPr>
              <w:t>10</w:t>
            </w:r>
          </w:p>
        </w:tc>
        <w:tc>
          <w:tcPr>
            <w:tcW w:w="1008" w:type="dxa"/>
            <w:vAlign w:val="top"/>
          </w:tcPr>
          <w:p w14:paraId="71A5BB47">
            <w:pPr>
              <w:spacing w:line="360" w:lineRule="auto"/>
              <w:rPr>
                <w:rFonts w:hint="eastAsia" w:ascii="宋体" w:hAnsi="宋体"/>
                <w:sz w:val="24"/>
                <w:szCs w:val="24"/>
              </w:rPr>
            </w:pPr>
            <w:r>
              <w:rPr>
                <w:rFonts w:hint="eastAsia" w:ascii="宋体" w:hAnsi="宋体" w:cs="宋体"/>
                <w:color w:val="000000"/>
                <w:sz w:val="24"/>
                <w:szCs w:val="24"/>
              </w:rPr>
              <w:t>过滤片—0.5 mm铝</w:t>
            </w:r>
          </w:p>
        </w:tc>
        <w:tc>
          <w:tcPr>
            <w:tcW w:w="1246" w:type="dxa"/>
            <w:vAlign w:val="center"/>
          </w:tcPr>
          <w:p w14:paraId="270D7694">
            <w:pPr>
              <w:spacing w:line="0" w:lineRule="atLeast"/>
              <w:jc w:val="center"/>
              <w:rPr>
                <w:rFonts w:hint="eastAsia" w:ascii="宋体" w:hAnsi="宋体"/>
                <w:sz w:val="24"/>
                <w:szCs w:val="24"/>
              </w:rPr>
            </w:pPr>
          </w:p>
        </w:tc>
        <w:tc>
          <w:tcPr>
            <w:tcW w:w="1267" w:type="dxa"/>
            <w:vAlign w:val="center"/>
          </w:tcPr>
          <w:p w14:paraId="07291682">
            <w:pPr>
              <w:spacing w:line="0" w:lineRule="atLeast"/>
              <w:jc w:val="center"/>
              <w:rPr>
                <w:rFonts w:hint="eastAsia" w:ascii="宋体" w:hAnsi="宋体"/>
                <w:sz w:val="24"/>
                <w:szCs w:val="24"/>
              </w:rPr>
            </w:pPr>
          </w:p>
        </w:tc>
        <w:tc>
          <w:tcPr>
            <w:tcW w:w="1001" w:type="dxa"/>
            <w:vAlign w:val="center"/>
          </w:tcPr>
          <w:p w14:paraId="3169941B">
            <w:pPr>
              <w:spacing w:line="0" w:lineRule="atLeast"/>
              <w:jc w:val="center"/>
              <w:rPr>
                <w:rFonts w:hint="eastAsia" w:ascii="宋体" w:hAnsi="宋体"/>
                <w:sz w:val="24"/>
                <w:szCs w:val="24"/>
              </w:rPr>
            </w:pPr>
          </w:p>
        </w:tc>
        <w:tc>
          <w:tcPr>
            <w:tcW w:w="1483" w:type="dxa"/>
            <w:vAlign w:val="top"/>
          </w:tcPr>
          <w:p w14:paraId="6ECE8081">
            <w:pPr>
              <w:spacing w:line="360" w:lineRule="auto"/>
              <w:jc w:val="center"/>
              <w:rPr>
                <w:rFonts w:hint="eastAsia" w:ascii="宋体" w:hAnsi="宋体"/>
                <w:sz w:val="24"/>
                <w:szCs w:val="24"/>
              </w:rPr>
            </w:pPr>
            <w:r>
              <w:rPr>
                <w:rFonts w:hint="eastAsia" w:ascii="宋体" w:hAnsi="宋体" w:cs="宋体"/>
                <w:color w:val="000000"/>
                <w:sz w:val="24"/>
                <w:szCs w:val="24"/>
              </w:rPr>
              <w:t>1套</w:t>
            </w:r>
          </w:p>
        </w:tc>
        <w:tc>
          <w:tcPr>
            <w:tcW w:w="1778" w:type="dxa"/>
            <w:vAlign w:val="center"/>
          </w:tcPr>
          <w:p w14:paraId="0CD3FC41">
            <w:pPr>
              <w:spacing w:line="0" w:lineRule="atLeast"/>
              <w:jc w:val="center"/>
              <w:rPr>
                <w:rFonts w:hint="eastAsia" w:ascii="宋体" w:hAnsi="宋体"/>
                <w:sz w:val="24"/>
                <w:szCs w:val="24"/>
              </w:rPr>
            </w:pPr>
          </w:p>
        </w:tc>
        <w:tc>
          <w:tcPr>
            <w:tcW w:w="1778" w:type="dxa"/>
            <w:vAlign w:val="center"/>
          </w:tcPr>
          <w:p w14:paraId="70FB5B9F">
            <w:pPr>
              <w:spacing w:line="0" w:lineRule="atLeast"/>
              <w:jc w:val="center"/>
              <w:rPr>
                <w:rFonts w:hint="eastAsia" w:ascii="宋体" w:hAnsi="宋体"/>
                <w:sz w:val="24"/>
                <w:szCs w:val="24"/>
              </w:rPr>
            </w:pPr>
          </w:p>
        </w:tc>
      </w:tr>
      <w:tr w14:paraId="73ACBD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40793A7C">
            <w:pPr>
              <w:spacing w:line="360" w:lineRule="auto"/>
              <w:rPr>
                <w:rFonts w:hint="eastAsia" w:ascii="宋体" w:hAnsi="宋体"/>
                <w:sz w:val="24"/>
                <w:szCs w:val="24"/>
              </w:rPr>
            </w:pPr>
            <w:r>
              <w:rPr>
                <w:rFonts w:hint="eastAsia" w:ascii="宋体" w:hAnsi="宋体" w:eastAsia="宋体"/>
                <w:color w:val="000000"/>
                <w:sz w:val="24"/>
                <w:szCs w:val="24"/>
              </w:rPr>
              <w:t>11</w:t>
            </w:r>
          </w:p>
        </w:tc>
        <w:tc>
          <w:tcPr>
            <w:tcW w:w="1008" w:type="dxa"/>
            <w:vAlign w:val="top"/>
          </w:tcPr>
          <w:p w14:paraId="7526C94C">
            <w:pPr>
              <w:spacing w:line="360" w:lineRule="auto"/>
              <w:rPr>
                <w:rFonts w:hint="eastAsia" w:ascii="宋体" w:hAnsi="宋体"/>
                <w:sz w:val="24"/>
                <w:szCs w:val="24"/>
              </w:rPr>
            </w:pPr>
            <w:r>
              <w:rPr>
                <w:rFonts w:hint="eastAsia" w:ascii="宋体" w:hAnsi="宋体" w:cs="宋体"/>
                <w:color w:val="000000"/>
                <w:sz w:val="24"/>
                <w:szCs w:val="24"/>
              </w:rPr>
              <w:t>高通量小鼠局部辐照器</w:t>
            </w:r>
          </w:p>
        </w:tc>
        <w:tc>
          <w:tcPr>
            <w:tcW w:w="1246" w:type="dxa"/>
            <w:vAlign w:val="center"/>
          </w:tcPr>
          <w:p w14:paraId="75DDB8BE">
            <w:pPr>
              <w:spacing w:line="0" w:lineRule="atLeast"/>
              <w:jc w:val="center"/>
              <w:rPr>
                <w:rFonts w:hint="eastAsia" w:ascii="宋体" w:hAnsi="宋体"/>
                <w:sz w:val="24"/>
                <w:szCs w:val="24"/>
              </w:rPr>
            </w:pPr>
          </w:p>
        </w:tc>
        <w:tc>
          <w:tcPr>
            <w:tcW w:w="1267" w:type="dxa"/>
            <w:vAlign w:val="center"/>
          </w:tcPr>
          <w:p w14:paraId="043983BE">
            <w:pPr>
              <w:spacing w:line="0" w:lineRule="atLeast"/>
              <w:jc w:val="center"/>
              <w:rPr>
                <w:rFonts w:hint="eastAsia" w:ascii="宋体" w:hAnsi="宋体"/>
                <w:sz w:val="24"/>
                <w:szCs w:val="24"/>
              </w:rPr>
            </w:pPr>
          </w:p>
        </w:tc>
        <w:tc>
          <w:tcPr>
            <w:tcW w:w="1001" w:type="dxa"/>
            <w:vAlign w:val="center"/>
          </w:tcPr>
          <w:p w14:paraId="00A3D67B">
            <w:pPr>
              <w:spacing w:line="0" w:lineRule="atLeast"/>
              <w:jc w:val="center"/>
              <w:rPr>
                <w:rFonts w:hint="eastAsia" w:ascii="宋体" w:hAnsi="宋体"/>
                <w:sz w:val="24"/>
                <w:szCs w:val="24"/>
              </w:rPr>
            </w:pPr>
          </w:p>
        </w:tc>
        <w:tc>
          <w:tcPr>
            <w:tcW w:w="1483" w:type="dxa"/>
            <w:vAlign w:val="top"/>
          </w:tcPr>
          <w:p w14:paraId="070D60BE">
            <w:pPr>
              <w:spacing w:line="360" w:lineRule="auto"/>
              <w:jc w:val="center"/>
              <w:rPr>
                <w:rFonts w:hint="eastAsia" w:ascii="宋体" w:hAnsi="宋体"/>
                <w:sz w:val="24"/>
                <w:szCs w:val="24"/>
              </w:rPr>
            </w:pPr>
            <w:r>
              <w:rPr>
                <w:rFonts w:ascii="宋体" w:hAnsi="宋体" w:eastAsia="宋体" w:cs="宋体"/>
                <w:color w:val="000000"/>
                <w:sz w:val="24"/>
                <w:szCs w:val="24"/>
              </w:rPr>
              <w:t>1套</w:t>
            </w:r>
          </w:p>
        </w:tc>
        <w:tc>
          <w:tcPr>
            <w:tcW w:w="1778" w:type="dxa"/>
            <w:vAlign w:val="center"/>
          </w:tcPr>
          <w:p w14:paraId="2F89C000">
            <w:pPr>
              <w:spacing w:line="0" w:lineRule="atLeast"/>
              <w:jc w:val="center"/>
              <w:rPr>
                <w:rFonts w:hint="eastAsia" w:ascii="宋体" w:hAnsi="宋体"/>
                <w:sz w:val="24"/>
                <w:szCs w:val="24"/>
              </w:rPr>
            </w:pPr>
          </w:p>
        </w:tc>
        <w:tc>
          <w:tcPr>
            <w:tcW w:w="1778" w:type="dxa"/>
            <w:vAlign w:val="center"/>
          </w:tcPr>
          <w:p w14:paraId="0F798EC9">
            <w:pPr>
              <w:spacing w:line="0" w:lineRule="atLeast"/>
              <w:jc w:val="center"/>
              <w:rPr>
                <w:rFonts w:hint="eastAsia" w:ascii="宋体" w:hAnsi="宋体"/>
                <w:sz w:val="24"/>
                <w:szCs w:val="24"/>
              </w:rPr>
            </w:pPr>
          </w:p>
        </w:tc>
      </w:tr>
      <w:tr w14:paraId="4298D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2F574345">
            <w:pPr>
              <w:spacing w:line="360" w:lineRule="auto"/>
              <w:rPr>
                <w:rFonts w:hint="eastAsia" w:ascii="宋体" w:hAnsi="宋体"/>
                <w:sz w:val="24"/>
                <w:szCs w:val="24"/>
              </w:rPr>
            </w:pPr>
            <w:r>
              <w:rPr>
                <w:rFonts w:hint="eastAsia" w:ascii="宋体" w:hAnsi="宋体" w:eastAsia="宋体"/>
                <w:color w:val="000000"/>
                <w:sz w:val="24"/>
                <w:szCs w:val="24"/>
              </w:rPr>
              <w:t>12</w:t>
            </w:r>
          </w:p>
        </w:tc>
        <w:tc>
          <w:tcPr>
            <w:tcW w:w="1008" w:type="dxa"/>
            <w:vAlign w:val="top"/>
          </w:tcPr>
          <w:p w14:paraId="00F405DD">
            <w:pPr>
              <w:spacing w:line="360" w:lineRule="auto"/>
              <w:rPr>
                <w:rFonts w:hint="eastAsia" w:ascii="宋体" w:hAnsi="宋体"/>
                <w:sz w:val="24"/>
                <w:szCs w:val="24"/>
              </w:rPr>
            </w:pPr>
            <w:r>
              <w:rPr>
                <w:rFonts w:hint="eastAsia" w:ascii="宋体" w:hAnsi="宋体" w:cs="宋体"/>
                <w:color w:val="000000"/>
                <w:sz w:val="24"/>
                <w:szCs w:val="24"/>
              </w:rPr>
              <w:t>高通量大鼠局部辐照器</w:t>
            </w:r>
          </w:p>
        </w:tc>
        <w:tc>
          <w:tcPr>
            <w:tcW w:w="1246" w:type="dxa"/>
            <w:vAlign w:val="center"/>
          </w:tcPr>
          <w:p w14:paraId="549A0811">
            <w:pPr>
              <w:spacing w:line="0" w:lineRule="atLeast"/>
              <w:jc w:val="center"/>
              <w:rPr>
                <w:rFonts w:hint="eastAsia" w:ascii="宋体" w:hAnsi="宋体"/>
                <w:sz w:val="24"/>
                <w:szCs w:val="24"/>
              </w:rPr>
            </w:pPr>
          </w:p>
        </w:tc>
        <w:tc>
          <w:tcPr>
            <w:tcW w:w="1267" w:type="dxa"/>
            <w:vAlign w:val="center"/>
          </w:tcPr>
          <w:p w14:paraId="7A04D11D">
            <w:pPr>
              <w:spacing w:line="0" w:lineRule="atLeast"/>
              <w:jc w:val="center"/>
              <w:rPr>
                <w:rFonts w:hint="eastAsia" w:ascii="宋体" w:hAnsi="宋体"/>
                <w:sz w:val="24"/>
                <w:szCs w:val="24"/>
              </w:rPr>
            </w:pPr>
          </w:p>
        </w:tc>
        <w:tc>
          <w:tcPr>
            <w:tcW w:w="1001" w:type="dxa"/>
            <w:vAlign w:val="center"/>
          </w:tcPr>
          <w:p w14:paraId="29BEE70D">
            <w:pPr>
              <w:spacing w:line="0" w:lineRule="atLeast"/>
              <w:jc w:val="center"/>
              <w:rPr>
                <w:rFonts w:hint="eastAsia" w:ascii="宋体" w:hAnsi="宋体"/>
                <w:sz w:val="24"/>
                <w:szCs w:val="24"/>
              </w:rPr>
            </w:pPr>
          </w:p>
        </w:tc>
        <w:tc>
          <w:tcPr>
            <w:tcW w:w="1483" w:type="dxa"/>
            <w:vAlign w:val="top"/>
          </w:tcPr>
          <w:p w14:paraId="7A142040">
            <w:pPr>
              <w:spacing w:line="360" w:lineRule="auto"/>
              <w:jc w:val="center"/>
              <w:rPr>
                <w:rFonts w:hint="eastAsia" w:ascii="宋体" w:hAnsi="宋体"/>
                <w:sz w:val="24"/>
                <w:szCs w:val="24"/>
              </w:rPr>
            </w:pPr>
            <w:r>
              <w:rPr>
                <w:rFonts w:ascii="宋体" w:hAnsi="宋体" w:eastAsia="宋体" w:cs="宋体"/>
                <w:color w:val="000000"/>
                <w:sz w:val="24"/>
                <w:szCs w:val="24"/>
              </w:rPr>
              <w:t>1套</w:t>
            </w:r>
          </w:p>
        </w:tc>
        <w:tc>
          <w:tcPr>
            <w:tcW w:w="1778" w:type="dxa"/>
            <w:vAlign w:val="center"/>
          </w:tcPr>
          <w:p w14:paraId="6299BA23">
            <w:pPr>
              <w:spacing w:line="0" w:lineRule="atLeast"/>
              <w:jc w:val="center"/>
              <w:rPr>
                <w:rFonts w:hint="eastAsia" w:ascii="宋体" w:hAnsi="宋体"/>
                <w:sz w:val="24"/>
                <w:szCs w:val="24"/>
              </w:rPr>
            </w:pPr>
          </w:p>
        </w:tc>
        <w:tc>
          <w:tcPr>
            <w:tcW w:w="1778" w:type="dxa"/>
            <w:vAlign w:val="center"/>
          </w:tcPr>
          <w:p w14:paraId="0A80CF96">
            <w:pPr>
              <w:spacing w:line="0" w:lineRule="atLeast"/>
              <w:jc w:val="center"/>
              <w:rPr>
                <w:rFonts w:hint="eastAsia" w:ascii="宋体" w:hAnsi="宋体"/>
                <w:sz w:val="24"/>
                <w:szCs w:val="24"/>
              </w:rPr>
            </w:pPr>
          </w:p>
        </w:tc>
      </w:tr>
      <w:tr w14:paraId="3334BC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21271114">
            <w:pPr>
              <w:spacing w:line="360" w:lineRule="auto"/>
              <w:rPr>
                <w:rFonts w:hint="eastAsia" w:ascii="宋体" w:hAnsi="宋体"/>
                <w:sz w:val="24"/>
                <w:szCs w:val="24"/>
              </w:rPr>
            </w:pPr>
            <w:r>
              <w:rPr>
                <w:rFonts w:hint="eastAsia" w:ascii="宋体" w:hAnsi="宋体" w:eastAsia="宋体"/>
                <w:color w:val="000000"/>
                <w:sz w:val="24"/>
                <w:szCs w:val="24"/>
              </w:rPr>
              <w:t>13</w:t>
            </w:r>
          </w:p>
        </w:tc>
        <w:tc>
          <w:tcPr>
            <w:tcW w:w="1008" w:type="dxa"/>
            <w:vAlign w:val="top"/>
          </w:tcPr>
          <w:p w14:paraId="1F2AB06F">
            <w:pPr>
              <w:spacing w:line="360" w:lineRule="auto"/>
              <w:rPr>
                <w:rFonts w:hint="eastAsia" w:ascii="宋体" w:hAnsi="宋体"/>
                <w:sz w:val="24"/>
                <w:szCs w:val="24"/>
              </w:rPr>
            </w:pPr>
            <w:r>
              <w:rPr>
                <w:rFonts w:hint="eastAsia" w:ascii="宋体" w:hAnsi="宋体" w:cs="宋体"/>
                <w:color w:val="000000"/>
                <w:sz w:val="24"/>
                <w:szCs w:val="24"/>
              </w:rPr>
              <w:t>个人剂量监测仪</w:t>
            </w:r>
          </w:p>
        </w:tc>
        <w:tc>
          <w:tcPr>
            <w:tcW w:w="1246" w:type="dxa"/>
            <w:vAlign w:val="center"/>
          </w:tcPr>
          <w:p w14:paraId="46C5917E">
            <w:pPr>
              <w:spacing w:line="0" w:lineRule="atLeast"/>
              <w:jc w:val="center"/>
              <w:rPr>
                <w:rFonts w:hint="eastAsia" w:ascii="宋体" w:hAnsi="宋体"/>
                <w:sz w:val="24"/>
                <w:szCs w:val="24"/>
              </w:rPr>
            </w:pPr>
          </w:p>
        </w:tc>
        <w:tc>
          <w:tcPr>
            <w:tcW w:w="1267" w:type="dxa"/>
            <w:vAlign w:val="center"/>
          </w:tcPr>
          <w:p w14:paraId="234A93CF">
            <w:pPr>
              <w:spacing w:line="0" w:lineRule="atLeast"/>
              <w:jc w:val="center"/>
              <w:rPr>
                <w:rFonts w:hint="eastAsia" w:ascii="宋体" w:hAnsi="宋体"/>
                <w:sz w:val="24"/>
                <w:szCs w:val="24"/>
              </w:rPr>
            </w:pPr>
          </w:p>
        </w:tc>
        <w:tc>
          <w:tcPr>
            <w:tcW w:w="1001" w:type="dxa"/>
            <w:vAlign w:val="center"/>
          </w:tcPr>
          <w:p w14:paraId="6EE153CA">
            <w:pPr>
              <w:spacing w:line="0" w:lineRule="atLeast"/>
              <w:jc w:val="center"/>
              <w:rPr>
                <w:rFonts w:hint="eastAsia" w:ascii="宋体" w:hAnsi="宋体"/>
                <w:sz w:val="24"/>
                <w:szCs w:val="24"/>
              </w:rPr>
            </w:pPr>
          </w:p>
        </w:tc>
        <w:tc>
          <w:tcPr>
            <w:tcW w:w="1483" w:type="dxa"/>
            <w:vAlign w:val="top"/>
          </w:tcPr>
          <w:p w14:paraId="5E785909">
            <w:pPr>
              <w:spacing w:line="360" w:lineRule="auto"/>
              <w:jc w:val="center"/>
              <w:rPr>
                <w:rFonts w:hint="eastAsia" w:ascii="宋体" w:hAnsi="宋体"/>
                <w:sz w:val="24"/>
                <w:szCs w:val="24"/>
              </w:rPr>
            </w:pPr>
            <w:r>
              <w:rPr>
                <w:rFonts w:ascii="宋体" w:hAnsi="宋体" w:eastAsia="宋体" w:cs="宋体"/>
                <w:color w:val="000000"/>
                <w:sz w:val="24"/>
                <w:szCs w:val="24"/>
              </w:rPr>
              <w:t>1套</w:t>
            </w:r>
          </w:p>
        </w:tc>
        <w:tc>
          <w:tcPr>
            <w:tcW w:w="1778" w:type="dxa"/>
            <w:vAlign w:val="center"/>
          </w:tcPr>
          <w:p w14:paraId="4E9E0E2B">
            <w:pPr>
              <w:spacing w:line="0" w:lineRule="atLeast"/>
              <w:jc w:val="center"/>
              <w:rPr>
                <w:rFonts w:hint="eastAsia" w:ascii="宋体" w:hAnsi="宋体"/>
                <w:sz w:val="24"/>
                <w:szCs w:val="24"/>
              </w:rPr>
            </w:pPr>
          </w:p>
        </w:tc>
        <w:tc>
          <w:tcPr>
            <w:tcW w:w="1778" w:type="dxa"/>
            <w:vAlign w:val="center"/>
          </w:tcPr>
          <w:p w14:paraId="186CC097">
            <w:pPr>
              <w:spacing w:line="0" w:lineRule="atLeast"/>
              <w:jc w:val="center"/>
              <w:rPr>
                <w:rFonts w:hint="eastAsia" w:ascii="宋体" w:hAnsi="宋体"/>
                <w:sz w:val="24"/>
                <w:szCs w:val="24"/>
              </w:rPr>
            </w:pPr>
          </w:p>
        </w:tc>
      </w:tr>
      <w:tr w14:paraId="3231F0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3AD82912">
            <w:pPr>
              <w:spacing w:line="360" w:lineRule="auto"/>
              <w:rPr>
                <w:rFonts w:hint="eastAsia" w:ascii="宋体" w:hAnsi="宋体"/>
                <w:sz w:val="24"/>
                <w:szCs w:val="24"/>
              </w:rPr>
            </w:pPr>
            <w:r>
              <w:rPr>
                <w:rFonts w:hint="eastAsia" w:ascii="宋体" w:hAnsi="宋体" w:eastAsia="宋体"/>
                <w:color w:val="000000"/>
                <w:sz w:val="24"/>
                <w:szCs w:val="24"/>
              </w:rPr>
              <w:t>14</w:t>
            </w:r>
          </w:p>
        </w:tc>
        <w:tc>
          <w:tcPr>
            <w:tcW w:w="1008" w:type="dxa"/>
            <w:vAlign w:val="top"/>
          </w:tcPr>
          <w:p w14:paraId="4921CE61">
            <w:pPr>
              <w:spacing w:line="360" w:lineRule="auto"/>
              <w:rPr>
                <w:rFonts w:hint="eastAsia" w:ascii="宋体" w:hAnsi="宋体"/>
                <w:sz w:val="24"/>
                <w:szCs w:val="24"/>
              </w:rPr>
            </w:pPr>
            <w:r>
              <w:rPr>
                <w:rFonts w:hint="eastAsia" w:ascii="宋体" w:hAnsi="宋体" w:cs="宋体"/>
                <w:color w:val="000000"/>
                <w:sz w:val="24"/>
                <w:szCs w:val="24"/>
              </w:rPr>
              <w:t>激光电动限束仪</w:t>
            </w:r>
          </w:p>
        </w:tc>
        <w:tc>
          <w:tcPr>
            <w:tcW w:w="1246" w:type="dxa"/>
            <w:vAlign w:val="center"/>
          </w:tcPr>
          <w:p w14:paraId="2513060F">
            <w:pPr>
              <w:spacing w:line="0" w:lineRule="atLeast"/>
              <w:jc w:val="center"/>
              <w:rPr>
                <w:rFonts w:hint="eastAsia" w:ascii="宋体" w:hAnsi="宋体"/>
                <w:sz w:val="24"/>
                <w:szCs w:val="24"/>
              </w:rPr>
            </w:pPr>
          </w:p>
        </w:tc>
        <w:tc>
          <w:tcPr>
            <w:tcW w:w="1267" w:type="dxa"/>
            <w:vAlign w:val="center"/>
          </w:tcPr>
          <w:p w14:paraId="195D25E1">
            <w:pPr>
              <w:spacing w:line="0" w:lineRule="atLeast"/>
              <w:jc w:val="center"/>
              <w:rPr>
                <w:rFonts w:hint="eastAsia" w:ascii="宋体" w:hAnsi="宋体"/>
                <w:sz w:val="24"/>
                <w:szCs w:val="24"/>
              </w:rPr>
            </w:pPr>
          </w:p>
        </w:tc>
        <w:tc>
          <w:tcPr>
            <w:tcW w:w="1001" w:type="dxa"/>
            <w:vAlign w:val="center"/>
          </w:tcPr>
          <w:p w14:paraId="3E02B096">
            <w:pPr>
              <w:spacing w:line="0" w:lineRule="atLeast"/>
              <w:jc w:val="center"/>
              <w:rPr>
                <w:rFonts w:hint="eastAsia" w:ascii="宋体" w:hAnsi="宋体"/>
                <w:sz w:val="24"/>
                <w:szCs w:val="24"/>
              </w:rPr>
            </w:pPr>
          </w:p>
        </w:tc>
        <w:tc>
          <w:tcPr>
            <w:tcW w:w="1483" w:type="dxa"/>
            <w:vAlign w:val="top"/>
          </w:tcPr>
          <w:p w14:paraId="374EBC40">
            <w:pPr>
              <w:spacing w:line="360" w:lineRule="auto"/>
              <w:jc w:val="center"/>
              <w:rPr>
                <w:rFonts w:hint="eastAsia" w:ascii="宋体" w:hAnsi="宋体"/>
                <w:sz w:val="24"/>
                <w:szCs w:val="24"/>
              </w:rPr>
            </w:pPr>
            <w:r>
              <w:rPr>
                <w:rFonts w:ascii="宋体" w:hAnsi="宋体" w:eastAsia="宋体" w:cs="宋体"/>
                <w:color w:val="000000"/>
                <w:sz w:val="24"/>
                <w:szCs w:val="24"/>
              </w:rPr>
              <w:t>1套</w:t>
            </w:r>
          </w:p>
        </w:tc>
        <w:tc>
          <w:tcPr>
            <w:tcW w:w="1778" w:type="dxa"/>
            <w:vAlign w:val="center"/>
          </w:tcPr>
          <w:p w14:paraId="5A3810B5">
            <w:pPr>
              <w:spacing w:line="0" w:lineRule="atLeast"/>
              <w:jc w:val="center"/>
              <w:rPr>
                <w:rFonts w:hint="eastAsia" w:ascii="宋体" w:hAnsi="宋体"/>
                <w:sz w:val="24"/>
                <w:szCs w:val="24"/>
              </w:rPr>
            </w:pPr>
          </w:p>
        </w:tc>
        <w:tc>
          <w:tcPr>
            <w:tcW w:w="1778" w:type="dxa"/>
            <w:vAlign w:val="center"/>
          </w:tcPr>
          <w:p w14:paraId="6BF0A9F1">
            <w:pPr>
              <w:spacing w:line="0" w:lineRule="atLeast"/>
              <w:jc w:val="center"/>
              <w:rPr>
                <w:rFonts w:hint="eastAsia" w:ascii="宋体" w:hAnsi="宋体"/>
                <w:sz w:val="24"/>
                <w:szCs w:val="24"/>
              </w:rPr>
            </w:pPr>
          </w:p>
        </w:tc>
      </w:tr>
      <w:tr w14:paraId="43148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56" w:type="dxa"/>
            <w:vAlign w:val="top"/>
          </w:tcPr>
          <w:p w14:paraId="13A60009">
            <w:pPr>
              <w:spacing w:line="360" w:lineRule="auto"/>
              <w:rPr>
                <w:rFonts w:hint="eastAsia" w:ascii="宋体" w:hAnsi="宋体"/>
                <w:sz w:val="24"/>
                <w:szCs w:val="24"/>
              </w:rPr>
            </w:pPr>
            <w:r>
              <w:rPr>
                <w:rFonts w:hint="eastAsia" w:ascii="宋体" w:hAnsi="宋体" w:eastAsia="宋体"/>
                <w:color w:val="000000"/>
                <w:sz w:val="24"/>
                <w:szCs w:val="24"/>
              </w:rPr>
              <w:t>15</w:t>
            </w:r>
          </w:p>
        </w:tc>
        <w:tc>
          <w:tcPr>
            <w:tcW w:w="1008" w:type="dxa"/>
            <w:vAlign w:val="top"/>
          </w:tcPr>
          <w:p w14:paraId="79F6E735">
            <w:pPr>
              <w:spacing w:line="360" w:lineRule="auto"/>
              <w:rPr>
                <w:rFonts w:hint="eastAsia" w:ascii="宋体" w:hAnsi="宋体"/>
                <w:sz w:val="24"/>
                <w:szCs w:val="24"/>
              </w:rPr>
            </w:pPr>
            <w:r>
              <w:rPr>
                <w:rFonts w:hint="eastAsia" w:ascii="宋体" w:hAnsi="宋体" w:cs="宋体"/>
                <w:color w:val="000000"/>
                <w:sz w:val="24"/>
                <w:szCs w:val="24"/>
              </w:rPr>
              <w:t>远程控制系统</w:t>
            </w:r>
          </w:p>
        </w:tc>
        <w:tc>
          <w:tcPr>
            <w:tcW w:w="1246" w:type="dxa"/>
            <w:vAlign w:val="center"/>
          </w:tcPr>
          <w:p w14:paraId="3D6091B5">
            <w:pPr>
              <w:spacing w:line="0" w:lineRule="atLeast"/>
              <w:jc w:val="center"/>
              <w:rPr>
                <w:rFonts w:hint="eastAsia" w:ascii="宋体" w:hAnsi="宋体"/>
                <w:sz w:val="24"/>
                <w:szCs w:val="24"/>
              </w:rPr>
            </w:pPr>
          </w:p>
        </w:tc>
        <w:tc>
          <w:tcPr>
            <w:tcW w:w="1267" w:type="dxa"/>
            <w:vAlign w:val="center"/>
          </w:tcPr>
          <w:p w14:paraId="6EE4E0EF">
            <w:pPr>
              <w:spacing w:line="0" w:lineRule="atLeast"/>
              <w:jc w:val="center"/>
              <w:rPr>
                <w:rFonts w:hint="eastAsia" w:ascii="宋体" w:hAnsi="宋体"/>
                <w:sz w:val="24"/>
                <w:szCs w:val="24"/>
              </w:rPr>
            </w:pPr>
          </w:p>
        </w:tc>
        <w:tc>
          <w:tcPr>
            <w:tcW w:w="1001" w:type="dxa"/>
            <w:vAlign w:val="center"/>
          </w:tcPr>
          <w:p w14:paraId="469D231C">
            <w:pPr>
              <w:spacing w:line="0" w:lineRule="atLeast"/>
              <w:jc w:val="center"/>
              <w:rPr>
                <w:rFonts w:hint="eastAsia" w:ascii="宋体" w:hAnsi="宋体"/>
                <w:sz w:val="24"/>
                <w:szCs w:val="24"/>
              </w:rPr>
            </w:pPr>
          </w:p>
        </w:tc>
        <w:tc>
          <w:tcPr>
            <w:tcW w:w="1483" w:type="dxa"/>
            <w:vAlign w:val="top"/>
          </w:tcPr>
          <w:p w14:paraId="03750A87">
            <w:pPr>
              <w:spacing w:line="360" w:lineRule="auto"/>
              <w:jc w:val="center"/>
              <w:rPr>
                <w:rFonts w:hint="eastAsia" w:ascii="宋体" w:hAnsi="宋体"/>
                <w:sz w:val="24"/>
                <w:szCs w:val="24"/>
              </w:rPr>
            </w:pPr>
            <w:r>
              <w:rPr>
                <w:rFonts w:ascii="宋体" w:hAnsi="宋体" w:eastAsia="宋体" w:cs="宋体"/>
                <w:color w:val="000000"/>
                <w:sz w:val="24"/>
                <w:szCs w:val="24"/>
              </w:rPr>
              <w:t>1套</w:t>
            </w:r>
          </w:p>
        </w:tc>
        <w:tc>
          <w:tcPr>
            <w:tcW w:w="1778" w:type="dxa"/>
            <w:vAlign w:val="center"/>
          </w:tcPr>
          <w:p w14:paraId="590A03E6">
            <w:pPr>
              <w:spacing w:line="0" w:lineRule="atLeast"/>
              <w:jc w:val="center"/>
              <w:rPr>
                <w:rFonts w:hint="eastAsia" w:ascii="宋体" w:hAnsi="宋体"/>
                <w:sz w:val="24"/>
                <w:szCs w:val="24"/>
              </w:rPr>
            </w:pPr>
          </w:p>
        </w:tc>
        <w:tc>
          <w:tcPr>
            <w:tcW w:w="1778" w:type="dxa"/>
            <w:vAlign w:val="center"/>
          </w:tcPr>
          <w:p w14:paraId="055B14CE">
            <w:pPr>
              <w:spacing w:line="0" w:lineRule="atLeast"/>
              <w:jc w:val="center"/>
              <w:rPr>
                <w:rFonts w:hint="eastAsia" w:ascii="宋体" w:hAnsi="宋体"/>
                <w:sz w:val="24"/>
                <w:szCs w:val="24"/>
              </w:rPr>
            </w:pPr>
          </w:p>
        </w:tc>
      </w:tr>
      <w:tr w14:paraId="14BAFD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7" w:hRule="atLeast"/>
        </w:trPr>
        <w:tc>
          <w:tcPr>
            <w:tcW w:w="8339" w:type="dxa"/>
            <w:gridSpan w:val="7"/>
            <w:vAlign w:val="center"/>
          </w:tcPr>
          <w:p w14:paraId="59FA804B">
            <w:pPr>
              <w:spacing w:line="0" w:lineRule="atLeast"/>
              <w:rPr>
                <w:rFonts w:hint="eastAsia" w:ascii="宋体" w:hAnsi="宋体"/>
                <w:sz w:val="24"/>
                <w:szCs w:val="24"/>
                <w:u w:val="single"/>
              </w:rPr>
            </w:pPr>
            <w:r>
              <w:rPr>
                <w:rFonts w:hint="eastAsia" w:ascii="宋体" w:hAnsi="宋体"/>
                <w:sz w:val="24"/>
                <w:szCs w:val="24"/>
              </w:rPr>
              <w:t>投标总报价（人民币：元）</w:t>
            </w:r>
            <w:r>
              <w:rPr>
                <w:rFonts w:hint="eastAsia" w:ascii="宋体" w:hAnsi="宋体"/>
                <w:sz w:val="24"/>
                <w:szCs w:val="24"/>
                <w:u w:val="single"/>
              </w:rPr>
              <w:t xml:space="preserve">                          </w:t>
            </w:r>
          </w:p>
        </w:tc>
        <w:tc>
          <w:tcPr>
            <w:tcW w:w="1778" w:type="dxa"/>
            <w:vAlign w:val="center"/>
          </w:tcPr>
          <w:p w14:paraId="3C5C00CC">
            <w:pPr>
              <w:spacing w:line="0" w:lineRule="atLeast"/>
              <w:rPr>
                <w:rFonts w:hint="eastAsia" w:ascii="宋体" w:hAnsi="宋体"/>
                <w:sz w:val="24"/>
                <w:szCs w:val="24"/>
              </w:rPr>
            </w:pPr>
          </w:p>
        </w:tc>
      </w:tr>
    </w:tbl>
    <w:p w14:paraId="69AB69FA">
      <w:pPr>
        <w:spacing w:line="0" w:lineRule="atLeast"/>
        <w:rPr>
          <w:rFonts w:hint="eastAsia" w:ascii="宋体" w:hAnsi="宋体"/>
          <w:sz w:val="24"/>
          <w:szCs w:val="24"/>
        </w:rPr>
      </w:pPr>
      <w:r>
        <w:rPr>
          <w:rFonts w:hint="eastAsia" w:ascii="宋体" w:hAnsi="宋体"/>
          <w:sz w:val="24"/>
          <w:szCs w:val="24"/>
        </w:rPr>
        <w:t>备注：</w:t>
      </w:r>
    </w:p>
    <w:p w14:paraId="52ACD0D5">
      <w:pPr>
        <w:spacing w:line="0" w:lineRule="atLeast"/>
        <w:rPr>
          <w:rFonts w:hint="eastAsia" w:ascii="宋体" w:hAnsi="宋体"/>
          <w:sz w:val="24"/>
          <w:szCs w:val="24"/>
        </w:rPr>
      </w:pPr>
      <w:r>
        <w:rPr>
          <w:rFonts w:hint="eastAsia" w:ascii="宋体" w:hAnsi="宋体"/>
          <w:sz w:val="24"/>
          <w:szCs w:val="24"/>
        </w:rPr>
        <w:t>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p>
    <w:p w14:paraId="37CE1C3C">
      <w:pPr>
        <w:spacing w:line="0" w:lineRule="atLeast"/>
        <w:rPr>
          <w:rFonts w:hint="eastAsia" w:ascii="宋体" w:hAnsi="宋体"/>
          <w:sz w:val="24"/>
          <w:szCs w:val="24"/>
        </w:rPr>
      </w:pPr>
      <w:r>
        <w:rPr>
          <w:rFonts w:hint="eastAsia" w:ascii="宋体" w:hAnsi="宋体"/>
          <w:sz w:val="24"/>
          <w:szCs w:val="24"/>
        </w:rPr>
        <w:t>2.“投标分项报价表”中“投标总报价”数额应当与“开标一览表”中“投标总报价”数额一致。</w:t>
      </w:r>
    </w:p>
    <w:p w14:paraId="001306E5">
      <w:pPr>
        <w:spacing w:line="0" w:lineRule="atLeast"/>
        <w:rPr>
          <w:rFonts w:hint="eastAsia" w:ascii="宋体" w:hAnsi="宋体"/>
          <w:sz w:val="24"/>
        </w:rPr>
      </w:pPr>
      <w:r>
        <w:rPr>
          <w:rFonts w:hint="eastAsia" w:ascii="宋体" w:hAnsi="宋体"/>
          <w:sz w:val="24"/>
          <w:szCs w:val="24"/>
        </w:rPr>
        <w:t>3.</w:t>
      </w:r>
      <w:r>
        <w:rPr>
          <w:rFonts w:hint="eastAsia" w:ascii="宋体" w:hAnsi="宋体"/>
          <w:sz w:val="24"/>
        </w:rPr>
        <w:t xml:space="preserve"> 项目</w:t>
      </w:r>
      <w:r>
        <w:rPr>
          <w:rFonts w:ascii="宋体" w:hAnsi="宋体"/>
          <w:sz w:val="24"/>
        </w:rPr>
        <w:t>经办人可以根据</w:t>
      </w:r>
      <w:r>
        <w:rPr>
          <w:rFonts w:hint="eastAsia" w:ascii="宋体" w:hAnsi="宋体"/>
          <w:sz w:val="24"/>
        </w:rPr>
        <w:t>项目</w:t>
      </w:r>
      <w:r>
        <w:rPr>
          <w:rFonts w:ascii="宋体" w:hAnsi="宋体"/>
          <w:sz w:val="24"/>
        </w:rPr>
        <w:t>实际需要</w:t>
      </w:r>
      <w:r>
        <w:rPr>
          <w:rFonts w:hint="eastAsia" w:ascii="宋体" w:hAnsi="宋体"/>
          <w:sz w:val="24"/>
        </w:rPr>
        <w:t>对</w:t>
      </w:r>
      <w:r>
        <w:rPr>
          <w:rFonts w:ascii="宋体" w:hAnsi="宋体"/>
          <w:sz w:val="24"/>
        </w:rPr>
        <w:t>表格结构进行</w:t>
      </w:r>
      <w:r>
        <w:rPr>
          <w:rFonts w:hint="eastAsia" w:ascii="宋体" w:hAnsi="宋体"/>
          <w:sz w:val="24"/>
        </w:rPr>
        <w:t>调整</w:t>
      </w:r>
      <w:r>
        <w:rPr>
          <w:rFonts w:ascii="宋体" w:hAnsi="宋体"/>
          <w:sz w:val="24"/>
        </w:rPr>
        <w:t>。</w:t>
      </w:r>
    </w:p>
    <w:p w14:paraId="7282C064">
      <w:pPr>
        <w:pStyle w:val="12"/>
        <w:overflowPunct w:val="0"/>
        <w:spacing w:line="360" w:lineRule="auto"/>
        <w:ind w:left="2940" w:leftChars="1400"/>
        <w:rPr>
          <w:rFonts w:hint="eastAsia" w:ascii="宋体" w:hAnsi="宋体" w:eastAsia="宋体" w:cs="Arial"/>
          <w:sz w:val="21"/>
        </w:rPr>
      </w:pPr>
    </w:p>
    <w:p w14:paraId="2A12BF31">
      <w:pPr>
        <w:pStyle w:val="12"/>
        <w:overflowPunct w:val="0"/>
        <w:spacing w:line="360" w:lineRule="auto"/>
        <w:ind w:left="2940" w:leftChars="1400"/>
        <w:jc w:val="right"/>
        <w:rPr>
          <w:rFonts w:hint="eastAsia" w:ascii="宋体" w:hAnsi="宋体" w:eastAsia="宋体" w:cs="Arial"/>
          <w:szCs w:val="24"/>
        </w:rPr>
      </w:pPr>
    </w:p>
    <w:p w14:paraId="0DFA5284">
      <w:pPr>
        <w:pStyle w:val="12"/>
        <w:overflowPunct w:val="0"/>
        <w:spacing w:line="360" w:lineRule="auto"/>
        <w:ind w:left="2940" w:leftChars="1400"/>
        <w:jc w:val="right"/>
        <w:rPr>
          <w:rFonts w:hint="eastAsia" w:ascii="宋体" w:hAnsi="宋体" w:eastAsia="宋体" w:cs="Arial"/>
          <w:szCs w:val="24"/>
        </w:rPr>
      </w:pPr>
      <w:r>
        <w:rPr>
          <w:rFonts w:hint="eastAsia" w:ascii="宋体" w:hAnsi="宋体" w:eastAsia="宋体" w:cs="Arial"/>
          <w:szCs w:val="24"/>
        </w:rPr>
        <w:t>投标人名称</w:t>
      </w:r>
      <w:r>
        <w:rPr>
          <w:rFonts w:hint="eastAsia" w:ascii="宋体" w:hAnsi="宋体" w:eastAsia="宋体"/>
          <w:szCs w:val="24"/>
          <w:u w:val="single"/>
        </w:rPr>
        <w:t>（加盖CA</w:t>
      </w:r>
      <w:r>
        <w:rPr>
          <w:rFonts w:hint="eastAsia" w:ascii="宋体" w:hAnsi="宋体" w:eastAsia="宋体"/>
          <w:szCs w:val="24"/>
          <w:u w:val="single"/>
          <w:lang w:eastAsia="zh-CN"/>
        </w:rPr>
        <w:t>电子公章</w:t>
      </w:r>
      <w:r>
        <w:rPr>
          <w:rFonts w:hint="eastAsia" w:ascii="宋体" w:hAnsi="宋体" w:eastAsia="宋体"/>
          <w:szCs w:val="24"/>
          <w:u w:val="single"/>
        </w:rPr>
        <w:t>）</w:t>
      </w:r>
      <w:r>
        <w:rPr>
          <w:rFonts w:hint="eastAsia" w:ascii="宋体" w:hAnsi="宋体" w:eastAsia="宋体" w:cs="Arial"/>
          <w:szCs w:val="24"/>
        </w:rPr>
        <w:t>：</w:t>
      </w:r>
    </w:p>
    <w:p w14:paraId="18BEB3F3">
      <w:pPr>
        <w:pStyle w:val="12"/>
        <w:overflowPunct w:val="0"/>
        <w:spacing w:line="360" w:lineRule="auto"/>
        <w:ind w:left="2940" w:leftChars="1400"/>
        <w:jc w:val="right"/>
        <w:rPr>
          <w:rFonts w:ascii="Arial" w:hAnsi="Arial" w:eastAsia="宋体" w:cs="Arial"/>
          <w:szCs w:val="24"/>
        </w:rPr>
      </w:pPr>
      <w:r>
        <w:rPr>
          <w:rFonts w:hint="eastAsia" w:ascii="Arial" w:hAnsi="Arial" w:eastAsia="宋体" w:cs="Arial"/>
          <w:szCs w:val="24"/>
        </w:rPr>
        <w:t>日期：</w:t>
      </w:r>
      <w:r>
        <w:rPr>
          <w:rFonts w:ascii="Arial" w:hAnsi="Arial" w:eastAsia="宋体" w:cs="Arial"/>
          <w:szCs w:val="24"/>
        </w:rPr>
        <w:t xml:space="preserve"> </w:t>
      </w:r>
    </w:p>
    <w:p w14:paraId="1EF1B5EA">
      <w:pPr>
        <w:spacing w:line="0" w:lineRule="atLeast"/>
        <w:rPr>
          <w:rFonts w:hint="eastAsia" w:ascii="宋体" w:hAnsi="宋体"/>
          <w:sz w:val="24"/>
        </w:rPr>
      </w:pPr>
    </w:p>
    <w:p w14:paraId="100CCEB8"/>
    <w:p w14:paraId="1ADFC1B2">
      <w:pPr>
        <w:spacing w:line="0" w:lineRule="atLeast"/>
        <w:rPr>
          <w:rFonts w:hint="eastAsia" w:ascii="宋体" w:hAnsi="宋体"/>
          <w:sz w:val="24"/>
          <w:szCs w:val="24"/>
        </w:rPr>
      </w:pPr>
    </w:p>
    <w:p w14:paraId="5E27CB89">
      <w:pPr>
        <w:ind w:firstLine="480"/>
        <w:rPr>
          <w:rFonts w:hint="eastAsia" w:ascii="宋体" w:hAnsi="宋体"/>
          <w:sz w:val="24"/>
          <w:szCs w:val="24"/>
        </w:rPr>
      </w:pPr>
      <w:r>
        <w:rPr>
          <w:rFonts w:hint="eastAsia" w:ascii="宋体" w:hAnsi="宋体"/>
          <w:sz w:val="24"/>
          <w:szCs w:val="24"/>
        </w:rPr>
        <w:t xml:space="preserve">                                           </w:t>
      </w:r>
    </w:p>
    <w:p w14:paraId="3487C647">
      <w:pPr>
        <w:jc w:val="left"/>
        <w:rPr>
          <w:rFonts w:hint="eastAsia" w:ascii="宋体" w:hAnsi="宋体"/>
          <w:b/>
          <w:sz w:val="24"/>
          <w:szCs w:val="24"/>
        </w:rPr>
      </w:pPr>
      <w:r>
        <w:rPr>
          <w:rFonts w:hint="eastAsia" w:ascii="宋体" w:hAnsi="宋体"/>
          <w:b/>
          <w:sz w:val="24"/>
          <w:szCs w:val="24"/>
        </w:rPr>
        <w:br w:type="page"/>
      </w:r>
    </w:p>
    <w:p w14:paraId="2D5C5181">
      <w:pPr>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rPr>
        <w:t>技术要求响应及偏离表（采购包号：★★）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1CCDDD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03C8D9B0">
            <w:pPr>
              <w:spacing w:line="400" w:lineRule="exact"/>
              <w:jc w:val="center"/>
              <w:rPr>
                <w:rFonts w:hint="eastAsia" w:ascii="宋体" w:hAnsi="宋体"/>
                <w:sz w:val="24"/>
                <w:szCs w:val="24"/>
              </w:rPr>
            </w:pPr>
            <w:r>
              <w:rPr>
                <w:rFonts w:hint="eastAsia" w:ascii="宋体" w:hAnsi="宋体"/>
                <w:sz w:val="24"/>
                <w:szCs w:val="24"/>
              </w:rPr>
              <w:t>序号</w:t>
            </w:r>
          </w:p>
        </w:tc>
        <w:tc>
          <w:tcPr>
            <w:tcW w:w="3063" w:type="dxa"/>
            <w:vAlign w:val="center"/>
          </w:tcPr>
          <w:p w14:paraId="4D327FF2">
            <w:pPr>
              <w:spacing w:line="400" w:lineRule="exact"/>
              <w:jc w:val="center"/>
              <w:rPr>
                <w:rFonts w:hint="eastAsia" w:ascii="宋体" w:hAnsi="宋体"/>
                <w:sz w:val="24"/>
                <w:szCs w:val="24"/>
              </w:rPr>
            </w:pPr>
            <w:r>
              <w:rPr>
                <w:rFonts w:hint="eastAsia" w:ascii="宋体" w:hAnsi="宋体"/>
                <w:sz w:val="24"/>
                <w:szCs w:val="24"/>
              </w:rPr>
              <w:t>技术要求</w:t>
            </w:r>
          </w:p>
        </w:tc>
        <w:tc>
          <w:tcPr>
            <w:tcW w:w="3191" w:type="dxa"/>
            <w:vAlign w:val="center"/>
          </w:tcPr>
          <w:p w14:paraId="5EBD1FC9">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vAlign w:val="center"/>
          </w:tcPr>
          <w:p w14:paraId="450F86C1">
            <w:pPr>
              <w:spacing w:line="400" w:lineRule="exact"/>
              <w:jc w:val="center"/>
              <w:rPr>
                <w:rFonts w:hint="eastAsia" w:ascii="宋体" w:hAnsi="宋体"/>
                <w:sz w:val="24"/>
                <w:szCs w:val="24"/>
              </w:rPr>
            </w:pPr>
            <w:r>
              <w:rPr>
                <w:rFonts w:hint="eastAsia" w:ascii="宋体" w:hAnsi="宋体"/>
                <w:sz w:val="24"/>
                <w:szCs w:val="24"/>
              </w:rPr>
              <w:t>超出、符合或偏离</w:t>
            </w:r>
          </w:p>
        </w:tc>
      </w:tr>
      <w:tr w14:paraId="0CA90B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457AD3B">
            <w:pPr>
              <w:spacing w:line="400" w:lineRule="exact"/>
              <w:jc w:val="center"/>
              <w:rPr>
                <w:rFonts w:hint="eastAsia" w:ascii="宋体" w:hAnsi="宋体"/>
                <w:sz w:val="24"/>
                <w:szCs w:val="24"/>
              </w:rPr>
            </w:pPr>
            <w:r>
              <w:rPr>
                <w:rFonts w:hint="eastAsia" w:ascii="宋体" w:hAnsi="宋体"/>
                <w:sz w:val="24"/>
                <w:szCs w:val="24"/>
              </w:rPr>
              <w:t>1</w:t>
            </w:r>
          </w:p>
        </w:tc>
        <w:tc>
          <w:tcPr>
            <w:tcW w:w="3063" w:type="dxa"/>
          </w:tcPr>
          <w:p w14:paraId="0A668426">
            <w:pPr>
              <w:spacing w:line="400" w:lineRule="exact"/>
              <w:jc w:val="center"/>
              <w:rPr>
                <w:rFonts w:hint="eastAsia" w:ascii="宋体" w:hAnsi="宋体"/>
                <w:sz w:val="24"/>
                <w:szCs w:val="24"/>
              </w:rPr>
            </w:pPr>
          </w:p>
        </w:tc>
        <w:tc>
          <w:tcPr>
            <w:tcW w:w="3191" w:type="dxa"/>
          </w:tcPr>
          <w:p w14:paraId="5C966A65">
            <w:pPr>
              <w:spacing w:line="400" w:lineRule="exact"/>
              <w:jc w:val="center"/>
              <w:rPr>
                <w:rFonts w:hint="eastAsia" w:ascii="宋体" w:hAnsi="宋体"/>
                <w:sz w:val="24"/>
                <w:szCs w:val="24"/>
              </w:rPr>
            </w:pPr>
          </w:p>
        </w:tc>
        <w:tc>
          <w:tcPr>
            <w:tcW w:w="2128" w:type="dxa"/>
          </w:tcPr>
          <w:p w14:paraId="0AAE45D9">
            <w:pPr>
              <w:spacing w:line="400" w:lineRule="exact"/>
              <w:jc w:val="center"/>
              <w:rPr>
                <w:rFonts w:hint="eastAsia" w:ascii="宋体" w:hAnsi="宋体"/>
                <w:sz w:val="24"/>
                <w:szCs w:val="24"/>
              </w:rPr>
            </w:pPr>
          </w:p>
        </w:tc>
      </w:tr>
      <w:tr w14:paraId="29D63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26A49466">
            <w:pPr>
              <w:spacing w:line="400" w:lineRule="exact"/>
              <w:jc w:val="center"/>
              <w:rPr>
                <w:rFonts w:hint="eastAsia" w:ascii="宋体" w:hAnsi="宋体"/>
                <w:sz w:val="24"/>
                <w:szCs w:val="24"/>
              </w:rPr>
            </w:pPr>
          </w:p>
        </w:tc>
        <w:tc>
          <w:tcPr>
            <w:tcW w:w="3063" w:type="dxa"/>
          </w:tcPr>
          <w:p w14:paraId="03B7F43C">
            <w:pPr>
              <w:spacing w:line="400" w:lineRule="exact"/>
              <w:jc w:val="center"/>
              <w:rPr>
                <w:rFonts w:hint="eastAsia" w:ascii="宋体" w:hAnsi="宋体"/>
                <w:sz w:val="24"/>
                <w:szCs w:val="24"/>
              </w:rPr>
            </w:pPr>
            <w:r>
              <w:rPr>
                <w:rFonts w:ascii="宋体" w:hAnsi="宋体"/>
                <w:sz w:val="24"/>
                <w:szCs w:val="24"/>
              </w:rPr>
              <w:t>……</w:t>
            </w:r>
          </w:p>
        </w:tc>
        <w:tc>
          <w:tcPr>
            <w:tcW w:w="3191" w:type="dxa"/>
          </w:tcPr>
          <w:p w14:paraId="4F7F6065">
            <w:pPr>
              <w:spacing w:line="400" w:lineRule="exact"/>
              <w:jc w:val="center"/>
              <w:rPr>
                <w:rFonts w:hint="eastAsia" w:ascii="宋体" w:hAnsi="宋体"/>
                <w:sz w:val="24"/>
                <w:szCs w:val="24"/>
              </w:rPr>
            </w:pPr>
          </w:p>
        </w:tc>
        <w:tc>
          <w:tcPr>
            <w:tcW w:w="2128" w:type="dxa"/>
          </w:tcPr>
          <w:p w14:paraId="25976F56">
            <w:pPr>
              <w:spacing w:line="400" w:lineRule="exact"/>
              <w:jc w:val="center"/>
              <w:rPr>
                <w:rFonts w:hint="eastAsia" w:ascii="宋体" w:hAnsi="宋体"/>
                <w:sz w:val="24"/>
                <w:szCs w:val="24"/>
              </w:rPr>
            </w:pPr>
          </w:p>
        </w:tc>
      </w:tr>
    </w:tbl>
    <w:p w14:paraId="347391F3">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1301AC3A">
      <w:pPr>
        <w:spacing w:line="400" w:lineRule="exact"/>
        <w:rPr>
          <w:rFonts w:hint="eastAsia" w:ascii="宋体" w:hAnsi="宋体"/>
          <w:sz w:val="24"/>
          <w:szCs w:val="24"/>
        </w:rPr>
      </w:pPr>
    </w:p>
    <w:p w14:paraId="094F0E8E">
      <w:pPr>
        <w:spacing w:line="400" w:lineRule="exact"/>
        <w:rPr>
          <w:rFonts w:hint="eastAsia" w:ascii="宋体" w:hAnsi="宋体"/>
          <w:sz w:val="24"/>
          <w:szCs w:val="24"/>
        </w:rPr>
      </w:pPr>
      <w:r>
        <w:rPr>
          <w:rFonts w:hint="eastAsia" w:ascii="宋体" w:hAnsi="宋体"/>
          <w:sz w:val="24"/>
          <w:szCs w:val="24"/>
        </w:rPr>
        <w:t>备注</w:t>
      </w:r>
      <w:r>
        <w:rPr>
          <w:rFonts w:ascii="宋体" w:hAnsi="宋体"/>
          <w:sz w:val="24"/>
          <w:szCs w:val="24"/>
        </w:rPr>
        <w:t>：</w:t>
      </w:r>
    </w:p>
    <w:p w14:paraId="22A654E8">
      <w:pPr>
        <w:spacing w:line="400" w:lineRule="exact"/>
        <w:rPr>
          <w:rFonts w:hint="eastAsia" w:ascii="宋体" w:hAnsi="宋体"/>
          <w:sz w:val="24"/>
          <w:szCs w:val="24"/>
        </w:rPr>
      </w:pPr>
      <w:r>
        <w:rPr>
          <w:rFonts w:hint="eastAsia" w:ascii="宋体" w:hAnsi="宋体" w:cs="宋体"/>
          <w:color w:val="000000"/>
          <w:sz w:val="24"/>
          <w:szCs w:val="24"/>
        </w:rPr>
        <w:t>1.投标人需对招标文件技术要求中非实质性要求（</w:t>
      </w:r>
      <w:r>
        <w:rPr>
          <w:rFonts w:hint="eastAsia" w:ascii="宋体" w:hAnsi="宋体" w:cs="宋体"/>
          <w:b/>
          <w:color w:val="000000"/>
          <w:sz w:val="24"/>
          <w:szCs w:val="24"/>
        </w:rPr>
        <w:t>未加</w:t>
      </w:r>
      <w:r>
        <w:rPr>
          <w:rFonts w:hint="eastAsia" w:ascii="宋体" w:hAnsi="宋体" w:cs="宋体"/>
          <w:b/>
          <w:i/>
          <w:color w:val="000000"/>
          <w:sz w:val="24"/>
          <w:szCs w:val="24"/>
          <w:u w:val="single"/>
        </w:rPr>
        <w:t>斜体下划线</w:t>
      </w:r>
      <w:r>
        <w:rPr>
          <w:rFonts w:hint="eastAsia" w:ascii="宋体" w:hAnsi="宋体" w:cs="宋体"/>
          <w:b/>
          <w:iCs/>
          <w:color w:val="000000"/>
          <w:sz w:val="24"/>
          <w:szCs w:val="24"/>
        </w:rPr>
        <w:t>部分</w:t>
      </w:r>
      <w:r>
        <w:rPr>
          <w:rFonts w:hint="eastAsia" w:ascii="宋体" w:hAnsi="宋体" w:cs="宋体"/>
          <w:b/>
          <w:color w:val="000000"/>
          <w:sz w:val="24"/>
          <w:szCs w:val="24"/>
        </w:rPr>
        <w:t>或未加★号条款</w:t>
      </w:r>
      <w:r>
        <w:rPr>
          <w:rFonts w:hint="eastAsia" w:ascii="宋体" w:hAnsi="宋体" w:cs="宋体"/>
          <w:color w:val="000000"/>
          <w:sz w:val="24"/>
          <w:szCs w:val="24"/>
        </w:rPr>
        <w:t>）</w:t>
      </w:r>
      <w:r>
        <w:rPr>
          <w:rFonts w:ascii="宋体" w:hAnsi="宋体"/>
          <w:sz w:val="24"/>
          <w:szCs w:val="24"/>
        </w:rPr>
        <w:t>逐条做出明确响应</w:t>
      </w:r>
      <w:r>
        <w:rPr>
          <w:rFonts w:hint="eastAsia" w:ascii="宋体" w:hAnsi="宋体"/>
          <w:sz w:val="24"/>
          <w:szCs w:val="24"/>
        </w:rPr>
        <w:t>。</w:t>
      </w:r>
    </w:p>
    <w:p w14:paraId="244EB4B7">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AA4C859">
      <w:pPr>
        <w:spacing w:line="400" w:lineRule="exact"/>
        <w:rPr>
          <w:rFonts w:hint="eastAsia" w:ascii="宋体" w:hAnsi="宋体"/>
          <w:sz w:val="24"/>
          <w:szCs w:val="24"/>
        </w:rPr>
      </w:pPr>
    </w:p>
    <w:p w14:paraId="0BB4726A">
      <w:pPr>
        <w:spacing w:line="400" w:lineRule="exact"/>
        <w:rPr>
          <w:rFonts w:hint="eastAsia" w:ascii="宋体" w:hAnsi="宋体"/>
          <w:sz w:val="24"/>
          <w:szCs w:val="24"/>
        </w:rPr>
      </w:pPr>
    </w:p>
    <w:p w14:paraId="7944328F">
      <w:pPr>
        <w:jc w:val="left"/>
        <w:rPr>
          <w:rFonts w:hint="eastAsia" w:ascii="宋体" w:hAnsi="宋体"/>
          <w:b/>
          <w:sz w:val="24"/>
          <w:szCs w:val="24"/>
        </w:rPr>
      </w:pPr>
      <w:r>
        <w:rPr>
          <w:rFonts w:hint="eastAsia" w:ascii="宋体" w:hAnsi="宋体"/>
          <w:b/>
          <w:sz w:val="24"/>
          <w:szCs w:val="24"/>
        </w:rPr>
        <w:br w:type="page"/>
      </w:r>
    </w:p>
    <w:p w14:paraId="60878C98">
      <w:pPr>
        <w:rPr>
          <w:rFonts w:hint="eastAsia"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rPr>
        <w:t>商务要求响应及偏离表（采购包号：★★）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063"/>
        <w:gridCol w:w="3191"/>
        <w:gridCol w:w="2128"/>
      </w:tblGrid>
      <w:tr w14:paraId="762D5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4201E7DB">
            <w:pPr>
              <w:spacing w:line="400" w:lineRule="exact"/>
              <w:jc w:val="center"/>
              <w:rPr>
                <w:rFonts w:hint="eastAsia" w:ascii="宋体" w:hAnsi="宋体"/>
                <w:sz w:val="24"/>
                <w:szCs w:val="24"/>
              </w:rPr>
            </w:pPr>
            <w:r>
              <w:rPr>
                <w:rFonts w:hint="eastAsia" w:ascii="宋体" w:hAnsi="宋体"/>
                <w:sz w:val="24"/>
                <w:szCs w:val="24"/>
              </w:rPr>
              <w:t>序号</w:t>
            </w:r>
          </w:p>
        </w:tc>
        <w:tc>
          <w:tcPr>
            <w:tcW w:w="3063" w:type="dxa"/>
            <w:vAlign w:val="center"/>
          </w:tcPr>
          <w:p w14:paraId="0C2D4981">
            <w:pPr>
              <w:spacing w:line="400" w:lineRule="exact"/>
              <w:jc w:val="center"/>
              <w:rPr>
                <w:rFonts w:hint="eastAsia" w:ascii="宋体" w:hAnsi="宋体"/>
                <w:sz w:val="24"/>
                <w:szCs w:val="24"/>
              </w:rPr>
            </w:pPr>
            <w:r>
              <w:rPr>
                <w:rFonts w:hint="eastAsia" w:ascii="宋体" w:hAnsi="宋体"/>
                <w:sz w:val="24"/>
                <w:szCs w:val="24"/>
              </w:rPr>
              <w:t xml:space="preserve">商务要求 </w:t>
            </w:r>
          </w:p>
        </w:tc>
        <w:tc>
          <w:tcPr>
            <w:tcW w:w="3191" w:type="dxa"/>
            <w:vAlign w:val="center"/>
          </w:tcPr>
          <w:p w14:paraId="211F96D5">
            <w:pPr>
              <w:spacing w:line="400" w:lineRule="exact"/>
              <w:jc w:val="center"/>
              <w:rPr>
                <w:rFonts w:hint="eastAsia" w:ascii="宋体" w:hAnsi="宋体"/>
                <w:sz w:val="24"/>
                <w:szCs w:val="24"/>
              </w:rPr>
            </w:pPr>
            <w:r>
              <w:rPr>
                <w:rFonts w:hint="eastAsia" w:ascii="宋体" w:hAnsi="宋体"/>
                <w:sz w:val="24"/>
                <w:szCs w:val="24"/>
              </w:rPr>
              <w:t>投标响应情况</w:t>
            </w:r>
          </w:p>
        </w:tc>
        <w:tc>
          <w:tcPr>
            <w:tcW w:w="2128" w:type="dxa"/>
            <w:vAlign w:val="center"/>
          </w:tcPr>
          <w:p w14:paraId="27944256">
            <w:pPr>
              <w:spacing w:line="400" w:lineRule="exact"/>
              <w:jc w:val="center"/>
              <w:rPr>
                <w:rFonts w:hint="eastAsia" w:ascii="宋体" w:hAnsi="宋体"/>
                <w:sz w:val="24"/>
                <w:szCs w:val="24"/>
              </w:rPr>
            </w:pPr>
            <w:r>
              <w:rPr>
                <w:rFonts w:hint="eastAsia" w:ascii="宋体" w:hAnsi="宋体"/>
                <w:sz w:val="24"/>
                <w:szCs w:val="24"/>
              </w:rPr>
              <w:t>超出、符合或偏离</w:t>
            </w:r>
          </w:p>
        </w:tc>
      </w:tr>
      <w:tr w14:paraId="154555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EF1F4DA">
            <w:pPr>
              <w:spacing w:line="400" w:lineRule="exact"/>
              <w:jc w:val="center"/>
              <w:rPr>
                <w:rFonts w:hint="eastAsia" w:ascii="宋体" w:hAnsi="宋体"/>
                <w:sz w:val="24"/>
                <w:szCs w:val="24"/>
              </w:rPr>
            </w:pPr>
            <w:r>
              <w:rPr>
                <w:rFonts w:hint="eastAsia" w:ascii="宋体" w:hAnsi="宋体"/>
                <w:sz w:val="24"/>
                <w:szCs w:val="24"/>
              </w:rPr>
              <w:t>1</w:t>
            </w:r>
          </w:p>
        </w:tc>
        <w:tc>
          <w:tcPr>
            <w:tcW w:w="3063" w:type="dxa"/>
          </w:tcPr>
          <w:p w14:paraId="3E386EF2">
            <w:pPr>
              <w:spacing w:line="400" w:lineRule="exact"/>
              <w:jc w:val="center"/>
              <w:rPr>
                <w:rFonts w:hint="eastAsia" w:ascii="宋体" w:hAnsi="宋体"/>
                <w:sz w:val="24"/>
                <w:szCs w:val="24"/>
              </w:rPr>
            </w:pPr>
          </w:p>
        </w:tc>
        <w:tc>
          <w:tcPr>
            <w:tcW w:w="3191" w:type="dxa"/>
          </w:tcPr>
          <w:p w14:paraId="1662B6B3">
            <w:pPr>
              <w:spacing w:line="400" w:lineRule="exact"/>
              <w:jc w:val="center"/>
              <w:rPr>
                <w:rFonts w:hint="eastAsia" w:ascii="宋体" w:hAnsi="宋体"/>
                <w:sz w:val="24"/>
                <w:szCs w:val="24"/>
              </w:rPr>
            </w:pPr>
          </w:p>
        </w:tc>
        <w:tc>
          <w:tcPr>
            <w:tcW w:w="2128" w:type="dxa"/>
          </w:tcPr>
          <w:p w14:paraId="0A345024">
            <w:pPr>
              <w:spacing w:line="400" w:lineRule="exact"/>
              <w:jc w:val="center"/>
              <w:rPr>
                <w:rFonts w:hint="eastAsia" w:ascii="宋体" w:hAnsi="宋体"/>
                <w:sz w:val="24"/>
                <w:szCs w:val="24"/>
              </w:rPr>
            </w:pPr>
          </w:p>
        </w:tc>
      </w:tr>
      <w:tr w14:paraId="556FE4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35FA4890">
            <w:pPr>
              <w:spacing w:line="400" w:lineRule="exact"/>
              <w:jc w:val="center"/>
              <w:rPr>
                <w:rFonts w:hint="eastAsia" w:ascii="宋体" w:hAnsi="宋体"/>
                <w:sz w:val="24"/>
                <w:szCs w:val="24"/>
              </w:rPr>
            </w:pPr>
          </w:p>
        </w:tc>
        <w:tc>
          <w:tcPr>
            <w:tcW w:w="3063" w:type="dxa"/>
          </w:tcPr>
          <w:p w14:paraId="1AF8AF23">
            <w:pPr>
              <w:spacing w:line="400" w:lineRule="exact"/>
              <w:jc w:val="center"/>
              <w:rPr>
                <w:rFonts w:hint="eastAsia" w:ascii="宋体" w:hAnsi="宋体"/>
                <w:sz w:val="24"/>
                <w:szCs w:val="24"/>
              </w:rPr>
            </w:pPr>
            <w:r>
              <w:rPr>
                <w:rFonts w:ascii="宋体" w:hAnsi="宋体"/>
                <w:sz w:val="24"/>
                <w:szCs w:val="24"/>
              </w:rPr>
              <w:t>……</w:t>
            </w:r>
          </w:p>
        </w:tc>
        <w:tc>
          <w:tcPr>
            <w:tcW w:w="3191" w:type="dxa"/>
          </w:tcPr>
          <w:p w14:paraId="04EE685F">
            <w:pPr>
              <w:spacing w:line="400" w:lineRule="exact"/>
              <w:jc w:val="center"/>
              <w:rPr>
                <w:rFonts w:hint="eastAsia" w:ascii="宋体" w:hAnsi="宋体"/>
                <w:sz w:val="24"/>
                <w:szCs w:val="24"/>
              </w:rPr>
            </w:pPr>
          </w:p>
        </w:tc>
        <w:tc>
          <w:tcPr>
            <w:tcW w:w="2128" w:type="dxa"/>
          </w:tcPr>
          <w:p w14:paraId="4A20CBF0">
            <w:pPr>
              <w:spacing w:line="400" w:lineRule="exact"/>
              <w:jc w:val="center"/>
              <w:rPr>
                <w:rFonts w:hint="eastAsia" w:ascii="宋体" w:hAnsi="宋体"/>
                <w:sz w:val="24"/>
                <w:szCs w:val="24"/>
              </w:rPr>
            </w:pPr>
          </w:p>
        </w:tc>
      </w:tr>
    </w:tbl>
    <w:p w14:paraId="44DF530F">
      <w:pPr>
        <w:spacing w:line="400" w:lineRule="exact"/>
        <w:rPr>
          <w:rFonts w:hint="eastAsia"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1E8B6E3C">
      <w:pPr>
        <w:spacing w:line="400" w:lineRule="exact"/>
        <w:rPr>
          <w:rFonts w:hint="eastAsia" w:ascii="宋体" w:hAnsi="宋体"/>
          <w:sz w:val="24"/>
          <w:szCs w:val="24"/>
        </w:rPr>
      </w:pPr>
    </w:p>
    <w:p w14:paraId="7D6435BA">
      <w:pPr>
        <w:spacing w:line="400" w:lineRule="exact"/>
        <w:rPr>
          <w:rFonts w:hint="eastAsia" w:ascii="宋体" w:hAnsi="宋体"/>
          <w:sz w:val="24"/>
          <w:szCs w:val="24"/>
        </w:rPr>
      </w:pPr>
      <w:r>
        <w:rPr>
          <w:rFonts w:hint="eastAsia" w:ascii="宋体" w:hAnsi="宋体"/>
          <w:sz w:val="24"/>
          <w:szCs w:val="24"/>
        </w:rPr>
        <w:t>备注</w:t>
      </w:r>
      <w:r>
        <w:rPr>
          <w:rFonts w:ascii="宋体" w:hAnsi="宋体"/>
          <w:sz w:val="24"/>
          <w:szCs w:val="24"/>
        </w:rPr>
        <w:t>：</w:t>
      </w:r>
    </w:p>
    <w:p w14:paraId="2CD8DDE4">
      <w:pPr>
        <w:spacing w:line="400" w:lineRule="exact"/>
        <w:rPr>
          <w:rFonts w:hint="eastAsia" w:ascii="宋体" w:hAnsi="宋体" w:cs="宋体"/>
          <w:color w:val="000000"/>
          <w:sz w:val="24"/>
          <w:szCs w:val="24"/>
        </w:rPr>
      </w:pPr>
      <w:r>
        <w:rPr>
          <w:rFonts w:hint="eastAsia" w:ascii="宋体" w:hAnsi="宋体" w:cs="宋体"/>
          <w:color w:val="000000"/>
          <w:sz w:val="24"/>
          <w:szCs w:val="24"/>
        </w:rPr>
        <w:t>1.投标人需对招标文件商务要求中非实质性要求（</w:t>
      </w:r>
      <w:r>
        <w:rPr>
          <w:rFonts w:hint="eastAsia" w:ascii="宋体" w:hAnsi="宋体" w:cs="宋体"/>
          <w:b/>
          <w:color w:val="000000"/>
          <w:sz w:val="24"/>
          <w:szCs w:val="24"/>
        </w:rPr>
        <w:t>未加</w:t>
      </w:r>
      <w:r>
        <w:rPr>
          <w:rFonts w:hint="eastAsia" w:ascii="宋体" w:hAnsi="宋体" w:cs="宋体"/>
          <w:b/>
          <w:i/>
          <w:color w:val="000000"/>
          <w:sz w:val="24"/>
          <w:szCs w:val="24"/>
          <w:u w:val="single"/>
        </w:rPr>
        <w:t>斜体下划线</w:t>
      </w:r>
      <w:r>
        <w:rPr>
          <w:rFonts w:hint="eastAsia" w:ascii="宋体" w:hAnsi="宋体" w:cs="宋体"/>
          <w:b/>
          <w:iCs/>
          <w:color w:val="000000"/>
          <w:sz w:val="24"/>
          <w:szCs w:val="24"/>
        </w:rPr>
        <w:t>部分</w:t>
      </w:r>
      <w:r>
        <w:rPr>
          <w:rFonts w:hint="eastAsia" w:ascii="宋体" w:hAnsi="宋体" w:cs="宋体"/>
          <w:b/>
          <w:color w:val="000000"/>
          <w:sz w:val="24"/>
          <w:szCs w:val="24"/>
        </w:rPr>
        <w:t>或未加★号条款</w:t>
      </w:r>
      <w:r>
        <w:rPr>
          <w:rFonts w:hint="eastAsia" w:ascii="宋体" w:hAnsi="宋体" w:cs="宋体"/>
          <w:color w:val="000000"/>
          <w:sz w:val="24"/>
          <w:szCs w:val="24"/>
        </w:rPr>
        <w:t>）逐条做出明确响应。</w:t>
      </w:r>
    </w:p>
    <w:p w14:paraId="13AD07BE">
      <w:pPr>
        <w:spacing w:line="400" w:lineRule="exact"/>
        <w:rPr>
          <w:rFonts w:hint="eastAsia"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44A404F5">
      <w:pPr>
        <w:rPr>
          <w:rFonts w:hint="eastAsia" w:ascii="宋体" w:hAnsi="宋体"/>
          <w:b/>
          <w:sz w:val="24"/>
        </w:rPr>
      </w:pPr>
    </w:p>
    <w:p w14:paraId="48FB82E5">
      <w:pPr>
        <w:spacing w:line="440" w:lineRule="exact"/>
        <w:ind w:firstLine="480"/>
        <w:rPr>
          <w:rFonts w:hint="eastAsia" w:ascii="宋体" w:hAnsi="宋体"/>
          <w:sz w:val="24"/>
        </w:rPr>
      </w:pPr>
    </w:p>
    <w:p w14:paraId="6E5D7ACF">
      <w:pPr>
        <w:rPr>
          <w:rFonts w:hint="eastAsia" w:ascii="宋体" w:hAnsi="宋体"/>
          <w:b/>
          <w:color w:val="000000"/>
          <w:sz w:val="24"/>
        </w:rPr>
      </w:pPr>
      <w:r>
        <w:rPr>
          <w:rFonts w:hint="eastAsia" w:ascii="宋体" w:hAnsi="宋体"/>
          <w:b/>
          <w:color w:val="000000"/>
          <w:sz w:val="24"/>
        </w:rPr>
        <w:br w:type="page"/>
      </w:r>
    </w:p>
    <w:p w14:paraId="7205464C">
      <w:pPr>
        <w:ind w:left="480"/>
        <w:rPr>
          <w:rFonts w:hint="eastAsia" w:ascii="宋体" w:hAnsi="宋体"/>
          <w:b/>
          <w:color w:val="000000"/>
          <w:sz w:val="24"/>
        </w:rPr>
      </w:pPr>
      <w:r>
        <w:rPr>
          <w:rFonts w:hint="eastAsia" w:ascii="宋体" w:hAnsi="宋体"/>
          <w:b/>
          <w:color w:val="000000"/>
          <w:sz w:val="24"/>
        </w:rPr>
        <w:t>附件</w:t>
      </w:r>
      <w:r>
        <w:rPr>
          <w:rFonts w:ascii="宋体" w:hAnsi="宋体"/>
          <w:b/>
          <w:color w:val="000000"/>
          <w:sz w:val="24"/>
        </w:rPr>
        <w:t>5</w:t>
      </w:r>
      <w:r>
        <w:rPr>
          <w:rFonts w:hint="eastAsia" w:ascii="宋体" w:hAnsi="宋体"/>
          <w:b/>
          <w:color w:val="000000"/>
          <w:sz w:val="24"/>
        </w:rPr>
        <w:t xml:space="preserve"> 具备履行合同所必需的设备和专业技术能力的书面声明</w:t>
      </w:r>
    </w:p>
    <w:p w14:paraId="6EBA7EEA">
      <w:pPr>
        <w:spacing w:line="460" w:lineRule="exact"/>
        <w:ind w:firstLine="492"/>
        <w:rPr>
          <w:rFonts w:hint="eastAsia" w:ascii="宋体" w:hAnsi="宋体"/>
          <w:bCs/>
          <w:color w:val="000000"/>
          <w:sz w:val="24"/>
        </w:rPr>
      </w:pPr>
      <w:r>
        <w:rPr>
          <w:rFonts w:hint="eastAsia" w:ascii="宋体" w:hAnsi="宋体"/>
          <w:bCs/>
          <w:color w:val="000000"/>
          <w:sz w:val="24"/>
        </w:rPr>
        <w:t>我单位郑重声明：我单位具备履行本项采购合同所必需的设备和专业技术能力，为履行本项采购合同我公司具备如下主要设备和主要专业技术能力：</w:t>
      </w:r>
    </w:p>
    <w:p w14:paraId="5D17BFCC">
      <w:pPr>
        <w:spacing w:line="460" w:lineRule="exact"/>
        <w:ind w:firstLine="492"/>
        <w:rPr>
          <w:rFonts w:hint="eastAsia" w:ascii="宋体" w:hAnsi="宋体"/>
          <w:bCs/>
          <w:color w:val="000000"/>
          <w:sz w:val="24"/>
        </w:rPr>
      </w:pPr>
      <w:r>
        <w:rPr>
          <w:rFonts w:hint="eastAsia" w:ascii="宋体" w:hAnsi="宋体"/>
          <w:bCs/>
          <w:color w:val="000000"/>
          <w:sz w:val="24"/>
        </w:rPr>
        <w:t>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w:t>
      </w:r>
    </w:p>
    <w:p w14:paraId="63B8B1E4">
      <w:pPr>
        <w:spacing w:line="460" w:lineRule="exact"/>
        <w:ind w:firstLine="492"/>
        <w:rPr>
          <w:rFonts w:hint="eastAsia" w:ascii="宋体" w:hAnsi="宋体"/>
          <w:bCs/>
          <w:color w:val="000000"/>
          <w:sz w:val="24"/>
        </w:rPr>
      </w:pPr>
      <w:r>
        <w:rPr>
          <w:rFonts w:hint="eastAsia" w:ascii="宋体" w:hAnsi="宋体"/>
          <w:bCs/>
          <w:color w:val="000000"/>
          <w:sz w:val="24"/>
        </w:rPr>
        <w:t>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w:t>
      </w:r>
    </w:p>
    <w:p w14:paraId="3C7B6A41">
      <w:pPr>
        <w:pStyle w:val="12"/>
        <w:overflowPunct w:val="0"/>
        <w:spacing w:line="360" w:lineRule="auto"/>
        <w:ind w:left="2940" w:leftChars="1400"/>
        <w:jc w:val="center"/>
        <w:rPr>
          <w:rFonts w:hint="eastAsia" w:ascii="宋体" w:hAnsi="宋体" w:eastAsia="宋体" w:cs="Arial"/>
        </w:rPr>
      </w:pPr>
    </w:p>
    <w:p w14:paraId="0DCF6E2E">
      <w:pPr>
        <w:pStyle w:val="12"/>
        <w:overflowPunct w:val="0"/>
        <w:spacing w:line="360" w:lineRule="auto"/>
        <w:ind w:left="2940" w:leftChars="1400"/>
        <w:jc w:val="center"/>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26CD60D8">
      <w:pPr>
        <w:spacing w:line="460" w:lineRule="exact"/>
        <w:jc w:val="center"/>
        <w:rPr>
          <w:rFonts w:hint="eastAsia" w:ascii="宋体" w:hAnsi="宋体"/>
          <w:bCs/>
          <w:color w:val="000000"/>
          <w:sz w:val="24"/>
        </w:rPr>
      </w:pPr>
      <w:r>
        <w:rPr>
          <w:rFonts w:hint="eastAsia" w:ascii="Arial" w:hAnsi="Arial" w:cs="Arial"/>
        </w:rPr>
        <w:t>日期：</w:t>
      </w:r>
    </w:p>
    <w:p w14:paraId="14974B55">
      <w:pPr>
        <w:ind w:left="480"/>
        <w:rPr>
          <w:rFonts w:hint="eastAsia" w:ascii="宋体" w:hAnsi="宋体"/>
          <w:b/>
          <w:color w:val="000000"/>
          <w:sz w:val="24"/>
        </w:rPr>
      </w:pPr>
    </w:p>
    <w:p w14:paraId="29FC7463">
      <w:pPr>
        <w:rPr>
          <w:rFonts w:hint="eastAsia" w:ascii="宋体" w:hAnsi="宋体"/>
          <w:b/>
          <w:color w:val="000000"/>
          <w:sz w:val="24"/>
        </w:rPr>
      </w:pPr>
      <w:r>
        <w:rPr>
          <w:rFonts w:hint="eastAsia" w:ascii="宋体" w:hAnsi="宋体"/>
          <w:b/>
          <w:color w:val="000000"/>
          <w:sz w:val="24"/>
        </w:rPr>
        <w:br w:type="page"/>
      </w:r>
    </w:p>
    <w:p w14:paraId="7DCA400B">
      <w:pPr>
        <w:ind w:left="480"/>
        <w:rPr>
          <w:rFonts w:hint="eastAsia" w:ascii="宋体" w:hAnsi="宋体"/>
          <w:b/>
          <w:color w:val="000000"/>
          <w:sz w:val="24"/>
        </w:rPr>
      </w:pPr>
      <w:r>
        <w:rPr>
          <w:rFonts w:hint="eastAsia" w:ascii="宋体" w:hAnsi="宋体"/>
          <w:b/>
          <w:color w:val="000000"/>
          <w:sz w:val="24"/>
        </w:rPr>
        <w:t>附件</w:t>
      </w:r>
      <w:r>
        <w:rPr>
          <w:rFonts w:ascii="宋体" w:hAnsi="宋体"/>
          <w:b/>
          <w:color w:val="000000"/>
          <w:sz w:val="24"/>
        </w:rPr>
        <w:t xml:space="preserve">6 </w:t>
      </w:r>
      <w:r>
        <w:rPr>
          <w:rFonts w:hint="eastAsia" w:ascii="宋体" w:hAnsi="宋体"/>
          <w:b/>
          <w:color w:val="000000"/>
          <w:sz w:val="24"/>
        </w:rPr>
        <w:t>参加政府采购活动前 3 年内在经营活动中没有重大违法记录的书面声明</w:t>
      </w:r>
    </w:p>
    <w:p w14:paraId="4719911E">
      <w:pPr>
        <w:spacing w:line="460" w:lineRule="exact"/>
        <w:jc w:val="center"/>
        <w:rPr>
          <w:rFonts w:hint="eastAsia" w:ascii="宋体" w:hAnsi="宋体"/>
          <w:b/>
          <w:bCs/>
          <w:color w:val="000000"/>
          <w:sz w:val="24"/>
        </w:rPr>
      </w:pPr>
    </w:p>
    <w:p w14:paraId="547AE9CE">
      <w:pPr>
        <w:spacing w:line="460" w:lineRule="exact"/>
        <w:ind w:firstLine="480"/>
        <w:rPr>
          <w:rFonts w:hint="eastAsia" w:ascii="宋体" w:hAnsi="宋体"/>
          <w:bCs/>
          <w:color w:val="000000"/>
          <w:sz w:val="24"/>
        </w:rPr>
      </w:pPr>
      <w:r>
        <w:rPr>
          <w:rFonts w:hint="eastAsia" w:ascii="宋体" w:hAnsi="宋体"/>
          <w:bCs/>
          <w:color w:val="000000"/>
          <w:sz w:val="24"/>
        </w:rPr>
        <w:t>我单位郑重声明：参加本次政府采购活动前 3 年内，我单位在经营活动中没有因违法经营受到刑事处罚或者责令停产停业、吊销许可证或者执照、较大数额罚款等行政处罚。</w:t>
      </w:r>
    </w:p>
    <w:p w14:paraId="2316CC15">
      <w:pPr>
        <w:spacing w:line="460" w:lineRule="exact"/>
        <w:ind w:firstLine="480"/>
        <w:rPr>
          <w:rFonts w:hint="eastAsia" w:ascii="宋体" w:hAnsi="宋体"/>
          <w:bCs/>
          <w:sz w:val="24"/>
        </w:rPr>
      </w:pPr>
    </w:p>
    <w:p w14:paraId="5CC1C108">
      <w:pPr>
        <w:pStyle w:val="12"/>
        <w:overflowPunct w:val="0"/>
        <w:spacing w:line="360" w:lineRule="auto"/>
        <w:ind w:left="2940" w:leftChars="1400"/>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09D006A1">
      <w:pPr>
        <w:pStyle w:val="12"/>
        <w:overflowPunct w:val="0"/>
        <w:spacing w:line="360" w:lineRule="auto"/>
        <w:ind w:left="2940" w:leftChars="1400"/>
        <w:rPr>
          <w:rFonts w:ascii="Arial" w:hAnsi="Arial" w:eastAsia="宋体" w:cs="Arial"/>
        </w:rPr>
      </w:pPr>
      <w:r>
        <w:rPr>
          <w:rFonts w:hint="eastAsia" w:ascii="Arial" w:hAnsi="Arial" w:eastAsia="宋体" w:cs="Arial"/>
        </w:rPr>
        <w:t>日期：</w:t>
      </w:r>
      <w:r>
        <w:rPr>
          <w:rFonts w:ascii="Arial" w:hAnsi="Arial" w:eastAsia="宋体" w:cs="Arial"/>
        </w:rPr>
        <w:t xml:space="preserve"> </w:t>
      </w:r>
    </w:p>
    <w:p w14:paraId="15C6BD31">
      <w:pPr>
        <w:ind w:left="480"/>
        <w:rPr>
          <w:rFonts w:hint="eastAsia" w:ascii="宋体" w:hAnsi="宋体"/>
          <w:b/>
          <w:color w:val="FF0000"/>
          <w:sz w:val="24"/>
        </w:rPr>
      </w:pPr>
    </w:p>
    <w:p w14:paraId="0F7161F9">
      <w:pPr>
        <w:spacing w:line="460" w:lineRule="exact"/>
        <w:ind w:firstLine="480"/>
        <w:rPr>
          <w:rFonts w:hint="eastAsia" w:ascii="宋体" w:hAnsi="宋体"/>
          <w:b/>
          <w:color w:val="000000"/>
          <w:sz w:val="24"/>
        </w:rPr>
      </w:pPr>
    </w:p>
    <w:p w14:paraId="5E5A089C">
      <w:pPr>
        <w:spacing w:line="460" w:lineRule="exact"/>
        <w:ind w:firstLine="480"/>
        <w:rPr>
          <w:rFonts w:hint="eastAsia" w:ascii="宋体" w:hAnsi="宋体"/>
          <w:b/>
          <w:color w:val="000000"/>
          <w:sz w:val="24"/>
        </w:rPr>
      </w:pPr>
    </w:p>
    <w:p w14:paraId="031F182E">
      <w:pPr>
        <w:spacing w:line="460" w:lineRule="exact"/>
        <w:ind w:firstLine="480"/>
        <w:rPr>
          <w:rFonts w:hint="eastAsia" w:ascii="宋体" w:hAnsi="宋体"/>
          <w:b/>
          <w:color w:val="000000"/>
          <w:sz w:val="24"/>
        </w:rPr>
      </w:pPr>
    </w:p>
    <w:p w14:paraId="17C16866">
      <w:pPr>
        <w:rPr>
          <w:rFonts w:hint="eastAsia" w:ascii="宋体" w:hAnsi="宋体"/>
          <w:b/>
          <w:color w:val="000000"/>
          <w:sz w:val="24"/>
        </w:rPr>
      </w:pPr>
      <w:r>
        <w:rPr>
          <w:rFonts w:hint="eastAsia" w:ascii="宋体" w:hAnsi="宋体"/>
          <w:b/>
          <w:color w:val="000000"/>
          <w:sz w:val="24"/>
        </w:rPr>
        <w:br w:type="page"/>
      </w:r>
    </w:p>
    <w:p w14:paraId="5BAAE3DF">
      <w:pPr>
        <w:spacing w:line="460" w:lineRule="exact"/>
        <w:ind w:firstLine="480"/>
        <w:rPr>
          <w:rFonts w:hint="eastAsia" w:ascii="宋体" w:hAnsi="宋体"/>
          <w:bCs/>
          <w:color w:val="000000"/>
          <w:sz w:val="24"/>
        </w:rPr>
      </w:pPr>
      <w:r>
        <w:rPr>
          <w:rFonts w:hint="eastAsia" w:ascii="宋体" w:hAnsi="宋体"/>
          <w:b/>
          <w:color w:val="000000"/>
          <w:sz w:val="24"/>
        </w:rPr>
        <w:t>附件</w:t>
      </w:r>
      <w:r>
        <w:rPr>
          <w:rFonts w:ascii="宋体" w:hAnsi="宋体"/>
          <w:b/>
          <w:color w:val="000000"/>
          <w:sz w:val="24"/>
        </w:rPr>
        <w:t>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法人授权书</w:t>
      </w:r>
    </w:p>
    <w:p w14:paraId="5828992F">
      <w:pPr>
        <w:tabs>
          <w:tab w:val="left" w:pos="360"/>
        </w:tabs>
        <w:spacing w:line="400" w:lineRule="exact"/>
        <w:ind w:firstLine="480"/>
        <w:rPr>
          <w:color w:val="000000"/>
          <w:sz w:val="24"/>
          <w:szCs w:val="24"/>
        </w:rPr>
      </w:pPr>
      <w:r>
        <w:rPr>
          <w:rFonts w:hint="eastAsia"/>
          <w:color w:val="000000"/>
          <w:sz w:val="24"/>
          <w:szCs w:val="24"/>
        </w:rPr>
        <w:t>本授权书声明：____________（投标人名称）授权________________（被授权人的姓名）为我方就项目编号为</w:t>
      </w:r>
      <w:r>
        <w:rPr>
          <w:rFonts w:hint="eastAsia"/>
          <w:color w:val="000000"/>
          <w:sz w:val="24"/>
          <w:szCs w:val="24"/>
          <w:u w:val="single"/>
        </w:rPr>
        <w:t xml:space="preserve">               </w:t>
      </w:r>
      <w:r>
        <w:rPr>
          <w:rFonts w:hint="eastAsia"/>
          <w:color w:val="000000"/>
          <w:sz w:val="24"/>
          <w:szCs w:val="24"/>
        </w:rPr>
        <w:t>，</w:t>
      </w:r>
      <w:r>
        <w:rPr>
          <w:rFonts w:hint="eastAsia"/>
          <w:color w:val="000000"/>
          <w:sz w:val="24"/>
          <w:szCs w:val="24"/>
          <w:u w:val="single"/>
        </w:rPr>
        <w:t xml:space="preserve">      </w:t>
      </w:r>
      <w:r>
        <w:rPr>
          <w:rFonts w:hint="eastAsia"/>
          <w:color w:val="000000"/>
          <w:sz w:val="24"/>
          <w:szCs w:val="24"/>
        </w:rPr>
        <w:t>项目（项目名称）采购活动的合法代理人，以本单位名义全权处理一切与该项目采购有关的事务。</w:t>
      </w:r>
    </w:p>
    <w:p w14:paraId="2FA3E6A2">
      <w:pPr>
        <w:tabs>
          <w:tab w:val="left" w:pos="360"/>
        </w:tabs>
        <w:spacing w:line="400" w:lineRule="exact"/>
        <w:ind w:firstLine="480"/>
        <w:rPr>
          <w:color w:val="000000"/>
          <w:sz w:val="24"/>
          <w:szCs w:val="24"/>
        </w:rPr>
      </w:pPr>
      <w:r>
        <w:rPr>
          <w:rFonts w:hint="eastAsia"/>
          <w:color w:val="000000"/>
          <w:sz w:val="24"/>
          <w:szCs w:val="24"/>
        </w:rPr>
        <w:t>本授权书于______年____月____日起生效，特此声明。</w:t>
      </w:r>
    </w:p>
    <w:p w14:paraId="2CC6F549">
      <w:pPr>
        <w:tabs>
          <w:tab w:val="left" w:pos="360"/>
        </w:tabs>
        <w:spacing w:line="400" w:lineRule="exact"/>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p>
    <w:p w14:paraId="23CE5E5A">
      <w:pPr>
        <w:tabs>
          <w:tab w:val="left" w:pos="360"/>
        </w:tabs>
        <w:spacing w:line="400" w:lineRule="exact"/>
        <w:rPr>
          <w:sz w:val="24"/>
          <w:szCs w:val="24"/>
          <w:u w:val="single"/>
        </w:rPr>
      </w:pPr>
      <w:r>
        <w:rPr>
          <w:rFonts w:hint="eastAsia"/>
          <w:color w:val="000000"/>
          <w:sz w:val="24"/>
          <w:szCs w:val="24"/>
        </w:rPr>
        <w:t xml:space="preserve">     </w:t>
      </w:r>
      <w:r>
        <w:rPr>
          <w:rFonts w:hint="eastAsia"/>
          <w:sz w:val="24"/>
          <w:szCs w:val="24"/>
        </w:rPr>
        <w:t xml:space="preserve">     被授权人联系电话：（手机）</w:t>
      </w:r>
      <w:r>
        <w:rPr>
          <w:rFonts w:hint="eastAsia"/>
          <w:sz w:val="24"/>
          <w:szCs w:val="24"/>
          <w:u w:val="single"/>
        </w:rPr>
        <w:t xml:space="preserve">                          </w:t>
      </w:r>
    </w:p>
    <w:p w14:paraId="43D1C35B">
      <w:pPr>
        <w:tabs>
          <w:tab w:val="left" w:pos="360"/>
        </w:tabs>
        <w:spacing w:line="400" w:lineRule="exact"/>
        <w:ind w:firstLine="1200"/>
        <w:rPr>
          <w:sz w:val="24"/>
          <w:szCs w:val="24"/>
          <w:u w:val="single"/>
        </w:rPr>
      </w:pPr>
      <w:r>
        <w:rPr>
          <w:rFonts w:hint="eastAsia"/>
          <w:sz w:val="24"/>
          <w:szCs w:val="24"/>
        </w:rPr>
        <w:t>被授权人电子邮箱：</w:t>
      </w:r>
      <w:r>
        <w:rPr>
          <w:rFonts w:hint="eastAsia"/>
          <w:sz w:val="24"/>
          <w:szCs w:val="24"/>
          <w:u w:val="single"/>
        </w:rPr>
        <w:t xml:space="preserve">            </w:t>
      </w:r>
    </w:p>
    <w:p w14:paraId="2B426311">
      <w:pPr>
        <w:tabs>
          <w:tab w:val="left" w:pos="360"/>
        </w:tabs>
        <w:spacing w:line="400" w:lineRule="exact"/>
        <w:ind w:firstLine="1200"/>
        <w:rPr>
          <w:sz w:val="24"/>
          <w:szCs w:val="24"/>
        </w:rPr>
      </w:pPr>
      <w:r>
        <w:rPr>
          <w:rFonts w:hint="eastAsia"/>
          <w:sz w:val="24"/>
          <w:szCs w:val="24"/>
        </w:rPr>
        <w:t>授权单位名称：</w:t>
      </w:r>
      <w:r>
        <w:rPr>
          <w:rFonts w:hint="eastAsia"/>
          <w:sz w:val="24"/>
          <w:szCs w:val="24"/>
          <w:u w:val="single"/>
        </w:rPr>
        <w:t>（加盖CA</w:t>
      </w:r>
      <w:r>
        <w:rPr>
          <w:rFonts w:hint="eastAsia"/>
          <w:sz w:val="24"/>
          <w:szCs w:val="24"/>
          <w:u w:val="single"/>
          <w:lang w:eastAsia="zh-CN"/>
        </w:rPr>
        <w:t>电子公章</w:t>
      </w:r>
      <w:r>
        <w:rPr>
          <w:rFonts w:hint="eastAsia"/>
          <w:sz w:val="24"/>
          <w:szCs w:val="24"/>
          <w:u w:val="single"/>
        </w:rPr>
        <w:t>）</w:t>
      </w:r>
    </w:p>
    <w:p w14:paraId="3A3B237C">
      <w:pPr>
        <w:tabs>
          <w:tab w:val="left" w:pos="360"/>
        </w:tabs>
        <w:spacing w:line="400" w:lineRule="exact"/>
        <w:ind w:firstLine="480"/>
        <w:rPr>
          <w:sz w:val="24"/>
          <w:szCs w:val="24"/>
          <w:u w:val="single"/>
        </w:rPr>
      </w:pPr>
      <w:r>
        <w:rPr>
          <w:rFonts w:hint="eastAsia"/>
          <w:sz w:val="24"/>
          <w:szCs w:val="24"/>
        </w:rPr>
        <w:t xml:space="preserve">      单位地址：</w:t>
      </w:r>
      <w:r>
        <w:rPr>
          <w:rFonts w:hint="eastAsia"/>
          <w:sz w:val="24"/>
          <w:szCs w:val="24"/>
          <w:u w:val="single"/>
        </w:rPr>
        <w:t xml:space="preserve">                                         </w:t>
      </w:r>
    </w:p>
    <w:p w14:paraId="6A7001F2">
      <w:pPr>
        <w:tabs>
          <w:tab w:val="left" w:pos="360"/>
        </w:tabs>
        <w:spacing w:line="400" w:lineRule="exact"/>
        <w:ind w:firstLine="480"/>
        <w:rPr>
          <w:rFonts w:hint="eastAsia" w:ascii="楷体" w:hAnsi="楷体" w:eastAsia="楷体"/>
          <w:color w:val="000000"/>
          <w:sz w:val="24"/>
          <w:szCs w:val="24"/>
        </w:rPr>
      </w:pPr>
      <w:r>
        <w:rPr>
          <w:rFonts w:hint="eastAsia"/>
          <w:sz w:val="24"/>
          <w:szCs w:val="24"/>
        </w:rPr>
        <w:t xml:space="preserve">      日期：</w:t>
      </w:r>
      <w:r>
        <w:rPr>
          <w:rFonts w:hint="eastAsia"/>
          <w:sz w:val="24"/>
          <w:szCs w:val="24"/>
          <w:u w:val="single"/>
        </w:rPr>
        <w:t xml:space="preserve">                                         </w:t>
      </w:r>
    </w:p>
    <w:p w14:paraId="3987941F">
      <w:pPr>
        <w:keepNext/>
        <w:keepLines/>
        <w:spacing w:before="260" w:after="260" w:line="416" w:lineRule="auto"/>
        <w:outlineLvl w:val="1"/>
        <w:rPr>
          <w:rFonts w:hint="eastAsia" w:ascii="黑体" w:hAnsi="黑体" w:eastAsia="黑体"/>
          <w:b/>
          <w:i/>
          <w:color w:val="000000"/>
          <w:sz w:val="32"/>
          <w:szCs w:val="32"/>
          <w:u w:val="single"/>
        </w:rPr>
      </w:pPr>
      <w:r>
        <w:rPr>
          <w:rFonts w:ascii="宋体" w:hAnsi="宋体" w:eastAsia="幼圆" w:cs="Arial"/>
          <w:b/>
          <w:color w:val="000000"/>
          <w:sz w:val="24"/>
          <w:szCs w:val="44"/>
        </w:rPr>
        <w:br w:type="page" w:clear="all"/>
      </w:r>
      <w:bookmarkStart w:id="354" w:name="_Toc30308"/>
      <w:r>
        <w:rPr>
          <w:rFonts w:hint="eastAsia" w:ascii="宋体" w:hAnsi="宋体"/>
          <w:b/>
          <w:color w:val="000000"/>
          <w:sz w:val="24"/>
        </w:rPr>
        <w:t>附件</w:t>
      </w:r>
      <w:r>
        <w:rPr>
          <w:rFonts w:ascii="宋体" w:hAnsi="宋体"/>
          <w:b/>
          <w:color w:val="000000"/>
          <w:sz w:val="24"/>
        </w:rPr>
        <w:t>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投标函</w:t>
      </w:r>
      <w:bookmarkEnd w:id="354"/>
    </w:p>
    <w:p w14:paraId="036F89E2">
      <w:pPr>
        <w:spacing w:line="420" w:lineRule="exact"/>
        <w:jc w:val="left"/>
        <w:rPr>
          <w:rFonts w:hint="eastAsia" w:ascii="宋体" w:hAnsi="宋体"/>
          <w:color w:val="000000"/>
          <w:sz w:val="24"/>
        </w:rPr>
      </w:pPr>
      <w:r>
        <w:rPr>
          <w:rFonts w:hint="eastAsia" w:ascii="宋体" w:hAnsi="宋体"/>
          <w:color w:val="000000"/>
          <w:sz w:val="24"/>
        </w:rPr>
        <w:t>致：中邮通建设咨询有限公司</w:t>
      </w:r>
    </w:p>
    <w:p w14:paraId="362ADFE4">
      <w:pPr>
        <w:pStyle w:val="279"/>
        <w:spacing w:before="0" w:after="0" w:line="420" w:lineRule="exact"/>
        <w:rPr>
          <w:rFonts w:hint="eastAsia" w:ascii="宋体" w:hAnsi="宋体"/>
          <w:szCs w:val="21"/>
        </w:rPr>
      </w:pPr>
      <w:r>
        <w:rPr>
          <w:rFonts w:hint="eastAsia" w:ascii="宋体" w:hAnsi="宋体"/>
          <w:color w:val="000000"/>
          <w:szCs w:val="21"/>
        </w:rPr>
        <w:t>根据贵方</w:t>
      </w:r>
      <w:r>
        <w:rPr>
          <w:rFonts w:hint="eastAsia" w:ascii="宋体" w:hAnsi="宋体"/>
        </w:rPr>
        <w:t>项目编号为</w:t>
      </w:r>
      <w:r>
        <w:rPr>
          <w:rFonts w:hint="eastAsia" w:ascii="Times New Roman" w:hAnsi="Times New Roman"/>
          <w:color w:val="000000"/>
          <w:u w:val="single"/>
        </w:rPr>
        <w:t xml:space="preserve">                    </w:t>
      </w:r>
      <w:r>
        <w:rPr>
          <w:rFonts w:hint="eastAsia" w:ascii="宋体" w:hAnsi="宋体"/>
        </w:rPr>
        <w:t>，</w:t>
      </w:r>
      <w:r>
        <w:rPr>
          <w:rFonts w:hint="eastAsia" w:ascii="宋体" w:hAnsi="宋体"/>
          <w:u w:val="single"/>
        </w:rPr>
        <w:t xml:space="preserve">      </w:t>
      </w:r>
      <w:r>
        <w:rPr>
          <w:rFonts w:hint="eastAsia" w:ascii="宋体" w:hAnsi="宋体"/>
        </w:rPr>
        <w:t>项目（项目名称）的</w:t>
      </w:r>
      <w:r>
        <w:rPr>
          <w:rFonts w:hint="eastAsia" w:ascii="宋体" w:hAnsi="宋体"/>
          <w:color w:val="000000"/>
          <w:szCs w:val="21"/>
        </w:rPr>
        <w:t>招标文件</w:t>
      </w:r>
      <w:r>
        <w:rPr>
          <w:rFonts w:hint="eastAsia" w:ascii="宋体" w:hAnsi="宋体"/>
          <w:szCs w:val="21"/>
        </w:rPr>
        <w:t>，正式授权下述签字人______(姓名)代表我方______________（投标人的名称），全权处理本次项目投标的有关事宜。</w:t>
      </w:r>
    </w:p>
    <w:p w14:paraId="2E9EDFBF">
      <w:pPr>
        <w:pStyle w:val="279"/>
        <w:spacing w:before="0" w:after="0" w:line="420" w:lineRule="exact"/>
        <w:rPr>
          <w:rFonts w:hint="eastAsia" w:ascii="宋体" w:hAnsi="宋体"/>
          <w:szCs w:val="21"/>
        </w:rPr>
      </w:pPr>
      <w:r>
        <w:rPr>
          <w:rFonts w:hint="eastAsia" w:ascii="宋体" w:hAnsi="宋体"/>
          <w:szCs w:val="21"/>
        </w:rPr>
        <w:t>据此函，__________签字人兹宣布同意如下：</w:t>
      </w:r>
    </w:p>
    <w:p w14:paraId="4CF0C167">
      <w:pPr>
        <w:pStyle w:val="279"/>
        <w:spacing w:before="0" w:after="0" w:line="420" w:lineRule="exact"/>
        <w:rPr>
          <w:rFonts w:hint="eastAsia" w:ascii="宋体" w:hAnsi="宋体"/>
          <w:szCs w:val="21"/>
        </w:rPr>
      </w:pPr>
      <w:r>
        <w:rPr>
          <w:rFonts w:hint="eastAsia" w:ascii="宋体" w:hAnsi="宋体"/>
          <w:szCs w:val="21"/>
        </w:rPr>
        <w:t>1.按招标文件规定的各项要求，向买方提供所需服务（包含与服务相关的货物）。</w:t>
      </w:r>
    </w:p>
    <w:p w14:paraId="78974A73">
      <w:pPr>
        <w:pStyle w:val="279"/>
        <w:spacing w:before="0" w:after="0" w:line="420" w:lineRule="exact"/>
        <w:rPr>
          <w:rFonts w:hint="eastAsia" w:ascii="宋体" w:hAnsi="宋体"/>
          <w:szCs w:val="21"/>
        </w:rPr>
      </w:pPr>
      <w:r>
        <w:rPr>
          <w:rFonts w:hint="eastAsia" w:ascii="宋体" w:hAnsi="宋体"/>
          <w:szCs w:val="21"/>
        </w:rPr>
        <w:t>2.我们完全理解贵方不一定将合同授予最低报价的投标人。</w:t>
      </w:r>
    </w:p>
    <w:p w14:paraId="3138B726">
      <w:pPr>
        <w:pStyle w:val="279"/>
        <w:spacing w:before="0" w:after="0" w:line="420" w:lineRule="exact"/>
        <w:rPr>
          <w:rFonts w:hint="eastAsia" w:ascii="宋体" w:hAnsi="宋体"/>
          <w:szCs w:val="21"/>
        </w:rPr>
      </w:pPr>
      <w:r>
        <w:rPr>
          <w:rFonts w:hint="eastAsia" w:ascii="宋体" w:hAnsi="宋体"/>
          <w:szCs w:val="21"/>
        </w:rPr>
        <w:t>3.我们已详细审核全部招标文件及其有效补充文件，我们知道必须放弃提出含糊不清或误解问题的权利。</w:t>
      </w:r>
    </w:p>
    <w:p w14:paraId="528E3105">
      <w:pPr>
        <w:pStyle w:val="279"/>
        <w:spacing w:before="0" w:after="0" w:line="420" w:lineRule="exact"/>
        <w:rPr>
          <w:rFonts w:hint="eastAsia" w:ascii="宋体" w:hAnsi="宋体"/>
          <w:szCs w:val="21"/>
        </w:rPr>
      </w:pPr>
      <w:r>
        <w:rPr>
          <w:rFonts w:hint="eastAsia" w:ascii="宋体" w:hAnsi="宋体"/>
          <w:szCs w:val="21"/>
        </w:rPr>
        <w:t>4.我们同意从规定的开标日期起遵循本投标文件，并在规定的投标有效期期满之前均具有约束力。</w:t>
      </w:r>
    </w:p>
    <w:p w14:paraId="1F269329">
      <w:pPr>
        <w:pStyle w:val="279"/>
        <w:spacing w:before="0" w:after="0" w:line="420" w:lineRule="exact"/>
        <w:rPr>
          <w:rFonts w:hint="eastAsia"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2D4C0C8F">
      <w:pPr>
        <w:pStyle w:val="279"/>
        <w:spacing w:before="0" w:after="0" w:line="420" w:lineRule="exact"/>
        <w:rPr>
          <w:rFonts w:hint="eastAsia" w:ascii="宋体" w:hAnsi="宋体"/>
          <w:szCs w:val="21"/>
        </w:rPr>
      </w:pPr>
      <w:r>
        <w:rPr>
          <w:rFonts w:ascii="宋体" w:hAnsi="宋体"/>
          <w:szCs w:val="21"/>
        </w:rPr>
        <w:t>6</w:t>
      </w:r>
      <w:r>
        <w:rPr>
          <w:rFonts w:hint="eastAsia" w:ascii="宋体" w:hAnsi="宋体"/>
          <w:szCs w:val="21"/>
        </w:rPr>
        <w:t>.一旦我方中标,我方将根据招标文件的规定，严格履行合同的责任和义务,并保证在招标文件规定的时间完成项目，交付买方验收、使用。</w:t>
      </w:r>
    </w:p>
    <w:p w14:paraId="4BF1D52A">
      <w:pPr>
        <w:pStyle w:val="279"/>
        <w:spacing w:before="0" w:after="0" w:line="420" w:lineRule="exact"/>
        <w:rPr>
          <w:rFonts w:hint="eastAsia" w:ascii="宋体" w:hAnsi="宋体"/>
          <w:szCs w:val="21"/>
        </w:rPr>
      </w:pPr>
      <w:r>
        <w:rPr>
          <w:rFonts w:ascii="宋体" w:hAnsi="宋体"/>
          <w:szCs w:val="21"/>
        </w:rPr>
        <w:t>7</w:t>
      </w:r>
      <w:r>
        <w:rPr>
          <w:rFonts w:hint="eastAsia" w:ascii="宋体" w:hAnsi="宋体"/>
          <w:szCs w:val="21"/>
        </w:rPr>
        <w:t>.与本投标有关的正式通讯地址为：</w:t>
      </w:r>
    </w:p>
    <w:p w14:paraId="5D0042B9">
      <w:pPr>
        <w:pStyle w:val="279"/>
        <w:spacing w:before="0" w:after="0" w:line="420" w:lineRule="exact"/>
        <w:ind w:left="420"/>
        <w:rPr>
          <w:rFonts w:hint="eastAsia" w:ascii="宋体" w:hAnsi="宋体"/>
          <w:szCs w:val="21"/>
        </w:rPr>
      </w:pPr>
      <w:r>
        <w:rPr>
          <w:rFonts w:hint="eastAsia" w:ascii="宋体" w:hAnsi="宋体"/>
          <w:szCs w:val="21"/>
        </w:rPr>
        <w:t>地          址：</w:t>
      </w:r>
    </w:p>
    <w:p w14:paraId="25DBAC52">
      <w:pPr>
        <w:pStyle w:val="279"/>
        <w:spacing w:before="0" w:after="0" w:line="420" w:lineRule="exact"/>
        <w:ind w:left="420"/>
        <w:rPr>
          <w:rFonts w:hint="eastAsia" w:ascii="宋体" w:hAnsi="宋体"/>
          <w:szCs w:val="21"/>
        </w:rPr>
      </w:pPr>
      <w:r>
        <w:rPr>
          <w:rFonts w:hint="eastAsia" w:ascii="宋体" w:hAnsi="宋体"/>
          <w:szCs w:val="21"/>
        </w:rPr>
        <w:t>邮          编：</w:t>
      </w:r>
    </w:p>
    <w:p w14:paraId="770D1758">
      <w:pPr>
        <w:pStyle w:val="279"/>
        <w:spacing w:before="0" w:after="0" w:line="420" w:lineRule="exact"/>
        <w:ind w:left="420"/>
        <w:rPr>
          <w:rFonts w:hint="eastAsia" w:ascii="宋体" w:hAnsi="宋体"/>
          <w:szCs w:val="21"/>
        </w:rPr>
      </w:pPr>
      <w:r>
        <w:rPr>
          <w:rFonts w:hint="eastAsia" w:ascii="宋体" w:hAnsi="宋体"/>
          <w:szCs w:val="21"/>
        </w:rPr>
        <w:t>电          话：</w:t>
      </w:r>
    </w:p>
    <w:p w14:paraId="78E3ECC4">
      <w:pPr>
        <w:pStyle w:val="279"/>
        <w:spacing w:before="0" w:after="0" w:line="420" w:lineRule="exact"/>
        <w:ind w:left="420"/>
        <w:rPr>
          <w:rFonts w:hint="eastAsia" w:ascii="宋体" w:hAnsi="宋体"/>
          <w:szCs w:val="21"/>
        </w:rPr>
      </w:pPr>
      <w:r>
        <w:rPr>
          <w:rFonts w:hint="eastAsia" w:ascii="宋体" w:hAnsi="宋体"/>
          <w:szCs w:val="21"/>
        </w:rPr>
        <w:t>传          真：</w:t>
      </w:r>
    </w:p>
    <w:p w14:paraId="19880252">
      <w:pPr>
        <w:pStyle w:val="279"/>
        <w:spacing w:before="0" w:after="0" w:line="420" w:lineRule="exact"/>
        <w:ind w:left="420"/>
        <w:rPr>
          <w:rFonts w:hint="eastAsia" w:ascii="宋体" w:hAnsi="宋体"/>
          <w:szCs w:val="21"/>
        </w:rPr>
      </w:pPr>
      <w:r>
        <w:rPr>
          <w:rFonts w:hint="eastAsia" w:ascii="宋体" w:hAnsi="宋体"/>
          <w:szCs w:val="21"/>
        </w:rPr>
        <w:t>投标人开户行：</w:t>
      </w:r>
    </w:p>
    <w:p w14:paraId="5FD1116F">
      <w:pPr>
        <w:pStyle w:val="279"/>
        <w:spacing w:before="0" w:after="0" w:line="420" w:lineRule="exact"/>
        <w:ind w:left="420"/>
        <w:rPr>
          <w:rFonts w:hint="eastAsia" w:ascii="宋体" w:hAnsi="宋体"/>
          <w:szCs w:val="21"/>
        </w:rPr>
      </w:pPr>
      <w:r>
        <w:rPr>
          <w:rFonts w:hint="eastAsia" w:ascii="宋体" w:hAnsi="宋体"/>
          <w:szCs w:val="21"/>
        </w:rPr>
        <w:t xml:space="preserve">账          号： </w:t>
      </w:r>
    </w:p>
    <w:p w14:paraId="26A9AD7E">
      <w:pPr>
        <w:pStyle w:val="279"/>
        <w:spacing w:before="0" w:after="0" w:line="420" w:lineRule="exact"/>
        <w:ind w:left="420"/>
        <w:rPr>
          <w:rFonts w:hint="eastAsia" w:ascii="宋体" w:hAnsi="宋体"/>
          <w:szCs w:val="21"/>
        </w:rPr>
      </w:pPr>
      <w:r>
        <w:rPr>
          <w:rFonts w:hint="eastAsia" w:ascii="宋体" w:hAnsi="宋体"/>
          <w:szCs w:val="21"/>
        </w:rPr>
        <w:t>日           期：___年____月____日</w:t>
      </w:r>
    </w:p>
    <w:p w14:paraId="2B0AEE25">
      <w:pPr>
        <w:spacing w:line="560" w:lineRule="exact"/>
        <w:ind w:firstLine="240"/>
        <w:jc w:val="center"/>
        <w:rPr>
          <w:rFonts w:hint="eastAsia" w:ascii="宋体" w:hAnsi="宋体"/>
          <w:bCs/>
          <w:color w:val="000000"/>
          <w:sz w:val="24"/>
        </w:rPr>
      </w:pPr>
    </w:p>
    <w:p w14:paraId="7878B747">
      <w:pPr>
        <w:spacing w:line="440" w:lineRule="exact"/>
        <w:ind w:firstLine="480"/>
        <w:rPr>
          <w:rFonts w:hint="eastAsia" w:ascii="宋体" w:hAnsi="宋体"/>
          <w:sz w:val="24"/>
        </w:rPr>
      </w:pPr>
    </w:p>
    <w:p w14:paraId="69CD1F1A">
      <w:pPr>
        <w:pStyle w:val="12"/>
        <w:overflowPunct w:val="0"/>
        <w:spacing w:line="360" w:lineRule="auto"/>
        <w:ind w:left="2940" w:leftChars="1400"/>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04D1860C">
      <w:pPr>
        <w:pStyle w:val="12"/>
        <w:overflowPunct w:val="0"/>
        <w:spacing w:line="360" w:lineRule="auto"/>
        <w:ind w:left="2940" w:leftChars="1400"/>
        <w:rPr>
          <w:rFonts w:ascii="Arial" w:hAnsi="Arial" w:eastAsia="宋体" w:cs="Arial"/>
        </w:rPr>
      </w:pPr>
      <w:r>
        <w:rPr>
          <w:rFonts w:hint="eastAsia" w:ascii="Arial" w:hAnsi="Arial" w:eastAsia="宋体" w:cs="Arial"/>
        </w:rPr>
        <w:t>日期：</w:t>
      </w:r>
      <w:r>
        <w:rPr>
          <w:rFonts w:ascii="Arial" w:hAnsi="Arial" w:eastAsia="宋体" w:cs="Arial"/>
        </w:rPr>
        <w:t xml:space="preserve"> </w:t>
      </w:r>
    </w:p>
    <w:p w14:paraId="5538A399">
      <w:pPr>
        <w:spacing w:line="440" w:lineRule="exact"/>
        <w:ind w:firstLine="480"/>
        <w:rPr>
          <w:rFonts w:hint="eastAsia" w:ascii="宋体" w:hAnsi="宋体"/>
          <w:sz w:val="24"/>
        </w:rPr>
      </w:pPr>
    </w:p>
    <w:p w14:paraId="4C6D7B90">
      <w:pPr>
        <w:spacing w:line="440" w:lineRule="exact"/>
        <w:ind w:firstLine="480"/>
        <w:rPr>
          <w:rFonts w:hint="eastAsia" w:ascii="宋体" w:hAnsi="宋体"/>
          <w:sz w:val="24"/>
        </w:rPr>
      </w:pPr>
    </w:p>
    <w:p w14:paraId="42711B8C">
      <w:pPr>
        <w:spacing w:line="440" w:lineRule="exact"/>
        <w:ind w:firstLine="480"/>
        <w:rPr>
          <w:rFonts w:hint="eastAsia" w:ascii="宋体" w:hAnsi="宋体"/>
          <w:sz w:val="24"/>
        </w:rPr>
      </w:pPr>
    </w:p>
    <w:bookmarkEnd w:id="351"/>
    <w:bookmarkEnd w:id="352"/>
    <w:bookmarkEnd w:id="353"/>
    <w:p w14:paraId="61D968ED">
      <w:pPr>
        <w:spacing w:line="460" w:lineRule="exact"/>
        <w:rPr>
          <w:rFonts w:hint="eastAsia" w:ascii="宋体" w:hAnsi="宋体"/>
          <w:b/>
          <w:sz w:val="24"/>
          <w:szCs w:val="24"/>
        </w:rPr>
      </w:pPr>
      <w:bookmarkStart w:id="355" w:name="_Toc120614284"/>
      <w:r>
        <w:rPr>
          <w:rFonts w:hint="eastAsia" w:ascii="宋体" w:hAnsi="宋体"/>
          <w:b/>
          <w:sz w:val="24"/>
          <w:szCs w:val="24"/>
        </w:rPr>
        <w:t>附件</w:t>
      </w:r>
      <w:r>
        <w:rPr>
          <w:rFonts w:ascii="宋体" w:hAnsi="宋体"/>
          <w:b/>
          <w:sz w:val="24"/>
          <w:szCs w:val="24"/>
        </w:rPr>
        <w:t>9</w:t>
      </w:r>
      <w:r>
        <w:rPr>
          <w:rFonts w:hint="eastAsia" w:ascii="宋体" w:hAnsi="宋体"/>
          <w:b/>
          <w:sz w:val="24"/>
          <w:szCs w:val="24"/>
        </w:rPr>
        <w:t xml:space="preserve"> 中小微企业声明函（货物类项目）（采购包号：★★）</w:t>
      </w:r>
    </w:p>
    <w:p w14:paraId="57296613">
      <w:pPr>
        <w:spacing w:line="400" w:lineRule="exact"/>
        <w:ind w:firstLine="360"/>
        <w:rPr>
          <w:rFonts w:hint="eastAsia" w:ascii="宋体" w:hAnsi="宋体"/>
          <w:sz w:val="24"/>
          <w:szCs w:val="24"/>
        </w:rPr>
      </w:pPr>
      <w:r>
        <w:rPr>
          <w:rFonts w:hint="eastAsia" w:ascii="宋体" w:hAnsi="宋体"/>
          <w:sz w:val="24"/>
          <w:szCs w:val="24"/>
        </w:rPr>
        <w:t>本公司郑重声明，根据《政府采购促进中小企业发展管理办法》(财库〔2020〕46号)的规定，本公司参加中邮通建设咨询有限公司组织的</w:t>
      </w:r>
      <w:r>
        <w:rPr>
          <w:rFonts w:hint="eastAsia" w:ascii="宋体" w:hAnsi="宋体"/>
          <w:sz w:val="24"/>
          <w:szCs w:val="24"/>
          <w:u w:val="single"/>
        </w:rPr>
        <w:t>（单位名称）</w:t>
      </w:r>
      <w:r>
        <w:rPr>
          <w:rFonts w:hint="eastAsia" w:ascii="宋体" w:hAnsi="宋体"/>
          <w:sz w:val="24"/>
          <w:szCs w:val="24"/>
        </w:rPr>
        <w:t>项目编号为</w:t>
      </w:r>
      <w:r>
        <w:rPr>
          <w:rFonts w:hint="eastAsia"/>
          <w:color w:val="000000"/>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项目（项目名称）（采购包号：★★）的采购活动，服务全部由符合政策的中小微企业承接。相关企业具体情况如下：</w:t>
      </w:r>
    </w:p>
    <w:p w14:paraId="651EF453">
      <w:pPr>
        <w:spacing w:line="400" w:lineRule="exact"/>
        <w:ind w:firstLine="36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（工业）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764B66F4">
      <w:pPr>
        <w:spacing w:line="400" w:lineRule="exact"/>
        <w:ind w:firstLine="360"/>
        <w:rPr>
          <w:rFonts w:hint="eastAsia" w:ascii="宋体" w:hAnsi="宋体"/>
          <w:i/>
          <w:sz w:val="24"/>
          <w:szCs w:val="24"/>
          <w:u w:val="single"/>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i/>
          <w:sz w:val="24"/>
          <w:szCs w:val="24"/>
        </w:rPr>
        <w:t>，</w:t>
      </w:r>
      <w:r>
        <w:rPr>
          <w:rFonts w:hint="eastAsia" w:ascii="宋体" w:hAnsi="宋体"/>
          <w:sz w:val="24"/>
          <w:szCs w:val="24"/>
        </w:rPr>
        <w:t>属于</w:t>
      </w:r>
      <w:r>
        <w:rPr>
          <w:rFonts w:hint="eastAsia" w:ascii="宋体" w:hAnsi="宋体"/>
          <w:sz w:val="24"/>
          <w:szCs w:val="24"/>
          <w:u w:val="single"/>
        </w:rPr>
        <w:t>（工业）</w:t>
      </w:r>
      <w:r>
        <w:rPr>
          <w:rFonts w:hint="eastAsia" w:ascii="宋体" w:hAnsi="宋体"/>
          <w:sz w:val="24"/>
          <w:szCs w:val="24"/>
        </w:rPr>
        <w:t>行业；承接企业为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u w:val="single"/>
        </w:rPr>
        <w:t>（□中型企业 □小型企业 □微型企业）；</w:t>
      </w:r>
    </w:p>
    <w:p w14:paraId="718A4D22">
      <w:pPr>
        <w:spacing w:line="400" w:lineRule="exact"/>
        <w:ind w:firstLine="360"/>
        <w:rPr>
          <w:rFonts w:hint="eastAsia" w:ascii="宋体" w:hAnsi="宋体"/>
          <w:sz w:val="24"/>
          <w:szCs w:val="24"/>
        </w:rPr>
      </w:pPr>
      <w:r>
        <w:rPr>
          <w:rFonts w:hint="eastAsia" w:ascii="宋体" w:hAnsi="宋体"/>
          <w:sz w:val="24"/>
          <w:szCs w:val="24"/>
        </w:rPr>
        <w:t>……</w:t>
      </w:r>
    </w:p>
    <w:p w14:paraId="67637BF6">
      <w:pPr>
        <w:spacing w:line="400" w:lineRule="exact"/>
        <w:ind w:firstLine="36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2FEC604B">
      <w:pPr>
        <w:spacing w:line="400" w:lineRule="exact"/>
        <w:ind w:firstLine="36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2321B4BB">
      <w:pPr>
        <w:spacing w:line="400" w:lineRule="exact"/>
        <w:ind w:right="720"/>
        <w:rPr>
          <w:rFonts w:hint="eastAsia" w:ascii="宋体" w:hAnsi="宋体"/>
          <w:sz w:val="24"/>
          <w:szCs w:val="24"/>
        </w:rPr>
      </w:pPr>
    </w:p>
    <w:p w14:paraId="4A0C761B">
      <w:pPr>
        <w:spacing w:line="400" w:lineRule="exact"/>
        <w:ind w:right="180" w:firstLine="360"/>
        <w:jc w:val="center"/>
        <w:rPr>
          <w:rFonts w:hint="eastAsia" w:ascii="宋体" w:hAnsi="宋体"/>
          <w:sz w:val="24"/>
          <w:szCs w:val="24"/>
        </w:rPr>
      </w:pPr>
      <w:r>
        <w:rPr>
          <w:rFonts w:hint="eastAsia" w:ascii="宋体" w:hAnsi="宋体"/>
          <w:sz w:val="24"/>
          <w:szCs w:val="24"/>
        </w:rPr>
        <w:t xml:space="preserve">                                   企业名称（加盖CA</w:t>
      </w:r>
      <w:r>
        <w:rPr>
          <w:rFonts w:hint="eastAsia" w:ascii="宋体" w:hAnsi="宋体"/>
          <w:sz w:val="24"/>
          <w:szCs w:val="24"/>
          <w:lang w:eastAsia="zh-CN"/>
        </w:rPr>
        <w:t>电子公章</w:t>
      </w:r>
      <w:r>
        <w:rPr>
          <w:rFonts w:hint="eastAsia" w:ascii="宋体" w:hAnsi="宋体"/>
          <w:sz w:val="24"/>
          <w:szCs w:val="24"/>
        </w:rPr>
        <w:t>）：</w:t>
      </w:r>
    </w:p>
    <w:p w14:paraId="2E1C533F">
      <w:pPr>
        <w:spacing w:line="400" w:lineRule="exact"/>
        <w:ind w:right="180" w:firstLine="360"/>
        <w:jc w:val="center"/>
        <w:rPr>
          <w:rFonts w:hint="eastAsia" w:ascii="宋体" w:hAnsi="宋体"/>
          <w:sz w:val="24"/>
          <w:szCs w:val="24"/>
        </w:rPr>
      </w:pPr>
      <w:r>
        <w:rPr>
          <w:rFonts w:hint="eastAsia" w:ascii="宋体" w:hAnsi="宋体" w:cs="宋体"/>
          <w:color w:val="000000"/>
          <w:sz w:val="24"/>
          <w:szCs w:val="24"/>
          <w:shd w:val="clear" w:color="auto" w:fill="FFFFFF"/>
        </w:rPr>
        <w:t xml:space="preserve">                               日期：___年____月____日 </w:t>
      </w:r>
    </w:p>
    <w:p w14:paraId="59630BEB">
      <w:pPr>
        <w:spacing w:line="400" w:lineRule="exact"/>
        <w:ind w:firstLine="480"/>
        <w:rPr>
          <w:rFonts w:hint="eastAsia" w:ascii="宋体" w:hAnsi="宋体"/>
          <w:sz w:val="24"/>
          <w:szCs w:val="24"/>
        </w:rPr>
      </w:pPr>
    </w:p>
    <w:p w14:paraId="211C33F4">
      <w:pPr>
        <w:spacing w:line="400" w:lineRule="exact"/>
        <w:ind w:firstLine="480"/>
        <w:rPr>
          <w:rFonts w:hint="eastAsia" w:ascii="宋体" w:hAnsi="宋体"/>
          <w:sz w:val="24"/>
          <w:szCs w:val="24"/>
        </w:rPr>
      </w:pPr>
      <w:r>
        <w:rPr>
          <w:rFonts w:hint="eastAsia" w:ascii="宋体" w:hAnsi="宋体"/>
          <w:sz w:val="24"/>
          <w:szCs w:val="24"/>
        </w:rPr>
        <w:t>备注：</w:t>
      </w:r>
    </w:p>
    <w:p w14:paraId="18F9E7B4">
      <w:pPr>
        <w:spacing w:line="400" w:lineRule="exact"/>
        <w:ind w:firstLine="480"/>
        <w:rPr>
          <w:rFonts w:hint="eastAsia"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201060F5">
      <w:pPr>
        <w:spacing w:line="400" w:lineRule="exact"/>
        <w:ind w:firstLine="480"/>
        <w:rPr>
          <w:rFonts w:hint="eastAsia" w:ascii="宋体" w:hAnsi="宋体"/>
          <w:sz w:val="24"/>
          <w:szCs w:val="24"/>
        </w:rPr>
      </w:pPr>
      <w:r>
        <w:rPr>
          <w:rFonts w:hint="eastAsia" w:ascii="宋体" w:hAnsi="宋体"/>
          <w:sz w:val="24"/>
          <w:szCs w:val="24"/>
        </w:rPr>
        <w:t>2.专门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投标人如不提供此声明函，则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面向中小微型企业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投标人如不提供此声明函，价格将不做相应扣除。</w:t>
      </w:r>
    </w:p>
    <w:p w14:paraId="22A4FE89">
      <w:pPr>
        <w:spacing w:line="400" w:lineRule="exact"/>
        <w:ind w:firstLine="480"/>
        <w:rPr>
          <w:rFonts w:hint="eastAsia" w:ascii="宋体" w:hAnsi="宋体"/>
          <w:sz w:val="24"/>
          <w:szCs w:val="24"/>
        </w:rPr>
      </w:pPr>
      <w:r>
        <w:rPr>
          <w:rFonts w:hint="eastAsia" w:ascii="宋体" w:hAnsi="宋体"/>
          <w:sz w:val="24"/>
          <w:szCs w:val="24"/>
        </w:rPr>
        <w:t>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自行勾选</w:t>
      </w:r>
      <w:r>
        <w:rPr>
          <w:rFonts w:hint="eastAsia" w:ascii="宋体" w:hAnsi="宋体"/>
          <w:sz w:val="24"/>
          <w:szCs w:val="24"/>
        </w:rPr>
        <w:t>承接企业</w:t>
      </w:r>
      <w:r>
        <w:rPr>
          <w:rFonts w:ascii="宋体" w:hAnsi="宋体"/>
          <w:sz w:val="24"/>
          <w:szCs w:val="24"/>
        </w:rPr>
        <w:t>的企业</w:t>
      </w:r>
      <w:r>
        <w:rPr>
          <w:rFonts w:hint="eastAsia" w:ascii="宋体" w:hAnsi="宋体"/>
          <w:sz w:val="24"/>
          <w:szCs w:val="24"/>
        </w:rPr>
        <w:t>规模类型</w:t>
      </w:r>
      <w:r>
        <w:rPr>
          <w:rFonts w:ascii="宋体" w:hAnsi="宋体"/>
          <w:sz w:val="24"/>
          <w:szCs w:val="24"/>
        </w:rPr>
        <w:t>。</w:t>
      </w:r>
    </w:p>
    <w:p w14:paraId="1D182930">
      <w:pPr>
        <w:spacing w:line="400" w:lineRule="exact"/>
        <w:ind w:left="540" w:leftChars="200" w:hanging="120" w:hangingChars="50"/>
        <w:rPr>
          <w:rFonts w:hint="eastAsia" w:ascii="宋体" w:hAnsi="宋体"/>
          <w:b/>
          <w:i/>
          <w:sz w:val="24"/>
          <w:u w:val="single"/>
        </w:rPr>
      </w:pPr>
      <w:r>
        <w:rPr>
          <w:rFonts w:hint="eastAsia" w:ascii="宋体" w:hAnsi="宋体"/>
          <w:b/>
          <w:i/>
          <w:sz w:val="24"/>
          <w:u w:val="single"/>
        </w:rPr>
        <w:t>4</w:t>
      </w:r>
      <w:r>
        <w:rPr>
          <w:rFonts w:ascii="宋体" w:hAnsi="宋体"/>
          <w:b/>
          <w:i/>
          <w:sz w:val="24"/>
          <w:u w:val="single"/>
        </w:rPr>
        <w:t>.</w:t>
      </w:r>
      <w:r>
        <w:rPr>
          <w:rFonts w:hint="eastAsia" w:ascii="宋体" w:hAnsi="宋体"/>
          <w:b/>
          <w:i/>
          <w:sz w:val="24"/>
          <w:u w:val="single"/>
        </w:rPr>
        <w:t>本项目对应中</w:t>
      </w:r>
      <w:r>
        <w:rPr>
          <w:rFonts w:ascii="宋体" w:hAnsi="宋体"/>
          <w:b/>
          <w:i/>
          <w:sz w:val="24"/>
          <w:u w:val="single"/>
        </w:rPr>
        <w:t>小企业划分标准所属行业</w:t>
      </w:r>
      <w:r>
        <w:rPr>
          <w:rFonts w:hint="eastAsia" w:ascii="宋体" w:hAnsi="宋体"/>
          <w:b/>
          <w:i/>
          <w:sz w:val="24"/>
          <w:u w:val="single"/>
        </w:rPr>
        <w:t>：工</w:t>
      </w:r>
      <w:r>
        <w:rPr>
          <w:rFonts w:ascii="宋体" w:hAnsi="宋体"/>
          <w:b/>
          <w:i/>
          <w:sz w:val="24"/>
          <w:u w:val="single"/>
        </w:rPr>
        <w:t>业</w:t>
      </w:r>
      <w:r>
        <w:rPr>
          <w:rFonts w:hint="eastAsia" w:ascii="宋体" w:hAnsi="宋体"/>
          <w:b/>
          <w:i/>
          <w:sz w:val="24"/>
          <w:u w:val="single"/>
        </w:rPr>
        <w:t>。</w:t>
      </w:r>
    </w:p>
    <w:p w14:paraId="39458CBF">
      <w:pPr>
        <w:spacing w:line="400" w:lineRule="exact"/>
        <w:ind w:firstLine="480"/>
        <w:rPr>
          <w:rFonts w:hint="eastAsia" w:ascii="宋体" w:hAnsi="宋体"/>
          <w:color w:val="FF0000"/>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附件</w:t>
      </w:r>
      <w:r>
        <w:rPr>
          <w:rFonts w:ascii="宋体" w:hAnsi="宋体"/>
          <w:b/>
          <w:sz w:val="24"/>
          <w:szCs w:val="24"/>
        </w:rPr>
        <w:t>10</w:t>
      </w:r>
      <w:r>
        <w:rPr>
          <w:rFonts w:hint="eastAsia" w:ascii="宋体" w:hAnsi="宋体"/>
          <w:b/>
          <w:sz w:val="24"/>
          <w:szCs w:val="24"/>
        </w:rPr>
        <w:t xml:space="preserve"> 残疾人福利性单位声明函（货物类项目）（采购包号：★★）</w:t>
      </w:r>
    </w:p>
    <w:p w14:paraId="272CA15C">
      <w:pPr>
        <w:spacing w:line="0" w:lineRule="atLeast"/>
        <w:ind w:firstLine="480"/>
        <w:rPr>
          <w:rFonts w:hint="eastAsia" w:ascii="宋体" w:hAnsi="宋体"/>
          <w:sz w:val="24"/>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项目编号为</w:t>
      </w:r>
      <w:r>
        <w:rPr>
          <w:rFonts w:hint="eastAsia"/>
          <w:color w:val="000000"/>
          <w:sz w:val="24"/>
          <w:szCs w:val="24"/>
          <w:u w:val="single"/>
        </w:rPr>
        <w:t xml:space="preserve">             </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项目（项目名称）（采购包号：★★）</w:t>
      </w:r>
      <w:r>
        <w:rPr>
          <w:rFonts w:hint="eastAsia" w:ascii="宋体" w:hAnsi="宋体"/>
          <w:sz w:val="24"/>
        </w:rPr>
        <w:t>采购活动由本单位提供服务。</w:t>
      </w:r>
    </w:p>
    <w:p w14:paraId="412F9C68">
      <w:pPr>
        <w:spacing w:line="0" w:lineRule="atLeast"/>
        <w:ind w:firstLine="480"/>
        <w:rPr>
          <w:rFonts w:hint="eastAsia" w:ascii="宋体" w:hAnsi="宋体"/>
          <w:sz w:val="24"/>
        </w:rPr>
      </w:pPr>
      <w:r>
        <w:rPr>
          <w:rFonts w:hint="eastAsia" w:ascii="宋体" w:hAnsi="宋体"/>
          <w:sz w:val="24"/>
        </w:rPr>
        <w:t>本单位对上述声明的真实性负责。如有虚假，将依法承担相应责任。</w:t>
      </w:r>
    </w:p>
    <w:p w14:paraId="1F84DFB0">
      <w:pPr>
        <w:spacing w:line="0" w:lineRule="atLeast"/>
        <w:ind w:firstLine="480"/>
        <w:rPr>
          <w:rFonts w:hint="eastAsia" w:ascii="宋体" w:hAnsi="宋体"/>
          <w:sz w:val="24"/>
        </w:rPr>
      </w:pPr>
    </w:p>
    <w:p w14:paraId="4B98DA45">
      <w:pPr>
        <w:spacing w:line="0" w:lineRule="atLeast"/>
        <w:ind w:firstLine="480"/>
        <w:rPr>
          <w:rFonts w:hint="eastAsia" w:ascii="宋体" w:hAnsi="宋体"/>
          <w:sz w:val="24"/>
        </w:rPr>
      </w:pPr>
      <w:r>
        <w:rPr>
          <w:rFonts w:hint="eastAsia" w:ascii="宋体" w:hAnsi="宋体"/>
          <w:sz w:val="24"/>
        </w:rPr>
        <w:t>备注：</w:t>
      </w:r>
    </w:p>
    <w:p w14:paraId="61892731">
      <w:pPr>
        <w:spacing w:line="0" w:lineRule="atLeast"/>
        <w:ind w:firstLine="480"/>
        <w:rPr>
          <w:rFonts w:hint="eastAsia" w:ascii="宋体" w:hAnsi="宋体"/>
          <w:sz w:val="24"/>
        </w:rPr>
      </w:pPr>
      <w:r>
        <w:rPr>
          <w:rFonts w:hint="eastAsia" w:ascii="宋体" w:hAnsi="宋体"/>
          <w:sz w:val="24"/>
        </w:rPr>
        <w:t>1</w:t>
      </w:r>
      <w:r>
        <w:rPr>
          <w:rFonts w:ascii="宋体" w:hAnsi="宋体"/>
          <w:sz w:val="24"/>
        </w:rPr>
        <w:t>.</w:t>
      </w:r>
      <w:r>
        <w:rPr>
          <w:rFonts w:hint="eastAsia" w:ascii="宋体" w:hAnsi="宋体"/>
          <w:sz w:val="24"/>
        </w:rPr>
        <w:t>专门面向中小微型企业采购的</w:t>
      </w:r>
      <w:r>
        <w:rPr>
          <w:rFonts w:ascii="宋体" w:hAnsi="宋体"/>
          <w:sz w:val="24"/>
        </w:rPr>
        <w:t>项目</w:t>
      </w:r>
      <w:r>
        <w:rPr>
          <w:rFonts w:hint="eastAsia" w:ascii="宋体" w:hAnsi="宋体"/>
          <w:sz w:val="24"/>
        </w:rPr>
        <w:t>，投标人为残疾人福利性单位并提供服务的必须提供此</w:t>
      </w:r>
      <w:r>
        <w:rPr>
          <w:rFonts w:ascii="宋体" w:hAnsi="宋体"/>
          <w:sz w:val="24"/>
        </w:rPr>
        <w:t>声明函</w:t>
      </w:r>
      <w:r>
        <w:rPr>
          <w:rFonts w:hint="eastAsia" w:ascii="宋体" w:hAnsi="宋体"/>
          <w:sz w:val="24"/>
        </w:rPr>
        <w:t>，</w:t>
      </w:r>
      <w:r>
        <w:rPr>
          <w:rFonts w:ascii="宋体" w:hAnsi="宋体"/>
          <w:sz w:val="24"/>
        </w:rPr>
        <w:t>否则将</w:t>
      </w:r>
      <w:r>
        <w:rPr>
          <w:rFonts w:hint="eastAsia" w:ascii="宋体" w:hAnsi="宋体"/>
          <w:sz w:val="24"/>
        </w:rPr>
        <w:t>不能</w:t>
      </w:r>
      <w:r>
        <w:rPr>
          <w:rFonts w:ascii="宋体" w:hAnsi="宋体"/>
          <w:sz w:val="24"/>
        </w:rPr>
        <w:t>通过资格审查</w:t>
      </w:r>
      <w:r>
        <w:rPr>
          <w:rFonts w:hint="eastAsia" w:ascii="宋体" w:hAnsi="宋体"/>
          <w:sz w:val="24"/>
        </w:rPr>
        <w:t>。</w:t>
      </w:r>
    </w:p>
    <w:p w14:paraId="6A606964">
      <w:pPr>
        <w:spacing w:line="0" w:lineRule="atLeast"/>
        <w:ind w:firstLine="480"/>
        <w:rPr>
          <w:rFonts w:hint="eastAsia" w:ascii="宋体" w:hAnsi="宋体"/>
          <w:sz w:val="24"/>
        </w:rPr>
      </w:pPr>
      <w:r>
        <w:rPr>
          <w:rFonts w:hint="eastAsia" w:ascii="宋体" w:hAnsi="宋体"/>
          <w:sz w:val="24"/>
        </w:rPr>
        <w:t>2.非专门面向中小微型企业采购的</w:t>
      </w:r>
      <w:r>
        <w:rPr>
          <w:rFonts w:ascii="宋体" w:hAnsi="宋体"/>
          <w:sz w:val="24"/>
        </w:rPr>
        <w:t>项目</w:t>
      </w:r>
      <w:r>
        <w:rPr>
          <w:rFonts w:hint="eastAsia" w:ascii="宋体" w:hAnsi="宋体"/>
          <w:sz w:val="24"/>
        </w:rPr>
        <w:t>，投标人如不提供此声明函，价格将不做相应扣除。</w:t>
      </w:r>
    </w:p>
    <w:p w14:paraId="0263F1C8">
      <w:pPr>
        <w:spacing w:line="0" w:lineRule="atLeast"/>
        <w:ind w:firstLine="480"/>
        <w:rPr>
          <w:rFonts w:hint="eastAsia" w:ascii="宋体" w:hAnsi="宋体"/>
          <w:sz w:val="24"/>
        </w:rPr>
      </w:pPr>
      <w:r>
        <w:rPr>
          <w:rFonts w:ascii="宋体" w:hAnsi="宋体"/>
          <w:sz w:val="24"/>
        </w:rPr>
        <w:t>3</w:t>
      </w:r>
      <w:r>
        <w:rPr>
          <w:rFonts w:hint="eastAsia" w:ascii="宋体" w:hAnsi="宋体"/>
          <w:sz w:val="24"/>
        </w:rPr>
        <w:t>.中标/成交投标人为残疾人福利性单位的，此声明函将随中标/成交结果同时公告，接受社会监督</w:t>
      </w:r>
    </w:p>
    <w:p w14:paraId="42B42D4B">
      <w:pPr>
        <w:spacing w:line="588" w:lineRule="exact"/>
        <w:ind w:firstLine="624"/>
        <w:rPr>
          <w:rFonts w:ascii="仿宋_GB2312" w:eastAsia="仿宋_GB2312"/>
          <w:spacing w:val="6"/>
          <w:sz w:val="30"/>
          <w:szCs w:val="30"/>
        </w:rPr>
      </w:pPr>
    </w:p>
    <w:p w14:paraId="25C88D15">
      <w:pPr>
        <w:tabs>
          <w:tab w:val="left" w:pos="4860"/>
        </w:tabs>
        <w:spacing w:line="0" w:lineRule="atLeast"/>
        <w:ind w:right="1559" w:firstLine="624"/>
        <w:jc w:val="center"/>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投标人全称（加盖CA</w:t>
      </w:r>
      <w:r>
        <w:rPr>
          <w:rFonts w:hint="eastAsia" w:ascii="宋体" w:hAnsi="宋体"/>
          <w:sz w:val="24"/>
          <w:lang w:eastAsia="zh-CN"/>
        </w:rPr>
        <w:t>电子公章</w:t>
      </w:r>
      <w:r>
        <w:rPr>
          <w:rFonts w:hint="eastAsia" w:ascii="宋体" w:hAnsi="宋体"/>
          <w:sz w:val="24"/>
        </w:rPr>
        <w:t>）：</w:t>
      </w:r>
    </w:p>
    <w:p w14:paraId="20CB7DF6">
      <w:pPr>
        <w:tabs>
          <w:tab w:val="left" w:pos="4860"/>
        </w:tabs>
        <w:spacing w:line="0" w:lineRule="atLeast"/>
        <w:ind w:right="1559" w:firstLine="480"/>
        <w:jc w:val="center"/>
        <w:rPr>
          <w:rFonts w:hint="eastAsia" w:ascii="宋体" w:hAnsi="宋体"/>
          <w:sz w:val="24"/>
        </w:rPr>
      </w:pPr>
      <w:r>
        <w:rPr>
          <w:rFonts w:hint="eastAsia" w:ascii="宋体" w:hAnsi="宋体"/>
          <w:sz w:val="24"/>
        </w:rPr>
        <w:t xml:space="preserve">                           </w:t>
      </w:r>
      <w:r>
        <w:rPr>
          <w:rFonts w:hint="eastAsia" w:ascii="宋体" w:hAnsi="宋体" w:cs="宋体"/>
          <w:color w:val="000000"/>
          <w:sz w:val="24"/>
          <w:szCs w:val="24"/>
          <w:shd w:val="clear" w:color="auto" w:fill="FFFFFF"/>
        </w:rPr>
        <w:t>日期：___年____月____日   </w:t>
      </w:r>
    </w:p>
    <w:p w14:paraId="6FA433A3">
      <w:pPr>
        <w:spacing w:line="560" w:lineRule="exact"/>
        <w:jc w:val="center"/>
        <w:rPr>
          <w:rFonts w:hint="eastAsia" w:ascii="黑体" w:hAnsi="黑体" w:eastAsia="黑体"/>
          <w:b/>
          <w:sz w:val="32"/>
          <w:szCs w:val="32"/>
        </w:rPr>
      </w:pPr>
    </w:p>
    <w:p w14:paraId="0D78B87E">
      <w:pPr>
        <w:spacing w:line="560" w:lineRule="exact"/>
        <w:jc w:val="center"/>
        <w:rPr>
          <w:rFonts w:hint="eastAsia" w:ascii="黑体" w:hAnsi="黑体" w:eastAsia="黑体"/>
          <w:b/>
          <w:sz w:val="32"/>
          <w:szCs w:val="32"/>
        </w:rPr>
      </w:pPr>
    </w:p>
    <w:p w14:paraId="7FD0A5F8">
      <w:pPr>
        <w:spacing w:line="560" w:lineRule="exact"/>
        <w:ind w:firstLine="645"/>
        <w:rPr>
          <w:rFonts w:hint="eastAsia" w:ascii="宋体" w:hAnsi="宋体"/>
          <w:sz w:val="24"/>
        </w:rPr>
      </w:pPr>
    </w:p>
    <w:p w14:paraId="130052BA">
      <w:pPr>
        <w:jc w:val="left"/>
        <w:rPr>
          <w:rFonts w:hint="eastAsia" w:ascii="宋体" w:hAnsi="宋体"/>
          <w:b/>
          <w:sz w:val="24"/>
          <w:szCs w:val="24"/>
        </w:rPr>
      </w:pPr>
      <w:r>
        <w:rPr>
          <w:rFonts w:hint="eastAsia" w:ascii="宋体" w:hAnsi="宋体"/>
          <w:b/>
          <w:sz w:val="24"/>
          <w:szCs w:val="24"/>
        </w:rPr>
        <w:br w:type="page"/>
      </w:r>
    </w:p>
    <w:p w14:paraId="28528B30">
      <w:pPr>
        <w:rPr>
          <w:rFonts w:hint="eastAsia" w:ascii="宋体" w:hAnsi="宋体"/>
          <w:b/>
          <w:sz w:val="24"/>
          <w:szCs w:val="24"/>
        </w:rPr>
      </w:pPr>
      <w:r>
        <w:rPr>
          <w:rFonts w:hint="eastAsia" w:ascii="宋体" w:hAnsi="宋体"/>
          <w:b/>
          <w:sz w:val="24"/>
          <w:szCs w:val="24"/>
        </w:rPr>
        <w:t>附件</w:t>
      </w:r>
      <w:r>
        <w:rPr>
          <w:rFonts w:ascii="宋体" w:hAnsi="宋体"/>
          <w:b/>
          <w:sz w:val="24"/>
          <w:szCs w:val="24"/>
        </w:rPr>
        <w:t>1</w:t>
      </w:r>
      <w:r>
        <w:rPr>
          <w:rFonts w:hint="eastAsia" w:ascii="宋体" w:hAnsi="宋体"/>
          <w:b/>
          <w:sz w:val="24"/>
          <w:szCs w:val="24"/>
        </w:rPr>
        <w:t>1 实质性要求响应及偏离表（采购包号：★★）</w:t>
      </w:r>
    </w:p>
    <w:tbl>
      <w:tblPr>
        <w:tblStyle w:val="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609"/>
        <w:gridCol w:w="3317"/>
        <w:gridCol w:w="1526"/>
      </w:tblGrid>
      <w:tr w14:paraId="4FA6F8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vAlign w:val="center"/>
          </w:tcPr>
          <w:p w14:paraId="5E7472E5">
            <w:pPr>
              <w:spacing w:line="400" w:lineRule="exact"/>
              <w:jc w:val="center"/>
              <w:rPr>
                <w:rFonts w:hint="eastAsia" w:ascii="宋体" w:hAnsi="宋体"/>
                <w:color w:val="000000"/>
                <w:sz w:val="24"/>
                <w:szCs w:val="24"/>
              </w:rPr>
            </w:pPr>
            <w:r>
              <w:rPr>
                <w:rFonts w:hint="eastAsia" w:ascii="宋体" w:hAnsi="宋体"/>
                <w:color w:val="000000"/>
                <w:sz w:val="24"/>
                <w:szCs w:val="24"/>
              </w:rPr>
              <w:t>序号</w:t>
            </w:r>
          </w:p>
        </w:tc>
        <w:tc>
          <w:tcPr>
            <w:tcW w:w="3609" w:type="dxa"/>
            <w:vAlign w:val="center"/>
          </w:tcPr>
          <w:p w14:paraId="31E6AEEE">
            <w:pPr>
              <w:spacing w:line="400" w:lineRule="exact"/>
              <w:jc w:val="center"/>
              <w:rPr>
                <w:rFonts w:hint="eastAsia" w:ascii="宋体" w:hAnsi="宋体"/>
                <w:color w:val="000000"/>
                <w:sz w:val="24"/>
                <w:szCs w:val="24"/>
              </w:rPr>
            </w:pPr>
            <w:r>
              <w:rPr>
                <w:rFonts w:hint="eastAsia" w:ascii="宋体" w:hAnsi="宋体"/>
                <w:color w:val="000000"/>
                <w:sz w:val="24"/>
              </w:rPr>
              <w:t>招标文件（含技术</w:t>
            </w:r>
            <w:r>
              <w:rPr>
                <w:rFonts w:ascii="宋体" w:hAnsi="宋体"/>
                <w:color w:val="000000"/>
                <w:sz w:val="24"/>
              </w:rPr>
              <w:t>要求和商务</w:t>
            </w:r>
            <w:r>
              <w:rPr>
                <w:rFonts w:hint="eastAsia" w:ascii="宋体" w:hAnsi="宋体"/>
                <w:color w:val="000000"/>
                <w:sz w:val="24"/>
              </w:rPr>
              <w:t>要求）</w:t>
            </w:r>
            <w:r>
              <w:rPr>
                <w:rFonts w:ascii="宋体" w:hAnsi="宋体"/>
                <w:color w:val="000000"/>
                <w:sz w:val="24"/>
              </w:rPr>
              <w:t>中</w:t>
            </w:r>
            <w:r>
              <w:rPr>
                <w:rFonts w:ascii="宋体" w:hAnsi="宋体"/>
                <w:color w:val="000000"/>
                <w:sz w:val="24"/>
                <w:szCs w:val="24"/>
              </w:rPr>
              <w:t>的实质性要求</w:t>
            </w:r>
            <w:r>
              <w:rPr>
                <w:rFonts w:hint="eastAsia" w:ascii="宋体" w:hAnsi="宋体"/>
                <w:b/>
                <w:bCs/>
                <w:color w:val="000000"/>
                <w:sz w:val="24"/>
              </w:rPr>
              <w:t>（</w:t>
            </w:r>
            <w:r>
              <w:rPr>
                <w:rFonts w:hint="eastAsia" w:ascii="宋体" w:hAnsi="宋体"/>
                <w:b/>
                <w:bCs/>
                <w:i/>
                <w:color w:val="000000"/>
                <w:sz w:val="24"/>
                <w:u w:val="single"/>
              </w:rPr>
              <w:t>斜体且有下划线部分</w:t>
            </w:r>
            <w:r>
              <w:rPr>
                <w:rFonts w:hint="eastAsia" w:ascii="宋体" w:hAnsi="宋体"/>
                <w:b/>
                <w:bCs/>
                <w:color w:val="000000"/>
                <w:sz w:val="24"/>
              </w:rPr>
              <w:t>或加★号条款）</w:t>
            </w:r>
          </w:p>
        </w:tc>
        <w:tc>
          <w:tcPr>
            <w:tcW w:w="3317" w:type="dxa"/>
            <w:vAlign w:val="center"/>
          </w:tcPr>
          <w:p w14:paraId="5EF376EB">
            <w:pPr>
              <w:spacing w:line="400" w:lineRule="exact"/>
              <w:jc w:val="center"/>
              <w:rPr>
                <w:rFonts w:hint="eastAsia" w:ascii="宋体" w:hAnsi="宋体"/>
                <w:color w:val="000000"/>
                <w:sz w:val="24"/>
                <w:szCs w:val="24"/>
              </w:rPr>
            </w:pPr>
            <w:r>
              <w:rPr>
                <w:rFonts w:hint="eastAsia" w:ascii="宋体" w:hAnsi="宋体"/>
                <w:color w:val="000000"/>
                <w:sz w:val="24"/>
                <w:szCs w:val="24"/>
              </w:rPr>
              <w:t>投标响应情况</w:t>
            </w:r>
          </w:p>
        </w:tc>
        <w:tc>
          <w:tcPr>
            <w:tcW w:w="1526" w:type="dxa"/>
            <w:vAlign w:val="center"/>
          </w:tcPr>
          <w:p w14:paraId="78B4AC0A">
            <w:pPr>
              <w:spacing w:line="400" w:lineRule="exact"/>
              <w:jc w:val="center"/>
              <w:rPr>
                <w:rFonts w:hint="eastAsia" w:ascii="宋体" w:hAnsi="宋体"/>
                <w:color w:val="000000"/>
                <w:sz w:val="24"/>
                <w:szCs w:val="24"/>
              </w:rPr>
            </w:pPr>
            <w:r>
              <w:rPr>
                <w:rFonts w:hint="eastAsia" w:ascii="宋体" w:hAnsi="宋体"/>
                <w:color w:val="000000"/>
                <w:sz w:val="24"/>
                <w:szCs w:val="24"/>
              </w:rPr>
              <w:t>超出、符合或偏离</w:t>
            </w:r>
          </w:p>
        </w:tc>
      </w:tr>
      <w:tr w14:paraId="2866A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793F35FD">
            <w:pPr>
              <w:spacing w:line="400" w:lineRule="exact"/>
              <w:jc w:val="center"/>
              <w:rPr>
                <w:rFonts w:hint="eastAsia" w:ascii="宋体" w:hAnsi="宋体"/>
                <w:color w:val="000000"/>
                <w:sz w:val="24"/>
                <w:szCs w:val="24"/>
              </w:rPr>
            </w:pPr>
            <w:r>
              <w:rPr>
                <w:rFonts w:hint="eastAsia" w:ascii="宋体" w:hAnsi="宋体"/>
                <w:color w:val="000000"/>
                <w:sz w:val="24"/>
                <w:szCs w:val="24"/>
              </w:rPr>
              <w:t>1</w:t>
            </w:r>
          </w:p>
        </w:tc>
        <w:tc>
          <w:tcPr>
            <w:tcW w:w="3609" w:type="dxa"/>
          </w:tcPr>
          <w:p w14:paraId="7289837B">
            <w:pPr>
              <w:spacing w:line="400" w:lineRule="exact"/>
              <w:jc w:val="center"/>
              <w:rPr>
                <w:rFonts w:hint="eastAsia" w:ascii="宋体" w:hAnsi="宋体"/>
                <w:color w:val="000000"/>
                <w:sz w:val="24"/>
                <w:szCs w:val="24"/>
              </w:rPr>
            </w:pPr>
          </w:p>
        </w:tc>
        <w:tc>
          <w:tcPr>
            <w:tcW w:w="3317" w:type="dxa"/>
          </w:tcPr>
          <w:p w14:paraId="71C5DF72">
            <w:pPr>
              <w:spacing w:line="400" w:lineRule="exact"/>
              <w:jc w:val="center"/>
              <w:rPr>
                <w:rFonts w:hint="eastAsia" w:ascii="宋体" w:hAnsi="宋体"/>
                <w:color w:val="000000"/>
                <w:sz w:val="24"/>
                <w:szCs w:val="24"/>
              </w:rPr>
            </w:pPr>
          </w:p>
        </w:tc>
        <w:tc>
          <w:tcPr>
            <w:tcW w:w="1526" w:type="dxa"/>
          </w:tcPr>
          <w:p w14:paraId="1AD6CB48">
            <w:pPr>
              <w:spacing w:line="400" w:lineRule="exact"/>
              <w:jc w:val="center"/>
              <w:rPr>
                <w:rFonts w:hint="eastAsia" w:ascii="宋体" w:hAnsi="宋体"/>
                <w:color w:val="000000"/>
                <w:sz w:val="24"/>
                <w:szCs w:val="24"/>
              </w:rPr>
            </w:pPr>
          </w:p>
        </w:tc>
      </w:tr>
      <w:tr w14:paraId="0A406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5193FA62">
            <w:pPr>
              <w:spacing w:line="400" w:lineRule="exact"/>
              <w:jc w:val="center"/>
              <w:rPr>
                <w:rFonts w:hint="eastAsia" w:ascii="宋体" w:hAnsi="宋体"/>
                <w:color w:val="000000"/>
                <w:sz w:val="24"/>
                <w:szCs w:val="24"/>
              </w:rPr>
            </w:pPr>
            <w:r>
              <w:rPr>
                <w:rFonts w:hint="eastAsia" w:ascii="宋体" w:hAnsi="宋体"/>
                <w:color w:val="000000"/>
                <w:sz w:val="24"/>
                <w:szCs w:val="24"/>
              </w:rPr>
              <w:t>2</w:t>
            </w:r>
          </w:p>
        </w:tc>
        <w:tc>
          <w:tcPr>
            <w:tcW w:w="3609" w:type="dxa"/>
          </w:tcPr>
          <w:p w14:paraId="386EF380">
            <w:pPr>
              <w:spacing w:line="400" w:lineRule="exact"/>
              <w:jc w:val="center"/>
              <w:rPr>
                <w:rFonts w:hint="eastAsia" w:ascii="宋体" w:hAnsi="宋体"/>
                <w:color w:val="000000"/>
                <w:sz w:val="24"/>
                <w:szCs w:val="24"/>
              </w:rPr>
            </w:pPr>
          </w:p>
        </w:tc>
        <w:tc>
          <w:tcPr>
            <w:tcW w:w="3317" w:type="dxa"/>
          </w:tcPr>
          <w:p w14:paraId="6127DEF4">
            <w:pPr>
              <w:spacing w:line="400" w:lineRule="exact"/>
              <w:jc w:val="center"/>
              <w:rPr>
                <w:rFonts w:hint="eastAsia" w:ascii="宋体" w:hAnsi="宋体"/>
                <w:color w:val="000000"/>
                <w:sz w:val="24"/>
                <w:szCs w:val="24"/>
              </w:rPr>
            </w:pPr>
          </w:p>
        </w:tc>
        <w:tc>
          <w:tcPr>
            <w:tcW w:w="1526" w:type="dxa"/>
          </w:tcPr>
          <w:p w14:paraId="03CB2542">
            <w:pPr>
              <w:spacing w:line="400" w:lineRule="exact"/>
              <w:jc w:val="center"/>
              <w:rPr>
                <w:rFonts w:hint="eastAsia" w:ascii="宋体" w:hAnsi="宋体"/>
                <w:color w:val="000000"/>
                <w:sz w:val="24"/>
                <w:szCs w:val="24"/>
              </w:rPr>
            </w:pPr>
          </w:p>
        </w:tc>
      </w:tr>
      <w:tr w14:paraId="607ED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tcPr>
          <w:p w14:paraId="4AF413E8">
            <w:pPr>
              <w:spacing w:line="400" w:lineRule="exact"/>
              <w:jc w:val="center"/>
              <w:rPr>
                <w:rFonts w:hint="eastAsia" w:ascii="宋体" w:hAnsi="宋体"/>
                <w:color w:val="000000"/>
                <w:sz w:val="24"/>
                <w:szCs w:val="24"/>
              </w:rPr>
            </w:pPr>
          </w:p>
        </w:tc>
        <w:tc>
          <w:tcPr>
            <w:tcW w:w="3609" w:type="dxa"/>
          </w:tcPr>
          <w:p w14:paraId="7184C73B">
            <w:pPr>
              <w:spacing w:line="400" w:lineRule="exact"/>
              <w:jc w:val="center"/>
              <w:rPr>
                <w:rFonts w:hint="eastAsia" w:ascii="宋体" w:hAnsi="宋体"/>
                <w:color w:val="000000"/>
                <w:sz w:val="24"/>
                <w:szCs w:val="24"/>
              </w:rPr>
            </w:pPr>
            <w:r>
              <w:rPr>
                <w:rFonts w:ascii="宋体" w:hAnsi="宋体"/>
                <w:color w:val="000000"/>
                <w:sz w:val="24"/>
                <w:szCs w:val="24"/>
              </w:rPr>
              <w:t>……</w:t>
            </w:r>
          </w:p>
        </w:tc>
        <w:tc>
          <w:tcPr>
            <w:tcW w:w="3317" w:type="dxa"/>
          </w:tcPr>
          <w:p w14:paraId="1845637B">
            <w:pPr>
              <w:spacing w:line="400" w:lineRule="exact"/>
              <w:jc w:val="center"/>
              <w:rPr>
                <w:rFonts w:hint="eastAsia" w:ascii="宋体" w:hAnsi="宋体"/>
                <w:color w:val="000000"/>
                <w:sz w:val="24"/>
                <w:szCs w:val="24"/>
              </w:rPr>
            </w:pPr>
          </w:p>
        </w:tc>
        <w:tc>
          <w:tcPr>
            <w:tcW w:w="1526" w:type="dxa"/>
          </w:tcPr>
          <w:p w14:paraId="673F19F7">
            <w:pPr>
              <w:spacing w:line="400" w:lineRule="exact"/>
              <w:jc w:val="center"/>
              <w:rPr>
                <w:rFonts w:hint="eastAsia" w:ascii="宋体" w:hAnsi="宋体"/>
                <w:color w:val="000000"/>
                <w:sz w:val="24"/>
                <w:szCs w:val="24"/>
              </w:rPr>
            </w:pPr>
          </w:p>
        </w:tc>
      </w:tr>
    </w:tbl>
    <w:p w14:paraId="4D366B62">
      <w:pPr>
        <w:spacing w:line="400" w:lineRule="exact"/>
        <w:rPr>
          <w:rFonts w:hint="eastAsia" w:ascii="宋体" w:hAnsi="宋体"/>
          <w:color w:val="000000"/>
          <w:sz w:val="24"/>
          <w:szCs w:val="24"/>
        </w:rPr>
      </w:pPr>
      <w:r>
        <w:rPr>
          <w:rFonts w:hint="eastAsia" w:ascii="宋体" w:hAnsi="宋体"/>
          <w:color w:val="000000"/>
          <w:sz w:val="24"/>
          <w:szCs w:val="24"/>
        </w:rPr>
        <w:t>附件</w:t>
      </w:r>
      <w:r>
        <w:rPr>
          <w:rFonts w:ascii="宋体" w:hAnsi="宋体"/>
          <w:color w:val="000000"/>
          <w:sz w:val="24"/>
          <w:szCs w:val="24"/>
        </w:rPr>
        <w:t xml:space="preserve">12-1 </w:t>
      </w:r>
      <w:r>
        <w:rPr>
          <w:rFonts w:hint="eastAsia" w:ascii="宋体" w:hAnsi="宋体"/>
          <w:color w:val="000000"/>
          <w:sz w:val="24"/>
          <w:szCs w:val="24"/>
        </w:rPr>
        <w:t>证明</w:t>
      </w:r>
      <w:r>
        <w:rPr>
          <w:rFonts w:ascii="宋体" w:hAnsi="宋体"/>
          <w:color w:val="000000"/>
          <w:sz w:val="24"/>
          <w:szCs w:val="24"/>
        </w:rPr>
        <w:t>材料</w:t>
      </w:r>
      <w:r>
        <w:rPr>
          <w:rFonts w:hint="eastAsia" w:ascii="宋体" w:hAnsi="宋体"/>
          <w:color w:val="000000"/>
          <w:sz w:val="24"/>
          <w:szCs w:val="24"/>
        </w:rPr>
        <w:t>1，证明</w:t>
      </w:r>
      <w:r>
        <w:rPr>
          <w:rFonts w:ascii="宋体" w:hAnsi="宋体"/>
          <w:color w:val="000000"/>
          <w:sz w:val="24"/>
          <w:szCs w:val="24"/>
        </w:rPr>
        <w:t>材料</w:t>
      </w:r>
      <w:r>
        <w:rPr>
          <w:rFonts w:hint="eastAsia" w:ascii="宋体" w:hAnsi="宋体"/>
          <w:color w:val="000000"/>
          <w:sz w:val="24"/>
          <w:szCs w:val="24"/>
        </w:rPr>
        <w:t>2，</w:t>
      </w:r>
      <w:r>
        <w:rPr>
          <w:rFonts w:ascii="宋体" w:hAnsi="宋体"/>
          <w:color w:val="000000"/>
          <w:sz w:val="24"/>
          <w:szCs w:val="24"/>
        </w:rPr>
        <w:t>……</w:t>
      </w:r>
    </w:p>
    <w:p w14:paraId="6A297FF1">
      <w:pPr>
        <w:spacing w:line="400" w:lineRule="exact"/>
        <w:rPr>
          <w:rFonts w:hint="eastAsia" w:ascii="宋体" w:hAnsi="宋体"/>
          <w:color w:val="000000"/>
          <w:sz w:val="24"/>
          <w:szCs w:val="24"/>
        </w:rPr>
      </w:pPr>
    </w:p>
    <w:p w14:paraId="10AFD870">
      <w:pPr>
        <w:spacing w:line="400" w:lineRule="exact"/>
        <w:rPr>
          <w:rFonts w:hint="eastAsia" w:ascii="宋体" w:hAnsi="宋体"/>
          <w:color w:val="000000"/>
          <w:sz w:val="24"/>
          <w:szCs w:val="24"/>
        </w:rPr>
      </w:pPr>
      <w:r>
        <w:rPr>
          <w:rFonts w:hint="eastAsia" w:ascii="宋体" w:hAnsi="宋体"/>
          <w:color w:val="000000"/>
          <w:sz w:val="24"/>
          <w:szCs w:val="24"/>
        </w:rPr>
        <w:t>备注</w:t>
      </w:r>
      <w:r>
        <w:rPr>
          <w:rFonts w:ascii="宋体" w:hAnsi="宋体"/>
          <w:color w:val="000000"/>
          <w:sz w:val="24"/>
          <w:szCs w:val="24"/>
        </w:rPr>
        <w:t>：</w:t>
      </w:r>
    </w:p>
    <w:p w14:paraId="45208EC1">
      <w:pPr>
        <w:spacing w:line="400" w:lineRule="exact"/>
        <w:rPr>
          <w:rFonts w:hint="eastAsia" w:ascii="宋体" w:hAnsi="宋体"/>
          <w:color w:val="000000"/>
          <w:sz w:val="24"/>
          <w:szCs w:val="24"/>
        </w:rPr>
      </w:pPr>
      <w:r>
        <w:rPr>
          <w:rFonts w:hint="eastAsia" w:ascii="宋体" w:hAnsi="宋体"/>
          <w:color w:val="000000"/>
          <w:sz w:val="24"/>
          <w:szCs w:val="24"/>
        </w:rPr>
        <w:t>1.投标人必须</w:t>
      </w:r>
      <w:r>
        <w:rPr>
          <w:rFonts w:ascii="宋体" w:hAnsi="宋体"/>
          <w:color w:val="000000"/>
          <w:sz w:val="24"/>
          <w:szCs w:val="24"/>
        </w:rPr>
        <w:t>对</w:t>
      </w:r>
      <w:r>
        <w:rPr>
          <w:rFonts w:hint="eastAsia" w:ascii="宋体" w:hAnsi="宋体"/>
          <w:color w:val="000000"/>
          <w:sz w:val="24"/>
        </w:rPr>
        <w:t>招标文件（含技术</w:t>
      </w:r>
      <w:r>
        <w:rPr>
          <w:rFonts w:ascii="宋体" w:hAnsi="宋体"/>
          <w:color w:val="000000"/>
          <w:sz w:val="24"/>
        </w:rPr>
        <w:t>要求和商务</w:t>
      </w:r>
      <w:r>
        <w:rPr>
          <w:rFonts w:hint="eastAsia" w:ascii="宋体" w:hAnsi="宋体"/>
          <w:color w:val="000000"/>
          <w:sz w:val="24"/>
        </w:rPr>
        <w:t>要求）</w:t>
      </w:r>
      <w:r>
        <w:rPr>
          <w:rFonts w:ascii="宋体" w:hAnsi="宋体"/>
          <w:color w:val="000000"/>
          <w:sz w:val="24"/>
        </w:rPr>
        <w:t>中</w:t>
      </w:r>
      <w:r>
        <w:rPr>
          <w:rFonts w:ascii="宋体" w:hAnsi="宋体"/>
          <w:color w:val="000000"/>
          <w:sz w:val="24"/>
          <w:szCs w:val="24"/>
        </w:rPr>
        <w:t>的实质性要求</w:t>
      </w:r>
      <w:r>
        <w:rPr>
          <w:rFonts w:hint="eastAsia" w:ascii="宋体" w:hAnsi="宋体"/>
          <w:b/>
          <w:bCs/>
          <w:color w:val="000000"/>
          <w:sz w:val="24"/>
        </w:rPr>
        <w:t>（</w:t>
      </w:r>
      <w:r>
        <w:rPr>
          <w:rFonts w:hint="eastAsia" w:ascii="宋体" w:hAnsi="宋体"/>
          <w:b/>
          <w:bCs/>
          <w:i/>
          <w:color w:val="000000"/>
          <w:sz w:val="24"/>
          <w:u w:val="single"/>
        </w:rPr>
        <w:t>斜体且有下划线部分</w:t>
      </w:r>
      <w:r>
        <w:rPr>
          <w:rFonts w:hint="eastAsia" w:ascii="宋体" w:hAnsi="宋体"/>
          <w:b/>
          <w:bCs/>
          <w:color w:val="000000"/>
          <w:sz w:val="24"/>
        </w:rPr>
        <w:t>或加★号条款为实质性要求）</w:t>
      </w:r>
      <w:r>
        <w:rPr>
          <w:rFonts w:ascii="宋体" w:hAnsi="宋体"/>
          <w:color w:val="000000"/>
          <w:sz w:val="24"/>
          <w:szCs w:val="24"/>
        </w:rPr>
        <w:t>逐条做出明确响应</w:t>
      </w:r>
      <w:r>
        <w:rPr>
          <w:rFonts w:hint="eastAsia" w:ascii="宋体" w:hAnsi="宋体"/>
          <w:color w:val="000000"/>
          <w:sz w:val="24"/>
          <w:szCs w:val="24"/>
        </w:rPr>
        <w:t>，</w:t>
      </w:r>
      <w:r>
        <w:rPr>
          <w:rFonts w:hint="eastAsia" w:ascii="宋体" w:hAnsi="宋体"/>
          <w:color w:val="000000"/>
          <w:sz w:val="24"/>
        </w:rPr>
        <w:t>否则作无效投标处理</w:t>
      </w:r>
      <w:r>
        <w:rPr>
          <w:rFonts w:ascii="宋体" w:hAnsi="宋体"/>
          <w:color w:val="000000"/>
          <w:sz w:val="24"/>
        </w:rPr>
        <w:t>。</w:t>
      </w:r>
    </w:p>
    <w:p w14:paraId="45289A39">
      <w:pPr>
        <w:spacing w:line="400" w:lineRule="exact"/>
        <w:rPr>
          <w:rFonts w:hint="eastAsia" w:ascii="宋体" w:hAnsi="宋体"/>
          <w:color w:val="000000"/>
          <w:sz w:val="24"/>
          <w:szCs w:val="24"/>
        </w:rPr>
      </w:pPr>
      <w:r>
        <w:rPr>
          <w:rFonts w:hint="eastAsia" w:ascii="宋体" w:hAnsi="宋体"/>
          <w:color w:val="000000"/>
          <w:sz w:val="24"/>
          <w:szCs w:val="24"/>
        </w:rPr>
        <w:t>2.如果招标</w:t>
      </w:r>
      <w:r>
        <w:rPr>
          <w:rFonts w:ascii="宋体" w:hAnsi="宋体"/>
          <w:color w:val="000000"/>
          <w:sz w:val="24"/>
          <w:szCs w:val="24"/>
        </w:rPr>
        <w:t>文件要求提供</w:t>
      </w:r>
      <w:r>
        <w:rPr>
          <w:rFonts w:hint="eastAsia" w:ascii="宋体" w:hAnsi="宋体"/>
          <w:color w:val="000000"/>
          <w:sz w:val="24"/>
          <w:szCs w:val="24"/>
        </w:rPr>
        <w:t>证明</w:t>
      </w:r>
      <w:r>
        <w:rPr>
          <w:rFonts w:ascii="宋体" w:hAnsi="宋体"/>
          <w:color w:val="000000"/>
          <w:sz w:val="24"/>
          <w:szCs w:val="24"/>
        </w:rPr>
        <w:t>材料，投标人</w:t>
      </w:r>
      <w:r>
        <w:rPr>
          <w:rFonts w:hint="eastAsia" w:ascii="宋体" w:hAnsi="宋体"/>
          <w:color w:val="000000"/>
          <w:sz w:val="24"/>
          <w:szCs w:val="24"/>
        </w:rPr>
        <w:t>必须</w:t>
      </w:r>
      <w:r>
        <w:rPr>
          <w:rFonts w:ascii="宋体" w:hAnsi="宋体"/>
          <w:color w:val="000000"/>
          <w:sz w:val="24"/>
          <w:szCs w:val="24"/>
        </w:rPr>
        <w:t>将证明材料</w:t>
      </w:r>
      <w:r>
        <w:rPr>
          <w:rFonts w:hint="eastAsia" w:ascii="宋体" w:hAnsi="宋体"/>
          <w:color w:val="000000"/>
          <w:sz w:val="24"/>
          <w:szCs w:val="24"/>
        </w:rPr>
        <w:t>列于</w:t>
      </w:r>
      <w:r>
        <w:rPr>
          <w:rFonts w:ascii="宋体" w:hAnsi="宋体"/>
          <w:color w:val="000000"/>
          <w:sz w:val="24"/>
          <w:szCs w:val="24"/>
        </w:rPr>
        <w:t>该表之下。</w:t>
      </w:r>
    </w:p>
    <w:p w14:paraId="0D9BB089">
      <w:pPr>
        <w:spacing w:line="400" w:lineRule="exact"/>
        <w:rPr>
          <w:rFonts w:hint="eastAsia" w:ascii="宋体" w:hAnsi="宋体"/>
          <w:color w:val="000000"/>
          <w:sz w:val="24"/>
          <w:szCs w:val="24"/>
        </w:rPr>
      </w:pPr>
      <w:r>
        <w:rPr>
          <w:rFonts w:hint="eastAsia" w:ascii="宋体" w:hAnsi="宋体"/>
          <w:color w:val="000000"/>
          <w:sz w:val="24"/>
          <w:szCs w:val="24"/>
        </w:rPr>
        <w:t>3.投标人未对实质性要求逐条作出明确响应的，或未按招标文件要求提供证明材料的，该采购包作无效投标处理。</w:t>
      </w:r>
    </w:p>
    <w:p w14:paraId="1F887B58">
      <w:pPr>
        <w:spacing w:line="400" w:lineRule="exact"/>
        <w:rPr>
          <w:rFonts w:hint="eastAsia" w:ascii="宋体" w:hAnsi="宋体"/>
          <w:color w:val="000000"/>
          <w:sz w:val="24"/>
          <w:szCs w:val="24"/>
        </w:rPr>
      </w:pPr>
      <w:r>
        <w:rPr>
          <w:rFonts w:hint="eastAsia" w:ascii="宋体" w:hAnsi="宋体"/>
          <w:color w:val="000000"/>
          <w:sz w:val="24"/>
          <w:szCs w:val="24"/>
          <w:lang w:val="en-US" w:eastAsia="zh-CN"/>
        </w:rPr>
        <w:t>4.</w:t>
      </w:r>
      <w:r>
        <w:rPr>
          <w:rFonts w:hint="eastAsia" w:asciiTheme="minorEastAsia" w:hAnsiTheme="minorEastAsia" w:eastAsiaTheme="minorEastAsia" w:cstheme="minorEastAsia"/>
          <w:color w:val="000000"/>
          <w:sz w:val="24"/>
          <w:szCs w:val="24"/>
        </w:rPr>
        <w:t>标★及▲项的技术指标需提供相应技术支持资料(如列有技术参数且完整的产品彩页或白皮书或产品说明书或功能截图等，供应商自行承诺的材料不予认可）以佐证所投产品的性能参数及功能，并标明技术支持资料在投标文件中的页码和位置。一般参数指标未有要求的以《技术条款偏离表》中应答为准。未按要求提供标★项指标未按要求提供技术支持资料的作无效投标处理，标▲项指标技术未按要求提供支持资料的作负偏离处理，如因未在《技术条款偏离表》中注明支持资料具体页码和位置导致本项不得分的，由此产生的后果由供应商自行承担。</w:t>
      </w:r>
    </w:p>
    <w:p w14:paraId="18F61C75">
      <w:pPr>
        <w:spacing w:line="400" w:lineRule="exact"/>
        <w:rPr>
          <w:rFonts w:hint="eastAsia" w:ascii="宋体" w:hAnsi="宋体"/>
          <w:color w:val="FF0000"/>
          <w:sz w:val="24"/>
          <w:szCs w:val="24"/>
        </w:rPr>
      </w:pPr>
    </w:p>
    <w:p w14:paraId="396E0969">
      <w:pPr>
        <w:rPr>
          <w:rFonts w:hint="eastAsia" w:ascii="宋体" w:hAnsi="宋体"/>
          <w:b/>
          <w:sz w:val="24"/>
          <w:szCs w:val="24"/>
        </w:rPr>
      </w:pPr>
      <w:r>
        <w:rPr>
          <w:rFonts w:hint="eastAsia" w:ascii="宋体" w:hAnsi="宋体"/>
          <w:b/>
          <w:sz w:val="24"/>
          <w:szCs w:val="24"/>
        </w:rPr>
        <w:br w:type="page"/>
      </w:r>
    </w:p>
    <w:p w14:paraId="7D49BB71">
      <w:pPr>
        <w:pStyle w:val="4"/>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附件12 进口产品（若是）</w:t>
      </w:r>
    </w:p>
    <w:p w14:paraId="7F355270">
      <w:pPr>
        <w:spacing w:line="460" w:lineRule="exact"/>
        <w:jc w:val="center"/>
        <w:rPr>
          <w:rFonts w:hint="eastAsia" w:ascii="宋体" w:hAnsi="宋体" w:cs="宋体"/>
          <w:color w:val="000000"/>
        </w:rPr>
      </w:pPr>
      <w:r>
        <w:rPr>
          <w:rFonts w:hint="eastAsia" w:ascii="宋体" w:hAnsi="宋体" w:cs="宋体"/>
          <w:color w:val="000000"/>
        </w:rPr>
        <w:t>进口产品</w:t>
      </w:r>
      <w:r>
        <w:rPr>
          <w:rFonts w:ascii="宋体" w:hAnsi="宋体" w:cs="宋体"/>
          <w:color w:val="000000"/>
        </w:rPr>
        <w:t>授权书</w:t>
      </w:r>
      <w:r>
        <w:rPr>
          <w:rFonts w:hint="eastAsia" w:ascii="宋体" w:hAnsi="宋体" w:cs="宋体"/>
          <w:color w:val="000000"/>
        </w:rPr>
        <w:t>（格式自拟）</w:t>
      </w:r>
    </w:p>
    <w:p w14:paraId="68366296">
      <w:pPr>
        <w:spacing w:line="460" w:lineRule="exact"/>
        <w:ind w:firstLine="420" w:firstLineChars="200"/>
        <w:rPr>
          <w:rFonts w:hint="eastAsia" w:ascii="宋体" w:hAnsi="宋体"/>
          <w:bCs/>
          <w:sz w:val="24"/>
        </w:rPr>
      </w:pPr>
      <w:r>
        <w:rPr>
          <w:rFonts w:ascii="宋体" w:hAnsi="宋体" w:cs="宋体"/>
          <w:color w:val="000000"/>
        </w:rPr>
        <w:t>投标人如为代理商且所投产品为进口产品的（注：本文件所称进口产品是指通过中国海关报关验放进入中国境内且产自关境外的产品），需提供生产者或其驻中国办事机构（或生产者授权的中国境内最高级别代理机构）针对本项目的专项授权书，并明确承担一切售前、售后责任。（须提供有效授权书盖章原件）</w:t>
      </w:r>
    </w:p>
    <w:p w14:paraId="7319997B">
      <w:pPr>
        <w:spacing w:line="460" w:lineRule="exact"/>
        <w:rPr>
          <w:rFonts w:hint="eastAsia" w:ascii="宋体" w:hAnsi="宋体"/>
          <w:bCs/>
          <w:sz w:val="24"/>
        </w:rPr>
      </w:pPr>
    </w:p>
    <w:p w14:paraId="45E7670C">
      <w:pPr>
        <w:rPr>
          <w:rFonts w:hint="eastAsia" w:ascii="宋体" w:hAnsi="宋体"/>
          <w:b/>
          <w:sz w:val="24"/>
          <w:szCs w:val="24"/>
        </w:rPr>
      </w:pPr>
      <w:r>
        <w:rPr>
          <w:rFonts w:hint="eastAsia" w:ascii="宋体" w:hAnsi="宋体"/>
          <w:b/>
          <w:sz w:val="24"/>
          <w:szCs w:val="24"/>
        </w:rPr>
        <w:br w:type="page"/>
      </w:r>
    </w:p>
    <w:p w14:paraId="53FBB98C">
      <w:pPr>
        <w:pStyle w:val="4"/>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附件13 业绩</w:t>
      </w:r>
    </w:p>
    <w:p w14:paraId="41671F5E">
      <w:pPr>
        <w:jc w:val="center"/>
        <w:rPr>
          <w:rFonts w:eastAsia="黑体"/>
          <w:b/>
          <w:sz w:val="24"/>
        </w:rPr>
      </w:pPr>
      <w:r>
        <w:rPr>
          <w:rFonts w:eastAsia="黑体"/>
          <w:b/>
          <w:sz w:val="24"/>
        </w:rPr>
        <w:t>相关业绩一览表</w:t>
      </w:r>
    </w:p>
    <w:tbl>
      <w:tblPr>
        <w:tblStyle w:val="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5"/>
        <w:gridCol w:w="1677"/>
        <w:gridCol w:w="1985"/>
        <w:gridCol w:w="1984"/>
        <w:gridCol w:w="1276"/>
      </w:tblGrid>
      <w:tr w14:paraId="3368E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0" w:hRule="atLeast"/>
          <w:tblHeader/>
          <w:jc w:val="center"/>
        </w:trPr>
        <w:tc>
          <w:tcPr>
            <w:tcW w:w="1835" w:type="dxa"/>
            <w:vAlign w:val="center"/>
          </w:tcPr>
          <w:p w14:paraId="4E4EF6BA">
            <w:pPr>
              <w:jc w:val="center"/>
              <w:rPr>
                <w:rFonts w:hint="eastAsia" w:ascii="宋体" w:hAnsi="宋体"/>
                <w:b/>
                <w:sz w:val="22"/>
              </w:rPr>
            </w:pPr>
            <w:r>
              <w:rPr>
                <w:rFonts w:hint="eastAsia" w:ascii="宋体" w:hAnsi="宋体"/>
                <w:b/>
                <w:sz w:val="22"/>
              </w:rPr>
              <w:t>序号</w:t>
            </w:r>
          </w:p>
        </w:tc>
        <w:tc>
          <w:tcPr>
            <w:tcW w:w="1677" w:type="dxa"/>
            <w:vAlign w:val="center"/>
          </w:tcPr>
          <w:p w14:paraId="17960B4A">
            <w:pPr>
              <w:jc w:val="center"/>
              <w:rPr>
                <w:rFonts w:hint="eastAsia" w:ascii="宋体" w:hAnsi="宋体"/>
                <w:b/>
                <w:sz w:val="22"/>
              </w:rPr>
            </w:pPr>
            <w:r>
              <w:rPr>
                <w:rFonts w:hint="eastAsia" w:ascii="宋体" w:hAnsi="宋体"/>
                <w:b/>
                <w:sz w:val="22"/>
              </w:rPr>
              <w:t>项目名称</w:t>
            </w:r>
          </w:p>
        </w:tc>
        <w:tc>
          <w:tcPr>
            <w:tcW w:w="1985" w:type="dxa"/>
            <w:vAlign w:val="center"/>
          </w:tcPr>
          <w:p w14:paraId="3F217EA0">
            <w:pPr>
              <w:jc w:val="center"/>
              <w:rPr>
                <w:rFonts w:hint="eastAsia" w:ascii="宋体" w:hAnsi="宋体"/>
                <w:b/>
                <w:sz w:val="22"/>
              </w:rPr>
            </w:pPr>
            <w:r>
              <w:rPr>
                <w:rFonts w:hint="eastAsia" w:ascii="宋体" w:hAnsi="宋体"/>
                <w:b/>
                <w:sz w:val="22"/>
              </w:rPr>
              <w:t>委托人</w:t>
            </w:r>
          </w:p>
        </w:tc>
        <w:tc>
          <w:tcPr>
            <w:tcW w:w="1984" w:type="dxa"/>
            <w:vAlign w:val="center"/>
          </w:tcPr>
          <w:p w14:paraId="5BF68000">
            <w:pPr>
              <w:jc w:val="center"/>
              <w:rPr>
                <w:rFonts w:hint="eastAsia" w:ascii="宋体" w:hAnsi="宋体"/>
                <w:b/>
                <w:sz w:val="22"/>
              </w:rPr>
            </w:pPr>
            <w:r>
              <w:rPr>
                <w:rFonts w:hint="eastAsia" w:ascii="宋体" w:hAnsi="宋体"/>
                <w:b/>
                <w:sz w:val="22"/>
              </w:rPr>
              <w:t>合同约定主要工作内容</w:t>
            </w:r>
          </w:p>
        </w:tc>
        <w:tc>
          <w:tcPr>
            <w:tcW w:w="1276" w:type="dxa"/>
            <w:vAlign w:val="center"/>
          </w:tcPr>
          <w:p w14:paraId="3E7A3A04">
            <w:pPr>
              <w:jc w:val="center"/>
              <w:rPr>
                <w:rFonts w:hint="eastAsia" w:ascii="宋体" w:hAnsi="宋体"/>
                <w:b/>
                <w:sz w:val="22"/>
              </w:rPr>
            </w:pPr>
            <w:r>
              <w:rPr>
                <w:rFonts w:hint="eastAsia" w:ascii="宋体" w:hAnsi="宋体"/>
                <w:b/>
                <w:sz w:val="22"/>
              </w:rPr>
              <w:t>备注</w:t>
            </w:r>
          </w:p>
        </w:tc>
      </w:tr>
      <w:tr w14:paraId="21E8C7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7D9961DC">
            <w:pPr>
              <w:spacing w:line="360" w:lineRule="auto"/>
              <w:rPr>
                <w:rFonts w:hint="eastAsia" w:ascii="宋体" w:hAnsi="宋体"/>
                <w:sz w:val="22"/>
              </w:rPr>
            </w:pPr>
          </w:p>
        </w:tc>
        <w:tc>
          <w:tcPr>
            <w:tcW w:w="1677" w:type="dxa"/>
            <w:vAlign w:val="center"/>
          </w:tcPr>
          <w:p w14:paraId="46478D25">
            <w:pPr>
              <w:spacing w:line="360" w:lineRule="auto"/>
              <w:rPr>
                <w:rFonts w:hint="eastAsia" w:ascii="宋体" w:hAnsi="宋体"/>
                <w:sz w:val="22"/>
              </w:rPr>
            </w:pPr>
          </w:p>
        </w:tc>
        <w:tc>
          <w:tcPr>
            <w:tcW w:w="1985" w:type="dxa"/>
            <w:vAlign w:val="center"/>
          </w:tcPr>
          <w:p w14:paraId="75696EF7">
            <w:pPr>
              <w:spacing w:line="360" w:lineRule="auto"/>
              <w:rPr>
                <w:rFonts w:hint="eastAsia" w:ascii="宋体" w:hAnsi="宋体"/>
                <w:sz w:val="22"/>
              </w:rPr>
            </w:pPr>
          </w:p>
        </w:tc>
        <w:tc>
          <w:tcPr>
            <w:tcW w:w="1984" w:type="dxa"/>
            <w:vAlign w:val="center"/>
          </w:tcPr>
          <w:p w14:paraId="6A6D5784">
            <w:pPr>
              <w:spacing w:line="360" w:lineRule="auto"/>
              <w:rPr>
                <w:rFonts w:hint="eastAsia" w:ascii="宋体" w:hAnsi="宋体"/>
                <w:sz w:val="22"/>
              </w:rPr>
            </w:pPr>
          </w:p>
        </w:tc>
        <w:tc>
          <w:tcPr>
            <w:tcW w:w="1276" w:type="dxa"/>
            <w:vAlign w:val="center"/>
          </w:tcPr>
          <w:p w14:paraId="34C53289">
            <w:pPr>
              <w:spacing w:line="360" w:lineRule="auto"/>
              <w:rPr>
                <w:rFonts w:hint="eastAsia" w:ascii="宋体" w:hAnsi="宋体"/>
                <w:sz w:val="22"/>
              </w:rPr>
            </w:pPr>
          </w:p>
        </w:tc>
      </w:tr>
      <w:tr w14:paraId="27E5F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388C9708">
            <w:pPr>
              <w:spacing w:line="360" w:lineRule="auto"/>
              <w:rPr>
                <w:rFonts w:hint="eastAsia" w:ascii="宋体" w:hAnsi="宋体"/>
                <w:sz w:val="22"/>
              </w:rPr>
            </w:pPr>
          </w:p>
        </w:tc>
        <w:tc>
          <w:tcPr>
            <w:tcW w:w="1677" w:type="dxa"/>
            <w:vAlign w:val="center"/>
          </w:tcPr>
          <w:p w14:paraId="42044731">
            <w:pPr>
              <w:spacing w:line="360" w:lineRule="auto"/>
              <w:rPr>
                <w:rFonts w:hint="eastAsia" w:ascii="宋体" w:hAnsi="宋体"/>
                <w:sz w:val="22"/>
              </w:rPr>
            </w:pPr>
          </w:p>
        </w:tc>
        <w:tc>
          <w:tcPr>
            <w:tcW w:w="1985" w:type="dxa"/>
            <w:vAlign w:val="center"/>
          </w:tcPr>
          <w:p w14:paraId="0E2B95EF">
            <w:pPr>
              <w:spacing w:line="360" w:lineRule="auto"/>
              <w:rPr>
                <w:rFonts w:hint="eastAsia" w:ascii="宋体" w:hAnsi="宋体"/>
                <w:sz w:val="22"/>
              </w:rPr>
            </w:pPr>
          </w:p>
        </w:tc>
        <w:tc>
          <w:tcPr>
            <w:tcW w:w="1984" w:type="dxa"/>
            <w:vAlign w:val="center"/>
          </w:tcPr>
          <w:p w14:paraId="27917ABF">
            <w:pPr>
              <w:spacing w:line="360" w:lineRule="auto"/>
              <w:rPr>
                <w:rFonts w:hint="eastAsia" w:ascii="宋体" w:hAnsi="宋体"/>
                <w:sz w:val="22"/>
              </w:rPr>
            </w:pPr>
          </w:p>
        </w:tc>
        <w:tc>
          <w:tcPr>
            <w:tcW w:w="1276" w:type="dxa"/>
            <w:vAlign w:val="center"/>
          </w:tcPr>
          <w:p w14:paraId="10355A90">
            <w:pPr>
              <w:spacing w:line="360" w:lineRule="auto"/>
              <w:rPr>
                <w:rFonts w:hint="eastAsia" w:ascii="宋体" w:hAnsi="宋体"/>
                <w:sz w:val="22"/>
              </w:rPr>
            </w:pPr>
          </w:p>
        </w:tc>
      </w:tr>
      <w:tr w14:paraId="73644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792D0DBA">
            <w:pPr>
              <w:spacing w:line="360" w:lineRule="auto"/>
              <w:rPr>
                <w:rFonts w:hint="eastAsia" w:ascii="宋体" w:hAnsi="宋体"/>
                <w:sz w:val="22"/>
              </w:rPr>
            </w:pPr>
          </w:p>
        </w:tc>
        <w:tc>
          <w:tcPr>
            <w:tcW w:w="1677" w:type="dxa"/>
            <w:vAlign w:val="center"/>
          </w:tcPr>
          <w:p w14:paraId="76B0366A">
            <w:pPr>
              <w:spacing w:line="360" w:lineRule="auto"/>
              <w:rPr>
                <w:rFonts w:hint="eastAsia" w:ascii="宋体" w:hAnsi="宋体"/>
                <w:sz w:val="22"/>
              </w:rPr>
            </w:pPr>
          </w:p>
        </w:tc>
        <w:tc>
          <w:tcPr>
            <w:tcW w:w="1985" w:type="dxa"/>
            <w:vAlign w:val="center"/>
          </w:tcPr>
          <w:p w14:paraId="46E28E3A">
            <w:pPr>
              <w:spacing w:line="360" w:lineRule="auto"/>
              <w:rPr>
                <w:rFonts w:hint="eastAsia" w:ascii="宋体" w:hAnsi="宋体"/>
                <w:sz w:val="22"/>
              </w:rPr>
            </w:pPr>
          </w:p>
        </w:tc>
        <w:tc>
          <w:tcPr>
            <w:tcW w:w="1984" w:type="dxa"/>
            <w:vAlign w:val="center"/>
          </w:tcPr>
          <w:p w14:paraId="17B62F0A">
            <w:pPr>
              <w:spacing w:line="360" w:lineRule="auto"/>
              <w:rPr>
                <w:rFonts w:hint="eastAsia" w:ascii="宋体" w:hAnsi="宋体"/>
                <w:sz w:val="22"/>
              </w:rPr>
            </w:pPr>
          </w:p>
        </w:tc>
        <w:tc>
          <w:tcPr>
            <w:tcW w:w="1276" w:type="dxa"/>
            <w:vAlign w:val="center"/>
          </w:tcPr>
          <w:p w14:paraId="28CA02A6">
            <w:pPr>
              <w:spacing w:line="360" w:lineRule="auto"/>
              <w:rPr>
                <w:rFonts w:hint="eastAsia" w:ascii="宋体" w:hAnsi="宋体"/>
                <w:sz w:val="22"/>
              </w:rPr>
            </w:pPr>
          </w:p>
        </w:tc>
      </w:tr>
      <w:tr w14:paraId="01AC2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5" w:type="dxa"/>
            <w:vAlign w:val="center"/>
          </w:tcPr>
          <w:p w14:paraId="0D52C0EC">
            <w:pPr>
              <w:spacing w:line="360" w:lineRule="auto"/>
              <w:rPr>
                <w:rFonts w:hint="eastAsia" w:ascii="宋体" w:hAnsi="宋体"/>
                <w:sz w:val="22"/>
              </w:rPr>
            </w:pPr>
          </w:p>
        </w:tc>
        <w:tc>
          <w:tcPr>
            <w:tcW w:w="1677" w:type="dxa"/>
            <w:vAlign w:val="center"/>
          </w:tcPr>
          <w:p w14:paraId="3F29E3E3">
            <w:pPr>
              <w:spacing w:line="360" w:lineRule="auto"/>
              <w:rPr>
                <w:rFonts w:hint="eastAsia" w:ascii="宋体" w:hAnsi="宋体"/>
                <w:sz w:val="22"/>
              </w:rPr>
            </w:pPr>
          </w:p>
        </w:tc>
        <w:tc>
          <w:tcPr>
            <w:tcW w:w="1985" w:type="dxa"/>
            <w:vAlign w:val="center"/>
          </w:tcPr>
          <w:p w14:paraId="77803487">
            <w:pPr>
              <w:spacing w:line="360" w:lineRule="auto"/>
              <w:rPr>
                <w:rFonts w:hint="eastAsia" w:ascii="宋体" w:hAnsi="宋体"/>
                <w:sz w:val="22"/>
              </w:rPr>
            </w:pPr>
          </w:p>
        </w:tc>
        <w:tc>
          <w:tcPr>
            <w:tcW w:w="1984" w:type="dxa"/>
            <w:vAlign w:val="center"/>
          </w:tcPr>
          <w:p w14:paraId="4A948F17">
            <w:pPr>
              <w:spacing w:line="360" w:lineRule="auto"/>
              <w:rPr>
                <w:rFonts w:hint="eastAsia" w:ascii="宋体" w:hAnsi="宋体"/>
                <w:sz w:val="22"/>
              </w:rPr>
            </w:pPr>
          </w:p>
        </w:tc>
        <w:tc>
          <w:tcPr>
            <w:tcW w:w="1276" w:type="dxa"/>
            <w:vAlign w:val="center"/>
          </w:tcPr>
          <w:p w14:paraId="334AEF34">
            <w:pPr>
              <w:spacing w:line="360" w:lineRule="auto"/>
              <w:rPr>
                <w:rFonts w:hint="eastAsia" w:ascii="宋体" w:hAnsi="宋体"/>
                <w:sz w:val="22"/>
              </w:rPr>
            </w:pPr>
          </w:p>
        </w:tc>
      </w:tr>
    </w:tbl>
    <w:p w14:paraId="15BD0008">
      <w:pPr>
        <w:widowControl/>
        <w:spacing w:line="360" w:lineRule="auto"/>
        <w:ind w:firstLine="105"/>
        <w:jc w:val="left"/>
        <w:rPr>
          <w:rFonts w:hint="eastAsia" w:ascii="宋体" w:hAnsi="宋体" w:cs="Trebuchet MS"/>
          <w:lang w:val="zh-CN"/>
        </w:rPr>
      </w:pPr>
    </w:p>
    <w:p w14:paraId="5447F993">
      <w:pPr>
        <w:pStyle w:val="12"/>
        <w:overflowPunct w:val="0"/>
        <w:spacing w:line="360" w:lineRule="auto"/>
        <w:ind w:left="2940" w:leftChars="1400"/>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7D04F6FB">
      <w:pPr>
        <w:pStyle w:val="12"/>
        <w:overflowPunct w:val="0"/>
        <w:spacing w:line="360" w:lineRule="auto"/>
        <w:ind w:left="2940" w:leftChars="1400"/>
        <w:rPr>
          <w:rFonts w:ascii="Arial" w:hAnsi="Arial" w:eastAsia="宋体" w:cs="Arial"/>
        </w:rPr>
      </w:pPr>
      <w:r>
        <w:rPr>
          <w:rFonts w:hint="eastAsia" w:ascii="Arial" w:hAnsi="Arial" w:eastAsia="宋体" w:cs="Arial"/>
        </w:rPr>
        <w:t>日期：</w:t>
      </w:r>
      <w:r>
        <w:rPr>
          <w:rFonts w:ascii="Arial" w:hAnsi="Arial" w:eastAsia="宋体" w:cs="Arial"/>
        </w:rPr>
        <w:t xml:space="preserve"> </w:t>
      </w:r>
    </w:p>
    <w:p w14:paraId="0387112F">
      <w:pPr>
        <w:widowControl/>
        <w:spacing w:line="360" w:lineRule="auto"/>
        <w:jc w:val="left"/>
        <w:rPr>
          <w:rFonts w:hint="eastAsia" w:ascii="宋体" w:hAnsi="宋体" w:cs="Trebuchet MS"/>
          <w:lang w:val="zh-CN"/>
        </w:rPr>
      </w:pPr>
      <w:r>
        <w:rPr>
          <w:rFonts w:hint="eastAsia" w:ascii="宋体" w:hAnsi="宋体" w:cs="Trebuchet MS"/>
          <w:lang w:val="zh-CN"/>
        </w:rPr>
        <w:t>说明：</w:t>
      </w:r>
    </w:p>
    <w:p w14:paraId="6241D644">
      <w:pPr>
        <w:spacing w:line="360" w:lineRule="auto"/>
        <w:rPr>
          <w:rFonts w:hint="eastAsia" w:ascii="宋体" w:hAnsi="宋体"/>
          <w:b/>
          <w:lang w:val="zh-CN"/>
        </w:rPr>
      </w:pPr>
      <w:r>
        <w:rPr>
          <w:rFonts w:hint="eastAsia" w:ascii="宋体" w:hAnsi="宋体" w:cs="Trebuchet MS"/>
          <w:lang w:val="zh-CN"/>
        </w:rPr>
        <w:t>1.如果行.列数不够，请自行增加。</w:t>
      </w:r>
    </w:p>
    <w:p w14:paraId="1A63BA3B">
      <w:pPr>
        <w:spacing w:line="360" w:lineRule="auto"/>
        <w:jc w:val="left"/>
        <w:rPr>
          <w:rFonts w:hint="eastAsia" w:ascii="宋体" w:hAnsi="宋体" w:cs="Trebuchet MS"/>
          <w:b/>
          <w:bCs/>
          <w:spacing w:val="15"/>
        </w:rPr>
      </w:pPr>
      <w:r>
        <w:rPr>
          <w:rFonts w:hint="eastAsia" w:ascii="宋体" w:hAnsi="宋体" w:cs="Trebuchet MS"/>
          <w:b/>
          <w:bCs/>
          <w:lang w:val="zh-CN"/>
        </w:rPr>
        <w:t>2.请同时提供以上业绩的合同等文件证明</w:t>
      </w:r>
      <w:r>
        <w:rPr>
          <w:rFonts w:hint="eastAsia" w:ascii="宋体" w:hAnsi="宋体" w:cs="Trebuchet MS"/>
          <w:b/>
          <w:bCs/>
        </w:rPr>
        <w:t>材料原件扫描件</w:t>
      </w:r>
      <w:r>
        <w:rPr>
          <w:rFonts w:hint="eastAsia" w:ascii="宋体" w:hAnsi="宋体" w:cs="Trebuchet MS"/>
          <w:b/>
          <w:bCs/>
          <w:lang w:val="zh-CN"/>
        </w:rPr>
        <w:t>上传。</w:t>
      </w:r>
    </w:p>
    <w:p w14:paraId="7D478984">
      <w:pPr>
        <w:spacing w:line="460" w:lineRule="exact"/>
        <w:rPr>
          <w:rFonts w:hint="eastAsia" w:ascii="宋体" w:hAnsi="宋体"/>
          <w:bCs/>
          <w:sz w:val="24"/>
        </w:rPr>
      </w:pPr>
    </w:p>
    <w:p w14:paraId="602AD073"/>
    <w:p w14:paraId="72B880F5">
      <w:pPr>
        <w:rPr>
          <w:rFonts w:hint="eastAsia" w:ascii="宋体" w:hAnsi="宋体"/>
          <w:b/>
          <w:sz w:val="24"/>
          <w:szCs w:val="24"/>
        </w:rPr>
      </w:pPr>
      <w:r>
        <w:rPr>
          <w:rFonts w:hint="eastAsia" w:ascii="宋体" w:hAnsi="宋体"/>
          <w:b/>
          <w:sz w:val="24"/>
          <w:szCs w:val="24"/>
        </w:rPr>
        <w:br w:type="page"/>
      </w:r>
    </w:p>
    <w:p w14:paraId="0738C9D0">
      <w:pPr>
        <w:pStyle w:val="4"/>
        <w:spacing w:before="120" w:after="120"/>
        <w:rPr>
          <w:rFonts w:hint="eastAsia" w:ascii="宋体" w:hAnsi="宋体" w:eastAsia="宋体" w:cs="Times New Roman"/>
          <w:b/>
          <w:sz w:val="24"/>
          <w:szCs w:val="24"/>
        </w:rPr>
      </w:pPr>
      <w:r>
        <w:rPr>
          <w:rFonts w:hint="eastAsia" w:ascii="宋体" w:hAnsi="宋体" w:eastAsia="宋体" w:cs="Times New Roman"/>
          <w:b/>
          <w:sz w:val="24"/>
          <w:szCs w:val="24"/>
        </w:rPr>
        <w:t>附件14 承诺书</w:t>
      </w:r>
    </w:p>
    <w:p w14:paraId="53559663">
      <w:pPr>
        <w:wordWrap w:val="0"/>
        <w:spacing w:before="145" w:after="145"/>
        <w:jc w:val="center"/>
        <w:outlineLvl w:val="1"/>
        <w:rPr>
          <w:rFonts w:hint="eastAsia" w:ascii="宋体" w:hAnsi="宋体" w:cs="宋体"/>
          <w:b/>
          <w:bCs/>
          <w:sz w:val="28"/>
          <w:szCs w:val="28"/>
        </w:rPr>
      </w:pPr>
      <w:bookmarkStart w:id="356" w:name="_Toc8612"/>
      <w:r>
        <w:rPr>
          <w:rFonts w:hint="eastAsia" w:ascii="宋体" w:hAnsi="宋体" w:cs="宋体"/>
          <w:b/>
          <w:bCs/>
          <w:sz w:val="28"/>
          <w:szCs w:val="28"/>
        </w:rPr>
        <w:t>承诺书</w:t>
      </w:r>
      <w:bookmarkEnd w:id="356"/>
    </w:p>
    <w:p w14:paraId="2BAFE539">
      <w:pPr>
        <w:pStyle w:val="279"/>
        <w:pBdr>
          <w:top w:val="none" w:color="000000" w:sz="0" w:space="0"/>
          <w:left w:val="none" w:color="000000" w:sz="0" w:space="0"/>
          <w:right w:val="none" w:color="000000" w:sz="0" w:space="0"/>
        </w:pBdr>
        <w:ind w:firstLine="0"/>
        <w:rPr>
          <w:rFonts w:hint="eastAsia" w:ascii="宋体" w:hAnsi="宋体" w:cs="宋体"/>
          <w:color w:val="000000"/>
        </w:rPr>
      </w:pPr>
      <w:r>
        <w:rPr>
          <w:rFonts w:hint="eastAsia" w:ascii="宋体" w:hAnsi="宋体" w:cs="宋体"/>
          <w:kern w:val="2"/>
        </w:rPr>
        <w:t>致：南京中医药大学</w:t>
      </w:r>
    </w:p>
    <w:p w14:paraId="252EEA12">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hint="eastAsia" w:ascii="宋体" w:hAnsi="宋体" w:cs="宋体"/>
          <w:bCs/>
          <w:sz w:val="24"/>
          <w:szCs w:val="24"/>
        </w:rPr>
        <w:t>我单位参加贵单位组织的</w:t>
      </w:r>
      <w:r>
        <w:rPr>
          <w:rFonts w:hint="eastAsia" w:ascii="宋体" w:hAnsi="宋体" w:cs="宋体"/>
          <w:b/>
          <w:sz w:val="24"/>
          <w:szCs w:val="24"/>
          <w:u w:val="single"/>
        </w:rPr>
        <w:t xml:space="preserve">        </w:t>
      </w:r>
      <w:r>
        <w:rPr>
          <w:rFonts w:hint="eastAsia" w:ascii="宋体" w:hAnsi="宋体" w:cs="宋体"/>
          <w:bCs/>
          <w:sz w:val="24"/>
          <w:szCs w:val="24"/>
        </w:rPr>
        <w:t xml:space="preserve"> </w:t>
      </w:r>
      <w:r>
        <w:rPr>
          <w:rFonts w:hint="eastAsia" w:ascii="宋体" w:hAnsi="宋体" w:cs="宋体"/>
          <w:sz w:val="24"/>
          <w:szCs w:val="24"/>
        </w:rPr>
        <w:t>项目（项目编号：</w:t>
      </w:r>
      <w:r>
        <w:rPr>
          <w:rFonts w:hint="eastAsia" w:ascii="宋体" w:hAnsi="宋体" w:cs="宋体"/>
          <w:b/>
          <w:sz w:val="24"/>
          <w:szCs w:val="24"/>
          <w:u w:val="single"/>
        </w:rPr>
        <w:t xml:space="preserve">          </w:t>
      </w:r>
      <w:r>
        <w:rPr>
          <w:rFonts w:hint="eastAsia" w:ascii="宋体" w:hAnsi="宋体" w:cs="宋体"/>
          <w:sz w:val="24"/>
          <w:szCs w:val="24"/>
        </w:rPr>
        <w:t>）政府招标活动，</w:t>
      </w:r>
      <w:r>
        <w:rPr>
          <w:rFonts w:ascii="宋体" w:hAnsi="宋体" w:cs="宋体"/>
          <w:color w:val="000000"/>
          <w:sz w:val="24"/>
        </w:rPr>
        <w:t>我公司郑重承诺：</w:t>
      </w:r>
    </w:p>
    <w:p w14:paraId="54EF181E">
      <w:pPr>
        <w:pBdr>
          <w:top w:val="none" w:color="000000" w:sz="0" w:space="0"/>
          <w:left w:val="none" w:color="000000" w:sz="0" w:space="0"/>
          <w:bottom w:val="none" w:color="000000" w:sz="0" w:space="0"/>
          <w:right w:val="none" w:color="000000" w:sz="0" w:space="0"/>
        </w:pBdr>
        <w:spacing w:line="360" w:lineRule="auto"/>
        <w:ind w:firstLine="480"/>
        <w:rPr>
          <w:rFonts w:hint="eastAsia" w:ascii="宋体" w:hAnsi="宋体" w:cs="宋体"/>
          <w:color w:val="000000"/>
          <w:sz w:val="24"/>
        </w:rPr>
      </w:pPr>
      <w:r>
        <w:rPr>
          <w:rFonts w:hint="eastAsia" w:ascii="宋体" w:hAnsi="宋体" w:cs="宋体"/>
          <w:color w:val="000000"/>
          <w:sz w:val="24"/>
        </w:rPr>
        <w:t>（1）</w:t>
      </w:r>
      <w:r>
        <w:rPr>
          <w:rFonts w:ascii="宋体" w:hAnsi="宋体" w:cs="宋体"/>
          <w:color w:val="000000"/>
          <w:sz w:val="24"/>
        </w:rPr>
        <w:t>有专业技术人员进行售后服务，且应在接到报修电话</w:t>
      </w:r>
      <w:r>
        <w:rPr>
          <w:rFonts w:hint="eastAsia" w:ascii="宋体" w:hAnsi="宋体" w:cs="宋体"/>
          <w:color w:val="000000"/>
          <w:sz w:val="24"/>
          <w:u w:val="none"/>
        </w:rPr>
        <w:t xml:space="preserve">   </w:t>
      </w:r>
      <w:r>
        <w:rPr>
          <w:rFonts w:ascii="宋体" w:hAnsi="宋体" w:cs="宋体"/>
          <w:color w:val="000000"/>
          <w:sz w:val="24"/>
        </w:rPr>
        <w:t>小时内，至现场提供技术支持并解决故障。如维修工程师安排困难，应以线上方式先行了解故障情况、原因并指导招标人仪器管理人员妥善处置；如故障未能解决，维修工程师须于</w:t>
      </w:r>
      <w:r>
        <w:rPr>
          <w:rFonts w:hint="eastAsia" w:ascii="宋体" w:hAnsi="宋体" w:cs="宋体"/>
          <w:color w:val="000000"/>
          <w:sz w:val="24"/>
          <w:u w:val="single"/>
        </w:rPr>
        <w:t xml:space="preserve">   </w:t>
      </w:r>
      <w:r>
        <w:rPr>
          <w:rFonts w:ascii="宋体" w:hAnsi="宋体" w:cs="宋体"/>
          <w:color w:val="000000"/>
          <w:sz w:val="24"/>
        </w:rPr>
        <w:t>小时内至现场提供技术支持并解决。</w:t>
      </w:r>
    </w:p>
    <w:p w14:paraId="0B2E4B60">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eastAsiaTheme="minorEastAsia"/>
          <w:bCs/>
          <w:sz w:val="24"/>
          <w:szCs w:val="24"/>
          <w:lang w:bidi="ar"/>
        </w:rPr>
      </w:pPr>
      <w:r>
        <w:rPr>
          <w:rFonts w:hint="eastAsia" w:asciiTheme="minorEastAsia" w:hAnsiTheme="minorEastAsia" w:eastAsiaTheme="minorEastAsia"/>
          <w:bCs/>
          <w:sz w:val="24"/>
          <w:szCs w:val="24"/>
          <w:lang w:bidi="ar"/>
        </w:rPr>
        <w:t>（2）</w:t>
      </w:r>
      <w:r>
        <w:rPr>
          <w:rFonts w:ascii="宋体" w:hAnsi="宋体" w:cs="宋体"/>
          <w:color w:val="000000"/>
          <w:sz w:val="24"/>
        </w:rPr>
        <w:t>我公司承诺</w:t>
      </w:r>
      <w:r>
        <w:rPr>
          <w:rFonts w:hint="eastAsia" w:asciiTheme="minorEastAsia" w:hAnsiTheme="minorEastAsia" w:eastAsiaTheme="minorEastAsia"/>
          <w:bCs/>
          <w:sz w:val="24"/>
          <w:szCs w:val="24"/>
          <w:lang w:bidi="ar"/>
        </w:rPr>
        <w:t>根据采购人实际需要提供免费设备移机服务</w:t>
      </w:r>
      <w:r>
        <w:rPr>
          <w:rFonts w:hint="eastAsia" w:asciiTheme="minorEastAsia" w:hAnsiTheme="minorEastAsia" w:eastAsiaTheme="minorEastAsia"/>
          <w:bCs/>
          <w:sz w:val="24"/>
          <w:szCs w:val="24"/>
          <w:u w:val="single"/>
          <w:lang w:bidi="ar"/>
        </w:rPr>
        <w:t xml:space="preserve">   </w:t>
      </w:r>
      <w:r>
        <w:rPr>
          <w:rFonts w:hint="eastAsia" w:asciiTheme="minorEastAsia" w:hAnsiTheme="minorEastAsia" w:eastAsiaTheme="minorEastAsia"/>
          <w:bCs/>
          <w:sz w:val="24"/>
          <w:szCs w:val="24"/>
          <w:lang w:bidi="ar"/>
        </w:rPr>
        <w:t>次。</w:t>
      </w:r>
    </w:p>
    <w:p w14:paraId="5C74EBA9">
      <w:pPr>
        <w:pBdr>
          <w:top w:val="none" w:color="000000" w:sz="0" w:space="0"/>
          <w:left w:val="none" w:color="000000" w:sz="0" w:space="0"/>
          <w:bottom w:val="none" w:color="000000" w:sz="0" w:space="0"/>
          <w:right w:val="none" w:color="000000" w:sz="0" w:space="0"/>
        </w:pBdr>
        <w:spacing w:line="360" w:lineRule="auto"/>
        <w:ind w:firstLine="480"/>
        <w:rPr>
          <w:rFonts w:hint="eastAsia" w:asciiTheme="minorEastAsia" w:hAnsiTheme="minorEastAsia" w:eastAsiaTheme="minorEastAsia"/>
          <w:bCs/>
          <w:sz w:val="24"/>
          <w:szCs w:val="24"/>
          <w:lang w:bidi="ar"/>
        </w:rPr>
      </w:pPr>
      <w:r>
        <w:rPr>
          <w:rFonts w:hint="eastAsia" w:asciiTheme="minorEastAsia" w:hAnsiTheme="minorEastAsia" w:eastAsiaTheme="minorEastAsia"/>
          <w:bCs/>
          <w:sz w:val="24"/>
          <w:szCs w:val="24"/>
          <w:lang w:bidi="ar"/>
        </w:rPr>
        <w:t>（3）</w:t>
      </w:r>
      <w:r>
        <w:rPr>
          <w:rFonts w:hint="eastAsia" w:cs="Times New Roman" w:asciiTheme="minorEastAsia" w:hAnsiTheme="minorEastAsia" w:eastAsiaTheme="minorEastAsia"/>
          <w:b w:val="0"/>
          <w:bCs/>
          <w:color w:val="auto"/>
          <w:sz w:val="24"/>
          <w:szCs w:val="24"/>
          <w:lang w:bidi="ar"/>
        </w:rPr>
        <w:t>质保期：</w:t>
      </w:r>
      <w:r>
        <w:rPr>
          <w:rFonts w:hint="eastAsia" w:cs="Times New Roman" w:asciiTheme="minorEastAsia" w:hAnsiTheme="minorEastAsia" w:eastAsiaTheme="minorEastAsia"/>
          <w:b w:val="0"/>
          <w:bCs/>
          <w:color w:val="auto"/>
          <w:sz w:val="24"/>
          <w:szCs w:val="24"/>
          <w:u w:val="single"/>
          <w:lang w:bidi="ar"/>
        </w:rPr>
        <w:t xml:space="preserve">       </w:t>
      </w:r>
      <w:r>
        <w:rPr>
          <w:rFonts w:hint="eastAsia" w:cs="Times New Roman" w:asciiTheme="minorEastAsia" w:hAnsiTheme="minorEastAsia" w:eastAsiaTheme="minorEastAsia"/>
          <w:b w:val="0"/>
          <w:bCs/>
          <w:color w:val="auto"/>
          <w:sz w:val="24"/>
          <w:szCs w:val="24"/>
          <w:u w:val="none"/>
          <w:lang w:bidi="ar"/>
        </w:rPr>
        <w:t>年。</w:t>
      </w:r>
    </w:p>
    <w:p w14:paraId="49E1B9B2">
      <w:pPr>
        <w:pBdr>
          <w:top w:val="none" w:color="000000" w:sz="0" w:space="0"/>
          <w:left w:val="none" w:color="000000" w:sz="0" w:space="0"/>
          <w:bottom w:val="none" w:color="000000" w:sz="0" w:space="0"/>
          <w:right w:val="none" w:color="000000" w:sz="0" w:space="0"/>
        </w:pBdr>
        <w:spacing w:line="360" w:lineRule="auto"/>
        <w:ind w:firstLine="480"/>
      </w:pPr>
      <w:r>
        <w:rPr>
          <w:rFonts w:ascii="宋体" w:hAnsi="宋体" w:cs="宋体"/>
          <w:color w:val="000000"/>
          <w:sz w:val="24"/>
        </w:rPr>
        <w:t>本公司对上述承诺的真实性负责。如有虚假，将依法承担相应责任。特此承诺！</w:t>
      </w:r>
    </w:p>
    <w:p w14:paraId="17339460">
      <w:pPr>
        <w:pBdr>
          <w:top w:val="none" w:color="000000" w:sz="0" w:space="0"/>
          <w:left w:val="none" w:color="000000" w:sz="0" w:space="0"/>
          <w:bottom w:val="none" w:color="000000" w:sz="0" w:space="0"/>
          <w:right w:val="none" w:color="000000" w:sz="0" w:space="0"/>
        </w:pBdr>
        <w:spacing w:line="113" w:lineRule="atLeast"/>
        <w:ind w:firstLine="480"/>
      </w:pPr>
    </w:p>
    <w:p w14:paraId="30CFDACD">
      <w:pPr>
        <w:pBdr>
          <w:top w:val="none" w:color="000000" w:sz="0" w:space="0"/>
          <w:left w:val="none" w:color="000000" w:sz="0" w:space="0"/>
          <w:bottom w:val="none" w:color="000000" w:sz="0" w:space="0"/>
          <w:right w:val="none" w:color="000000" w:sz="0" w:space="0"/>
        </w:pBdr>
        <w:spacing w:after="120" w:line="439" w:lineRule="atLeast"/>
        <w:ind w:left="420"/>
        <w:rPr>
          <w:rFonts w:hint="eastAsia" w:ascii="宋体" w:hAnsi="宋体" w:cs="宋体"/>
          <w:color w:val="000000"/>
          <w:sz w:val="24"/>
        </w:rPr>
      </w:pPr>
    </w:p>
    <w:p w14:paraId="3109BF98">
      <w:pPr>
        <w:pBdr>
          <w:top w:val="none" w:color="000000" w:sz="0" w:space="0"/>
          <w:left w:val="none" w:color="000000" w:sz="0" w:space="0"/>
          <w:bottom w:val="none" w:color="000000" w:sz="0" w:space="0"/>
          <w:right w:val="none" w:color="000000" w:sz="0" w:space="0"/>
        </w:pBdr>
        <w:spacing w:after="120" w:line="439" w:lineRule="atLeast"/>
        <w:ind w:left="420"/>
      </w:pPr>
      <w:r>
        <w:rPr>
          <w:rFonts w:ascii="宋体" w:hAnsi="宋体" w:cs="宋体"/>
          <w:color w:val="000000"/>
          <w:sz w:val="24"/>
        </w:rPr>
        <w:t>投标人名称：</w:t>
      </w:r>
      <w:r>
        <w:rPr>
          <w:rFonts w:ascii="宋体" w:hAnsi="宋体" w:cs="宋体"/>
          <w:color w:val="000000"/>
          <w:sz w:val="24"/>
          <w:u w:val="single"/>
        </w:rPr>
        <w:t>           </w:t>
      </w:r>
      <w:r>
        <w:rPr>
          <w:rFonts w:ascii="宋体" w:hAnsi="宋体" w:cs="宋体"/>
          <w:color w:val="000000"/>
          <w:sz w:val="24"/>
        </w:rPr>
        <w:t>（</w:t>
      </w:r>
      <w:r>
        <w:rPr>
          <w:rFonts w:hint="eastAsia" w:ascii="宋体" w:hAnsi="宋体"/>
          <w:u w:val="single"/>
        </w:rPr>
        <w:t>加盖</w:t>
      </w:r>
      <w:r>
        <w:rPr>
          <w:rFonts w:ascii="宋体" w:hAnsi="宋体"/>
          <w:u w:val="single"/>
        </w:rPr>
        <w:t>CA</w:t>
      </w:r>
      <w:r>
        <w:rPr>
          <w:rFonts w:hint="eastAsia" w:ascii="宋体" w:hAnsi="宋体"/>
          <w:u w:val="single"/>
          <w:lang w:eastAsia="zh-CN"/>
        </w:rPr>
        <w:t>电子公章</w:t>
      </w:r>
      <w:r>
        <w:rPr>
          <w:rFonts w:ascii="宋体" w:hAnsi="宋体" w:cs="宋体"/>
          <w:color w:val="000000"/>
          <w:sz w:val="24"/>
        </w:rPr>
        <w:t>）</w:t>
      </w:r>
    </w:p>
    <w:p w14:paraId="5E07EAE1">
      <w:pPr>
        <w:pBdr>
          <w:top w:val="none" w:color="000000" w:sz="0" w:space="0"/>
          <w:left w:val="none" w:color="000000" w:sz="0" w:space="0"/>
          <w:bottom w:val="none" w:color="000000" w:sz="0" w:space="0"/>
          <w:right w:val="none" w:color="000000" w:sz="0" w:space="0"/>
        </w:pBdr>
        <w:spacing w:after="120" w:line="439" w:lineRule="atLeast"/>
        <w:ind w:left="420"/>
      </w:pPr>
      <w:r>
        <w:rPr>
          <w:rFonts w:ascii="宋体" w:hAnsi="宋体" w:cs="宋体"/>
          <w:color w:val="000000"/>
          <w:sz w:val="24"/>
        </w:rPr>
        <w:t>法定代表人或授权代表（签字或签章）：</w:t>
      </w:r>
    </w:p>
    <w:p w14:paraId="70CAB092">
      <w:pPr>
        <w:pBdr>
          <w:top w:val="none" w:color="000000" w:sz="0" w:space="0"/>
          <w:left w:val="none" w:color="000000" w:sz="0" w:space="0"/>
          <w:bottom w:val="none" w:color="000000" w:sz="0" w:space="0"/>
          <w:right w:val="none" w:color="000000" w:sz="0" w:space="0"/>
        </w:pBdr>
        <w:spacing w:after="120" w:line="439" w:lineRule="atLeast"/>
        <w:ind w:left="420"/>
        <w:rPr>
          <w:rFonts w:hint="eastAsia" w:ascii="宋体" w:hAnsi="宋体" w:cs="宋体"/>
          <w:color w:val="000000"/>
          <w:sz w:val="24"/>
        </w:rPr>
      </w:pPr>
      <w:r>
        <w:rPr>
          <w:rFonts w:ascii="宋体" w:hAnsi="宋体" w:cs="宋体"/>
          <w:color w:val="000000"/>
          <w:sz w:val="24"/>
        </w:rPr>
        <w:t>日期：</w:t>
      </w:r>
      <w:r>
        <w:rPr>
          <w:rFonts w:hint="eastAsia" w:ascii="宋体" w:hAnsi="宋体" w:cs="宋体"/>
          <w:color w:val="000000"/>
          <w:sz w:val="24"/>
        </w:rPr>
        <w:t xml:space="preserve">  </w:t>
      </w:r>
      <w:r>
        <w:rPr>
          <w:rFonts w:ascii="宋体" w:hAnsi="宋体" w:cs="宋体"/>
          <w:color w:val="000000"/>
          <w:sz w:val="24"/>
        </w:rPr>
        <w:t>年</w:t>
      </w:r>
      <w:r>
        <w:rPr>
          <w:rFonts w:hint="eastAsia" w:ascii="宋体" w:hAnsi="宋体" w:cs="宋体"/>
          <w:color w:val="000000"/>
          <w:sz w:val="24"/>
        </w:rPr>
        <w:t xml:space="preserve">  </w:t>
      </w:r>
      <w:r>
        <w:rPr>
          <w:rFonts w:ascii="宋体" w:hAnsi="宋体" w:cs="宋体"/>
          <w:color w:val="000000"/>
          <w:sz w:val="24"/>
        </w:rPr>
        <w:t>月</w:t>
      </w:r>
      <w:r>
        <w:rPr>
          <w:rFonts w:hint="eastAsia" w:ascii="宋体" w:hAnsi="宋体" w:cs="宋体"/>
          <w:color w:val="000000"/>
          <w:sz w:val="24"/>
        </w:rPr>
        <w:t xml:space="preserve">  </w:t>
      </w:r>
      <w:r>
        <w:rPr>
          <w:rFonts w:ascii="宋体" w:hAnsi="宋体" w:cs="宋体"/>
          <w:color w:val="000000"/>
          <w:sz w:val="24"/>
        </w:rPr>
        <w:t>日</w:t>
      </w:r>
    </w:p>
    <w:p w14:paraId="4DB01B4A">
      <w:pPr>
        <w:jc w:val="center"/>
        <w:rPr>
          <w:rFonts w:hint="eastAsia" w:ascii="黑体" w:hAnsi="黑体" w:eastAsia="黑体"/>
          <w:b/>
          <w:sz w:val="32"/>
          <w:szCs w:val="32"/>
        </w:rPr>
      </w:pPr>
    </w:p>
    <w:p w14:paraId="06467E01">
      <w:pPr>
        <w:jc w:val="left"/>
        <w:rPr>
          <w:rFonts w:hint="eastAsia" w:ascii="宋体" w:hAnsi="宋体"/>
          <w:b/>
          <w:sz w:val="24"/>
          <w:szCs w:val="24"/>
        </w:rPr>
      </w:pPr>
      <w:r>
        <w:rPr>
          <w:rFonts w:hint="eastAsia" w:ascii="宋体" w:hAnsi="宋体"/>
          <w:b/>
          <w:sz w:val="24"/>
          <w:szCs w:val="24"/>
        </w:rPr>
        <w:br w:type="page"/>
      </w:r>
    </w:p>
    <w:p w14:paraId="24FFE64E">
      <w:pPr>
        <w:rPr>
          <w:rFonts w:hint="eastAsia" w:ascii="宋体" w:hAnsi="宋体"/>
          <w:b/>
          <w:sz w:val="24"/>
          <w:szCs w:val="24"/>
        </w:rPr>
      </w:pPr>
      <w:r>
        <w:rPr>
          <w:rFonts w:hint="eastAsia" w:ascii="宋体" w:hAnsi="宋体"/>
          <w:b/>
          <w:sz w:val="24"/>
          <w:szCs w:val="24"/>
        </w:rPr>
        <w:t>附件15服务方案（格式自拟）</w:t>
      </w:r>
    </w:p>
    <w:p w14:paraId="3244039F">
      <w:pPr>
        <w:jc w:val="center"/>
        <w:rPr>
          <w:rFonts w:hint="eastAsia" w:ascii="黑体" w:hAnsi="黑体" w:eastAsia="黑体"/>
          <w:b/>
          <w:sz w:val="32"/>
          <w:szCs w:val="32"/>
        </w:rPr>
      </w:pPr>
    </w:p>
    <w:p w14:paraId="4C8622AA">
      <w:pPr>
        <w:rPr>
          <w:rFonts w:hint="eastAsia" w:ascii="宋体" w:hAnsi="宋体"/>
          <w:b/>
          <w:sz w:val="24"/>
          <w:szCs w:val="24"/>
        </w:rPr>
      </w:pPr>
      <w:r>
        <w:rPr>
          <w:rFonts w:hint="eastAsia" w:ascii="宋体" w:hAnsi="宋体"/>
          <w:b/>
          <w:sz w:val="24"/>
          <w:szCs w:val="24"/>
        </w:rPr>
        <w:t>1、</w:t>
      </w:r>
      <w:r>
        <w:rPr>
          <w:rFonts w:hint="eastAsia" w:ascii="宋体" w:hAnsi="宋体" w:cs="Times New Roman"/>
          <w:b/>
          <w:bCs w:val="0"/>
          <w:sz w:val="24"/>
          <w:szCs w:val="24"/>
        </w:rPr>
        <w:t>售后服务方案</w:t>
      </w:r>
    </w:p>
    <w:p w14:paraId="098CD685">
      <w:pPr>
        <w:rPr>
          <w:rFonts w:hint="eastAsia" w:ascii="宋体" w:hAnsi="宋体"/>
          <w:b/>
          <w:sz w:val="24"/>
          <w:szCs w:val="24"/>
        </w:rPr>
      </w:pPr>
      <w:r>
        <w:rPr>
          <w:rFonts w:hint="eastAsia" w:ascii="宋体" w:hAnsi="宋体"/>
          <w:b/>
          <w:sz w:val="24"/>
          <w:szCs w:val="24"/>
        </w:rPr>
        <w:t>2、</w:t>
      </w:r>
      <w:bookmarkStart w:id="357" w:name="_Toc32293"/>
      <w:bookmarkStart w:id="358" w:name="_Toc2788"/>
      <w:bookmarkStart w:id="359" w:name="_Toc13359"/>
      <w:bookmarkStart w:id="360" w:name="_Toc5651"/>
      <w:r>
        <w:rPr>
          <w:rFonts w:hint="eastAsia" w:ascii="宋体" w:hAnsi="宋体" w:cs="Times New Roman"/>
          <w:b/>
          <w:bCs w:val="0"/>
          <w:sz w:val="24"/>
          <w:szCs w:val="24"/>
        </w:rPr>
        <w:t>培训方案</w:t>
      </w:r>
      <w:bookmarkEnd w:id="357"/>
      <w:bookmarkEnd w:id="358"/>
      <w:bookmarkEnd w:id="359"/>
      <w:bookmarkEnd w:id="360"/>
    </w:p>
    <w:p w14:paraId="05506437">
      <w:pPr>
        <w:jc w:val="center"/>
        <w:rPr>
          <w:rFonts w:hint="eastAsia" w:ascii="黑体" w:hAnsi="黑体" w:eastAsia="黑体"/>
          <w:b/>
          <w:sz w:val="32"/>
          <w:szCs w:val="32"/>
        </w:rPr>
      </w:pPr>
    </w:p>
    <w:bookmarkEnd w:id="344"/>
    <w:bookmarkEnd w:id="345"/>
    <w:bookmarkEnd w:id="355"/>
    <w:p w14:paraId="1F72F51A">
      <w:pPr>
        <w:rPr>
          <w:rFonts w:hint="eastAsia" w:ascii="黑体" w:hAnsi="黑体" w:eastAsia="黑体"/>
          <w:b/>
          <w:sz w:val="32"/>
          <w:szCs w:val="32"/>
        </w:rPr>
      </w:pPr>
    </w:p>
    <w:p w14:paraId="4F4E55C2">
      <w:pPr>
        <w:rPr>
          <w:rFonts w:hint="eastAsia" w:ascii="宋体" w:hAnsi="宋体" w:cs="仿宋"/>
          <w:b/>
          <w:bCs/>
          <w:sz w:val="32"/>
          <w:szCs w:val="32"/>
        </w:rPr>
      </w:pPr>
    </w:p>
    <w:p w14:paraId="356947D3">
      <w:pPr>
        <w:jc w:val="left"/>
        <w:rPr>
          <w:rFonts w:hint="eastAsia" w:ascii="宋体" w:hAnsi="宋体"/>
          <w:b/>
          <w:sz w:val="24"/>
          <w:szCs w:val="24"/>
        </w:rPr>
      </w:pPr>
      <w:r>
        <w:rPr>
          <w:rFonts w:hint="eastAsia" w:ascii="宋体" w:hAnsi="宋体"/>
          <w:b/>
          <w:sz w:val="24"/>
          <w:szCs w:val="24"/>
        </w:rPr>
        <w:br w:type="page"/>
      </w:r>
    </w:p>
    <w:p w14:paraId="5A2326E3">
      <w:pPr>
        <w:rPr>
          <w:rFonts w:hint="eastAsia" w:ascii="宋体" w:hAnsi="宋体"/>
          <w:b/>
          <w:sz w:val="24"/>
          <w:szCs w:val="24"/>
        </w:rPr>
      </w:pPr>
      <w:r>
        <w:rPr>
          <w:rFonts w:hint="eastAsia" w:ascii="宋体" w:hAnsi="宋体"/>
          <w:b/>
          <w:sz w:val="24"/>
          <w:szCs w:val="24"/>
        </w:rPr>
        <w:t>附件十六承诺函</w:t>
      </w:r>
    </w:p>
    <w:p w14:paraId="6909B243">
      <w:pPr>
        <w:spacing w:line="460" w:lineRule="exact"/>
        <w:ind w:firstLine="480"/>
        <w:rPr>
          <w:rFonts w:hint="eastAsia" w:ascii="宋体" w:hAnsi="宋体"/>
          <w:bCs/>
          <w:color w:val="000000"/>
          <w:sz w:val="24"/>
        </w:rPr>
      </w:pPr>
    </w:p>
    <w:p w14:paraId="50F6432F">
      <w:pPr>
        <w:spacing w:line="460" w:lineRule="exact"/>
        <w:ind w:firstLine="480"/>
        <w:rPr>
          <w:rFonts w:hint="eastAsia" w:ascii="宋体" w:hAnsi="宋体"/>
          <w:bCs/>
          <w:color w:val="000000"/>
          <w:sz w:val="24"/>
        </w:rPr>
      </w:pPr>
      <w:bookmarkStart w:id="361" w:name="_GoBack"/>
      <w:r>
        <w:rPr>
          <w:rFonts w:hint="eastAsia" w:ascii="宋体" w:hAnsi="宋体"/>
          <w:bCs/>
          <w:color w:val="000000"/>
          <w:sz w:val="24"/>
        </w:rPr>
        <w:t>我单位郑重声明：不得低于采购需求中</w:t>
      </w:r>
      <w:r>
        <w:rPr>
          <w:rFonts w:ascii="宋体" w:hAnsi="宋体" w:cs="宋体"/>
          <w:b/>
          <w:color w:val="000000"/>
          <w:sz w:val="24"/>
        </w:rPr>
        <w:t>项目人员配备</w:t>
      </w:r>
      <w:r>
        <w:rPr>
          <w:rFonts w:hint="eastAsia" w:ascii="宋体" w:hAnsi="宋体" w:cs="宋体"/>
          <w:b/>
          <w:color w:val="000000"/>
          <w:sz w:val="24"/>
        </w:rPr>
        <w:t>的</w:t>
      </w:r>
      <w:r>
        <w:rPr>
          <w:rFonts w:hint="eastAsia" w:ascii="宋体" w:hAnsi="宋体"/>
          <w:bCs/>
          <w:color w:val="000000"/>
          <w:sz w:val="24"/>
        </w:rPr>
        <w:t>最低配置要求，为采购人提供更加优质的项目服务。</w:t>
      </w:r>
    </w:p>
    <w:p w14:paraId="7898AD1A">
      <w:pPr>
        <w:spacing w:line="460" w:lineRule="exact"/>
        <w:ind w:firstLine="480"/>
        <w:rPr>
          <w:rFonts w:hint="eastAsia" w:ascii="宋体" w:hAnsi="宋体"/>
          <w:bCs/>
          <w:sz w:val="24"/>
        </w:rPr>
      </w:pPr>
    </w:p>
    <w:p w14:paraId="0512404E">
      <w:pPr>
        <w:pStyle w:val="12"/>
        <w:overflowPunct w:val="0"/>
        <w:spacing w:line="360" w:lineRule="auto"/>
        <w:ind w:left="2940" w:leftChars="1400"/>
        <w:rPr>
          <w:rFonts w:hint="eastAsia" w:ascii="宋体" w:hAnsi="宋体" w:eastAsia="宋体" w:cs="Arial"/>
        </w:rPr>
      </w:pPr>
      <w:r>
        <w:rPr>
          <w:rFonts w:ascii="宋体" w:hAnsi="宋体" w:eastAsia="宋体" w:cs="Arial"/>
        </w:rPr>
        <w:t>投标人</w:t>
      </w:r>
      <w:r>
        <w:rPr>
          <w:rFonts w:hint="eastAsia" w:ascii="宋体" w:hAnsi="宋体" w:eastAsia="宋体" w:cs="Arial"/>
        </w:rPr>
        <w:t>名称</w:t>
      </w:r>
      <w:r>
        <w:rPr>
          <w:rFonts w:hint="eastAsia" w:ascii="宋体" w:hAnsi="宋体" w:eastAsia="宋体"/>
          <w:u w:val="single"/>
        </w:rPr>
        <w:t>（加盖</w:t>
      </w:r>
      <w:r>
        <w:rPr>
          <w:rFonts w:ascii="宋体" w:hAnsi="宋体" w:eastAsia="宋体"/>
          <w:u w:val="single"/>
        </w:rPr>
        <w:t>CA</w:t>
      </w:r>
      <w:r>
        <w:rPr>
          <w:rFonts w:hint="eastAsia" w:ascii="宋体" w:hAnsi="宋体" w:eastAsia="宋体"/>
          <w:u w:val="single"/>
          <w:lang w:eastAsia="zh-CN"/>
        </w:rPr>
        <w:t>电子公章</w:t>
      </w:r>
      <w:r>
        <w:rPr>
          <w:rFonts w:hint="eastAsia" w:ascii="宋体" w:hAnsi="宋体" w:eastAsia="宋体"/>
          <w:u w:val="single"/>
        </w:rPr>
        <w:t>）</w:t>
      </w:r>
      <w:r>
        <w:rPr>
          <w:rFonts w:ascii="宋体" w:hAnsi="宋体" w:eastAsia="宋体" w:cs="Arial"/>
        </w:rPr>
        <w:t>：</w:t>
      </w:r>
    </w:p>
    <w:p w14:paraId="27143220">
      <w:pPr>
        <w:pStyle w:val="12"/>
        <w:overflowPunct w:val="0"/>
        <w:spacing w:line="360" w:lineRule="auto"/>
        <w:ind w:left="2940" w:leftChars="1400"/>
        <w:rPr>
          <w:rFonts w:ascii="Arial" w:hAnsi="Arial" w:eastAsia="宋体" w:cs="Arial"/>
        </w:rPr>
      </w:pPr>
      <w:r>
        <w:rPr>
          <w:rFonts w:hint="eastAsia" w:ascii="Arial" w:hAnsi="Arial" w:eastAsia="宋体" w:cs="Arial"/>
        </w:rPr>
        <w:t>日期：</w:t>
      </w:r>
      <w:r>
        <w:rPr>
          <w:rFonts w:ascii="Arial" w:hAnsi="Arial" w:eastAsia="宋体" w:cs="Arial"/>
        </w:rPr>
        <w:t xml:space="preserve"> </w:t>
      </w:r>
    </w:p>
    <w:bookmarkEnd w:id="361"/>
    <w:p w14:paraId="706A3D8C">
      <w:pPr>
        <w:rPr>
          <w:rFonts w:hint="eastAsia" w:ascii="宋体" w:hAnsi="宋体"/>
          <w:b/>
          <w:sz w:val="24"/>
          <w:szCs w:val="24"/>
          <w:lang w:val="en-US" w:eastAsia="zh-CN"/>
        </w:rPr>
      </w:pPr>
      <w:r>
        <w:rPr>
          <w:rFonts w:hint="eastAsia" w:ascii="宋体" w:hAnsi="宋体"/>
          <w:b/>
          <w:sz w:val="24"/>
          <w:szCs w:val="24"/>
          <w:lang w:val="en-US" w:eastAsia="zh-CN"/>
        </w:rPr>
        <w:br w:type="page"/>
      </w:r>
    </w:p>
    <w:p w14:paraId="0F49DD08">
      <w:pPr>
        <w:rPr>
          <w:rFonts w:hint="eastAsia" w:ascii="宋体" w:hAnsi="宋体"/>
          <w:b/>
          <w:sz w:val="24"/>
          <w:szCs w:val="24"/>
          <w:lang w:val="en-US" w:eastAsia="zh-CN"/>
        </w:rPr>
      </w:pPr>
      <w:r>
        <w:rPr>
          <w:rFonts w:hint="eastAsia" w:ascii="宋体" w:hAnsi="宋体"/>
          <w:b/>
          <w:sz w:val="24"/>
          <w:szCs w:val="24"/>
          <w:lang w:val="en-US" w:eastAsia="zh-CN"/>
        </w:rPr>
        <w:t>附件十七节能产品</w:t>
      </w:r>
    </w:p>
    <w:p w14:paraId="78F6E593">
      <w:pPr>
        <w:jc w:val="left"/>
        <w:rPr>
          <w:rFonts w:hint="eastAsia" w:ascii="宋体" w:hAnsi="宋体" w:eastAsia="宋体"/>
          <w:sz w:val="24"/>
          <w:szCs w:val="24"/>
        </w:rPr>
      </w:pPr>
      <w:r>
        <w:rPr>
          <w:rFonts w:hint="eastAsia" w:ascii="宋体" w:hAnsi="宋体" w:eastAsia="宋体"/>
          <w:sz w:val="24"/>
          <w:szCs w:val="24"/>
        </w:rPr>
        <w:t>节能产品认证证书</w:t>
      </w:r>
    </w:p>
    <w:p w14:paraId="4791278E">
      <w:pPr>
        <w:rPr>
          <w:rFonts w:hint="eastAsia" w:ascii="宋体" w:hAnsi="宋体" w:eastAsia="宋体"/>
          <w:sz w:val="24"/>
          <w:szCs w:val="24"/>
        </w:rPr>
      </w:pPr>
      <w:r>
        <w:rPr>
          <w:rFonts w:hint="eastAsia" w:ascii="宋体" w:hAnsi="宋体" w:eastAsia="宋体"/>
          <w:sz w:val="24"/>
          <w:szCs w:val="24"/>
        </w:rPr>
        <w:br w:type="page"/>
      </w:r>
    </w:p>
    <w:p w14:paraId="7B1FD57C">
      <w:pPr>
        <w:jc w:val="left"/>
        <w:rPr>
          <w:rFonts w:hint="eastAsia" w:ascii="宋体" w:hAnsi="宋体" w:cs="仿宋"/>
          <w:b/>
          <w:bCs/>
          <w:sz w:val="32"/>
          <w:szCs w:val="32"/>
        </w:rPr>
      </w:pPr>
      <w:r>
        <w:rPr>
          <w:rFonts w:hint="eastAsia" w:ascii="宋体" w:hAnsi="宋体" w:eastAsia="宋体"/>
          <w:sz w:val="24"/>
          <w:szCs w:val="24"/>
        </w:rPr>
        <w:t>环境标志产品</w:t>
      </w:r>
      <w:r>
        <w:rPr>
          <w:rFonts w:hint="eastAsia" w:ascii="宋体" w:hAnsi="宋体" w:cs="仿宋"/>
          <w:b/>
          <w:bCs/>
          <w:sz w:val="32"/>
          <w:szCs w:val="32"/>
        </w:rPr>
        <w:br w:type="page"/>
      </w:r>
    </w:p>
    <w:p w14:paraId="37EDC15D">
      <w:pPr>
        <w:jc w:val="center"/>
        <w:rPr>
          <w:rFonts w:hint="eastAsia" w:ascii="宋体" w:hAnsi="宋体" w:cs="仿宋"/>
          <w:b/>
          <w:bCs/>
          <w:sz w:val="32"/>
          <w:szCs w:val="32"/>
        </w:rPr>
      </w:pPr>
      <w:r>
        <w:rPr>
          <w:rFonts w:hint="eastAsia" w:ascii="宋体" w:hAnsi="宋体" w:cs="仿宋"/>
          <w:b/>
          <w:bCs/>
          <w:sz w:val="32"/>
          <w:szCs w:val="32"/>
        </w:rPr>
        <w:t>质疑函范本</w:t>
      </w:r>
    </w:p>
    <w:p w14:paraId="089887E8">
      <w:pPr>
        <w:spacing w:before="290" w:line="360" w:lineRule="auto"/>
        <w:rPr>
          <w:rFonts w:hint="eastAsia" w:ascii="宋体" w:hAnsi="宋体" w:cs="仿宋"/>
          <w:bCs/>
          <w:sz w:val="24"/>
          <w:szCs w:val="24"/>
        </w:rPr>
      </w:pPr>
      <w:r>
        <w:rPr>
          <w:rFonts w:hint="eastAsia" w:ascii="宋体" w:hAnsi="宋体" w:cs="仿宋"/>
          <w:bCs/>
          <w:sz w:val="24"/>
          <w:szCs w:val="24"/>
        </w:rPr>
        <w:t>一、质疑投标人基本信息</w:t>
      </w:r>
    </w:p>
    <w:p w14:paraId="30656570">
      <w:pPr>
        <w:spacing w:line="360" w:lineRule="auto"/>
        <w:rPr>
          <w:rFonts w:hint="eastAsia" w:ascii="宋体" w:hAnsi="宋体" w:cs="仿宋"/>
          <w:sz w:val="24"/>
          <w:szCs w:val="24"/>
          <w:u w:val="single"/>
        </w:rPr>
      </w:pPr>
      <w:r>
        <w:rPr>
          <w:rFonts w:hint="eastAsia" w:ascii="宋体" w:hAnsi="宋体" w:cs="仿宋"/>
          <w:sz w:val="24"/>
          <w:szCs w:val="24"/>
        </w:rPr>
        <w:t>质疑投标人：</w:t>
      </w:r>
      <w:r>
        <w:rPr>
          <w:rFonts w:hint="eastAsia" w:ascii="宋体" w:hAnsi="宋体" w:cs="仿宋"/>
          <w:sz w:val="24"/>
          <w:szCs w:val="24"/>
          <w:u w:val="single"/>
        </w:rPr>
        <w:t xml:space="preserve">                                                              </w:t>
      </w:r>
    </w:p>
    <w:p w14:paraId="3A947299">
      <w:pPr>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354FFAB">
      <w:pPr>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39593F90">
      <w:pPr>
        <w:spacing w:line="360" w:lineRule="auto"/>
        <w:rPr>
          <w:rFonts w:hint="eastAsia"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p>
    <w:p w14:paraId="42D290BF">
      <w:pPr>
        <w:spacing w:line="360" w:lineRule="auto"/>
        <w:rPr>
          <w:rFonts w:hint="eastAsia" w:ascii="宋体" w:hAnsi="宋体" w:cs="仿宋"/>
          <w:sz w:val="24"/>
          <w:szCs w:val="24"/>
        </w:rPr>
      </w:pPr>
      <w:r>
        <w:rPr>
          <w:rFonts w:hint="eastAsia" w:ascii="宋体" w:hAnsi="宋体" w:cs="仿宋"/>
          <w:sz w:val="24"/>
          <w:szCs w:val="24"/>
        </w:rPr>
        <w:t>联系电话：</w:t>
      </w:r>
      <w:r>
        <w:rPr>
          <w:rFonts w:hint="eastAsia" w:ascii="宋体" w:hAnsi="宋体" w:cs="仿宋"/>
          <w:sz w:val="24"/>
          <w:szCs w:val="24"/>
          <w:u w:val="single"/>
        </w:rPr>
        <w:t xml:space="preserve">                                                                </w:t>
      </w:r>
    </w:p>
    <w:p w14:paraId="30D4ACFD">
      <w:pPr>
        <w:spacing w:line="360" w:lineRule="auto"/>
        <w:rPr>
          <w:rFonts w:hint="eastAsia" w:ascii="宋体" w:hAnsi="宋体" w:cs="仿宋"/>
          <w:sz w:val="24"/>
          <w:szCs w:val="24"/>
        </w:rPr>
      </w:pPr>
      <w:r>
        <w:rPr>
          <w:rFonts w:hint="eastAsia" w:ascii="宋体" w:hAnsi="宋体" w:cs="仿宋"/>
          <w:sz w:val="24"/>
          <w:szCs w:val="24"/>
        </w:rPr>
        <w:t>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2C775F74">
      <w:pPr>
        <w:spacing w:line="360" w:lineRule="auto"/>
        <w:rPr>
          <w:rFonts w:hint="eastAsia" w:ascii="宋体" w:hAnsi="宋体" w:cs="仿宋"/>
          <w:bCs/>
          <w:sz w:val="24"/>
          <w:szCs w:val="24"/>
        </w:rPr>
      </w:pPr>
      <w:r>
        <w:rPr>
          <w:rFonts w:hint="eastAsia" w:ascii="宋体" w:hAnsi="宋体" w:cs="仿宋"/>
          <w:bCs/>
          <w:sz w:val="24"/>
          <w:szCs w:val="24"/>
        </w:rPr>
        <w:t>二、质疑项目基本情况</w:t>
      </w:r>
    </w:p>
    <w:p w14:paraId="580DA521">
      <w:pPr>
        <w:spacing w:line="360" w:lineRule="auto"/>
        <w:rPr>
          <w:rFonts w:hint="eastAsia" w:ascii="宋体" w:hAnsi="宋体" w:cs="仿宋"/>
          <w:sz w:val="24"/>
          <w:szCs w:val="24"/>
        </w:rPr>
      </w:pPr>
      <w:r>
        <w:rPr>
          <w:rFonts w:hint="eastAsia" w:ascii="宋体" w:hAnsi="宋体" w:cs="仿宋"/>
          <w:sz w:val="24"/>
          <w:szCs w:val="24"/>
        </w:rPr>
        <w:t>质疑项目的名称：</w:t>
      </w:r>
      <w:r>
        <w:rPr>
          <w:rFonts w:hint="eastAsia" w:ascii="宋体" w:hAnsi="宋体" w:cs="仿宋"/>
          <w:sz w:val="24"/>
          <w:szCs w:val="24"/>
          <w:u w:val="single"/>
        </w:rPr>
        <w:t xml:space="preserve">                                                          </w:t>
      </w:r>
    </w:p>
    <w:p w14:paraId="0AC39225">
      <w:pPr>
        <w:spacing w:line="360" w:lineRule="auto"/>
        <w:rPr>
          <w:rFonts w:hint="eastAsia" w:ascii="宋体" w:hAnsi="宋体" w:cs="仿宋"/>
          <w:sz w:val="24"/>
          <w:szCs w:val="24"/>
        </w:rPr>
      </w:pPr>
      <w:r>
        <w:rPr>
          <w:rFonts w:hint="eastAsia" w:ascii="宋体" w:hAnsi="宋体" w:cs="仿宋"/>
          <w:sz w:val="24"/>
          <w:szCs w:val="24"/>
        </w:rPr>
        <w:t>质疑项目的编号：</w:t>
      </w:r>
      <w:r>
        <w:rPr>
          <w:rFonts w:hint="eastAsia" w:ascii="宋体" w:hAnsi="宋体" w:cs="仿宋"/>
          <w:sz w:val="24"/>
          <w:szCs w:val="24"/>
          <w:u w:val="single"/>
        </w:rPr>
        <w:t xml:space="preserve">                         </w:t>
      </w:r>
      <w:r>
        <w:rPr>
          <w:rFonts w:hint="eastAsia" w:ascii="宋体" w:hAnsi="宋体" w:cs="仿宋"/>
          <w:sz w:val="24"/>
          <w:szCs w:val="24"/>
        </w:rPr>
        <w:t>包号：</w:t>
      </w:r>
      <w:r>
        <w:rPr>
          <w:rFonts w:hint="eastAsia" w:ascii="宋体" w:hAnsi="宋体" w:cs="仿宋"/>
          <w:sz w:val="24"/>
          <w:szCs w:val="24"/>
          <w:u w:val="single"/>
        </w:rPr>
        <w:t xml:space="preserve">                           </w:t>
      </w:r>
    </w:p>
    <w:p w14:paraId="60C09F7A">
      <w:pPr>
        <w:spacing w:line="360" w:lineRule="auto"/>
        <w:rPr>
          <w:rFonts w:hint="eastAsia"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296FB3D8">
      <w:pPr>
        <w:spacing w:line="360" w:lineRule="auto"/>
        <w:rPr>
          <w:rFonts w:hint="eastAsia" w:ascii="宋体" w:hAnsi="宋体" w:cs="仿宋"/>
          <w:sz w:val="24"/>
          <w:szCs w:val="24"/>
        </w:rPr>
      </w:pPr>
      <w:r>
        <w:rPr>
          <w:rFonts w:hint="eastAsia" w:ascii="宋体" w:hAnsi="宋体" w:cs="仿宋"/>
          <w:sz w:val="24"/>
          <w:szCs w:val="24"/>
        </w:rPr>
        <w:t>采购文件获取日期：</w:t>
      </w:r>
      <w:r>
        <w:rPr>
          <w:rFonts w:hint="eastAsia" w:ascii="宋体" w:hAnsi="宋体" w:cs="仿宋"/>
          <w:sz w:val="24"/>
          <w:szCs w:val="24"/>
          <w:u w:val="single"/>
        </w:rPr>
        <w:t xml:space="preserve">                                                        </w:t>
      </w:r>
    </w:p>
    <w:p w14:paraId="499F9ABD">
      <w:pPr>
        <w:spacing w:line="360" w:lineRule="auto"/>
        <w:rPr>
          <w:rFonts w:hint="eastAsia" w:ascii="宋体" w:hAnsi="宋体" w:cs="仿宋"/>
          <w:bCs/>
          <w:sz w:val="24"/>
          <w:szCs w:val="24"/>
        </w:rPr>
      </w:pPr>
      <w:r>
        <w:rPr>
          <w:rFonts w:hint="eastAsia" w:ascii="宋体" w:hAnsi="宋体" w:cs="仿宋"/>
          <w:bCs/>
          <w:sz w:val="24"/>
          <w:szCs w:val="24"/>
        </w:rPr>
        <w:t>三、质疑事项具体内容</w:t>
      </w:r>
    </w:p>
    <w:p w14:paraId="72B93FD9">
      <w:pPr>
        <w:spacing w:line="360" w:lineRule="auto"/>
        <w:rPr>
          <w:rFonts w:hint="eastAsia"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16FCBDCC">
      <w:pPr>
        <w:spacing w:line="360" w:lineRule="auto"/>
        <w:rPr>
          <w:rFonts w:hint="eastAsia"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1BF7970B">
      <w:pPr>
        <w:spacing w:line="360" w:lineRule="auto"/>
        <w:rPr>
          <w:rFonts w:hint="eastAsia" w:ascii="宋体" w:hAnsi="宋体" w:cs="仿宋"/>
          <w:sz w:val="24"/>
          <w:szCs w:val="24"/>
        </w:rPr>
      </w:pPr>
      <w:r>
        <w:rPr>
          <w:rFonts w:hint="eastAsia" w:ascii="宋体" w:hAnsi="宋体" w:cs="仿宋"/>
          <w:sz w:val="24"/>
          <w:szCs w:val="24"/>
          <w:u w:val="single"/>
        </w:rPr>
        <w:t xml:space="preserve">                                                                           </w:t>
      </w:r>
    </w:p>
    <w:p w14:paraId="792A6682">
      <w:pPr>
        <w:spacing w:line="360" w:lineRule="auto"/>
        <w:rPr>
          <w:rFonts w:hint="eastAsia"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353EBB93">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p>
    <w:p w14:paraId="4B17B384">
      <w:pPr>
        <w:spacing w:line="360" w:lineRule="auto"/>
        <w:rPr>
          <w:rFonts w:hint="eastAsia" w:ascii="宋体" w:hAnsi="宋体" w:cs="仿宋"/>
          <w:sz w:val="24"/>
          <w:szCs w:val="24"/>
          <w:u w:val="single"/>
        </w:rPr>
      </w:pPr>
      <w:r>
        <w:rPr>
          <w:rFonts w:hint="eastAsia" w:ascii="宋体" w:hAnsi="宋体" w:cs="仿宋"/>
          <w:sz w:val="24"/>
          <w:szCs w:val="24"/>
        </w:rPr>
        <w:t>质疑事项2</w:t>
      </w:r>
    </w:p>
    <w:p w14:paraId="2C45721E">
      <w:pPr>
        <w:spacing w:line="360" w:lineRule="auto"/>
        <w:rPr>
          <w:rFonts w:hint="eastAsia" w:ascii="宋体" w:hAnsi="宋体" w:cs="仿宋"/>
          <w:sz w:val="24"/>
          <w:szCs w:val="24"/>
        </w:rPr>
      </w:pPr>
      <w:r>
        <w:rPr>
          <w:rFonts w:hint="eastAsia" w:ascii="宋体" w:hAnsi="宋体" w:cs="仿宋"/>
          <w:sz w:val="24"/>
          <w:szCs w:val="24"/>
        </w:rPr>
        <w:t>……</w:t>
      </w:r>
    </w:p>
    <w:p w14:paraId="1D9DC440">
      <w:pPr>
        <w:spacing w:line="360" w:lineRule="auto"/>
        <w:rPr>
          <w:rFonts w:hint="eastAsia" w:ascii="宋体" w:hAnsi="宋体" w:cs="仿宋"/>
          <w:bCs/>
          <w:sz w:val="24"/>
          <w:szCs w:val="24"/>
        </w:rPr>
      </w:pPr>
      <w:r>
        <w:rPr>
          <w:rFonts w:hint="eastAsia" w:ascii="宋体" w:hAnsi="宋体" w:cs="仿宋"/>
          <w:bCs/>
          <w:sz w:val="24"/>
          <w:szCs w:val="24"/>
        </w:rPr>
        <w:t>四、与质疑事项相关的质疑请求</w:t>
      </w:r>
    </w:p>
    <w:p w14:paraId="6AB9EA79">
      <w:pPr>
        <w:spacing w:line="360" w:lineRule="auto"/>
        <w:rPr>
          <w:rFonts w:hint="eastAsia"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373D7B8E">
      <w:pPr>
        <w:rPr>
          <w:rFonts w:hint="eastAsia" w:ascii="宋体" w:hAnsi="宋体"/>
          <w:sz w:val="24"/>
          <w:szCs w:val="24"/>
        </w:rPr>
      </w:pPr>
      <w:r>
        <w:rPr>
          <w:rFonts w:hint="eastAsia" w:ascii="宋体" w:hAnsi="宋体"/>
          <w:sz w:val="24"/>
          <w:szCs w:val="24"/>
        </w:rPr>
        <w:t xml:space="preserve">签字(签章)：                   </w:t>
      </w:r>
      <w:r>
        <w:rPr>
          <w:rFonts w:hint="eastAsia" w:ascii="宋体" w:hAnsi="宋体"/>
          <w:sz w:val="24"/>
          <w:szCs w:val="24"/>
          <w:lang w:eastAsia="zh-CN"/>
        </w:rPr>
        <w:t>电子公章</w:t>
      </w:r>
      <w:r>
        <w:rPr>
          <w:rFonts w:hint="eastAsia" w:ascii="宋体" w:hAnsi="宋体"/>
          <w:sz w:val="24"/>
          <w:szCs w:val="24"/>
        </w:rPr>
        <w:t xml:space="preserve">：                      </w:t>
      </w:r>
    </w:p>
    <w:p w14:paraId="066A710A">
      <w:pPr>
        <w:rPr>
          <w:rFonts w:hint="eastAsia" w:ascii="宋体" w:hAnsi="宋体"/>
          <w:sz w:val="24"/>
          <w:szCs w:val="24"/>
        </w:rPr>
      </w:pPr>
      <w:r>
        <w:rPr>
          <w:rFonts w:hint="eastAsia" w:ascii="宋体" w:hAnsi="宋体"/>
          <w:sz w:val="24"/>
          <w:szCs w:val="24"/>
        </w:rPr>
        <w:t xml:space="preserve">日期：    </w:t>
      </w:r>
    </w:p>
    <w:p w14:paraId="5912BE19">
      <w:pPr>
        <w:spacing w:line="400" w:lineRule="exact"/>
        <w:rPr>
          <w:rFonts w:hint="eastAsia" w:ascii="宋体" w:hAnsi="宋体"/>
          <w:b/>
          <w:sz w:val="24"/>
          <w:szCs w:val="24"/>
        </w:rPr>
      </w:pPr>
      <w:r>
        <w:rPr>
          <w:rFonts w:hint="eastAsia" w:ascii="宋体" w:hAnsi="宋体"/>
          <w:b/>
          <w:sz w:val="24"/>
          <w:szCs w:val="24"/>
        </w:rPr>
        <w:t>质疑函制作说明：</w:t>
      </w:r>
    </w:p>
    <w:p w14:paraId="1BAEA827">
      <w:pPr>
        <w:widowControl/>
        <w:spacing w:line="400" w:lineRule="exact"/>
        <w:ind w:firstLine="480"/>
        <w:jc w:val="left"/>
        <w:rPr>
          <w:rFonts w:hint="eastAsia" w:ascii="宋体" w:hAnsi="宋体"/>
          <w:sz w:val="24"/>
          <w:szCs w:val="24"/>
        </w:rPr>
      </w:pPr>
      <w:r>
        <w:rPr>
          <w:rFonts w:hint="eastAsia" w:ascii="宋体" w:hAnsi="宋体"/>
          <w:sz w:val="24"/>
          <w:szCs w:val="24"/>
        </w:rPr>
        <w:t>1.投标人提出质疑时，应提交质疑函和必要的证明材料。</w:t>
      </w:r>
    </w:p>
    <w:p w14:paraId="091AADAA">
      <w:pPr>
        <w:widowControl/>
        <w:spacing w:line="400" w:lineRule="exact"/>
        <w:ind w:firstLine="480"/>
        <w:jc w:val="left"/>
        <w:rPr>
          <w:rFonts w:hint="eastAsia" w:ascii="宋体" w:hAnsi="宋体"/>
          <w:sz w:val="24"/>
          <w:szCs w:val="24"/>
        </w:rPr>
      </w:pPr>
      <w:r>
        <w:rPr>
          <w:rFonts w:hint="eastAsia" w:ascii="宋体" w:hAnsi="宋体"/>
          <w:sz w:val="24"/>
          <w:szCs w:val="24"/>
        </w:rPr>
        <w:t>2.质疑投标人若委托代理人进行质疑的，质疑函应按要求列明“授权代表”的有关内容，并在附件中提交由质疑</w:t>
      </w:r>
      <w:r>
        <w:rPr>
          <w:rFonts w:hint="eastAsia" w:ascii="宋体" w:hAnsi="宋体" w:cs="宋体"/>
          <w:sz w:val="24"/>
          <w:szCs w:val="24"/>
        </w:rPr>
        <w:t>投标人签署的授权委托书。授权委托书应载明代理人的姓名或者名称、代理事项、具体权限、期限和相关事项。</w:t>
      </w:r>
    </w:p>
    <w:p w14:paraId="6FB2B501">
      <w:pPr>
        <w:widowControl/>
        <w:spacing w:line="400" w:lineRule="exact"/>
        <w:ind w:firstLine="480"/>
        <w:jc w:val="left"/>
        <w:rPr>
          <w:rFonts w:hint="eastAsia" w:ascii="宋体" w:hAnsi="宋体"/>
          <w:sz w:val="24"/>
          <w:szCs w:val="24"/>
        </w:rPr>
      </w:pPr>
      <w:r>
        <w:rPr>
          <w:rFonts w:hint="eastAsia" w:ascii="宋体" w:hAnsi="宋体"/>
          <w:sz w:val="24"/>
          <w:szCs w:val="24"/>
        </w:rPr>
        <w:t>3.质疑投标人若对项目的某一采购包进行质疑，质疑函中应列明具体采购包号。</w:t>
      </w:r>
    </w:p>
    <w:p w14:paraId="56CCE3BD">
      <w:pPr>
        <w:widowControl/>
        <w:spacing w:line="400" w:lineRule="exact"/>
        <w:ind w:firstLine="480"/>
        <w:jc w:val="left"/>
        <w:rPr>
          <w:rFonts w:hint="eastAsia" w:ascii="宋体" w:hAnsi="宋体"/>
          <w:sz w:val="24"/>
          <w:szCs w:val="24"/>
        </w:rPr>
      </w:pPr>
      <w:r>
        <w:rPr>
          <w:rFonts w:hint="eastAsia" w:ascii="宋体" w:hAnsi="宋体"/>
          <w:sz w:val="24"/>
          <w:szCs w:val="24"/>
        </w:rPr>
        <w:t>4.质疑函的质疑事项应具体、明确，并有必要的事实依据和法律依据。</w:t>
      </w:r>
    </w:p>
    <w:p w14:paraId="2C0E3CDB">
      <w:pPr>
        <w:widowControl/>
        <w:spacing w:line="400" w:lineRule="exact"/>
        <w:ind w:firstLine="480"/>
        <w:jc w:val="left"/>
        <w:rPr>
          <w:rFonts w:hint="eastAsia" w:ascii="宋体" w:hAnsi="宋体"/>
          <w:sz w:val="24"/>
          <w:szCs w:val="24"/>
        </w:rPr>
      </w:pPr>
      <w:r>
        <w:rPr>
          <w:rFonts w:hint="eastAsia" w:ascii="宋体" w:hAnsi="宋体"/>
          <w:sz w:val="24"/>
          <w:szCs w:val="24"/>
        </w:rPr>
        <w:t>5.质疑函的质疑请求应与质疑事项相关。</w:t>
      </w:r>
    </w:p>
    <w:p w14:paraId="58C25D17">
      <w:pPr>
        <w:widowControl/>
        <w:spacing w:line="400" w:lineRule="exact"/>
        <w:ind w:firstLine="480"/>
        <w:jc w:val="left"/>
        <w:rPr>
          <w:rFonts w:hint="eastAsia" w:ascii="宋体" w:hAnsi="宋体"/>
          <w:sz w:val="24"/>
          <w:szCs w:val="24"/>
        </w:rPr>
      </w:pPr>
      <w:r>
        <w:rPr>
          <w:rFonts w:hint="eastAsia" w:ascii="宋体" w:hAnsi="宋体"/>
          <w:sz w:val="24"/>
          <w:szCs w:val="24"/>
        </w:rPr>
        <w:t>6.质疑投标人为自然人的，质疑函应由本人签字；质疑投标人为法人或者其他组织的，质疑函应由法定代表人、主要负责人，或者其授权代表签字或者盖章，并加盖</w:t>
      </w:r>
      <w:r>
        <w:rPr>
          <w:rFonts w:hint="eastAsia" w:ascii="宋体" w:hAnsi="宋体"/>
          <w:sz w:val="24"/>
          <w:szCs w:val="24"/>
          <w:lang w:eastAsia="zh-CN"/>
        </w:rPr>
        <w:t>电子公章</w:t>
      </w:r>
      <w:r>
        <w:rPr>
          <w:rFonts w:hint="eastAsia" w:ascii="宋体" w:hAnsi="宋体"/>
          <w:sz w:val="24"/>
          <w:szCs w:val="24"/>
        </w:rPr>
        <w:t>。</w:t>
      </w:r>
    </w:p>
    <w:p w14:paraId="43B22BFD">
      <w:pPr>
        <w:pStyle w:val="196"/>
        <w:rPr>
          <w:sz w:val="24"/>
          <w:szCs w:val="24"/>
        </w:rPr>
      </w:pPr>
    </w:p>
    <w:p w14:paraId="26D4108B">
      <w:pPr>
        <w:pStyle w:val="196"/>
        <w:rPr>
          <w:sz w:val="24"/>
          <w:szCs w:val="24"/>
        </w:rPr>
      </w:pPr>
    </w:p>
    <w:p w14:paraId="05CE6BAE"/>
    <w:p w14:paraId="682ADE31"/>
    <w:sectPr>
      <w:footerReference r:id="rId6" w:type="first"/>
      <w:headerReference r:id="rId3" w:type="default"/>
      <w:footerReference r:id="rId4" w:type="default"/>
      <w:footerReference r:id="rId5" w:type="even"/>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ongti SC">
    <w:altName w:val="DejaVu Math TeX Gyre"/>
    <w:panose1 w:val="00000000000000000000"/>
    <w:charset w:val="00"/>
    <w:family w:val="auto"/>
    <w:pitch w:val="default"/>
    <w:sig w:usb0="00000000" w:usb1="00000000" w:usb2="00000000" w:usb3="00000000" w:csb0="00040001" w:csb1="00000000"/>
  </w:font>
  <w:font w:name="DejaVu Math TeX Gyre">
    <w:panose1 w:val="02000503000000000000"/>
    <w:charset w:val="00"/>
    <w:family w:val="auto"/>
    <w:pitch w:val="default"/>
    <w:sig w:usb0="A10000EF" w:usb1="4201F9EE" w:usb2="02000000" w:usb3="00000000" w:csb0="60000193" w:csb1="0DD40000"/>
  </w:font>
  <w:font w:name="仿宋">
    <w:panose1 w:val="02010609060101010101"/>
    <w:charset w:val="86"/>
    <w:family w:val="modern"/>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方正小标宋_GBK">
    <w:altName w:val="微软雅黑"/>
    <w:panose1 w:val="02000000000000000000"/>
    <w:charset w:val="86"/>
    <w:family w:val="auto"/>
    <w:pitch w:val="default"/>
    <w:sig w:usb0="00000000" w:usb1="00000000" w:usb2="00000000" w:usb3="00000000" w:csb0="00040000" w:csb1="00000000"/>
  </w:font>
  <w:font w:name="Showcard Gothic">
    <w:altName w:val="Gabriola"/>
    <w:panose1 w:val="04020904020102020604"/>
    <w:charset w:val="00"/>
    <w:family w:val="decorative"/>
    <w:pitch w:val="default"/>
    <w:sig w:usb0="00000000" w:usb1="00000000" w:usb2="00000000" w:usb3="00000000" w:csb0="20000001" w:csb1="00000000"/>
  </w:font>
  <w:font w:name="ksdb">
    <w:altName w:val="Segoe UI Symbol"/>
    <w:panose1 w:val="02000500000000000000"/>
    <w:charset w:val="00"/>
    <w:family w:val="auto"/>
    <w:pitch w:val="default"/>
    <w:sig w:usb0="00000000" w:usb1="00000000" w:usb2="00000000" w:usb3="00000000" w:csb0="00000001" w:csb1="00000000"/>
  </w:font>
  <w:font w:name="方正魏碑_GBK">
    <w:altName w:val="微软雅黑"/>
    <w:panose1 w:val="00000000000000000000"/>
    <w:charset w:val="86"/>
    <w:family w:val="auto"/>
    <w:pitch w:val="default"/>
    <w:sig w:usb0="00000000" w:usb1="00000000" w:usb2="00000006" w:usb3="00000000" w:csb0="00040001"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Wingdings 2">
    <w:altName w:val="Wingdings"/>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default"/>
    <w:sig w:usb0="E4002EFF" w:usb1="C200247B" w:usb2="00000009" w:usb3="00000000" w:csb0="200001FF" w:csb1="00000000"/>
  </w:font>
  <w:font w:name="Trebuchet MS">
    <w:panose1 w:val="020B0603020202020204"/>
    <w:charset w:val="00"/>
    <w:family w:val="swiss"/>
    <w:pitch w:val="default"/>
    <w:sig w:usb0="00000687" w:usb1="00000000" w:usb2="00000000" w:usb3="00000000" w:csb0="2000009F" w:csb1="00000000"/>
  </w:font>
  <w:font w:name="Microsoft YaHei UI">
    <w:panose1 w:val="020B0503020204020204"/>
    <w:charset w:val="86"/>
    <w:family w:val="auto"/>
    <w:pitch w:val="default"/>
    <w:sig w:usb0="80000287" w:usb1="2ACF3C50" w:usb2="00000016" w:usb3="00000000" w:csb0="0004001F" w:csb1="00000000"/>
  </w:font>
  <w:font w:name="Kingsoft UE">
    <w:panose1 w:val="02000100010000000000"/>
    <w:charset w:val="00"/>
    <w:family w:val="auto"/>
    <w:pitch w:val="default"/>
    <w:sig w:usb0="00000001" w:usb1="00004000" w:usb2="00000000" w:usb3="00000000" w:csb0="00000001" w:csb1="00000000"/>
  </w:font>
  <w:font w:name="KSOFF9CBECC6">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Gabriola">
    <w:panose1 w:val="04040605051002020D02"/>
    <w:charset w:val="00"/>
    <w:family w:val="auto"/>
    <w:pitch w:val="default"/>
    <w:sig w:usb0="E00002EF" w:usb1="5000204B" w:usb2="00000000" w:usb3="00000000" w:csb0="2000009F" w:csb1="00000000"/>
  </w:font>
  <w:font w:name="Segoe UI">
    <w:panose1 w:val="020B0502040204020203"/>
    <w:charset w:val="00"/>
    <w:family w:val="auto"/>
    <w:pitch w:val="default"/>
    <w:sig w:usb0="E4002EFF" w:usb1="C000E47F" w:usb2="00000009" w:usb3="00000000" w:csb0="200001FF" w:csb1="00000000"/>
  </w:font>
  <w:font w:name="Wingdings 2">
    <w:altName w:val="Wingdings"/>
    <w:panose1 w:val="00000000000000000000"/>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6A25D">
    <w:pPr>
      <w:pStyle w:val="240"/>
      <w:framePr w:wrap="around" w:vAnchor="text" w:hAnchor="margin" w:xAlign="center" w:y="1"/>
      <w:rPr>
        <w:rStyle w:val="265"/>
        <w:rFonts w:hint="eastAsia" w:ascii="宋体" w:hAnsi="宋体"/>
      </w:rPr>
    </w:pPr>
    <w:r>
      <w:rPr>
        <w:rFonts w:ascii="宋体" w:hAnsi="宋体"/>
      </w:rPr>
      <w:fldChar w:fldCharType="begin"/>
    </w:r>
    <w:r>
      <w:rPr>
        <w:rStyle w:val="265"/>
        <w:rFonts w:ascii="宋体" w:hAnsi="宋体"/>
      </w:rPr>
      <w:instrText xml:space="preserve">PAGE  </w:instrText>
    </w:r>
    <w:r>
      <w:rPr>
        <w:rFonts w:ascii="宋体" w:hAnsi="宋体"/>
      </w:rPr>
      <w:fldChar w:fldCharType="separate"/>
    </w:r>
    <w:r>
      <w:rPr>
        <w:rStyle w:val="265"/>
        <w:rFonts w:ascii="宋体" w:hAnsi="宋体"/>
      </w:rPr>
      <w:t>5</w:t>
    </w:r>
    <w:r>
      <w:rPr>
        <w:rFonts w:ascii="宋体" w:hAnsi="宋体"/>
      </w:rPr>
      <w:fldChar w:fldCharType="end"/>
    </w:r>
  </w:p>
  <w:p w14:paraId="104828EF">
    <w:pPr>
      <w:pStyle w:val="240"/>
      <w:jc w:val="center"/>
      <w:rPr>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92D929">
    <w:pPr>
      <w:pStyle w:val="240"/>
      <w:framePr w:wrap="around" w:vAnchor="text" w:hAnchor="margin" w:xAlign="center" w:y="1"/>
      <w:rPr>
        <w:rStyle w:val="265"/>
      </w:rPr>
    </w:pPr>
    <w:r>
      <w:fldChar w:fldCharType="begin"/>
    </w:r>
    <w:r>
      <w:rPr>
        <w:rStyle w:val="265"/>
      </w:rPr>
      <w:instrText xml:space="preserve">PAGE  </w:instrText>
    </w:r>
    <w:r>
      <w:fldChar w:fldCharType="separate"/>
    </w:r>
    <w:r>
      <w:rPr>
        <w:rStyle w:val="265"/>
      </w:rPr>
      <w:t>1</w:t>
    </w:r>
    <w:r>
      <w:fldChar w:fldCharType="end"/>
    </w:r>
  </w:p>
  <w:p w14:paraId="75788439">
    <w:pPr>
      <w:pStyle w:val="24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3EE3D">
    <w:pPr>
      <w:pStyle w:val="240"/>
      <w:jc w:val="center"/>
    </w:pPr>
    <w:r>
      <w:fldChar w:fldCharType="begin"/>
    </w:r>
    <w:r>
      <w:instrText xml:space="preserve">PAGE   \* MERGEFORMAT</w:instrText>
    </w:r>
    <w:r>
      <w:fldChar w:fldCharType="separate"/>
    </w:r>
    <w:r>
      <w:rPr>
        <w:lang w:val="zh-CN"/>
      </w:rPr>
      <w:t>1</w:t>
    </w:r>
    <w:r>
      <w:rPr>
        <w:lang w:val="zh-CN"/>
      </w:rPr>
      <w:fldChar w:fldCharType="end"/>
    </w:r>
  </w:p>
  <w:p w14:paraId="4CADE4D2">
    <w:pPr>
      <w:pStyle w:val="24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B4AF9">
    <w:pPr>
      <w:pStyle w:val="242"/>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upperLetter"/>
      <w:pStyle w:val="28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E079303"/>
    <w:multiLevelType w:val="singleLevel"/>
    <w:tmpl w:val="FE079303"/>
    <w:lvl w:ilvl="0" w:tentative="0">
      <w:start w:val="3"/>
      <w:numFmt w:val="decimal"/>
      <w:suff w:val="space"/>
      <w:lvlText w:val="%1."/>
      <w:lvlJc w:val="left"/>
    </w:lvl>
  </w:abstractNum>
  <w:abstractNum w:abstractNumId="2">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pStyle w:val="17"/>
      <w:suff w:val="nothing"/>
      <w:lvlText w:val="%2、"/>
      <w:lvlJc w:val="left"/>
      <w:pPr>
        <w:ind w:left="0" w:firstLine="0"/>
      </w:pPr>
      <w:rPr>
        <w:rFonts w:hint="eastAsia"/>
      </w:rPr>
    </w:lvl>
    <w:lvl w:ilvl="2" w:tentative="0">
      <w:start w:val="1"/>
      <w:numFmt w:val="decimal"/>
      <w:pStyle w:val="16"/>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0"/>
      <w:suff w:val="nothing"/>
      <w:lvlText w:val=""/>
      <w:lvlJc w:val="left"/>
      <w:pPr>
        <w:ind w:left="0" w:firstLine="0"/>
      </w:pPr>
      <w:rPr>
        <w:rFonts w:hint="eastAsia"/>
      </w:rPr>
    </w:lvl>
    <w:lvl w:ilvl="6" w:tentative="0">
      <w:start w:val="1"/>
      <w:numFmt w:val="decimal"/>
      <w:pStyle w:val="201"/>
      <w:suff w:val="nothing"/>
      <w:lvlText w:val=""/>
      <w:lvlJc w:val="left"/>
      <w:pPr>
        <w:ind w:left="0" w:firstLine="0"/>
      </w:pPr>
      <w:rPr>
        <w:rFonts w:hint="eastAsia"/>
      </w:rPr>
    </w:lvl>
    <w:lvl w:ilvl="7" w:tentative="0">
      <w:start w:val="1"/>
      <w:numFmt w:val="decimal"/>
      <w:pStyle w:val="202"/>
      <w:suff w:val="nothing"/>
      <w:lvlText w:val=""/>
      <w:lvlJc w:val="left"/>
      <w:pPr>
        <w:ind w:left="0" w:firstLine="0"/>
      </w:pPr>
      <w:rPr>
        <w:rFonts w:hint="eastAsia"/>
      </w:rPr>
    </w:lvl>
    <w:lvl w:ilvl="8" w:tentative="0">
      <w:start w:val="1"/>
      <w:numFmt w:val="decimal"/>
      <w:pStyle w:val="203"/>
      <w:suff w:val="nothing"/>
      <w:lvlText w:val=""/>
      <w:lvlJc w:val="left"/>
      <w:pPr>
        <w:ind w:left="0" w:firstLine="0"/>
      </w:pPr>
      <w:rPr>
        <w:rFonts w:hint="eastAsia"/>
      </w:rPr>
    </w:lvl>
  </w:abstractNum>
  <w:abstractNum w:abstractNumId="3">
    <w:nsid w:val="59ADCABA"/>
    <w:multiLevelType w:val="multilevel"/>
    <w:tmpl w:val="59ADCABA"/>
    <w:lvl w:ilvl="0" w:tentative="0">
      <w:start w:val="1"/>
      <w:numFmt w:val="decimal"/>
      <w:pStyle w:val="288"/>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808"/>
    <w:rsid w:val="000340A9"/>
    <w:rsid w:val="000507AB"/>
    <w:rsid w:val="000631A9"/>
    <w:rsid w:val="001E36B0"/>
    <w:rsid w:val="002102F0"/>
    <w:rsid w:val="00272B9E"/>
    <w:rsid w:val="00327B63"/>
    <w:rsid w:val="0042237B"/>
    <w:rsid w:val="00521AD3"/>
    <w:rsid w:val="00547C0F"/>
    <w:rsid w:val="006D1255"/>
    <w:rsid w:val="006E3808"/>
    <w:rsid w:val="007E5231"/>
    <w:rsid w:val="008A2BEF"/>
    <w:rsid w:val="008D6AA7"/>
    <w:rsid w:val="00920AAC"/>
    <w:rsid w:val="009C49AB"/>
    <w:rsid w:val="00BD0A8A"/>
    <w:rsid w:val="00C234B0"/>
    <w:rsid w:val="00CE33D3"/>
    <w:rsid w:val="00CF5EC6"/>
    <w:rsid w:val="00D517C9"/>
    <w:rsid w:val="00E00C76"/>
    <w:rsid w:val="00E54FDA"/>
    <w:rsid w:val="00F46608"/>
    <w:rsid w:val="033B1D8E"/>
    <w:rsid w:val="04DD1EDE"/>
    <w:rsid w:val="079E072E"/>
    <w:rsid w:val="07F05C2F"/>
    <w:rsid w:val="08074174"/>
    <w:rsid w:val="09C864DF"/>
    <w:rsid w:val="0E6F3925"/>
    <w:rsid w:val="12060D5F"/>
    <w:rsid w:val="16CD4493"/>
    <w:rsid w:val="18C8129A"/>
    <w:rsid w:val="1A25774A"/>
    <w:rsid w:val="1C015222"/>
    <w:rsid w:val="1C937D28"/>
    <w:rsid w:val="215869F4"/>
    <w:rsid w:val="22FF410E"/>
    <w:rsid w:val="24A65E89"/>
    <w:rsid w:val="2A06555A"/>
    <w:rsid w:val="2B382093"/>
    <w:rsid w:val="336311B5"/>
    <w:rsid w:val="338A0052"/>
    <w:rsid w:val="3D126985"/>
    <w:rsid w:val="3FEC2470"/>
    <w:rsid w:val="442E472A"/>
    <w:rsid w:val="4A802D70"/>
    <w:rsid w:val="4DB402FE"/>
    <w:rsid w:val="4ECD7246"/>
    <w:rsid w:val="55A82183"/>
    <w:rsid w:val="561F6AAF"/>
    <w:rsid w:val="5A812888"/>
    <w:rsid w:val="5B2A781E"/>
    <w:rsid w:val="5CE40BB2"/>
    <w:rsid w:val="643A5791"/>
    <w:rsid w:val="64413EFE"/>
    <w:rsid w:val="64D50279"/>
    <w:rsid w:val="6BA563A9"/>
    <w:rsid w:val="703D77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1"/>
      <w:lang w:val="en-US" w:eastAsia="zh-CN" w:bidi="ar-SA"/>
    </w:rPr>
  </w:style>
  <w:style w:type="paragraph" w:styleId="2">
    <w:name w:val="heading 1"/>
    <w:basedOn w:val="1"/>
    <w:next w:val="1"/>
    <w:link w:val="4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adjustRightInd w:val="0"/>
      <w:ind w:firstLine="420"/>
    </w:pPr>
    <w:rPr>
      <w:rFonts w:eastAsia="楷体_GB2312"/>
      <w:sz w:val="24"/>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link w:val="306"/>
    <w:unhideWhenUsed/>
    <w:qFormat/>
    <w:uiPriority w:val="99"/>
    <w:pPr>
      <w:jc w:val="left"/>
    </w:pPr>
  </w:style>
  <w:style w:type="paragraph" w:styleId="15">
    <w:name w:val="Body Text"/>
    <w:basedOn w:val="1"/>
    <w:next w:val="16"/>
    <w:qFormat/>
    <w:uiPriority w:val="0"/>
    <w:rPr>
      <w:rFonts w:ascii="楷体_GB2312" w:hAnsi="Arial" w:eastAsia="楷体_GB2312"/>
      <w:sz w:val="28"/>
    </w:rPr>
  </w:style>
  <w:style w:type="paragraph" w:customStyle="1" w:styleId="16">
    <w:name w:val="一级条标题"/>
    <w:basedOn w:val="17"/>
    <w:next w:val="18"/>
    <w:qFormat/>
    <w:uiPriority w:val="0"/>
    <w:pPr>
      <w:numPr>
        <w:ilvl w:val="2"/>
      </w:numPr>
    </w:pPr>
    <w:rPr>
      <w:rFonts w:ascii="Calibri" w:hAnsi="Calibri" w:eastAsia="宋体"/>
    </w:rPr>
  </w:style>
  <w:style w:type="paragraph" w:customStyle="1" w:styleId="17">
    <w:name w:val="章标题"/>
    <w:basedOn w:val="1"/>
    <w:next w:val="18"/>
    <w:qFormat/>
    <w:uiPriority w:val="0"/>
    <w:pPr>
      <w:numPr>
        <w:ilvl w:val="1"/>
        <w:numId w:val="1"/>
      </w:numPr>
    </w:pPr>
    <w:rPr>
      <w:rFonts w:ascii="Songti SC" w:hAnsi="Songti SC" w:eastAsia="仿宋"/>
      <w:sz w:val="24"/>
      <w:szCs w:val="24"/>
    </w:rPr>
  </w:style>
  <w:style w:type="paragraph" w:customStyle="1" w:styleId="18">
    <w:name w:val="段"/>
    <w:basedOn w:val="1"/>
    <w:qFormat/>
    <w:uiPriority w:val="0"/>
    <w:pPr>
      <w:ind w:firstLine="200"/>
    </w:pPr>
    <w:rPr>
      <w:rFonts w:hint="eastAsia" w:ascii="宋体" w:eastAsia="宋体"/>
      <w:szCs w:val="20"/>
    </w:rPr>
  </w:style>
  <w:style w:type="paragraph" w:styleId="19">
    <w:name w:val="Body Text Indent"/>
    <w:qFormat/>
    <w:uiPriority w:val="0"/>
    <w:pPr>
      <w:widowControl w:val="0"/>
      <w:snapToGrid w:val="0"/>
      <w:spacing w:line="440" w:lineRule="exact"/>
      <w:ind w:firstLine="403" w:firstLineChars="192"/>
      <w:jc w:val="both"/>
    </w:pPr>
    <w:rPr>
      <w:rFonts w:ascii="宋体" w:hAnsi="宋体" w:eastAsia="宋体" w:cs="Times New Roman"/>
      <w:szCs w:val="21"/>
      <w:lang w:val="en-US" w:eastAsia="zh-CN" w:bidi="ar-SA"/>
    </w:rPr>
  </w:style>
  <w:style w:type="paragraph" w:styleId="20">
    <w:name w:val="toc 5"/>
    <w:basedOn w:val="1"/>
    <w:next w:val="1"/>
    <w:unhideWhenUsed/>
    <w:qFormat/>
    <w:uiPriority w:val="39"/>
    <w:pPr>
      <w:spacing w:after="57"/>
      <w:ind w:left="1134"/>
    </w:pPr>
  </w:style>
  <w:style w:type="paragraph" w:styleId="21">
    <w:name w:val="toc 3"/>
    <w:basedOn w:val="1"/>
    <w:next w:val="1"/>
    <w:unhideWhenUsed/>
    <w:qFormat/>
    <w:uiPriority w:val="39"/>
    <w:pPr>
      <w:spacing w:after="57"/>
      <w:ind w:left="567"/>
    </w:pPr>
  </w:style>
  <w:style w:type="paragraph" w:styleId="22">
    <w:name w:val="Plain Text"/>
    <w:basedOn w:val="1"/>
    <w:qFormat/>
    <w:uiPriority w:val="0"/>
    <w:rPr>
      <w:rFonts w:ascii="宋体" w:hAnsi="Courier New" w:cs="Courier New"/>
    </w:rPr>
  </w:style>
  <w:style w:type="paragraph" w:styleId="23">
    <w:name w:val="toc 8"/>
    <w:basedOn w:val="1"/>
    <w:next w:val="1"/>
    <w:unhideWhenUsed/>
    <w:qFormat/>
    <w:uiPriority w:val="39"/>
    <w:pPr>
      <w:spacing w:after="57"/>
      <w:ind w:left="1984"/>
    </w:pPr>
  </w:style>
  <w:style w:type="paragraph" w:styleId="24">
    <w:name w:val="endnote text"/>
    <w:basedOn w:val="1"/>
    <w:link w:val="192"/>
    <w:semiHidden/>
    <w:unhideWhenUsed/>
    <w:qFormat/>
    <w:uiPriority w:val="99"/>
    <w:rPr>
      <w:sz w:val="20"/>
    </w:rPr>
  </w:style>
  <w:style w:type="paragraph" w:styleId="25">
    <w:name w:val="Balloon Text"/>
    <w:basedOn w:val="1"/>
    <w:link w:val="305"/>
    <w:semiHidden/>
    <w:unhideWhenUsed/>
    <w:qFormat/>
    <w:uiPriority w:val="99"/>
    <w:rPr>
      <w:sz w:val="18"/>
      <w:szCs w:val="18"/>
    </w:rPr>
  </w:style>
  <w:style w:type="paragraph" w:styleId="26">
    <w:name w:val="footer"/>
    <w:basedOn w:val="1"/>
    <w:link w:val="65"/>
    <w:unhideWhenUsed/>
    <w:qFormat/>
    <w:uiPriority w:val="99"/>
    <w:pPr>
      <w:tabs>
        <w:tab w:val="center" w:pos="7143"/>
        <w:tab w:val="right" w:pos="14287"/>
      </w:tabs>
    </w:pPr>
  </w:style>
  <w:style w:type="paragraph" w:styleId="27">
    <w:name w:val="header"/>
    <w:basedOn w:val="1"/>
    <w:link w:val="63"/>
    <w:unhideWhenUsed/>
    <w:qFormat/>
    <w:uiPriority w:val="99"/>
    <w:pPr>
      <w:tabs>
        <w:tab w:val="center" w:pos="7143"/>
        <w:tab w:val="right" w:pos="14287"/>
      </w:tabs>
    </w:pPr>
  </w:style>
  <w:style w:type="paragraph" w:styleId="28">
    <w:name w:val="toc 1"/>
    <w:basedOn w:val="1"/>
    <w:next w:val="1"/>
    <w:unhideWhenUsed/>
    <w:qFormat/>
    <w:uiPriority w:val="39"/>
    <w:pPr>
      <w:spacing w:after="57"/>
    </w:pPr>
  </w:style>
  <w:style w:type="paragraph" w:styleId="29">
    <w:name w:val="toc 4"/>
    <w:basedOn w:val="1"/>
    <w:next w:val="1"/>
    <w:unhideWhenUsed/>
    <w:qFormat/>
    <w:uiPriority w:val="39"/>
    <w:pPr>
      <w:spacing w:after="57"/>
      <w:ind w:left="850"/>
    </w:pPr>
  </w:style>
  <w:style w:type="paragraph" w:styleId="30">
    <w:name w:val="Subtitle"/>
    <w:basedOn w:val="1"/>
    <w:next w:val="1"/>
    <w:link w:val="58"/>
    <w:qFormat/>
    <w:uiPriority w:val="11"/>
    <w:pPr>
      <w:spacing w:before="200" w:after="200"/>
    </w:pPr>
    <w:rPr>
      <w:sz w:val="24"/>
      <w:szCs w:val="24"/>
    </w:rPr>
  </w:style>
  <w:style w:type="paragraph" w:styleId="31">
    <w:name w:val="footnote text"/>
    <w:basedOn w:val="1"/>
    <w:link w:val="191"/>
    <w:semiHidden/>
    <w:unhideWhenUsed/>
    <w:qFormat/>
    <w:uiPriority w:val="99"/>
    <w:pPr>
      <w:spacing w:after="40"/>
    </w:pPr>
    <w:rPr>
      <w:sz w:val="18"/>
    </w:rPr>
  </w:style>
  <w:style w:type="paragraph" w:styleId="32">
    <w:name w:val="toc 6"/>
    <w:basedOn w:val="1"/>
    <w:next w:val="1"/>
    <w:unhideWhenUsed/>
    <w:qFormat/>
    <w:uiPriority w:val="39"/>
    <w:pPr>
      <w:spacing w:after="57"/>
      <w:ind w:left="1417"/>
    </w:pPr>
  </w:style>
  <w:style w:type="paragraph" w:styleId="33">
    <w:name w:val="table of figures"/>
    <w:basedOn w:val="1"/>
    <w:next w:val="1"/>
    <w:unhideWhenUsed/>
    <w:qFormat/>
    <w:uiPriority w:val="99"/>
  </w:style>
  <w:style w:type="paragraph" w:styleId="34">
    <w:name w:val="toc 2"/>
    <w:basedOn w:val="1"/>
    <w:next w:val="1"/>
    <w:unhideWhenUsed/>
    <w:qFormat/>
    <w:uiPriority w:val="39"/>
    <w:pPr>
      <w:spacing w:after="57"/>
      <w:ind w:left="283"/>
    </w:pPr>
  </w:style>
  <w:style w:type="paragraph" w:styleId="35">
    <w:name w:val="toc 9"/>
    <w:basedOn w:val="1"/>
    <w:next w:val="1"/>
    <w:unhideWhenUsed/>
    <w:qFormat/>
    <w:uiPriority w:val="39"/>
    <w:pPr>
      <w:spacing w:after="57"/>
      <w:ind w:left="2268"/>
    </w:pPr>
  </w:style>
  <w:style w:type="paragraph" w:styleId="36">
    <w:name w:val="Normal (Web)"/>
    <w:basedOn w:val="1"/>
    <w:semiHidden/>
    <w:unhideWhenUsed/>
    <w:qFormat/>
    <w:uiPriority w:val="99"/>
    <w:pPr>
      <w:spacing w:beforeAutospacing="1" w:afterAutospacing="1"/>
      <w:jc w:val="left"/>
    </w:pPr>
    <w:rPr>
      <w:sz w:val="24"/>
    </w:rPr>
  </w:style>
  <w:style w:type="paragraph" w:styleId="37">
    <w:name w:val="Title"/>
    <w:basedOn w:val="1"/>
    <w:next w:val="1"/>
    <w:link w:val="57"/>
    <w:qFormat/>
    <w:uiPriority w:val="10"/>
    <w:pPr>
      <w:spacing w:before="300" w:after="200"/>
      <w:contextualSpacing/>
    </w:pPr>
    <w:rPr>
      <w:sz w:val="48"/>
      <w:szCs w:val="48"/>
    </w:rPr>
  </w:style>
  <w:style w:type="paragraph" w:styleId="38">
    <w:name w:val="annotation subject"/>
    <w:basedOn w:val="14"/>
    <w:next w:val="14"/>
    <w:link w:val="307"/>
    <w:semiHidden/>
    <w:unhideWhenUsed/>
    <w:qFormat/>
    <w:uiPriority w:val="99"/>
    <w:rPr>
      <w:b/>
      <w:bCs/>
    </w:rPr>
  </w:style>
  <w:style w:type="table" w:styleId="40">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endnote reference"/>
    <w:semiHidden/>
    <w:unhideWhenUsed/>
    <w:qFormat/>
    <w:uiPriority w:val="99"/>
    <w:rPr>
      <w:vertAlign w:val="superscript"/>
    </w:rPr>
  </w:style>
  <w:style w:type="character" w:styleId="43">
    <w:name w:val="Hyperlink"/>
    <w:basedOn w:val="41"/>
    <w:unhideWhenUsed/>
    <w:qFormat/>
    <w:uiPriority w:val="99"/>
    <w:rPr>
      <w:color w:val="0000FF" w:themeColor="hyperlink"/>
      <w:u w:val="single"/>
      <w14:textFill>
        <w14:solidFill>
          <w14:schemeClr w14:val="hlink"/>
        </w14:solidFill>
      </w14:textFill>
    </w:rPr>
  </w:style>
  <w:style w:type="character" w:styleId="44">
    <w:name w:val="annotation reference"/>
    <w:basedOn w:val="41"/>
    <w:unhideWhenUsed/>
    <w:qFormat/>
    <w:uiPriority w:val="99"/>
    <w:rPr>
      <w:sz w:val="21"/>
      <w:szCs w:val="21"/>
    </w:rPr>
  </w:style>
  <w:style w:type="character" w:styleId="45">
    <w:name w:val="footnote reference"/>
    <w:unhideWhenUsed/>
    <w:qFormat/>
    <w:uiPriority w:val="99"/>
    <w:rPr>
      <w:vertAlign w:val="superscript"/>
    </w:rPr>
  </w:style>
  <w:style w:type="character" w:customStyle="1" w:styleId="46">
    <w:name w:val="标题 1 字符"/>
    <w:link w:val="2"/>
    <w:qFormat/>
    <w:uiPriority w:val="9"/>
    <w:rPr>
      <w:rFonts w:ascii="Arial" w:hAnsi="Arial" w:eastAsia="Arial" w:cs="Arial"/>
      <w:sz w:val="40"/>
      <w:szCs w:val="40"/>
    </w:rPr>
  </w:style>
  <w:style w:type="character" w:customStyle="1" w:styleId="47">
    <w:name w:val="标题 2 字符"/>
    <w:link w:val="3"/>
    <w:qFormat/>
    <w:uiPriority w:val="9"/>
    <w:rPr>
      <w:rFonts w:ascii="Arial" w:hAnsi="Arial" w:eastAsia="Arial" w:cs="Arial"/>
      <w:sz w:val="34"/>
    </w:rPr>
  </w:style>
  <w:style w:type="character" w:customStyle="1" w:styleId="48">
    <w:name w:val="标题 3 字符"/>
    <w:link w:val="4"/>
    <w:qFormat/>
    <w:uiPriority w:val="9"/>
    <w:rPr>
      <w:rFonts w:ascii="Arial" w:hAnsi="Arial" w:eastAsia="Arial" w:cs="Arial"/>
      <w:sz w:val="30"/>
      <w:szCs w:val="30"/>
    </w:rPr>
  </w:style>
  <w:style w:type="character" w:customStyle="1" w:styleId="49">
    <w:name w:val="标题 4 字符"/>
    <w:link w:val="5"/>
    <w:qFormat/>
    <w:uiPriority w:val="9"/>
    <w:rPr>
      <w:rFonts w:ascii="Arial" w:hAnsi="Arial" w:eastAsia="Arial" w:cs="Arial"/>
      <w:b/>
      <w:bCs/>
      <w:sz w:val="26"/>
      <w:szCs w:val="26"/>
    </w:rPr>
  </w:style>
  <w:style w:type="character" w:customStyle="1" w:styleId="50">
    <w:name w:val="标题 5 字符"/>
    <w:link w:val="6"/>
    <w:qFormat/>
    <w:uiPriority w:val="9"/>
    <w:rPr>
      <w:rFonts w:ascii="Arial" w:hAnsi="Arial" w:eastAsia="Arial" w:cs="Arial"/>
      <w:b/>
      <w:bCs/>
      <w:sz w:val="24"/>
      <w:szCs w:val="24"/>
    </w:rPr>
  </w:style>
  <w:style w:type="character" w:customStyle="1" w:styleId="51">
    <w:name w:val="标题 6 字符"/>
    <w:link w:val="7"/>
    <w:qFormat/>
    <w:uiPriority w:val="9"/>
    <w:rPr>
      <w:rFonts w:ascii="Arial" w:hAnsi="Arial" w:eastAsia="Arial" w:cs="Arial"/>
      <w:b/>
      <w:bCs/>
      <w:sz w:val="22"/>
      <w:szCs w:val="22"/>
    </w:rPr>
  </w:style>
  <w:style w:type="character" w:customStyle="1" w:styleId="52">
    <w:name w:val="标题 7 字符"/>
    <w:link w:val="8"/>
    <w:qFormat/>
    <w:uiPriority w:val="9"/>
    <w:rPr>
      <w:rFonts w:ascii="Arial" w:hAnsi="Arial" w:eastAsia="Arial" w:cs="Arial"/>
      <w:b/>
      <w:bCs/>
      <w:i/>
      <w:iCs/>
      <w:sz w:val="22"/>
      <w:szCs w:val="22"/>
    </w:rPr>
  </w:style>
  <w:style w:type="character" w:customStyle="1" w:styleId="53">
    <w:name w:val="标题 8 字符"/>
    <w:link w:val="9"/>
    <w:qFormat/>
    <w:uiPriority w:val="9"/>
    <w:rPr>
      <w:rFonts w:ascii="Arial" w:hAnsi="Arial" w:eastAsia="Arial" w:cs="Arial"/>
      <w:i/>
      <w:iCs/>
      <w:sz w:val="22"/>
      <w:szCs w:val="22"/>
    </w:rPr>
  </w:style>
  <w:style w:type="character" w:customStyle="1" w:styleId="54">
    <w:name w:val="标题 9 字符"/>
    <w:link w:val="10"/>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rPr>
      <w:rFonts w:ascii="Times New Roman" w:hAnsi="Times New Roman" w:eastAsia="宋体" w:cs="Times New Roman"/>
      <w:lang w:val="en-US" w:eastAsia="zh-CN" w:bidi="ar-SA"/>
    </w:rPr>
  </w:style>
  <w:style w:type="character" w:customStyle="1" w:styleId="57">
    <w:name w:val="标题 字符"/>
    <w:link w:val="37"/>
    <w:qFormat/>
    <w:uiPriority w:val="10"/>
    <w:rPr>
      <w:sz w:val="48"/>
      <w:szCs w:val="48"/>
    </w:rPr>
  </w:style>
  <w:style w:type="character" w:customStyle="1" w:styleId="58">
    <w:name w:val="副标题 字符"/>
    <w:link w:val="30"/>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引用 字符"/>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2">
    <w:name w:val="明显引用 字符"/>
    <w:link w:val="61"/>
    <w:qFormat/>
    <w:uiPriority w:val="30"/>
    <w:rPr>
      <w:i/>
    </w:rPr>
  </w:style>
  <w:style w:type="character" w:customStyle="1" w:styleId="63">
    <w:name w:val="页眉 字符"/>
    <w:link w:val="27"/>
    <w:qFormat/>
    <w:uiPriority w:val="99"/>
  </w:style>
  <w:style w:type="character" w:customStyle="1" w:styleId="64">
    <w:name w:val="Footer Char"/>
    <w:qFormat/>
    <w:uiPriority w:val="99"/>
  </w:style>
  <w:style w:type="character" w:customStyle="1" w:styleId="65">
    <w:name w:val="页脚 字符"/>
    <w:link w:val="26"/>
    <w:qFormat/>
    <w:uiPriority w:val="99"/>
  </w:style>
  <w:style w:type="table" w:customStyle="1" w:styleId="66">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无格式表格 1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无格式表格 2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网格表 1 浅色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网格表 5 深色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1">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网格表 7 彩色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18">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清单表 1 浅色1"/>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清单表 2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清单表 3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清单表 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清单表 5 深色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清单表 6 彩色1"/>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清单表 7 彩色1"/>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脚注文本 字符"/>
    <w:link w:val="31"/>
    <w:qFormat/>
    <w:uiPriority w:val="99"/>
    <w:rPr>
      <w:sz w:val="18"/>
    </w:rPr>
  </w:style>
  <w:style w:type="character" w:customStyle="1" w:styleId="192">
    <w:name w:val="尾注文本 字符"/>
    <w:link w:val="24"/>
    <w:qFormat/>
    <w:uiPriority w:val="99"/>
    <w:rPr>
      <w:sz w:val="20"/>
    </w:rPr>
  </w:style>
  <w:style w:type="paragraph" w:customStyle="1" w:styleId="193">
    <w:name w:val="TOC 标题1"/>
    <w:unhideWhenUsed/>
    <w:qFormat/>
    <w:uiPriority w:val="39"/>
    <w:rPr>
      <w:rFonts w:ascii="Times New Roman" w:hAnsi="Times New Roman" w:eastAsia="宋体" w:cs="Times New Roman"/>
      <w:lang w:val="en-US" w:eastAsia="zh-CN" w:bidi="ar-SA"/>
    </w:rPr>
  </w:style>
  <w:style w:type="paragraph" w:customStyle="1" w:styleId="194">
    <w:name w:val="标题 11"/>
    <w:basedOn w:val="1"/>
    <w:next w:val="1"/>
    <w:link w:val="206"/>
    <w:qFormat/>
    <w:uiPriority w:val="0"/>
    <w:pPr>
      <w:keepNext/>
      <w:jc w:val="center"/>
      <w:outlineLvl w:val="0"/>
    </w:pPr>
    <w:rPr>
      <w:rFonts w:ascii="楷体_GB2312" w:eastAsia="楷体_GB2312"/>
      <w:sz w:val="28"/>
      <w:szCs w:val="28"/>
    </w:rPr>
  </w:style>
  <w:style w:type="paragraph" w:customStyle="1" w:styleId="195">
    <w:name w:val="标题 21"/>
    <w:basedOn w:val="1"/>
    <w:next w:val="196"/>
    <w:link w:val="207"/>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96">
    <w:name w:val="正文缩进1"/>
    <w:basedOn w:val="1"/>
    <w:next w:val="1"/>
    <w:link w:val="208"/>
    <w:qFormat/>
    <w:uiPriority w:val="0"/>
    <w:pPr>
      <w:ind w:firstLine="420"/>
    </w:pPr>
  </w:style>
  <w:style w:type="paragraph" w:customStyle="1" w:styleId="197">
    <w:name w:val="标题 31"/>
    <w:basedOn w:val="1"/>
    <w:next w:val="196"/>
    <w:link w:val="209"/>
    <w:qFormat/>
    <w:uiPriority w:val="0"/>
    <w:pPr>
      <w:keepNext/>
      <w:keepLines/>
      <w:spacing w:before="260" w:after="260" w:line="416" w:lineRule="auto"/>
      <w:outlineLvl w:val="2"/>
    </w:pPr>
    <w:rPr>
      <w:b/>
      <w:bCs/>
      <w:sz w:val="32"/>
      <w:szCs w:val="32"/>
    </w:rPr>
  </w:style>
  <w:style w:type="paragraph" w:customStyle="1" w:styleId="198">
    <w:name w:val="标题 41"/>
    <w:basedOn w:val="1"/>
    <w:next w:val="196"/>
    <w:link w:val="210"/>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99">
    <w:name w:val="标题 51"/>
    <w:basedOn w:val="1"/>
    <w:next w:val="196"/>
    <w:link w:val="211"/>
    <w:qFormat/>
    <w:uiPriority w:val="0"/>
    <w:pPr>
      <w:keepNext/>
      <w:outlineLvl w:val="4"/>
    </w:pPr>
    <w:rPr>
      <w:rFonts w:ascii="宋体"/>
      <w:color w:val="000000"/>
      <w:sz w:val="28"/>
      <w:szCs w:val="28"/>
    </w:rPr>
  </w:style>
  <w:style w:type="paragraph" w:customStyle="1" w:styleId="200">
    <w:name w:val="标题 61"/>
    <w:basedOn w:val="1"/>
    <w:next w:val="1"/>
    <w:link w:val="212"/>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201">
    <w:name w:val="标题 71"/>
    <w:basedOn w:val="1"/>
    <w:next w:val="1"/>
    <w:link w:val="213"/>
    <w:qFormat/>
    <w:uiPriority w:val="0"/>
    <w:pPr>
      <w:keepNext/>
      <w:keepLines/>
      <w:numPr>
        <w:ilvl w:val="6"/>
        <w:numId w:val="1"/>
      </w:numPr>
      <w:spacing w:before="240" w:after="64" w:line="320" w:lineRule="auto"/>
      <w:outlineLvl w:val="6"/>
    </w:pPr>
    <w:rPr>
      <w:b/>
      <w:bCs/>
      <w:sz w:val="24"/>
      <w:szCs w:val="24"/>
    </w:rPr>
  </w:style>
  <w:style w:type="paragraph" w:customStyle="1" w:styleId="202">
    <w:name w:val="标题 81"/>
    <w:basedOn w:val="1"/>
    <w:next w:val="1"/>
    <w:link w:val="214"/>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203">
    <w:name w:val="标题 91"/>
    <w:basedOn w:val="1"/>
    <w:next w:val="1"/>
    <w:link w:val="215"/>
    <w:qFormat/>
    <w:uiPriority w:val="0"/>
    <w:pPr>
      <w:keepNext/>
      <w:keepLines/>
      <w:numPr>
        <w:ilvl w:val="8"/>
        <w:numId w:val="1"/>
      </w:numPr>
      <w:spacing w:before="240" w:after="64" w:line="320" w:lineRule="auto"/>
      <w:outlineLvl w:val="8"/>
    </w:pPr>
    <w:rPr>
      <w:rFonts w:ascii="Arial" w:hAnsi="Arial" w:eastAsia="黑体"/>
    </w:rPr>
  </w:style>
  <w:style w:type="character" w:customStyle="1" w:styleId="204">
    <w:name w:val="默认段落字体1"/>
    <w:unhideWhenUsed/>
    <w:qFormat/>
    <w:uiPriority w:val="1"/>
  </w:style>
  <w:style w:type="table" w:customStyle="1" w:styleId="205">
    <w:name w:val="普通表格1"/>
    <w:unhideWhenUsed/>
    <w:qFormat/>
    <w:uiPriority w:val="99"/>
    <w:tblPr>
      <w:tblCellMar>
        <w:top w:w="0" w:type="dxa"/>
        <w:left w:w="0" w:type="dxa"/>
        <w:bottom w:w="0" w:type="dxa"/>
        <w:right w:w="0" w:type="dxa"/>
      </w:tblCellMar>
    </w:tblPr>
  </w:style>
  <w:style w:type="character" w:customStyle="1" w:styleId="206">
    <w:name w:val="标题 1 Char"/>
    <w:link w:val="194"/>
    <w:qFormat/>
    <w:uiPriority w:val="0"/>
    <w:rPr>
      <w:rFonts w:ascii="楷体_GB2312" w:hAnsi="Times New Roman" w:eastAsia="楷体_GB2312" w:cs="Times New Roman"/>
      <w:sz w:val="28"/>
      <w:szCs w:val="28"/>
    </w:rPr>
  </w:style>
  <w:style w:type="character" w:customStyle="1" w:styleId="207">
    <w:name w:val="标题 2 Char"/>
    <w:link w:val="195"/>
    <w:qFormat/>
    <w:uiPriority w:val="0"/>
    <w:rPr>
      <w:rFonts w:ascii="Arial" w:hAnsi="Arial" w:eastAsia="幼圆" w:cs="Arial"/>
      <w:b/>
      <w:bCs/>
      <w:sz w:val="44"/>
      <w:szCs w:val="44"/>
    </w:rPr>
  </w:style>
  <w:style w:type="character" w:customStyle="1" w:styleId="208">
    <w:name w:val="正文缩进 Char"/>
    <w:link w:val="196"/>
    <w:qFormat/>
    <w:uiPriority w:val="0"/>
    <w:rPr>
      <w:rFonts w:ascii="Times New Roman" w:hAnsi="Times New Roman" w:eastAsia="宋体" w:cs="Times New Roman"/>
      <w:szCs w:val="21"/>
    </w:rPr>
  </w:style>
  <w:style w:type="character" w:customStyle="1" w:styleId="209">
    <w:name w:val="标题 3 Char"/>
    <w:link w:val="197"/>
    <w:qFormat/>
    <w:uiPriority w:val="0"/>
    <w:rPr>
      <w:rFonts w:ascii="Times New Roman" w:hAnsi="Times New Roman" w:eastAsia="宋体" w:cs="Times New Roman"/>
      <w:b/>
      <w:bCs/>
      <w:sz w:val="32"/>
      <w:szCs w:val="32"/>
    </w:rPr>
  </w:style>
  <w:style w:type="character" w:customStyle="1" w:styleId="210">
    <w:name w:val="标题 4 Char"/>
    <w:link w:val="198"/>
    <w:qFormat/>
    <w:uiPriority w:val="0"/>
    <w:rPr>
      <w:rFonts w:ascii="Arial" w:hAnsi="Arial" w:eastAsia="黑体" w:cs="Arial"/>
      <w:b/>
      <w:bCs/>
      <w:sz w:val="28"/>
      <w:szCs w:val="28"/>
    </w:rPr>
  </w:style>
  <w:style w:type="character" w:customStyle="1" w:styleId="211">
    <w:name w:val="标题 5 Char"/>
    <w:link w:val="199"/>
    <w:qFormat/>
    <w:uiPriority w:val="0"/>
    <w:rPr>
      <w:rFonts w:ascii="宋体" w:hAnsi="Times New Roman" w:eastAsia="宋体" w:cs="Times New Roman"/>
      <w:color w:val="000000"/>
      <w:sz w:val="28"/>
      <w:szCs w:val="28"/>
    </w:rPr>
  </w:style>
  <w:style w:type="character" w:customStyle="1" w:styleId="212">
    <w:name w:val="标题 6 Char"/>
    <w:link w:val="200"/>
    <w:qFormat/>
    <w:uiPriority w:val="0"/>
    <w:rPr>
      <w:rFonts w:ascii="Arial" w:hAnsi="Arial" w:eastAsia="黑体" w:cs="Times New Roman"/>
      <w:b/>
      <w:bCs/>
      <w:sz w:val="24"/>
      <w:szCs w:val="24"/>
    </w:rPr>
  </w:style>
  <w:style w:type="character" w:customStyle="1" w:styleId="213">
    <w:name w:val="标题 7 Char"/>
    <w:link w:val="201"/>
    <w:qFormat/>
    <w:uiPriority w:val="0"/>
    <w:rPr>
      <w:rFonts w:ascii="Times New Roman" w:hAnsi="Times New Roman" w:eastAsia="宋体" w:cs="Times New Roman"/>
      <w:b/>
      <w:bCs/>
      <w:sz w:val="24"/>
      <w:szCs w:val="24"/>
    </w:rPr>
  </w:style>
  <w:style w:type="character" w:customStyle="1" w:styleId="214">
    <w:name w:val="标题 8 Char"/>
    <w:link w:val="202"/>
    <w:qFormat/>
    <w:uiPriority w:val="0"/>
    <w:rPr>
      <w:rFonts w:ascii="Arial" w:hAnsi="Arial" w:eastAsia="黑体" w:cs="Times New Roman"/>
      <w:sz w:val="24"/>
      <w:szCs w:val="24"/>
    </w:rPr>
  </w:style>
  <w:style w:type="character" w:customStyle="1" w:styleId="215">
    <w:name w:val="标题 9 Char"/>
    <w:link w:val="203"/>
    <w:qFormat/>
    <w:uiPriority w:val="0"/>
    <w:rPr>
      <w:rFonts w:ascii="Arial" w:hAnsi="Arial" w:eastAsia="黑体" w:cs="Times New Roman"/>
      <w:szCs w:val="21"/>
    </w:rPr>
  </w:style>
  <w:style w:type="paragraph" w:customStyle="1" w:styleId="216">
    <w:name w:val="列表 31"/>
    <w:basedOn w:val="1"/>
    <w:qFormat/>
    <w:uiPriority w:val="0"/>
    <w:pPr>
      <w:ind w:left="100" w:hanging="200"/>
    </w:pPr>
  </w:style>
  <w:style w:type="paragraph" w:customStyle="1" w:styleId="217">
    <w:name w:val="目录 71"/>
    <w:basedOn w:val="1"/>
    <w:next w:val="1"/>
    <w:semiHidden/>
    <w:qFormat/>
    <w:uiPriority w:val="0"/>
    <w:pPr>
      <w:ind w:left="1260"/>
      <w:jc w:val="left"/>
    </w:pPr>
  </w:style>
  <w:style w:type="paragraph" w:customStyle="1" w:styleId="218">
    <w:name w:val="文档结构图1"/>
    <w:basedOn w:val="1"/>
    <w:link w:val="219"/>
    <w:semiHidden/>
    <w:qFormat/>
    <w:uiPriority w:val="0"/>
    <w:pPr>
      <w:shd w:val="clear" w:color="auto" w:fill="000080"/>
    </w:pPr>
  </w:style>
  <w:style w:type="character" w:customStyle="1" w:styleId="219">
    <w:name w:val="文档结构图 Char"/>
    <w:link w:val="218"/>
    <w:semiHidden/>
    <w:qFormat/>
    <w:uiPriority w:val="0"/>
    <w:rPr>
      <w:rFonts w:ascii="Times New Roman" w:hAnsi="Times New Roman" w:eastAsia="宋体" w:cs="Times New Roman"/>
      <w:szCs w:val="21"/>
      <w:shd w:val="clear" w:color="auto" w:fill="000080"/>
    </w:rPr>
  </w:style>
  <w:style w:type="paragraph" w:customStyle="1" w:styleId="220">
    <w:name w:val="批注文字1"/>
    <w:basedOn w:val="1"/>
    <w:link w:val="221"/>
    <w:semiHidden/>
    <w:qFormat/>
    <w:uiPriority w:val="0"/>
    <w:pPr>
      <w:jc w:val="left"/>
    </w:pPr>
  </w:style>
  <w:style w:type="character" w:customStyle="1" w:styleId="221">
    <w:name w:val="批注文字 Char"/>
    <w:link w:val="220"/>
    <w:qFormat/>
    <w:uiPriority w:val="0"/>
    <w:rPr>
      <w:rFonts w:ascii="Times New Roman" w:hAnsi="Times New Roman" w:eastAsia="宋体" w:cs="Times New Roman"/>
      <w:szCs w:val="21"/>
    </w:rPr>
  </w:style>
  <w:style w:type="paragraph" w:customStyle="1" w:styleId="222">
    <w:name w:val="正文文本 31"/>
    <w:basedOn w:val="1"/>
    <w:link w:val="223"/>
    <w:qFormat/>
    <w:uiPriority w:val="0"/>
    <w:rPr>
      <w:rFonts w:ascii="仿宋_GB2312" w:hAnsi="Arial" w:eastAsia="仿宋_GB2312"/>
      <w:sz w:val="32"/>
      <w:szCs w:val="32"/>
    </w:rPr>
  </w:style>
  <w:style w:type="character" w:customStyle="1" w:styleId="223">
    <w:name w:val="正文文本 3 Char"/>
    <w:link w:val="222"/>
    <w:qFormat/>
    <w:uiPriority w:val="0"/>
    <w:rPr>
      <w:rFonts w:ascii="仿宋_GB2312" w:hAnsi="Arial" w:eastAsia="仿宋_GB2312" w:cs="Times New Roman"/>
      <w:sz w:val="32"/>
      <w:szCs w:val="32"/>
    </w:rPr>
  </w:style>
  <w:style w:type="paragraph" w:customStyle="1" w:styleId="224">
    <w:name w:val="正文文本1"/>
    <w:basedOn w:val="1"/>
    <w:next w:val="196"/>
    <w:link w:val="225"/>
    <w:qFormat/>
    <w:uiPriority w:val="0"/>
    <w:rPr>
      <w:rFonts w:ascii="楷体_GB2312" w:hAnsi="Arial" w:eastAsia="楷体_GB2312"/>
      <w:sz w:val="28"/>
      <w:szCs w:val="28"/>
    </w:rPr>
  </w:style>
  <w:style w:type="character" w:customStyle="1" w:styleId="225">
    <w:name w:val="正文文本 Char"/>
    <w:link w:val="224"/>
    <w:qFormat/>
    <w:uiPriority w:val="0"/>
    <w:rPr>
      <w:rFonts w:ascii="楷体_GB2312" w:hAnsi="Arial" w:eastAsia="楷体_GB2312" w:cs="Times New Roman"/>
      <w:sz w:val="28"/>
      <w:szCs w:val="28"/>
    </w:rPr>
  </w:style>
  <w:style w:type="paragraph" w:customStyle="1" w:styleId="226">
    <w:name w:val="正文文本缩进1"/>
    <w:basedOn w:val="1"/>
    <w:link w:val="227"/>
    <w:qFormat/>
    <w:uiPriority w:val="0"/>
    <w:pPr>
      <w:ind w:firstLine="645"/>
    </w:pPr>
    <w:rPr>
      <w:rFonts w:ascii="楷体_GB2312" w:eastAsia="楷体_GB2312"/>
      <w:sz w:val="32"/>
      <w:szCs w:val="32"/>
    </w:rPr>
  </w:style>
  <w:style w:type="character" w:customStyle="1" w:styleId="227">
    <w:name w:val="正文文本缩进 Char"/>
    <w:link w:val="226"/>
    <w:qFormat/>
    <w:uiPriority w:val="0"/>
    <w:rPr>
      <w:rFonts w:ascii="楷体_GB2312" w:hAnsi="Times New Roman" w:eastAsia="楷体_GB2312" w:cs="Times New Roman"/>
      <w:sz w:val="32"/>
      <w:szCs w:val="32"/>
    </w:rPr>
  </w:style>
  <w:style w:type="paragraph" w:customStyle="1" w:styleId="228">
    <w:name w:val="列表 21"/>
    <w:basedOn w:val="1"/>
    <w:qFormat/>
    <w:uiPriority w:val="0"/>
    <w:pPr>
      <w:ind w:left="100" w:hanging="200"/>
    </w:pPr>
  </w:style>
  <w:style w:type="paragraph" w:customStyle="1" w:styleId="229">
    <w:name w:val="目录 51"/>
    <w:basedOn w:val="1"/>
    <w:next w:val="1"/>
    <w:semiHidden/>
    <w:qFormat/>
    <w:uiPriority w:val="0"/>
    <w:pPr>
      <w:ind w:left="840"/>
      <w:jc w:val="left"/>
    </w:pPr>
  </w:style>
  <w:style w:type="paragraph" w:customStyle="1" w:styleId="230">
    <w:name w:val="目录 31"/>
    <w:basedOn w:val="1"/>
    <w:next w:val="1"/>
    <w:semiHidden/>
    <w:qFormat/>
    <w:uiPriority w:val="0"/>
    <w:pPr>
      <w:ind w:left="420"/>
      <w:jc w:val="left"/>
    </w:pPr>
    <w:rPr>
      <w:i/>
      <w:iCs/>
      <w:szCs w:val="24"/>
    </w:rPr>
  </w:style>
  <w:style w:type="paragraph" w:customStyle="1" w:styleId="231">
    <w:name w:val="纯文本1"/>
    <w:basedOn w:val="1"/>
    <w:link w:val="232"/>
    <w:qFormat/>
    <w:uiPriority w:val="0"/>
    <w:rPr>
      <w:rFonts w:ascii="宋体" w:hAnsi="Courier New" w:cs="Courier New"/>
    </w:rPr>
  </w:style>
  <w:style w:type="character" w:customStyle="1" w:styleId="232">
    <w:name w:val="纯文本 Char"/>
    <w:link w:val="231"/>
    <w:qFormat/>
    <w:uiPriority w:val="0"/>
    <w:rPr>
      <w:rFonts w:ascii="宋体" w:hAnsi="Courier New" w:eastAsia="宋体" w:cs="Courier New"/>
      <w:szCs w:val="21"/>
    </w:rPr>
  </w:style>
  <w:style w:type="paragraph" w:customStyle="1" w:styleId="233">
    <w:name w:val="目录 81"/>
    <w:basedOn w:val="1"/>
    <w:next w:val="1"/>
    <w:semiHidden/>
    <w:qFormat/>
    <w:uiPriority w:val="0"/>
    <w:pPr>
      <w:ind w:left="1470"/>
      <w:jc w:val="left"/>
    </w:pPr>
  </w:style>
  <w:style w:type="paragraph" w:customStyle="1" w:styleId="234">
    <w:name w:val="日期1"/>
    <w:basedOn w:val="1"/>
    <w:next w:val="1"/>
    <w:link w:val="235"/>
    <w:qFormat/>
    <w:uiPriority w:val="0"/>
    <w:rPr>
      <w:sz w:val="24"/>
      <w:szCs w:val="24"/>
    </w:rPr>
  </w:style>
  <w:style w:type="character" w:customStyle="1" w:styleId="235">
    <w:name w:val="日期 Char"/>
    <w:link w:val="234"/>
    <w:qFormat/>
    <w:uiPriority w:val="0"/>
    <w:rPr>
      <w:rFonts w:ascii="Times New Roman" w:hAnsi="Times New Roman" w:eastAsia="宋体" w:cs="Times New Roman"/>
      <w:sz w:val="24"/>
      <w:szCs w:val="24"/>
    </w:rPr>
  </w:style>
  <w:style w:type="paragraph" w:customStyle="1" w:styleId="236">
    <w:name w:val="正文文本缩进 21"/>
    <w:basedOn w:val="1"/>
    <w:link w:val="237"/>
    <w:qFormat/>
    <w:uiPriority w:val="0"/>
    <w:pPr>
      <w:ind w:left="630" w:firstLine="645"/>
    </w:pPr>
    <w:rPr>
      <w:rFonts w:ascii="Arial" w:hAnsi="Arial" w:eastAsia="仿宋_GB2312" w:cs="Arial"/>
      <w:sz w:val="32"/>
      <w:szCs w:val="32"/>
    </w:rPr>
  </w:style>
  <w:style w:type="character" w:customStyle="1" w:styleId="237">
    <w:name w:val="正文文本缩进 2 Char"/>
    <w:link w:val="236"/>
    <w:qFormat/>
    <w:uiPriority w:val="0"/>
    <w:rPr>
      <w:rFonts w:ascii="Arial" w:hAnsi="Arial" w:eastAsia="仿宋_GB2312" w:cs="Arial"/>
      <w:sz w:val="32"/>
      <w:szCs w:val="32"/>
    </w:rPr>
  </w:style>
  <w:style w:type="paragraph" w:customStyle="1" w:styleId="238">
    <w:name w:val="批注框文本1"/>
    <w:basedOn w:val="1"/>
    <w:link w:val="239"/>
    <w:semiHidden/>
    <w:qFormat/>
    <w:uiPriority w:val="0"/>
    <w:rPr>
      <w:sz w:val="18"/>
      <w:szCs w:val="18"/>
    </w:rPr>
  </w:style>
  <w:style w:type="character" w:customStyle="1" w:styleId="239">
    <w:name w:val="批注框文本 Char"/>
    <w:link w:val="238"/>
    <w:semiHidden/>
    <w:qFormat/>
    <w:uiPriority w:val="0"/>
    <w:rPr>
      <w:rFonts w:ascii="Times New Roman" w:hAnsi="Times New Roman" w:eastAsia="宋体" w:cs="Times New Roman"/>
      <w:sz w:val="18"/>
      <w:szCs w:val="18"/>
    </w:rPr>
  </w:style>
  <w:style w:type="paragraph" w:customStyle="1" w:styleId="240">
    <w:name w:val="页脚1"/>
    <w:basedOn w:val="1"/>
    <w:link w:val="241"/>
    <w:qFormat/>
    <w:uiPriority w:val="99"/>
    <w:pPr>
      <w:tabs>
        <w:tab w:val="center" w:pos="4153"/>
        <w:tab w:val="right" w:pos="8306"/>
      </w:tabs>
      <w:jc w:val="left"/>
    </w:pPr>
    <w:rPr>
      <w:sz w:val="18"/>
      <w:szCs w:val="18"/>
    </w:rPr>
  </w:style>
  <w:style w:type="character" w:customStyle="1" w:styleId="241">
    <w:name w:val="页脚 Char"/>
    <w:link w:val="240"/>
    <w:qFormat/>
    <w:uiPriority w:val="99"/>
    <w:rPr>
      <w:rFonts w:ascii="Times New Roman" w:hAnsi="Times New Roman" w:eastAsia="宋体" w:cs="Times New Roman"/>
      <w:sz w:val="18"/>
      <w:szCs w:val="18"/>
    </w:rPr>
  </w:style>
  <w:style w:type="paragraph" w:customStyle="1" w:styleId="242">
    <w:name w:val="页眉1"/>
    <w:basedOn w:val="1"/>
    <w:link w:val="243"/>
    <w:qFormat/>
    <w:uiPriority w:val="0"/>
    <w:pPr>
      <w:pBdr>
        <w:bottom w:val="single" w:color="000000" w:sz="6" w:space="1"/>
      </w:pBdr>
      <w:tabs>
        <w:tab w:val="center" w:pos="4153"/>
        <w:tab w:val="right" w:pos="8306"/>
      </w:tabs>
      <w:jc w:val="center"/>
    </w:pPr>
    <w:rPr>
      <w:sz w:val="18"/>
      <w:szCs w:val="18"/>
    </w:rPr>
  </w:style>
  <w:style w:type="character" w:customStyle="1" w:styleId="243">
    <w:name w:val="页眉 Char"/>
    <w:link w:val="242"/>
    <w:qFormat/>
    <w:uiPriority w:val="0"/>
    <w:rPr>
      <w:rFonts w:ascii="Times New Roman" w:hAnsi="Times New Roman" w:eastAsia="宋体" w:cs="Times New Roman"/>
      <w:sz w:val="18"/>
      <w:szCs w:val="18"/>
    </w:rPr>
  </w:style>
  <w:style w:type="paragraph" w:customStyle="1" w:styleId="244">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5">
    <w:name w:val="目录 41"/>
    <w:basedOn w:val="1"/>
    <w:next w:val="1"/>
    <w:semiHidden/>
    <w:qFormat/>
    <w:uiPriority w:val="0"/>
    <w:pPr>
      <w:ind w:left="630"/>
      <w:jc w:val="left"/>
    </w:pPr>
  </w:style>
  <w:style w:type="paragraph" w:customStyle="1" w:styleId="246">
    <w:name w:val="列表1"/>
    <w:basedOn w:val="1"/>
    <w:qFormat/>
    <w:uiPriority w:val="0"/>
    <w:pPr>
      <w:ind w:left="200" w:hanging="200"/>
    </w:pPr>
  </w:style>
  <w:style w:type="paragraph" w:customStyle="1" w:styleId="247">
    <w:name w:val="目录 61"/>
    <w:basedOn w:val="1"/>
    <w:next w:val="1"/>
    <w:semiHidden/>
    <w:qFormat/>
    <w:uiPriority w:val="0"/>
    <w:pPr>
      <w:ind w:left="1050"/>
      <w:jc w:val="left"/>
    </w:pPr>
  </w:style>
  <w:style w:type="paragraph" w:customStyle="1" w:styleId="248">
    <w:name w:val="正文文本缩进 31"/>
    <w:basedOn w:val="1"/>
    <w:link w:val="249"/>
    <w:qFormat/>
    <w:uiPriority w:val="0"/>
    <w:pPr>
      <w:ind w:left="645" w:firstLine="645"/>
    </w:pPr>
    <w:rPr>
      <w:rFonts w:ascii="Arial" w:hAnsi="Arial" w:eastAsia="仿宋_GB2312" w:cs="Arial"/>
      <w:color w:val="FFFF00"/>
      <w:sz w:val="32"/>
      <w:szCs w:val="32"/>
    </w:rPr>
  </w:style>
  <w:style w:type="character" w:customStyle="1" w:styleId="249">
    <w:name w:val="正文文本缩进 3 Char"/>
    <w:link w:val="248"/>
    <w:qFormat/>
    <w:uiPriority w:val="0"/>
    <w:rPr>
      <w:rFonts w:ascii="Arial" w:hAnsi="Arial" w:eastAsia="仿宋_GB2312" w:cs="Arial"/>
      <w:color w:val="FFFF00"/>
      <w:sz w:val="32"/>
      <w:szCs w:val="32"/>
    </w:rPr>
  </w:style>
  <w:style w:type="paragraph" w:customStyle="1" w:styleId="250">
    <w:name w:val="图表目录1"/>
    <w:basedOn w:val="1"/>
    <w:next w:val="1"/>
    <w:semiHidden/>
    <w:qFormat/>
    <w:uiPriority w:val="0"/>
    <w:pPr>
      <w:ind w:left="840" w:hanging="420"/>
    </w:pPr>
  </w:style>
  <w:style w:type="paragraph" w:customStyle="1" w:styleId="251">
    <w:name w:val="目录 21"/>
    <w:basedOn w:val="1"/>
    <w:next w:val="1"/>
    <w:semiHidden/>
    <w:qFormat/>
    <w:uiPriority w:val="0"/>
    <w:pPr>
      <w:ind w:left="210"/>
      <w:jc w:val="left"/>
    </w:pPr>
    <w:rPr>
      <w:smallCaps/>
      <w:szCs w:val="24"/>
    </w:rPr>
  </w:style>
  <w:style w:type="paragraph" w:customStyle="1" w:styleId="252">
    <w:name w:val="目录 91"/>
    <w:basedOn w:val="1"/>
    <w:next w:val="1"/>
    <w:semiHidden/>
    <w:qFormat/>
    <w:uiPriority w:val="0"/>
    <w:pPr>
      <w:ind w:left="1680"/>
      <w:jc w:val="left"/>
    </w:pPr>
  </w:style>
  <w:style w:type="paragraph" w:customStyle="1" w:styleId="253">
    <w:name w:val="正文文本 21"/>
    <w:basedOn w:val="1"/>
    <w:link w:val="254"/>
    <w:qFormat/>
    <w:uiPriority w:val="0"/>
    <w:pPr>
      <w:widowControl/>
      <w:jc w:val="center"/>
    </w:pPr>
    <w:rPr>
      <w:rFonts w:ascii="楷体_GB2312" w:eastAsia="楷体_GB2312"/>
      <w:sz w:val="28"/>
      <w:szCs w:val="28"/>
    </w:rPr>
  </w:style>
  <w:style w:type="character" w:customStyle="1" w:styleId="254">
    <w:name w:val="正文文本 2 Char"/>
    <w:link w:val="253"/>
    <w:qFormat/>
    <w:uiPriority w:val="0"/>
    <w:rPr>
      <w:rFonts w:ascii="楷体_GB2312" w:hAnsi="Times New Roman" w:eastAsia="楷体_GB2312" w:cs="Times New Roman"/>
      <w:sz w:val="28"/>
      <w:szCs w:val="28"/>
    </w:rPr>
  </w:style>
  <w:style w:type="paragraph" w:customStyle="1" w:styleId="255">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6">
    <w:name w:val="索引 11"/>
    <w:basedOn w:val="1"/>
    <w:next w:val="1"/>
    <w:semiHidden/>
    <w:qFormat/>
    <w:uiPriority w:val="0"/>
    <w:pPr>
      <w:spacing w:line="240" w:lineRule="atLeast"/>
    </w:pPr>
    <w:rPr>
      <w:b/>
      <w:bCs/>
    </w:rPr>
  </w:style>
  <w:style w:type="paragraph" w:customStyle="1" w:styleId="257">
    <w:name w:val="批注主题1"/>
    <w:basedOn w:val="220"/>
    <w:next w:val="220"/>
    <w:link w:val="258"/>
    <w:semiHidden/>
    <w:qFormat/>
    <w:uiPriority w:val="0"/>
    <w:rPr>
      <w:b/>
      <w:bCs/>
    </w:rPr>
  </w:style>
  <w:style w:type="character" w:customStyle="1" w:styleId="258">
    <w:name w:val="批注主题 Char"/>
    <w:link w:val="257"/>
    <w:semiHidden/>
    <w:qFormat/>
    <w:uiPriority w:val="0"/>
    <w:rPr>
      <w:rFonts w:ascii="Times New Roman" w:hAnsi="Times New Roman" w:eastAsia="宋体" w:cs="Times New Roman"/>
      <w:b/>
      <w:bCs/>
      <w:szCs w:val="21"/>
    </w:rPr>
  </w:style>
  <w:style w:type="paragraph" w:customStyle="1" w:styleId="259">
    <w:name w:val="正文首行缩进1"/>
    <w:basedOn w:val="1"/>
    <w:link w:val="260"/>
    <w:qFormat/>
    <w:uiPriority w:val="0"/>
    <w:pPr>
      <w:spacing w:line="360" w:lineRule="auto"/>
      <w:ind w:firstLine="200"/>
    </w:pPr>
    <w:rPr>
      <w:rFonts w:ascii="仿宋_GB2312" w:eastAsia="仿宋_GB2312"/>
      <w:sz w:val="30"/>
      <w:szCs w:val="30"/>
    </w:rPr>
  </w:style>
  <w:style w:type="character" w:customStyle="1" w:styleId="260">
    <w:name w:val="正文首行缩进 Char"/>
    <w:link w:val="259"/>
    <w:qFormat/>
    <w:uiPriority w:val="0"/>
    <w:rPr>
      <w:rFonts w:ascii="仿宋_GB2312" w:hAnsi="Times New Roman" w:eastAsia="仿宋_GB2312" w:cs="Times New Roman"/>
      <w:sz w:val="30"/>
      <w:szCs w:val="30"/>
    </w:rPr>
  </w:style>
  <w:style w:type="paragraph" w:customStyle="1" w:styleId="261">
    <w:name w:val="正文首行缩进 21"/>
    <w:basedOn w:val="226"/>
    <w:link w:val="262"/>
    <w:qFormat/>
    <w:uiPriority w:val="0"/>
    <w:pPr>
      <w:spacing w:line="360" w:lineRule="auto"/>
      <w:ind w:firstLine="420"/>
    </w:pPr>
    <w:rPr>
      <w:rFonts w:ascii="宋体" w:hAnsi="宋体" w:eastAsia="宋体"/>
      <w:sz w:val="21"/>
      <w:szCs w:val="20"/>
    </w:rPr>
  </w:style>
  <w:style w:type="character" w:customStyle="1" w:styleId="262">
    <w:name w:val="正文首行缩进 2 Char"/>
    <w:link w:val="261"/>
    <w:qFormat/>
    <w:uiPriority w:val="0"/>
    <w:rPr>
      <w:rFonts w:ascii="宋体" w:hAnsi="宋体" w:eastAsia="宋体" w:cs="Times New Roman"/>
      <w:sz w:val="32"/>
      <w:szCs w:val="20"/>
    </w:rPr>
  </w:style>
  <w:style w:type="table" w:customStyle="1" w:styleId="263">
    <w:name w:val="网格型1"/>
    <w:basedOn w:val="205"/>
    <w:qFormat/>
    <w:uiPriority w:val="0"/>
    <w:pPr>
      <w:widowControl w:val="0"/>
      <w:jc w:val="both"/>
    </w:pPr>
  </w:style>
  <w:style w:type="character" w:customStyle="1" w:styleId="264">
    <w:name w:val="要点1"/>
    <w:qFormat/>
    <w:uiPriority w:val="0"/>
    <w:rPr>
      <w:b/>
      <w:bCs/>
    </w:rPr>
  </w:style>
  <w:style w:type="character" w:customStyle="1" w:styleId="265">
    <w:name w:val="页码1"/>
    <w:qFormat/>
    <w:uiPriority w:val="0"/>
  </w:style>
  <w:style w:type="character" w:customStyle="1" w:styleId="266">
    <w:name w:val="已访问的超链接1"/>
    <w:qFormat/>
    <w:uiPriority w:val="0"/>
    <w:rPr>
      <w:color w:val="800080"/>
      <w:u w:val="single"/>
    </w:rPr>
  </w:style>
  <w:style w:type="character" w:customStyle="1" w:styleId="267">
    <w:name w:val="超链接1"/>
    <w:qFormat/>
    <w:uiPriority w:val="0"/>
    <w:rPr>
      <w:color w:val="0000FF"/>
      <w:u w:val="single"/>
    </w:rPr>
  </w:style>
  <w:style w:type="character" w:customStyle="1" w:styleId="268">
    <w:name w:val="批注引用1"/>
    <w:semiHidden/>
    <w:qFormat/>
    <w:uiPriority w:val="0"/>
    <w:rPr>
      <w:sz w:val="21"/>
      <w:szCs w:val="21"/>
    </w:rPr>
  </w:style>
  <w:style w:type="character" w:customStyle="1" w:styleId="269">
    <w:name w:val="font5 Char"/>
    <w:qFormat/>
    <w:uiPriority w:val="0"/>
    <w:rPr>
      <w:rFonts w:ascii="宋体" w:hAnsi="宋体" w:eastAsia="宋体"/>
      <w:sz w:val="28"/>
      <w:szCs w:val="28"/>
      <w:lang w:val="en-US" w:eastAsia="zh-CN" w:bidi="ar-SA"/>
    </w:rPr>
  </w:style>
  <w:style w:type="character" w:customStyle="1" w:styleId="270">
    <w:name w:val="二级目录 Char"/>
    <w:link w:val="271"/>
    <w:qFormat/>
    <w:uiPriority w:val="0"/>
    <w:rPr>
      <w:b/>
      <w:sz w:val="30"/>
      <w:szCs w:val="28"/>
    </w:rPr>
  </w:style>
  <w:style w:type="paragraph" w:customStyle="1" w:styleId="271">
    <w:name w:val="二级目录"/>
    <w:next w:val="1"/>
    <w:link w:val="27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72">
    <w:name w:val="列出段落 Char"/>
    <w:link w:val="273"/>
    <w:qFormat/>
    <w:uiPriority w:val="0"/>
    <w:rPr>
      <w:rFonts w:ascii="Calibri" w:hAnsi="Calibri"/>
      <w:sz w:val="24"/>
      <w:szCs w:val="24"/>
      <w:lang w:eastAsia="en-US" w:bidi="en-US"/>
    </w:rPr>
  </w:style>
  <w:style w:type="paragraph" w:customStyle="1" w:styleId="273">
    <w:name w:val="列出段落1"/>
    <w:basedOn w:val="1"/>
    <w:link w:val="272"/>
    <w:qFormat/>
    <w:uiPriority w:val="0"/>
    <w:pPr>
      <w:widowControl/>
      <w:ind w:left="720"/>
      <w:contextualSpacing/>
      <w:jc w:val="left"/>
    </w:pPr>
    <w:rPr>
      <w:rFonts w:ascii="Calibri" w:hAnsi="Calibri"/>
      <w:sz w:val="24"/>
      <w:szCs w:val="24"/>
      <w:lang w:eastAsia="en-US" w:bidi="en-US"/>
    </w:rPr>
  </w:style>
  <w:style w:type="paragraph" w:customStyle="1" w:styleId="274">
    <w:name w:val="Body Text(ch)"/>
    <w:basedOn w:val="1"/>
    <w:next w:val="224"/>
    <w:qFormat/>
    <w:uiPriority w:val="0"/>
    <w:pPr>
      <w:spacing w:after="120"/>
    </w:pPr>
    <w:rPr>
      <w:rFonts w:ascii="宋体" w:hAnsi="Arial"/>
      <w:bCs/>
      <w:iCs/>
      <w:szCs w:val="24"/>
    </w:rPr>
  </w:style>
  <w:style w:type="paragraph" w:customStyle="1" w:styleId="275">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7">
    <w:name w:val="Char"/>
    <w:basedOn w:val="1"/>
    <w:qFormat/>
    <w:uiPriority w:val="0"/>
    <w:pPr>
      <w:tabs>
        <w:tab w:val="left" w:pos="360"/>
      </w:tabs>
      <w:ind w:firstLine="200"/>
    </w:pPr>
    <w:rPr>
      <w:sz w:val="28"/>
      <w:szCs w:val="30"/>
    </w:rPr>
  </w:style>
  <w:style w:type="paragraph" w:customStyle="1" w:styleId="278">
    <w:name w:val="Char1"/>
    <w:basedOn w:val="218"/>
    <w:qFormat/>
    <w:uiPriority w:val="0"/>
    <w:rPr>
      <w:rFonts w:ascii="Tahoma" w:hAnsi="Tahoma"/>
      <w:sz w:val="24"/>
      <w:szCs w:val="24"/>
    </w:rPr>
  </w:style>
  <w:style w:type="paragraph" w:customStyle="1" w:styleId="27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80">
    <w:name w:val="table_lines"/>
    <w:basedOn w:val="1"/>
    <w:qFormat/>
    <w:uiPriority w:val="0"/>
    <w:pPr>
      <w:widowControl/>
      <w:jc w:val="left"/>
    </w:pPr>
    <w:rPr>
      <w:sz w:val="20"/>
      <w:szCs w:val="20"/>
      <w:lang w:val="de-DE" w:eastAsia="de-DE"/>
    </w:rPr>
  </w:style>
  <w:style w:type="paragraph" w:customStyle="1" w:styleId="281">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8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3">
    <w:name w:val="Char Char Char Char"/>
    <w:basedOn w:val="218"/>
    <w:qFormat/>
    <w:uiPriority w:val="0"/>
    <w:pPr>
      <w:spacing w:line="360" w:lineRule="auto"/>
    </w:pPr>
    <w:rPr>
      <w:rFonts w:ascii="Tahoma" w:hAnsi="Tahoma"/>
      <w:sz w:val="24"/>
      <w:szCs w:val="24"/>
    </w:rPr>
  </w:style>
  <w:style w:type="paragraph" w:customStyle="1" w:styleId="284">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85">
    <w:name w:val="4"/>
    <w:basedOn w:val="1"/>
    <w:next w:val="248"/>
    <w:qFormat/>
    <w:uiPriority w:val="0"/>
    <w:pPr>
      <w:spacing w:line="360" w:lineRule="auto"/>
      <w:ind w:firstLine="420"/>
    </w:pPr>
    <w:rPr>
      <w:color w:val="FF0000"/>
      <w:sz w:val="24"/>
      <w:szCs w:val="24"/>
    </w:rPr>
  </w:style>
  <w:style w:type="paragraph" w:customStyle="1" w:styleId="28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7">
    <w:name w:val="Char Char Char Char Char Char Char Char Char Char"/>
    <w:basedOn w:val="1"/>
    <w:qFormat/>
    <w:uiPriority w:val="0"/>
    <w:pPr>
      <w:spacing w:line="360" w:lineRule="auto"/>
    </w:pPr>
    <w:rPr>
      <w:sz w:val="24"/>
      <w:szCs w:val="20"/>
    </w:rPr>
  </w:style>
  <w:style w:type="paragraph" w:customStyle="1" w:styleId="288">
    <w:name w:val="样式1"/>
    <w:basedOn w:val="1"/>
    <w:qFormat/>
    <w:uiPriority w:val="0"/>
    <w:pPr>
      <w:numPr>
        <w:ilvl w:val="0"/>
        <w:numId w:val="3"/>
      </w:numPr>
    </w:pPr>
    <w:rPr>
      <w:rFonts w:ascii="宋体" w:hAnsi="宋体"/>
    </w:rPr>
  </w:style>
  <w:style w:type="paragraph" w:customStyle="1" w:styleId="28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3">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4">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6">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9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9">
    <w:name w:val="Char Char Char Char1"/>
    <w:basedOn w:val="218"/>
    <w:qFormat/>
    <w:uiPriority w:val="0"/>
    <w:pPr>
      <w:spacing w:line="360" w:lineRule="auto"/>
    </w:pPr>
    <w:rPr>
      <w:rFonts w:ascii="Tahoma" w:hAnsi="Tahoma"/>
      <w:sz w:val="24"/>
      <w:szCs w:val="24"/>
    </w:rPr>
  </w:style>
  <w:style w:type="paragraph" w:customStyle="1" w:styleId="300">
    <w:name w:val="table_1stline"/>
    <w:basedOn w:val="1"/>
    <w:qFormat/>
    <w:uiPriority w:val="0"/>
    <w:pPr>
      <w:widowControl/>
      <w:spacing w:before="120"/>
      <w:jc w:val="left"/>
    </w:pPr>
    <w:rPr>
      <w:bCs/>
      <w:sz w:val="20"/>
      <w:szCs w:val="20"/>
      <w:lang w:val="de-DE" w:eastAsia="de-DE"/>
    </w:rPr>
  </w:style>
  <w:style w:type="paragraph" w:customStyle="1" w:styleId="30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3">
    <w:name w:val="修订1"/>
    <w:semiHidden/>
    <w:qFormat/>
    <w:uiPriority w:val="99"/>
    <w:rPr>
      <w:rFonts w:ascii="Times New Roman" w:hAnsi="Times New Roman" w:eastAsia="宋体" w:cs="Times New Roman"/>
      <w:sz w:val="21"/>
      <w:szCs w:val="21"/>
      <w:lang w:val="en-US" w:eastAsia="zh-CN" w:bidi="ar-SA"/>
    </w:rPr>
  </w:style>
  <w:style w:type="paragraph" w:customStyle="1" w:styleId="304">
    <w:name w:val="无间隔1"/>
    <w:qFormat/>
    <w:uiPriority w:val="99"/>
    <w:pPr>
      <w:widowControl w:val="0"/>
      <w:jc w:val="both"/>
    </w:pPr>
    <w:rPr>
      <w:rFonts w:ascii="Times New Roman" w:hAnsi="Times New Roman" w:eastAsia="宋体" w:cs="Times New Roman"/>
      <w:sz w:val="21"/>
      <w:szCs w:val="21"/>
      <w:lang w:val="en-US" w:eastAsia="zh-CN" w:bidi="ar-SA"/>
    </w:rPr>
  </w:style>
  <w:style w:type="character" w:customStyle="1" w:styleId="305">
    <w:name w:val="批注框文本 字符"/>
    <w:basedOn w:val="41"/>
    <w:link w:val="25"/>
    <w:semiHidden/>
    <w:qFormat/>
    <w:uiPriority w:val="99"/>
    <w:rPr>
      <w:sz w:val="18"/>
      <w:szCs w:val="18"/>
    </w:rPr>
  </w:style>
  <w:style w:type="character" w:customStyle="1" w:styleId="306">
    <w:name w:val="批注文字 字符"/>
    <w:basedOn w:val="41"/>
    <w:link w:val="14"/>
    <w:semiHidden/>
    <w:qFormat/>
    <w:uiPriority w:val="99"/>
    <w:rPr>
      <w:sz w:val="21"/>
      <w:szCs w:val="21"/>
    </w:rPr>
  </w:style>
  <w:style w:type="character" w:customStyle="1" w:styleId="307">
    <w:name w:val="批注主题 字符"/>
    <w:basedOn w:val="306"/>
    <w:link w:val="38"/>
    <w:semiHidden/>
    <w:qFormat/>
    <w:uiPriority w:val="99"/>
    <w:rPr>
      <w:b/>
      <w:bCs/>
      <w:sz w:val="21"/>
      <w:szCs w:val="21"/>
    </w:rPr>
  </w:style>
  <w:style w:type="paragraph" w:customStyle="1" w:styleId="308">
    <w:name w:val="Table Text"/>
    <w:basedOn w:val="1"/>
    <w:autoRedefine/>
    <w:semiHidden/>
    <w:qFormat/>
    <w:uiPriority w:val="0"/>
    <w:rPr>
      <w:rFonts w:ascii="宋体" w:hAnsi="宋体" w:cs="宋体"/>
      <w:sz w:val="24"/>
      <w:lang w:eastAsia="en-US"/>
    </w:rPr>
  </w:style>
  <w:style w:type="table" w:customStyle="1" w:styleId="309">
    <w:name w:val="Table Normal"/>
    <w:autoRedefine/>
    <w:semiHidden/>
    <w:unhideWhenUsed/>
    <w:qFormat/>
    <w:uiPriority w:val="0"/>
    <w:tblPr>
      <w:tblCellMar>
        <w:top w:w="0" w:type="dxa"/>
        <w:left w:w="0" w:type="dxa"/>
        <w:bottom w:w="0" w:type="dxa"/>
        <w:right w:w="0" w:type="dxa"/>
      </w:tblCellMar>
    </w:tblPr>
  </w:style>
  <w:style w:type="paragraph" w:customStyle="1" w:styleId="310">
    <w:name w:val="纯文本11"/>
    <w:basedOn w:val="1"/>
    <w:qFormat/>
    <w:uiPriority w:val="0"/>
    <w:rPr>
      <w:rFonts w:ascii="宋体" w:hAnsi="Courier New"/>
      <w:sz w:val="20"/>
    </w:rPr>
  </w:style>
  <w:style w:type="paragraph" w:customStyle="1" w:styleId="311">
    <w:name w:val="Table Paragraph"/>
    <w:basedOn w:val="1"/>
    <w:qFormat/>
    <w:uiPriority w:val="1"/>
    <w:pPr>
      <w:jc w:val="left"/>
    </w:pPr>
    <w:rPr>
      <w:rFonts w:ascii="宋体" w:hAnsi="宋体" w:cs="宋体"/>
      <w:sz w:val="22"/>
      <w:szCs w:val="22"/>
      <w:lang w:val="zh-CN" w:bidi="zh-CN"/>
    </w:rPr>
  </w:style>
  <w:style w:type="paragraph" w:customStyle="1" w:styleId="312">
    <w:name w:val="Revision"/>
    <w:hidden/>
    <w:unhideWhenUsed/>
    <w:qFormat/>
    <w:uiPriority w:val="99"/>
    <w:rPr>
      <w:rFonts w:ascii="Times New Roman" w:hAnsi="Times New Roman"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Company>
  <Pages>78</Pages>
  <Words>42720</Words>
  <Characters>44526</Characters>
  <Lines>290</Lines>
  <Paragraphs>81</Paragraphs>
  <TotalTime>30</TotalTime>
  <ScaleCrop>false</ScaleCrop>
  <LinksUpToDate>false</LinksUpToDate>
  <CharactersWithSpaces>47024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赵国</dc:creator>
  <cp:lastModifiedBy>Huawei</cp:lastModifiedBy>
  <dcterms:modified xsi:type="dcterms:W3CDTF">2026-08-06T02:50:42Z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eyJoZGlkIjoiOTQxMjQ3MjBiZTE5OGE1NTkyZTJhNTczMjdmNGZmY2MiLCJ1c2VySWQiOiI2MDk1NDI4NTEifQ==</vt:lpwstr>
  </property>
  <property fmtid="{D5CDD505-2E9C-101B-9397-08002B2CF9AE}" pid="3" name="KSOProductBuildVer">
    <vt:lpwstr>2052-12.1.0.28043</vt:lpwstr>
  </property>
  <property fmtid="{D5CDD505-2E9C-101B-9397-08002B2CF9AE}" pid="4" name="ICV">
    <vt:lpwstr>FCD182B755424ADD8800F60D8171911F_13</vt:lpwstr>
  </property>
</Properties>
</file>