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160"/>
        <w:spacing w:line="360" w:lineRule="auto"/>
        <w:rPr>
          <w:rFonts w:hint="eastAsia" w:ascii="宋体" w:hAnsi="宋体" w:eastAsia="宋体" w:cs="CESI黑体-GB2312"/>
          <w:color w:val="000000"/>
          <w:sz w:val="32"/>
          <w:szCs w:val="32"/>
          <w:highlight w:val="none"/>
          <w:lang w:val="en-US" w:eastAsia="zh-CN"/>
        </w:rPr>
      </w:pPr>
      <w:r>
        <w:rPr>
          <w:rFonts w:hint="eastAsia" w:ascii="宋体" w:hAnsi="宋体" w:cs="CESI黑体-GB2312"/>
          <w:color w:val="000000"/>
          <w:sz w:val="32"/>
          <w:szCs w:val="32"/>
          <w:highlight w:val="none"/>
          <w:lang w:val="en-US" w:eastAsia="zh-CN"/>
        </w:rPr>
        <w:t xml:space="preserve"> </w:t>
      </w:r>
      <w:r>
        <w:rPr>
          <w:rFonts w:hint="eastAsia" w:ascii="宋体" w:hAnsi="宋体" w:eastAsia="宋体" w:cs="CESI黑体-GB2312"/>
          <w:color w:val="000000"/>
          <w:sz w:val="32"/>
          <w:szCs w:val="32"/>
          <w:highlight w:val="none"/>
          <w:lang w:val="en-US" w:eastAsia="zh-CN"/>
        </w:rPr>
      </w:r>
      <w:r/>
    </w:p>
    <w:p>
      <w:pPr>
        <w:pStyle w:val="1071"/>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医用氧（液氧）供应服务采购项目</w:t>
      </w:r>
      <w:r>
        <w:rPr>
          <w:rFonts w:hint="eastAsia" w:ascii="宋体" w:hAnsi="宋体" w:eastAsia="宋体"/>
          <w:bCs/>
          <w:color w:val="000000"/>
          <w:sz w:val="36"/>
          <w:szCs w:val="36"/>
          <w:highlight w:val="none"/>
          <w:lang w:val="en-US" w:eastAsia="zh-CN"/>
        </w:rPr>
      </w:r>
      <w:r/>
    </w:p>
    <w:p>
      <w:pPr>
        <w:pStyle w:val="1071"/>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lang w:eastAsia="zh-CN"/>
        </w:rPr>
        <w:t xml:space="preserve">JSZC-320400-CTZB-G2026-0119</w:t>
      </w:r>
      <w:r>
        <w:rPr>
          <w:rFonts w:hint="eastAsia" w:ascii="宋体" w:hAnsi="宋体" w:eastAsia="宋体"/>
          <w:bCs/>
          <w:color w:val="000000"/>
          <w:sz w:val="36"/>
          <w:szCs w:val="36"/>
          <w:highlight w:val="none"/>
          <w:lang w:eastAsia="zh-CN"/>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常州市第一人民医院</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1"/>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1"/>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1"/>
        <w:rPr>
          <w:rFonts w:ascii="宋体" w:hAnsi="宋体"/>
          <w:color w:val="000000"/>
          <w:highlight w:val="none"/>
        </w:rPr>
      </w:pPr>
      <w:r>
        <w:rPr>
          <w:rFonts w:ascii="宋体" w:hAnsi="宋体"/>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3"/>
      <w:r/>
      <w:bookmarkStart w:id="3" w:name="_Hlt100754102"/>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常州市第一人民医院</w:t>
      </w:r>
      <w:r>
        <w:rPr>
          <w:rFonts w:hint="eastAsia" w:ascii="仿宋" w:hAnsi="仿宋" w:eastAsia="仿宋"/>
          <w:color w:val="000000"/>
          <w:sz w:val="32"/>
          <w:szCs w:val="32"/>
          <w:highlight w:val="none"/>
          <w:lang w:eastAsia="zh-CN"/>
        </w:rPr>
        <w:t xml:space="preserve">医用氧（液氧）供应服务采购项目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24</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3"/>
        <w:ind w:firstLine="643"/>
        <w:jc w:val="left"/>
        <w:spacing w:before="240" w:line="360" w:lineRule="auto"/>
        <w:rPr>
          <w:rFonts w:ascii="仿宋" w:hAnsi="仿宋" w:eastAsia="仿宋"/>
          <w:color w:val="000000"/>
          <w:sz w:val="32"/>
          <w:szCs w:val="32"/>
          <w:highlight w:val="none"/>
        </w:rPr>
      </w:pPr>
      <w:r/>
      <w:bookmarkStart w:id="5" w:name="_Toc35393621"/>
      <w:r/>
      <w:bookmarkStart w:id="6" w:name="_Toc35393790"/>
      <w:r/>
      <w:bookmarkStart w:id="7" w:name="_Toc28359002"/>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lang w:eastAsia="zh-CN"/>
        </w:rPr>
        <w:t xml:space="preserve">JSZC-320400-CTZB-G2026-0119</w:t>
      </w:r>
      <w:r>
        <w:rPr>
          <w:rFonts w:hint="eastAsia" w:ascii="仿宋" w:hAnsi="仿宋" w:eastAsia="仿宋"/>
          <w:color w:val="000000"/>
          <w:sz w:val="32"/>
          <w:szCs w:val="32"/>
          <w:highlight w:val="none"/>
          <w:lang w:eastAsia="zh-CN"/>
        </w:rPr>
      </w:r>
      <w:r/>
    </w:p>
    <w:p>
      <w:pPr>
        <w:pStyle w:val="1071"/>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常州市第一人民医院</w:t>
      </w:r>
      <w:r>
        <w:rPr>
          <w:rFonts w:hint="eastAsia" w:ascii="仿宋" w:hAnsi="仿宋" w:eastAsia="仿宋"/>
          <w:color w:val="000000"/>
          <w:sz w:val="32"/>
          <w:szCs w:val="32"/>
          <w:highlight w:val="none"/>
          <w:lang w:eastAsia="zh-CN"/>
        </w:rPr>
        <w:t xml:space="preserve">医用氧（液氧）供应服务采购项目</w:t>
      </w:r>
      <w:r>
        <w:rPr>
          <w:rFonts w:hint="eastAsia" w:ascii="仿宋" w:hAnsi="仿宋" w:eastAsia="仿宋"/>
          <w:color w:val="000000"/>
          <w:sz w:val="32"/>
          <w:szCs w:val="32"/>
          <w:highlight w:val="none"/>
          <w:lang w:eastAsia="zh-CN"/>
        </w:rPr>
      </w:r>
      <w:r/>
    </w:p>
    <w:p>
      <w:pPr>
        <w:pStyle w:val="1071"/>
        <w:ind w:firstLine="640"/>
        <w:spacing w:line="360" w:lineRule="auto"/>
        <w:rPr>
          <w:rFonts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678万元</w:t>
      </w:r>
      <w:r>
        <w:rPr>
          <w:rFonts w:ascii="仿宋" w:hAnsi="仿宋" w:eastAsia="仿宋"/>
          <w:color w:val="000000"/>
          <w:sz w:val="32"/>
          <w:szCs w:val="32"/>
          <w:highlight w:val="none"/>
          <w:lang w:val="en-US" w:eastAsia="zh-CN"/>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s="Times New Roman"/>
          <w:color w:val="000000"/>
          <w:sz w:val="32"/>
          <w:szCs w:val="32"/>
          <w:highlight w:val="none"/>
          <w:lang w:val="en-US" w:eastAsia="zh-CN"/>
        </w:rPr>
        <w:t xml:space="preserve">950元/吨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医用氧（液氧）</w:t>
            </w:r>
            <w:r>
              <w:rPr>
                <w:rFonts w:hint="eastAsia" w:ascii="仿宋" w:hAnsi="仿宋" w:eastAsia="仿宋"/>
                <w:color w:val="000000"/>
                <w:sz w:val="32"/>
                <w:szCs w:val="32"/>
                <w:highlight w:val="none"/>
                <w:lang w:eastAsia="zh-CN"/>
              </w:rPr>
              <w:t xml:space="preserve">供应服务</w:t>
            </w:r>
            <w:r>
              <w:rPr>
                <w:rFonts w:ascii="仿宋" w:hAnsi="仿宋" w:eastAsia="仿宋"/>
                <w:bCs/>
                <w:color w:val="000000"/>
                <w:sz w:val="32"/>
                <w:szCs w:val="32"/>
                <w:highlight w:val="none"/>
              </w:rPr>
            </w:r>
            <w:r/>
          </w:p>
        </w:tc>
        <w:tc>
          <w:tcPr>
            <w:tcW w:w="920" w:type="dxa"/>
            <w:vAlign w:val="center"/>
            <w:textDirection w:val="lrTb"/>
            <w:noWrap w:val="false"/>
          </w:tcPr>
          <w:p>
            <w:pPr>
              <w:pStyle w:val="1071"/>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678</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1"/>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3年</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1"/>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为</w:t>
            </w:r>
            <w:r>
              <w:rPr>
                <w:rFonts w:hint="eastAsia" w:ascii="仿宋" w:hAnsi="仿宋" w:eastAsia="仿宋"/>
                <w:color w:val="000000"/>
                <w:sz w:val="32"/>
                <w:szCs w:val="32"/>
                <w:highlight w:val="none"/>
              </w:rPr>
              <w:t xml:space="preserve">常州市第一人民医院</w:t>
            </w:r>
            <w:r>
              <w:rPr>
                <w:rFonts w:hint="eastAsia" w:ascii="仿宋" w:hAnsi="仿宋" w:eastAsia="仿宋"/>
                <w:color w:val="000000"/>
                <w:sz w:val="32"/>
                <w:szCs w:val="32"/>
                <w:highlight w:val="none"/>
              </w:rPr>
              <w:t xml:space="preserve">提供医用液氧。</w:t>
            </w:r>
            <w:r>
              <w:rPr>
                <w:rFonts w:ascii="仿宋" w:hAnsi="仿宋" w:eastAsia="仿宋"/>
                <w:color w:val="000000"/>
                <w:sz w:val="32"/>
                <w:szCs w:val="32"/>
                <w:highlight w:val="none"/>
              </w:rPr>
            </w:r>
            <w:r/>
          </w:p>
        </w:tc>
      </w:tr>
    </w:tbl>
    <w:p>
      <w:pPr>
        <w:pStyle w:val="1071"/>
        <w:ind w:firstLine="640"/>
        <w:spacing w:line="360" w:lineRule="auto"/>
        <w:rPr>
          <w:rFonts w:ascii="仿宋" w:hAnsi="仿宋" w:eastAsia="仿宋"/>
          <w:color w:val="000000"/>
          <w:sz w:val="32"/>
          <w:szCs w:val="32"/>
          <w:highlight w:val="none"/>
          <w:u w:val="single"/>
          <w:lang w:val="en-US" w:eastAsia="zh-CN"/>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val="en-US" w:eastAsia="zh-CN"/>
        </w:rPr>
        <w:t xml:space="preserve">三年，合同一年一签。</w:t>
      </w:r>
      <w:r>
        <w:rPr>
          <w:rFonts w:ascii="仿宋" w:hAnsi="仿宋" w:eastAsia="仿宋"/>
          <w:color w:val="000000"/>
          <w:sz w:val="32"/>
          <w:szCs w:val="32"/>
          <w:highlight w:val="none"/>
          <w:u w:val="single"/>
          <w:lang w:val="en-US" w:eastAsia="zh-CN"/>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80"/>
      <w:r/>
      <w:bookmarkStart w:id="12" w:name="_Toc35393791"/>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1"/>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提供的货物全部由符合政策要求的中小/小微企业制造、服务全部由符合政策要求的中小/小微企业承接。</w:t>
      </w:r>
      <w:r>
        <w:rPr>
          <w:rFonts w:ascii="仿宋" w:hAnsi="仿宋" w:eastAsia="仿宋"/>
          <w:b/>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1"/>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rPr>
      </w:pPr>
      <w:r>
        <w:rPr>
          <w:rFonts w:ascii="仿宋" w:hAnsi="仿宋" w:eastAsia="仿宋" w:cs="Times New Roman"/>
          <w:b/>
          <w:bCs/>
          <w:color w:val="000000"/>
          <w:sz w:val="32"/>
          <w:szCs w:val="32"/>
          <w:highlight w:val="none"/>
        </w:rPr>
        <w:t xml:space="preserve">3.3其他特定资格要求：</w:t>
      </w:r>
      <w:r>
        <w:rPr>
          <w:rFonts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cs="Times New Roman"/>
          <w:b/>
          <w:bCs/>
          <w:color w:val="000000"/>
          <w:sz w:val="32"/>
          <w:szCs w:val="32"/>
          <w:highlight w:val="none"/>
        </w:rPr>
        <w:t xml:space="preserve">（1）满足以下两项中任意一项要求：</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①如为生产厂商：</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具有有效的《药品生产许可证》、《安全生产许可证》；</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②如为</w:t>
      </w:r>
      <w:r>
        <w:rPr>
          <w:rFonts w:hint="eastAsia" w:ascii="仿宋" w:hAnsi="仿宋" w:eastAsia="仿宋" w:cs="Times New Roman"/>
          <w:b/>
          <w:bCs/>
          <w:color w:val="000000"/>
          <w:sz w:val="32"/>
          <w:szCs w:val="32"/>
          <w:highlight w:val="none"/>
          <w:lang w:val="en-US" w:eastAsia="zh-CN"/>
        </w:rPr>
        <w:t xml:space="preserve">经销商</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具有有效的《药品经营许可证》（经营范围包含医用氧），同时提供所投产品生产厂商的有效《药品生产许可证》、《安全生产许可证》；</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（2）</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具有有效的《危险化学品经营许可证》、</w:t>
      </w:r>
      <w:r>
        <w:rPr>
          <w:rFonts w:hint="eastAsia" w:ascii="仿宋" w:hAnsi="仿宋" w:eastAsia="仿宋" w:cs="Times New Roman"/>
          <w:b/>
          <w:bCs/>
          <w:color w:val="000000"/>
          <w:sz w:val="32"/>
          <w:szCs w:val="32"/>
          <w:highlight w:val="none"/>
          <w:lang w:val="en-US" w:eastAsia="zh-CN"/>
        </w:rPr>
        <w:t xml:space="preserve">《移动式压力容器充装许可证》（含液氧）</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（3）所投医用氧（液氧）有效期内的《药品注册证》或《药品注册批件》或《药品再注册批件》；</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s="Times New Roman"/>
          <w:b/>
          <w:bCs/>
          <w:color w:val="000000"/>
          <w:sz w:val="32"/>
          <w:szCs w:val="32"/>
          <w:highlight w:val="none"/>
        </w:rPr>
        <w:t xml:space="preserve">（4）</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自行运输的，提供《道路运输经营许可证》（经营范围须有危险货物运输项目）或《道路危险货物运输许可证》，若</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委托其他企业运输的，需提供运输企业的上述证件和委托营运协议。</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1"/>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1"/>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1"/>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24</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1"/>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1"/>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3"/>
        <w:ind w:firstLine="643"/>
        <w:jc w:val="left"/>
        <w:spacing w:before="0" w:line="360" w:lineRule="auto"/>
        <w:rPr>
          <w:rFonts w:ascii="仿宋" w:hAnsi="仿宋" w:eastAsia="仿宋"/>
          <w:color w:val="000000"/>
          <w:sz w:val="32"/>
          <w:szCs w:val="32"/>
          <w:highlight w:val="none"/>
        </w:rPr>
      </w:pPr>
      <w:r/>
      <w:bookmarkStart w:id="28" w:name="_Toc28359085"/>
      <w:r/>
      <w:bookmarkStart w:id="29" w:name="_Toc35393627"/>
      <w:r/>
      <w:bookmarkStart w:id="30" w:name="_Toc35393796"/>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1"/>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称：常州市第一人民医院 </w:t>
      </w:r>
      <w:r>
        <w:rPr>
          <w:rFonts w:hint="eastAsia"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址：常州市局前街185号</w:t>
      </w:r>
      <w:r>
        <w:rPr>
          <w:rFonts w:hint="eastAsia"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联</w:t>
      </w:r>
      <w:r>
        <w:rPr>
          <w:rFonts w:hint="eastAsia" w:ascii="仿宋" w:hAnsi="仿宋" w:eastAsia="仿宋" w:cs="Times New Roman"/>
          <w:color w:val="000000"/>
          <w:sz w:val="32"/>
          <w:szCs w:val="32"/>
          <w:highlight w:val="none"/>
        </w:rPr>
        <w:t xml:space="preserve">系方式：蒋女士</w:t>
      </w:r>
      <w:r>
        <w:rPr>
          <w:rFonts w:hint="eastAsia"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rPr>
        <w:t xml:space="preserve">0519</w:t>
      </w:r>
      <w:r>
        <w:rPr>
          <w:rFonts w:hint="eastAsia" w:ascii="仿宋" w:hAnsi="仿宋" w:eastAsia="仿宋" w:cs="Times New Roman"/>
          <w:color w:val="000000"/>
          <w:sz w:val="32"/>
          <w:szCs w:val="32"/>
          <w:highlight w:val="none"/>
          <w:lang w:val="en-US" w:eastAsia="zh-CN"/>
        </w:rPr>
        <w:t xml:space="preserve">-</w:t>
      </w:r>
      <w:r>
        <w:rPr>
          <w:rFonts w:hint="eastAsia" w:ascii="仿宋" w:hAnsi="仿宋" w:eastAsia="仿宋" w:cs="Times New Roman"/>
          <w:color w:val="000000"/>
          <w:sz w:val="32"/>
          <w:szCs w:val="32"/>
          <w:highlight w:val="none"/>
        </w:rPr>
        <w:t xml:space="preserve">68870725</w:t>
      </w:r>
      <w:r>
        <w:rPr>
          <w:rFonts w:hint="eastAsia" w:ascii="仿宋" w:hAnsi="仿宋" w:eastAsia="仿宋" w:cs="Times New Roman"/>
          <w:color w:val="000000"/>
          <w:sz w:val="32"/>
          <w:szCs w:val="32"/>
          <w:highlight w:val="none"/>
          <w:lang w:eastAsia="zh-CN"/>
        </w:rPr>
        <w:t xml:space="preserve">、朱先生</w:t>
      </w:r>
      <w:r>
        <w:rPr>
          <w:rFonts w:hint="eastAsia"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lang w:eastAsia="zh-CN"/>
        </w:rPr>
        <w:t xml:space="preserve">13961299981</w:t>
      </w:r>
      <w:r>
        <w:rPr>
          <w:rFonts w:hint="eastAsia" w:ascii="仿宋" w:hAnsi="仿宋" w:eastAsia="仿宋"/>
          <w:color w:val="000000"/>
          <w:sz w:val="32"/>
          <w:szCs w:val="32"/>
          <w:highlight w:val="none"/>
          <w:lang w:val="en-US" w:eastAsia="zh-CN"/>
        </w:rPr>
      </w:r>
      <w:r/>
    </w:p>
    <w:p>
      <w:pPr>
        <w:pStyle w:val="1071"/>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1"/>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1"/>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1"/>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50774783"/>
      <w:r/>
      <w:bookmarkStart w:id="37" w:name="_Toc305158928"/>
      <w:r/>
      <w:bookmarkStart w:id="38" w:name="_Toc226965856"/>
      <w:r/>
      <w:bookmarkStart w:id="39" w:name="_Toc127161488"/>
      <w:r/>
      <w:bookmarkStart w:id="40" w:name="_Toc265228423"/>
      <w:r/>
      <w:bookmarkStart w:id="41" w:name="_Toc305158854"/>
      <w:r/>
      <w:bookmarkStart w:id="42" w:name="_Toc512937850"/>
      <w:r/>
      <w:bookmarkStart w:id="43" w:name="_Toc264969275"/>
      <w:r/>
      <w:bookmarkStart w:id="44" w:name="_Toc99301420"/>
      <w:r/>
      <w:bookmarkStart w:id="45" w:name="_Toc195842950"/>
      <w:r/>
      <w:bookmarkStart w:id="46" w:name="_Toc127151777"/>
      <w:r/>
      <w:bookmarkStart w:id="47" w:name="_Toc353825548"/>
      <w:r/>
      <w:bookmarkStart w:id="48" w:name="_Toc35387393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3"/>
        <w:spacing w:before="0" w:line="360" w:lineRule="auto"/>
        <w:tabs>
          <w:tab w:val="center" w:pos="4592" w:leader="none"/>
          <w:tab w:val="left" w:pos="7860" w:leader="none"/>
        </w:tabs>
        <w:rPr>
          <w:rFonts w:ascii="宋体" w:hAnsi="宋体" w:eastAsia="宋体"/>
          <w:color w:val="000000"/>
          <w:sz w:val="28"/>
          <w:highlight w:val="none"/>
        </w:rPr>
      </w:pPr>
      <w:r/>
      <w:bookmarkStart w:id="49" w:name="_Toc149720812"/>
      <w:r/>
      <w:bookmarkStart w:id="50" w:name="_Toc150509270"/>
      <w:r/>
      <w:bookmarkStart w:id="51" w:name="_Toc164608788"/>
      <w:r/>
      <w:bookmarkStart w:id="52" w:name="_Toc127151720"/>
      <w:r/>
      <w:bookmarkStart w:id="53" w:name="_Toc520356144"/>
      <w:r/>
      <w:bookmarkStart w:id="54" w:name="_Toc150774724"/>
      <w:r/>
      <w:bookmarkStart w:id="55" w:name="_Toc127151519"/>
      <w:r/>
      <w:bookmarkStart w:id="56" w:name="_Toc226309763"/>
      <w:r/>
      <w:bookmarkStart w:id="57" w:name="_Toc142311021"/>
      <w:r/>
      <w:bookmarkStart w:id="58" w:name="_Toc151193907"/>
      <w:r/>
      <w:bookmarkStart w:id="59" w:name="_Toc151193761"/>
      <w:r/>
      <w:bookmarkStart w:id="60" w:name="_Toc151193833"/>
      <w:r/>
      <w:bookmarkStart w:id="61" w:name="_Toc127161433"/>
      <w:r/>
      <w:bookmarkStart w:id="62" w:name="_Toc150774619"/>
      <w:r/>
      <w:bookmarkStart w:id="63" w:name="_Toc164229214"/>
      <w:r/>
      <w:bookmarkStart w:id="64" w:name="_Toc150480757"/>
      <w:r/>
      <w:bookmarkStart w:id="65" w:name="_Toc151193689"/>
      <w:r/>
      <w:bookmarkStart w:id="66" w:name="_Toc151190146"/>
      <w:r/>
      <w:bookmarkStart w:id="67" w:name="_Toc151193617"/>
      <w:r/>
      <w:bookmarkStart w:id="68" w:name="_Toc226965792"/>
      <w:r/>
      <w:bookmarkStart w:id="69" w:name="_Toc226337215"/>
      <w:r/>
      <w:bookmarkStart w:id="70" w:name="_Toc164229360"/>
      <w:r/>
      <w:bookmarkStart w:id="71" w:name="_Toc164351613"/>
      <w:r/>
      <w:bookmarkStart w:id="72" w:name="_Toc226965709"/>
      <w:r/>
      <w:bookmarkStart w:id="73" w:name="_Toc164608633"/>
      <w:r/>
      <w:bookmarkStart w:id="74" w:name="_Toc19584288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1"/>
        <w:jc w:val="center"/>
        <w:rPr>
          <w:rFonts w:ascii="宋体" w:hAnsi="宋体"/>
          <w:b/>
          <w:color w:val="000000"/>
          <w:sz w:val="28"/>
          <w:szCs w:val="28"/>
          <w:highlight w:val="none"/>
        </w:rPr>
      </w:pPr>
      <w:r>
        <w:rPr>
          <w:rFonts w:ascii="宋体" w:hAnsi="宋体"/>
          <w:b/>
          <w:color w:val="000000"/>
          <w:sz w:val="28"/>
          <w:szCs w:val="28"/>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0"/>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0"/>
              <w:rPr>
                <w:rFonts w:hAnsi="宋体" w:cs="宋体"/>
                <w:color w:val="000000"/>
                <w:sz w:val="24"/>
                <w:szCs w:val="24"/>
                <w:highlight w:val="none"/>
              </w:rPr>
            </w:pPr>
            <w:r>
              <w:rPr>
                <w:rFonts w:hint="eastAsia" w:ascii="宋体" w:hAnsi="宋体" w:cs="宋体"/>
                <w:color w:val="000000"/>
                <w:sz w:val="24"/>
                <w:highlight w:val="none"/>
                <w:lang w:eastAsia="zh-CN"/>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1"/>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0"/>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lang w:val="en-US" w:eastAsia="zh-CN"/>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1"/>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1"/>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3"/>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1"/>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1"/>
              <w:numPr>
                <w:ilvl w:val="0"/>
                <w:numId w:val="9"/>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1"/>
              <w:ind w:firstLine="480"/>
              <w:jc w:val="left"/>
              <w:rPr>
                <w:rFonts w:hint="eastAsia" w:ascii="宋体" w:hAnsi="宋体" w:cs="宋体"/>
                <w:color w:val="000000"/>
                <w:sz w:val="24"/>
                <w:highlight w:val="none"/>
              </w:rPr>
            </w:pPr>
            <w:r>
              <w:rPr>
                <w:rFonts w:hint="eastAsia" w:ascii="宋体" w:hAnsi="宋体" w:cs="宋体"/>
                <w:bCs/>
                <w:color w:val="000000"/>
                <w:sz w:val="24"/>
                <w:highlight w:val="none"/>
              </w:rPr>
              <w:t xml:space="preserve">成交供应商须按其</w:t>
            </w:r>
            <w:r>
              <w:rPr>
                <w:rFonts w:hint="eastAsia" w:ascii="宋体" w:hAnsi="宋体" w:cs="宋体"/>
                <w:bCs/>
                <w:color w:val="000000"/>
                <w:sz w:val="24"/>
                <w:highlight w:val="none"/>
                <w:lang w:val="en-US" w:eastAsia="zh-CN"/>
              </w:rPr>
              <w:t xml:space="preserve">单年预算</w:t>
            </w:r>
            <w:r>
              <w:rPr>
                <w:rFonts w:hint="eastAsia" w:ascii="宋体" w:hAnsi="宋体" w:cs="宋体"/>
                <w:bCs/>
                <w:color w:val="000000"/>
                <w:sz w:val="24"/>
                <w:highlight w:val="none"/>
              </w:rPr>
              <w:t xml:space="preserve">的0.8%计算并支付代理费。代理费按上述计算方法不足人民币3000元的，按人民币3000元收取。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1"/>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1"/>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1"/>
        <w:jc w:val="center"/>
        <w:spacing w:before="240" w:after="240"/>
        <w:rPr>
          <w:rFonts w:hint="eastAsia" w:ascii="宋体" w:hAnsi="宋体" w:cs="宋体"/>
          <w:b/>
          <w:color w:val="000000"/>
          <w:sz w:val="28"/>
          <w:szCs w:val="28"/>
          <w:highlight w:val="none"/>
        </w:rPr>
      </w:pPr>
      <w:r/>
      <w:bookmarkStart w:id="75" w:name="_Toc150480755"/>
      <w:r/>
      <w:bookmarkStart w:id="76" w:name="_Toc265228355"/>
      <w:r/>
      <w:bookmarkStart w:id="77" w:name="_Toc150774722"/>
      <w:r/>
      <w:bookmarkStart w:id="78" w:name="_Toc353873662"/>
      <w:r/>
      <w:bookmarkStart w:id="79" w:name="_Toc226965790"/>
      <w:r/>
      <w:bookmarkStart w:id="80" w:name="_Toc305158785"/>
      <w:r/>
      <w:bookmarkStart w:id="81" w:name="_Toc195842882"/>
      <w:r/>
      <w:bookmarkStart w:id="82" w:name="_Toc226337213"/>
      <w:r/>
      <w:bookmarkStart w:id="83" w:name="_Toc305158859"/>
      <w:r/>
      <w:bookmarkStart w:id="84" w:name="_Toc127151517"/>
      <w:r/>
      <w:bookmarkStart w:id="85" w:name="_Toc142311019"/>
      <w:r/>
      <w:bookmarkStart w:id="86" w:name="_Toc264969207"/>
      <w:r/>
      <w:bookmarkStart w:id="87" w:name="_Toc353873932"/>
      <w:r/>
      <w:bookmarkStart w:id="88" w:name="_Toc35382554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3"/>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265228356"/>
      <w:r/>
      <w:bookmarkStart w:id="92" w:name="_Toc150774618"/>
      <w:r/>
      <w:bookmarkStart w:id="93" w:name="_Toc150774723"/>
      <w:r/>
      <w:bookmarkStart w:id="94" w:name="_Toc151193832"/>
      <w:r/>
      <w:bookmarkStart w:id="95" w:name="_Toc151193616"/>
      <w:r/>
      <w:bookmarkStart w:id="96" w:name="_Toc151193906"/>
      <w:r/>
      <w:bookmarkStart w:id="97" w:name="_Toc151190145"/>
      <w:r/>
      <w:bookmarkStart w:id="98" w:name="_Toc151193760"/>
      <w:r/>
      <w:bookmarkStart w:id="99" w:name="_Toc305158786"/>
      <w:r/>
      <w:bookmarkStart w:id="100" w:name="_Toc226965791"/>
      <w:r/>
      <w:bookmarkStart w:id="101" w:name="_Toc142311020"/>
      <w:r/>
      <w:bookmarkStart w:id="102" w:name="_Toc226309762"/>
      <w:r/>
      <w:bookmarkStart w:id="103" w:name="_Toc150509269"/>
      <w:r/>
      <w:bookmarkStart w:id="104" w:name="_Toc264969208"/>
      <w:r/>
      <w:bookmarkStart w:id="105" w:name="_Toc226337214"/>
      <w:r/>
      <w:bookmarkStart w:id="106" w:name="_Toc150480756"/>
      <w:r/>
      <w:bookmarkStart w:id="107" w:name="_Toc151193688"/>
      <w:r/>
      <w:bookmarkStart w:id="108" w:name="_Toc195842883"/>
      <w:r/>
      <w:bookmarkStart w:id="109" w:name="_Toc305158860"/>
      <w:r/>
      <w:bookmarkStart w:id="110" w:name="_Toc22696570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4969209"/>
      <w:r/>
      <w:bookmarkStart w:id="113" w:name="_Toc305158861"/>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608634"/>
      <w:r/>
      <w:bookmarkStart w:id="116" w:name="_Toc142311022"/>
      <w:r/>
      <w:bookmarkStart w:id="117" w:name="_Toc151193834"/>
      <w:r/>
      <w:bookmarkStart w:id="118" w:name="_Toc226965793"/>
      <w:r/>
      <w:bookmarkStart w:id="119" w:name="_Toc226337216"/>
      <w:r/>
      <w:bookmarkStart w:id="120" w:name="_Toc195842885"/>
      <w:r/>
      <w:bookmarkStart w:id="121" w:name="_Toc150774620"/>
      <w:r/>
      <w:bookmarkStart w:id="122" w:name="_Toc164351614"/>
      <w:r/>
      <w:bookmarkStart w:id="123" w:name="_Toc164229215"/>
      <w:r/>
      <w:bookmarkStart w:id="124" w:name="_Toc264969210"/>
      <w:r/>
      <w:bookmarkStart w:id="125" w:name="_Toc164608789"/>
      <w:r/>
      <w:bookmarkStart w:id="126" w:name="_Toc164229361"/>
      <w:r/>
      <w:bookmarkStart w:id="127" w:name="_Toc127151520"/>
      <w:r/>
      <w:bookmarkStart w:id="128" w:name="_Toc151193908"/>
      <w:r/>
      <w:bookmarkStart w:id="129" w:name="_Toc150774725"/>
      <w:r/>
      <w:bookmarkStart w:id="130" w:name="_Toc127161434"/>
      <w:r/>
      <w:bookmarkStart w:id="131" w:name="_Toc150509271"/>
      <w:r/>
      <w:bookmarkStart w:id="132" w:name="_Toc149720813"/>
      <w:r/>
      <w:bookmarkStart w:id="133" w:name="_Toc305158862"/>
      <w:r/>
      <w:bookmarkStart w:id="134" w:name="_Toc150480758"/>
      <w:r/>
      <w:bookmarkStart w:id="135" w:name="_Toc305158788"/>
      <w:r/>
      <w:bookmarkStart w:id="136" w:name="_Toc151193618"/>
      <w:r/>
      <w:bookmarkStart w:id="137" w:name="_Toc127151721"/>
      <w:r/>
      <w:bookmarkStart w:id="138" w:name="_Toc151193762"/>
      <w:r/>
      <w:bookmarkStart w:id="139" w:name="_Toc226965710"/>
      <w:r/>
      <w:bookmarkStart w:id="140" w:name="_Toc265228358"/>
      <w:r/>
      <w:bookmarkStart w:id="141" w:name="_Toc151190147"/>
      <w:r/>
      <w:bookmarkStart w:id="142" w:name="_Toc151193690"/>
      <w:r/>
      <w:bookmarkStart w:id="143" w:name="_Toc226309764"/>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1193692"/>
      <w:r/>
      <w:bookmarkStart w:id="145" w:name="_Toc226965795"/>
      <w:r/>
      <w:bookmarkStart w:id="146" w:name="_Toc226337218"/>
      <w:r/>
      <w:bookmarkStart w:id="147" w:name="_Toc150774622"/>
      <w:r/>
      <w:bookmarkStart w:id="148" w:name="_Toc151193910"/>
      <w:r/>
      <w:bookmarkStart w:id="149" w:name="_Toc151193836"/>
      <w:r/>
      <w:bookmarkStart w:id="150" w:name="_Toc226965712"/>
      <w:r/>
      <w:bookmarkStart w:id="151" w:name="_Toc226309766"/>
      <w:r/>
      <w:bookmarkStart w:id="152" w:name="_Toc520356146"/>
      <w:r/>
      <w:bookmarkStart w:id="153" w:name="_Toc142311024"/>
      <w:r/>
      <w:bookmarkStart w:id="154" w:name="_Toc151193620"/>
      <w:r/>
      <w:bookmarkStart w:id="155" w:name="_Toc265228360"/>
      <w:r/>
      <w:bookmarkStart w:id="156" w:name="_Toc151190149"/>
      <w:r/>
      <w:bookmarkStart w:id="157" w:name="_Toc151193764"/>
      <w:r/>
      <w:bookmarkStart w:id="158" w:name="_Toc264969212"/>
      <w:r/>
      <w:bookmarkStart w:id="159" w:name="_Toc150480760"/>
      <w:r/>
      <w:bookmarkStart w:id="160" w:name="_Toc150774727"/>
      <w:r/>
      <w:bookmarkStart w:id="161" w:name="_Toc150509273"/>
      <w:r/>
      <w:bookmarkStart w:id="162" w:name="_Toc305158864"/>
      <w:r/>
      <w:bookmarkStart w:id="163" w:name="_Toc195842887"/>
      <w:r/>
      <w:bookmarkStart w:id="164" w:name="_Toc127151522"/>
      <w:r/>
      <w:bookmarkStart w:id="165" w:name="_Toc305158790"/>
      <w:r>
        <w:rPr>
          <w:rFonts w:hint="eastAsia" w:ascii="宋体" w:hAnsi="宋体" w:cs="宋体"/>
          <w:color w:val="000000"/>
          <w:sz w:val="28"/>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11"/>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11"/>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11"/>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11"/>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11"/>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11"/>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1"/>
        <w:numPr>
          <w:ilvl w:val="1"/>
          <w:numId w:val="10"/>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1"/>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1"/>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0150"/>
      <w:r/>
      <w:bookmarkStart w:id="168" w:name="_Toc195842888"/>
      <w:r/>
      <w:bookmarkStart w:id="169" w:name="_Toc264969213"/>
      <w:r/>
      <w:bookmarkStart w:id="170" w:name="_Toc142311025"/>
      <w:r/>
      <w:bookmarkStart w:id="171" w:name="_Toc149720816"/>
      <w:r/>
      <w:bookmarkStart w:id="172" w:name="_Toc305158865"/>
      <w:r/>
      <w:bookmarkStart w:id="173" w:name="_Toc150480761"/>
      <w:r/>
      <w:bookmarkStart w:id="174" w:name="_Toc127151724"/>
      <w:r/>
      <w:bookmarkStart w:id="175" w:name="_Toc520356147"/>
      <w:r/>
      <w:bookmarkStart w:id="176" w:name="_Toc226965796"/>
      <w:r/>
      <w:bookmarkStart w:id="177" w:name="_Toc150774623"/>
      <w:r/>
      <w:bookmarkStart w:id="178" w:name="_Toc164229218"/>
      <w:r/>
      <w:bookmarkStart w:id="179" w:name="_Toc164608792"/>
      <w:r/>
      <w:bookmarkStart w:id="180" w:name="_Toc226337219"/>
      <w:r/>
      <w:bookmarkStart w:id="181" w:name="_Toc305158791"/>
      <w:r/>
      <w:bookmarkStart w:id="182" w:name="_Toc164608637"/>
      <w:r/>
      <w:bookmarkStart w:id="183" w:name="_Toc151193621"/>
      <w:r/>
      <w:bookmarkStart w:id="184" w:name="_Toc226309767"/>
      <w:r/>
      <w:bookmarkStart w:id="185" w:name="_Toc151193693"/>
      <w:r/>
      <w:bookmarkStart w:id="186" w:name="_Toc226965713"/>
      <w:r/>
      <w:bookmarkStart w:id="187" w:name="_Toc151193837"/>
      <w:r/>
      <w:bookmarkStart w:id="188" w:name="_Toc164351617"/>
      <w:r/>
      <w:bookmarkStart w:id="189" w:name="_Toc164229364"/>
      <w:r/>
      <w:bookmarkStart w:id="190" w:name="_Toc127151523"/>
      <w:r/>
      <w:bookmarkStart w:id="191" w:name="_Toc151193765"/>
      <w:r/>
      <w:bookmarkStart w:id="192" w:name="_Toc127161437"/>
      <w:r/>
      <w:bookmarkStart w:id="193" w:name="_Toc265228361"/>
      <w:r/>
      <w:bookmarkStart w:id="194" w:name="_Toc151193911"/>
      <w:r/>
      <w:bookmarkStart w:id="195" w:name="_Toc150509274"/>
      <w:r/>
      <w:bookmarkStart w:id="196" w:name="_Toc15077472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197" w:name="_Toc151190153"/>
      <w:r/>
      <w:bookmarkStart w:id="198" w:name="_Toc265228364"/>
      <w:r/>
      <w:bookmarkStart w:id="199" w:name="_Toc226337222"/>
      <w:r/>
      <w:bookmarkStart w:id="200" w:name="_Toc151193624"/>
      <w:r/>
      <w:bookmarkStart w:id="201" w:name="_Toc150480764"/>
      <w:r/>
      <w:bookmarkStart w:id="202" w:name="_Toc305158794"/>
      <w:r/>
      <w:bookmarkStart w:id="203" w:name="_Toc264969216"/>
      <w:r/>
      <w:bookmarkStart w:id="204" w:name="_Toc127151526"/>
      <w:r/>
      <w:bookmarkStart w:id="205" w:name="_Toc151193768"/>
      <w:r/>
      <w:bookmarkStart w:id="206" w:name="_Toc226309770"/>
      <w:r/>
      <w:bookmarkStart w:id="207" w:name="_Toc151193696"/>
      <w:r/>
      <w:bookmarkStart w:id="208" w:name="_Toc150774731"/>
      <w:r/>
      <w:bookmarkStart w:id="209" w:name="_Toc151193914"/>
      <w:r/>
      <w:bookmarkStart w:id="210" w:name="_Toc516367020"/>
      <w:r/>
      <w:bookmarkStart w:id="211" w:name="_Toc150774626"/>
      <w:r/>
      <w:bookmarkStart w:id="212" w:name="_Toc142311028"/>
      <w:r/>
      <w:bookmarkStart w:id="213" w:name="_Toc226965716"/>
      <w:r/>
      <w:bookmarkStart w:id="214" w:name="_Toc226965799"/>
      <w:r/>
      <w:bookmarkStart w:id="215" w:name="_Toc305158868"/>
      <w:r/>
      <w:bookmarkStart w:id="216" w:name="_Toc520356150"/>
      <w:r/>
      <w:bookmarkStart w:id="217" w:name="_Toc151193840"/>
      <w:r/>
      <w:bookmarkStart w:id="218" w:name="_Toc195842891"/>
      <w:r/>
      <w:bookmarkStart w:id="219" w:name="_Toc150509277"/>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64351621"/>
      <w:r/>
      <w:bookmarkStart w:id="221" w:name="_Toc151193697"/>
      <w:r/>
      <w:bookmarkStart w:id="222" w:name="_Toc226309771"/>
      <w:r/>
      <w:bookmarkStart w:id="223" w:name="_Toc164229222"/>
      <w:r/>
      <w:bookmarkStart w:id="224" w:name="_Toc151193841"/>
      <w:r/>
      <w:bookmarkStart w:id="225" w:name="_Toc164608641"/>
      <w:r/>
      <w:bookmarkStart w:id="226" w:name="_Toc305158795"/>
      <w:r/>
      <w:bookmarkStart w:id="227" w:name="_Toc264969217"/>
      <w:r/>
      <w:bookmarkStart w:id="228" w:name="_Toc151193769"/>
      <w:r/>
      <w:bookmarkStart w:id="229" w:name="_Toc305158869"/>
      <w:r/>
      <w:bookmarkStart w:id="230" w:name="_Toc150774627"/>
      <w:r/>
      <w:bookmarkStart w:id="231" w:name="_Toc149720820"/>
      <w:r/>
      <w:bookmarkStart w:id="232" w:name="_Toc516367021"/>
      <w:r/>
      <w:bookmarkStart w:id="233" w:name="_Toc226965717"/>
      <w:r/>
      <w:bookmarkStart w:id="234" w:name="_Toc151193625"/>
      <w:r/>
      <w:bookmarkStart w:id="235" w:name="_Toc164608796"/>
      <w:r/>
      <w:bookmarkStart w:id="236" w:name="_Toc151193915"/>
      <w:r/>
      <w:bookmarkStart w:id="237" w:name="_Toc150509278"/>
      <w:r/>
      <w:bookmarkStart w:id="238" w:name="_Toc226965800"/>
      <w:r/>
      <w:bookmarkStart w:id="239" w:name="_Toc520356151"/>
      <w:r/>
      <w:bookmarkStart w:id="240" w:name="_Toc127151527"/>
      <w:r/>
      <w:bookmarkStart w:id="241" w:name="_Toc142311029"/>
      <w:r/>
      <w:bookmarkStart w:id="242" w:name="_Toc150480765"/>
      <w:r/>
      <w:bookmarkStart w:id="243" w:name="_Toc265228365"/>
      <w:r/>
      <w:bookmarkStart w:id="244" w:name="_Toc164229368"/>
      <w:r/>
      <w:bookmarkStart w:id="245" w:name="_Toc127151728"/>
      <w:r/>
      <w:bookmarkStart w:id="246" w:name="_Toc151190154"/>
      <w:r/>
      <w:bookmarkStart w:id="247" w:name="_Toc150774732"/>
      <w:r/>
      <w:bookmarkStart w:id="248" w:name="_Toc195842892"/>
      <w:r/>
      <w:bookmarkStart w:id="249" w:name="_Toc226337223"/>
      <w:r/>
      <w:bookmarkStart w:id="250" w:name="_Toc12716144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351622"/>
      <w:r/>
      <w:bookmarkStart w:id="252" w:name="_Toc164608797"/>
      <w:r/>
      <w:bookmarkStart w:id="253" w:name="_Toc142311030"/>
      <w:r/>
      <w:bookmarkStart w:id="254" w:name="_Toc305158796"/>
      <w:r/>
      <w:bookmarkStart w:id="255" w:name="_Toc151193916"/>
      <w:r/>
      <w:bookmarkStart w:id="256" w:name="_Toc151190155"/>
      <w:r/>
      <w:bookmarkStart w:id="257" w:name="_Toc195842893"/>
      <w:r/>
      <w:bookmarkStart w:id="258" w:name="_Ref467306676"/>
      <w:r/>
      <w:bookmarkStart w:id="259" w:name="_Ref467306195"/>
      <w:r/>
      <w:bookmarkStart w:id="260" w:name="_Toc516367022"/>
      <w:r/>
      <w:bookmarkStart w:id="261" w:name="_Toc264969218"/>
      <w:r/>
      <w:bookmarkStart w:id="262" w:name="_Toc151193698"/>
      <w:r/>
      <w:bookmarkStart w:id="263" w:name="_Toc226965718"/>
      <w:r/>
      <w:bookmarkStart w:id="264" w:name="_Toc127151528"/>
      <w:r/>
      <w:bookmarkStart w:id="265" w:name="_Toc164229223"/>
      <w:r/>
      <w:bookmarkStart w:id="266" w:name="_Toc226965801"/>
      <w:r/>
      <w:bookmarkStart w:id="267" w:name="_Toc127151729"/>
      <w:r/>
      <w:bookmarkStart w:id="268" w:name="_Toc149720821"/>
      <w:r/>
      <w:bookmarkStart w:id="269" w:name="_Toc151193842"/>
      <w:r/>
      <w:bookmarkStart w:id="270" w:name="_Toc226309772"/>
      <w:r/>
      <w:bookmarkStart w:id="271" w:name="_Toc150480766"/>
      <w:r/>
      <w:bookmarkStart w:id="272" w:name="_Toc150509279"/>
      <w:r/>
      <w:bookmarkStart w:id="273" w:name="_Toc127161442"/>
      <w:r/>
      <w:bookmarkStart w:id="274" w:name="_Toc265228366"/>
      <w:r/>
      <w:bookmarkStart w:id="275" w:name="_Toc150774733"/>
      <w:r/>
      <w:bookmarkStart w:id="276" w:name="_Toc305158870"/>
      <w:r/>
      <w:bookmarkStart w:id="277" w:name="_Toc150774628"/>
      <w:r/>
      <w:bookmarkStart w:id="278" w:name="_Toc226337224"/>
      <w:r/>
      <w:bookmarkStart w:id="279" w:name="_Toc164608642"/>
      <w:r/>
      <w:bookmarkStart w:id="280" w:name="_Toc151193626"/>
      <w:r/>
      <w:bookmarkStart w:id="281" w:name="_Toc151193770"/>
      <w:r/>
      <w:bookmarkStart w:id="282" w:name="_Toc520356152"/>
      <w:r/>
      <w:bookmarkStart w:id="283" w:name="_Toc164229369"/>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49720823"/>
      <w:r/>
      <w:bookmarkStart w:id="286" w:name="_Toc127161444"/>
      <w:r/>
      <w:bookmarkStart w:id="287" w:name="_Toc164608644"/>
      <w:r/>
      <w:bookmarkStart w:id="288" w:name="_Toc151193700"/>
      <w:r/>
      <w:bookmarkStart w:id="289" w:name="_Toc150774735"/>
      <w:r/>
      <w:bookmarkStart w:id="290" w:name="_Toc150480768"/>
      <w:r/>
      <w:bookmarkStart w:id="291" w:name="_Toc151193628"/>
      <w:r/>
      <w:bookmarkStart w:id="292" w:name="_Toc150774630"/>
      <w:r/>
      <w:bookmarkStart w:id="293" w:name="_Toc127151731"/>
      <w:r/>
      <w:bookmarkStart w:id="294" w:name="_Toc151193772"/>
      <w:r/>
      <w:bookmarkStart w:id="295" w:name="_Toc142311032"/>
      <w:r/>
      <w:bookmarkStart w:id="296" w:name="_Toc151190157"/>
      <w:r/>
      <w:bookmarkStart w:id="297" w:name="_Toc151193844"/>
      <w:r/>
      <w:bookmarkStart w:id="298" w:name="_Toc520356155"/>
      <w:r/>
      <w:bookmarkStart w:id="299" w:name="_Toc164229371"/>
      <w:r/>
      <w:bookmarkStart w:id="300" w:name="_Toc151193918"/>
      <w:r/>
      <w:bookmarkStart w:id="301" w:name="_Toc127151530"/>
      <w:r/>
      <w:bookmarkStart w:id="302" w:name="_Toc195842895"/>
      <w:r/>
      <w:bookmarkStart w:id="303" w:name="_Toc150509281"/>
      <w:r/>
      <w:bookmarkStart w:id="304" w:name="_Toc164608799"/>
      <w:r/>
      <w:bookmarkStart w:id="305" w:name="_Toc164229225"/>
      <w:r/>
      <w:bookmarkStart w:id="306" w:name="_Toc164351624"/>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520356156"/>
      <w:r/>
      <w:bookmarkStart w:id="308" w:name="_Toc150774631"/>
      <w:r/>
      <w:bookmarkStart w:id="309" w:name="_Toc151193773"/>
      <w:r/>
      <w:bookmarkStart w:id="310" w:name="_Toc264969221"/>
      <w:r/>
      <w:bookmarkStart w:id="311" w:name="_Toc164229226"/>
      <w:r/>
      <w:bookmarkStart w:id="312" w:name="_Toc151190158"/>
      <w:r/>
      <w:bookmarkStart w:id="313" w:name="_Toc151193629"/>
      <w:r/>
      <w:bookmarkStart w:id="314" w:name="_Toc127151531"/>
      <w:r/>
      <w:bookmarkStart w:id="315" w:name="_Toc151193701"/>
      <w:r/>
      <w:bookmarkStart w:id="316" w:name="_Toc195842896"/>
      <w:r/>
      <w:bookmarkStart w:id="317" w:name="_Toc265228369"/>
      <w:r/>
      <w:bookmarkStart w:id="318" w:name="_Toc149720824"/>
      <w:r/>
      <w:bookmarkStart w:id="319" w:name="_Toc226965721"/>
      <w:r/>
      <w:bookmarkStart w:id="320" w:name="_Toc142311033"/>
      <w:r/>
      <w:bookmarkStart w:id="321" w:name="_Toc226309775"/>
      <w:r/>
      <w:bookmarkStart w:id="322" w:name="_Toc150480769"/>
      <w:r/>
      <w:bookmarkStart w:id="323" w:name="_Toc226337227"/>
      <w:r/>
      <w:bookmarkStart w:id="324" w:name="_Toc164351625"/>
      <w:r/>
      <w:bookmarkStart w:id="325" w:name="_Toc305158799"/>
      <w:r/>
      <w:bookmarkStart w:id="326" w:name="_Toc151193919"/>
      <w:r/>
      <w:bookmarkStart w:id="327" w:name="_Toc164608645"/>
      <w:r/>
      <w:bookmarkStart w:id="328" w:name="_Toc164608800"/>
      <w:r/>
      <w:bookmarkStart w:id="329" w:name="_Toc226965804"/>
      <w:r/>
      <w:bookmarkStart w:id="330" w:name="_Toc127151732"/>
      <w:r/>
      <w:bookmarkStart w:id="331" w:name="_Toc151193845"/>
      <w:r/>
      <w:bookmarkStart w:id="332" w:name="_Toc127161445"/>
      <w:r/>
      <w:bookmarkStart w:id="333" w:name="_Ref467306513"/>
      <w:r/>
      <w:bookmarkStart w:id="334" w:name="_Toc150774736"/>
      <w:r/>
      <w:bookmarkStart w:id="335" w:name="_Toc150509282"/>
      <w:r/>
      <w:bookmarkStart w:id="336" w:name="_Toc305158873"/>
      <w:r/>
      <w:bookmarkStart w:id="337" w:name="_Toc16422937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1"/>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774737"/>
      <w:r/>
      <w:bookmarkStart w:id="339" w:name="_Toc164229227"/>
      <w:r/>
      <w:bookmarkStart w:id="340" w:name="_Toc151193702"/>
      <w:r/>
      <w:bookmarkStart w:id="341" w:name="_Toc151193846"/>
      <w:r/>
      <w:bookmarkStart w:id="342" w:name="_Toc305158800"/>
      <w:r/>
      <w:bookmarkStart w:id="343" w:name="_Toc150480770"/>
      <w:r/>
      <w:bookmarkStart w:id="344" w:name="_Toc164229373"/>
      <w:r/>
      <w:bookmarkStart w:id="345" w:name="_Toc151193774"/>
      <w:r/>
      <w:bookmarkStart w:id="346" w:name="_Toc195842897"/>
      <w:r/>
      <w:bookmarkStart w:id="347" w:name="_Toc127151532"/>
      <w:r/>
      <w:bookmarkStart w:id="348" w:name="_Toc305158874"/>
      <w:r/>
      <w:bookmarkStart w:id="349" w:name="_Toc264969222"/>
      <w:r/>
      <w:bookmarkStart w:id="350" w:name="_Toc127151733"/>
      <w:r/>
      <w:bookmarkStart w:id="351" w:name="_Toc226965805"/>
      <w:r/>
      <w:bookmarkStart w:id="352" w:name="_Toc151193920"/>
      <w:r/>
      <w:bookmarkStart w:id="353" w:name="_Toc142311034"/>
      <w:r/>
      <w:bookmarkStart w:id="354" w:name="_Toc226309776"/>
      <w:r/>
      <w:bookmarkStart w:id="355" w:name="_Toc164608801"/>
      <w:r/>
      <w:bookmarkStart w:id="356" w:name="_Toc149720825"/>
      <w:r/>
      <w:bookmarkStart w:id="357" w:name="_Toc164608646"/>
      <w:r/>
      <w:bookmarkStart w:id="358" w:name="_Toc150774632"/>
      <w:r/>
      <w:bookmarkStart w:id="359" w:name="_Toc226337228"/>
      <w:r/>
      <w:bookmarkStart w:id="360" w:name="_Toc520356157"/>
      <w:r/>
      <w:bookmarkStart w:id="361" w:name="_Toc150509283"/>
      <w:r/>
      <w:bookmarkStart w:id="362" w:name="_Toc265228370"/>
      <w:r/>
      <w:bookmarkStart w:id="363" w:name="_Toc127161446"/>
      <w:r/>
      <w:bookmarkStart w:id="364" w:name="_Toc151193630"/>
      <w:r/>
      <w:bookmarkStart w:id="365" w:name="_Toc151190159"/>
      <w:r/>
      <w:bookmarkStart w:id="366" w:name="_Toc226965722"/>
      <w:r/>
      <w:bookmarkStart w:id="367" w:name="_Toc164351626"/>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265228371"/>
      <w:r/>
      <w:bookmarkStart w:id="369" w:name="_Toc164608647"/>
      <w:r/>
      <w:bookmarkStart w:id="370" w:name="_Toc127151734"/>
      <w:r/>
      <w:bookmarkStart w:id="371" w:name="_Toc151190160"/>
      <w:r/>
      <w:bookmarkStart w:id="372" w:name="_Toc195842898"/>
      <w:r/>
      <w:bookmarkStart w:id="373" w:name="_Toc226309777"/>
      <w:r/>
      <w:bookmarkStart w:id="374" w:name="_Toc305158875"/>
      <w:r/>
      <w:bookmarkStart w:id="375" w:name="_Toc150774738"/>
      <w:r/>
      <w:bookmarkStart w:id="376" w:name="_Toc226337229"/>
      <w:r/>
      <w:bookmarkStart w:id="377" w:name="_Toc149720826"/>
      <w:r/>
      <w:bookmarkStart w:id="378" w:name="_Toc164351627"/>
      <w:r/>
      <w:bookmarkStart w:id="379" w:name="_Toc142311035"/>
      <w:r/>
      <w:bookmarkStart w:id="380" w:name="_Toc164229374"/>
      <w:r/>
      <w:bookmarkStart w:id="381" w:name="_Toc150480771"/>
      <w:r/>
      <w:bookmarkStart w:id="382" w:name="_Toc150509284"/>
      <w:r/>
      <w:bookmarkStart w:id="383" w:name="_Toc151193775"/>
      <w:r/>
      <w:bookmarkStart w:id="384" w:name="_Toc264969223"/>
      <w:r/>
      <w:bookmarkStart w:id="385" w:name="_Toc150774633"/>
      <w:r/>
      <w:bookmarkStart w:id="386" w:name="_Toc226965806"/>
      <w:r/>
      <w:bookmarkStart w:id="387" w:name="_Toc151193921"/>
      <w:r/>
      <w:bookmarkStart w:id="388" w:name="_Toc520356158"/>
      <w:r/>
      <w:bookmarkStart w:id="389" w:name="_Toc151193847"/>
      <w:r/>
      <w:bookmarkStart w:id="390" w:name="_Toc127161447"/>
      <w:r/>
      <w:bookmarkStart w:id="391" w:name="_Toc151193631"/>
      <w:r/>
      <w:bookmarkStart w:id="392" w:name="_Toc127151533"/>
      <w:r/>
      <w:bookmarkStart w:id="393" w:name="_Toc164608802"/>
      <w:r/>
      <w:bookmarkStart w:id="394" w:name="_Toc151193703"/>
      <w:r/>
      <w:bookmarkStart w:id="395" w:name="_Toc305158801"/>
      <w:r/>
      <w:bookmarkStart w:id="396" w:name="_Toc164229228"/>
      <w:r/>
      <w:bookmarkStart w:id="397" w:name="_Toc226965723"/>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26309778"/>
      <w:r/>
      <w:bookmarkStart w:id="399" w:name="_Toc150509285"/>
      <w:r/>
      <w:bookmarkStart w:id="400" w:name="_Toc151193922"/>
      <w:r/>
      <w:bookmarkStart w:id="401" w:name="_Toc305158876"/>
      <w:r/>
      <w:bookmarkStart w:id="402" w:name="_Toc151193776"/>
      <w:r/>
      <w:bookmarkStart w:id="403" w:name="_Toc142311036"/>
      <w:r/>
      <w:bookmarkStart w:id="404" w:name="_Toc226965807"/>
      <w:r/>
      <w:bookmarkStart w:id="405" w:name="_Toc151193848"/>
      <w:r/>
      <w:bookmarkStart w:id="406" w:name="_Toc264969224"/>
      <w:r/>
      <w:bookmarkStart w:id="407" w:name="_Toc520356159"/>
      <w:r/>
      <w:bookmarkStart w:id="408" w:name="_Toc150774739"/>
      <w:r/>
      <w:bookmarkStart w:id="409" w:name="_Toc151190161"/>
      <w:r/>
      <w:bookmarkStart w:id="410" w:name="_Toc151193632"/>
      <w:r/>
      <w:bookmarkStart w:id="411" w:name="_Toc151193704"/>
      <w:r/>
      <w:bookmarkStart w:id="412" w:name="_Toc305158802"/>
      <w:r/>
      <w:bookmarkStart w:id="413" w:name="_Toc150480772"/>
      <w:r/>
      <w:bookmarkStart w:id="414" w:name="_Toc127151534"/>
      <w:r/>
      <w:bookmarkStart w:id="415" w:name="_Toc150774634"/>
      <w:r/>
      <w:bookmarkStart w:id="416" w:name="_Toc265228372"/>
      <w:r/>
      <w:bookmarkStart w:id="417" w:name="_Toc195842899"/>
      <w:r/>
      <w:bookmarkStart w:id="418" w:name="_Toc226337230"/>
      <w:r/>
      <w:bookmarkStart w:id="419" w:name="_Toc2269657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1"/>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27151535"/>
      <w:r/>
      <w:bookmarkStart w:id="421" w:name="_Toc150774740"/>
      <w:r/>
      <w:bookmarkStart w:id="422" w:name="_Toc151193923"/>
      <w:r/>
      <w:bookmarkStart w:id="423" w:name="_Toc151193777"/>
      <w:r/>
      <w:bookmarkStart w:id="424" w:name="_Toc264969225"/>
      <w:r/>
      <w:bookmarkStart w:id="425" w:name="_Toc265228373"/>
      <w:r/>
      <w:bookmarkStart w:id="426" w:name="_Toc305158877"/>
      <w:r/>
      <w:bookmarkStart w:id="427" w:name="_Toc149720828"/>
      <w:r/>
      <w:bookmarkStart w:id="428" w:name="_Toc226337231"/>
      <w:r/>
      <w:bookmarkStart w:id="429" w:name="_Toc164608804"/>
      <w:r/>
      <w:bookmarkStart w:id="430" w:name="_Toc151193849"/>
      <w:r/>
      <w:bookmarkStart w:id="431" w:name="_Toc226309779"/>
      <w:r/>
      <w:bookmarkStart w:id="432" w:name="_Toc150774635"/>
      <w:r/>
      <w:bookmarkStart w:id="433" w:name="_Toc305158803"/>
      <w:r/>
      <w:bookmarkStart w:id="434" w:name="_Toc520356160"/>
      <w:r/>
      <w:bookmarkStart w:id="435" w:name="_Toc151190162"/>
      <w:r/>
      <w:bookmarkStart w:id="436" w:name="_Toc127161449"/>
      <w:r/>
      <w:bookmarkStart w:id="437" w:name="_Toc150509286"/>
      <w:r/>
      <w:bookmarkStart w:id="438" w:name="_Toc226965725"/>
      <w:r/>
      <w:bookmarkStart w:id="439" w:name="_Toc164229230"/>
      <w:r/>
      <w:bookmarkStart w:id="440" w:name="_Toc195842900"/>
      <w:r/>
      <w:bookmarkStart w:id="441" w:name="_Toc151193705"/>
      <w:r/>
      <w:bookmarkStart w:id="442" w:name="_Toc151193633"/>
      <w:r/>
      <w:bookmarkStart w:id="443" w:name="_Toc226965808"/>
      <w:r/>
      <w:bookmarkStart w:id="444" w:name="_Toc164351629"/>
      <w:r/>
      <w:bookmarkStart w:id="445" w:name="_Toc164608649"/>
      <w:r/>
      <w:bookmarkStart w:id="446" w:name="_Toc142311037"/>
      <w:r/>
      <w:bookmarkStart w:id="447" w:name="_Toc164229376"/>
      <w:r/>
      <w:bookmarkStart w:id="448" w:name="_Toc150480773"/>
      <w:r/>
      <w:bookmarkStart w:id="449" w:name="_Toc127151736"/>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634"/>
      <w:r/>
      <w:bookmarkStart w:id="451" w:name="_Toc195842901"/>
      <w:r/>
      <w:bookmarkStart w:id="452" w:name="_Toc142311038"/>
      <w:r/>
      <w:bookmarkStart w:id="453" w:name="_Toc127151536"/>
      <w:r/>
      <w:bookmarkStart w:id="454" w:name="_Toc305158878"/>
      <w:r/>
      <w:bookmarkStart w:id="455" w:name="_Toc226309780"/>
      <w:r/>
      <w:bookmarkStart w:id="456" w:name="_Toc265228374"/>
      <w:r/>
      <w:bookmarkStart w:id="457" w:name="_Toc151193850"/>
      <w:r/>
      <w:bookmarkStart w:id="458" w:name="_Toc305158804"/>
      <w:r/>
      <w:bookmarkStart w:id="459" w:name="_Toc150480774"/>
      <w:r/>
      <w:bookmarkStart w:id="460" w:name="_Toc150509287"/>
      <w:r/>
      <w:bookmarkStart w:id="461" w:name="_Toc149720829"/>
      <w:r/>
      <w:bookmarkStart w:id="462" w:name="_Toc164608650"/>
      <w:r/>
      <w:bookmarkStart w:id="463" w:name="_Toc127151737"/>
      <w:r/>
      <w:bookmarkStart w:id="464" w:name="_Toc226965726"/>
      <w:r/>
      <w:bookmarkStart w:id="465" w:name="_Toc520356161"/>
      <w:r/>
      <w:bookmarkStart w:id="466" w:name="_Toc164229377"/>
      <w:r/>
      <w:bookmarkStart w:id="467" w:name="_Toc151190163"/>
      <w:r/>
      <w:bookmarkStart w:id="468" w:name="_Toc127161450"/>
      <w:r/>
      <w:bookmarkStart w:id="469" w:name="_Toc151193924"/>
      <w:r/>
      <w:bookmarkStart w:id="470" w:name="_Toc226337232"/>
      <w:r/>
      <w:bookmarkStart w:id="471" w:name="_Toc226965809"/>
      <w:r/>
      <w:bookmarkStart w:id="472" w:name="_Toc150774636"/>
      <w:r/>
      <w:bookmarkStart w:id="473" w:name="_Toc164229231"/>
      <w:r/>
      <w:bookmarkStart w:id="474" w:name="_Toc151193778"/>
      <w:r/>
      <w:bookmarkStart w:id="475" w:name="_Toc264969226"/>
      <w:r/>
      <w:bookmarkStart w:id="476" w:name="_Toc164351630"/>
      <w:r/>
      <w:bookmarkStart w:id="477" w:name="_Toc164608805"/>
      <w:r/>
      <w:bookmarkStart w:id="478" w:name="_Toc150774741"/>
      <w:r/>
      <w:bookmarkStart w:id="479" w:name="_Toc151193706"/>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95842902"/>
      <w:r/>
      <w:bookmarkStart w:id="481" w:name="_Toc226337233"/>
      <w:r/>
      <w:bookmarkStart w:id="482" w:name="_Toc520356162"/>
      <w:r/>
      <w:bookmarkStart w:id="483" w:name="_Toc226965727"/>
      <w:r/>
      <w:bookmarkStart w:id="484" w:name="_Toc164608806"/>
      <w:r/>
      <w:bookmarkStart w:id="485" w:name="_Toc164229232"/>
      <w:r/>
      <w:bookmarkStart w:id="486" w:name="_Toc164351631"/>
      <w:r/>
      <w:bookmarkStart w:id="487" w:name="_Toc226965810"/>
      <w:r/>
      <w:bookmarkStart w:id="488" w:name="_Toc149720830"/>
      <w:r/>
      <w:bookmarkStart w:id="489" w:name="_Toc151193851"/>
      <w:r/>
      <w:bookmarkStart w:id="490" w:name="_Toc127161451"/>
      <w:r/>
      <w:bookmarkStart w:id="491" w:name="_Toc151190164"/>
      <w:r/>
      <w:bookmarkStart w:id="492" w:name="_Toc164608651"/>
      <w:r/>
      <w:bookmarkStart w:id="493" w:name="_Toc150774637"/>
      <w:r/>
      <w:bookmarkStart w:id="494" w:name="_Toc264969227"/>
      <w:r/>
      <w:bookmarkStart w:id="495" w:name="_Toc142311039"/>
      <w:r/>
      <w:bookmarkStart w:id="496" w:name="_Toc150774742"/>
      <w:r/>
      <w:bookmarkStart w:id="497" w:name="_Toc305158879"/>
      <w:r/>
      <w:bookmarkStart w:id="498" w:name="_Toc151193707"/>
      <w:r/>
      <w:bookmarkStart w:id="499" w:name="_Toc150480775"/>
      <w:r/>
      <w:bookmarkStart w:id="500" w:name="_Toc226309781"/>
      <w:r/>
      <w:bookmarkStart w:id="501" w:name="_Toc151193779"/>
      <w:r/>
      <w:bookmarkStart w:id="502" w:name="_Toc151193635"/>
      <w:r/>
      <w:bookmarkStart w:id="503" w:name="_Toc127151738"/>
      <w:r/>
      <w:bookmarkStart w:id="504" w:name="_Toc150509288"/>
      <w:r/>
      <w:bookmarkStart w:id="505" w:name="_Toc151193925"/>
      <w:r/>
      <w:bookmarkStart w:id="506" w:name="_Toc164229378"/>
      <w:r/>
      <w:bookmarkStart w:id="507" w:name="_Toc127151537"/>
      <w:r/>
      <w:bookmarkStart w:id="508" w:name="_Toc265228375"/>
      <w:r/>
      <w:bookmarkStart w:id="509" w:name="_Toc305158805"/>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10" w:name="_Toc151193636"/>
      <w:r/>
      <w:bookmarkStart w:id="511" w:name="_Toc150480776"/>
      <w:r/>
      <w:bookmarkStart w:id="512" w:name="_Toc305158806"/>
      <w:r/>
      <w:bookmarkStart w:id="513" w:name="_Toc195842903"/>
      <w:r/>
      <w:bookmarkStart w:id="514" w:name="_Toc151193780"/>
      <w:r/>
      <w:bookmarkStart w:id="515" w:name="_Toc150509289"/>
      <w:r/>
      <w:bookmarkStart w:id="516" w:name="_Toc151193926"/>
      <w:r/>
      <w:bookmarkStart w:id="517" w:name="_Toc226309782"/>
      <w:r/>
      <w:bookmarkStart w:id="518" w:name="_Toc150774638"/>
      <w:r/>
      <w:bookmarkStart w:id="519" w:name="_Toc150774743"/>
      <w:r/>
      <w:bookmarkStart w:id="520" w:name="_Toc142311040"/>
      <w:r/>
      <w:bookmarkStart w:id="521" w:name="_Toc226965811"/>
      <w:r/>
      <w:bookmarkStart w:id="522" w:name="_Toc226965728"/>
      <w:r/>
      <w:bookmarkStart w:id="523" w:name="_Toc151190165"/>
      <w:r/>
      <w:bookmarkStart w:id="524" w:name="_Toc226337234"/>
      <w:r/>
      <w:bookmarkStart w:id="525" w:name="_Toc264969228"/>
      <w:r/>
      <w:bookmarkStart w:id="526" w:name="_Toc127151538"/>
      <w:r/>
      <w:bookmarkStart w:id="527" w:name="_Toc265228376"/>
      <w:r/>
      <w:bookmarkStart w:id="528" w:name="_Toc151193852"/>
      <w:r/>
      <w:bookmarkStart w:id="529" w:name="_Toc520356163"/>
      <w:r/>
      <w:bookmarkStart w:id="530" w:name="_Toc305158880"/>
      <w:r/>
      <w:bookmarkStart w:id="531" w:name="_Toc15119370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0480777"/>
      <w:r/>
      <w:bookmarkStart w:id="533" w:name="_Toc265228377"/>
      <w:r/>
      <w:bookmarkStart w:id="534" w:name="_Toc151193637"/>
      <w:r/>
      <w:bookmarkStart w:id="535" w:name="_Toc151193853"/>
      <w:r/>
      <w:bookmarkStart w:id="536" w:name="_Toc142311041"/>
      <w:r/>
      <w:bookmarkStart w:id="537" w:name="_Toc127161453"/>
      <w:r/>
      <w:bookmarkStart w:id="538" w:name="_Toc164229380"/>
      <w:r/>
      <w:bookmarkStart w:id="539" w:name="_Toc151193781"/>
      <w:r/>
      <w:bookmarkStart w:id="540" w:name="_Toc127151740"/>
      <w:r/>
      <w:bookmarkStart w:id="541" w:name="_Toc195842904"/>
      <w:r/>
      <w:bookmarkStart w:id="542" w:name="_Toc149720832"/>
      <w:r/>
      <w:bookmarkStart w:id="543" w:name="_Toc150774744"/>
      <w:r/>
      <w:bookmarkStart w:id="544" w:name="_Toc151193709"/>
      <w:r/>
      <w:bookmarkStart w:id="545" w:name="_Toc164351633"/>
      <w:r/>
      <w:bookmarkStart w:id="546" w:name="_Toc151193927"/>
      <w:r/>
      <w:bookmarkStart w:id="547" w:name="_Toc226965812"/>
      <w:r/>
      <w:bookmarkStart w:id="548" w:name="_Toc226309783"/>
      <w:r/>
      <w:bookmarkStart w:id="549" w:name="_Toc226337235"/>
      <w:r/>
      <w:bookmarkStart w:id="550" w:name="_Toc150509290"/>
      <w:r/>
      <w:bookmarkStart w:id="551" w:name="_Toc264969229"/>
      <w:r/>
      <w:bookmarkStart w:id="552" w:name="_Toc151190166"/>
      <w:r/>
      <w:bookmarkStart w:id="553" w:name="_Toc127151539"/>
      <w:r/>
      <w:bookmarkStart w:id="554" w:name="_Toc305158807"/>
      <w:r/>
      <w:bookmarkStart w:id="555" w:name="_Toc150774639"/>
      <w:r/>
      <w:bookmarkStart w:id="556" w:name="_Toc164229234"/>
      <w:r/>
      <w:bookmarkStart w:id="557" w:name="_Toc164608653"/>
      <w:r/>
      <w:bookmarkStart w:id="558" w:name="_Toc164608808"/>
      <w:r/>
      <w:bookmarkStart w:id="559" w:name="_Toc226965729"/>
      <w:r/>
      <w:bookmarkStart w:id="560" w:name="_Toc520356164"/>
      <w:r/>
      <w:bookmarkStart w:id="561" w:name="_Toc305158881"/>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1"/>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1"/>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710"/>
      <w:r/>
      <w:bookmarkStart w:id="564" w:name="_Toc226965813"/>
      <w:r/>
      <w:bookmarkStart w:id="565" w:name="_Toc226965730"/>
      <w:r/>
      <w:bookmarkStart w:id="566" w:name="_Toc164608809"/>
      <w:r/>
      <w:bookmarkStart w:id="567" w:name="_Toc305158882"/>
      <w:r/>
      <w:bookmarkStart w:id="568" w:name="_Toc150774745"/>
      <w:r/>
      <w:bookmarkStart w:id="569" w:name="_Toc164229381"/>
      <w:r/>
      <w:bookmarkStart w:id="570" w:name="_Toc305158808"/>
      <w:r/>
      <w:bookmarkStart w:id="571" w:name="_Toc127161454"/>
      <w:r/>
      <w:bookmarkStart w:id="572" w:name="_Toc151193928"/>
      <w:r/>
      <w:bookmarkStart w:id="573" w:name="_Toc127151540"/>
      <w:r/>
      <w:bookmarkStart w:id="574" w:name="_Toc142311042"/>
      <w:r/>
      <w:bookmarkStart w:id="575" w:name="_Toc149720833"/>
      <w:r/>
      <w:bookmarkStart w:id="576" w:name="_Toc164229235"/>
      <w:r/>
      <w:bookmarkStart w:id="577" w:name="_Toc195842905"/>
      <w:r/>
      <w:bookmarkStart w:id="578" w:name="_Toc226309784"/>
      <w:r/>
      <w:bookmarkStart w:id="579" w:name="_Toc226337236"/>
      <w:r/>
      <w:bookmarkStart w:id="580" w:name="_Toc150509291"/>
      <w:r/>
      <w:bookmarkStart w:id="581" w:name="_Toc164608654"/>
      <w:r/>
      <w:bookmarkStart w:id="582" w:name="_Toc164351634"/>
      <w:r/>
      <w:bookmarkStart w:id="583" w:name="_Toc151193782"/>
      <w:r/>
      <w:bookmarkStart w:id="584" w:name="_Toc265228378"/>
      <w:r/>
      <w:bookmarkStart w:id="585" w:name="_Toc151193854"/>
      <w:r/>
      <w:bookmarkStart w:id="586" w:name="_Toc150774640"/>
      <w:r/>
      <w:bookmarkStart w:id="587" w:name="_Toc127151741"/>
      <w:r/>
      <w:bookmarkStart w:id="588" w:name="_Toc151190167"/>
      <w:r/>
      <w:bookmarkStart w:id="589" w:name="_Toc264969230"/>
      <w:r/>
      <w:bookmarkStart w:id="590" w:name="_Toc150480778"/>
      <w:r/>
      <w:bookmarkStart w:id="591" w:name="_Toc15119363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1"/>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94" w:name="_Toc127151545"/>
      <w:r/>
      <w:bookmarkStart w:id="595" w:name="_Toc226965818"/>
      <w:r/>
      <w:bookmarkStart w:id="596" w:name="_Toc142311047"/>
      <w:r/>
      <w:bookmarkStart w:id="597" w:name="_Toc150774750"/>
      <w:r/>
      <w:bookmarkStart w:id="598" w:name="_Toc151193933"/>
      <w:r/>
      <w:bookmarkStart w:id="599" w:name="_Toc264969235"/>
      <w:r/>
      <w:bookmarkStart w:id="600" w:name="_Toc305158813"/>
      <w:r/>
      <w:bookmarkStart w:id="601" w:name="_Toc226337241"/>
      <w:r/>
      <w:bookmarkStart w:id="602" w:name="_Toc226965735"/>
      <w:r/>
      <w:bookmarkStart w:id="603" w:name="_Toc305158887"/>
      <w:r/>
      <w:bookmarkStart w:id="604" w:name="_Toc151190172"/>
      <w:r/>
      <w:bookmarkStart w:id="605" w:name="_Toc150480783"/>
      <w:r/>
      <w:bookmarkStart w:id="606" w:name="_Toc150509296"/>
      <w:r/>
      <w:bookmarkStart w:id="607" w:name="_Toc150774645"/>
      <w:r/>
      <w:bookmarkStart w:id="608" w:name="_Toc151193715"/>
      <w:r/>
      <w:bookmarkStart w:id="609" w:name="_Toc265228383"/>
      <w:r/>
      <w:bookmarkStart w:id="610" w:name="_Toc226309789"/>
      <w:r/>
      <w:bookmarkStart w:id="611" w:name="_Toc151193643"/>
      <w:r/>
      <w:bookmarkStart w:id="612" w:name="_Toc195842910"/>
      <w:r/>
      <w:bookmarkStart w:id="613" w:name="_Toc151193787"/>
      <w:r/>
      <w:bookmarkStart w:id="614" w:name="_Toc151193859"/>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0174"/>
      <w:r/>
      <w:bookmarkStart w:id="616" w:name="_Toc164351641"/>
      <w:r/>
      <w:bookmarkStart w:id="617" w:name="_Toc164608816"/>
      <w:r/>
      <w:bookmarkStart w:id="618" w:name="_Toc195842912"/>
      <w:r/>
      <w:bookmarkStart w:id="619" w:name="_Toc226965820"/>
      <w:r/>
      <w:bookmarkStart w:id="620" w:name="_Toc226965737"/>
      <w:r/>
      <w:bookmarkStart w:id="621" w:name="_Toc150509298"/>
      <w:r/>
      <w:bookmarkStart w:id="622" w:name="_Toc151193717"/>
      <w:r/>
      <w:bookmarkStart w:id="623" w:name="_Toc151193861"/>
      <w:r/>
      <w:bookmarkStart w:id="624" w:name="_Toc226337243"/>
      <w:r/>
      <w:bookmarkStart w:id="625" w:name="_Toc127161461"/>
      <w:r/>
      <w:bookmarkStart w:id="626" w:name="_Toc226309791"/>
      <w:r/>
      <w:bookmarkStart w:id="627" w:name="_Toc265228385"/>
      <w:r/>
      <w:bookmarkStart w:id="628" w:name="_Toc305158815"/>
      <w:r/>
      <w:bookmarkStart w:id="629" w:name="_Toc149720840"/>
      <w:r/>
      <w:bookmarkStart w:id="630" w:name="_Toc150480785"/>
      <w:r/>
      <w:bookmarkStart w:id="631" w:name="_Toc150774647"/>
      <w:r/>
      <w:bookmarkStart w:id="632" w:name="_Toc264969237"/>
      <w:r/>
      <w:bookmarkStart w:id="633" w:name="_Toc305158889"/>
      <w:r/>
      <w:bookmarkStart w:id="634" w:name="_Toc164229388"/>
      <w:r/>
      <w:bookmarkStart w:id="635" w:name="_Toc127151547"/>
      <w:r/>
      <w:bookmarkStart w:id="636" w:name="_Toc151193645"/>
      <w:r/>
      <w:bookmarkStart w:id="637" w:name="_Toc150774752"/>
      <w:r/>
      <w:bookmarkStart w:id="638" w:name="_Toc164608661"/>
      <w:r/>
      <w:bookmarkStart w:id="639" w:name="_Toc164229242"/>
      <w:r/>
      <w:bookmarkStart w:id="640" w:name="_Toc142311049"/>
      <w:r/>
      <w:bookmarkStart w:id="641" w:name="_Toc151193789"/>
      <w:r/>
      <w:bookmarkStart w:id="642" w:name="_Toc151193935"/>
      <w:r/>
      <w:bookmarkStart w:id="643" w:name="_Toc127151748"/>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64969239"/>
      <w:r/>
      <w:bookmarkStart w:id="645" w:name="_Toc150774754"/>
      <w:r/>
      <w:bookmarkStart w:id="646" w:name="_Toc151193791"/>
      <w:r/>
      <w:bookmarkStart w:id="647" w:name="_Toc305158817"/>
      <w:r/>
      <w:bookmarkStart w:id="648" w:name="_Toc150509300"/>
      <w:r/>
      <w:bookmarkStart w:id="649" w:name="_Toc164229390"/>
      <w:r/>
      <w:bookmarkStart w:id="650" w:name="_Toc151193647"/>
      <w:r/>
      <w:bookmarkStart w:id="651" w:name="_Toc164351643"/>
      <w:r/>
      <w:bookmarkStart w:id="652" w:name="_Ref467307090"/>
      <w:r/>
      <w:bookmarkStart w:id="653" w:name="_Ref467306425"/>
      <w:r/>
      <w:bookmarkStart w:id="654" w:name="_Toc520356176"/>
      <w:r/>
      <w:bookmarkStart w:id="655" w:name="_Toc149720842"/>
      <w:r/>
      <w:bookmarkStart w:id="656" w:name="_Toc150480787"/>
      <w:r/>
      <w:bookmarkStart w:id="657" w:name="_Toc226337245"/>
      <w:r/>
      <w:bookmarkStart w:id="658" w:name="_Toc226965739"/>
      <w:r/>
      <w:bookmarkStart w:id="659" w:name="_Toc195842914"/>
      <w:r/>
      <w:bookmarkStart w:id="660" w:name="_Toc142311051"/>
      <w:r/>
      <w:bookmarkStart w:id="661" w:name="_Toc305158891"/>
      <w:r/>
      <w:bookmarkStart w:id="662" w:name="_Toc150774649"/>
      <w:r/>
      <w:bookmarkStart w:id="663" w:name="_Toc127151750"/>
      <w:r/>
      <w:bookmarkStart w:id="664" w:name="_Toc151193719"/>
      <w:r/>
      <w:bookmarkStart w:id="665" w:name="_Toc127151549"/>
      <w:r/>
      <w:bookmarkStart w:id="666" w:name="_Toc164229244"/>
      <w:r/>
      <w:bookmarkStart w:id="667" w:name="_Toc226965822"/>
      <w:r/>
      <w:bookmarkStart w:id="668" w:name="_Toc151190176"/>
      <w:r/>
      <w:bookmarkStart w:id="669" w:name="_Toc226309793"/>
      <w:r/>
      <w:bookmarkStart w:id="670" w:name="_Toc164608663"/>
      <w:r/>
      <w:bookmarkStart w:id="671" w:name="_Toc127161463"/>
      <w:r/>
      <w:bookmarkStart w:id="672" w:name="_Toc164608818"/>
      <w:r/>
      <w:bookmarkStart w:id="673" w:name="_Toc151193937"/>
      <w:r/>
      <w:bookmarkStart w:id="674" w:name="_Toc151193863"/>
      <w:r/>
      <w:bookmarkStart w:id="675" w:name="_Toc265228387"/>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1"/>
        <w:numPr>
          <w:ilvl w:val="2"/>
          <w:numId w:val="10"/>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0177"/>
      <w:r/>
      <w:bookmarkStart w:id="677" w:name="_Toc226965740"/>
      <w:r/>
      <w:bookmarkStart w:id="678" w:name="_Toc305158818"/>
      <w:r/>
      <w:bookmarkStart w:id="679" w:name="_Toc150509301"/>
      <w:r/>
      <w:bookmarkStart w:id="680" w:name="_Toc226965823"/>
      <w:r/>
      <w:bookmarkStart w:id="681" w:name="_Toc164608664"/>
      <w:r/>
      <w:bookmarkStart w:id="682" w:name="_Toc150774650"/>
      <w:r/>
      <w:bookmarkStart w:id="683" w:name="_Toc151193648"/>
      <w:r/>
      <w:bookmarkStart w:id="684" w:name="_Toc149720843"/>
      <w:r/>
      <w:bookmarkStart w:id="685" w:name="_Toc164229245"/>
      <w:r/>
      <w:bookmarkStart w:id="686" w:name="_Toc127151751"/>
      <w:r/>
      <w:bookmarkStart w:id="687" w:name="_Toc195842915"/>
      <w:r/>
      <w:bookmarkStart w:id="688" w:name="_Toc151193864"/>
      <w:r/>
      <w:bookmarkStart w:id="689" w:name="_Ref467306377"/>
      <w:r/>
      <w:bookmarkStart w:id="690" w:name="_Toc164351644"/>
      <w:r/>
      <w:bookmarkStart w:id="691" w:name="_Toc164608819"/>
      <w:r/>
      <w:bookmarkStart w:id="692" w:name="_Toc127151550"/>
      <w:r/>
      <w:bookmarkStart w:id="693" w:name="_Toc226309794"/>
      <w:r/>
      <w:bookmarkStart w:id="694" w:name="_Ref467306978"/>
      <w:r/>
      <w:bookmarkStart w:id="695" w:name="_Toc151193792"/>
      <w:r/>
      <w:bookmarkStart w:id="696" w:name="_Toc150774755"/>
      <w:r/>
      <w:bookmarkStart w:id="697" w:name="_Toc265228388"/>
      <w:r/>
      <w:bookmarkStart w:id="698" w:name="_Toc226337246"/>
      <w:r/>
      <w:bookmarkStart w:id="699" w:name="_Toc305158892"/>
      <w:r/>
      <w:bookmarkStart w:id="700" w:name="_Toc150480788"/>
      <w:r/>
      <w:bookmarkStart w:id="701" w:name="_Toc142311052"/>
      <w:r/>
      <w:bookmarkStart w:id="702" w:name="_Toc127161464"/>
      <w:r/>
      <w:bookmarkStart w:id="703" w:name="_Toc520356175"/>
      <w:r/>
      <w:bookmarkStart w:id="704" w:name="_Toc151193938"/>
      <w:r/>
      <w:bookmarkStart w:id="705" w:name="_Toc164229391"/>
      <w:r/>
      <w:bookmarkStart w:id="706" w:name="_Ref467307062"/>
      <w:r/>
      <w:bookmarkStart w:id="707" w:name="_Toc264969240"/>
      <w:r/>
      <w:bookmarkStart w:id="708" w:name="_Toc151193720"/>
      <w:r/>
      <w:bookmarkStart w:id="709" w:name="_Ref467307204"/>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1"/>
        <w:numPr>
          <w:ilvl w:val="2"/>
          <w:numId w:val="10"/>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10" w:name="_Hlt100654014"/>
      <w:r>
        <w:rPr>
          <w:rStyle w:val="1146"/>
          <w:rFonts w:hint="eastAsia" w:ascii="宋体" w:hAnsi="宋体" w:cs="宋体"/>
          <w:color w:val="000000"/>
          <w:highlight w:val="none"/>
        </w:rPr>
        <w:t xml:space="preserve">s</w:t>
      </w:r>
      <w:bookmarkEnd w:id="710"/>
      <w:r>
        <w:rPr>
          <w:rStyle w:val="1146"/>
          <w:rFonts w:hint="eastAsia" w:ascii="宋体" w:hAnsi="宋体" w:cs="宋体"/>
          <w:color w:val="000000"/>
          <w:highlight w:val="none"/>
        </w:rPr>
        <w:t xml:space="preserve">.m</w:t>
      </w:r>
      <w:bookmarkStart w:id="711" w:name="_Hlt100653994"/>
      <w:r/>
      <w:bookmarkStart w:id="712" w:name="_Hlt100653993"/>
      <w:r>
        <w:rPr>
          <w:rStyle w:val="1146"/>
          <w:rFonts w:hint="eastAsia" w:ascii="宋体" w:hAnsi="宋体" w:cs="宋体"/>
          <w:color w:val="000000"/>
          <w:highlight w:val="none"/>
        </w:rPr>
        <w:t xml:space="preserve">o</w:t>
      </w:r>
      <w:bookmarkEnd w:id="711"/>
      <w:r/>
      <w:bookmarkEnd w:id="712"/>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1"/>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13" w:name="_Toc127151554"/>
      <w:r/>
      <w:bookmarkStart w:id="714" w:name="_Toc264969244"/>
      <w:r/>
      <w:bookmarkStart w:id="715" w:name="_Toc150480792"/>
      <w:r/>
      <w:bookmarkStart w:id="716" w:name="_Toc353873934"/>
      <w:r/>
      <w:bookmarkStart w:id="717" w:name="_Toc305158896"/>
      <w:r/>
      <w:bookmarkStart w:id="718" w:name="_Toc142311056"/>
      <w:r/>
      <w:bookmarkStart w:id="719" w:name="_Toc265228392"/>
      <w:r/>
      <w:bookmarkStart w:id="720" w:name="_Toc226337250"/>
      <w:r/>
      <w:bookmarkStart w:id="721" w:name="_Toc305158822"/>
      <w:r/>
      <w:bookmarkStart w:id="722" w:name="_Toc150774759"/>
      <w:r/>
      <w:bookmarkStart w:id="723" w:name="_Toc226965827"/>
      <w:r/>
      <w:bookmarkStart w:id="724" w:name="_Toc353825544"/>
      <w:r/>
      <w:bookmarkStart w:id="725" w:name="_Toc35387366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1"/>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73940"/>
      <w:r/>
      <w:bookmarkStart w:id="732" w:name="_Toc127161490"/>
      <w:r/>
      <w:bookmarkStart w:id="733" w:name="_Toc353825550"/>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1"/>
        <w:numPr>
          <w:ilvl w:val="0"/>
          <w:numId w:val="14"/>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65228379"/>
      <w:r/>
      <w:bookmarkStart w:id="738" w:name="_Toc151193711"/>
      <w:r/>
      <w:bookmarkStart w:id="739" w:name="_Toc150774641"/>
      <w:r/>
      <w:bookmarkStart w:id="740" w:name="_Toc150480779"/>
      <w:r/>
      <w:bookmarkStart w:id="741" w:name="_Toc150509292"/>
      <w:r/>
      <w:bookmarkStart w:id="742" w:name="_Toc127161455"/>
      <w:r/>
      <w:bookmarkStart w:id="743" w:name="_Toc151193783"/>
      <w:r/>
      <w:bookmarkStart w:id="744" w:name="_Toc150774746"/>
      <w:r/>
      <w:bookmarkStart w:id="745" w:name="_Toc195842906"/>
      <w:r/>
      <w:bookmarkStart w:id="746" w:name="_Toc264969231"/>
      <w:r/>
      <w:bookmarkStart w:id="747" w:name="_Toc127151541"/>
      <w:r/>
      <w:bookmarkStart w:id="748" w:name="_Toc151193929"/>
      <w:r/>
      <w:bookmarkStart w:id="749" w:name="_Toc164608810"/>
      <w:r/>
      <w:bookmarkStart w:id="750" w:name="_Toc226965731"/>
      <w:r/>
      <w:bookmarkStart w:id="751" w:name="_Toc226965814"/>
      <w:r/>
      <w:bookmarkStart w:id="752" w:name="_Toc149720834"/>
      <w:r/>
      <w:bookmarkStart w:id="753" w:name="_Toc127151742"/>
      <w:r/>
      <w:bookmarkStart w:id="754" w:name="_Toc305158883"/>
      <w:r/>
      <w:bookmarkStart w:id="755" w:name="_Toc151193639"/>
      <w:r/>
      <w:bookmarkStart w:id="756" w:name="_Toc226337237"/>
      <w:r/>
      <w:bookmarkStart w:id="757" w:name="_Toc142311043"/>
      <w:r/>
      <w:bookmarkStart w:id="758" w:name="_Toc226309785"/>
      <w:r/>
      <w:bookmarkStart w:id="759" w:name="_Toc164229236"/>
      <w:r/>
      <w:bookmarkStart w:id="760" w:name="_Toc164351635"/>
      <w:r/>
      <w:bookmarkStart w:id="761" w:name="_Toc151193855"/>
      <w:r/>
      <w:bookmarkStart w:id="762" w:name="_Toc164229382"/>
      <w:r/>
      <w:bookmarkStart w:id="763" w:name="_Toc305158809"/>
      <w:r/>
      <w:bookmarkStart w:id="764" w:name="_Toc151190168"/>
      <w:r/>
      <w:bookmarkStart w:id="765" w:name="_Toc164608655"/>
      <w:r/>
      <w:bookmarkStart w:id="766" w:name="_Toc353873941"/>
      <w:r/>
      <w:bookmarkStart w:id="767" w:name="_Toc353825551"/>
      <w:r/>
      <w:bookmarkStart w:id="768" w:name="_Toc353825545"/>
      <w:r/>
      <w:bookmarkStart w:id="769" w:name="_Toc353873665"/>
      <w:r/>
      <w:bookmarkStart w:id="770" w:name="_Toc127151555"/>
      <w:r/>
      <w:bookmarkStart w:id="771" w:name="_Toc150774760"/>
      <w:r/>
      <w:bookmarkStart w:id="772" w:name="_Toc226337251"/>
      <w:r/>
      <w:bookmarkStart w:id="773" w:name="_Toc353873935"/>
      <w:r/>
      <w:bookmarkStart w:id="774" w:name="_Toc305158823"/>
      <w:r/>
      <w:bookmarkStart w:id="775" w:name="_Toc195842920"/>
      <w:r/>
      <w:bookmarkStart w:id="776" w:name="_Toc305158897"/>
      <w:r/>
      <w:bookmarkStart w:id="777" w:name="_Toc264969245"/>
      <w:r/>
      <w:bookmarkStart w:id="778" w:name="_Toc142311057"/>
      <w:r/>
      <w:bookmarkStart w:id="779" w:name="_Toc265228393"/>
      <w:r/>
      <w:bookmarkStart w:id="780" w:name="_Toc150480793"/>
      <w:r/>
      <w:bookmarkStart w:id="781" w:name="_Toc226965828"/>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1"/>
        <w:numPr>
          <w:ilvl w:val="1"/>
          <w:numId w:val="14"/>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1"/>
        <w:numPr>
          <w:ilvl w:val="0"/>
          <w:numId w:val="15"/>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1"/>
        <w:numPr>
          <w:ilvl w:val="2"/>
          <w:numId w:val="14"/>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1"/>
        <w:numPr>
          <w:ilvl w:val="2"/>
          <w:numId w:val="14"/>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27151546"/>
      <w:r/>
      <w:bookmarkStart w:id="784" w:name="_Toc127151747"/>
      <w:r/>
      <w:bookmarkStart w:id="785" w:name="_Toc226337242"/>
      <w:r/>
      <w:bookmarkStart w:id="786" w:name="_Toc265228384"/>
      <w:r/>
      <w:bookmarkStart w:id="787" w:name="_Toc127161460"/>
      <w:r/>
      <w:bookmarkStart w:id="788" w:name="_Toc151190173"/>
      <w:r/>
      <w:bookmarkStart w:id="789" w:name="_Toc305158814"/>
      <w:r/>
      <w:bookmarkStart w:id="790" w:name="_Toc164229241"/>
      <w:r/>
      <w:bookmarkStart w:id="791" w:name="_Toc195842911"/>
      <w:r/>
      <w:bookmarkStart w:id="792" w:name="_Toc164351640"/>
      <w:r/>
      <w:bookmarkStart w:id="793" w:name="_Toc151193860"/>
      <w:r/>
      <w:bookmarkStart w:id="794" w:name="_Toc151193716"/>
      <w:r/>
      <w:bookmarkStart w:id="795" w:name="_Toc150774646"/>
      <w:r/>
      <w:bookmarkStart w:id="796" w:name="_Toc226965819"/>
      <w:r/>
      <w:bookmarkStart w:id="797" w:name="_Toc164229387"/>
      <w:r/>
      <w:bookmarkStart w:id="798" w:name="_Toc164608660"/>
      <w:r/>
      <w:bookmarkStart w:id="799" w:name="_Toc150509297"/>
      <w:r/>
      <w:bookmarkStart w:id="800" w:name="_Toc151193644"/>
      <w:r/>
      <w:bookmarkStart w:id="801" w:name="_Toc305158888"/>
      <w:r/>
      <w:bookmarkStart w:id="802" w:name="_Toc164608815"/>
      <w:r/>
      <w:bookmarkStart w:id="803" w:name="_Toc226309790"/>
      <w:r/>
      <w:bookmarkStart w:id="804" w:name="_Toc264969236"/>
      <w:r/>
      <w:bookmarkStart w:id="805" w:name="_Ref467307010"/>
      <w:r/>
      <w:bookmarkStart w:id="806" w:name="_Toc149720839"/>
      <w:r/>
      <w:bookmarkStart w:id="807" w:name="_Toc142311048"/>
      <w:r/>
      <w:bookmarkStart w:id="808" w:name="_Toc151193788"/>
      <w:r/>
      <w:bookmarkStart w:id="809" w:name="_Toc520356170"/>
      <w:r/>
      <w:bookmarkStart w:id="810" w:name="_Toc151193934"/>
      <w:r/>
      <w:bookmarkStart w:id="811" w:name="_Toc150774751"/>
      <w:r/>
      <w:bookmarkStart w:id="812" w:name="_Toc226965736"/>
      <w:r/>
      <w:bookmarkStart w:id="813" w:name="_Toc150480784"/>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1"/>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1"/>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371"/>
        <w:gridCol w:w="883"/>
        <w:gridCol w:w="3612"/>
        <w:gridCol w:w="2584"/>
      </w:tblGrid>
      <w:tr>
        <w:trPr>
          <w:trHeight w:val="170"/>
        </w:trPr>
        <w:tc>
          <w:tcPr>
            <w:tcW w:w="451"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91"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71"/>
              <w:rPr>
                <w:rFonts w:hint="eastAsia" w:ascii="宋体" w:hAnsi="宋体" w:cs="宋体"/>
                <w:b/>
                <w:color w:val="000000"/>
                <w:sz w:val="24"/>
                <w:highlight w:val="none"/>
              </w:rPr>
            </w:pPr>
            <w:r>
              <w:rPr>
                <w:rFonts w:ascii="宋体" w:hAnsi="宋体"/>
                <w:color w:val="000000"/>
                <w:sz w:val="24"/>
                <w:highlight w:val="none"/>
              </w:rPr>
              <w:t xml:space="preserve">投标报价得分＝（评标基准价/投标报价）×分值。</w:t>
            </w:r>
            <w:r>
              <w:rPr>
                <w:rFonts w:hint="eastAsia" w:ascii="宋体" w:hAnsi="宋体" w:cs="宋体"/>
                <w:b/>
                <w:color w:val="000000"/>
                <w:sz w:val="24"/>
                <w:highlight w:val="none"/>
              </w:rPr>
            </w:r>
            <w:r/>
          </w:p>
        </w:tc>
        <w:tc>
          <w:tcPr>
            <w:tcW w:w="1391" w:type="dxa"/>
            <w:vAlign w:val="center"/>
            <w:textDirection w:val="lrTb"/>
            <w:noWrap w:val="false"/>
          </w:tcPr>
          <w:p>
            <w:pPr>
              <w:pStyle w:val="1071"/>
              <w:ind w:left="-38"/>
              <w:rPr>
                <w:rFonts w:hint="eastAsia" w:ascii="宋体" w:hAnsi="宋体" w:cs="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46</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15</w:t>
            </w:r>
            <w:r>
              <w:rPr>
                <w:rFonts w:ascii="宋体" w:hAnsi="宋体" w:cs="宋体"/>
                <w:color w:val="000000"/>
                <w:sz w:val="24"/>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提供自202</w:t>
            </w:r>
            <w:r>
              <w:rPr>
                <w:rFonts w:hint="eastAsia"/>
                <w:color w:val="000000"/>
                <w:highlight w:val="none"/>
                <w:lang w:val="en-US" w:eastAsia="zh-CN" w:bidi="ar"/>
              </w:rPr>
              <w:t xml:space="preserve">3</w:t>
            </w:r>
            <w:r>
              <w:rPr>
                <w:rFonts w:hint="eastAsia"/>
                <w:color w:val="000000"/>
                <w:highlight w:val="none"/>
                <w:lang w:bidi="ar"/>
              </w:rPr>
              <w:t xml:space="preserve">年</w:t>
            </w:r>
            <w:r>
              <w:rPr>
                <w:rFonts w:hint="eastAsia"/>
                <w:color w:val="000000"/>
                <w:highlight w:val="none"/>
                <w:lang w:val="en-US" w:eastAsia="zh-CN" w:bidi="ar"/>
              </w:rPr>
              <w:t xml:space="preserve">1</w:t>
            </w:r>
            <w:r>
              <w:rPr>
                <w:rFonts w:hint="eastAsia"/>
                <w:color w:val="000000"/>
                <w:highlight w:val="none"/>
                <w:lang w:bidi="ar"/>
              </w:rPr>
              <w:t xml:space="preserve">月1日以来</w:t>
            </w:r>
            <w:r>
              <w:rPr>
                <w:rFonts w:hint="eastAsia"/>
                <w:color w:val="000000"/>
                <w:highlight w:val="none"/>
                <w:lang w:bidi="ar"/>
              </w:rPr>
              <w:t xml:space="preserve">（以合同签订时间为准）</w:t>
            </w:r>
            <w:r>
              <w:rPr>
                <w:rFonts w:hint="eastAsia"/>
                <w:color w:val="000000"/>
                <w:highlight w:val="none"/>
                <w:lang w:val="en-US" w:eastAsia="zh-CN" w:bidi="ar"/>
              </w:rPr>
              <w:t xml:space="preserve">承接</w:t>
            </w:r>
            <w:r>
              <w:rPr>
                <w:rFonts w:hint="eastAsia"/>
                <w:color w:val="000000"/>
                <w:highlight w:val="none"/>
                <w:lang w:bidi="ar"/>
              </w:rPr>
              <w:t xml:space="preserve">的医用氧（液氧）</w:t>
            </w:r>
            <w:r>
              <w:rPr>
                <w:rFonts w:hint="eastAsia"/>
                <w:color w:val="000000"/>
                <w:highlight w:val="none"/>
                <w:lang w:val="en-US" w:eastAsia="zh-CN" w:bidi="ar"/>
              </w:rPr>
              <w:t xml:space="preserve">供应</w:t>
            </w:r>
            <w:r>
              <w:rPr>
                <w:rFonts w:hint="eastAsia"/>
                <w:color w:val="000000"/>
                <w:highlight w:val="none"/>
                <w:lang w:bidi="ar"/>
              </w:rPr>
              <w:t xml:space="preserve">业绩</w:t>
            </w:r>
            <w:r>
              <w:rPr>
                <w:rFonts w:hint="eastAsia"/>
                <w:color w:val="000000"/>
                <w:highlight w:val="none"/>
                <w:lang w:bidi="ar"/>
              </w:rPr>
              <w:t xml:space="preserve">，每提供一份合同得3分，最高得15分。</w:t>
            </w:r>
            <w:r>
              <w:rPr>
                <w:rFonts w:hint="eastAsia"/>
                <w:color w:val="000000"/>
                <w:highlight w:val="none"/>
                <w:lang w:bidi="ar"/>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提供合同扫描件</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响应时间</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rPr>
                <w:rFonts w:hint="eastAsia"/>
                <w:color w:val="000000"/>
                <w:highlight w:val="none"/>
                <w:lang w:bidi="ar"/>
              </w:rPr>
              <w:t xml:space="preserve">为保证送货及时、补货方便、承诺电话响应时间半小时、到达现场为</w:t>
            </w:r>
            <w:r>
              <w:rPr>
                <w:rFonts w:hint="eastAsia"/>
                <w:color w:val="000000"/>
                <w:highlight w:val="none"/>
                <w:lang w:val="en-US" w:eastAsia="zh-CN" w:bidi="ar"/>
              </w:rPr>
              <w:t xml:space="preserve">60</w:t>
            </w:r>
            <w:r>
              <w:rPr>
                <w:rFonts w:hint="eastAsia"/>
                <w:color w:val="000000"/>
                <w:highlight w:val="none"/>
                <w:lang w:bidi="ar"/>
              </w:rPr>
              <w:t xml:space="preserve">分钟内的得</w:t>
            </w:r>
            <w:r>
              <w:rPr>
                <w:rFonts w:hint="eastAsia"/>
                <w:color w:val="000000"/>
                <w:highlight w:val="none"/>
                <w:lang w:val="en-US" w:eastAsia="zh-CN" w:bidi="ar"/>
              </w:rPr>
              <w:t xml:space="preserve">3</w:t>
            </w:r>
            <w:r>
              <w:rPr>
                <w:rFonts w:hint="eastAsia"/>
                <w:color w:val="000000"/>
                <w:highlight w:val="none"/>
                <w:lang w:bidi="ar"/>
              </w:rPr>
              <w:t xml:space="preserve">分；电话响应时间半小时内、到达现场为</w:t>
            </w:r>
            <w:r>
              <w:rPr>
                <w:rFonts w:hint="eastAsia"/>
                <w:color w:val="000000"/>
                <w:highlight w:val="none"/>
                <w:lang w:val="en-US" w:eastAsia="zh-CN" w:bidi="ar"/>
              </w:rPr>
              <w:t xml:space="preserve">90</w:t>
            </w:r>
            <w:r>
              <w:rPr>
                <w:rFonts w:hint="eastAsia"/>
                <w:color w:val="000000"/>
                <w:highlight w:val="none"/>
                <w:lang w:bidi="ar"/>
              </w:rPr>
              <w:t xml:space="preserve">分钟内的得</w:t>
            </w:r>
            <w:r>
              <w:rPr>
                <w:rFonts w:hint="eastAsia"/>
                <w:color w:val="000000"/>
                <w:highlight w:val="none"/>
                <w:lang w:val="en-US" w:eastAsia="zh-CN" w:bidi="ar"/>
              </w:rPr>
              <w:t xml:space="preserve">2</w:t>
            </w:r>
            <w:r>
              <w:rPr>
                <w:rFonts w:hint="eastAsia"/>
                <w:color w:val="000000"/>
                <w:highlight w:val="none"/>
                <w:lang w:bidi="ar"/>
              </w:rPr>
              <w:t xml:space="preserve">分；电话响应时间半小时内、到达现场为</w:t>
            </w:r>
            <w:r>
              <w:rPr>
                <w:rFonts w:hint="eastAsia"/>
                <w:color w:val="000000"/>
                <w:highlight w:val="none"/>
                <w:lang w:val="en-US" w:eastAsia="zh-CN" w:bidi="ar"/>
              </w:rPr>
              <w:t xml:space="preserve">120</w:t>
            </w:r>
            <w:r>
              <w:rPr>
                <w:rFonts w:hint="eastAsia"/>
                <w:color w:val="000000"/>
                <w:highlight w:val="none"/>
                <w:lang w:bidi="ar"/>
              </w:rPr>
              <w:t xml:space="preserve">分钟内的得1分；其他不得分。</w:t>
            </w:r>
            <w:r>
              <w:rPr>
                <w:rFonts w:hint="eastAsia"/>
                <w:b/>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提供承诺函加盖投标人公章</w:t>
            </w:r>
            <w:r>
              <w:rPr>
                <w:rFonts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运输车辆</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投标人必须使用危险品专用车辆运输，且符合国家相关法律及规定（提供公安机关颁发的有效的危化品车辆市区通行证）。每配备1辆危险品专用车得</w:t>
            </w:r>
            <w:r>
              <w:rPr>
                <w:rFonts w:hint="eastAsia"/>
                <w:color w:val="000000"/>
                <w:highlight w:val="none"/>
                <w:lang w:val="en-US" w:eastAsia="zh-CN"/>
              </w:rPr>
              <w:t xml:space="preserve">3</w:t>
            </w:r>
            <w:r>
              <w:rPr>
                <w:rFonts w:hint="eastAsia"/>
                <w:color w:val="000000"/>
                <w:highlight w:val="none"/>
              </w:rPr>
              <w:t xml:space="preserve">分；本项目最高</w:t>
            </w:r>
            <w:r>
              <w:rPr>
                <w:rFonts w:hint="eastAsia"/>
                <w:color w:val="000000"/>
                <w:highlight w:val="none"/>
                <w:lang w:val="en-US" w:eastAsia="zh-CN"/>
              </w:rPr>
              <w:t xml:space="preserve">9</w:t>
            </w:r>
            <w:r>
              <w:rPr>
                <w:rFonts w:hint="eastAsia"/>
                <w:color w:val="000000"/>
                <w:highlight w:val="none"/>
              </w:rPr>
              <w:t xml:space="preserve">分。</w:t>
            </w:r>
            <w:r>
              <w:rPr>
                <w:rFonts w:hint="eastAsia"/>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注：(1)若为自有车辆投标文件中必须提供车辆的行驶证、通行证及相关材料扫描件</w:t>
            </w:r>
            <w:r>
              <w:rPr>
                <w:rFonts w:hint="eastAsia" w:ascii="宋体" w:hAnsi="宋体" w:cs="宋体"/>
                <w:bCs/>
                <w:color w:val="000000"/>
                <w:sz w:val="24"/>
                <w:highlight w:val="none"/>
                <w:lang w:bidi="ar"/>
              </w:rPr>
              <w:t xml:space="preserve">，否则不得分。</w:t>
            </w:r>
            <w:r>
              <w:rPr>
                <w:rFonts w:hint="eastAsia" w:ascii="宋体" w:hAnsi="宋体" w:cs="宋体"/>
                <w:color w:val="000000"/>
                <w:sz w:val="24"/>
                <w:highlight w:val="none"/>
              </w:rPr>
            </w:r>
            <w:r/>
          </w:p>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(2)若为租赁车辆投标文件中必须提供车辆的行驶证、租赁合同及相关材料扫描件</w:t>
            </w:r>
            <w:r>
              <w:rPr>
                <w:rFonts w:hint="eastAsia" w:ascii="宋体" w:hAnsi="宋体" w:cs="宋体"/>
                <w:bCs/>
                <w:color w:val="000000"/>
                <w:sz w:val="24"/>
                <w:highlight w:val="none"/>
                <w:lang w:bidi="ar"/>
              </w:rPr>
              <w:t xml:space="preserve">，否则不得分。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2.4</w:t>
            </w:r>
            <w:r>
              <w:rPr>
                <w:rFonts w:ascii="宋体" w:hAnsi="宋体" w:cs="宋体"/>
                <w:color w:val="000000"/>
                <w:sz w:val="24"/>
                <w:highlight w:val="none"/>
                <w:lang w:bidi="ar"/>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体系认证</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投标人具备有效的质量管理体系认证证书、职业健康安全管理体系认证证书及环境管理体系认证证书，每提供一个得</w:t>
            </w:r>
            <w:r>
              <w:rPr>
                <w:rFonts w:hint="eastAsia"/>
                <w:color w:val="000000"/>
                <w:highlight w:val="none"/>
                <w:lang w:val="en-US" w:eastAsia="zh-CN"/>
              </w:rPr>
              <w:t xml:space="preserve">3</w:t>
            </w:r>
            <w:r>
              <w:rPr>
                <w:rFonts w:hint="eastAsia"/>
                <w:color w:val="000000"/>
                <w:highlight w:val="none"/>
              </w:rPr>
              <w:t xml:space="preserve">分，最高得</w:t>
            </w:r>
            <w:r>
              <w:rPr>
                <w:rFonts w:hint="eastAsia"/>
                <w:color w:val="000000"/>
                <w:highlight w:val="none"/>
                <w:lang w:val="en-US" w:eastAsia="zh-CN"/>
              </w:rPr>
              <w:t xml:space="preserve">9</w:t>
            </w:r>
            <w:r>
              <w:rPr>
                <w:rFonts w:hint="eastAsia"/>
                <w:color w:val="000000"/>
                <w:highlight w:val="none"/>
              </w:rPr>
              <w:t xml:space="preserve">分，未提供不得分。</w:t>
            </w:r>
            <w:r>
              <w:rPr>
                <w:rFonts w:hint="eastAsia"/>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提供证书扫描件、全国认证认可信息公共服务平台证书查询截图且证书状态为有效，未提供或提供材料不全本项不得分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2.5</w:t>
            </w:r>
            <w:r>
              <w:rPr>
                <w:rFonts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widowControl/>
              <w:rPr>
                <w:rFonts w:ascii="宋体" w:hAnsi="宋体" w:eastAsia="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拟派人员1</w:t>
            </w:r>
            <w:r>
              <w:rPr>
                <w:rFonts w:ascii="宋体" w:hAnsi="宋体" w:eastAsia="宋体" w:cs="宋体"/>
                <w:bCs/>
                <w:color w:val="000000"/>
                <w:sz w:val="24"/>
                <w:highlight w:val="none"/>
                <w:lang w:val="en-US" w:eastAsia="zh-CN" w:bidi="ar"/>
              </w:rPr>
            </w:r>
            <w:r/>
          </w:p>
        </w:tc>
        <w:tc>
          <w:tcPr>
            <w:tcW w:w="475" w:type="dxa"/>
            <w:vAlign w:val="center"/>
            <w:textDirection w:val="lrTb"/>
            <w:noWrap w:val="false"/>
          </w:tcPr>
          <w:p>
            <w:pPr>
              <w:pStyle w:val="1132"/>
              <w:jc w:val="center"/>
              <w:spacing w:before="0" w:beforeAutospacing="0" w:after="0" w:afterAutospacing="0" w:line="36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1、具备特种设备安全管理证（A证）得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132"/>
              <w:spacing w:before="0" w:beforeAutospacing="0" w:after="0" w:afterAutospacing="0" w:line="36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2、具备特种设备作业人员证(R2证)得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132"/>
              <w:spacing w:before="0" w:beforeAutospacing="0" w:after="0" w:afterAutospacing="0" w:line="36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最高得4分。</w:t>
            </w:r>
            <w:r>
              <w:rPr>
                <w:rFonts w:ascii="宋体" w:hAnsi="宋体" w:eastAsia="宋体" w:cs="宋体"/>
                <w:color w:val="000000"/>
                <w:highlight w:val="none"/>
                <w:lang w:val="en-US" w:eastAsia="zh-CN"/>
              </w:rPr>
            </w:r>
            <w:r/>
          </w:p>
        </w:tc>
        <w:tc>
          <w:tcPr>
            <w:tcW w:w="1391" w:type="dxa"/>
            <w:vAlign w:val="center"/>
            <w:textDirection w:val="lrTb"/>
            <w:noWrap w:val="false"/>
          </w:tcPr>
          <w:p>
            <w:pPr>
              <w:pStyle w:val="1071"/>
              <w:jc w:val="both"/>
              <w:spacing w:line="360" w:lineRule="atLeast"/>
              <w:widowControl/>
              <w:rPr>
                <w:rFonts w:hint="eastAsia" w:ascii="宋体" w:hAnsi="宋体" w:eastAsia="宋体" w:cs="宋体"/>
                <w:bCs/>
                <w:color w:val="000000"/>
                <w:sz w:val="24"/>
                <w:highlight w:val="none"/>
                <w:lang w:val="en-US" w:eastAsia="zh-CN" w:bidi="ar"/>
              </w:rPr>
            </w:pPr>
            <w:r>
              <w:rPr>
                <w:rFonts w:hint="eastAsia" w:ascii="宋体" w:hAnsi="宋体" w:cs="宋体"/>
                <w:color w:val="000000"/>
                <w:sz w:val="24"/>
                <w:highlight w:val="none"/>
              </w:rPr>
              <w:t xml:space="preserve">提供人员证书复印件和投标人为其缴纳的近三个月中任意一个月的社保缴纳记录。</w:t>
            </w:r>
            <w:r>
              <w:rPr>
                <w:rFonts w:hint="eastAsia" w:ascii="宋体" w:hAnsi="宋体" w:cs="宋体"/>
                <w:color w:val="000000"/>
                <w:sz w:val="24"/>
                <w:highlight w:val="none"/>
                <w:lang w:val="en-US" w:eastAsia="zh-CN"/>
              </w:rPr>
              <w:t xml:space="preserve">其中</w:t>
            </w:r>
            <w:r>
              <w:rPr>
                <w:rFonts w:hint="eastAsia" w:ascii="宋体" w:hAnsi="宋体" w:eastAsia="宋体" w:cs="宋体"/>
                <w:bCs/>
                <w:color w:val="000000"/>
                <w:sz w:val="24"/>
                <w:highlight w:val="none"/>
                <w:lang w:val="en-US" w:eastAsia="zh-CN" w:bidi="ar"/>
              </w:rPr>
            </w:r>
            <w:r/>
          </w:p>
        </w:tc>
      </w:tr>
      <w:tr>
        <w:trPr>
          <w:trHeight w:val="170"/>
        </w:trPr>
        <w:tc>
          <w:tcPr>
            <w:tcW w:w="451" w:type="dxa"/>
            <w:vAlign w:val="center"/>
            <w:textDirection w:val="lrTb"/>
            <w:noWrap w:val="false"/>
          </w:tcPr>
          <w:p>
            <w:pPr>
              <w:pStyle w:val="1071"/>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bidi="ar"/>
              </w:rPr>
            </w:r>
            <w:r/>
          </w:p>
        </w:tc>
        <w:tc>
          <w:tcPr>
            <w:tcW w:w="738" w:type="dxa"/>
            <w:vAlign w:val="center"/>
            <w:textDirection w:val="lrTb"/>
            <w:noWrap w:val="false"/>
          </w:tcPr>
          <w:p>
            <w:pPr>
              <w:pStyle w:val="1071"/>
              <w:jc w:val="center"/>
              <w:spacing w:line="360" w:lineRule="atLeast"/>
              <w:widowControl/>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拟派人员2</w:t>
            </w:r>
            <w:r>
              <w:rPr>
                <w:rFonts w:hint="eastAsia" w:ascii="宋体" w:hAnsi="宋体" w:cs="宋体"/>
                <w:bCs/>
                <w:color w:val="000000"/>
                <w:sz w:val="24"/>
                <w:highlight w:val="none"/>
                <w:lang w:val="en-US" w:eastAsia="zh-CN" w:bidi="ar"/>
              </w:rPr>
            </w:r>
            <w:r/>
          </w:p>
        </w:tc>
        <w:tc>
          <w:tcPr>
            <w:tcW w:w="475" w:type="dxa"/>
            <w:vAlign w:val="center"/>
            <w:textDirection w:val="lrTb"/>
            <w:noWrap w:val="false"/>
          </w:tcPr>
          <w:p>
            <w:pPr>
              <w:pStyle w:val="1132"/>
              <w:jc w:val="center"/>
              <w:spacing w:before="0" w:beforeAutospacing="0" w:after="0" w:afterAutospacing="0"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具备中华人民共和国道路运输从业人员从业资格证，每有1人得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分，本项目最高得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val="en-US" w:eastAsia="zh-CN"/>
              </w:rPr>
            </w:r>
            <w:r/>
          </w:p>
        </w:tc>
        <w:tc>
          <w:tcPr>
            <w:tcW w:w="1391" w:type="dxa"/>
            <w:vAlign w:val="center"/>
            <w:textDirection w:val="lrTb"/>
            <w:noWrap w:val="false"/>
          </w:tcPr>
          <w:p>
            <w:pPr>
              <w:pStyle w:val="1071"/>
              <w:jc w:val="both"/>
              <w:spacing w:line="36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提供人员证书复印件和投标人或委托运输企业为其缴纳的近三个月中任意一个月的社保缴纳记录。</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44</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8" w:type="dxa"/>
            <w:vAlign w:val="center"/>
            <w:textDirection w:val="lrTb"/>
            <w:noWrap w:val="false"/>
          </w:tcPr>
          <w:p>
            <w:pPr>
              <w:pStyle w:val="1071"/>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bCs/>
                <w:color w:val="000000"/>
                <w:sz w:val="24"/>
                <w:highlight w:val="none"/>
              </w:rPr>
              <w:t xml:space="preserve">供货服务方案</w:t>
            </w:r>
            <w:r>
              <w:rPr>
                <w:rFonts w:ascii="宋体" w:hAnsi="宋体" w:cs="宋体"/>
                <w:color w:val="000000"/>
                <w:sz w:val="24"/>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071"/>
              <w:spacing w:line="3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供货服务方案包括但不限于运输装卸等相应的工作流程、供货人员岗位职责、规章制度、制造工艺、供货服务措施、质量控制措施、定期走访方案等。</w:t>
            </w:r>
            <w:r>
              <w:rPr>
                <w:rFonts w:hint="eastAsia" w:ascii="宋体" w:hAnsi="宋体" w:cs="宋体"/>
                <w:color w:val="000000"/>
                <w:sz w:val="24"/>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供货服务方案完整详细、工艺先进、方法科学合理、可行性强、能指导具体实施并确保安全的得</w:t>
            </w:r>
            <w:r>
              <w:rPr>
                <w:rFonts w:hint="eastAsia"/>
                <w:color w:val="000000"/>
                <w:highlight w:val="none"/>
                <w:lang w:val="en-US" w:eastAsia="zh-CN"/>
              </w:rPr>
              <w:t xml:space="preserve">8</w:t>
            </w:r>
            <w:r>
              <w:rPr>
                <w:rFonts w:hint="eastAsia"/>
                <w:color w:val="000000"/>
                <w:highlight w:val="none"/>
              </w:rPr>
              <w:t xml:space="preserve">分；方案较完整、工艺一般、方法较合理可行、能指导实施并确保安全的得</w:t>
            </w:r>
            <w:r>
              <w:rPr>
                <w:rFonts w:hint="eastAsia"/>
                <w:color w:val="000000"/>
                <w:highlight w:val="none"/>
                <w:lang w:val="en-US" w:eastAsia="zh-CN"/>
              </w:rPr>
              <w:t xml:space="preserve">5</w:t>
            </w:r>
            <w:r>
              <w:rPr>
                <w:rFonts w:hint="eastAsia"/>
                <w:color w:val="000000"/>
                <w:highlight w:val="none"/>
              </w:rPr>
              <w:t xml:space="preserve">分；方案不详细、不完整、不太合理，针对性、可行性较差的得</w:t>
            </w:r>
            <w:r>
              <w:rPr>
                <w:rFonts w:hint="eastAsia"/>
                <w:color w:val="000000"/>
                <w:highlight w:val="none"/>
                <w:lang w:val="en-US" w:eastAsia="zh-CN"/>
              </w:rPr>
              <w:t xml:space="preserve">2</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738"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w:t>
            </w:r>
            <w:r>
              <w:rPr>
                <w:rFonts w:hint="eastAsia"/>
                <w:color w:val="000000"/>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bookmarkStart w:id="814" w:name="OLE_LINK8"/>
            <w:r>
              <w:rPr>
                <w:rFonts w:hint="eastAsia"/>
                <w:color w:val="000000"/>
                <w:highlight w:val="none"/>
              </w:rPr>
              <w:t xml:space="preserve">投标人根据本项目实际需求及自身情况</w:t>
            </w:r>
            <w:bookmarkEnd w:id="814"/>
            <w:r>
              <w:rPr>
                <w:rFonts w:hint="eastAsia"/>
                <w:color w:val="000000"/>
                <w:highlight w:val="none"/>
              </w:rPr>
              <w:t xml:space="preserve">提供安全措施，包括但不限于运输和卸货过程中采取的安全措施是否可靠等：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安全措施全面完整，系统规范，针对性强，科学合理，得</w:t>
            </w:r>
            <w:r>
              <w:rPr>
                <w:rFonts w:hint="eastAsia"/>
                <w:color w:val="000000"/>
                <w:highlight w:val="none"/>
                <w:lang w:val="en-US" w:eastAsia="zh-CN"/>
              </w:rPr>
              <w:t xml:space="preserve">8</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安全措施针对性较强，较规范合理的，得</w:t>
            </w:r>
            <w:r>
              <w:rPr>
                <w:rFonts w:hint="eastAsia"/>
                <w:color w:val="000000"/>
                <w:highlight w:val="none"/>
                <w:lang w:val="en-US" w:eastAsia="zh-CN"/>
              </w:rPr>
              <w:t xml:space="preserve">5</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安全措施有欠缺、不规范、不合理的，得2分。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spacing w:line="360" w:lineRule="atLeast"/>
              <w:rPr>
                <w:rFonts w:hint="eastAsia" w:ascii="宋体" w:hAnsi="宋体" w:cs="宋体"/>
                <w:color w:val="000000"/>
                <w:sz w:val="24"/>
                <w:highlight w:val="none"/>
                <w:lang w:bidi="ar"/>
              </w:rPr>
            </w:pPr>
            <w:r>
              <w:rPr>
                <w:rFonts w:hint="eastAsia" w:ascii="宋体" w:hAnsi="宋体" w:cs="宋体"/>
                <w:bCs/>
                <w:color w:val="000000"/>
                <w:sz w:val="24"/>
                <w:highlight w:val="none"/>
                <w:lang w:bidi="ar"/>
              </w:rPr>
              <w:t xml:space="preserve">3.3</w:t>
            </w:r>
            <w:r>
              <w:rPr>
                <w:rFonts w:hint="eastAsia"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rPr>
                <w:rFonts w:hint="eastAsia"/>
                <w:color w:val="000000"/>
                <w:highlight w:val="none"/>
              </w:rPr>
            </w:pPr>
            <w:r>
              <w:rPr>
                <w:rFonts w:hint="eastAsia" w:ascii="宋体" w:hAnsi="宋体" w:cs="宋体"/>
                <w:color w:val="000000"/>
                <w:sz w:val="24"/>
                <w:highlight w:val="none"/>
              </w:rPr>
              <w:t xml:space="preserve">人员培训方案</w:t>
            </w:r>
            <w:r>
              <w:rPr>
                <w:rFonts w:hint="eastAsia"/>
                <w:color w:val="000000"/>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包括但不限于对采购人技术人员进行操作、维护、应急演练等方面的培训，并且提供免费的技术咨询服务。</w:t>
            </w:r>
            <w:r>
              <w:rPr>
                <w:rFonts w:hint="eastAsia"/>
                <w:color w:val="000000"/>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人员培训方案完整详细、满足采购人培训需求的得</w:t>
            </w:r>
            <w:r>
              <w:rPr>
                <w:rFonts w:hint="eastAsia"/>
                <w:color w:val="000000"/>
                <w:highlight w:val="none"/>
                <w:lang w:val="en-US" w:eastAsia="zh-CN"/>
              </w:rPr>
              <w:t xml:space="preserve">7</w:t>
            </w:r>
            <w:r>
              <w:rPr>
                <w:rFonts w:hint="eastAsia"/>
                <w:color w:val="000000"/>
                <w:highlight w:val="none"/>
              </w:rPr>
              <w:t xml:space="preserve">分；培训方案较完整、较详细、基本满足采购人培训需求的得</w:t>
            </w:r>
            <w:r>
              <w:rPr>
                <w:rFonts w:hint="eastAsia"/>
                <w:color w:val="000000"/>
                <w:highlight w:val="none"/>
                <w:lang w:val="en-US" w:eastAsia="zh-CN"/>
              </w:rPr>
              <w:t xml:space="preserve">5</w:t>
            </w:r>
            <w:r>
              <w:rPr>
                <w:rFonts w:hint="eastAsia"/>
                <w:color w:val="000000"/>
                <w:highlight w:val="none"/>
              </w:rPr>
              <w:t xml:space="preserve">分；培训方案不完整、不详细、不能满足培训需求的得</w:t>
            </w:r>
            <w:r>
              <w:rPr>
                <w:rFonts w:hint="eastAsia"/>
                <w:color w:val="000000"/>
                <w:highlight w:val="none"/>
                <w:lang w:val="en-US" w:eastAsia="zh-CN"/>
              </w:rPr>
              <w:t xml:space="preserve">3</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spacing w:line="360" w:lineRule="atLeast"/>
              <w:rPr>
                <w:rFonts w:hint="eastAsia" w:ascii="宋体" w:hAnsi="宋体" w:cs="宋体"/>
                <w:color w:val="000000"/>
                <w:sz w:val="24"/>
                <w:highlight w:val="none"/>
                <w:lang w:bidi="ar"/>
              </w:rPr>
            </w:pPr>
            <w:r>
              <w:rPr>
                <w:rFonts w:hint="eastAsia" w:ascii="宋体" w:hAnsi="宋体" w:cs="宋体"/>
                <w:bCs/>
                <w:color w:val="000000"/>
                <w:sz w:val="24"/>
                <w:highlight w:val="none"/>
                <w:lang w:bidi="ar"/>
              </w:rPr>
              <w:t xml:space="preserve">3.4</w:t>
            </w:r>
            <w:r>
              <w:rPr>
                <w:rFonts w:hint="eastAsia"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rPr>
                <w:rFonts w:hint="eastAsia"/>
                <w:color w:val="000000"/>
                <w:highlight w:val="none"/>
              </w:rPr>
            </w:pPr>
            <w:r>
              <w:rPr>
                <w:rFonts w:hint="eastAsia" w:ascii="宋体" w:hAnsi="宋体" w:cs="宋体"/>
                <w:bCs/>
                <w:color w:val="000000"/>
                <w:sz w:val="24"/>
                <w:highlight w:val="none"/>
                <w:lang w:bidi="ar"/>
              </w:rPr>
              <w:t xml:space="preserve">液氧站设备设施维护保养方案</w:t>
            </w:r>
            <w:r>
              <w:rPr>
                <w:rFonts w:hint="eastAsia"/>
                <w:color w:val="000000"/>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val="en-US" w:eastAsia="zh-CN" w:bidi="ar"/>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098"/>
              <w:spacing w:line="360" w:lineRule="atLeas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包括但不限于</w:t>
            </w:r>
            <w:r>
              <w:rPr>
                <w:rFonts w:hint="eastAsia" w:ascii="宋体" w:hAnsi="宋体" w:cs="宋体"/>
                <w:color w:val="000000"/>
                <w:sz w:val="24"/>
                <w:highlight w:val="none"/>
              </w:rPr>
              <w:t xml:space="preserve">维修保养、巡检服务方案等。</w:t>
            </w:r>
            <w:r>
              <w:rPr>
                <w:rFonts w:hint="eastAsia" w:ascii="宋体" w:hAnsi="宋体" w:cs="宋体"/>
                <w:color w:val="000000"/>
                <w:sz w:val="24"/>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维修保养、巡检服务方案完善、合理、可操作性强的得</w:t>
            </w:r>
            <w:r>
              <w:rPr>
                <w:rFonts w:hint="eastAsia"/>
                <w:color w:val="000000"/>
                <w:highlight w:val="none"/>
                <w:lang w:val="en-US" w:eastAsia="zh-CN"/>
              </w:rPr>
              <w:t xml:space="preserve">7</w:t>
            </w:r>
            <w:r>
              <w:rPr>
                <w:rFonts w:hint="eastAsia"/>
                <w:color w:val="000000"/>
                <w:highlight w:val="none"/>
              </w:rPr>
              <w:t xml:space="preserve">分；方案较完善、合理、可操作性较高的得</w:t>
            </w:r>
            <w:r>
              <w:rPr>
                <w:rFonts w:hint="eastAsia"/>
                <w:color w:val="000000"/>
                <w:highlight w:val="none"/>
                <w:lang w:val="en-US" w:eastAsia="zh-CN"/>
              </w:rPr>
              <w:t xml:space="preserve">5</w:t>
            </w:r>
            <w:r>
              <w:rPr>
                <w:rFonts w:hint="eastAsia"/>
                <w:color w:val="000000"/>
                <w:highlight w:val="none"/>
              </w:rPr>
              <w:t xml:space="preserve">分；方案不完善、不合理、可操作性差的得</w:t>
            </w:r>
            <w:r>
              <w:rPr>
                <w:rFonts w:hint="eastAsia"/>
                <w:color w:val="000000"/>
                <w:highlight w:val="none"/>
                <w:lang w:val="en-US" w:eastAsia="zh-CN"/>
              </w:rPr>
              <w:t xml:space="preserve">3</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rPr>
            </w:r>
            <w:r/>
          </w:p>
        </w:tc>
        <w:tc>
          <w:tcPr>
            <w:tcW w:w="738"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应急预案</w:t>
            </w:r>
            <w:r>
              <w:rPr>
                <w:rFonts w:hint="eastAsia" w:ascii="宋体" w:hAnsi="宋体" w:cs="宋体"/>
                <w:color w:val="000000"/>
                <w:sz w:val="24"/>
                <w:highlight w:val="none"/>
              </w:rPr>
            </w:r>
            <w:r/>
          </w:p>
        </w:tc>
        <w:tc>
          <w:tcPr>
            <w:tcW w:w="475" w:type="dxa"/>
            <w:vAlign w:val="center"/>
            <w:textDirection w:val="lrTb"/>
            <w:noWrap w:val="false"/>
          </w:tcPr>
          <w:p>
            <w:pPr>
              <w:pStyle w:val="1071"/>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根据本项目实际需求及自身情况提供应急预案，根据方案全面性、合理性等方面评分。方案全面完善、防范及应对措施精细准确、及时有效，整体针对性强，对突发状况有合理的应急处理预案，控制措施到位的得</w:t>
            </w:r>
            <w:r>
              <w:rPr>
                <w:rFonts w:hint="eastAsia"/>
                <w:color w:val="000000"/>
                <w:highlight w:val="none"/>
                <w:lang w:val="en-US" w:eastAsia="zh-CN"/>
              </w:rPr>
              <w:t xml:space="preserve">7</w:t>
            </w:r>
            <w:r>
              <w:rPr>
                <w:rFonts w:hint="eastAsia"/>
                <w:color w:val="000000"/>
                <w:highlight w:val="none"/>
              </w:rPr>
              <w:t xml:space="preserve">分；问题分析较为深入，应对措施可行，针对性较强得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方案笼统、简单，应对措施缺乏合理性，针对性的</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color w:val="000000"/>
                <w:highlight w:val="none"/>
              </w:rPr>
            </w:pPr>
            <w:r>
              <w:rPr>
                <w:rFonts w:hint="eastAsia"/>
                <w:color w:val="000000"/>
                <w:highlight w:val="none"/>
              </w:rPr>
              <w:t xml:space="preserve">未提供或无相关内容的不得分。</w:t>
            </w:r>
            <w:r>
              <w:rPr>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738" w:type="dxa"/>
            <w:vAlign w:val="center"/>
            <w:textDirection w:val="lrTb"/>
            <w:noWrap w:val="false"/>
          </w:tcPr>
          <w:p>
            <w:pPr>
              <w:pStyle w:val="1071"/>
              <w:jc w:val="center"/>
              <w:widowControl/>
              <w:rPr>
                <w:rFonts w:ascii="宋体" w:hAnsi="宋体" w:cs="宋体"/>
                <w:color w:val="000000"/>
                <w:sz w:val="24"/>
                <w:highlight w:val="none"/>
              </w:rPr>
            </w:pPr>
            <w:r>
              <w:rPr>
                <w:rFonts w:hint="eastAsia" w:ascii="宋体" w:hAnsi="宋体" w:cs="宋体"/>
                <w:color w:val="000000"/>
                <w:sz w:val="24"/>
                <w:highlight w:val="none"/>
              </w:rPr>
              <w:t xml:space="preserve">售后服务</w:t>
            </w:r>
            <w:r>
              <w:rPr>
                <w:rFonts w:ascii="宋体" w:hAnsi="宋体" w:cs="宋体"/>
                <w:color w:val="000000"/>
                <w:sz w:val="24"/>
                <w:highlight w:val="none"/>
              </w:rPr>
            </w:r>
            <w:r/>
          </w:p>
        </w:tc>
        <w:tc>
          <w:tcPr>
            <w:tcW w:w="475" w:type="dxa"/>
            <w:vAlign w:val="center"/>
            <w:textDirection w:val="lrTb"/>
            <w:noWrap w:val="false"/>
          </w:tcPr>
          <w:p>
            <w:pPr>
              <w:pStyle w:val="1071"/>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根据招标要求和投标技术响应情况，对投标人提供的售后服务方案，内容包括：售后服务承诺及保障措施、响应及处理周期、售后服务方式、售后服务网点整体情况进行评价：</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售后服务方案科学合理、完整、切实可行，能提供完善 的后续保障服务，得</w:t>
            </w:r>
            <w:r>
              <w:rPr>
                <w:rFonts w:hint="eastAsia"/>
                <w:color w:val="000000"/>
                <w:highlight w:val="none"/>
                <w:lang w:val="en-US" w:eastAsia="zh-CN"/>
              </w:rPr>
              <w:t xml:space="preserve">7</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售后服务方案较为合理、完整、可行，提供较完善的后 续保障服务，得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售后服务方案简单或有欠缺，提供的后续保障服务有局限，得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未提供</w:t>
            </w:r>
            <w:bookmarkStart w:id="815" w:name="OLE_LINK19"/>
            <w:r>
              <w:rPr>
                <w:rFonts w:hint="eastAsia"/>
                <w:color w:val="000000"/>
                <w:highlight w:val="none"/>
              </w:rPr>
              <w:t xml:space="preserve">或无相关内容的不得分。</w:t>
            </w:r>
            <w:bookmarkEnd w:id="815"/>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09"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6" w:type="dxa"/>
            <w:vAlign w:val="center"/>
            <w:textDirection w:val="lrTb"/>
            <w:noWrap w:val="false"/>
          </w:tcPr>
          <w:p>
            <w:pPr>
              <w:pStyle w:val="107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1"/>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71"/>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6" w:name="_Toc99301424"/>
      <w:r>
        <w:rPr>
          <w:rFonts w:ascii="宋体" w:hAnsi="宋体"/>
          <w:b/>
          <w:color w:val="000000"/>
          <w:sz w:val="36"/>
          <w:szCs w:val="36"/>
          <w:highlight w:val="none"/>
        </w:rPr>
        <w:t xml:space="preserve">第五章   采购需求</w:t>
      </w:r>
      <w:bookmarkEnd w:id="816"/>
      <w:r>
        <w:rPr>
          <w:rFonts w:ascii="宋体" w:hAnsi="宋体"/>
          <w:b/>
          <w:color w:val="000000"/>
          <w:sz w:val="36"/>
          <w:szCs w:val="36"/>
          <w:highlight w:val="none"/>
        </w:rPr>
      </w:r>
      <w:r/>
    </w:p>
    <w:p>
      <w:pPr>
        <w:pStyle w:val="1165"/>
        <w:numPr>
          <w:ilvl w:val="0"/>
          <w:numId w:val="0"/>
        </w:numPr>
        <w:contextualSpacing/>
        <w:ind w:left="-2" w:firstLine="482"/>
        <w:spacing w:line="360" w:lineRule="auto"/>
        <w:tabs>
          <w:tab w:val="left" w:pos="567" w:leader="none"/>
        </w:tabs>
        <w:rPr>
          <w:rFonts w:hint="eastAsia" w:ascii="宋体" w:hAnsi="宋体" w:eastAsia="宋体"/>
          <w:b/>
          <w:color w:val="000000"/>
          <w:sz w:val="24"/>
          <w:szCs w:val="24"/>
          <w:highlight w:val="none"/>
          <w:lang w:eastAsia="zh-CN"/>
        </w:rPr>
      </w:pPr>
      <w:r>
        <w:rPr>
          <w:rFonts w:ascii="宋体" w:hAnsi="宋体"/>
          <w:b/>
          <w:color w:val="000000"/>
          <w:sz w:val="24"/>
          <w:szCs w:val="24"/>
          <w:highlight w:val="none"/>
          <w:lang w:val="en-US" w:eastAsia="zh-CN" w:bidi="ar-SA"/>
        </w:rPr>
        <w:t xml:space="preserve">一、</w:t>
      </w:r>
      <w:r>
        <w:rPr>
          <w:rFonts w:hint="eastAsia" w:ascii="宋体" w:hAnsi="宋体"/>
          <w:b/>
          <w:color w:val="000000"/>
          <w:sz w:val="24"/>
          <w:szCs w:val="24"/>
          <w:highlight w:val="none"/>
          <w:lang w:val="en-US" w:eastAsia="zh-CN"/>
        </w:rPr>
        <w:t xml:space="preserve">项目概况</w:t>
      </w:r>
      <w:r>
        <w:rPr>
          <w:rFonts w:hint="eastAsia" w:ascii="宋体" w:hAnsi="宋体" w:eastAsia="宋体"/>
          <w:b/>
          <w:color w:val="000000"/>
          <w:sz w:val="24"/>
          <w:szCs w:val="24"/>
          <w:highlight w:val="none"/>
          <w:lang w:eastAsia="zh-CN"/>
        </w:rPr>
      </w:r>
      <w:r/>
    </w:p>
    <w:p>
      <w:pPr>
        <w:pStyle w:val="1071"/>
        <w:contextualSpacing/>
        <w:ind w:left="-2" w:firstLine="480"/>
        <w:spacing w:line="360" w:lineRule="auto"/>
        <w:tabs>
          <w:tab w:val="left" w:pos="567" w:leader="none"/>
        </w:tabs>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常州市第一人民医院</w:t>
      </w:r>
      <w:r>
        <w:rPr>
          <w:rFonts w:hint="eastAsia" w:ascii="宋体" w:hAnsi="宋体"/>
          <w:bCs/>
          <w:color w:val="000000"/>
          <w:sz w:val="24"/>
          <w:highlight w:val="none"/>
          <w:lang w:eastAsia="zh-CN"/>
        </w:rPr>
        <w:t xml:space="preserve">医用氧（液氧）供应服务采购项目</w:t>
      </w:r>
      <w:r>
        <w:rPr>
          <w:rFonts w:hint="eastAsia" w:ascii="宋体" w:hAnsi="宋体" w:eastAsia="宋体"/>
          <w:bCs/>
          <w:color w:val="000000"/>
          <w:sz w:val="24"/>
          <w:highlight w:val="none"/>
          <w:lang w:eastAsia="zh-CN"/>
        </w:rPr>
      </w:r>
      <w:r/>
    </w:p>
    <w:tbl>
      <w:tblPr>
        <w:tblStyle w:val="114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6"/>
        <w:gridCol w:w="2162"/>
        <w:gridCol w:w="2491"/>
        <w:gridCol w:w="2385"/>
      </w:tblGrid>
      <w:tr>
        <w:trPr/>
        <w:tc>
          <w:tcPr>
            <w:tcW w:w="1210"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气体类别</w:t>
            </w:r>
            <w:r>
              <w:rPr>
                <w:rFonts w:ascii="宋体" w:cs="宋体"/>
                <w:color w:val="000000"/>
                <w:sz w:val="24"/>
                <w:szCs w:val="24"/>
                <w:highlight w:val="none"/>
                <w:vertAlign w:val="baseline"/>
                <w:lang w:val="en-US" w:eastAsia="zh-CN" w:bidi="ar-SA"/>
              </w:rPr>
            </w:r>
            <w:r/>
          </w:p>
        </w:tc>
        <w:tc>
          <w:tcPr>
            <w:tcW w:w="116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规格</w:t>
            </w:r>
            <w:r>
              <w:rPr>
                <w:rFonts w:ascii="宋体" w:cs="宋体"/>
                <w:color w:val="000000"/>
                <w:sz w:val="24"/>
                <w:szCs w:val="24"/>
                <w:highlight w:val="none"/>
                <w:vertAlign w:val="baseline"/>
                <w:lang w:val="en-US" w:eastAsia="zh-CN" w:bidi="ar-SA"/>
              </w:rPr>
            </w:r>
            <w:r/>
          </w:p>
        </w:tc>
        <w:tc>
          <w:tcPr>
            <w:tcW w:w="1341"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预计年采购量（吨）</w:t>
            </w:r>
            <w:r>
              <w:rPr>
                <w:rFonts w:ascii="宋体" w:cs="宋体"/>
                <w:color w:val="000000"/>
                <w:sz w:val="24"/>
                <w:szCs w:val="24"/>
                <w:highlight w:val="none"/>
                <w:vertAlign w:val="baseline"/>
                <w:lang w:val="en-US" w:eastAsia="zh-CN" w:bidi="ar-SA"/>
              </w:rPr>
            </w:r>
            <w:r/>
          </w:p>
        </w:tc>
        <w:tc>
          <w:tcPr>
            <w:tcW w:w="128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单价限价（元/吨）</w:t>
            </w:r>
            <w:r>
              <w:rPr>
                <w:rFonts w:cs="宋体"/>
                <w:color w:val="000000"/>
                <w:sz w:val="24"/>
                <w:szCs w:val="24"/>
                <w:highlight w:val="none"/>
                <w:vertAlign w:val="baseline"/>
                <w:lang w:val="en-US" w:eastAsia="zh-CN" w:bidi="ar-SA"/>
              </w:rPr>
            </w:r>
            <w:r/>
          </w:p>
        </w:tc>
      </w:tr>
      <w:tr>
        <w:trPr/>
        <w:tc>
          <w:tcPr>
            <w:tcW w:w="1210"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ascii="宋体" w:hAnsi="宋体"/>
                <w:bCs/>
                <w:color w:val="000000"/>
                <w:sz w:val="24"/>
                <w:highlight w:val="none"/>
                <w:lang w:eastAsia="zh-CN"/>
              </w:rPr>
              <w:t xml:space="preserve">医用氧（液氧）</w:t>
            </w:r>
            <w:r>
              <w:rPr>
                <w:rFonts w:ascii="宋体" w:cs="宋体"/>
                <w:color w:val="000000"/>
                <w:sz w:val="24"/>
                <w:szCs w:val="24"/>
                <w:highlight w:val="none"/>
                <w:vertAlign w:val="baseline"/>
                <w:lang w:val="en-US" w:eastAsia="zh-CN" w:bidi="ar-SA"/>
              </w:rPr>
            </w:r>
            <w:r/>
          </w:p>
        </w:tc>
        <w:tc>
          <w:tcPr>
            <w:tcW w:w="116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ascii="宋体" w:hAnsi="宋体" w:eastAsia="宋体"/>
                <w:color w:val="000000"/>
                <w:sz w:val="24"/>
                <w:szCs w:val="24"/>
                <w:highlight w:val="none"/>
              </w:rPr>
              <w:t xml:space="preserve">浓度≥99.5%</w:t>
            </w:r>
            <w:r>
              <w:rPr>
                <w:rFonts w:ascii="宋体" w:cs="宋体"/>
                <w:color w:val="000000"/>
                <w:sz w:val="24"/>
                <w:szCs w:val="24"/>
                <w:highlight w:val="none"/>
                <w:vertAlign w:val="baseline"/>
                <w:lang w:val="en-US" w:eastAsia="zh-CN" w:bidi="ar-SA"/>
              </w:rPr>
            </w:r>
            <w:r/>
          </w:p>
        </w:tc>
        <w:tc>
          <w:tcPr>
            <w:tcW w:w="1341"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eastAsia="宋体" w:cs="宋体"/>
                <w:color w:val="000000"/>
                <w:sz w:val="24"/>
                <w:szCs w:val="24"/>
                <w:highlight w:val="none"/>
                <w:vertAlign w:val="baseline"/>
                <w:lang w:val="en-US" w:eastAsia="zh-CN" w:bidi="ar-SA"/>
              </w:rPr>
              <w:suppressLineNumbers w:val="0"/>
            </w:pPr>
            <w:r>
              <w:rPr>
                <w:rFonts w:hint="eastAsia" w:ascii="宋体" w:eastAsia="宋体" w:cs="宋体"/>
                <w:color w:val="000000"/>
                <w:sz w:val="24"/>
                <w:szCs w:val="24"/>
                <w:highlight w:val="none"/>
                <w:vertAlign w:val="baseline"/>
                <w:lang w:val="en-US" w:eastAsia="zh-CN" w:bidi="ar-SA"/>
              </w:rPr>
              <w:t xml:space="preserve">2147</w:t>
            </w:r>
            <w:r>
              <w:rPr>
                <w:rFonts w:ascii="宋体" w:eastAsia="宋体" w:cs="宋体"/>
                <w:color w:val="000000"/>
                <w:sz w:val="24"/>
                <w:szCs w:val="24"/>
                <w:highlight w:val="none"/>
                <w:vertAlign w:val="baseline"/>
                <w:lang w:val="en-US" w:eastAsia="zh-CN" w:bidi="ar-SA"/>
              </w:rPr>
            </w:r>
            <w:r/>
          </w:p>
        </w:tc>
        <w:tc>
          <w:tcPr>
            <w:tcW w:w="128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eastAsia="宋体" w:cs="宋体"/>
                <w:color w:val="000000"/>
                <w:sz w:val="24"/>
                <w:szCs w:val="24"/>
                <w:highlight w:val="none"/>
                <w:vertAlign w:val="baseline"/>
                <w:lang w:val="en-US" w:eastAsia="zh-CN" w:bidi="ar-SA"/>
              </w:rPr>
              <w:suppressLineNumbers w:val="0"/>
            </w:pPr>
            <w:r>
              <w:rPr>
                <w:rFonts w:hint="eastAsia" w:ascii="宋体" w:eastAsia="宋体" w:cs="宋体"/>
                <w:color w:val="000000"/>
                <w:sz w:val="24"/>
                <w:szCs w:val="24"/>
                <w:highlight w:val="none"/>
                <w:vertAlign w:val="baseline"/>
                <w:lang w:val="en-US" w:eastAsia="zh-CN" w:bidi="ar-SA"/>
              </w:rPr>
              <w:t xml:space="preserve">950</w:t>
            </w:r>
            <w:r>
              <w:rPr>
                <w:rFonts w:ascii="宋体" w:eastAsia="宋体" w:cs="宋体"/>
                <w:color w:val="000000"/>
                <w:sz w:val="24"/>
                <w:szCs w:val="24"/>
                <w:highlight w:val="none"/>
                <w:vertAlign w:val="baseline"/>
                <w:lang w:val="en-US" w:eastAsia="zh-CN" w:bidi="ar-SA"/>
              </w:rPr>
            </w:r>
            <w:r/>
          </w:p>
        </w:tc>
      </w:tr>
    </w:tbl>
    <w:p>
      <w:pPr>
        <w:pStyle w:val="1071"/>
        <w:contextualSpacing/>
        <w:ind w:left="-2" w:firstLine="480"/>
        <w:spacing w:line="360" w:lineRule="auto"/>
        <w:tabs>
          <w:tab w:val="left" w:pos="567"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注：以上</w:t>
      </w:r>
      <w:r>
        <w:rPr>
          <w:rFonts w:hint="eastAsia" w:ascii="宋体" w:hAnsi="宋体" w:eastAsia="宋体" w:cs="Times New Roman"/>
          <w:color w:val="000000"/>
          <w:sz w:val="24"/>
          <w:highlight w:val="none"/>
          <w:lang w:eastAsia="zh-CN"/>
        </w:rPr>
        <w:t xml:space="preserve">医用</w:t>
      </w:r>
      <w:r>
        <w:rPr>
          <w:rFonts w:hint="eastAsia" w:cs="宋体"/>
          <w:color w:val="000000"/>
          <w:sz w:val="24"/>
          <w:szCs w:val="24"/>
          <w:highlight w:val="none"/>
          <w:vertAlign w:val="baseline"/>
          <w:lang w:val="en-US" w:eastAsia="zh-CN" w:bidi="ar-SA"/>
        </w:rPr>
        <w:t xml:space="preserve">液</w:t>
      </w:r>
      <w:r>
        <w:rPr>
          <w:rFonts w:hint="eastAsia" w:ascii="宋体" w:hAnsi="宋体" w:eastAsia="宋体" w:cs="Times New Roman"/>
          <w:color w:val="000000"/>
          <w:sz w:val="24"/>
          <w:highlight w:val="none"/>
          <w:lang w:eastAsia="zh-CN"/>
        </w:rPr>
        <w:t xml:space="preserve">氧</w:t>
      </w:r>
      <w:r>
        <w:rPr>
          <w:rFonts w:hint="eastAsia" w:ascii="宋体" w:hAnsi="宋体" w:eastAsia="宋体" w:cs="Times New Roman"/>
          <w:color w:val="000000"/>
          <w:sz w:val="24"/>
          <w:highlight w:val="none"/>
        </w:rPr>
        <w:t xml:space="preserve">数量为采购人预估用量，仅用于本项目单价的报价计算。</w:t>
      </w:r>
      <w:r>
        <w:rPr>
          <w:rFonts w:hint="eastAsia" w:ascii="宋体" w:hAnsi="宋体" w:eastAsia="宋体" w:cs="Times New Roman"/>
          <w:color w:val="000000"/>
          <w:sz w:val="24"/>
          <w:highlight w:val="none"/>
          <w:lang w:val="en-US" w:eastAsia="zh-CN"/>
        </w:rPr>
        <w:t xml:space="preserve">中标人</w:t>
      </w:r>
      <w:r>
        <w:rPr>
          <w:rFonts w:hint="eastAsia" w:ascii="宋体" w:hAnsi="宋体" w:eastAsia="宋体" w:cs="Times New Roman"/>
          <w:color w:val="000000"/>
          <w:sz w:val="24"/>
          <w:highlight w:val="none"/>
        </w:rPr>
        <w:t xml:space="preserve">按需分批供应，具体以采购周期内采购人的实际采购量为准。</w:t>
      </w:r>
      <w:r>
        <w:rPr>
          <w:rFonts w:hint="eastAsia" w:ascii="宋体" w:hAnsi="宋体" w:eastAsia="宋体" w:cs="Times New Roman"/>
          <w:color w:val="000000"/>
          <w:sz w:val="24"/>
          <w:highlight w:val="none"/>
        </w:rPr>
      </w:r>
      <w:r/>
    </w:p>
    <w:p>
      <w:pPr>
        <w:pStyle w:val="1165"/>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color w:val="000000"/>
          <w:sz w:val="24"/>
          <w:szCs w:val="24"/>
          <w:highlight w:val="none"/>
        </w:rPr>
        <w:t xml:space="preserve">二、基本要求</w:t>
      </w:r>
      <w:r>
        <w:rPr>
          <w:rFonts w:ascii="宋体" w:hAnsi="宋体"/>
          <w:b/>
          <w:color w:val="000000"/>
          <w:sz w:val="24"/>
          <w:szCs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bookmarkStart w:id="817" w:name="OLE_LINK1"/>
      <w:r>
        <w:rPr>
          <w:rFonts w:hint="eastAsia" w:ascii="宋体" w:hAnsi="宋体" w:cs="宋体"/>
          <w:color w:val="000000"/>
          <w:sz w:val="24"/>
          <w:highlight w:val="none"/>
          <w:lang w:bidi="ar"/>
        </w:rPr>
        <w:t xml:space="preserve">投标人</w:t>
      </w:r>
      <w:bookmarkEnd w:id="817"/>
      <w:r>
        <w:rPr>
          <w:rFonts w:hint="eastAsia" w:ascii="宋体" w:hAnsi="宋体" w:cs="宋体"/>
          <w:color w:val="000000"/>
          <w:sz w:val="24"/>
          <w:highlight w:val="none"/>
          <w:lang w:bidi="ar"/>
        </w:rPr>
        <w:t xml:space="preserve">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1"/>
        <w:contextualSpacing/>
        <w:ind w:left="-2" w:firstLine="480"/>
        <w:spacing w:line="360" w:lineRule="auto"/>
        <w:tabs>
          <w:tab w:val="left" w:pos="567" w:leader="none"/>
        </w:tabs>
        <w:rPr>
          <w:rFonts w:ascii="宋体" w:hAnsi="宋体"/>
          <w:b/>
          <w:i/>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b/>
          <w:i/>
          <w:color w:val="000000"/>
          <w:sz w:val="24"/>
          <w:highlight w:val="none"/>
        </w:rPr>
      </w:r>
      <w:r/>
    </w:p>
    <w:p>
      <w:pPr>
        <w:pStyle w:val="1165"/>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三、</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医用液氧浓度≥99.5%；</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各项指标符合《中华人民共和国药典 2025 年版》</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各项检测要求需要</w:t>
      </w:r>
      <w:r>
        <w:rPr>
          <w:rFonts w:hint="eastAsia" w:ascii="宋体" w:hAnsi="宋体"/>
          <w:color w:val="000000"/>
          <w:sz w:val="24"/>
          <w:szCs w:val="24"/>
          <w:highlight w:val="none"/>
          <w:lang w:val="en-US" w:eastAsia="zh-CN"/>
        </w:rPr>
        <w:t xml:space="preserve">按</w:t>
      </w:r>
      <w:r>
        <w:rPr>
          <w:rFonts w:hint="eastAsia" w:ascii="宋体" w:hAnsi="宋体"/>
          <w:color w:val="000000"/>
          <w:sz w:val="24"/>
          <w:szCs w:val="24"/>
          <w:highlight w:val="none"/>
        </w:rPr>
        <w:t xml:space="preserve">以下执行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（1）低温液体，气化后为无色气体，无臭、无味</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（2）一氧化碳≤0.0005%（ml/ml），二氧化碳≤0.03%（ml/ml），水分≤0.0067%（ml/ml）</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提供有效的产品</w:t>
      </w:r>
      <w:r>
        <w:rPr>
          <w:rFonts w:hint="eastAsia" w:ascii="宋体" w:hAnsi="宋体"/>
          <w:color w:val="000000"/>
          <w:sz w:val="24"/>
          <w:szCs w:val="24"/>
          <w:highlight w:val="none"/>
          <w:lang w:val="en-US" w:eastAsia="zh-CN"/>
        </w:rPr>
        <w:t xml:space="preserve">第三方检测</w:t>
      </w:r>
      <w:r>
        <w:rPr>
          <w:rFonts w:hint="eastAsia" w:ascii="宋体" w:hAnsi="宋体"/>
          <w:color w:val="000000"/>
          <w:sz w:val="24"/>
          <w:szCs w:val="24"/>
          <w:highlight w:val="none"/>
        </w:rPr>
        <w:t xml:space="preserve">报告、医用氧生产工厂的检测报告</w:t>
      </w:r>
      <w:r>
        <w:rPr>
          <w:rFonts w:ascii="宋体" w:hAnsi="宋体"/>
          <w:color w:val="000000"/>
          <w:sz w:val="24"/>
          <w:szCs w:val="24"/>
          <w:highlight w:val="none"/>
        </w:rPr>
      </w:r>
      <w:r/>
    </w:p>
    <w:p>
      <w:pPr>
        <w:pStyle w:val="1071"/>
        <w:ind w:firstLine="482"/>
        <w:jc w:val="left"/>
        <w:spacing w:line="360" w:lineRule="auto"/>
        <w:rPr>
          <w:rFonts w:ascii="宋体" w:hAnsi="宋体" w:eastAsia="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四、服务要求</w:t>
      </w:r>
      <w:r>
        <w:rPr>
          <w:rFonts w:ascii="宋体" w:hAnsi="宋体" w:eastAsia="宋体" w:cs="宋体"/>
          <w:b/>
          <w:color w:val="000000"/>
          <w:sz w:val="24"/>
          <w:highlight w:val="none"/>
          <w:lang w:val="en-US" w:eastAsia="zh-CN" w:bidi="ar"/>
        </w:rPr>
      </w:r>
      <w:r/>
    </w:p>
    <w:p>
      <w:pPr>
        <w:pStyle w:val="1165"/>
        <w:contextualSpacing/>
        <w:ind w:left="-2" w:firstLine="480"/>
        <w:jc w:val="left"/>
        <w:spacing w:line="360" w:lineRule="auto"/>
        <w:tabs>
          <w:tab w:val="left" w:pos="567" w:leader="none"/>
        </w:tabs>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提供符合采购人使用要求的液氧，运送至采购方指定位置，并冲装进液氧罐。</w:t>
      </w:r>
      <w:r>
        <w:rPr>
          <w:rFonts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按采购人的使用需求，医用氧须在24小时内（特殊时期2小时内）送达指定场地，不得以送货数量的多少、距离远近等拖延送货。</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3、如因气体质量问题或因未按时送货导致的任何医疗事故损失，由</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承担。</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ascii="宋体" w:hAnsi="宋体" w:cs="宋体"/>
          <w:color w:val="000000"/>
          <w:sz w:val="24"/>
          <w:highlight w:val="none"/>
          <w:lang w:bidi="ar"/>
        </w:rPr>
        <w:t xml:space="preserve">押运人员及司机到达运送现场，须佩戴必要的防护用品</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5、投标人需对液氧罐定时做真空度监测，如果真空度达不到标准，投标人应免费补充真空作业。</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6、投标人需对液氧站设备设施进行维护保养（投标人需负责医院液氧站所有设备维护保养工作，包括但不限于每周一次巡检工作、每月出一份报告。紧急情况抢修1小时内到达现场等），办理设备年检。</w:t>
      </w:r>
      <w:r>
        <w:rPr>
          <w:rFonts w:hint="eastAsia" w:ascii="宋体" w:hAnsi="宋体" w:eastAsia="宋体" w:cs="Times New Roman"/>
          <w:color w:val="000000"/>
          <w:sz w:val="24"/>
          <w:szCs w:val="24"/>
          <w:highlight w:val="none"/>
          <w:lang w:val="en-US" w:eastAsia="zh-CN"/>
        </w:rPr>
      </w:r>
      <w:r/>
    </w:p>
    <w:p>
      <w:pPr>
        <w:pStyle w:val="1165"/>
        <w:contextualSpacing/>
        <w:ind w:left="-2" w:firstLine="480"/>
        <w:spacing w:line="360" w:lineRule="auto"/>
        <w:tabs>
          <w:tab w:val="left" w:pos="567" w:leader="none"/>
        </w:tabs>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人员</w:t>
      </w:r>
      <w:r>
        <w:rPr>
          <w:rFonts w:hint="eastAsia" w:ascii="宋体" w:hAnsi="宋体" w:cs="宋体"/>
          <w:color w:val="000000"/>
          <w:sz w:val="24"/>
          <w:highlight w:val="none"/>
          <w:lang w:val="en-US" w:eastAsia="zh-CN" w:bidi="ar"/>
        </w:rPr>
        <w:t xml:space="preserve">及车辆</w:t>
      </w:r>
      <w:r>
        <w:rPr>
          <w:rFonts w:hint="eastAsia" w:ascii="宋体" w:hAnsi="宋体" w:cs="宋体"/>
          <w:color w:val="000000"/>
          <w:sz w:val="24"/>
          <w:highlight w:val="none"/>
          <w:lang w:bidi="ar"/>
        </w:rPr>
        <w:t xml:space="preserve">要求</w:t>
      </w:r>
      <w:r>
        <w:rPr>
          <w:rFonts w:hint="eastAsia" w:ascii="宋体" w:hAnsi="宋体" w:cs="宋体"/>
          <w:color w:val="000000"/>
          <w:sz w:val="24"/>
          <w:highlight w:val="none"/>
          <w:lang w:bidi="ar"/>
        </w:rPr>
      </w:r>
      <w:r/>
    </w:p>
    <w:p>
      <w:pPr>
        <w:pStyle w:val="1165"/>
        <w:contextualSpacing/>
        <w:ind w:left="-2" w:firstLine="480"/>
        <w:spacing w:line="360" w:lineRule="auto"/>
        <w:tabs>
          <w:tab w:val="left" w:pos="567" w:leader="none"/>
        </w:tabs>
        <w:rPr>
          <w:rFonts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t xml:space="preserve">1.液氧充装人员必须持国家要求的特种作业操作证。</w:t>
      </w:r>
      <w:r>
        <w:rPr>
          <w:rFonts w:ascii="宋体" w:hAnsi="宋体" w:cs="宋体"/>
          <w:color w:val="000000"/>
          <w:sz w:val="24"/>
          <w:highlight w:val="none"/>
          <w:lang w:bidi="ar"/>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t xml:space="preserve">2.液氧充装车辆压力容器及安全阀必须在年检有效期内。</w:t>
      </w:r>
      <w:r>
        <w:rPr>
          <w:rFonts w:hint="eastAsia" w:ascii="宋体" w:hAnsi="宋体" w:eastAsia="宋体" w:cs="Times New Roman"/>
          <w:color w:val="000000"/>
          <w:sz w:val="24"/>
          <w:szCs w:val="24"/>
          <w:highlight w:val="none"/>
          <w:lang w:val="en-US" w:eastAsia="zh-CN"/>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、报价方式</w:t>
      </w:r>
      <w:r>
        <w:rPr>
          <w:rFonts w:hint="eastAsia" w:ascii="宋体" w:hAnsi="宋体" w:cs="宋体"/>
          <w:b/>
          <w:color w:val="000000"/>
          <w:sz w:val="24"/>
          <w:highlight w:val="none"/>
        </w:rPr>
      </w:r>
      <w:r/>
    </w:p>
    <w:p>
      <w:pPr>
        <w:pStyle w:val="1071"/>
        <w:ind w:firstLine="480"/>
        <w:spacing w:line="360" w:lineRule="auto"/>
        <w:tabs>
          <w:tab w:val="left" w:pos="284"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bCs/>
          <w:color w:val="000000"/>
          <w:sz w:val="24"/>
          <w:highlight w:val="none"/>
          <w:u w:val="single"/>
          <w:lang w:bidi="ar"/>
        </w:rPr>
        <w:t xml:space="preserve">固定单价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cs="宋体"/>
          <w:color w:val="000000"/>
          <w:sz w:val="24"/>
          <w:highlight w:val="none"/>
        </w:rPr>
      </w:r>
      <w:r/>
    </w:p>
    <w:p>
      <w:pPr>
        <w:pStyle w:val="1071"/>
        <w:ind w:firstLine="482"/>
        <w:jc w:val="left"/>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val="en-US" w:eastAsia="zh-CN" w:bidi="ar"/>
        </w:rPr>
        <w:t xml:space="preserve">服务期限及交货期要求</w:t>
      </w:r>
      <w:r>
        <w:rPr>
          <w:rFonts w:ascii="宋体" w:hAnsi="宋体" w:eastAsia="宋体" w:cs="宋体"/>
          <w:b/>
          <w:color w:val="000000"/>
          <w:sz w:val="24"/>
          <w:highlight w:val="none"/>
          <w:lang w:val="en-US" w:eastAsia="zh-CN"/>
        </w:rPr>
      </w:r>
      <w:r/>
    </w:p>
    <w:p>
      <w:pPr>
        <w:pStyle w:val="1071"/>
        <w:ind w:firstLine="480"/>
        <w:jc w:val="left"/>
        <w:spacing w:line="360" w:lineRule="auto"/>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1、服务期限：</w:t>
      </w:r>
      <w:r>
        <w:rPr>
          <w:rFonts w:hint="eastAsia" w:ascii="宋体" w:hAnsi="宋体" w:cs="宋体"/>
          <w:b/>
          <w:color w:val="000000"/>
          <w:sz w:val="24"/>
          <w:highlight w:val="none"/>
          <w:lang w:bidi="ar"/>
        </w:rPr>
        <w:t xml:space="preserve">三年</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val="en-US" w:eastAsia="zh-CN" w:bidi="ar"/>
        </w:rPr>
        <w:t xml:space="preserve">合同一年一签。</w:t>
      </w:r>
      <w:r>
        <w:rPr>
          <w:rFonts w:ascii="宋体" w:hAnsi="宋体" w:eastAsia="宋体" w:cs="宋体"/>
          <w:color w:val="000000"/>
          <w:sz w:val="24"/>
          <w:highlight w:val="none"/>
          <w:lang w:val="en-US" w:eastAsia="zh-CN" w:bidi="ar"/>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交货</w:t>
      </w:r>
      <w:r>
        <w:rPr>
          <w:rFonts w:hint="eastAsia" w:ascii="宋体" w:hAnsi="宋体" w:cs="宋体"/>
          <w:color w:val="000000"/>
          <w:sz w:val="24"/>
          <w:highlight w:val="none"/>
          <w:lang w:val="en-US" w:eastAsia="zh-CN" w:bidi="ar"/>
        </w:rPr>
        <w:t xml:space="preserve">要求</w:t>
      </w:r>
      <w:r>
        <w:rPr>
          <w:rFonts w:hint="eastAsia" w:ascii="宋体" w:hAnsi="宋体" w:cs="宋体"/>
          <w:color w:val="000000"/>
          <w:sz w:val="24"/>
          <w:highlight w:val="none"/>
          <w:lang w:bidi="ar"/>
        </w:rPr>
        <w:t xml:space="preserve">：合同签订后按采购人的要求进行送货，</w:t>
      </w:r>
      <w:r>
        <w:rPr>
          <w:rFonts w:hint="eastAsia" w:ascii="宋体" w:hAnsi="宋体" w:cs="宋体"/>
          <w:color w:val="000000"/>
          <w:sz w:val="24"/>
          <w:highlight w:val="none"/>
          <w:lang w:eastAsia="zh-CN" w:bidi="ar"/>
        </w:rPr>
        <w:t xml:space="preserve">医用氧</w:t>
      </w:r>
      <w:r>
        <w:rPr>
          <w:rFonts w:hint="eastAsia" w:ascii="宋体" w:hAnsi="宋体" w:cs="宋体"/>
          <w:color w:val="000000"/>
          <w:sz w:val="24"/>
          <w:highlight w:val="none"/>
          <w:lang w:bidi="ar"/>
        </w:rPr>
        <w:t xml:space="preserve">须在24小时内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t xml:space="preserve">特殊时期2小时</w:t>
      </w:r>
      <w:r>
        <w:rPr>
          <w:rFonts w:hint="eastAsia" w:ascii="宋体" w:hAnsi="宋体" w:cs="宋体"/>
          <w:color w:val="000000"/>
          <w:sz w:val="24"/>
          <w:highlight w:val="none"/>
          <w:lang w:val="en-US" w:eastAsia="zh-CN" w:bidi="ar"/>
        </w:rPr>
        <w:t xml:space="preserve">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送达指定场地</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不得以送货数量的多少、距离远近等拖延送货。</w:t>
      </w:r>
      <w:r>
        <w:rPr>
          <w:rFonts w:hint="eastAsia" w:ascii="宋体" w:hAnsi="宋体" w:cs="宋体"/>
          <w:color w:val="000000"/>
          <w:sz w:val="24"/>
          <w:highlight w:val="none"/>
        </w:rPr>
      </w:r>
      <w:r/>
    </w:p>
    <w:p>
      <w:pPr>
        <w:pStyle w:val="1071"/>
        <w:ind w:firstLine="482"/>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val="en-US" w:eastAsia="zh-CN" w:bidi="ar"/>
        </w:rPr>
        <w:t xml:space="preserve">七</w:t>
      </w:r>
      <w:r>
        <w:rPr>
          <w:rFonts w:hint="eastAsia" w:ascii="宋体" w:hAnsi="宋体" w:eastAsia="宋体" w:cs="宋体"/>
          <w:b/>
          <w:color w:val="000000"/>
          <w:sz w:val="24"/>
          <w:highlight w:val="none"/>
          <w:lang w:bidi="ar"/>
        </w:rPr>
        <w:t xml:space="preserve">、验收标准</w:t>
      </w:r>
      <w:r>
        <w:rPr>
          <w:rFonts w:hint="eastAsia" w:ascii="宋体" w:hAnsi="宋体" w:eastAsia="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eastAsia="宋体" w:cs="宋体"/>
          <w:b/>
          <w:color w:val="000000"/>
          <w:sz w:val="24"/>
          <w:highlight w:val="none"/>
          <w:lang w:bidi="ar"/>
        </w:rPr>
        <w:t xml:space="preserve">供货时须提供每批次医用液态氧的批号及质检合格证。</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、付款方式</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s="宋体"/>
          <w:color w:val="000000"/>
          <w:sz w:val="24"/>
          <w:highlight w:val="none"/>
          <w:lang w:val="en-US" w:eastAsia="zh-CN" w:bidi="ar"/>
        </w:rPr>
        <w:t xml:space="preserve">以</w:t>
      </w:r>
      <w:r>
        <w:rPr>
          <w:rFonts w:hint="eastAsia" w:ascii="宋体" w:hAnsi="宋体" w:cs="宋体"/>
          <w:color w:val="000000"/>
          <w:sz w:val="24"/>
          <w:highlight w:val="none"/>
          <w:lang w:bidi="ar"/>
        </w:rPr>
        <w:t xml:space="preserve">实际供货量</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按</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付款。中标人完成一个</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的服务，采购人在收到中标人提交的正式发票后完成付款。</w:t>
      </w:r>
      <w:r>
        <w:rPr>
          <w:rFonts w:ascii="宋体" w:hAnsi="宋体"/>
          <w:color w:val="000000"/>
          <w:sz w:val="24"/>
          <w:szCs w:val="24"/>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8" w:name="_Toc99301425"/>
      <w:r>
        <w:rPr>
          <w:rFonts w:ascii="宋体" w:hAnsi="宋体"/>
          <w:b/>
          <w:color w:val="000000"/>
          <w:sz w:val="36"/>
          <w:szCs w:val="36"/>
          <w:highlight w:val="none"/>
        </w:rPr>
        <w:t xml:space="preserve">第六章   拟签订的合同文本</w:t>
      </w:r>
      <w:bookmarkEnd w:id="818"/>
      <w:r>
        <w:rPr>
          <w:rFonts w:ascii="宋体" w:hAnsi="宋体"/>
          <w:b/>
          <w:color w:val="000000"/>
          <w:sz w:val="36"/>
          <w:szCs w:val="36"/>
          <w:highlight w:val="none"/>
        </w:rPr>
      </w:r>
      <w:r/>
    </w:p>
    <w:p>
      <w:pPr>
        <w:pStyle w:val="1110"/>
        <w:spacing w:line="360" w:lineRule="auto"/>
        <w:rPr>
          <w:rFonts w:cs="宋体"/>
          <w:color w:val="000000"/>
          <w:sz w:val="24"/>
          <w:szCs w:val="24"/>
          <w:highlight w:val="none"/>
        </w:rPr>
      </w:pPr>
      <w:r/>
      <w:bookmarkStart w:id="819" w:name="_Toc99301426"/>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1110"/>
        <w:spacing w:line="360" w:lineRule="auto"/>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1085"/>
        <w:ind w:firstLine="528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甲乙双方依据《中华人民共和国民法典》以及有关法律、法规的规定，经协商一致，订立本合同，以便共同遵守。</w:t>
      </w:r>
      <w:r>
        <w:rPr>
          <w:rFonts w:hint="eastAsia"/>
          <w:color w:val="000000"/>
          <w:highlight w:val="none"/>
        </w:rPr>
      </w:r>
      <w:r/>
    </w:p>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第一条 合同标的</w:t>
      </w:r>
      <w:r>
        <w:rPr>
          <w:rFonts w:hint="eastAsia"/>
          <w:b/>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2"/>
        <w:gridCol w:w="3095"/>
        <w:gridCol w:w="3097"/>
      </w:tblGrid>
      <w:tr>
        <w:trPr/>
        <w:tc>
          <w:tcPr>
            <w:tcW w:w="1665"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商品名称</w:t>
            </w:r>
            <w:r>
              <w:rPr>
                <w:rFonts w:ascii="宋体" w:hAnsi="宋体" w:cs="宋体"/>
                <w:color w:val="000000"/>
                <w:sz w:val="24"/>
                <w:highlight w:val="none"/>
                <w:lang w:bidi="ar"/>
              </w:rPr>
            </w:r>
            <w:r/>
          </w:p>
        </w:tc>
        <w:tc>
          <w:tcPr>
            <w:tcW w:w="1666"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规格</w:t>
            </w:r>
            <w:r>
              <w:rPr>
                <w:rFonts w:ascii="宋体" w:hAnsi="宋体" w:cs="宋体"/>
                <w:color w:val="000000"/>
                <w:sz w:val="24"/>
                <w:highlight w:val="none"/>
                <w:lang w:bidi="ar"/>
              </w:rPr>
            </w:r>
            <w:r/>
          </w:p>
        </w:tc>
        <w:tc>
          <w:tcPr>
            <w:tcW w:w="1667"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中标单价（元）</w:t>
            </w:r>
            <w:r>
              <w:rPr>
                <w:rFonts w:ascii="宋体" w:hAnsi="宋体" w:cs="宋体"/>
                <w:color w:val="000000"/>
                <w:sz w:val="24"/>
                <w:highlight w:val="none"/>
                <w:lang w:bidi="ar"/>
              </w:rPr>
            </w:r>
            <w:r/>
          </w:p>
        </w:tc>
      </w:tr>
      <w:tr>
        <w:trPr/>
        <w:tc>
          <w:tcPr>
            <w:tcW w:w="1665"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bCs/>
                <w:color w:val="000000"/>
                <w:sz w:val="24"/>
                <w:highlight w:val="none"/>
                <w:lang w:eastAsia="zh-CN"/>
              </w:rPr>
              <w:t xml:space="preserve">医用氧（液氧）</w:t>
            </w:r>
            <w:r>
              <w:rPr>
                <w:rFonts w:hint="eastAsia" w:ascii="宋体" w:hAnsi="宋体" w:cs="宋体"/>
                <w:color w:val="000000"/>
                <w:sz w:val="24"/>
                <w:highlight w:val="none"/>
                <w:lang w:val="zh-CN" w:bidi="ar"/>
              </w:rPr>
            </w:r>
            <w:r/>
          </w:p>
        </w:tc>
        <w:tc>
          <w:tcPr>
            <w:tcW w:w="1666"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eastAsia="宋体"/>
                <w:color w:val="000000"/>
                <w:sz w:val="24"/>
                <w:szCs w:val="24"/>
                <w:highlight w:val="none"/>
              </w:rPr>
              <w:t xml:space="preserve">浓度≥99.5%</w:t>
            </w:r>
            <w:r>
              <w:rPr>
                <w:rFonts w:hint="eastAsia" w:ascii="宋体" w:hAnsi="宋体" w:cs="宋体"/>
                <w:color w:val="000000"/>
                <w:sz w:val="24"/>
                <w:highlight w:val="none"/>
                <w:lang w:val="zh-CN" w:bidi="ar"/>
              </w:rPr>
            </w:r>
            <w:r/>
          </w:p>
        </w:tc>
        <w:tc>
          <w:tcPr>
            <w:tcW w:w="1667"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bl>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第二条 合同价格</w:t>
      </w:r>
      <w:r>
        <w:rPr>
          <w:rFonts w:hint="eastAsia"/>
          <w:b/>
          <w:color w:val="000000"/>
          <w:highlight w:val="none"/>
        </w:rPr>
      </w:r>
      <w:r/>
    </w:p>
    <w:p>
      <w:pPr>
        <w:pStyle w:val="1330"/>
        <w:ind w:firstLine="482"/>
        <w:spacing w:before="0" w:beforeAutospacing="0" w:after="0" w:afterAutospacing="0" w:line="360" w:lineRule="auto"/>
        <w:widowControl w:val="off"/>
        <w:rPr>
          <w:rFonts w:hint="eastAsia"/>
          <w:b/>
          <w:color w:val="000000"/>
          <w:highlight w:val="none"/>
          <w:lang w:bidi="ar"/>
        </w:rPr>
      </w:pPr>
      <w:r>
        <w:rPr>
          <w:rFonts w:hint="eastAsia"/>
          <w:b/>
          <w:color w:val="000000"/>
          <w:highlight w:val="none"/>
          <w:lang w:bidi="ar"/>
        </w:rPr>
        <w:t xml:space="preserve">签约合同总价（人民币，下同）：</w:t>
      </w:r>
      <w:r>
        <w:rPr>
          <w:rFonts w:hint="eastAsia"/>
          <w:b/>
          <w:color w:val="000000"/>
          <w:highlight w:val="none"/>
          <w:u w:val="single"/>
          <w:lang w:bidi="ar"/>
        </w:rPr>
        <w:t xml:space="preserve">             元</w:t>
      </w:r>
      <w:r>
        <w:rPr>
          <w:rFonts w:hint="eastAsia"/>
          <w:b/>
          <w:color w:val="000000"/>
          <w:highlight w:val="none"/>
          <w:lang w:bidi="ar"/>
        </w:rPr>
        <w:t xml:space="preserve">（小写       ）。 </w:t>
      </w:r>
      <w:r>
        <w:rPr>
          <w:rFonts w:hint="eastAsia"/>
          <w:b/>
          <w:color w:val="000000"/>
          <w:highlight w:val="none"/>
          <w:lang w:bidi="ar"/>
        </w:rPr>
      </w:r>
      <w:r/>
    </w:p>
    <w:p>
      <w:pPr>
        <w:pStyle w:val="1330"/>
        <w:ind w:firstLine="482"/>
        <w:spacing w:before="0" w:beforeAutospacing="0" w:after="0" w:afterAutospacing="0" w:line="360" w:lineRule="auto"/>
        <w:widowControl w:val="off"/>
        <w:rPr>
          <w:b/>
          <w:color w:val="000000"/>
          <w:highlight w:val="none"/>
          <w:u w:val="single"/>
          <w:lang w:bidi="ar"/>
        </w:rPr>
      </w:pPr>
      <w:r>
        <w:rPr>
          <w:rFonts w:hint="eastAsia"/>
          <w:b/>
          <w:color w:val="000000"/>
          <w:highlight w:val="none"/>
          <w:lang w:bidi="ar"/>
        </w:rPr>
        <w:t xml:space="preserve">签约合同单价：</w:t>
      </w:r>
      <w:r>
        <w:rPr>
          <w:rFonts w:hint="eastAsia"/>
          <w:b/>
          <w:color w:val="000000"/>
          <w:highlight w:val="none"/>
          <w:u w:val="single"/>
          <w:lang w:bidi="ar"/>
        </w:rPr>
        <w:t xml:space="preserve">  见“合同标的”     </w:t>
      </w:r>
      <w:r>
        <w:rPr>
          <w:b/>
          <w:color w:val="000000"/>
          <w:highlight w:val="none"/>
          <w:u w:val="single"/>
          <w:lang w:bidi="ar"/>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本合同总价</w:t>
      </w:r>
      <w:r>
        <w:rPr>
          <w:rFonts w:hint="eastAsia"/>
          <w:color w:val="000000"/>
          <w:highlight w:val="none"/>
          <w:lang w:bidi="ar"/>
        </w:rPr>
        <w:t xml:space="preserve">款包括招标文件所确定的采购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乙方应无条件、无偿补齐，所发生的一切费用，视为已包含在乙方报价之中，且并不因此而影响交付实际使用人的时间。</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本合同总价款还包含乙方应当提供的伴随服务/售后服务费用。</w:t>
      </w:r>
      <w:r>
        <w:rPr>
          <w:rFonts w:hint="eastAsia"/>
          <w:color w:val="000000"/>
          <w:highlight w:val="none"/>
        </w:rPr>
      </w:r>
      <w:r/>
    </w:p>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第三条 组成本合同的有关文件</w:t>
      </w:r>
      <w:r>
        <w:rPr>
          <w:rFonts w:hint="eastAsia"/>
          <w:b/>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下列与本次采购活动有关的文件及有关附件是本合同不可分割的组成部分，与本合同具有同等法律效力，这些文件包括但不限于：</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（1）采购文件（编号：   ）               （2）乙方提供的投标文件； </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（3）中标通知书；                        （4）甲乙双方商定的其他文件等。</w:t>
      </w:r>
      <w:r>
        <w:rPr>
          <w:rFonts w:hint="eastAsia"/>
          <w:color w:val="000000"/>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第四条 权利保证</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lang w:bidi="ar"/>
        </w:rPr>
        <w:t xml:space="preserve">、著作权、商标权等知识产权的起诉。</w:t>
      </w:r>
      <w:r>
        <w:rPr>
          <w:rFonts w:hint="eastAsia" w:ascii="宋体" w:hAnsi="宋体" w:cs="宋体"/>
          <w:color w:val="000000"/>
          <w:sz w:val="24"/>
          <w:highlight w:val="none"/>
          <w:lang w:bidi="ar"/>
        </w:rPr>
        <w:t xml:space="preserve">一旦出现侵权、索赔或诉讼，乙方应承担全部责任，同时甲方有权解除本合同。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第五条 质量保证</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 w:val="24"/>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color w:val="000000"/>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第六条 包装要求</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2.每一包装单元内应附详细的装箱单和质量合格凭证。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第七条 交货和验收</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1.乙方应当</w:t>
      </w:r>
      <w:r>
        <w:rPr>
          <w:rFonts w:ascii="宋体" w:hAnsi="宋体" w:cs="宋体"/>
          <w:color w:val="000000"/>
          <w:sz w:val="24"/>
          <w:highlight w:val="none"/>
          <w:lang w:bidi="ar"/>
        </w:rPr>
        <w:t xml:space="preserve">按采购人的要求进行送货，</w:t>
      </w:r>
      <w:r>
        <w:rPr>
          <w:rFonts w:hint="eastAsia" w:ascii="宋体" w:hAnsi="宋体" w:cs="宋体"/>
          <w:color w:val="000000"/>
          <w:sz w:val="24"/>
          <w:highlight w:val="none"/>
          <w:lang w:eastAsia="zh-CN" w:bidi="ar"/>
        </w:rPr>
        <w:t xml:space="preserve">医用氧</w:t>
      </w:r>
      <w:r>
        <w:rPr>
          <w:rFonts w:hint="eastAsia" w:ascii="宋体" w:hAnsi="宋体" w:cs="宋体"/>
          <w:color w:val="000000"/>
          <w:sz w:val="24"/>
          <w:highlight w:val="none"/>
          <w:lang w:bidi="ar"/>
        </w:rPr>
        <w:t xml:space="preserve">须在24小时内</w:t>
      </w:r>
      <w:r>
        <w:rPr>
          <w:rFonts w:hint="eastAsia" w:ascii="宋体" w:hAnsi="宋体" w:cs="宋体"/>
          <w:color w:val="000000"/>
          <w:sz w:val="24"/>
          <w:highlight w:val="none"/>
          <w:lang w:eastAsia="zh-CN" w:bidi="ar"/>
        </w:rPr>
        <w:t xml:space="preserve">（特殊时期2小时</w:t>
      </w:r>
      <w:r>
        <w:rPr>
          <w:rFonts w:hint="eastAsia" w:ascii="宋体" w:hAnsi="宋体" w:cs="宋体"/>
          <w:color w:val="000000"/>
          <w:sz w:val="24"/>
          <w:highlight w:val="none"/>
          <w:lang w:val="en-US" w:eastAsia="zh-CN" w:bidi="ar"/>
        </w:rPr>
        <w:t xml:space="preserve">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送达指定场地</w:t>
      </w:r>
      <w:r>
        <w:rPr>
          <w:rFonts w:ascii="宋体" w:hAnsi="宋体" w:cs="宋体"/>
          <w:color w:val="000000"/>
          <w:sz w:val="24"/>
          <w:highlight w:val="none"/>
          <w:lang w:bidi="ar"/>
        </w:rPr>
        <w:t xml:space="preserve">。不得以送货数量的多少、距离远近等拖延送货。</w:t>
      </w:r>
      <w:r>
        <w:rPr>
          <w:rFonts w:hint="eastAsia" w:ascii="宋体" w:hAnsi="宋体" w:cs="宋体"/>
          <w:color w:val="000000"/>
          <w:sz w:val="24"/>
          <w:highlight w:val="none"/>
          <w:lang w:bidi="ar"/>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2.乙方交付的货物应当完全符合本合同或者招投标响应文件所规定的货物、数量和规格要求。乙方提供的货物不符合招投标响应文件和合同规定的，甲方有权拒收货物，由此引起的风险，由乙方承担。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eastAsia="宋体" w:cs="宋体"/>
          <w:b/>
          <w:color w:val="000000"/>
          <w:sz w:val="24"/>
          <w:highlight w:val="none"/>
          <w:lang w:bidi="ar"/>
        </w:rPr>
      </w:pPr>
      <w:r>
        <w:rPr>
          <w:rFonts w:hint="eastAsia" w:ascii="宋体" w:hAnsi="宋体" w:cs="宋体"/>
          <w:color w:val="000000"/>
          <w:sz w:val="24"/>
          <w:highlight w:val="none"/>
          <w:lang w:bidi="ar"/>
        </w:rPr>
        <w:t xml:space="preserve">3.验收标准：</w:t>
      </w:r>
      <w:r>
        <w:rPr>
          <w:rFonts w:hint="eastAsia" w:ascii="宋体" w:hAnsi="宋体" w:eastAsia="宋体" w:cs="宋体"/>
          <w:b/>
          <w:color w:val="000000"/>
          <w:sz w:val="24"/>
          <w:highlight w:val="none"/>
          <w:lang w:bidi="ar"/>
        </w:rPr>
        <w:t xml:space="preserve">供货时须提供每批次医用液态氧的批号及质检合格证。</w:t>
      </w:r>
      <w:r>
        <w:rPr>
          <w:rFonts w:hint="eastAsia" w:ascii="宋体" w:hAnsi="宋体" w:eastAsia="宋体" w:cs="宋体"/>
          <w:b/>
          <w:color w:val="000000"/>
          <w:sz w:val="24"/>
          <w:highlight w:val="none"/>
          <w:lang w:bidi="ar"/>
        </w:rPr>
      </w:r>
      <w:r/>
    </w:p>
    <w:p>
      <w:pPr>
        <w:pStyle w:val="1071"/>
        <w:ind w:left="420"/>
        <w:spacing w:line="360" w:lineRule="auto"/>
        <w:rPr>
          <w:rFonts w:hint="eastAsia" w:ascii="宋体" w:hAnsi="宋体" w:eastAsia="宋体" w:cs="宋体"/>
          <w:bCs/>
          <w:color w:val="000000"/>
          <w:sz w:val="24"/>
          <w:highlight w:val="none"/>
          <w:lang w:val="en-US" w:eastAsia="zh-CN" w:bidi="ar"/>
        </w:rPr>
      </w:pPr>
      <w:r>
        <w:rPr>
          <w:rFonts w:hint="eastAsia" w:ascii="宋体" w:hAnsi="宋体" w:eastAsia="宋体" w:cs="宋体"/>
          <w:b/>
          <w:color w:val="000000"/>
          <w:sz w:val="24"/>
          <w:highlight w:val="none"/>
          <w:lang w:val="en-US" w:eastAsia="zh-CN" w:bidi="ar"/>
        </w:rPr>
        <w:t xml:space="preserve">4.</w:t>
      </w:r>
      <w:r>
        <w:rPr>
          <w:rFonts w:hint="eastAsia" w:ascii="宋体" w:hAnsi="宋体" w:cs="宋体"/>
          <w:b/>
          <w:color w:val="000000"/>
          <w:sz w:val="24"/>
          <w:highlight w:val="none"/>
          <w:lang w:bidi="ar"/>
        </w:rPr>
        <w:t xml:space="preserve">服务期限</w:t>
      </w:r>
      <w:r>
        <w:rPr>
          <w:rFonts w:hint="eastAsia" w:ascii="宋体" w:hAnsi="宋体" w:cs="宋体"/>
          <w:b/>
          <w:color w:val="000000"/>
          <w:sz w:val="24"/>
          <w:highlight w:val="none"/>
          <w:lang w:eastAsia="zh-CN" w:bidi="ar"/>
        </w:rPr>
        <w:t xml:space="preserve">：</w:t>
      </w:r>
      <w:r>
        <w:rPr>
          <w:rFonts w:hint="eastAsia" w:ascii="宋体" w:hAnsi="宋体" w:cs="宋体"/>
          <w:bCs/>
          <w:color w:val="000000"/>
          <w:sz w:val="24"/>
          <w:highlight w:val="none"/>
          <w:lang w:val="en-US" w:eastAsia="zh-CN" w:bidi="ar"/>
        </w:rPr>
        <w:t xml:space="preserve">三</w:t>
      </w:r>
      <w:r>
        <w:rPr>
          <w:rFonts w:hint="eastAsia" w:ascii="宋体" w:hAnsi="宋体" w:cs="宋体"/>
          <w:bCs/>
          <w:color w:val="000000"/>
          <w:sz w:val="24"/>
          <w:highlight w:val="none"/>
          <w:lang w:bidi="ar"/>
        </w:rPr>
        <w:t xml:space="preserve">年</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202</w:t>
      </w:r>
      <w:r>
        <w:rPr>
          <w:rFonts w:hint="eastAsia" w:ascii="宋体" w:hAnsi="宋体" w:cs="宋体"/>
          <w:bCs/>
          <w:color w:val="000000"/>
          <w:sz w:val="24"/>
          <w:highlight w:val="none"/>
          <w:lang w:val="en-US" w:eastAsia="zh-CN" w:bidi="ar"/>
        </w:rPr>
        <w:t xml:space="preserve">6</w:t>
      </w:r>
      <w:r>
        <w:rPr>
          <w:rFonts w:hint="eastAsia" w:ascii="宋体" w:hAnsi="宋体" w:cs="宋体"/>
          <w:bCs/>
          <w:color w:val="000000"/>
          <w:sz w:val="24"/>
          <w:highlight w:val="none"/>
          <w:lang w:bidi="ar"/>
        </w:rPr>
        <w:t xml:space="preserve">年  月  日至202</w:t>
      </w:r>
      <w:r>
        <w:rPr>
          <w:rFonts w:hint="eastAsia" w:ascii="宋体" w:hAnsi="宋体" w:cs="宋体"/>
          <w:bCs/>
          <w:color w:val="000000"/>
          <w:sz w:val="24"/>
          <w:highlight w:val="none"/>
          <w:lang w:val="en-US" w:eastAsia="zh-CN" w:bidi="ar"/>
        </w:rPr>
        <w:t xml:space="preserve">9</w:t>
      </w:r>
      <w:r>
        <w:rPr>
          <w:rFonts w:hint="eastAsia" w:ascii="宋体" w:hAnsi="宋体" w:cs="宋体"/>
          <w:bCs/>
          <w:color w:val="000000"/>
          <w:sz w:val="24"/>
          <w:highlight w:val="none"/>
          <w:lang w:bidi="ar"/>
        </w:rPr>
        <w:t xml:space="preserve">年  月   日</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val="en-US" w:eastAsia="zh-CN" w:bidi="ar"/>
        </w:rPr>
        <w:t xml:space="preserve">合同一年一签</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br w:type="textWrapping" w:clear="all"/>
      </w:r>
      <w:r>
        <w:rPr>
          <w:rFonts w:hint="eastAsia" w:ascii="宋体" w:hAnsi="宋体" w:cs="宋体"/>
          <w:bCs/>
          <w:color w:val="000000"/>
          <w:sz w:val="24"/>
          <w:highlight w:val="none"/>
          <w:lang w:val="en-US" w:eastAsia="zh-CN" w:bidi="ar"/>
        </w:rPr>
        <w:t xml:space="preserve">本合同为首年合同，服务期为</w:t>
      </w:r>
      <w:r>
        <w:rPr>
          <w:rFonts w:hint="eastAsia" w:ascii="宋体" w:hAnsi="宋体" w:cs="宋体"/>
          <w:bCs/>
          <w:color w:val="000000"/>
          <w:sz w:val="24"/>
          <w:highlight w:val="none"/>
          <w:lang w:bidi="ar"/>
        </w:rPr>
        <w:t xml:space="preserve">202</w:t>
      </w:r>
      <w:r>
        <w:rPr>
          <w:rFonts w:hint="eastAsia" w:ascii="宋体" w:hAnsi="宋体" w:cs="宋体"/>
          <w:bCs/>
          <w:color w:val="000000"/>
          <w:sz w:val="24"/>
          <w:highlight w:val="none"/>
          <w:lang w:val="en-US" w:eastAsia="zh-CN" w:bidi="ar"/>
        </w:rPr>
        <w:t xml:space="preserve">6</w:t>
      </w:r>
      <w:r>
        <w:rPr>
          <w:rFonts w:hint="eastAsia" w:ascii="宋体" w:hAnsi="宋体" w:cs="宋体"/>
          <w:bCs/>
          <w:color w:val="000000"/>
          <w:sz w:val="24"/>
          <w:highlight w:val="none"/>
          <w:lang w:bidi="ar"/>
        </w:rPr>
        <w:t xml:space="preserve">年  月  日至202</w:t>
      </w:r>
      <w:r>
        <w:rPr>
          <w:rFonts w:hint="eastAsia" w:ascii="宋体" w:hAnsi="宋体" w:cs="宋体"/>
          <w:bCs/>
          <w:color w:val="000000"/>
          <w:sz w:val="24"/>
          <w:highlight w:val="none"/>
          <w:lang w:val="en-US" w:eastAsia="zh-CN" w:bidi="ar"/>
        </w:rPr>
        <w:t xml:space="preserve">7</w:t>
      </w:r>
      <w:r>
        <w:rPr>
          <w:rFonts w:hint="eastAsia" w:ascii="宋体" w:hAnsi="宋体" w:cs="宋体"/>
          <w:bCs/>
          <w:color w:val="000000"/>
          <w:sz w:val="24"/>
          <w:highlight w:val="none"/>
          <w:lang w:bidi="ar"/>
        </w:rPr>
        <w:t xml:space="preserve">年  月   日</w:t>
      </w:r>
      <w:r>
        <w:rPr>
          <w:rFonts w:hint="eastAsia" w:ascii="宋体" w:hAnsi="宋体" w:cs="宋体"/>
          <w:bCs/>
          <w:color w:val="000000"/>
          <w:sz w:val="24"/>
          <w:highlight w:val="none"/>
          <w:lang w:eastAsia="zh-CN" w:bidi="ar"/>
        </w:rPr>
        <w:t xml:space="preserve">。</w:t>
      </w:r>
      <w:r>
        <w:rPr>
          <w:rFonts w:hint="eastAsia" w:ascii="宋体" w:hAnsi="宋体" w:eastAsia="宋体" w:cs="宋体"/>
          <w:bCs/>
          <w:color w:val="000000"/>
          <w:sz w:val="24"/>
          <w:highlight w:val="none"/>
          <w:lang w:val="en-US" w:eastAsia="zh-CN" w:bidi="ar"/>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w:t>
      </w: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条 合同款结算及支付</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1.本合同项下所有款项均以人民币支付。</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2.本合同项下的采购资金由甲方自行支付，乙方向甲方开具发票。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3.结算原则：固定单价，按实结算。</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4.付款方式：</w:t>
      </w:r>
      <w:r>
        <w:rPr>
          <w:rFonts w:hint="eastAsia" w:ascii="宋体" w:hAnsi="宋体" w:cs="宋体"/>
          <w:color w:val="000000"/>
          <w:sz w:val="24"/>
          <w:highlight w:val="none"/>
          <w:lang w:val="en-US" w:eastAsia="zh-CN" w:bidi="ar"/>
        </w:rPr>
        <w:t xml:space="preserve">以</w:t>
      </w:r>
      <w:r>
        <w:rPr>
          <w:rFonts w:hint="eastAsia" w:ascii="宋体" w:hAnsi="宋体" w:cs="宋体"/>
          <w:color w:val="000000"/>
          <w:sz w:val="24"/>
          <w:highlight w:val="none"/>
          <w:lang w:bidi="ar"/>
        </w:rPr>
        <w:t xml:space="preserve">实际供货量</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按</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付款。中标人完成一个</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的服务，采购人在收到中标人提交的正式发票后完成付款。</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w:t>
      </w:r>
      <w:r>
        <w:rPr>
          <w:rFonts w:hint="eastAsia" w:ascii="宋体" w:hAnsi="宋体" w:cs="宋体"/>
          <w:b/>
          <w:color w:val="000000"/>
          <w:sz w:val="24"/>
          <w:highlight w:val="none"/>
          <w:lang w:val="en-US" w:eastAsia="zh-CN" w:bidi="ar"/>
        </w:rPr>
        <w:t xml:space="preserve">九</w:t>
      </w:r>
      <w:r>
        <w:rPr>
          <w:rFonts w:hint="eastAsia" w:ascii="宋体" w:hAnsi="宋体" w:cs="宋体"/>
          <w:b/>
          <w:color w:val="000000"/>
          <w:sz w:val="24"/>
          <w:highlight w:val="none"/>
          <w:lang w:bidi="ar"/>
        </w:rPr>
        <w:t xml:space="preserve">条 伴随服务／售后服务</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2.除前款规定外，乙方还应提供下列服务：</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（1）如因气体质量问题，引起后果均由乙方负责；</w:t>
      </w:r>
      <w:r>
        <w:rPr>
          <w:rFonts w:hint="eastAsia" w:ascii="宋体" w:hAnsi="宋体" w:cs="宋体"/>
          <w:color w:val="000000"/>
          <w:sz w:val="24"/>
          <w:highlight w:val="none"/>
          <w:lang w:bidi="ar"/>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甲方在收货后对货物的数量及质量进行验收。经验收不合格的货物，乙方必须无条件退货、更换，因退货或更换造成甲方损失的，乙方应承担相应责任。如对产品质量有异议须立即找双方认可的鉴定部门，出具质量检验报告，由过错一方承担全部责任（包括鉴定及各项费用）。甲方在</w:t>
      </w:r>
      <w:r>
        <w:rPr>
          <w:rFonts w:hint="eastAsia" w:ascii="宋体" w:hAnsi="宋体" w:cs="宋体"/>
          <w:color w:val="000000"/>
          <w:sz w:val="24"/>
          <w:highlight w:val="none"/>
          <w:lang w:val="en-US" w:eastAsia="zh-CN" w:bidi="ar"/>
        </w:rPr>
        <w:t xml:space="preserve">乙方</w:t>
      </w:r>
      <w:r>
        <w:rPr>
          <w:rFonts w:hint="eastAsia" w:ascii="宋体" w:hAnsi="宋体" w:cs="宋体"/>
          <w:color w:val="000000"/>
          <w:sz w:val="24"/>
          <w:highlight w:val="none"/>
          <w:lang w:bidi="ar"/>
        </w:rPr>
        <w:t xml:space="preserve">送货单签字确认的产品数量为双方实际的交易数量，并以此做为计算货款的依据。</w:t>
      </w:r>
      <w:r>
        <w:rPr>
          <w:rFonts w:hint="eastAsia" w:ascii="宋体" w:hAnsi="宋体" w:cs="宋体"/>
          <w:color w:val="000000"/>
          <w:sz w:val="24"/>
          <w:highlight w:val="none"/>
          <w:lang w:bidi="ar"/>
        </w:rPr>
      </w:r>
      <w:r/>
    </w:p>
    <w:p>
      <w:pPr>
        <w:pStyle w:val="1071"/>
        <w:ind w:firstLine="482"/>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第十条 违约责任</w:t>
      </w:r>
      <w:r>
        <w:rPr>
          <w:rFonts w:hint="eastAsia" w:ascii="宋体" w:hAnsi="宋体" w:cs="宋体"/>
          <w:b/>
          <w:color w:val="000000"/>
          <w:sz w:val="24"/>
          <w:highlight w:val="none"/>
          <w:lang w:bidi="ar"/>
        </w:rPr>
      </w:r>
      <w:r/>
    </w:p>
    <w:p>
      <w:pPr>
        <w:pStyle w:val="1071"/>
        <w:ind w:firstLine="482"/>
        <w:spacing w:line="360" w:lineRule="auto"/>
        <w:rPr>
          <w:rFonts w:ascii="宋体" w:hAnsi="宋体" w:eastAsia="宋体" w:cs="宋体"/>
          <w:b/>
          <w:color w:val="000000"/>
          <w:sz w:val="24"/>
          <w:highlight w:val="none"/>
          <w:lang w:val="en-US" w:eastAsia="zh-CN" w:bidi="ar"/>
        </w:rPr>
      </w:pPr>
      <w:r>
        <w:rPr>
          <w:rFonts w:hint="eastAsia" w:ascii="宋体" w:hAnsi="宋体" w:eastAsia="宋体" w:cs="Times New Roman"/>
          <w:color w:val="000000"/>
          <w:sz w:val="24"/>
          <w:szCs w:val="24"/>
          <w:highlight w:val="none"/>
          <w:lang w:val="en-US" w:eastAsia="zh-CN"/>
        </w:rPr>
        <w:t xml:space="preserve">1.如因气体质量问题或因未按时送货导致的任何医疗事故损失，由供货商承担。</w:t>
      </w:r>
      <w:r>
        <w:rPr>
          <w:rFonts w:ascii="宋体" w:hAnsi="宋体" w:eastAsia="宋体" w:cs="宋体"/>
          <w:b/>
          <w:color w:val="000000"/>
          <w:sz w:val="24"/>
          <w:highlight w:val="none"/>
          <w:lang w:val="en-US" w:eastAsia="zh-CN" w:bidi="ar"/>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3.其他未尽事宜，以《民法典》等有关法律法规规定为准，无相关规定的，双方协商解决。</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一</w:t>
      </w:r>
      <w:r>
        <w:rPr>
          <w:rFonts w:hint="eastAsia" w:ascii="宋体" w:hAnsi="宋体" w:cs="宋体"/>
          <w:b/>
          <w:color w:val="000000"/>
          <w:sz w:val="24"/>
          <w:highlight w:val="none"/>
          <w:lang w:bidi="ar"/>
        </w:rPr>
        <w:t xml:space="preserve">条 合同的变更和终止</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1.本合同一经签订，甲乙双方不得擅自变更、中止或终止合同。</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二</w:t>
      </w:r>
      <w:r>
        <w:rPr>
          <w:rFonts w:hint="eastAsia" w:ascii="宋体" w:hAnsi="宋体" w:cs="宋体"/>
          <w:b/>
          <w:color w:val="000000"/>
          <w:sz w:val="24"/>
          <w:highlight w:val="none"/>
          <w:lang w:bidi="ar"/>
        </w:rPr>
        <w:t xml:space="preserve">条 合同的转让</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乙方不得擅自部分或全部转让其应履行的合同义务。</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三</w:t>
      </w:r>
      <w:r>
        <w:rPr>
          <w:rFonts w:hint="eastAsia" w:ascii="宋体" w:hAnsi="宋体" w:cs="宋体"/>
          <w:b/>
          <w:color w:val="000000"/>
          <w:sz w:val="24"/>
          <w:highlight w:val="none"/>
          <w:lang w:bidi="ar"/>
        </w:rPr>
        <w:t xml:space="preserve">条 不可抗力</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甲、乙方中任何一方，因不可抗力不能按时或完全履行合同的，应及时通知对方，并在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5日内提供相应证明。未履行完合同部分是否继续履行、如何履行等问题，可由双方初步协商，并向主管部门报告。确定为不可抗力原因造成的损失，免予承担责任。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bidi="ar"/>
        </w:rPr>
        <w:t xml:space="preserve">条 质量问题或缺陷的索赔</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乙方交付货物后，甲方发现货物的质量与合同内容不</w:t>
      </w:r>
      <w:r>
        <w:rPr>
          <w:rFonts w:hint="eastAsia" w:ascii="宋体" w:hAnsi="宋体" w:cs="宋体"/>
          <w:color w:val="000000"/>
          <w:sz w:val="24"/>
          <w:highlight w:val="none"/>
          <w:lang w:bidi="ar"/>
        </w:rPr>
        <w:t xml:space="preserve">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条 争议的解决</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（1）向甲方所在地人民法院提起诉讼；</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（2）向甲方所在地仲裁委员会按其仲裁规则申请仲裁。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如没有约定，默认采取第2种方式解决争议。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3.在法院审理和仲裁期间，除有争议部分外，本合同其他部分应继续履行。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条 诚实信用 </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乙方应诚实信用，严格按照招标文件要求和承诺履行合同，不向甲方进行商业贿赂或者提供不正当利益。</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七</w:t>
      </w:r>
      <w:r>
        <w:rPr>
          <w:rFonts w:hint="eastAsia" w:ascii="宋体" w:hAnsi="宋体" w:cs="宋体"/>
          <w:b/>
          <w:color w:val="000000"/>
          <w:sz w:val="24"/>
          <w:highlight w:val="none"/>
          <w:lang w:bidi="ar"/>
        </w:rPr>
        <w:t xml:space="preserve">条 合同生效及其他</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1.本合同自经甲乙双方授权代表签订并加盖公章后，自签订之日起生效。见证方仅对甲乙双方签订政府采购合同的事实进行见证，不代表任何承诺或保证，该合同的履行等相关情况均与见证方无任何关系。</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2.本合同一式</w:t>
      </w:r>
      <w:r>
        <w:rPr>
          <w:rFonts w:hint="eastAsia" w:ascii="宋体" w:hAnsi="宋体" w:cs="宋体"/>
          <w:color w:val="000000"/>
          <w:sz w:val="24"/>
          <w:highlight w:val="none"/>
          <w:lang w:val="en-US" w:eastAsia="zh-CN" w:bidi="ar"/>
        </w:rPr>
        <w:t xml:space="preserve">陆</w:t>
      </w:r>
      <w:r>
        <w:rPr>
          <w:rFonts w:hint="eastAsia" w:ascii="宋体" w:hAnsi="宋体" w:cs="宋体"/>
          <w:color w:val="000000"/>
          <w:sz w:val="24"/>
          <w:highlight w:val="none"/>
          <w:lang w:bidi="ar"/>
        </w:rPr>
        <w:t xml:space="preserve">份，甲</w:t>
      </w:r>
      <w:r>
        <w:rPr>
          <w:rFonts w:hint="eastAsia" w:ascii="宋体" w:hAnsi="宋体" w:cs="宋体"/>
          <w:color w:val="000000"/>
          <w:sz w:val="24"/>
          <w:highlight w:val="none"/>
          <w:lang w:val="en-US" w:eastAsia="zh-CN" w:bidi="ar"/>
        </w:rPr>
        <w:t xml:space="preserve">方执肆份，</w:t>
      </w:r>
      <w:r>
        <w:rPr>
          <w:rFonts w:hint="eastAsia" w:ascii="宋体" w:hAnsi="宋体" w:cs="宋体"/>
          <w:color w:val="000000"/>
          <w:sz w:val="24"/>
          <w:highlight w:val="none"/>
          <w:lang w:bidi="ar"/>
        </w:rPr>
        <w:t xml:space="preserve">乙方执</w:t>
      </w:r>
      <w:r>
        <w:rPr>
          <w:rFonts w:hint="eastAsia" w:ascii="宋体" w:hAnsi="宋体" w:cs="宋体"/>
          <w:color w:val="000000"/>
          <w:sz w:val="24"/>
          <w:highlight w:val="none"/>
          <w:lang w:val="en-US" w:eastAsia="zh-CN" w:bidi="ar"/>
        </w:rPr>
        <w:t xml:space="preserve">壹</w:t>
      </w:r>
      <w:r>
        <w:rPr>
          <w:rFonts w:hint="eastAsia" w:ascii="宋体" w:hAnsi="宋体" w:cs="宋体"/>
          <w:color w:val="000000"/>
          <w:sz w:val="24"/>
          <w:highlight w:val="none"/>
          <w:lang w:bidi="ar"/>
        </w:rPr>
        <w:t xml:space="preserve">份，代理机构执壹份存档。</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3.本合同应按照中华人民共和国的现行法律进行解释。</w:t>
      </w:r>
      <w:r>
        <w:rPr>
          <w:rFonts w:hint="eastAsia" w:ascii="宋体" w:hAnsi="宋体" w:cs="宋体"/>
          <w:color w:val="000000"/>
          <w:sz w:val="24"/>
          <w:highlight w:val="none"/>
          <w:lang w:bidi="ar"/>
        </w:rPr>
      </w:r>
      <w:r/>
    </w:p>
    <w:p>
      <w:pPr>
        <w:pStyle w:val="1071"/>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甲    方</w:t>
      </w:r>
      <w:r>
        <w:rPr>
          <w:rFonts w:hint="eastAsia" w:ascii="宋体" w:hAnsi="宋体" w:cs="宋体"/>
          <w:color w:val="000000"/>
          <w:sz w:val="24"/>
          <w:highlight w:val="none"/>
          <w:lang w:bidi="ar"/>
        </w:rPr>
        <w:t xml:space="preserve">：                               </w:t>
      </w:r>
      <w:r>
        <w:rPr>
          <w:rFonts w:hint="eastAsia" w:ascii="宋体" w:hAnsi="宋体" w:cs="宋体"/>
          <w:b/>
          <w:bCs/>
          <w:color w:val="000000"/>
          <w:sz w:val="24"/>
          <w:highlight w:val="none"/>
          <w:lang w:bidi="ar"/>
        </w:rPr>
        <w:t xml:space="preserve">乙    方</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单位名称（章）：                          单位名称（章）：</w:t>
      </w:r>
      <w:r>
        <w:rPr>
          <w:rFonts w:hint="eastAsia" w:ascii="宋体" w:hAnsi="宋体" w:cs="宋体"/>
          <w:color w:val="000000"/>
          <w:sz w:val="24"/>
          <w:highlight w:val="none"/>
          <w:u w:val="single"/>
        </w:rPr>
      </w:r>
      <w:r/>
    </w:p>
    <w:p>
      <w:pPr>
        <w:pStyle w:val="10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单位地址：                               单位地址：</w:t>
      </w:r>
      <w:r>
        <w:rPr>
          <w:rFonts w:hint="eastAsia" w:ascii="宋体" w:hAnsi="宋体" w:cs="宋体"/>
          <w:color w:val="000000"/>
          <w:sz w:val="24"/>
          <w:highlight w:val="none"/>
          <w:u w:val="singl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       委托代理人：          法定代表人：     委托代理人：                            </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电话：                                   电话：            传真：</w:t>
      </w:r>
      <w:r>
        <w:rPr>
          <w:rFonts w:hint="eastAsia" w:ascii="宋体" w:hAnsi="宋体" w:cs="宋体"/>
          <w:color w:val="000000"/>
          <w:sz w:val="24"/>
          <w:highlight w:val="none"/>
        </w:rPr>
      </w:r>
      <w:r/>
    </w:p>
    <w:p>
      <w:pPr>
        <w:pStyle w:val="1071"/>
        <w:jc w:val="both"/>
        <w:spacing w:line="360" w:lineRule="auto"/>
        <w:rPr>
          <w:rFonts w:hint="eastAsia" w:ascii="宋体" w:hAnsi="宋体" w:cs="宋体"/>
          <w:color w:val="000000"/>
          <w:sz w:val="24"/>
          <w:highlight w:val="none"/>
          <w:lang w:bidi="ar"/>
        </w:rPr>
        <w:outlineLvl w:val="0"/>
      </w:pPr>
      <w:r>
        <w:rPr>
          <w:rFonts w:hint="eastAsia" w:ascii="宋体" w:hAnsi="宋体" w:eastAsia="宋体" w:cs="宋体"/>
          <w:color w:val="000000"/>
          <w:sz w:val="24"/>
          <w:highlight w:val="none"/>
          <w:lang w:bidi="ar"/>
        </w:rPr>
        <w:t xml:space="preserve">传真：                                   开户银行：        账号：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1071"/>
        <w:jc w:val="both"/>
        <w:spacing w:line="360" w:lineRule="auto"/>
        <w:rPr>
          <w:rFonts w:hint="eastAsia" w:ascii="宋体" w:hAnsi="宋体" w:cs="宋体"/>
          <w:color w:val="000000"/>
          <w:sz w:val="24"/>
          <w:highlight w:val="none"/>
          <w:lang w:bidi="ar"/>
        </w:rPr>
        <w:outlineLvl w:val="0"/>
      </w:pPr>
      <w:r>
        <w:rPr>
          <w:rFonts w:hint="eastAsia" w:ascii="宋体" w:hAnsi="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见证方</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代理机构（章）：常州市城投建设工程招标有限公司             </w:t>
      </w:r>
      <w:r>
        <w:rPr>
          <w:rFonts w:hint="eastAsia" w:ascii="宋体" w:hAnsi="宋体" w:eastAsia="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highlight w:val="none"/>
          <w:lang w:bidi="ar"/>
        </w:rPr>
        <w:t xml:space="preserve">经办人：                               电  话：</w:t>
      </w:r>
      <w:r>
        <w:rPr>
          <w:rFonts w:hint="eastAsia" w:ascii="宋体" w:hAnsi="宋体" w:eastAsia="宋体" w:cs="宋体"/>
          <w:color w:val="000000"/>
          <w:sz w:val="24"/>
          <w:highlight w:val="none"/>
          <w:lang w:bidi="ar"/>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19"/>
      <w:r>
        <w:rPr>
          <w:rFonts w:ascii="宋体" w:hAnsi="宋体"/>
          <w:b/>
          <w:color w:val="000000"/>
          <w:sz w:val="36"/>
          <w:szCs w:val="36"/>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1"/>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1"/>
        <w:rPr>
          <w:rFonts w:ascii="宋体" w:hAnsi="宋体"/>
          <w:b/>
          <w:color w:val="000000"/>
          <w:spacing w:val="20"/>
          <w:szCs w:val="21"/>
          <w:highlight w:val="none"/>
        </w:rPr>
      </w:pPr>
      <w:r>
        <w:rPr>
          <w:rFonts w:ascii="宋体" w:hAnsi="宋体"/>
          <w:b/>
          <w:color w:val="000000"/>
          <w:spacing w:val="20"/>
          <w:szCs w:val="21"/>
          <w:highlight w:val="none"/>
        </w:rPr>
      </w:r>
      <w:r/>
    </w:p>
    <w:p>
      <w:pPr>
        <w:pStyle w:val="1071"/>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1"/>
        <w:jc w:val="center"/>
        <w:rPr>
          <w:rFonts w:ascii="宋体" w:hAnsi="宋体"/>
          <w:color w:val="000000"/>
          <w:szCs w:val="21"/>
          <w:highlight w:val="none"/>
        </w:rPr>
      </w:pPr>
      <w:r>
        <w:rPr>
          <w:rFonts w:ascii="宋体" w:hAnsi="宋体"/>
          <w:color w:val="000000"/>
          <w:szCs w:val="21"/>
          <w:highlight w:val="none"/>
        </w:rPr>
      </w:r>
      <w:r/>
    </w:p>
    <w:p>
      <w:pPr>
        <w:pStyle w:val="1071"/>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jc w:val="center"/>
        <w:rPr>
          <w:rFonts w:ascii="宋体" w:hAnsi="宋体"/>
          <w:b/>
          <w:color w:val="000000"/>
          <w:sz w:val="32"/>
          <w:szCs w:val="32"/>
          <w:highlight w:val="none"/>
        </w:rPr>
      </w:pPr>
      <w:r>
        <w:rPr>
          <w:rFonts w:ascii="宋体" w:hAnsi="宋体"/>
          <w:b/>
          <w:color w:val="000000"/>
          <w:sz w:val="32"/>
          <w:szCs w:val="32"/>
          <w:highlight w:val="none"/>
        </w:rPr>
      </w:r>
      <w:r/>
    </w:p>
    <w:p>
      <w:pPr>
        <w:pStyle w:val="1071"/>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1"/>
        <w:rPr>
          <w:rFonts w:ascii="宋体" w:hAnsi="宋体"/>
          <w:b/>
          <w:color w:val="000000"/>
          <w:highlight w:val="none"/>
        </w:rPr>
      </w:pPr>
      <w:r>
        <w:rPr>
          <w:rFonts w:ascii="宋体" w:hAnsi="宋体"/>
          <w:b/>
          <w:color w:val="000000"/>
          <w:highlight w:val="none"/>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4"/>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5"/>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1"/>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0" w:name="_Toc150480794"/>
      <w:r/>
      <w:bookmarkStart w:id="821" w:name="_Toc520356217"/>
      <w:r/>
      <w:bookmarkStart w:id="822" w:name="_Toc480942349"/>
      <w:r/>
      <w:bookmarkStart w:id="823" w:name="_Toc226965829"/>
      <w:r/>
      <w:bookmarkStart w:id="824" w:name="_Toc226965746"/>
      <w:r/>
      <w:bookmarkStart w:id="825" w:name="_Ref467988698"/>
      <w:r/>
      <w:bookmarkStart w:id="826" w:name="_Toc142311058"/>
      <w:r/>
      <w:bookmarkStart w:id="827" w:name="_Toc195842921"/>
      <w:r/>
      <w:bookmarkStart w:id="828" w:name="_Toc150774761"/>
      <w:r/>
      <w:bookmarkStart w:id="829" w:name="_Toc226309800"/>
      <w:r/>
      <w:bookmarkStart w:id="830" w:name="_Toc226337252"/>
      <w:r/>
      <w:bookmarkStart w:id="831" w:name="_Toc127151556"/>
      <w:r>
        <w:rPr>
          <w:rFonts w:hint="eastAsia" w:ascii="宋体" w:hAnsi="宋体"/>
          <w:b/>
          <w:color w:val="000000"/>
          <w:sz w:val="32"/>
          <w:szCs w:val="32"/>
          <w:highlight w:val="none"/>
        </w:rPr>
      </w:r>
      <w:r/>
    </w:p>
    <w:p>
      <w:pPr>
        <w:pStyle w:val="1071"/>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1"/>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1"/>
        <w:jc w:val="left"/>
        <w:widowControl/>
        <w:rPr>
          <w:rFonts w:hint="eastAsia" w:ascii="宋体" w:hAnsi="宋体"/>
          <w:b/>
          <w:color w:val="000000"/>
          <w:sz w:val="24"/>
          <w:highlight w:val="none"/>
        </w:rPr>
      </w:pPr>
      <w:r/>
      <w:bookmarkStart w:id="832" w:name="_Hlt520356243"/>
      <w:r/>
      <w:bookmarkEnd w:id="832"/>
      <w:r/>
      <w:bookmarkStart w:id="833" w:name="_Hlt520355938"/>
      <w:r/>
      <w:bookmarkEnd w:id="833"/>
      <w:r>
        <w:rPr>
          <w:rFonts w:ascii="宋体" w:hAnsi="宋体"/>
          <w:color w:val="000000"/>
          <w:sz w:val="24"/>
          <w:highlight w:val="none"/>
        </w:rPr>
        <w:br w:type="page" w:clear="all"/>
      </w: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ascii="宋体" w:hAnsi="宋体"/>
          <w:color w:val="000000"/>
          <w:sz w:val="24"/>
          <w:highlight w:val="none"/>
        </w:rPr>
      </w:r>
      <w:r/>
    </w:p>
    <w:p>
      <w:pPr>
        <w:pStyle w:val="1102"/>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1"/>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2"/>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2"/>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1"/>
        <w:ind w:firstLine="640"/>
        <w:rPr>
          <w:rFonts w:ascii="宋体" w:hAnsi="宋体"/>
          <w:color w:val="000000"/>
          <w:highlight w:val="none"/>
        </w:rPr>
      </w:pPr>
      <w:r>
        <w:rPr>
          <w:rFonts w:ascii="宋体" w:hAnsi="宋体"/>
          <w:color w:val="000000"/>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34" w:name="_Hlt520274121"/>
      <w:r/>
      <w:bookmarkEnd w:id="834"/>
      <w:r/>
      <w:bookmarkStart w:id="835" w:name="_Hlt520274407"/>
      <w:r/>
      <w:bookmarkEnd w:id="835"/>
      <w:r/>
      <w:bookmarkStart w:id="836" w:name="_Hlt520273711"/>
      <w:r/>
      <w:bookmarkEnd w:id="836"/>
      <w:r/>
      <w:bookmarkStart w:id="837" w:name="_Hlt520350918"/>
      <w:r/>
      <w:bookmarkEnd w:id="837"/>
      <w:r/>
      <w:bookmarkStart w:id="838" w:name="_Hlt520355504"/>
      <w:r/>
      <w:bookmarkEnd w:id="838"/>
      <w:r/>
      <w:bookmarkStart w:id="839" w:name="_Hlt520274393"/>
      <w:r/>
      <w:bookmarkEnd w:id="839"/>
      <w:r/>
      <w:bookmarkStart w:id="840" w:name="_Hlt520343392"/>
      <w:r/>
      <w:bookmarkEnd w:id="840"/>
      <w:r/>
      <w:bookmarkStart w:id="841" w:name="_Hlt520274065"/>
      <w:r/>
      <w:bookmarkEnd w:id="841"/>
      <w:r/>
      <w:bookmarkStart w:id="842" w:name="_Hlt520271212"/>
      <w:r/>
      <w:bookmarkEnd w:id="842"/>
      <w:r/>
      <w:bookmarkStart w:id="843" w:name="_Hlt520343000"/>
      <w:r/>
      <w:bookmarkEnd w:id="843"/>
      <w:r/>
      <w:bookmarkStart w:id="844" w:name="_Toc520356218"/>
      <w:r/>
      <w:bookmarkStart w:id="845" w:name="_Toc305158899"/>
      <w:r/>
      <w:bookmarkStart w:id="846" w:name="_Toc226337253"/>
      <w:r/>
      <w:bookmarkStart w:id="847" w:name="_Toc265228395"/>
      <w:r/>
      <w:bookmarkStart w:id="848" w:name="_Toc305158825"/>
      <w:r/>
      <w:bookmarkStart w:id="849" w:name="_Toc226965830"/>
      <w:r/>
      <w:bookmarkStart w:id="850" w:name="_Toc150774762"/>
      <w:r/>
      <w:bookmarkStart w:id="851" w:name="_Ref467988705"/>
      <w:r/>
      <w:bookmarkStart w:id="852" w:name="_Toc264969247"/>
      <w:r/>
      <w:bookmarkStart w:id="853" w:name="_Toc226309801"/>
      <w:r/>
      <w:bookmarkStart w:id="854" w:name="_Toc142311059"/>
      <w:r/>
      <w:bookmarkStart w:id="855" w:name="_Toc127151557"/>
      <w:r/>
      <w:bookmarkStart w:id="856" w:name="_Toc226965747"/>
      <w:r/>
      <w:bookmarkStart w:id="857" w:name="_Toc150480795"/>
      <w:r/>
      <w:bookmarkStart w:id="858" w:name="_Toc480942350"/>
      <w:r/>
      <w:bookmarkStart w:id="859" w:name="_Toc19584292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highlight w:val="none"/>
        </w:rPr>
      </w:pPr>
      <w:r/>
      <w:bookmarkStart w:id="860" w:name="_Toc265228396"/>
      <w:r/>
      <w:bookmarkStart w:id="861" w:name="_Toc195842923"/>
      <w:r/>
      <w:bookmarkStart w:id="862" w:name="_Toc305158900"/>
      <w:r/>
      <w:bookmarkStart w:id="863" w:name="_Toc226309802"/>
      <w:r/>
      <w:bookmarkStart w:id="864" w:name="_Toc305158826"/>
      <w:r/>
      <w:bookmarkStart w:id="865" w:name="_Toc264969248"/>
      <w:r/>
      <w:bookmarkStart w:id="866" w:name="_Toc226965748"/>
      <w:r/>
      <w:bookmarkStart w:id="867" w:name="_Toc164608672"/>
      <w:r/>
      <w:bookmarkStart w:id="868" w:name="_Toc164608827"/>
      <w:r/>
      <w:bookmarkStart w:id="869" w:name="_Toc226337254"/>
      <w:r/>
      <w:bookmarkStart w:id="870" w:name="_Toc226965831"/>
      <w:r>
        <w:rPr>
          <w:rFonts w:hint="eastAsia" w:ascii="宋体" w:hAnsi="宋体"/>
          <w:b/>
          <w:color w:val="000000"/>
          <w:sz w:val="36"/>
          <w:szCs w:val="36"/>
          <w:highlight w:val="none"/>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b/>
          <w:color w:val="000000"/>
          <w:sz w:val="36"/>
          <w:szCs w:val="36"/>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1"/>
        <w:jc w:val="left"/>
        <w:rPr>
          <w:rFonts w:ascii="宋体" w:hAnsi="宋体"/>
          <w:color w:val="000000"/>
          <w:sz w:val="24"/>
          <w:highlight w:val="none"/>
        </w:rPr>
      </w:pPr>
      <w:r>
        <w:rPr>
          <w:rFonts w:ascii="宋体" w:hAnsi="宋体"/>
          <w:color w:val="000000"/>
          <w:sz w:val="24"/>
          <w:highlight w:val="none"/>
        </w:rPr>
      </w:r>
      <w:r/>
    </w:p>
    <w:p>
      <w:pPr>
        <w:pStyle w:val="1071"/>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w:t>
      </w:r>
      <w:r>
        <w:rPr>
          <w:rFonts w:hint="eastAsia" w:ascii="宋体" w:hAnsi="宋体"/>
          <w:color w:val="000000"/>
          <w:sz w:val="24"/>
          <w:szCs w:val="20"/>
          <w:highlight w:val="none"/>
          <w:lang w:val="en-US" w:eastAsia="zh-CN"/>
        </w:rPr>
        <w:t xml:space="preserve">为</w:t>
      </w:r>
      <w:r>
        <w:rPr>
          <w:rFonts w:hint="eastAsia" w:ascii="宋体" w:hAnsi="宋体"/>
          <w:bCs/>
          <w:color w:val="000000"/>
          <w:sz w:val="24"/>
          <w:highlight w:val="none"/>
          <w:lang w:eastAsia="zh-CN"/>
        </w:rPr>
        <w:t xml:space="preserve">医用氧（液氧）</w:t>
      </w:r>
      <w:r>
        <w:rPr>
          <w:rFonts w:hint="eastAsia" w:ascii="宋体" w:hAnsi="宋体"/>
          <w:bCs/>
          <w:color w:val="000000"/>
          <w:sz w:val="24"/>
          <w:highlight w:val="none"/>
          <w:lang w:val="en-US" w:eastAsia="zh-CN"/>
        </w:rPr>
        <w:t xml:space="preserve">单价，</w:t>
      </w:r>
      <w:r>
        <w:rPr>
          <w:rFonts w:ascii="宋体" w:hAnsi="宋体"/>
          <w:color w:val="000000"/>
          <w:sz w:val="24"/>
          <w:szCs w:val="20"/>
          <w:highlight w:val="none"/>
        </w:rPr>
        <w:t xml:space="preserve">应和《投标分项报价表》中的</w:t>
      </w:r>
      <w:r>
        <w:rPr>
          <w:rFonts w:hint="eastAsia" w:ascii="宋体" w:hAnsi="宋体"/>
          <w:color w:val="000000"/>
          <w:sz w:val="24"/>
          <w:szCs w:val="20"/>
          <w:highlight w:val="none"/>
          <w:lang w:val="en-US" w:eastAsia="zh-CN"/>
        </w:rPr>
        <w:t xml:space="preserve">价格</w:t>
      </w:r>
      <w:r>
        <w:rPr>
          <w:rFonts w:ascii="宋体" w:hAnsi="宋体"/>
          <w:color w:val="000000"/>
          <w:sz w:val="24"/>
          <w:szCs w:val="20"/>
          <w:highlight w:val="none"/>
        </w:rPr>
        <w:t xml:space="preserve">相一致。</w:t>
      </w:r>
      <w:r>
        <w:rPr>
          <w:rFonts w:ascii="宋体" w:hAnsi="宋体"/>
          <w:color w:val="000000"/>
          <w:sz w:val="24"/>
          <w:szCs w:val="20"/>
          <w:highlight w:val="none"/>
        </w:rPr>
      </w:r>
      <w:r/>
    </w:p>
    <w:p>
      <w:pPr>
        <w:pStyle w:val="1071"/>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71" w:name="_Toc265228397"/>
      <w:r/>
      <w:bookmarkStart w:id="872" w:name="_Toc150480796"/>
      <w:r/>
      <w:bookmarkStart w:id="873" w:name="_Toc226337255"/>
      <w:r/>
      <w:bookmarkStart w:id="874" w:name="_Toc142311060"/>
      <w:r/>
      <w:bookmarkStart w:id="875" w:name="_Toc127151558"/>
      <w:r/>
      <w:bookmarkStart w:id="876" w:name="_Toc150774763"/>
      <w:r/>
      <w:bookmarkStart w:id="877" w:name="_Toc195842924"/>
      <w:r/>
      <w:bookmarkStart w:id="878" w:name="_Toc226309803"/>
      <w:r/>
      <w:bookmarkStart w:id="879" w:name="_Toc305158827"/>
      <w:r/>
      <w:bookmarkStart w:id="880" w:name="_Toc305158901"/>
      <w:r/>
      <w:bookmarkStart w:id="881" w:name="_Toc264969249"/>
      <w:r/>
      <w:bookmarkStart w:id="882" w:name="_Toc226965749"/>
      <w:r/>
      <w:bookmarkStart w:id="883" w:name="_Toc226965832"/>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1"/>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1"/>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hint="eastAsia" w:ascii="宋体" w:hAnsi="宋体"/>
                <w:bCs/>
                <w:color w:val="000000"/>
                <w:sz w:val="24"/>
                <w:highlight w:val="none"/>
                <w:lang w:eastAsia="zh-CN"/>
              </w:rPr>
              <w:t xml:space="preserve">医用氧（液氧）</w:t>
            </w: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eastAsia="宋体"/>
                <w:color w:val="000000"/>
                <w:sz w:val="24"/>
                <w:szCs w:val="24"/>
                <w:highlight w:val="none"/>
              </w:rPr>
              <w:t xml:space="preserve">浓度≥99.5%</w:t>
            </w: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618" w:type="dxa"/>
            <w:vAlign w:val="center"/>
            <w:textDirection w:val="lrTb"/>
            <w:noWrap w:val="false"/>
          </w:tcPr>
          <w:p>
            <w:pPr>
              <w:pStyle w:val="1071"/>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吨</w:t>
            </w: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1"/>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1"/>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1"/>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1"/>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1"/>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w:t>
      </w:r>
      <w:r>
        <w:rPr>
          <w:rFonts w:hint="eastAsia" w:ascii="宋体" w:hAnsi="宋体"/>
          <w:color w:val="000000"/>
          <w:sz w:val="24"/>
          <w:highlight w:val="none"/>
          <w:lang w:val="en-US" w:eastAsia="zh-CN"/>
        </w:rPr>
        <w:t xml:space="preserve">按</w:t>
      </w:r>
      <w:r>
        <w:rPr>
          <w:rFonts w:hint="eastAsia" w:ascii="宋体" w:hAnsi="宋体"/>
          <w:bCs/>
          <w:color w:val="000000"/>
          <w:sz w:val="24"/>
          <w:highlight w:val="none"/>
          <w:lang w:eastAsia="zh-CN"/>
        </w:rPr>
        <w:t xml:space="preserve">医用氧（液氧）</w:t>
      </w:r>
      <w:r>
        <w:rPr>
          <w:rFonts w:hint="eastAsia" w:ascii="宋体" w:hAnsi="宋体"/>
          <w:bCs/>
          <w:color w:val="000000"/>
          <w:sz w:val="24"/>
          <w:highlight w:val="none"/>
          <w:lang w:val="en-US" w:eastAsia="zh-CN"/>
        </w:rPr>
        <w:t xml:space="preserve">单价报价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1"/>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spacing w:line="360" w:lineRule="auto"/>
        <w:rPr>
          <w:rFonts w:ascii="宋体" w:hAnsi="宋体"/>
          <w:b/>
          <w:color w:val="000000"/>
          <w:sz w:val="24"/>
          <w:szCs w:val="20"/>
          <w:highlight w:val="none"/>
        </w:rPr>
        <w:outlineLvl w:val="2"/>
      </w:pPr>
      <w:r/>
      <w:bookmarkStart w:id="884" w:name="_Toc226309806"/>
      <w:r/>
      <w:bookmarkStart w:id="885" w:name="_Toc127151562"/>
      <w:r/>
      <w:bookmarkStart w:id="886" w:name="_Toc150480798"/>
      <w:r/>
      <w:bookmarkStart w:id="887" w:name="_Toc195842927"/>
      <w:r/>
      <w:bookmarkStart w:id="888" w:name="_Toc264969252"/>
      <w:r/>
      <w:bookmarkStart w:id="889" w:name="_Toc226965835"/>
      <w:r/>
      <w:bookmarkStart w:id="890" w:name="_Toc226337258"/>
      <w:r/>
      <w:bookmarkStart w:id="891" w:name="_Toc305158904"/>
      <w:r/>
      <w:bookmarkStart w:id="892" w:name="_Toc305158830"/>
      <w:r/>
      <w:bookmarkStart w:id="893" w:name="_Toc265228400"/>
      <w:r/>
      <w:bookmarkStart w:id="894" w:name="_Toc226965752"/>
      <w:r/>
      <w:bookmarkStart w:id="895" w:name="_Toc142311062"/>
      <w:r/>
      <w:bookmarkStart w:id="896" w:name="_Toc150774765"/>
      <w:r/>
      <w:bookmarkStart w:id="897" w:name="_Toc226309805"/>
      <w:r/>
      <w:bookmarkStart w:id="898" w:name="_Toc265228399"/>
      <w:r/>
      <w:bookmarkStart w:id="899" w:name="_Toc305158829"/>
      <w:r/>
      <w:bookmarkStart w:id="900" w:name="_Toc195842926"/>
      <w:r/>
      <w:bookmarkStart w:id="901" w:name="_Toc226965751"/>
      <w:r/>
      <w:bookmarkStart w:id="902" w:name="_Toc127151561"/>
      <w:r/>
      <w:bookmarkStart w:id="903" w:name="_Toc226965834"/>
      <w:r/>
      <w:bookmarkStart w:id="904" w:name="_Toc150774764"/>
      <w:r/>
      <w:bookmarkStart w:id="905" w:name="_Toc150480797"/>
      <w:r/>
      <w:bookmarkStart w:id="906" w:name="_Toc226337257"/>
      <w:r/>
      <w:bookmarkStart w:id="907" w:name="_Toc264969251"/>
      <w:r/>
      <w:bookmarkStart w:id="908" w:name="_Toc305158903"/>
      <w:r/>
      <w:bookmarkStart w:id="909" w:name="_Toc142311061"/>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ascii="宋体" w:hAnsi="宋体"/>
          <w:color w:val="000000"/>
          <w:sz w:val="24"/>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1"/>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both"/>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1"/>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1"/>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1"/>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w:t>
      </w:r>
      <w:r>
        <w:rPr>
          <w:rFonts w:hint="eastAsia" w:ascii="宋体" w:hAnsi="宋体"/>
          <w:b/>
          <w:bCs/>
          <w:color w:val="000000"/>
          <w:sz w:val="36"/>
          <w:szCs w:val="36"/>
          <w:highlight w:val="none"/>
          <w:lang w:val="en-US" w:eastAsia="zh-CN"/>
        </w:rPr>
        <w:t xml:space="preserve">服务</w:t>
      </w:r>
      <w:r>
        <w:rPr>
          <w:rFonts w:hint="eastAsia" w:ascii="宋体" w:hAnsi="宋体"/>
          <w:b/>
          <w:bCs/>
          <w:color w:val="000000"/>
          <w:sz w:val="36"/>
          <w:szCs w:val="36"/>
          <w:highlight w:val="none"/>
        </w:rPr>
        <w:t xml:space="preserve">）格式</w:t>
      </w:r>
      <w:r>
        <w:rPr>
          <w:rFonts w:ascii="宋体" w:hAnsi="宋体"/>
          <w:b/>
          <w:bCs/>
          <w:color w:val="000000"/>
          <w:sz w:val="36"/>
          <w:szCs w:val="36"/>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1"/>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1"/>
        <w:ind w:firstLine="420"/>
        <w:jc w:val="left"/>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1"/>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Style w:val="1145"/>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Style w:val="1145"/>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5"/>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Style w:val="1145"/>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w:t>
      </w:r>
      <w:r>
        <w:rPr>
          <w:rStyle w:val="1145"/>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1"/>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1"/>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1"/>
        <w:spacing w:line="360" w:lineRule="auto"/>
        <w:rPr>
          <w:rFonts w:ascii="宋体" w:hAnsi="宋体"/>
          <w:color w:val="000000"/>
          <w:sz w:val="22"/>
          <w:highlight w:val="none"/>
        </w:rPr>
      </w:pPr>
      <w:r>
        <w:rPr>
          <w:rFonts w:ascii="宋体" w:hAnsi="宋体"/>
          <w:color w:val="000000"/>
          <w:sz w:val="22"/>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0" w:name="_Toc288738839"/>
      <w:r/>
      <w:bookmarkStart w:id="911"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0"/>
      <w:r/>
      <w:bookmarkEnd w:id="911"/>
      <w:r>
        <w:rPr>
          <w:rFonts w:ascii="宋体" w:hAnsi="宋体"/>
          <w:b/>
          <w:color w:val="000000"/>
          <w:sz w:val="32"/>
          <w:szCs w:val="32"/>
          <w:highlight w:val="none"/>
        </w:rPr>
      </w:r>
      <w:r/>
    </w:p>
    <w:p>
      <w:pPr>
        <w:pStyle w:val="107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1"/>
        <w:spacing w:line="360" w:lineRule="auto"/>
        <w:rPr>
          <w:rFonts w:ascii="宋体" w:hAnsi="宋体" w:cs="宋体"/>
          <w:color w:val="000000"/>
          <w:sz w:val="24"/>
          <w:highlight w:val="none"/>
        </w:rPr>
      </w:pPr>
      <w:r>
        <w:rPr>
          <w:rFonts w:ascii="宋体" w:hAnsi="宋体" w:cs="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1"/>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rPr>
        <w:rStyle w:val="1143"/>
      </w:rPr>
      <w:framePr w:wrap="around" w:vAnchor="text" w:hAnchor="margin" w:y="1"/>
    </w:pPr>
    <w:r>
      <w:rPr>
        <w:rStyle w:val="1143"/>
      </w:rPr>
    </w:r>
    <w:r/>
  </w:p>
  <w:p>
    <w:pPr>
      <w:pStyle w:val="111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r>
    <w:r/>
  </w:p>
  <w:p>
    <w:pPr>
      <w:pStyle w:val="111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28"/>
      <w:isLgl w:val="false"/>
      <w:suff w:val="tab"/>
      <w:lvlText w:val="%1、"/>
      <w:lvlJc w:val="left"/>
      <w:pPr>
        <w:pStyle w:val="1071"/>
        <w:ind w:left="862" w:hanging="720"/>
        <w:tabs>
          <w:tab w:val="num" w:pos="862" w:leader="none"/>
        </w:tabs>
      </w:pPr>
      <w:rPr>
        <w:rFonts w:hint="eastAsia"/>
      </w:rPr>
    </w:lvl>
    <w:lvl w:ilvl="1">
      <w:start w:val="1"/>
      <w:numFmt w:val="chineseCountingThousand"/>
      <w:isLgl w:val="false"/>
      <w:suff w:val="tab"/>
      <w:lvlText w:val="（%2）"/>
      <w:lvlJc w:val="left"/>
      <w:pPr>
        <w:pStyle w:val="1071"/>
        <w:ind w:left="780" w:hanging="780"/>
        <w:tabs>
          <w:tab w:val="num" w:pos="780" w:leader="none"/>
        </w:tabs>
      </w:pPr>
      <w:rPr>
        <w:rFonts w:hint="eastAsia"/>
      </w:rPr>
    </w:lvl>
    <w:lvl w:ilvl="2">
      <w:start w:val="1"/>
      <w:numFmt w:val="lowerRoman"/>
      <w:isLgl w:val="false"/>
      <w:suff w:val="tab"/>
      <w:lvlText w:val="%3."/>
      <w:lvlJc w:val="right"/>
      <w:pPr>
        <w:pStyle w:val="1071"/>
        <w:ind w:left="1260" w:hanging="420"/>
        <w:tabs>
          <w:tab w:val="num" w:pos="1260" w:leader="none"/>
        </w:tabs>
      </w:pPr>
      <w:rPr>
        <w:rFonts w:hint="eastAsia"/>
      </w:rPr>
    </w:lvl>
    <w:lvl w:ilvl="3">
      <w:start w:val="1"/>
      <w:numFmt w:val="decimal"/>
      <w:isLgl w:val="false"/>
      <w:suff w:val="tab"/>
      <w:lvlText w:val="%4."/>
      <w:lvlJc w:val="left"/>
      <w:pPr>
        <w:pStyle w:val="1071"/>
        <w:ind w:left="1680" w:hanging="420"/>
        <w:tabs>
          <w:tab w:val="num" w:pos="1680" w:leader="none"/>
        </w:tabs>
      </w:pPr>
      <w:rPr>
        <w:rFonts w:hint="eastAsia"/>
      </w:rPr>
    </w:lvl>
    <w:lvl w:ilvl="4">
      <w:start w:val="1"/>
      <w:numFmt w:val="lowerLetter"/>
      <w:isLgl w:val="false"/>
      <w:suff w:val="tab"/>
      <w:lvlText w:val="%5)"/>
      <w:lvlJc w:val="left"/>
      <w:pPr>
        <w:pStyle w:val="1071"/>
        <w:ind w:left="2100" w:hanging="420"/>
        <w:tabs>
          <w:tab w:val="num" w:pos="2100" w:leader="none"/>
        </w:tabs>
      </w:pPr>
      <w:rPr>
        <w:rFonts w:hint="eastAsia"/>
      </w:rPr>
    </w:lvl>
    <w:lvl w:ilvl="5">
      <w:start w:val="1"/>
      <w:numFmt w:val="lowerRoman"/>
      <w:isLgl w:val="false"/>
      <w:suff w:val="tab"/>
      <w:lvlText w:val="%6."/>
      <w:lvlJc w:val="right"/>
      <w:pPr>
        <w:pStyle w:val="1071"/>
        <w:ind w:left="2520" w:hanging="420"/>
        <w:tabs>
          <w:tab w:val="num" w:pos="2520" w:leader="none"/>
        </w:tabs>
      </w:pPr>
      <w:rPr>
        <w:rFonts w:hint="eastAsia"/>
      </w:rPr>
    </w:lvl>
    <w:lvl w:ilvl="6">
      <w:start w:val="1"/>
      <w:numFmt w:val="decimal"/>
      <w:isLgl w:val="false"/>
      <w:suff w:val="tab"/>
      <w:lvlText w:val="%7."/>
      <w:lvlJc w:val="left"/>
      <w:pPr>
        <w:pStyle w:val="1071"/>
        <w:ind w:left="2940" w:hanging="420"/>
        <w:tabs>
          <w:tab w:val="num" w:pos="2940" w:leader="none"/>
        </w:tabs>
      </w:pPr>
      <w:rPr>
        <w:rFonts w:hint="eastAsia"/>
      </w:rPr>
    </w:lvl>
    <w:lvl w:ilvl="7">
      <w:start w:val="1"/>
      <w:numFmt w:val="lowerLetter"/>
      <w:isLgl w:val="false"/>
      <w:suff w:val="tab"/>
      <w:lvlText w:val="%8)"/>
      <w:lvlJc w:val="left"/>
      <w:pPr>
        <w:pStyle w:val="1071"/>
        <w:ind w:left="3360" w:hanging="420"/>
        <w:tabs>
          <w:tab w:val="num" w:pos="3360" w:leader="none"/>
        </w:tabs>
      </w:pPr>
      <w:rPr>
        <w:rFonts w:hint="eastAsia"/>
      </w:rPr>
    </w:lvl>
    <w:lvl w:ilvl="8">
      <w:start w:val="1"/>
      <w:numFmt w:val="lowerRoman"/>
      <w:isLgl w:val="false"/>
      <w:suff w:val="tab"/>
      <w:lvlText w:val="%9."/>
      <w:lvlJc w:val="right"/>
      <w:pPr>
        <w:pStyle w:val="1071"/>
        <w:ind w:left="3780" w:hanging="420"/>
        <w:tabs>
          <w:tab w:val="num" w:pos="3780" w:leader="none"/>
        </w:tabs>
      </w:pPr>
      <w:rPr>
        <w:rFonts w:hint="eastAsia"/>
      </w:rPr>
    </w:lvl>
  </w:abstractNum>
  <w:abstractNum w:abstractNumId="2">
    <w:multiLevelType w:val="hybridMultilevel"/>
    <w:lvl w:ilvl="0">
      <w:start w:val="1"/>
      <w:numFmt w:val="japaneseCounting"/>
      <w:isLgl w:val="false"/>
      <w:suff w:val="tab"/>
      <w:lvlText w:val="第%1章"/>
      <w:lvlJc w:val="left"/>
      <w:pPr>
        <w:pStyle w:val="1071"/>
        <w:ind w:left="4941" w:hanging="1140"/>
        <w:tabs>
          <w:tab w:val="num" w:pos="4941" w:leader="none"/>
        </w:tabs>
      </w:pPr>
      <w:rPr>
        <w:rFonts w:hint="eastAsia"/>
      </w:rPr>
    </w:lvl>
    <w:lvl w:ilvl="1">
      <w:start w:val="1"/>
      <w:numFmt w:val="lowerLetter"/>
      <w:isLgl w:val="false"/>
      <w:suff w:val="tab"/>
      <w:lvlText w:val="%2)"/>
      <w:lvlJc w:val="left"/>
      <w:pPr>
        <w:pStyle w:val="1071"/>
        <w:ind w:left="4641" w:hanging="420"/>
        <w:tabs>
          <w:tab w:val="num" w:pos="4641" w:leader="none"/>
        </w:tabs>
      </w:pPr>
    </w:lvl>
    <w:lvl w:ilvl="2">
      <w:start w:val="1"/>
      <w:numFmt w:val="lowerRoman"/>
      <w:isLgl w:val="false"/>
      <w:suff w:val="tab"/>
      <w:lvlText w:val="%3."/>
      <w:lvlJc w:val="right"/>
      <w:pPr>
        <w:pStyle w:val="1071"/>
        <w:ind w:left="5061" w:hanging="420"/>
        <w:tabs>
          <w:tab w:val="num" w:pos="5061" w:leader="none"/>
        </w:tabs>
      </w:pPr>
    </w:lvl>
    <w:lvl w:ilvl="3">
      <w:start w:val="1"/>
      <w:numFmt w:val="decimal"/>
      <w:isLgl w:val="false"/>
      <w:suff w:val="tab"/>
      <w:lvlText w:val="%4."/>
      <w:lvlJc w:val="left"/>
      <w:pPr>
        <w:pStyle w:val="1071"/>
        <w:ind w:left="5481" w:hanging="420"/>
        <w:tabs>
          <w:tab w:val="num" w:pos="5481" w:leader="none"/>
        </w:tabs>
      </w:pPr>
    </w:lvl>
    <w:lvl w:ilvl="4">
      <w:start w:val="1"/>
      <w:numFmt w:val="lowerLetter"/>
      <w:isLgl w:val="false"/>
      <w:suff w:val="tab"/>
      <w:lvlText w:val="%5)"/>
      <w:lvlJc w:val="left"/>
      <w:pPr>
        <w:pStyle w:val="1071"/>
        <w:ind w:left="5901" w:hanging="420"/>
        <w:tabs>
          <w:tab w:val="num" w:pos="5901" w:leader="none"/>
        </w:tabs>
      </w:pPr>
    </w:lvl>
    <w:lvl w:ilvl="5">
      <w:start w:val="1"/>
      <w:numFmt w:val="lowerRoman"/>
      <w:isLgl w:val="false"/>
      <w:suff w:val="tab"/>
      <w:lvlText w:val="%6."/>
      <w:lvlJc w:val="right"/>
      <w:pPr>
        <w:pStyle w:val="1071"/>
        <w:ind w:left="6321" w:hanging="420"/>
        <w:tabs>
          <w:tab w:val="num" w:pos="6321" w:leader="none"/>
        </w:tabs>
      </w:pPr>
    </w:lvl>
    <w:lvl w:ilvl="6">
      <w:start w:val="1"/>
      <w:numFmt w:val="decimal"/>
      <w:isLgl w:val="false"/>
      <w:suff w:val="tab"/>
      <w:lvlText w:val="%7."/>
      <w:lvlJc w:val="left"/>
      <w:pPr>
        <w:pStyle w:val="1071"/>
        <w:ind w:left="6741" w:hanging="420"/>
        <w:tabs>
          <w:tab w:val="num" w:pos="6741" w:leader="none"/>
        </w:tabs>
      </w:pPr>
    </w:lvl>
    <w:lvl w:ilvl="7">
      <w:start w:val="1"/>
      <w:numFmt w:val="lowerLetter"/>
      <w:isLgl w:val="false"/>
      <w:suff w:val="tab"/>
      <w:lvlText w:val="%8)"/>
      <w:lvlJc w:val="left"/>
      <w:pPr>
        <w:pStyle w:val="1071"/>
        <w:ind w:left="7161" w:hanging="420"/>
        <w:tabs>
          <w:tab w:val="num" w:pos="7161" w:leader="none"/>
        </w:tabs>
      </w:pPr>
    </w:lvl>
    <w:lvl w:ilvl="8">
      <w:start w:val="1"/>
      <w:numFmt w:val="lowerRoman"/>
      <w:isLgl w:val="false"/>
      <w:suff w:val="tab"/>
      <w:lvlText w:val="%9."/>
      <w:lvlJc w:val="right"/>
      <w:pPr>
        <w:pStyle w:val="1071"/>
        <w:ind w:left="7581" w:hanging="420"/>
        <w:tabs>
          <w:tab w:val="num" w:pos="7581" w:leader="none"/>
        </w:tabs>
      </w:pPr>
    </w:lvl>
  </w:abstractNum>
  <w:abstractNum w:abstractNumId="3">
    <w:multiLevelType w:val="hybridMultilevel"/>
    <w:lvl w:ilvl="0">
      <w:start w:val="1"/>
      <w:numFmt w:val="decimal"/>
      <w:pStyle w:val="1179"/>
      <w:isLgl w:val="false"/>
      <w:suff w:val="tab"/>
      <w:lvlText w:val="%1."/>
      <w:lvlJc w:val="left"/>
      <w:pPr>
        <w:pStyle w:val="1071"/>
        <w:ind w:left="420" w:hanging="420"/>
      </w:pPr>
    </w:lvl>
    <w:lvl w:ilvl="1">
      <w:start w:val="1"/>
      <w:numFmt w:val="decimal"/>
      <w:isLgl w:val="false"/>
      <w:suff w:val="tab"/>
      <w:lvlText w:val="（%2）"/>
      <w:lvlJc w:val="left"/>
      <w:pPr>
        <w:pStyle w:val="1071"/>
        <w:ind w:left="1140" w:hanging="720"/>
        <w:tabs>
          <w:tab w:val="num" w:pos="1140" w:leader="none"/>
        </w:tabs>
      </w:pPr>
      <w:rPr>
        <w:rFonts w:hint="eastAsia"/>
      </w:r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4">
    <w:multiLevelType w:val="hybridMultilevel"/>
    <w:lvl w:ilvl="0">
      <w:start w:val="1"/>
      <w:numFmt w:val="lowerLetter"/>
      <w:pStyle w:val="1254"/>
      <w:isLgl w:val="false"/>
      <w:suff w:val="tab"/>
      <w:lvlText w:val="%1)"/>
      <w:lvlJc w:val="left"/>
      <w:pPr>
        <w:pStyle w:val="1071"/>
        <w:ind w:left="902" w:hanging="420"/>
      </w:pPr>
      <w:rPr>
        <w:color w:val="000000"/>
      </w:rPr>
    </w:lvl>
    <w:lvl w:ilvl="1">
      <w:start w:val="1"/>
      <w:numFmt w:val="lowerLetter"/>
      <w:isLgl w:val="false"/>
      <w:suff w:val="tab"/>
      <w:lvlText w:val="%2)"/>
      <w:lvlJc w:val="left"/>
      <w:pPr>
        <w:pStyle w:val="1071"/>
        <w:ind w:left="1322" w:hanging="420"/>
      </w:pPr>
    </w:lvl>
    <w:lvl w:ilvl="2">
      <w:start w:val="1"/>
      <w:numFmt w:val="lowerRoman"/>
      <w:isLgl w:val="false"/>
      <w:suff w:val="tab"/>
      <w:lvlText w:val="%3."/>
      <w:lvlJc w:val="right"/>
      <w:pPr>
        <w:pStyle w:val="1071"/>
        <w:ind w:left="1742" w:hanging="420"/>
      </w:pPr>
    </w:lvl>
    <w:lvl w:ilvl="3">
      <w:start w:val="1"/>
      <w:numFmt w:val="decimal"/>
      <w:isLgl w:val="false"/>
      <w:suff w:val="tab"/>
      <w:lvlText w:val="%4."/>
      <w:lvlJc w:val="left"/>
      <w:pPr>
        <w:pStyle w:val="1071"/>
        <w:ind w:left="2162" w:hanging="420"/>
      </w:pPr>
    </w:lvl>
    <w:lvl w:ilvl="4">
      <w:start w:val="1"/>
      <w:numFmt w:val="lowerLetter"/>
      <w:isLgl w:val="false"/>
      <w:suff w:val="tab"/>
      <w:lvlText w:val="%5)"/>
      <w:lvlJc w:val="left"/>
      <w:pPr>
        <w:pStyle w:val="1071"/>
        <w:ind w:left="2582" w:hanging="420"/>
      </w:pPr>
    </w:lvl>
    <w:lvl w:ilvl="5">
      <w:start w:val="1"/>
      <w:numFmt w:val="lowerRoman"/>
      <w:isLgl w:val="false"/>
      <w:suff w:val="tab"/>
      <w:lvlText w:val="%6."/>
      <w:lvlJc w:val="right"/>
      <w:pPr>
        <w:pStyle w:val="1071"/>
        <w:ind w:left="3002" w:hanging="420"/>
      </w:pPr>
    </w:lvl>
    <w:lvl w:ilvl="6">
      <w:start w:val="1"/>
      <w:numFmt w:val="decimal"/>
      <w:isLgl w:val="false"/>
      <w:suff w:val="tab"/>
      <w:lvlText w:val="%7."/>
      <w:lvlJc w:val="left"/>
      <w:pPr>
        <w:pStyle w:val="1071"/>
        <w:ind w:left="3422" w:hanging="420"/>
      </w:pPr>
    </w:lvl>
    <w:lvl w:ilvl="7">
      <w:start w:val="1"/>
      <w:numFmt w:val="lowerLetter"/>
      <w:isLgl w:val="false"/>
      <w:suff w:val="tab"/>
      <w:lvlText w:val="%8)"/>
      <w:lvlJc w:val="left"/>
      <w:pPr>
        <w:pStyle w:val="1071"/>
        <w:ind w:left="3842" w:hanging="420"/>
      </w:pPr>
    </w:lvl>
    <w:lvl w:ilvl="8">
      <w:start w:val="1"/>
      <w:numFmt w:val="lowerRoman"/>
      <w:isLgl w:val="false"/>
      <w:suff w:val="tab"/>
      <w:lvlText w:val="%9."/>
      <w:lvlJc w:val="right"/>
      <w:pPr>
        <w:pStyle w:val="1071"/>
        <w:ind w:left="4262" w:hanging="420"/>
      </w:pPr>
    </w:lvl>
  </w:abstractNum>
  <w:abstractNum w:abstractNumId="5">
    <w:multiLevelType w:val="hybridMultilevel"/>
    <w:lvl w:ilvl="0">
      <w:start w:val="1"/>
      <w:numFmt w:val="decimal"/>
      <w:pStyle w:val="1224"/>
      <w:isLgl w:val="false"/>
      <w:suff w:val="tab"/>
      <w:lvlText w:val="%1."/>
      <w:lvlJc w:val="left"/>
      <w:pPr>
        <w:pStyle w:val="10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3"/>
      <w:isLgl w:val="false"/>
      <w:suff w:val="nothing"/>
      <w:lvlText w:val="%1　"/>
      <w:lvlJc w:val="left"/>
      <w:pPr>
        <w:pStyle w:val="10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1"/>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1"/>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1"/>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1"/>
        <w:ind w:left="768" w:hanging="360"/>
        <w:tabs>
          <w:tab w:val="num" w:pos="768" w:leader="none"/>
        </w:tabs>
      </w:pPr>
      <w:rPr>
        <w:rFonts w:hint="eastAsia"/>
      </w:rPr>
    </w:lvl>
    <w:lvl w:ilvl="1">
      <w:start w:val="1"/>
      <w:numFmt w:val="decimal"/>
      <w:pStyle w:val="1211"/>
      <w:isLgl w:val="false"/>
      <w:suff w:val="tab"/>
      <w:lvlText w:val="%2、"/>
      <w:lvlJc w:val="left"/>
      <w:pPr>
        <w:pStyle w:val="1071"/>
        <w:ind w:left="1188" w:hanging="360"/>
        <w:tabs>
          <w:tab w:val="num" w:pos="1188" w:leader="none"/>
        </w:tabs>
      </w:pPr>
      <w:rPr>
        <w:rFonts w:hint="eastAsia"/>
      </w:rPr>
    </w:lvl>
    <w:lvl w:ilvl="2">
      <w:start w:val="1"/>
      <w:numFmt w:val="decimal"/>
      <w:isLgl w:val="false"/>
      <w:suff w:val="tab"/>
      <w:lvlText w:val="（%3）"/>
      <w:lvlJc w:val="left"/>
      <w:pPr>
        <w:pStyle w:val="1071"/>
        <w:ind w:left="1968" w:hanging="720"/>
        <w:tabs>
          <w:tab w:val="num" w:pos="1968" w:leader="none"/>
        </w:tabs>
      </w:pPr>
      <w:rPr>
        <w:rFonts w:hint="eastAsia"/>
        <w:u w:val="none"/>
      </w:rPr>
    </w:lvl>
    <w:lvl w:ilvl="3">
      <w:start w:val="1"/>
      <w:numFmt w:val="decimal"/>
      <w:isLgl w:val="false"/>
      <w:suff w:val="tab"/>
      <w:lvlText w:val="%4."/>
      <w:lvlJc w:val="left"/>
      <w:pPr>
        <w:pStyle w:val="1071"/>
        <w:ind w:left="2088" w:hanging="420"/>
        <w:tabs>
          <w:tab w:val="num" w:pos="2088" w:leader="none"/>
        </w:tabs>
      </w:pPr>
    </w:lvl>
    <w:lvl w:ilvl="4">
      <w:start w:val="1"/>
      <w:numFmt w:val="lowerLetter"/>
      <w:isLgl w:val="false"/>
      <w:suff w:val="tab"/>
      <w:lvlText w:val="%5)"/>
      <w:lvlJc w:val="left"/>
      <w:pPr>
        <w:pStyle w:val="1071"/>
        <w:ind w:left="2508" w:hanging="420"/>
        <w:tabs>
          <w:tab w:val="num" w:pos="2508" w:leader="none"/>
        </w:tabs>
      </w:pPr>
    </w:lvl>
    <w:lvl w:ilvl="5">
      <w:start w:val="1"/>
      <w:numFmt w:val="lowerRoman"/>
      <w:isLgl w:val="false"/>
      <w:suff w:val="tab"/>
      <w:lvlText w:val="%6."/>
      <w:lvlJc w:val="right"/>
      <w:pPr>
        <w:pStyle w:val="1071"/>
        <w:ind w:left="2928" w:hanging="420"/>
        <w:tabs>
          <w:tab w:val="num" w:pos="2928" w:leader="none"/>
        </w:tabs>
      </w:pPr>
    </w:lvl>
    <w:lvl w:ilvl="6">
      <w:start w:val="1"/>
      <w:numFmt w:val="decimal"/>
      <w:isLgl w:val="false"/>
      <w:suff w:val="tab"/>
      <w:lvlText w:val="%7."/>
      <w:lvlJc w:val="left"/>
      <w:pPr>
        <w:pStyle w:val="1071"/>
        <w:ind w:left="3348" w:hanging="420"/>
        <w:tabs>
          <w:tab w:val="num" w:pos="3348" w:leader="none"/>
        </w:tabs>
      </w:pPr>
    </w:lvl>
    <w:lvl w:ilvl="7">
      <w:start w:val="1"/>
      <w:numFmt w:val="lowerLetter"/>
      <w:isLgl w:val="false"/>
      <w:suff w:val="tab"/>
      <w:lvlText w:val="%8)"/>
      <w:lvlJc w:val="left"/>
      <w:pPr>
        <w:pStyle w:val="1071"/>
        <w:ind w:left="3768" w:hanging="420"/>
        <w:tabs>
          <w:tab w:val="num" w:pos="3768" w:leader="none"/>
        </w:tabs>
      </w:pPr>
    </w:lvl>
    <w:lvl w:ilvl="8">
      <w:start w:val="1"/>
      <w:numFmt w:val="lowerRoman"/>
      <w:isLgl w:val="false"/>
      <w:suff w:val="tab"/>
      <w:lvlText w:val="%9."/>
      <w:lvlJc w:val="right"/>
      <w:pPr>
        <w:pStyle w:val="1071"/>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1"/>
        <w:ind w:left="900" w:hanging="900"/>
        <w:tabs>
          <w:tab w:val="num" w:pos="900" w:leader="none"/>
        </w:tabs>
      </w:pPr>
      <w:rPr>
        <w:rFonts w:hint="eastAsia"/>
        <w:b/>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9">
    <w:multiLevelType w:val="hybridMultilevel"/>
    <w:lvl w:ilvl="0">
      <w:start w:val="1"/>
      <w:numFmt w:val="decimal"/>
      <w:pStyle w:val="1178"/>
      <w:isLgl w:val="false"/>
      <w:suff w:val="tab"/>
      <w:lvlText w:val="%1)"/>
      <w:lvlJc w:val="left"/>
      <w:pPr>
        <w:pStyle w:val="1071"/>
        <w:ind w:left="420" w:hanging="420"/>
      </w:p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10">
    <w:multiLevelType w:val="hybridMultilevel"/>
    <w:lvl w:ilvl="0">
      <w:start w:val="1"/>
      <w:numFmt w:val="decimal"/>
      <w:pStyle w:val="1279"/>
      <w:isLgl w:val="false"/>
      <w:suff w:val="tab"/>
      <w:lvlText w:val="%1"/>
      <w:lvlJc w:val="left"/>
      <w:pPr>
        <w:pStyle w:val="1071"/>
        <w:ind w:left="680" w:hanging="680"/>
      </w:pPr>
      <w:rPr>
        <w:rFonts w:hint="eastAsia" w:ascii="宋体" w:hAnsi="宋体" w:eastAsia="宋体"/>
      </w:rPr>
    </w:lvl>
    <w:lvl w:ilvl="1">
      <w:start w:val="1"/>
      <w:numFmt w:val="decimal"/>
      <w:pStyle w:val="1280"/>
      <w:isLgl w:val="false"/>
      <w:suff w:val="tab"/>
      <w:lvlText w:val="%1.%2"/>
      <w:lvlJc w:val="left"/>
      <w:pPr>
        <w:pStyle w:val="1071"/>
        <w:ind w:left="851" w:hanging="851"/>
      </w:pPr>
      <w:rPr>
        <w:rFonts w:hint="eastAsia" w:ascii="宋体" w:hAnsi="宋体" w:eastAsia="宋体"/>
        <w:color w:val="000000"/>
      </w:rPr>
    </w:lvl>
    <w:lvl w:ilvl="2">
      <w:start w:val="1"/>
      <w:numFmt w:val="decimal"/>
      <w:pStyle w:val="1281"/>
      <w:isLgl w:val="false"/>
      <w:suff w:val="tab"/>
      <w:lvlText w:val="%1.%2.%3"/>
      <w:lvlJc w:val="left"/>
      <w:pPr>
        <w:pStyle w:val="1071"/>
        <w:ind w:left="851" w:hanging="851"/>
      </w:pPr>
      <w:rPr>
        <w:rFonts w:hint="eastAsia"/>
      </w:rPr>
    </w:lvl>
    <w:lvl w:ilvl="3">
      <w:start w:val="1"/>
      <w:numFmt w:val="decimal"/>
      <w:isLgl w:val="false"/>
      <w:suff w:val="tab"/>
      <w:lvlText w:val="%1.%2.%3.%4"/>
      <w:lvlJc w:val="left"/>
      <w:pPr>
        <w:pStyle w:val="1071"/>
        <w:ind w:left="680" w:hanging="680"/>
      </w:pPr>
      <w:rPr>
        <w:rFonts w:hint="eastAsia"/>
      </w:rPr>
    </w:lvl>
    <w:lvl w:ilvl="4">
      <w:start w:val="1"/>
      <w:numFmt w:val="decimal"/>
      <w:isLgl w:val="false"/>
      <w:suff w:val="tab"/>
      <w:lvlText w:val="%1.%2.%3.%4.%5"/>
      <w:lvlJc w:val="left"/>
      <w:pPr>
        <w:pStyle w:val="1071"/>
        <w:ind w:left="680" w:hanging="680"/>
      </w:pPr>
      <w:rPr>
        <w:rFonts w:hint="eastAsia"/>
      </w:rPr>
    </w:lvl>
    <w:lvl w:ilvl="5">
      <w:start w:val="1"/>
      <w:numFmt w:val="decimal"/>
      <w:isLgl w:val="false"/>
      <w:suff w:val="tab"/>
      <w:lvlText w:val="%1.%2.%3.%4.%5.%6"/>
      <w:lvlJc w:val="left"/>
      <w:pPr>
        <w:pStyle w:val="1071"/>
        <w:ind w:left="680" w:hanging="680"/>
      </w:pPr>
      <w:rPr>
        <w:rFonts w:hint="eastAsia"/>
      </w:rPr>
    </w:lvl>
    <w:lvl w:ilvl="6">
      <w:start w:val="1"/>
      <w:numFmt w:val="decimal"/>
      <w:isLgl w:val="false"/>
      <w:suff w:val="tab"/>
      <w:lvlText w:val="%1.%2.%3.%4.%5.%6.%7"/>
      <w:lvlJc w:val="left"/>
      <w:pPr>
        <w:pStyle w:val="1071"/>
        <w:ind w:left="680" w:hanging="680"/>
      </w:pPr>
      <w:rPr>
        <w:rFonts w:hint="eastAsia"/>
      </w:rPr>
    </w:lvl>
    <w:lvl w:ilvl="7">
      <w:start w:val="1"/>
      <w:numFmt w:val="decimal"/>
      <w:isLgl w:val="false"/>
      <w:suff w:val="tab"/>
      <w:lvlText w:val="%1.%2.%3.%4.%5.%6.%7.%8"/>
      <w:lvlJc w:val="left"/>
      <w:pPr>
        <w:pStyle w:val="1071"/>
        <w:ind w:left="680" w:hanging="680"/>
      </w:pPr>
      <w:rPr>
        <w:rFonts w:hint="eastAsia"/>
      </w:rPr>
    </w:lvl>
    <w:lvl w:ilvl="8">
      <w:start w:val="1"/>
      <w:numFmt w:val="decimal"/>
      <w:isLgl w:val="false"/>
      <w:suff w:val="tab"/>
      <w:lvlText w:val="%1.%2.%3.%4.%5.%6.%7.%8.%9"/>
      <w:lvlJc w:val="left"/>
      <w:pPr>
        <w:pStyle w:val="1071"/>
        <w:ind w:left="680" w:hanging="680"/>
      </w:pPr>
      <w:rPr>
        <w:rFonts w:hint="eastAsia"/>
      </w:rPr>
    </w:lvl>
  </w:abstractNum>
  <w:abstractNum w:abstractNumId="11">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1"/>
  </w:num>
  <w:num w:numId="9">
    <w:abstractNumId w:val="0"/>
  </w:num>
  <w:num w:numId="10">
    <w:abstractNumId w:val="8"/>
  </w:num>
  <w:num w:numId="11">
    <w:abstractNumId w:val="12"/>
  </w:num>
  <w:num w:numId="12">
    <w:abstractNumId w:val="2"/>
  </w:num>
  <w:num w:numId="13">
    <w:abstractNumId w:val="13"/>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1"/>
    <w:next w:val="1071"/>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1"/>
    <w:next w:val="1071"/>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1"/>
    <w:next w:val="1071"/>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1"/>
    <w:next w:val="1071"/>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1"/>
    <w:next w:val="1071"/>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1"/>
    <w:next w:val="1071"/>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1"/>
    <w:next w:val="1071"/>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1"/>
    <w:next w:val="1071"/>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1"/>
    <w:next w:val="1071"/>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240" w:after="120" w:line="300" w:lineRule="auto"/>
      <w:outlineLvl w:val="0"/>
    </w:pPr>
    <w:rPr>
      <w:rFonts w:ascii="宋体"/>
      <w:b/>
      <w:sz w:val="32"/>
      <w:szCs w:val="20"/>
    </w:rPr>
  </w:style>
  <w:style w:type="paragraph" w:styleId="1073">
    <w:name w:val="标题 2"/>
    <w:basedOn w:val="1071"/>
    <w:next w:val="1085"/>
    <w:link w:val="1084"/>
    <w:qFormat/>
    <w:pPr>
      <w:jc w:val="center"/>
      <w:keepLines/>
      <w:keepNext/>
      <w:spacing w:before="120" w:line="300" w:lineRule="auto"/>
      <w:outlineLvl w:val="1"/>
    </w:pPr>
    <w:rPr>
      <w:rFonts w:ascii="Arial" w:hAnsi="Arial" w:eastAsia="黑体"/>
      <w:b/>
      <w:sz w:val="30"/>
      <w:szCs w:val="20"/>
    </w:rPr>
  </w:style>
  <w:style w:type="paragraph" w:styleId="1074">
    <w:name w:val="标题 3"/>
    <w:basedOn w:val="1071"/>
    <w:next w:val="1085"/>
    <w:link w:val="1087"/>
    <w:qFormat/>
    <w:pPr>
      <w:jc w:val="left"/>
      <w:keepLines/>
      <w:keepNext/>
      <w:spacing w:before="360" w:after="120"/>
      <w:outlineLvl w:val="2"/>
    </w:pPr>
    <w:rPr>
      <w:rFonts w:ascii="宋体"/>
      <w:b/>
      <w:sz w:val="24"/>
      <w:szCs w:val="20"/>
      <w:u w:val="single"/>
    </w:rPr>
  </w:style>
  <w:style w:type="paragraph" w:styleId="1075">
    <w:name w:val="标题 4"/>
    <w:basedOn w:val="1071"/>
    <w:next w:val="1071"/>
    <w:link w:val="1088"/>
    <w:qFormat/>
    <w:pPr>
      <w:keepLines/>
      <w:keepNext/>
      <w:spacing w:before="280" w:after="290" w:line="376" w:lineRule="atLeast"/>
      <w:outlineLvl w:val="3"/>
    </w:pPr>
    <w:rPr>
      <w:rFonts w:ascii="Arial" w:hAnsi="Arial" w:eastAsia="黑体"/>
      <w:b/>
      <w:sz w:val="28"/>
      <w:szCs w:val="20"/>
    </w:rPr>
  </w:style>
  <w:style w:type="paragraph" w:styleId="1076">
    <w:name w:val="标题 5"/>
    <w:basedOn w:val="1071"/>
    <w:next w:val="1071"/>
    <w:link w:val="1089"/>
    <w:qFormat/>
    <w:pPr>
      <w:keepLines/>
      <w:keepNext/>
      <w:spacing w:before="280" w:after="290" w:line="376" w:lineRule="atLeast"/>
      <w:outlineLvl w:val="4"/>
    </w:pPr>
    <w:rPr>
      <w:b/>
      <w:sz w:val="28"/>
      <w:szCs w:val="20"/>
    </w:rPr>
  </w:style>
  <w:style w:type="paragraph" w:styleId="1077">
    <w:name w:val="标题 6"/>
    <w:basedOn w:val="1071"/>
    <w:next w:val="1071"/>
    <w:link w:val="1090"/>
    <w:qFormat/>
    <w:pPr>
      <w:keepLines/>
      <w:keepNext/>
      <w:spacing w:before="240" w:after="64" w:line="320" w:lineRule="atLeast"/>
      <w:outlineLvl w:val="5"/>
    </w:pPr>
    <w:rPr>
      <w:rFonts w:ascii="Arial" w:hAnsi="Arial" w:eastAsia="黑体"/>
      <w:b/>
      <w:sz w:val="24"/>
      <w:szCs w:val="20"/>
    </w:rPr>
  </w:style>
  <w:style w:type="paragraph" w:styleId="1078">
    <w:name w:val="标题 7"/>
    <w:basedOn w:val="1071"/>
    <w:next w:val="1071"/>
    <w:link w:val="1091"/>
    <w:qFormat/>
    <w:pPr>
      <w:keepLines/>
      <w:keepNext/>
      <w:spacing w:before="240" w:after="64" w:line="320" w:lineRule="atLeast"/>
      <w:outlineLvl w:val="6"/>
    </w:pPr>
    <w:rPr>
      <w:b/>
      <w:sz w:val="24"/>
      <w:szCs w:val="20"/>
    </w:rPr>
  </w:style>
  <w:style w:type="paragraph" w:styleId="1079">
    <w:name w:val="标题 8"/>
    <w:basedOn w:val="1071"/>
    <w:next w:val="1071"/>
    <w:link w:val="1092"/>
    <w:qFormat/>
    <w:pPr>
      <w:keepLines/>
      <w:keepNext/>
      <w:spacing w:before="240" w:after="64" w:line="320" w:lineRule="atLeast"/>
      <w:outlineLvl w:val="7"/>
    </w:pPr>
    <w:rPr>
      <w:rFonts w:ascii="Arial" w:hAnsi="Arial" w:eastAsia="黑体"/>
      <w:sz w:val="24"/>
      <w:szCs w:val="20"/>
    </w:rPr>
  </w:style>
  <w:style w:type="paragraph" w:styleId="1080">
    <w:name w:val="标题 9"/>
    <w:basedOn w:val="1071"/>
    <w:next w:val="1071"/>
    <w:link w:val="1093"/>
    <w:qFormat/>
    <w:pPr>
      <w:keepLines/>
      <w:keepNext/>
      <w:spacing w:before="240" w:after="64" w:line="320" w:lineRule="atLeast"/>
      <w:outlineLvl w:val="8"/>
    </w:pPr>
    <w:rPr>
      <w:rFonts w:ascii="Arial" w:hAnsi="Arial" w:eastAsia="黑体"/>
      <w:szCs w:val="20"/>
    </w:rPr>
  </w:style>
  <w:style w:type="character" w:styleId="1081">
    <w:name w:val="默认段落字体"/>
    <w:next w:val="1081"/>
    <w:link w:val="1071"/>
    <w:uiPriority w:val="1"/>
    <w:unhideWhenUsed/>
    <w:qFormat/>
  </w:style>
  <w:style w:type="table" w:styleId="1082">
    <w:name w:val="普通表格"/>
    <w:next w:val="1082"/>
    <w:link w:val="1071"/>
    <w:uiPriority w:val="99"/>
    <w:unhideWhenUsed/>
    <w:qFormat/>
    <w:tblPr/>
  </w:style>
  <w:style w:type="character" w:styleId="1083">
    <w:name w:val="标题 1 字符"/>
    <w:next w:val="1083"/>
    <w:link w:val="1072"/>
    <w:qFormat/>
    <w:rPr>
      <w:rFonts w:ascii="宋体"/>
      <w:b/>
      <w:sz w:val="32"/>
    </w:rPr>
  </w:style>
  <w:style w:type="character" w:styleId="1084">
    <w:name w:val="标题 2 字符"/>
    <w:next w:val="1084"/>
    <w:link w:val="1073"/>
    <w:qFormat/>
    <w:rPr>
      <w:rFonts w:ascii="Arial" w:hAnsi="Arial" w:eastAsia="黑体"/>
      <w:b/>
      <w:sz w:val="30"/>
      <w:lang w:val="en-US" w:eastAsia="zh-CN" w:bidi="ar-SA"/>
    </w:rPr>
  </w:style>
  <w:style w:type="paragraph" w:styleId="1085">
    <w:name w:val="正文缩进"/>
    <w:basedOn w:val="1071"/>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4"/>
    <w:qFormat/>
    <w:rPr>
      <w:rFonts w:ascii="宋体" w:eastAsia="宋体"/>
      <w:b/>
      <w:sz w:val="24"/>
      <w:u w:val="single"/>
      <w:lang w:val="en-US" w:eastAsia="zh-CN" w:bidi="ar-SA"/>
    </w:rPr>
  </w:style>
  <w:style w:type="character" w:styleId="1088">
    <w:name w:val="标题 4 字符"/>
    <w:next w:val="1088"/>
    <w:link w:val="1075"/>
    <w:qFormat/>
    <w:rPr>
      <w:rFonts w:ascii="Arial" w:hAnsi="Arial" w:eastAsia="黑体"/>
      <w:b/>
      <w:sz w:val="28"/>
    </w:rPr>
  </w:style>
  <w:style w:type="character" w:styleId="1089">
    <w:name w:val="标题 5 字符"/>
    <w:next w:val="1089"/>
    <w:link w:val="1076"/>
    <w:qFormat/>
    <w:rPr>
      <w:b/>
      <w:sz w:val="28"/>
    </w:rPr>
  </w:style>
  <w:style w:type="character" w:styleId="1090">
    <w:name w:val="标题 6 字符"/>
    <w:next w:val="1090"/>
    <w:link w:val="1077"/>
    <w:qFormat/>
    <w:rPr>
      <w:rFonts w:ascii="Arial" w:hAnsi="Arial" w:eastAsia="黑体"/>
      <w:b/>
      <w:sz w:val="24"/>
    </w:rPr>
  </w:style>
  <w:style w:type="character" w:styleId="1091">
    <w:name w:val="标题 7 字符"/>
    <w:next w:val="1091"/>
    <w:link w:val="1078"/>
    <w:qFormat/>
    <w:rPr>
      <w:b/>
      <w:sz w:val="24"/>
    </w:rPr>
  </w:style>
  <w:style w:type="character" w:styleId="1092">
    <w:name w:val="标题 8 字符"/>
    <w:next w:val="1092"/>
    <w:link w:val="1079"/>
    <w:qFormat/>
    <w:rPr>
      <w:rFonts w:ascii="Arial" w:hAnsi="Arial" w:eastAsia="黑体"/>
      <w:sz w:val="24"/>
    </w:rPr>
  </w:style>
  <w:style w:type="character" w:styleId="1093">
    <w:name w:val="标题 9 字符"/>
    <w:next w:val="1093"/>
    <w:link w:val="1080"/>
    <w:qFormat/>
    <w:rPr>
      <w:rFonts w:ascii="Arial" w:hAnsi="Arial" w:eastAsia="黑体"/>
      <w:sz w:val="21"/>
    </w:rPr>
  </w:style>
  <w:style w:type="paragraph" w:styleId="1094">
    <w:name w:val="目录 7"/>
    <w:basedOn w:val="1071"/>
    <w:next w:val="1071"/>
    <w:link w:val="1071"/>
    <w:qFormat/>
    <w:pPr>
      <w:ind w:left="2520"/>
    </w:pPr>
  </w:style>
  <w:style w:type="paragraph" w:styleId="1095">
    <w:name w:val="题注"/>
    <w:basedOn w:val="1071"/>
    <w:next w:val="1071"/>
    <w:link w:val="1071"/>
    <w:qFormat/>
    <w:pPr>
      <w:spacing w:line="480" w:lineRule="auto"/>
    </w:pPr>
    <w:rPr>
      <w:rFonts w:ascii="华文中宋" w:hAnsi="华文中宋" w:eastAsia="华文中宋"/>
      <w:sz w:val="36"/>
      <w:szCs w:val="20"/>
    </w:rPr>
  </w:style>
  <w:style w:type="paragraph" w:styleId="1096">
    <w:name w:val="文档结构图"/>
    <w:basedOn w:val="1071"/>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1"/>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1"/>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1"/>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1"/>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1"/>
    <w:next w:val="1106"/>
    <w:link w:val="1071"/>
    <w:qFormat/>
    <w:pPr>
      <w:ind w:left="100" w:hanging="200"/>
    </w:pPr>
  </w:style>
  <w:style w:type="paragraph" w:styleId="1107">
    <w:name w:val="文本块"/>
    <w:basedOn w:val="1071"/>
    <w:next w:val="1107"/>
    <w:link w:val="1071"/>
    <w:qFormat/>
    <w:pPr>
      <w:ind w:left="480" w:right="-341" w:firstLine="513"/>
      <w:widowControl/>
    </w:pPr>
    <w:rPr>
      <w:sz w:val="24"/>
      <w:szCs w:val="20"/>
    </w:rPr>
  </w:style>
  <w:style w:type="paragraph" w:styleId="1108">
    <w:name w:val="目录 5"/>
    <w:basedOn w:val="1071"/>
    <w:next w:val="1071"/>
    <w:link w:val="1071"/>
    <w:qFormat/>
    <w:pPr>
      <w:ind w:left="1680"/>
    </w:pPr>
  </w:style>
  <w:style w:type="paragraph" w:styleId="1109">
    <w:name w:val="目录 3"/>
    <w:basedOn w:val="1071"/>
    <w:next w:val="1071"/>
    <w:link w:val="1071"/>
    <w:uiPriority w:val="39"/>
    <w:qFormat/>
    <w:pPr>
      <w:ind w:left="840"/>
    </w:pPr>
  </w:style>
  <w:style w:type="paragraph" w:styleId="1110">
    <w:name w:val="纯文本"/>
    <w:basedOn w:val="1071"/>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1"/>
    <w:next w:val="1071"/>
    <w:link w:val="1071"/>
    <w:qFormat/>
    <w:pPr>
      <w:ind w:left="2940"/>
    </w:pPr>
  </w:style>
  <w:style w:type="paragraph" w:styleId="1113">
    <w:name w:val="日期"/>
    <w:basedOn w:val="1071"/>
    <w:next w:val="1071"/>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1"/>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1"/>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1"/>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1"/>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1"/>
    <w:next w:val="1071"/>
    <w:link w:val="1071"/>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1"/>
    <w:next w:val="1071"/>
    <w:link w:val="1071"/>
    <w:qFormat/>
    <w:pPr>
      <w:ind w:left="1260"/>
    </w:pPr>
  </w:style>
  <w:style w:type="paragraph" w:styleId="1125">
    <w:name w:val="目录 6"/>
    <w:basedOn w:val="1071"/>
    <w:next w:val="1071"/>
    <w:link w:val="1071"/>
    <w:qFormat/>
    <w:pPr>
      <w:ind w:left="2100"/>
    </w:pPr>
  </w:style>
  <w:style w:type="paragraph" w:styleId="1126">
    <w:name w:val="正文文本缩进 3"/>
    <w:basedOn w:val="1071"/>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1"/>
    <w:next w:val="1071"/>
    <w:link w:val="1071"/>
    <w:uiPriority w:val="39"/>
    <w:qFormat/>
    <w:pPr>
      <w:ind w:left="420"/>
      <w:spacing w:line="312" w:lineRule="auto"/>
      <w:tabs>
        <w:tab w:val="right" w:pos="8937" w:leader="dot"/>
      </w:tabs>
    </w:pPr>
  </w:style>
  <w:style w:type="paragraph" w:styleId="1129">
    <w:name w:val="目录 9"/>
    <w:basedOn w:val="1071"/>
    <w:next w:val="1071"/>
    <w:link w:val="1071"/>
    <w:qFormat/>
    <w:pPr>
      <w:ind w:left="3360"/>
    </w:pPr>
  </w:style>
  <w:style w:type="paragraph" w:styleId="1130">
    <w:name w:val="HTML 预设格式"/>
    <w:basedOn w:val="1071"/>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1"/>
    <w:next w:val="1132"/>
    <w:link w:val="1071"/>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1"/>
    <w:next w:val="1071"/>
    <w:link w:val="1071"/>
    <w:qFormat/>
    <w:rPr>
      <w:szCs w:val="20"/>
    </w:rPr>
  </w:style>
  <w:style w:type="paragraph" w:styleId="1134">
    <w:name w:val="标题"/>
    <w:basedOn w:val="1071"/>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文本首行缩进 2 字符"/>
    <w:next w:val="1139"/>
    <w:link w:val="1138"/>
    <w:qFormat/>
    <w:rPr>
      <w:rFonts w:eastAsia="宋体"/>
      <w:sz w:val="24"/>
      <w:szCs w:val="24"/>
      <w:lang w:val="en-US" w:eastAsia="zh-CN" w:bidi="ar-SA"/>
    </w:rPr>
  </w:style>
  <w:style w:type="table" w:styleId="1140">
    <w:name w:val="网格型"/>
    <w:basedOn w:val="1082"/>
    <w:next w:val="1140"/>
    <w:link w:val="1071"/>
    <w:uiPriority w:val="39"/>
    <w:qFormat/>
    <w:tblPr/>
  </w:style>
  <w:style w:type="table" w:styleId="1141">
    <w:name w:val="中等深浅网格 1 - 强调文字颜色 2"/>
    <w:basedOn w:val="1082"/>
    <w:next w:val="1141"/>
    <w:link w:val="1071"/>
    <w:qFormat/>
    <w:rPr>
      <w:sz w:val="21"/>
      <w:szCs w:val="24"/>
    </w:rPr>
    <w:tblPr/>
  </w:style>
  <w:style w:type="character" w:styleId="1142">
    <w:name w:val="要点"/>
    <w:next w:val="1142"/>
    <w:link w:val="1071"/>
    <w:qFormat/>
    <w:rPr>
      <w:b/>
      <w:bCs/>
    </w:rPr>
  </w:style>
  <w:style w:type="character" w:styleId="1143">
    <w:name w:val="页码"/>
    <w:next w:val="1143"/>
    <w:link w:val="1071"/>
    <w:qFormat/>
  </w:style>
  <w:style w:type="character" w:styleId="1144">
    <w:name w:val="已访问的超链接"/>
    <w:next w:val="1144"/>
    <w:link w:val="1071"/>
    <w:qFormat/>
    <w:rPr>
      <w:color w:val="800080"/>
      <w:u w:val="single"/>
    </w:rPr>
  </w:style>
  <w:style w:type="character" w:styleId="1145">
    <w:name w:val="强调"/>
    <w:next w:val="1145"/>
    <w:link w:val="1071"/>
    <w:qFormat/>
    <w:rPr>
      <w:color w:val="cc0033"/>
    </w:rPr>
  </w:style>
  <w:style w:type="character" w:styleId="1146">
    <w:name w:val="超链接"/>
    <w:next w:val="1146"/>
    <w:link w:val="1071"/>
    <w:uiPriority w:val="99"/>
    <w:qFormat/>
    <w:rPr>
      <w:color w:val="0000ff"/>
      <w:u w:val="single"/>
    </w:rPr>
  </w:style>
  <w:style w:type="character" w:styleId="1147">
    <w:name w:val="批注引用"/>
    <w:next w:val="1147"/>
    <w:link w:val="1071"/>
    <w:uiPriority w:val="99"/>
    <w:qFormat/>
    <w:rPr>
      <w:sz w:val="21"/>
      <w:szCs w:val="21"/>
    </w:rPr>
  </w:style>
  <w:style w:type="character" w:styleId="1148">
    <w:name w:val="HTML 引文"/>
    <w:next w:val="1148"/>
    <w:link w:val="1071"/>
    <w:qFormat/>
    <w:rPr>
      <w:i/>
      <w:iCs/>
    </w:rPr>
  </w:style>
  <w:style w:type="character" w:styleId="1149">
    <w:name w:val="批注文字 字符"/>
    <w:next w:val="1149"/>
    <w:link w:val="1071"/>
    <w:uiPriority w:val="99"/>
    <w:qFormat/>
    <w:rPr>
      <w:rFonts w:ascii="Times New Roman" w:hAnsi="Times New Roman" w:eastAsia="宋体" w:cs="Times New Roman"/>
      <w:sz w:val="24"/>
      <w:lang w:val="en-US" w:eastAsia="zh-CN" w:bidi="ar-SA"/>
    </w:rPr>
  </w:style>
  <w:style w:type="character" w:styleId="1150">
    <w:name w:val="c21"/>
    <w:next w:val="1150"/>
    <w:link w:val="1071"/>
    <w:qFormat/>
    <w:rPr>
      <w:rFonts w:ascii="ˎ̥" w:hAnsi="ˎ̥"/>
      <w:color w:val="000000"/>
      <w:sz w:val="20"/>
      <w:szCs w:val="20"/>
      <w:u w:val="none"/>
    </w:rPr>
  </w:style>
  <w:style w:type="character" w:styleId="1151">
    <w:name w:val="title4"/>
    <w:next w:val="1151"/>
    <w:link w:val="1071"/>
    <w:qFormat/>
    <w:rPr>
      <w:b/>
      <w:bCs/>
      <w:color w:val="1d87b3"/>
      <w:sz w:val="15"/>
      <w:szCs w:val="15"/>
    </w:rPr>
  </w:style>
  <w:style w:type="character" w:styleId="1152">
    <w:name w:val="标题 2 Char Char"/>
    <w:next w:val="1152"/>
    <w:link w:val="1071"/>
    <w:qFormat/>
    <w:rPr>
      <w:rFonts w:ascii="Arial" w:hAnsi="Arial" w:eastAsia="黑体"/>
      <w:b/>
      <w:bCs/>
      <w:sz w:val="32"/>
      <w:szCs w:val="32"/>
      <w:lang w:val="en-US" w:eastAsia="zh-CN" w:bidi="ar-SA"/>
    </w:rPr>
  </w:style>
  <w:style w:type="character" w:styleId="1153">
    <w:name w:val="black1"/>
    <w:next w:val="1153"/>
    <w:link w:val="1071"/>
    <w:qFormat/>
    <w:rPr>
      <w:color w:val="000000"/>
    </w:rPr>
  </w:style>
  <w:style w:type="character" w:styleId="1154">
    <w:name w:val="street-address"/>
    <w:next w:val="1154"/>
    <w:link w:val="1071"/>
    <w:qFormat/>
  </w:style>
  <w:style w:type="character" w:styleId="1155">
    <w:name w:val="locality"/>
    <w:next w:val="1155"/>
    <w:link w:val="1071"/>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1"/>
    <w:next w:val="1157"/>
    <w:link w:val="1156"/>
    <w:qFormat/>
    <w:pPr>
      <w:ind w:firstLine="480"/>
      <w:spacing w:line="480" w:lineRule="exact"/>
    </w:pPr>
    <w:rPr>
      <w:rFonts w:ascii="宋体" w:hAnsi="宋体"/>
      <w:sz w:val="24"/>
    </w:rPr>
  </w:style>
  <w:style w:type="character" w:styleId="1158">
    <w:name w:val="Char Char11"/>
    <w:next w:val="1158"/>
    <w:link w:val="1071"/>
    <w:qFormat/>
    <w:rPr>
      <w:rFonts w:ascii="宋体" w:eastAsia="宋体"/>
      <w:b/>
      <w:sz w:val="24"/>
      <w:u w:val="single"/>
      <w:lang w:val="en-US" w:eastAsia="zh-CN" w:bidi="ar-SA"/>
    </w:rPr>
  </w:style>
  <w:style w:type="character" w:styleId="1159">
    <w:name w:val="txt"/>
    <w:next w:val="1159"/>
    <w:link w:val="1071"/>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1"/>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1"/>
    <w:qFormat/>
    <w:rPr>
      <w:rFonts w:ascii="宋体" w:hAnsi="Courier New" w:eastAsia="宋体"/>
      <w:sz w:val="21"/>
      <w:lang w:val="en-US" w:eastAsia="zh-CN" w:bidi="ar-SA"/>
    </w:rPr>
  </w:style>
  <w:style w:type="character" w:styleId="1163">
    <w:name w:val="chanpin1"/>
    <w:next w:val="1163"/>
    <w:link w:val="1071"/>
    <w:qFormat/>
    <w:rPr>
      <w:rFonts w:ascii="ˎ̥" w:hAnsi="ˎ̥"/>
      <w:color w:val="000000"/>
      <w:sz w:val="20"/>
      <w:szCs w:val="20"/>
      <w:u w:val="none"/>
    </w:rPr>
  </w:style>
  <w:style w:type="character" w:styleId="1164">
    <w:name w:val="列表段落 字符"/>
    <w:next w:val="1164"/>
    <w:link w:val="1165"/>
    <w:uiPriority w:val="34"/>
    <w:qFormat/>
    <w:rPr>
      <w:rFonts w:ascii="Calibri" w:hAnsi="Calibri" w:eastAsia="宋体"/>
      <w:sz w:val="21"/>
      <w:szCs w:val="22"/>
      <w:lang w:val="en-US" w:eastAsia="zh-CN" w:bidi="ar-SA"/>
    </w:rPr>
  </w:style>
  <w:style w:type="paragraph" w:styleId="1165">
    <w:name w:val="列表段落"/>
    <w:basedOn w:val="1071"/>
    <w:next w:val="1165"/>
    <w:link w:val="1164"/>
    <w:uiPriority w:val="34"/>
    <w:qFormat/>
    <w:pPr>
      <w:ind w:firstLine="420"/>
    </w:pPr>
    <w:rPr>
      <w:rFonts w:ascii="Calibri" w:hAnsi="Calibri"/>
      <w:szCs w:val="22"/>
    </w:rPr>
  </w:style>
  <w:style w:type="character" w:styleId="1166">
    <w:name w:val="标题 3 Char Char"/>
    <w:next w:val="1166"/>
    <w:link w:val="1071"/>
    <w:qFormat/>
    <w:rPr>
      <w:rFonts w:eastAsia="宋体"/>
      <w:b/>
      <w:bCs/>
      <w:sz w:val="32"/>
      <w:szCs w:val="32"/>
      <w:lang w:val="en-US" w:eastAsia="zh-CN" w:bidi="ar-SA"/>
    </w:rPr>
  </w:style>
  <w:style w:type="character" w:styleId="1167">
    <w:name w:val="段1 Char"/>
    <w:next w:val="1167"/>
    <w:link w:val="1071"/>
    <w:qFormat/>
    <w:rPr>
      <w:rFonts w:ascii="宋体" w:eastAsia="宋体"/>
      <w:sz w:val="24"/>
      <w:lang w:val="en-US" w:eastAsia="zh-CN" w:bidi="ar-SA"/>
    </w:rPr>
  </w:style>
  <w:style w:type="character" w:styleId="1168">
    <w:name w:val="chanpin拷贝"/>
    <w:next w:val="1168"/>
    <w:link w:val="1071"/>
    <w:qFormat/>
  </w:style>
  <w:style w:type="character" w:styleId="1169">
    <w:name w:val="纯文本 Char1"/>
    <w:next w:val="1169"/>
    <w:link w:val="1071"/>
    <w:uiPriority w:val="99"/>
    <w:qFormat/>
    <w:rPr>
      <w:rFonts w:ascii="宋体" w:hAnsi="Courier New" w:eastAsia="宋体"/>
      <w:sz w:val="21"/>
      <w:lang w:val="en-US" w:eastAsia="zh-CN" w:bidi="ar-SA"/>
    </w:rPr>
  </w:style>
  <w:style w:type="character" w:styleId="1170">
    <w:name w:val="apple-style-span"/>
    <w:next w:val="1170"/>
    <w:link w:val="1071"/>
    <w:qFormat/>
    <w:rPr>
      <w:rFonts w:cs="Times New Roman"/>
    </w:rPr>
  </w:style>
  <w:style w:type="paragraph" w:styleId="1171">
    <w:name w:val="二级条标题"/>
    <w:basedOn w:val="1172"/>
    <w:next w:val="1071"/>
    <w:link w:val="1071"/>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1"/>
    <w:link w:val="1071"/>
    <w:qFormat/>
    <w:pPr>
      <w:numPr>
        <w:ilvl w:val="1"/>
      </w:numPr>
      <w:ind w:left="0" w:hanging="840"/>
      <w:tabs>
        <w:tab w:val="left" w:pos="360" w:leader="none"/>
        <w:tab w:val="left" w:pos="840" w:leader="none"/>
      </w:tabs>
      <w:outlineLvl w:val="1"/>
    </w:pPr>
  </w:style>
  <w:style w:type="paragraph" w:styleId="1173">
    <w:name w:val="章标题"/>
    <w:next w:val="1071"/>
    <w:link w:val="10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1"/>
    <w:next w:val="1174"/>
    <w:link w:val="1071"/>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1"/>
    <w:next w:val="1175"/>
    <w:link w:val="1071"/>
    <w:qFormat/>
    <w:rPr>
      <w:rFonts w:ascii="Tahoma" w:hAnsi="Tahoma"/>
      <w:sz w:val="24"/>
      <w:szCs w:val="20"/>
    </w:rPr>
  </w:style>
  <w:style w:type="paragraph" w:styleId="1176">
    <w:name w:val="Char3 Char Char Char"/>
    <w:basedOn w:val="1071"/>
    <w:next w:val="1176"/>
    <w:link w:val="1071"/>
    <w:qFormat/>
    <w:rPr>
      <w:rFonts w:ascii="Tahoma" w:hAnsi="Tahoma"/>
      <w:sz w:val="24"/>
      <w:szCs w:val="20"/>
    </w:rPr>
  </w:style>
  <w:style w:type="paragraph" w:styleId="1177">
    <w:name w:val="font6"/>
    <w:basedOn w:val="1071"/>
    <w:next w:val="1177"/>
    <w:link w:val="1071"/>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1"/>
    <w:qFormat/>
    <w:pPr>
      <w:numPr>
        <w:numId w:val="3"/>
      </w:numPr>
    </w:pPr>
  </w:style>
  <w:style w:type="paragraph" w:styleId="1179">
    <w:name w:val="项目编号1"/>
    <w:basedOn w:val="1071"/>
    <w:next w:val="1179"/>
    <w:link w:val="1071"/>
    <w:qFormat/>
    <w:pPr>
      <w:numPr>
        <w:ilvl w:val="0"/>
        <w:numId w:val="2"/>
      </w:numPr>
      <w:spacing w:before="100" w:beforeAutospacing="1" w:after="100" w:afterAutospacing="1" w:line="360" w:lineRule="auto"/>
    </w:pPr>
    <w:rPr>
      <w:sz w:val="24"/>
    </w:rPr>
  </w:style>
  <w:style w:type="paragraph" w:styleId="1180">
    <w:name w:val="图中文字"/>
    <w:basedOn w:val="1071"/>
    <w:next w:val="1180"/>
    <w:link w:val="1071"/>
    <w:qFormat/>
    <w:pPr>
      <w:jc w:val="center"/>
      <w:spacing w:line="0" w:lineRule="atLeast"/>
    </w:pPr>
    <w:rPr>
      <w:sz w:val="24"/>
      <w:szCs w:val="20"/>
    </w:rPr>
  </w:style>
  <w:style w:type="paragraph" w:styleId="1181">
    <w:name w:val="xl46"/>
    <w:basedOn w:val="1071"/>
    <w:next w:val="1181"/>
    <w:link w:val="10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1"/>
    <w:next w:val="1182"/>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1"/>
    <w:next w:val="1183"/>
    <w:link w:val="1071"/>
    <w:qFormat/>
    <w:rPr>
      <w:rFonts w:ascii="Tahoma" w:hAnsi="Tahoma"/>
      <w:sz w:val="24"/>
      <w:szCs w:val="20"/>
    </w:rPr>
  </w:style>
  <w:style w:type="paragraph" w:styleId="1184">
    <w:name w:val="xl35"/>
    <w:basedOn w:val="1071"/>
    <w:next w:val="1184"/>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1"/>
    <w:next w:val="1185"/>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1"/>
    <w:next w:val="118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1"/>
    <w:next w:val="1187"/>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1"/>
    <w:next w:val="1188"/>
    <w:link w:val="1071"/>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1"/>
    <w:next w:val="1189"/>
    <w:link w:val="1071"/>
    <w:qFormat/>
    <w:pPr>
      <w:ind w:firstLine="200"/>
      <w:spacing w:line="360" w:lineRule="auto"/>
    </w:pPr>
    <w:rPr>
      <w:rFonts w:eastAsia="仿宋_GB2312"/>
      <w:sz w:val="24"/>
    </w:rPr>
  </w:style>
  <w:style w:type="paragraph" w:styleId="1190">
    <w:name w:val="xl38"/>
    <w:basedOn w:val="1071"/>
    <w:next w:val="119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1"/>
    <w:next w:val="1191"/>
    <w:link w:val="10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1"/>
    <w:next w:val="1192"/>
    <w:link w:val="1071"/>
    <w:qFormat/>
    <w:pPr>
      <w:ind w:left="360" w:hanging="360"/>
      <w:jc w:val="left"/>
      <w:widowControl/>
    </w:pPr>
    <w:rPr>
      <w:rFonts w:ascii="宋体" w:hAnsi="宋体" w:cs="宋体"/>
      <w:b/>
      <w:bCs/>
      <w:color w:val="000000"/>
      <w:sz w:val="18"/>
      <w:szCs w:val="18"/>
    </w:rPr>
  </w:style>
  <w:style w:type="paragraph" w:styleId="1193">
    <w:name w:val="正文列项_数字"/>
    <w:basedOn w:val="1071"/>
    <w:next w:val="1193"/>
    <w:link w:val="1071"/>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1"/>
    <w:next w:val="119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1"/>
    <w:next w:val="1195"/>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1"/>
    <w:next w:val="119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1"/>
    <w:next w:val="1197"/>
    <w:link w:val="1071"/>
    <w:qFormat/>
    <w:pPr>
      <w:jc w:val="left"/>
      <w:spacing w:before="100" w:beforeAutospacing="1" w:after="100" w:afterAutospacing="1"/>
      <w:widowControl/>
    </w:pPr>
    <w:rPr>
      <w:sz w:val="36"/>
      <w:szCs w:val="36"/>
    </w:rPr>
  </w:style>
  <w:style w:type="paragraph" w:styleId="1198">
    <w:name w:val="Char"/>
    <w:basedOn w:val="1071"/>
    <w:next w:val="1198"/>
    <w:link w:val="1071"/>
    <w:qFormat/>
    <w:pPr>
      <w:tabs>
        <w:tab w:val="left" w:pos="360" w:leader="none"/>
      </w:tabs>
    </w:pPr>
    <w:rPr>
      <w:sz w:val="24"/>
    </w:rPr>
  </w:style>
  <w:style w:type="paragraph" w:styleId="1199">
    <w:name w:val="Char Char Char Char Char Char Char Char Char Char Char Char Char Char Char Char"/>
    <w:basedOn w:val="1071"/>
    <w:next w:val="1199"/>
    <w:link w:val="1071"/>
    <w:qFormat/>
    <w:pPr>
      <w:jc w:val="center"/>
      <w:spacing w:after="160" w:line="240" w:lineRule="exact"/>
      <w:widowControl/>
    </w:pPr>
    <w:rPr>
      <w:rFonts w:ascii="宋体" w:hAnsi="宋体"/>
      <w:b/>
      <w:sz w:val="30"/>
      <w:szCs w:val="30"/>
      <w:lang w:eastAsia="en-US"/>
    </w:rPr>
  </w:style>
  <w:style w:type="paragraph" w:styleId="1200">
    <w:name w:val="xl45"/>
    <w:basedOn w:val="1071"/>
    <w:next w:val="1200"/>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1"/>
    <w:next w:val="1201"/>
    <w:link w:val="1071"/>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1"/>
    <w:qFormat/>
    <w:rPr>
      <w:rFonts w:ascii="Tahoma" w:hAnsi="Tahoma"/>
      <w:sz w:val="24"/>
    </w:rPr>
  </w:style>
  <w:style w:type="paragraph" w:styleId="1203">
    <w:name w:val="xl26"/>
    <w:basedOn w:val="1071"/>
    <w:next w:val="1203"/>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1"/>
    <w:next w:val="120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1"/>
    <w:next w:val="1205"/>
    <w:link w:val="10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1"/>
    <w:next w:val="1206"/>
    <w:link w:val="1071"/>
    <w:qFormat/>
    <w:pPr>
      <w:jc w:val="left"/>
    </w:pPr>
    <w:rPr>
      <w:rFonts w:ascii="宋体" w:hAnsi="宋体"/>
      <w:szCs w:val="20"/>
    </w:rPr>
  </w:style>
  <w:style w:type="paragraph" w:styleId="1207">
    <w:name w:val="Char1 Char Char Char1"/>
    <w:basedOn w:val="1071"/>
    <w:next w:val="1207"/>
    <w:link w:val="1071"/>
    <w:qFormat/>
    <w:rPr>
      <w:rFonts w:ascii="Tahoma" w:hAnsi="Tahoma" w:cs="仿宋_GB2312"/>
      <w:sz w:val="24"/>
      <w:szCs w:val="28"/>
    </w:rPr>
  </w:style>
  <w:style w:type="paragraph" w:styleId="1208">
    <w:name w:val="四级条标题"/>
    <w:basedOn w:val="1209"/>
    <w:next w:val="1071"/>
    <w:link w:val="1071"/>
    <w:qFormat/>
    <w:pPr>
      <w:numPr>
        <w:ilvl w:val="4"/>
      </w:numPr>
      <w:ind w:left="0" w:hanging="840"/>
      <w:tabs>
        <w:tab w:val="left" w:pos="360" w:leader="none"/>
        <w:tab w:val="left" w:pos="840" w:leader="none"/>
      </w:tabs>
      <w:outlineLvl w:val="4"/>
    </w:pPr>
  </w:style>
  <w:style w:type="paragraph" w:styleId="1209">
    <w:name w:val="三级条标题"/>
    <w:basedOn w:val="1171"/>
    <w:next w:val="1071"/>
    <w:link w:val="1071"/>
    <w:qFormat/>
    <w:pPr>
      <w:numPr>
        <w:ilvl w:val="3"/>
        <w:numId w:val="1"/>
      </w:numPr>
      <w:ind w:left="0" w:hanging="840"/>
      <w:tabs>
        <w:tab w:val="left" w:pos="360" w:leader="none"/>
        <w:tab w:val="left" w:pos="840" w:leader="none"/>
      </w:tabs>
      <w:outlineLvl w:val="3"/>
    </w:pPr>
  </w:style>
  <w:style w:type="paragraph" w:styleId="1210">
    <w:name w:val="??"/>
    <w:next w:val="1210"/>
    <w:link w:val="1071"/>
    <w:qFormat/>
    <w:pPr>
      <w:jc w:val="both"/>
      <w:widowControl w:val="off"/>
    </w:pPr>
    <w:rPr>
      <w:sz w:val="21"/>
      <w:lang w:val="en-US" w:eastAsia="en-US" w:bidi="ar-SA"/>
    </w:rPr>
  </w:style>
  <w:style w:type="paragraph" w:styleId="1211">
    <w:name w:val="样式 标题 2 + 宋体 五号 行距: 单倍行距"/>
    <w:basedOn w:val="1073"/>
    <w:next w:val="1211"/>
    <w:link w:val="10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1"/>
    <w:next w:val="1212"/>
    <w:link w:val="1071"/>
    <w:qFormat/>
    <w:pPr>
      <w:ind w:firstLine="420"/>
    </w:pPr>
    <w:rPr>
      <w:rFonts w:ascii="Calibri" w:hAnsi="Calibri"/>
      <w:szCs w:val="22"/>
    </w:rPr>
  </w:style>
  <w:style w:type="paragraph" w:styleId="1213">
    <w:name w:val="项目符号1"/>
    <w:basedOn w:val="1214"/>
    <w:next w:val="1213"/>
    <w:link w:val="1071"/>
    <w:qFormat/>
    <w:pPr>
      <w:ind w:left="-25" w:firstLine="0"/>
    </w:pPr>
  </w:style>
  <w:style w:type="paragraph" w:styleId="1214">
    <w:name w:val="正文文本样式"/>
    <w:basedOn w:val="1071"/>
    <w:next w:val="1214"/>
    <w:link w:val="1071"/>
    <w:qFormat/>
    <w:pPr>
      <w:ind w:firstLine="482"/>
      <w:spacing w:line="360" w:lineRule="auto"/>
    </w:pPr>
    <w:rPr>
      <w:rFonts w:cs="宋体"/>
      <w:sz w:val="24"/>
      <w:szCs w:val="20"/>
    </w:rPr>
  </w:style>
  <w:style w:type="paragraph" w:styleId="1215">
    <w:name w:val="xl27"/>
    <w:basedOn w:val="1071"/>
    <w:next w:val="121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1"/>
    <w:next w:val="1216"/>
    <w:link w:val="1071"/>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1"/>
    <w:link w:val="1071"/>
    <w:qFormat/>
    <w:pPr>
      <w:numPr>
        <w:ilvl w:val="5"/>
      </w:numPr>
      <w:ind w:left="0" w:hanging="840"/>
      <w:tabs>
        <w:tab w:val="left" w:pos="360" w:leader="none"/>
        <w:tab w:val="left" w:pos="840" w:leader="none"/>
      </w:tabs>
      <w:outlineLvl w:val="5"/>
    </w:pPr>
  </w:style>
  <w:style w:type="paragraph" w:styleId="1218">
    <w:name w:val="xl49"/>
    <w:basedOn w:val="1071"/>
    <w:next w:val="1218"/>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1"/>
    <w:next w:val="1219"/>
    <w:link w:val="1071"/>
    <w:qFormat/>
    <w:pPr>
      <w:spacing w:before="120" w:after="120" w:line="180" w:lineRule="auto"/>
    </w:pPr>
    <w:rPr>
      <w:rFonts w:ascii="Arial" w:hAnsi="Arial"/>
      <w:szCs w:val="20"/>
    </w:rPr>
  </w:style>
  <w:style w:type="paragraph" w:styleId="1220">
    <w:name w:val="xl33"/>
    <w:basedOn w:val="1071"/>
    <w:next w:val="122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1"/>
    <w:next w:val="122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1"/>
    <w:next w:val="1222"/>
    <w:link w:val="1071"/>
    <w:qFormat/>
    <w:rPr>
      <w:rFonts w:ascii="Tahoma" w:hAnsi="Tahoma"/>
      <w:sz w:val="24"/>
      <w:szCs w:val="20"/>
    </w:rPr>
  </w:style>
  <w:style w:type="paragraph" w:styleId="1223">
    <w:name w:val="xl44"/>
    <w:basedOn w:val="1071"/>
    <w:next w:val="1223"/>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1"/>
    <w:next w:val="1224"/>
    <w:link w:val="1071"/>
    <w:qFormat/>
    <w:pPr>
      <w:numPr>
        <w:ilvl w:val="0"/>
        <w:numId w:val="5"/>
      </w:numPr>
      <w:spacing w:before="120"/>
      <w:tabs>
        <w:tab w:val="left" w:pos="360" w:leader="none"/>
      </w:tabs>
    </w:pPr>
    <w:rPr>
      <w:rFonts w:ascii="宋体"/>
      <w:sz w:val="28"/>
      <w:szCs w:val="20"/>
    </w:rPr>
  </w:style>
  <w:style w:type="paragraph" w:styleId="1225">
    <w:name w:val="font9"/>
    <w:basedOn w:val="1071"/>
    <w:next w:val="1225"/>
    <w:link w:val="1071"/>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1"/>
    <w:next w:val="1226"/>
    <w:link w:val="1071"/>
    <w:qFormat/>
    <w:rPr>
      <w:rFonts w:ascii="Tahoma" w:hAnsi="Tahoma"/>
      <w:sz w:val="24"/>
      <w:szCs w:val="20"/>
    </w:rPr>
  </w:style>
  <w:style w:type="paragraph" w:styleId="1227">
    <w:name w:val="Char Char Char Char Char Char Char Char Char Char"/>
    <w:basedOn w:val="1071"/>
    <w:next w:val="1227"/>
    <w:link w:val="1071"/>
    <w:qFormat/>
  </w:style>
  <w:style w:type="paragraph" w:styleId="1228">
    <w:name w:val="Char Char1 Char Char Char Char Char Char Char Char"/>
    <w:basedOn w:val="1071"/>
    <w:next w:val="1228"/>
    <w:link w:val="1071"/>
    <w:qFormat/>
    <w:pPr>
      <w:jc w:val="left"/>
      <w:spacing w:after="160" w:line="240" w:lineRule="exact"/>
      <w:widowControl/>
    </w:pPr>
    <w:rPr>
      <w:rFonts w:ascii="Verdana" w:hAnsi="Verdana"/>
      <w:sz w:val="20"/>
      <w:szCs w:val="20"/>
      <w:lang w:eastAsia="en-US"/>
    </w:rPr>
  </w:style>
  <w:style w:type="paragraph" w:styleId="1229">
    <w:name w:val="Char1"/>
    <w:basedOn w:val="1071"/>
    <w:next w:val="1229"/>
    <w:link w:val="1071"/>
    <w:qFormat/>
    <w:pPr>
      <w:tabs>
        <w:tab w:val="left" w:pos="360" w:leader="none"/>
      </w:tabs>
    </w:pPr>
    <w:rPr>
      <w:sz w:val="24"/>
    </w:rPr>
  </w:style>
  <w:style w:type="paragraph" w:styleId="1230">
    <w:name w:val="正文列项_字母"/>
    <w:basedOn w:val="1071"/>
    <w:next w:val="1230"/>
    <w:link w:val="1071"/>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1"/>
    <w:next w:val="123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1"/>
    <w:next w:val="1232"/>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1"/>
    <w:next w:val="1233"/>
    <w:link w:val="1071"/>
    <w:qFormat/>
    <w:rPr>
      <w:rFonts w:ascii="Arial" w:hAnsi="Arial" w:cs="Arial"/>
      <w:szCs w:val="21"/>
    </w:rPr>
  </w:style>
  <w:style w:type="paragraph" w:styleId="1234">
    <w:name w:val="xl48"/>
    <w:basedOn w:val="1071"/>
    <w:next w:val="123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1"/>
    <w:next w:val="1235"/>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1"/>
    <w:next w:val="1236"/>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1"/>
    <w:next w:val="1237"/>
    <w:link w:val="1071"/>
    <w:qFormat/>
    <w:rPr>
      <w:rFonts w:ascii="Tahoma" w:hAnsi="Tahoma"/>
      <w:sz w:val="24"/>
      <w:szCs w:val="20"/>
    </w:rPr>
  </w:style>
  <w:style w:type="paragraph" w:styleId="1238">
    <w:name w:val="xl50"/>
    <w:basedOn w:val="1071"/>
    <w:next w:val="1238"/>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1"/>
    <w:next w:val="1239"/>
    <w:link w:val="1071"/>
    <w:qFormat/>
    <w:pPr>
      <w:jc w:val="left"/>
    </w:pPr>
    <w:rPr>
      <w:sz w:val="24"/>
    </w:rPr>
  </w:style>
  <w:style w:type="paragraph" w:styleId="1240">
    <w:name w:val="Char Char Char1"/>
    <w:basedOn w:val="1071"/>
    <w:next w:val="1240"/>
    <w:link w:val="1071"/>
    <w:qFormat/>
    <w:rPr>
      <w:rFonts w:ascii="Tahoma" w:hAnsi="Tahoma"/>
      <w:sz w:val="24"/>
      <w:szCs w:val="20"/>
    </w:rPr>
  </w:style>
  <w:style w:type="paragraph" w:styleId="1241">
    <w:name w:val="Char Char Char Char Char Char Char1"/>
    <w:basedOn w:val="1071"/>
    <w:next w:val="1241"/>
    <w:link w:val="1071"/>
    <w:qFormat/>
    <w:pPr>
      <w:ind w:firstLine="200"/>
      <w:spacing w:line="360" w:lineRule="auto"/>
    </w:pPr>
    <w:rPr>
      <w:rFonts w:eastAsia="仿宋_GB2312"/>
      <w:sz w:val="24"/>
    </w:rPr>
  </w:style>
  <w:style w:type="paragraph" w:styleId="1242">
    <w:name w:val="xl51"/>
    <w:basedOn w:val="1071"/>
    <w:next w:val="1242"/>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1"/>
    <w:qFormat/>
    <w:pPr>
      <w:jc w:val="center"/>
      <w:spacing w:line="360" w:lineRule="auto"/>
    </w:pPr>
    <w:rPr>
      <w:sz w:val="24"/>
    </w:rPr>
  </w:style>
  <w:style w:type="paragraph" w:styleId="1244">
    <w:name w:val="xl24"/>
    <w:basedOn w:val="1071"/>
    <w:next w:val="124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1"/>
    <w:next w:val="124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1"/>
    <w:next w:val="1246"/>
    <w:link w:val="1071"/>
    <w:qFormat/>
    <w:pPr>
      <w:jc w:val="left"/>
      <w:widowControl/>
    </w:pPr>
    <w:rPr>
      <w:rFonts w:ascii="楷体_GB2312" w:eastAsia="楷体_GB2312" w:cs="Arial"/>
      <w:sz w:val="24"/>
    </w:rPr>
  </w:style>
  <w:style w:type="paragraph" w:styleId="1247">
    <w:name w:val="xl34"/>
    <w:basedOn w:val="1071"/>
    <w:next w:val="1247"/>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1"/>
    <w:next w:val="1248"/>
    <w:link w:val="1071"/>
    <w:qFormat/>
    <w:rPr>
      <w:rFonts w:ascii="Tahoma" w:hAnsi="Tahoma"/>
      <w:sz w:val="24"/>
      <w:szCs w:val="20"/>
    </w:rPr>
  </w:style>
  <w:style w:type="paragraph" w:styleId="1249">
    <w:name w:val="Default"/>
    <w:next w:val="1249"/>
    <w:link w:val="1071"/>
    <w:qFormat/>
    <w:pPr>
      <w:widowControl w:val="off"/>
    </w:pPr>
    <w:rPr>
      <w:rFonts w:ascii="Symbol" w:hAnsi="Symbol" w:cs="Symbol"/>
      <w:color w:val="000000"/>
      <w:sz w:val="24"/>
      <w:szCs w:val="24"/>
      <w:lang w:val="en-US" w:eastAsia="zh-CN" w:bidi="ar-SA"/>
    </w:rPr>
  </w:style>
  <w:style w:type="paragraph" w:styleId="1250">
    <w:name w:val="列出段落1"/>
    <w:basedOn w:val="1071"/>
    <w:next w:val="1250"/>
    <w:link w:val="1071"/>
    <w:qFormat/>
    <w:pPr>
      <w:ind w:firstLine="420"/>
    </w:pPr>
    <w:rPr>
      <w:rFonts w:ascii="Calibri" w:hAnsi="Calibri"/>
      <w:szCs w:val="22"/>
    </w:rPr>
  </w:style>
  <w:style w:type="paragraph" w:styleId="1251">
    <w:name w:val="default"/>
    <w:basedOn w:val="1071"/>
    <w:next w:val="1251"/>
    <w:link w:val="1071"/>
    <w:qFormat/>
    <w:pPr>
      <w:jc w:val="left"/>
      <w:spacing w:before="100" w:beforeAutospacing="1" w:after="100" w:afterAutospacing="1"/>
      <w:widowControl/>
    </w:pPr>
    <w:rPr>
      <w:rFonts w:ascii="宋体" w:hAnsi="宋体" w:cs="宋体"/>
      <w:sz w:val="24"/>
    </w:rPr>
  </w:style>
  <w:style w:type="paragraph" w:styleId="1252">
    <w:name w:val="字元 字元1"/>
    <w:basedOn w:val="1071"/>
    <w:next w:val="1252"/>
    <w:link w:val="1071"/>
    <w:qFormat/>
    <w:rPr>
      <w:rFonts w:ascii="Tahoma" w:hAnsi="Tahoma"/>
      <w:sz w:val="24"/>
      <w:szCs w:val="20"/>
    </w:rPr>
  </w:style>
  <w:style w:type="paragraph" w:styleId="1253">
    <w:name w:val="_Style 160"/>
    <w:next w:val="1253"/>
    <w:link w:val="1071"/>
    <w:qFormat/>
    <w:rPr>
      <w:sz w:val="21"/>
      <w:szCs w:val="24"/>
      <w:lang w:val="en-US" w:eastAsia="zh-CN" w:bidi="ar-SA"/>
    </w:rPr>
  </w:style>
  <w:style w:type="paragraph" w:styleId="1254">
    <w:name w:val="项目编号3"/>
    <w:basedOn w:val="1214"/>
    <w:next w:val="1254"/>
    <w:link w:val="1071"/>
    <w:qFormat/>
    <w:pPr>
      <w:numPr>
        <w:ilvl w:val="0"/>
        <w:numId w:val="6"/>
      </w:numPr>
    </w:pPr>
  </w:style>
  <w:style w:type="paragraph" w:styleId="1255">
    <w:name w:val="Char21"/>
    <w:basedOn w:val="1071"/>
    <w:next w:val="1255"/>
    <w:link w:val="1071"/>
    <w:qFormat/>
    <w:rPr>
      <w:rFonts w:ascii="Tahoma" w:hAnsi="Tahoma"/>
      <w:sz w:val="24"/>
      <w:szCs w:val="20"/>
    </w:rPr>
  </w:style>
  <w:style w:type="paragraph" w:styleId="1256">
    <w:name w:val="表格文字"/>
    <w:basedOn w:val="1104"/>
    <w:next w:val="1256"/>
    <w:link w:val="1071"/>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1"/>
    <w:next w:val="1257"/>
    <w:link w:val="1071"/>
    <w:qFormat/>
    <w:rPr>
      <w:rFonts w:ascii="宋体" w:hAnsi="宋体" w:cs="Courier New"/>
      <w:sz w:val="32"/>
      <w:szCs w:val="32"/>
    </w:rPr>
  </w:style>
  <w:style w:type="paragraph" w:styleId="1258">
    <w:name w:val="正文文本样式 加粗"/>
    <w:basedOn w:val="1214"/>
    <w:next w:val="1258"/>
    <w:link w:val="1071"/>
    <w:qFormat/>
    <w:rPr>
      <w:b/>
    </w:rPr>
  </w:style>
  <w:style w:type="paragraph" w:styleId="1259">
    <w:name w:val="Char2 Char Char Char Char Char Char"/>
    <w:basedOn w:val="1071"/>
    <w:next w:val="1259"/>
    <w:link w:val="1071"/>
    <w:qFormat/>
    <w:pPr>
      <w:jc w:val="center"/>
      <w:spacing w:line="400" w:lineRule="exact"/>
      <w:widowControl/>
    </w:pPr>
  </w:style>
  <w:style w:type="paragraph" w:styleId="1260">
    <w:name w:val="Char Char4"/>
    <w:basedOn w:val="1071"/>
    <w:next w:val="1260"/>
    <w:link w:val="1071"/>
    <w:qFormat/>
    <w:pPr>
      <w:jc w:val="center"/>
      <w:spacing w:line="400" w:lineRule="exact"/>
      <w:widowControl/>
    </w:pPr>
  </w:style>
  <w:style w:type="paragraph" w:styleId="1261">
    <w:name w:val="Char3 Char Char Char1"/>
    <w:basedOn w:val="1071"/>
    <w:next w:val="1261"/>
    <w:link w:val="1071"/>
    <w:qFormat/>
    <w:rPr>
      <w:rFonts w:ascii="Tahoma" w:hAnsi="Tahoma"/>
      <w:sz w:val="24"/>
      <w:szCs w:val="20"/>
    </w:rPr>
  </w:style>
  <w:style w:type="paragraph" w:styleId="1262">
    <w:name w:val="无间隔"/>
    <w:next w:val="1262"/>
    <w:link w:val="1071"/>
    <w:qFormat/>
    <w:pPr>
      <w:jc w:val="both"/>
      <w:widowControl w:val="off"/>
    </w:pPr>
    <w:rPr>
      <w:sz w:val="21"/>
      <w:szCs w:val="24"/>
      <w:lang w:val="en-US" w:eastAsia="zh-CN" w:bidi="ar-SA"/>
    </w:rPr>
  </w:style>
  <w:style w:type="paragraph" w:styleId="1263">
    <w:name w:val="22222222222222"/>
    <w:basedOn w:val="1071"/>
    <w:next w:val="1263"/>
    <w:link w:val="1071"/>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1"/>
    <w:next w:val="1266"/>
    <w:link w:val="1071"/>
    <w:qFormat/>
    <w:pPr>
      <w:spacing w:after="50" w:line="360" w:lineRule="auto"/>
    </w:pPr>
    <w:rPr>
      <w:sz w:val="24"/>
    </w:rPr>
  </w:style>
  <w:style w:type="paragraph" w:styleId="1267">
    <w:name w:val="xl23"/>
    <w:basedOn w:val="1071"/>
    <w:next w:val="1267"/>
    <w:link w:val="1071"/>
    <w:qFormat/>
    <w:pPr>
      <w:spacing w:before="100" w:beforeAutospacing="1" w:after="100" w:afterAutospacing="1" w:line="360" w:lineRule="auto"/>
      <w:widowControl/>
    </w:pPr>
    <w:rPr>
      <w:sz w:val="24"/>
      <w:szCs w:val="20"/>
    </w:rPr>
  </w:style>
  <w:style w:type="paragraph" w:styleId="1268">
    <w:name w:val="正文表格"/>
    <w:basedOn w:val="1071"/>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1"/>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2"/>
    <w:next w:val="1272"/>
    <w:link w:val="1071"/>
    <w:qFormat/>
    <w:pPr>
      <w:jc w:val="left"/>
    </w:pPr>
    <w:rPr>
      <w:sz w:val="24"/>
      <w:szCs w:val="24"/>
    </w:rPr>
  </w:style>
  <w:style w:type="paragraph" w:styleId="1273">
    <w:name w:val="正文小标题"/>
    <w:basedOn w:val="1071"/>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1"/>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1"/>
    <w:next w:val="1071"/>
    <w:link w:val="1071"/>
    <w:qFormat/>
    <w:pPr>
      <w:numPr>
        <w:ilvl w:val="0"/>
        <w:numId w:val="7"/>
      </w:numPr>
      <w:spacing w:line="300" w:lineRule="auto"/>
    </w:pPr>
    <w:rPr>
      <w:rFonts w:ascii="宋体" w:hAnsi="Calibri"/>
      <w:sz w:val="24"/>
      <w:szCs w:val="21"/>
    </w:rPr>
  </w:style>
  <w:style w:type="paragraph" w:styleId="1280">
    <w:name w:val="正文须知-2级"/>
    <w:basedOn w:val="1071"/>
    <w:next w:val="1280"/>
    <w:link w:val="1071"/>
    <w:qFormat/>
    <w:pPr>
      <w:numPr>
        <w:ilvl w:val="1"/>
        <w:numId w:val="7"/>
      </w:numPr>
      <w:spacing w:line="300" w:lineRule="auto"/>
    </w:pPr>
    <w:rPr>
      <w:rFonts w:ascii="宋体" w:hAnsi="Calibri"/>
      <w:sz w:val="24"/>
      <w:szCs w:val="21"/>
    </w:rPr>
  </w:style>
  <w:style w:type="paragraph" w:styleId="1281">
    <w:name w:val="正文须知-3级"/>
    <w:basedOn w:val="1071"/>
    <w:next w:val="1281"/>
    <w:link w:val="1071"/>
    <w:qFormat/>
    <w:pPr>
      <w:numPr>
        <w:ilvl w:val="2"/>
        <w:numId w:val="7"/>
      </w:numPr>
      <w:ind w:hanging="355"/>
      <w:spacing w:line="300" w:lineRule="auto"/>
    </w:pPr>
    <w:rPr>
      <w:rFonts w:ascii="宋体" w:hAnsi="Calibri"/>
      <w:sz w:val="24"/>
      <w:szCs w:val="21"/>
    </w:rPr>
  </w:style>
  <w:style w:type="character" w:styleId="1282">
    <w:name w:val="纯文本 字符"/>
    <w:next w:val="1282"/>
    <w:link w:val="1071"/>
    <w:uiPriority w:val="99"/>
    <w:qFormat/>
    <w:rPr>
      <w:rFonts w:ascii="宋体" w:hAnsi="Courier New" w:eastAsia="宋体" w:cs="Times New Roman"/>
      <w:sz w:val="21"/>
      <w:szCs w:val="21"/>
      <w:lang w:val="en-US" w:eastAsia="zh-CN" w:bidi="ar-SA"/>
    </w:rPr>
  </w:style>
  <w:style w:type="paragraph" w:styleId="1283">
    <w:name w:val="表格1"/>
    <w:basedOn w:val="1071"/>
    <w:next w:val="1283"/>
    <w:link w:val="1071"/>
    <w:qFormat/>
    <w:pPr>
      <w:ind w:firstLine="480"/>
      <w:jc w:val="center"/>
    </w:pPr>
    <w:rPr>
      <w:sz w:val="24"/>
      <w:szCs w:val="20"/>
    </w:rPr>
  </w:style>
  <w:style w:type="character" w:styleId="1284">
    <w:name w:val="纯文本 字符1"/>
    <w:next w:val="1284"/>
    <w:link w:val="1071"/>
    <w:qFormat/>
    <w:rPr>
      <w:rFonts w:ascii="宋体" w:hAnsi="Courier New"/>
    </w:rPr>
  </w:style>
  <w:style w:type="character" w:styleId="1285">
    <w:name w:val="bjh-p"/>
    <w:next w:val="1285"/>
    <w:link w:val="1071"/>
    <w:qFormat/>
  </w:style>
  <w:style w:type="paragraph" w:styleId="1286">
    <w:name w:val="无标题条"/>
    <w:next w:val="1071"/>
    <w:link w:val="1071"/>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1"/>
    <w:next w:val="1288"/>
    <w:link w:val="1287"/>
    <w:qFormat/>
    <w:pPr>
      <w:ind w:firstLine="480"/>
      <w:spacing w:line="360" w:lineRule="auto"/>
    </w:pPr>
    <w:rPr>
      <w:rFonts w:ascii="宋体" w:hAnsi="宋体"/>
      <w:sz w:val="24"/>
      <w:lang w:val="en-GB"/>
    </w:rPr>
  </w:style>
  <w:style w:type="character" w:styleId="1289">
    <w:name w:val="标题 3 Char"/>
    <w:next w:val="1289"/>
    <w:link w:val="1071"/>
    <w:qFormat/>
    <w:rPr>
      <w:rFonts w:ascii="宋体" w:eastAsia="宋体"/>
      <w:b/>
      <w:sz w:val="24"/>
      <w:u w:val="single"/>
      <w:lang w:val="en-US" w:eastAsia="zh-CN" w:bidi="ar-SA"/>
    </w:rPr>
  </w:style>
  <w:style w:type="character" w:styleId="1290">
    <w:name w:val="正文缩进 Char"/>
    <w:next w:val="1290"/>
    <w:link w:val="1071"/>
    <w:qFormat/>
    <w:rPr>
      <w:rFonts w:ascii="宋体" w:eastAsia="宋体"/>
      <w:sz w:val="24"/>
      <w:szCs w:val="24"/>
      <w:lang w:val="en-US" w:eastAsia="zh-CN" w:bidi="ar-SA"/>
    </w:rPr>
  </w:style>
  <w:style w:type="character" w:styleId="1291">
    <w:name w:val="Char Char111"/>
    <w:next w:val="1291"/>
    <w:link w:val="1071"/>
    <w:qFormat/>
    <w:rPr>
      <w:rFonts w:ascii="宋体" w:eastAsia="宋体"/>
      <w:b/>
      <w:sz w:val="24"/>
      <w:u w:val="single"/>
      <w:lang w:val="en-US" w:eastAsia="zh-CN" w:bidi="ar-SA"/>
    </w:rPr>
  </w:style>
  <w:style w:type="character" w:styleId="1292">
    <w:name w:val="正文文本缩进 Char"/>
    <w:next w:val="1292"/>
    <w:link w:val="1071"/>
    <w:qFormat/>
    <w:rPr>
      <w:rFonts w:eastAsia="宋体"/>
      <w:sz w:val="24"/>
      <w:szCs w:val="24"/>
      <w:lang w:val="en-US" w:eastAsia="zh-CN" w:bidi="ar-SA"/>
    </w:rPr>
  </w:style>
  <w:style w:type="character" w:styleId="1293">
    <w:name w:val="列出段落 Char"/>
    <w:next w:val="1293"/>
    <w:link w:val="1071"/>
    <w:qFormat/>
    <w:rPr>
      <w:rFonts w:ascii="Calibri" w:hAnsi="Calibri" w:eastAsia="宋体"/>
      <w:sz w:val="21"/>
      <w:szCs w:val="22"/>
      <w:lang w:val="en-US" w:eastAsia="zh-CN" w:bidi="ar-SA"/>
    </w:rPr>
  </w:style>
  <w:style w:type="character" w:styleId="1294">
    <w:name w:val="页眉 Char"/>
    <w:next w:val="1294"/>
    <w:link w:val="1071"/>
    <w:qFormat/>
    <w:rPr>
      <w:rFonts w:eastAsia="宋体"/>
      <w:sz w:val="18"/>
      <w:szCs w:val="18"/>
      <w:lang w:val="en-US" w:eastAsia="zh-CN" w:bidi="ar-SA"/>
    </w:rPr>
  </w:style>
  <w:style w:type="character" w:styleId="1295">
    <w:name w:val="标题 2 Char"/>
    <w:next w:val="1295"/>
    <w:link w:val="1071"/>
    <w:qFormat/>
    <w:rPr>
      <w:rFonts w:ascii="Arial" w:hAnsi="Arial" w:eastAsia="黑体"/>
      <w:b/>
      <w:sz w:val="30"/>
      <w:lang w:val="en-US" w:eastAsia="zh-CN" w:bidi="ar-SA"/>
    </w:rPr>
  </w:style>
  <w:style w:type="paragraph" w:styleId="1296">
    <w:name w:val="字元 字元2"/>
    <w:basedOn w:val="1071"/>
    <w:next w:val="1296"/>
    <w:link w:val="1071"/>
    <w:qFormat/>
    <w:rPr>
      <w:rFonts w:ascii="Tahoma" w:hAnsi="Tahoma"/>
      <w:sz w:val="24"/>
      <w:szCs w:val="20"/>
    </w:rPr>
  </w:style>
  <w:style w:type="paragraph" w:styleId="1297">
    <w:name w:val="Char3 Char Char Char2"/>
    <w:basedOn w:val="1071"/>
    <w:next w:val="1297"/>
    <w:link w:val="1071"/>
    <w:qFormat/>
    <w:rPr>
      <w:rFonts w:ascii="Tahoma" w:hAnsi="Tahoma"/>
      <w:sz w:val="24"/>
      <w:szCs w:val="20"/>
    </w:rPr>
  </w:style>
  <w:style w:type="paragraph" w:styleId="1298">
    <w:name w:val="正文文本缩进2"/>
    <w:basedOn w:val="1071"/>
    <w:next w:val="1298"/>
    <w:link w:val="1071"/>
    <w:qFormat/>
    <w:pPr>
      <w:ind w:firstLine="480"/>
      <w:spacing w:line="480" w:lineRule="exact"/>
    </w:pPr>
    <w:rPr>
      <w:rFonts w:ascii="宋体" w:hAnsi="宋体"/>
      <w:sz w:val="24"/>
      <w:lang w:val="zh-CN" w:eastAsia="zh-CN"/>
    </w:rPr>
  </w:style>
  <w:style w:type="paragraph" w:styleId="1299">
    <w:name w:val="Char3"/>
    <w:basedOn w:val="1071"/>
    <w:next w:val="1299"/>
    <w:link w:val="1071"/>
    <w:qFormat/>
    <w:pPr>
      <w:tabs>
        <w:tab w:val="left" w:pos="360" w:leader="none"/>
      </w:tabs>
    </w:pPr>
    <w:rPr>
      <w:sz w:val="24"/>
    </w:rPr>
  </w:style>
  <w:style w:type="paragraph" w:styleId="1300">
    <w:name w:val="Char Char Char Char Char Char Char Char Char Char Char Char Char Char Char Char1"/>
    <w:basedOn w:val="1071"/>
    <w:next w:val="1300"/>
    <w:link w:val="1071"/>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1"/>
    <w:next w:val="1301"/>
    <w:link w:val="1071"/>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1"/>
    <w:next w:val="1302"/>
    <w:link w:val="1071"/>
    <w:qFormat/>
    <w:pPr>
      <w:ind w:firstLine="420"/>
    </w:pPr>
    <w:rPr>
      <w:rFonts w:ascii="Calibri" w:hAnsi="Calibri"/>
      <w:szCs w:val="22"/>
    </w:rPr>
  </w:style>
  <w:style w:type="paragraph" w:styleId="1303">
    <w:name w:val="Char Char Char1 Char2"/>
    <w:basedOn w:val="1071"/>
    <w:next w:val="1303"/>
    <w:link w:val="1071"/>
    <w:qFormat/>
    <w:rPr>
      <w:rFonts w:ascii="Tahoma" w:hAnsi="Tahoma"/>
      <w:sz w:val="24"/>
      <w:szCs w:val="20"/>
    </w:rPr>
  </w:style>
  <w:style w:type="paragraph" w:styleId="1304">
    <w:name w:val="Char Char Char2"/>
    <w:basedOn w:val="1071"/>
    <w:next w:val="1304"/>
    <w:link w:val="1071"/>
    <w:qFormat/>
    <w:rPr>
      <w:rFonts w:ascii="Tahoma" w:hAnsi="Tahoma"/>
      <w:sz w:val="24"/>
      <w:szCs w:val="20"/>
    </w:rPr>
  </w:style>
  <w:style w:type="paragraph" w:styleId="1305">
    <w:name w:val="Char Char Char Char Char Char Char2"/>
    <w:basedOn w:val="1071"/>
    <w:next w:val="1305"/>
    <w:link w:val="1071"/>
    <w:qFormat/>
    <w:pPr>
      <w:ind w:firstLine="200"/>
      <w:spacing w:line="360" w:lineRule="auto"/>
    </w:pPr>
    <w:rPr>
      <w:rFonts w:eastAsia="仿宋_GB2312"/>
      <w:sz w:val="24"/>
    </w:rPr>
  </w:style>
  <w:style w:type="paragraph" w:styleId="1306">
    <w:name w:val="正文缩进2"/>
    <w:basedOn w:val="1071"/>
    <w:next w:val="1306"/>
    <w:link w:val="1071"/>
    <w:qFormat/>
    <w:pPr>
      <w:ind w:firstLine="567"/>
      <w:spacing w:line="480" w:lineRule="exact"/>
      <w:widowControl/>
    </w:pPr>
    <w:rPr>
      <w:rFonts w:ascii="宋体"/>
      <w:color w:val="000000"/>
      <w:sz w:val="28"/>
      <w:szCs w:val="20"/>
      <w:lang w:val="zh-CN" w:eastAsia="zh-CN"/>
    </w:rPr>
  </w:style>
  <w:style w:type="paragraph" w:styleId="1307">
    <w:name w:val="Revision"/>
    <w:next w:val="1307"/>
    <w:link w:val="1071"/>
    <w:qFormat/>
    <w:rPr>
      <w:sz w:val="21"/>
      <w:szCs w:val="24"/>
      <w:lang w:val="en-US" w:eastAsia="zh-CN" w:bidi="ar-SA"/>
    </w:rPr>
  </w:style>
  <w:style w:type="paragraph" w:styleId="1308">
    <w:name w:val="Char22"/>
    <w:basedOn w:val="1071"/>
    <w:next w:val="1308"/>
    <w:link w:val="1071"/>
    <w:qFormat/>
    <w:rPr>
      <w:rFonts w:ascii="Tahoma" w:hAnsi="Tahoma"/>
      <w:sz w:val="24"/>
      <w:szCs w:val="20"/>
    </w:rPr>
  </w:style>
  <w:style w:type="paragraph" w:styleId="1309">
    <w:name w:val="Char Char Char Char Char Char Char Char Char Char2"/>
    <w:basedOn w:val="1071"/>
    <w:next w:val="1309"/>
    <w:link w:val="1071"/>
    <w:qFormat/>
    <w:rPr>
      <w:rFonts w:ascii="宋体" w:hAnsi="宋体" w:cs="Courier New"/>
      <w:sz w:val="32"/>
      <w:szCs w:val="32"/>
    </w:rPr>
  </w:style>
  <w:style w:type="paragraph" w:styleId="1310">
    <w:name w:val="Char2 Char Char Char Char Char Char1"/>
    <w:basedOn w:val="1071"/>
    <w:next w:val="1310"/>
    <w:link w:val="1071"/>
    <w:qFormat/>
    <w:pPr>
      <w:jc w:val="center"/>
      <w:spacing w:line="400" w:lineRule="exact"/>
      <w:widowControl/>
    </w:pPr>
  </w:style>
  <w:style w:type="character" w:styleId="1311">
    <w:name w:val="页脚 Char"/>
    <w:next w:val="1311"/>
    <w:link w:val="1071"/>
    <w:qFormat/>
    <w:rPr>
      <w:rFonts w:ascii="宋体" w:eastAsia="宋体"/>
      <w:sz w:val="18"/>
      <w:lang w:val="en-US" w:eastAsia="zh-CN" w:bidi="ar-SA"/>
    </w:rPr>
  </w:style>
  <w:style w:type="paragraph" w:styleId="1312">
    <w:name w:val="Char Char41"/>
    <w:basedOn w:val="1071"/>
    <w:next w:val="1312"/>
    <w:link w:val="1071"/>
    <w:qFormat/>
    <w:pPr>
      <w:jc w:val="center"/>
      <w:spacing w:line="400" w:lineRule="exact"/>
      <w:widowControl/>
    </w:pPr>
  </w:style>
  <w:style w:type="character" w:styleId="1313">
    <w:name w:val="批注文字 Char"/>
    <w:next w:val="1313"/>
    <w:link w:val="1071"/>
    <w:uiPriority w:val="99"/>
    <w:qFormat/>
    <w:rPr>
      <w:sz w:val="21"/>
      <w:szCs w:val="24"/>
    </w:rPr>
  </w:style>
  <w:style w:type="character" w:styleId="1314">
    <w:name w:val="标题 Char"/>
    <w:next w:val="1314"/>
    <w:link w:val="1071"/>
    <w:qFormat/>
    <w:rPr>
      <w:b/>
      <w:sz w:val="32"/>
    </w:rPr>
  </w:style>
  <w:style w:type="paragraph" w:styleId="1315">
    <w:name w:val="图例"/>
    <w:basedOn w:val="1071"/>
    <w:next w:val="1315"/>
    <w:link w:val="1071"/>
    <w:qFormat/>
    <w:pPr>
      <w:jc w:val="center"/>
      <w:spacing w:before="120" w:after="120" w:line="360" w:lineRule="auto"/>
    </w:pPr>
    <w:rPr>
      <w:rFonts w:eastAsia="仿宋_GB2312"/>
      <w:b/>
      <w:sz w:val="24"/>
      <w:szCs w:val="20"/>
    </w:rPr>
  </w:style>
  <w:style w:type="table" w:styleId="1316">
    <w:name w:val="Table Normal"/>
    <w:next w:val="1316"/>
    <w:link w:val="1071"/>
    <w:uiPriority w:val="2"/>
    <w:unhideWhenUsed/>
    <w:qFormat/>
    <w:pPr>
      <w:widowControl w:val="off"/>
    </w:pPr>
    <w:rPr>
      <w:rFonts w:ascii="Calibri" w:hAnsi="Calibri"/>
      <w:sz w:val="22"/>
      <w:szCs w:val="22"/>
      <w:lang w:val="en-US" w:eastAsia="en-US" w:bidi="ar-SA"/>
    </w:rPr>
    <w:tblPr/>
  </w:style>
  <w:style w:type="paragraph" w:styleId="1317">
    <w:name w:val="Table Paragraph"/>
    <w:basedOn w:val="1071"/>
    <w:next w:val="1317"/>
    <w:link w:val="1071"/>
    <w:uiPriority w:val="1"/>
    <w:qFormat/>
    <w:pPr>
      <w:jc w:val="left"/>
    </w:pPr>
    <w:rPr>
      <w:rFonts w:ascii="宋体" w:hAnsi="宋体" w:cs="宋体"/>
      <w:sz w:val="22"/>
      <w:szCs w:val="22"/>
      <w:lang w:eastAsia="en-US"/>
    </w:rPr>
  </w:style>
  <w:style w:type="paragraph" w:styleId="1318">
    <w:name w:val="成文日期"/>
    <w:basedOn w:val="1071"/>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1"/>
    <w:uiPriority w:val="99"/>
    <w:unhideWhenUsed/>
    <w:rPr>
      <w:sz w:val="21"/>
      <w:szCs w:val="24"/>
      <w:lang w:val="en-US" w:eastAsia="zh-CN" w:bidi="ar-SA"/>
    </w:rPr>
  </w:style>
  <w:style w:type="character" w:styleId="1321">
    <w:name w:val="正文缩进 字符"/>
    <w:next w:val="1321"/>
    <w:link w:val="1071"/>
    <w:uiPriority w:val="99"/>
    <w:qFormat/>
    <w:rPr>
      <w:rFonts w:ascii="宋体" w:hAnsi="Times New Roman" w:eastAsia="宋体" w:cs="Times New Roman"/>
      <w:sz w:val="24"/>
    </w:rPr>
  </w:style>
  <w:style w:type="character" w:styleId="1322">
    <w:name w:val="正文文本 字符"/>
    <w:next w:val="1322"/>
    <w:link w:val="1071"/>
    <w:qFormat/>
    <w:rPr>
      <w:rFonts w:ascii="宋体" w:hAnsi="宋体"/>
      <w:sz w:val="24"/>
      <w:szCs w:val="24"/>
    </w:rPr>
  </w:style>
  <w:style w:type="paragraph" w:styleId="1323">
    <w:name w:val="纯文本1"/>
    <w:next w:val="1124"/>
    <w:link w:val="1071"/>
    <w:qFormat/>
    <w:pPr>
      <w:jc w:val="both"/>
      <w:widowControl w:val="off"/>
    </w:pPr>
    <w:rPr>
      <w:rFonts w:ascii="宋体" w:hAnsi="宋体"/>
      <w:sz w:val="26"/>
      <w:szCs w:val="24"/>
      <w:lang w:val="en-US" w:eastAsia="zh-CN" w:bidi="ar-SA"/>
    </w:rPr>
  </w:style>
  <w:style w:type="paragraph" w:styleId="1324">
    <w:name w:val="AONormal"/>
    <w:next w:val="1324"/>
    <w:link w:val="1071"/>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List Paragraph"/>
    <w:basedOn w:val="1071"/>
    <w:next w:val="1325"/>
    <w:link w:val="1071"/>
    <w:uiPriority w:val="34"/>
    <w:qFormat/>
    <w:pPr>
      <w:ind w:firstLine="420"/>
    </w:pPr>
  </w:style>
  <w:style w:type="paragraph" w:styleId="1326">
    <w:name w:val="首行缩进"/>
    <w:basedOn w:val="1071"/>
    <w:next w:val="1326"/>
    <w:link w:val="1071"/>
    <w:qFormat/>
    <w:pPr>
      <w:ind w:left="0" w:right="0" w:firstLine="48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paragraph" w:styleId="1327">
    <w:name w:val="_Style 3"/>
    <w:basedOn w:val="1071"/>
    <w:next w:val="1327"/>
    <w:link w:val="1071"/>
    <w:qFormat/>
    <w:pPr>
      <w:ind w:firstLine="420"/>
    </w:pPr>
    <w:rPr>
      <w:sz w:val="20"/>
    </w:rPr>
  </w:style>
  <w:style w:type="paragraph" w:styleId="1328">
    <w:name w:val="二级目录"/>
    <w:next w:val="1071"/>
    <w:link w:val="1071"/>
    <w:uiPriority w:val="99"/>
    <w:qFormat/>
    <w:pPr>
      <w:numPr>
        <w:ilvl w:val="0"/>
        <w:numId w:val="8"/>
      </w:numPr>
      <w:tabs>
        <w:tab w:val="left" w:pos="720" w:leader="none"/>
        <w:tab w:val="left" w:pos="862" w:leader="none"/>
      </w:tabs>
      <w:outlineLvl w:val="1"/>
    </w:pPr>
    <w:rPr>
      <w:rFonts w:ascii="Calibri" w:hAnsi="Calibri" w:eastAsia="宋体" w:cs="Times New Roman"/>
      <w:b/>
      <w:bCs/>
      <w:sz w:val="28"/>
      <w:szCs w:val="28"/>
      <w:lang w:val="en-US" w:eastAsia="zh-CN" w:bidi="ar-SA"/>
    </w:rPr>
  </w:style>
  <w:style w:type="paragraph" w:styleId="1329">
    <w:name w:val="样式"/>
    <w:next w:val="1329"/>
    <w:link w:val="1071"/>
    <w:qFormat/>
    <w:pPr>
      <w:widowControl w:val="off"/>
    </w:pPr>
    <w:rPr>
      <w:rFonts w:ascii="Calibri" w:hAnsi="Calibri" w:eastAsia="宋体" w:cs="Times New Roman"/>
      <w:sz w:val="24"/>
      <w:szCs w:val="24"/>
      <w:lang w:val="en-US" w:eastAsia="zh-CN" w:bidi="ar-SA"/>
    </w:rPr>
  </w:style>
  <w:style w:type="paragraph" w:styleId="1330">
    <w:name w:val="普通(网站)1"/>
    <w:basedOn w:val="1071"/>
    <w:next w:val="1330"/>
    <w:link w:val="1071"/>
    <w:uiPriority w:val="99"/>
    <w:unhideWhenUsed/>
    <w:qFormat/>
    <w:pPr>
      <w:jc w:val="left"/>
      <w:spacing w:before="100" w:beforeAutospacing="1" w:after="100" w:afterAutospacing="1"/>
      <w:widowControl/>
    </w:pPr>
    <w:rPr>
      <w:rFonts w:ascii="宋体" w:hAnsi="宋体" w:cs="宋体"/>
      <w:sz w:val="24"/>
    </w:rPr>
  </w:style>
  <w:style w:type="character" w:styleId="1331" w:default="1">
    <w:name w:val="Default Paragraph Font"/>
    <w:uiPriority w:val="1"/>
    <w:semiHidden/>
    <w:unhideWhenUsed/>
  </w:style>
  <w:style w:type="numbering" w:styleId="1332" w:default="1">
    <w:name w:val="No List"/>
    <w:uiPriority w:val="99"/>
    <w:semiHidden/>
    <w:unhideWhenUsed/>
  </w:style>
  <w:style w:type="table" w:styleId="1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2026-09-02T07:19:35Z</dcterms:modified>
</cp:coreProperties>
</file>