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36"/>
        </w:rPr>
        <w:t xml:space="preserve">编号：JSZC-321000-NJJD-G2026-0015</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2027世界田联路跑锦标赛运营管理服务项目</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公开招标文件</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16"/>
        <w:ind w:left="0" w:right="0" w:firstLine="602"/>
        <w:spacing w:before="320" w:after="200" w:line="34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562"/>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采购人：扬州市体育局</w:t>
      </w:r>
      <w:r/>
    </w:p>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采购代理机构：南京金鼎工程造价评估有限责任公司扬州分公司</w:t>
      </w:r>
      <w:r/>
    </w:p>
    <w:p>
      <w:pPr>
        <w:ind w:left="0" w:right="0" w:firstLine="562"/>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发放时间：2026年9月9日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640"/>
        <w:jc w:val="center"/>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 招标公告 2</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第二章 投标供应商须知 6</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第三章 合同条款及格式 17</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第四章 项目需求 21</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第五章 评标方法及评标标准 28</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第六章 投标文件格式 32</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2027世界田联路跑锦标赛运营管理服务项目</w:t>
            </w:r>
            <w:r>
              <w:rPr>
                <w:rFonts w:ascii="SimSun" w:hAnsi="SimSun" w:eastAsia="SimSun" w:cs="SimSun"/>
                <w:color w:val="000000"/>
                <w:sz w:val="22"/>
              </w:rPr>
              <w:t xml:space="preserve">的潜在投标供应商可在</w:t>
            </w:r>
            <w:r>
              <w:rPr>
                <w:rFonts w:ascii="SimSun" w:hAnsi="SimSun" w:eastAsia="SimSun" w:cs="SimSun"/>
                <w:color w:val="000000"/>
                <w:sz w:val="22"/>
                <w:u w:val="single"/>
              </w:rPr>
              <w:t xml:space="preserve">“中国政府采购网”、“江苏省政府采购网”、“扬州市政府采购网”</w:t>
            </w:r>
            <w:r>
              <w:rPr>
                <w:rFonts w:ascii="SimSun" w:hAnsi="SimSun" w:eastAsia="SimSun" w:cs="SimSun"/>
                <w:color w:val="000000"/>
                <w:sz w:val="22"/>
              </w:rPr>
              <w:t xml:space="preserve">自行免费下载招标文件，并于</w:t>
            </w:r>
            <w:r>
              <w:rPr>
                <w:rFonts w:ascii="SimSun" w:hAnsi="SimSun" w:eastAsia="SimSun" w:cs="SimSun"/>
                <w:color w:val="000000"/>
                <w:sz w:val="22"/>
                <w:u w:val="single"/>
              </w:rPr>
              <w:t xml:space="preserve">2026年9月30日上午9点30分</w:t>
            </w:r>
            <w:r>
              <w:rPr>
                <w:rFonts w:ascii="SimSun" w:hAnsi="SimSun" w:eastAsia="SimSun" w:cs="SimSun"/>
                <w:color w:val="000000"/>
                <w:sz w:val="22"/>
              </w:rPr>
              <w:t xml:space="preserve">（北京时间）前递交投标文件。</w:t>
            </w:r>
            <w:r/>
          </w:p>
        </w:tc>
      </w:tr>
    </w:tbl>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项目编号：JSZC-321000-NJJD-G2026-0015</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项目名称：2027世界田联路跑锦标赛运营管理服务项目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预算金额：人民币390万元</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最高限价（如有）：人民币390万元，报价超过最高限价的为无效报价。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采购需求：具体详见招标文件第四章项目需求。</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合同履行期限：自合同签订之日起至赛事结束。</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本项目（是/否）接受联合体投标：不接受联合体</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1.法人或者其他组织的营业执照等证明文件，自然人的身份证明</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2.依法缴纳职工社会保障资金的证明材料</w:t>
      </w:r>
      <w:r>
        <w:rPr>
          <w:rFonts w:ascii="SimSun" w:hAnsi="SimSun" w:eastAsia="SimSun" w:cs="SimSun"/>
          <w:b/>
          <w:i/>
          <w:color w:val="000000"/>
          <w:sz w:val="22"/>
          <w:u w:val="single"/>
        </w:rPr>
        <w:t xml:space="preserve">(税务、银行或社会保险基金管理部门出具的近三个月内任意一个月缴纳职工社会保障资金的缴款凭证或缴款证明)（投标供应商依法享受缓缴、免缴的提供证明材料）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3.投标供应商近三个月内任意一份依法纳税的缴款凭证</w:t>
      </w:r>
      <w:r>
        <w:rPr>
          <w:rFonts w:ascii="SimSun" w:hAnsi="SimSun" w:eastAsia="SimSun" w:cs="SimSun"/>
          <w:b/>
          <w:i/>
          <w:color w:val="000000"/>
          <w:sz w:val="22"/>
          <w:u w:val="single"/>
        </w:rPr>
        <w:t xml:space="preserve">（投标供应商依法享受缓缴、免缴的提供证明材料）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4.上一年度的财务报告情况（</w:t>
      </w:r>
      <w:r>
        <w:rPr>
          <w:rFonts w:ascii="SimSun" w:hAnsi="SimSun" w:eastAsia="SimSun" w:cs="SimSun"/>
          <w:b/>
          <w:i/>
          <w:color w:val="000000"/>
          <w:sz w:val="22"/>
          <w:u w:val="single"/>
        </w:rPr>
        <w:t xml:space="preserve">成立不满一年不需提供）</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5.具备履行合同所必需的设备和专业技术能力的证明材料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6.参加本次政府采购活动前3年内在经营活动中没有重大违法记录的书面声明</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7.供应商信用承诺函</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本项目专门面向中小企业采购。投标供应商投标时须提供《中小企业声明函》，《中小企业声明函》不符合要求或未提供的，投标文件无效。</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 </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无。</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时间：自招标文件公告发布之日起5个工作日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地点：“中国政府采购网”“江苏省政府采购网”“扬州市政府采购网”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方式：本项目采用网上注册登记方式。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售价：0元</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投标文件接收截止时间：2026年9月30日上午9点30分（北京时间）</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投标文件开标时间：2026年9月30日上午9点30分（北京时间）</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rPr>
          <w:rFonts w:ascii="SimSun" w:hAnsi="SimSun" w:eastAsia="SimSun" w:cs="SimSun"/>
          <w:b/>
          <w:color w:val="000000"/>
          <w:sz w:val="22"/>
        </w:rPr>
        <w:t xml:space="preserve">“苏采云”系统（网址：</w:t>
      </w:r>
      <w:hyperlink r:id="rId8" w:tooltip="http://jszfcg.jsczt.cn/%EF%BC%89/%E2%80%9C%E5%BC%80%E6%A0%87%E5%A4%A7%E5%8E%85/%E2%80%9D" w:history="1">
        <w:r>
          <w:rPr>
            <w:rStyle w:val="173"/>
            <w:rFonts w:ascii="SimSun" w:hAnsi="SimSun" w:eastAsia="SimSun" w:cs="SimSun"/>
            <w:b/>
            <w:color w:val="0000ee"/>
            <w:sz w:val="22"/>
            <w:u w:val="single"/>
          </w:rPr>
          <w:t xml:space="preserve">http://jszfcg.jsczt.cn/）</w:t>
        </w:r>
      </w:hyperlink>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442"/>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2.供应商如确定参加投标，可自行下载采购文件及有关资料，按照《操作手册》进行注册，领取CA和办理电子签章，并按《操作手册》要求制作、上传电子投标文件，技术支持联系方式：13813140731。</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i/>
          <w:color w:val="000000"/>
          <w:sz w:val="22"/>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4.本项目招标不收取投标保证金。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5.有关本次招标的事项若存在变动或修改，敬请及时关注“中国政府采购网”、“江苏省政府采购网”、“扬州市政府采购网”发布的信息。</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6.本项目招标文件中所有斜体下划线部分为实质性条款，如不满足，则为无效投标。</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7.如在开标时间发生系统崩溃等不可预见的情况，造成开评标活动无法正常进行的，将延迟开评标，具体开评标时间另行通知。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9.供应商对于投标产品的包装应按照“财办库〔2020〕123号《关于印发《商品包装政府采购需求标准（试行）》、《快递包装政府采购需求标准（试行）》的通知》”执行；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10.落实好政府采购履约资金扶持政策。中标/中标供应商可凭政府采购合同办理融资贷款，详见江苏政府采购网“政采贷”专栏；</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2"/>
        </w:rPr>
        <w:t xml:space="preserve">先采购节能产品、环境标志产品。</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12.潜在投标供应商访问政府采购管理交易系统（苏采云）的网络地址和方法：</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1</w:t>
      </w:r>
      <w:r>
        <w:rPr>
          <w:rFonts w:ascii="SimSun" w:hAnsi="SimSun" w:eastAsia="SimSun" w:cs="SimSun"/>
          <w:color w:val="000000"/>
          <w:sz w:val="21"/>
        </w:rPr>
        <w:t xml:space="preserve">）潜在供应商访问政府采购管理交易系统（苏采云）的方法：“苏采云”系统用户注册</w:t>
      </w:r>
      <w:r>
        <w:rPr>
          <w:rFonts w:ascii="SimSun" w:hAnsi="SimSun" w:eastAsia="SimSun" w:cs="SimSun"/>
          <w:color w:val="000000"/>
          <w:sz w:val="22"/>
        </w:rPr>
        <w:t xml:space="preserve">--</w:t>
      </w:r>
      <w:r>
        <w:rPr>
          <w:rFonts w:ascii="SimSun" w:hAnsi="SimSun" w:eastAsia="SimSun" w:cs="SimSun"/>
          <w:color w:val="000000"/>
          <w:sz w:val="21"/>
        </w:rPr>
        <w:t xml:space="preserve">获取“</w:t>
      </w:r>
      <w:r>
        <w:rPr>
          <w:rFonts w:ascii="SimSun" w:hAnsi="SimSun" w:eastAsia="SimSun" w:cs="SimSun"/>
          <w:color w:val="000000"/>
          <w:sz w:val="22"/>
        </w:rPr>
        <w:t xml:space="preserve">CA</w:t>
      </w:r>
      <w:r>
        <w:rPr>
          <w:rFonts w:ascii="SimSun" w:hAnsi="SimSun" w:eastAsia="SimSun" w:cs="SimSun"/>
          <w:color w:val="000000"/>
          <w:sz w:val="21"/>
        </w:rPr>
        <w:t xml:space="preserve">数字证书”</w:t>
      </w:r>
      <w:r>
        <w:rPr>
          <w:rFonts w:ascii="SimSun" w:hAnsi="SimSun" w:eastAsia="SimSun" w:cs="SimSun"/>
          <w:color w:val="000000"/>
          <w:sz w:val="22"/>
        </w:rPr>
        <w:t xml:space="preserve">--CA</w:t>
      </w:r>
      <w:r>
        <w:rPr>
          <w:rFonts w:ascii="SimSun" w:hAnsi="SimSun" w:eastAsia="SimSun" w:cs="SimSun"/>
          <w:color w:val="000000"/>
          <w:sz w:val="21"/>
        </w:rPr>
        <w:t xml:space="preserve">绑定与登录</w:t>
      </w:r>
      <w:r>
        <w:rPr>
          <w:rFonts w:ascii="SimSun" w:hAnsi="SimSun" w:eastAsia="SimSun" w:cs="SimSun"/>
          <w:color w:val="000000"/>
          <w:sz w:val="22"/>
        </w:rPr>
        <w:t xml:space="preserve">--</w:t>
      </w:r>
      <w:r>
        <w:rPr>
          <w:rFonts w:ascii="SimSun" w:hAnsi="SimSun" w:eastAsia="SimSun" w:cs="SimSun"/>
          <w:color w:val="000000"/>
          <w:sz w:val="21"/>
        </w:rPr>
        <w:t xml:space="preserve">网上报名</w:t>
      </w:r>
      <w:r>
        <w:rPr>
          <w:rFonts w:ascii="SimSun" w:hAnsi="SimSun" w:eastAsia="SimSun" w:cs="SimSun"/>
          <w:color w:val="000000"/>
          <w:sz w:val="22"/>
        </w:rPr>
        <w:t xml:space="preserve">--</w:t>
      </w:r>
      <w:r>
        <w:rPr>
          <w:rFonts w:ascii="SimSun" w:hAnsi="SimSun" w:eastAsia="SimSun" w:cs="SimSun"/>
          <w:color w:val="000000"/>
          <w:sz w:val="21"/>
        </w:rPr>
        <w:t xml:space="preserve">下载采购文件（后缀名为“</w:t>
      </w:r>
      <w:r>
        <w:rPr>
          <w:rFonts w:ascii="SimSun" w:hAnsi="SimSun" w:eastAsia="SimSun" w:cs="SimSun"/>
          <w:color w:val="000000"/>
          <w:sz w:val="22"/>
        </w:rPr>
        <w:t xml:space="preserve">.kedt</w:t>
      </w:r>
      <w:r>
        <w:rPr>
          <w:rFonts w:ascii="SimSun" w:hAnsi="SimSun" w:eastAsia="SimSun" w:cs="SimSun"/>
          <w:color w:val="000000"/>
          <w:sz w:val="21"/>
        </w:rPr>
        <w:t xml:space="preserve">”）</w:t>
      </w:r>
      <w:r>
        <w:rPr>
          <w:rFonts w:ascii="SimSun" w:hAnsi="SimSun" w:eastAsia="SimSun" w:cs="SimSun"/>
          <w:color w:val="000000"/>
          <w:sz w:val="22"/>
        </w:rPr>
        <w:t xml:space="preserve">--</w:t>
      </w:r>
      <w:r>
        <w:rPr>
          <w:rFonts w:ascii="SimSun" w:hAnsi="SimSun" w:eastAsia="SimSun" w:cs="SimSun"/>
          <w:color w:val="000000"/>
          <w:sz w:val="21"/>
        </w:rPr>
        <w:t xml:space="preserve">将后缀名为“</w:t>
      </w:r>
      <w:r>
        <w:rPr>
          <w:rFonts w:ascii="SimSun" w:hAnsi="SimSun" w:eastAsia="SimSun" w:cs="SimSun"/>
          <w:color w:val="000000"/>
          <w:sz w:val="22"/>
        </w:rPr>
        <w:t xml:space="preserve">.kedt</w:t>
      </w:r>
      <w:r>
        <w:rPr>
          <w:rFonts w:ascii="SimSun" w:hAnsi="SimSun" w:eastAsia="SimSun" w:cs="SimSun"/>
          <w:color w:val="000000"/>
          <w:sz w:val="21"/>
        </w:rPr>
        <w:t xml:space="preserve">”的采购文件导入政府采购客户端工具</w:t>
      </w:r>
      <w:r>
        <w:rPr>
          <w:rFonts w:ascii="SimSun" w:hAnsi="SimSun" w:eastAsia="SimSun" w:cs="SimSun"/>
          <w:color w:val="000000"/>
          <w:sz w:val="22"/>
        </w:rPr>
        <w:t xml:space="preserve">--</w:t>
      </w:r>
      <w:r>
        <w:rPr>
          <w:rFonts w:ascii="SimSun" w:hAnsi="SimSun" w:eastAsia="SimSun" w:cs="SimSun"/>
          <w:color w:val="000000"/>
          <w:sz w:val="21"/>
        </w:rPr>
        <w:t xml:space="preserve">制作投标文件</w:t>
      </w:r>
      <w:r>
        <w:rPr>
          <w:rFonts w:ascii="SimSun" w:hAnsi="SimSun" w:eastAsia="SimSun" w:cs="SimSun"/>
          <w:color w:val="000000"/>
          <w:sz w:val="22"/>
        </w:rPr>
        <w:t xml:space="preserve">--</w:t>
      </w:r>
      <w:r>
        <w:rPr>
          <w:rFonts w:ascii="SimSun" w:hAnsi="SimSun" w:eastAsia="SimSun" w:cs="SimSun"/>
          <w:color w:val="000000"/>
          <w:sz w:val="21"/>
        </w:rPr>
        <w:t xml:space="preserve">导出加密的投标文件（后缀名为</w:t>
      </w:r>
      <w:r>
        <w:rPr>
          <w:rFonts w:ascii="SimSun" w:hAnsi="SimSun" w:eastAsia="SimSun" w:cs="SimSun"/>
          <w:color w:val="000000"/>
          <w:sz w:val="22"/>
        </w:rPr>
        <w:t xml:space="preserve">zip</w:t>
      </w:r>
      <w:r>
        <w:rPr>
          <w:rFonts w:ascii="SimSun" w:hAnsi="SimSun" w:eastAsia="SimSun" w:cs="SimSun"/>
          <w:color w:val="000000"/>
          <w:sz w:val="21"/>
        </w:rPr>
        <w:t xml:space="preserve">）</w:t>
      </w:r>
      <w:r>
        <w:rPr>
          <w:rFonts w:ascii="SimSun" w:hAnsi="SimSun" w:eastAsia="SimSun" w:cs="SimSun"/>
          <w:color w:val="000000"/>
          <w:sz w:val="22"/>
        </w:rPr>
        <w:t xml:space="preserve">--</w:t>
      </w:r>
      <w:r>
        <w:rPr>
          <w:rFonts w:ascii="SimSun" w:hAnsi="SimSun" w:eastAsia="SimSun" w:cs="SimSun"/>
          <w:color w:val="000000"/>
          <w:sz w:val="21"/>
        </w:rPr>
        <w:t xml:space="preserve">通过“苏采云”系统上传投标文件。</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CA</w:t>
      </w:r>
      <w:r>
        <w:rPr>
          <w:rFonts w:ascii="SimSun" w:hAnsi="SimSun" w:eastAsia="SimSun" w:cs="SimSun"/>
          <w:color w:val="000000"/>
          <w:sz w:val="21"/>
        </w:rPr>
        <w:t xml:space="preserve">数字证书”的获取：供应商需办理</w:t>
      </w:r>
      <w:r>
        <w:rPr>
          <w:rFonts w:ascii="SimSun" w:hAnsi="SimSun" w:eastAsia="SimSun" w:cs="SimSun"/>
          <w:color w:val="000000"/>
          <w:sz w:val="22"/>
        </w:rPr>
        <w:t xml:space="preserve">CA</w:t>
      </w:r>
      <w:r>
        <w:rPr>
          <w:rFonts w:ascii="SimSun" w:hAnsi="SimSun" w:eastAsia="SimSun" w:cs="SimSun"/>
          <w:color w:val="000000"/>
          <w:sz w:val="21"/>
        </w:rPr>
        <w:t xml:space="preserve">锁，“苏采云”系统目前仅支持“苏采云”系统下的政务</w:t>
      </w:r>
      <w:r>
        <w:rPr>
          <w:rFonts w:ascii="SimSun" w:hAnsi="SimSun" w:eastAsia="SimSun" w:cs="SimSun"/>
          <w:color w:val="000000"/>
          <w:sz w:val="22"/>
        </w:rPr>
        <w:t xml:space="preserve">CA</w:t>
      </w:r>
      <w:r>
        <w:rPr>
          <w:rFonts w:ascii="SimSun" w:hAnsi="SimSun" w:eastAsia="SimSun" w:cs="SimSun"/>
          <w:color w:val="000000"/>
          <w:sz w:val="21"/>
        </w:rPr>
        <w:t xml:space="preserve">，省内各地区办理的“苏采云”系统下的政务</w:t>
      </w:r>
      <w:r>
        <w:rPr>
          <w:rFonts w:ascii="SimSun" w:hAnsi="SimSun" w:eastAsia="SimSun" w:cs="SimSun"/>
          <w:color w:val="000000"/>
          <w:sz w:val="22"/>
        </w:rPr>
        <w:t xml:space="preserve">CA</w:t>
      </w:r>
      <w:r>
        <w:rPr>
          <w:rFonts w:ascii="SimSun" w:hAnsi="SimSun" w:eastAsia="SimSun" w:cs="SimSun"/>
          <w:color w:val="000000"/>
          <w:sz w:val="21"/>
        </w:rPr>
        <w:t xml:space="preserve">全省通用。</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3</w:t>
      </w:r>
      <w:r>
        <w:rPr>
          <w:rFonts w:ascii="SimSun" w:hAnsi="SimSun" w:eastAsia="SimSun" w:cs="SimSun"/>
          <w:color w:val="000000"/>
          <w:sz w:val="21"/>
        </w:rPr>
        <w:t xml:space="preserve">）“</w:t>
      </w:r>
      <w:r>
        <w:rPr>
          <w:rFonts w:ascii="SimSun" w:hAnsi="SimSun" w:eastAsia="SimSun" w:cs="SimSun"/>
          <w:color w:val="000000"/>
          <w:sz w:val="22"/>
        </w:rPr>
        <w:t xml:space="preserve">CA</w:t>
      </w:r>
      <w:r>
        <w:rPr>
          <w:rFonts w:ascii="SimSun" w:hAnsi="SimSun" w:eastAsia="SimSun" w:cs="SimSun"/>
          <w:color w:val="000000"/>
          <w:sz w:val="21"/>
        </w:rPr>
        <w:t xml:space="preserve">数字证书”的办理材料以及供应商操作手册详见：http://zfcg.yangzhou.gov.cn/zfcg/xzzx/202309/4d7de1f7865f4a2894fc22bc452f94d8.shtml。</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4</w:t>
      </w:r>
      <w:r>
        <w:rPr>
          <w:rFonts w:ascii="SimSun" w:hAnsi="SimSun" w:eastAsia="SimSun" w:cs="SimSun"/>
          <w:color w:val="000000"/>
          <w:sz w:val="21"/>
        </w:rPr>
        <w:t xml:space="preserve">）潜在供应商访问“苏采云”系统的网络地址和方法：“苏采云”系统的网址：</w:t>
      </w:r>
      <w:r>
        <w:rPr>
          <w:rFonts w:ascii="SimSun" w:hAnsi="SimSun" w:eastAsia="SimSun" w:cs="SimSun"/>
          <w:color w:val="000000"/>
          <w:sz w:val="22"/>
        </w:rPr>
        <w:t xml:space="preserve">http://jszfcg.jsczt.cn/</w:t>
      </w:r>
      <w:r>
        <w:rPr>
          <w:rFonts w:ascii="SimSun" w:hAnsi="SimSun" w:eastAsia="SimSun" w:cs="SimSun"/>
          <w:color w:val="000000"/>
          <w:sz w:val="21"/>
        </w:rPr>
        <w:t xml:space="preserve">。</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5</w:t>
      </w:r>
      <w:r>
        <w:rPr>
          <w:rFonts w:ascii="SimSun" w:hAnsi="SimSun" w:eastAsia="SimSun" w:cs="SimSun"/>
          <w:color w:val="000000"/>
          <w:sz w:val="21"/>
        </w:rPr>
        <w:t xml:space="preserve">）采购文件（后缀名为“</w:t>
      </w:r>
      <w:r>
        <w:rPr>
          <w:rFonts w:ascii="SimSun" w:hAnsi="SimSun" w:eastAsia="SimSun" w:cs="SimSun"/>
          <w:color w:val="000000"/>
          <w:sz w:val="22"/>
        </w:rPr>
        <w:t xml:space="preserve">.kedt</w:t>
      </w:r>
      <w:r>
        <w:rPr>
          <w:rFonts w:ascii="SimSun" w:hAnsi="SimSun" w:eastAsia="SimSun" w:cs="SimSun"/>
          <w:color w:val="000000"/>
          <w:sz w:val="21"/>
        </w:rPr>
        <w:t xml:space="preserve">”）、供应商操作手册及政府采购客户端工具也可通过“苏采云”系统</w:t>
      </w:r>
      <w:r>
        <w:rPr>
          <w:rFonts w:ascii="SimSun" w:hAnsi="SimSun" w:eastAsia="SimSun" w:cs="SimSun"/>
          <w:color w:val="000000"/>
          <w:sz w:val="22"/>
        </w:rPr>
        <w:t xml:space="preserve">--</w:t>
      </w:r>
      <w:r>
        <w:rPr>
          <w:rFonts w:ascii="SimSun" w:hAnsi="SimSun" w:eastAsia="SimSun" w:cs="SimSun"/>
          <w:color w:val="000000"/>
          <w:sz w:val="21"/>
        </w:rPr>
        <w:t xml:space="preserve">已报名项目</w:t>
      </w:r>
      <w:r>
        <w:rPr>
          <w:rFonts w:ascii="SimSun" w:hAnsi="SimSun" w:eastAsia="SimSun" w:cs="SimSun"/>
          <w:color w:val="000000"/>
          <w:sz w:val="22"/>
        </w:rPr>
        <w:t xml:space="preserve">--</w:t>
      </w:r>
      <w:r>
        <w:rPr>
          <w:rFonts w:ascii="SimSun" w:hAnsi="SimSun" w:eastAsia="SimSun" w:cs="SimSun"/>
          <w:color w:val="000000"/>
          <w:sz w:val="21"/>
        </w:rPr>
        <w:t xml:space="preserve">报名详情页面内相应链接进行下载。</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6</w:t>
      </w:r>
      <w:r>
        <w:rPr>
          <w:rFonts w:ascii="SimSun" w:hAnsi="SimSun" w:eastAsia="SimSun" w:cs="SimSun"/>
          <w:color w:val="000000"/>
          <w:sz w:val="21"/>
        </w:rPr>
        <w:t xml:space="preserve">）招标代理机构（采购代理机构）将数据电文形式的采购文件加载至“苏采云”系统，供潜在供应商下载或者查阅。</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7</w:t>
      </w:r>
      <w:r>
        <w:rPr>
          <w:rFonts w:ascii="SimSun" w:hAnsi="SimSun" w:eastAsia="SimSun" w:cs="SimSun"/>
          <w:color w:val="000000"/>
          <w:sz w:val="21"/>
        </w:rPr>
        <w:t xml:space="preserve">）苏采云系统使用谷歌浏览器参与不见面开标</w:t>
      </w:r>
      <w:r>
        <w:rPr>
          <w:rFonts w:ascii="SimSun" w:hAnsi="SimSun" w:eastAsia="SimSun" w:cs="SimSun"/>
          <w:color w:val="000000"/>
          <w:sz w:val="22"/>
        </w:rPr>
        <w:t xml:space="preserve">。</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七、对本次招标提出询问，请按以下方式联系</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名称：扬州市体育局</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地址：扬州市邗江区江阳中路240号万象汇利大厦25-26层</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联系方式：宋主任 </w:t>
      </w:r>
      <w:r>
        <w:rPr>
          <w:rFonts w:ascii="SimSun" w:hAnsi="SimSun" w:eastAsia="SimSun" w:cs="SimSun"/>
          <w:color w:val="000000"/>
          <w:sz w:val="22"/>
        </w:rPr>
        <w:t xml:space="preserve">051482802820</w:t>
      </w:r>
      <w:r>
        <w:rPr>
          <w:rFonts w:ascii="SimSun" w:hAnsi="SimSun" w:eastAsia="SimSun" w:cs="SimSun"/>
          <w:color w:val="000000"/>
          <w:sz w:val="22"/>
        </w:rPr>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名称：南京金鼎工程造价评估有限责任公司扬州分公司</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地址：扬州市国展路29号（星耀天地商务中心）2幢9层903室</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br w:type="page" w:clear="all"/>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投标供应商须知</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1、招标方式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本次招标采取公开招标方式，本招标文件仅适用于本项目。</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2、投标供应商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本招标文件中“供应商”，即“投标供应商”，是指参加投标竞争，并符合招标文件规定资格条件的法人、其他组织或者自然人。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2.2合格的投标供应商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满足招标公告中供应商的资格条件要求的规定。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满足本文件实质性条款的规定。</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投标供应商应自行承担所有与参加投标有关的费用，无论投标过程中的做法和结果如何，代理机构在任何情况下均无义务和责任承担这些费用。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因本次采购预算中已包含代理服务费，故由中标供应商支付代理服务费。本次采购由中标供应商在领取中标通知书前根据《苏招协【2022】002号文》标准一次性支付给招标代理机构代理服务费。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专家评审费按扬财购【2020】40 号文《关于进一步规范扬州市政府采购专家评审费标准的通知》标准执行。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投标供应商一旦参加本项目采购活动，即被认为接受了本招标文件的规定和约束。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招标文件由以下部分组成：</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（2）投标供应商须知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（3）合同条款及格式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（4）项目需求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请仔细检查招标文件是否齐全，如有缺漏请立即与代理机构联系解决。</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招标文件如果要求供应商提交备选投标方案的，供应商可以提交备选方案；否则，备选方案将被拒绝。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任何要求对招标文件进行澄清的投标供应商，应在投标截止日期的十日前按招标公告中的通讯地址，以书面形式通知代理机构。</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8、招标文件的修改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在投标截止时间前，代理机构可以对招标文件进行修改。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8.2代理机构在招标文件要求提交投标文件截止时间前，有权按照法定要求推迟投标截止时间和开标时间。</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8.3招标文件的修改将在“中国政府采购网”、“江苏省政府采购网”、“扬州市政府采购网”公布，补充文件将作为招标文件的组成部分，并对投标供应商具有约束力。</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9、投标文件的语言、度量衡单位、货币</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9.1投标供应商提交的投标文件以及投标供应商与代理机构就有关投标的所有来往通知、函件和文件均应使用简体中文。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9.3投标供应商应使用人民币报价。</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10、投标文件构成</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10.1投标文件由以下部分组成</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（1）资格审查响应对照表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（2）符合性审查响应对照表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（3）非实质性响应对照表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（5）分项报价表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（6）技术参数响应及偏离表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（7）商务条款响应及偏离表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（8）其他 （投标供应商认为有必要提供的声明和文件，如有自拟并自行添加）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10.2投标供应商应当根据招标文件要求编制投标文件，投标文件应对招标文件提出的要求和条件作出响应，并在相应的投标文件中逐条标明满足与否。</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11、证明投标供应商资格及符合招标文件规定的文件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11.1投标供应商应按要求提交资格证明文件及符合招标文件规定的文件。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11.2投标供应商应提交证明其有资格参加投标和中标后有能力独立履行合同的文件。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11.3投标供应商除必须具有履行合同所需提供的产品或服务的能力外，还必须具备相应的财务、技术方面的能力。</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11.4投标供应商应提交根据合同要求提供的证明服务质量合格以及符合招标文件规定的证明文件。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11.5证明投标供应商所提供服务与招标文件的要求相一致的文件可以是手册、图纸、文字资料和数据。</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12、分项报价表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投标供应商应按照招标文件规定格式填报分项报价表，每项服务只允许有一个报价，任何有选择的报价将不予接受。</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标的物</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采购人需求的服务等。</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12.3有关费用处理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招标报价采用总承包方式，投标供应商的报价应包含为完成本项目所有服务内容所涉及的一切费用。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12.4其它费用处理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招标文件未列明，而投标供应商认为必需的费用也需列入报价。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12.5投标货币</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投标文件中的服务单价和总价无特殊规定的采用人民币报价，以元为单位标注。招标文件中另有规定的按规定执行。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13、技术参数响应及偏离表、商务条款响应及偏离表说明</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对招标文件中的技术与商务条款要求逐项作出响应或偏离，并说明原因；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投标供应商认为需要的其他技术文件或说明。</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14、服务承诺及服务机构、人员的情况介绍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14.1投标供应商的服务承诺应按不低于招标文件中商务要求的标准。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14.2提供投标供应商有关服务的管理制度、服务机构的分布情况、服务人员的数量、素质、技术水平及售后服务的反应能力。</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15、投标函和开标一览表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投标供应商应按照招标文件中提供的格式完整、正确填写投标函、开标一览表。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开标一览表中的价格应与投标文件中分项报价表中的价格一致，如不一致，不作为无效投标处理，但评标时按开标一览表中价格为准。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投标有效期为开标之日起六十（</w:t>
      </w:r>
      <w:r>
        <w:rPr>
          <w:rFonts w:ascii="SimSun" w:hAnsi="SimSun" w:eastAsia="SimSun" w:cs="SimSun"/>
          <w:b/>
          <w:color w:val="000000"/>
          <w:sz w:val="22"/>
        </w:rPr>
        <w:t xml:space="preserve">60</w:t>
      </w:r>
      <w:r>
        <w:rPr>
          <w:rFonts w:ascii="SimSun" w:hAnsi="SimSun" w:eastAsia="SimSun" w:cs="SimSun"/>
          <w:color w:val="000000"/>
          <w:sz w:val="22"/>
        </w:rPr>
        <w:t xml:space="preserve">）天。投标有效期比规定短的将被视为非响应性投标而予以拒绝。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在特殊情况下，代理机构于原投标有效期满之前，可向投标供应商提出延长投标有效期的要求。这种要求与答复均应采用书面形式。投标供应商可以拒绝代理机构的这一要求而放弃投标；同意延长投标有效期的投标供应商既不能要求也不允许修改其投标文件。本招标文件受投标有效期约束的所有权利与义务均延长至新的有效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17、投标文件的递交</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电子投标文件的递交投标供应商应当按照《操作手册》规定，在投标截止时间前制作并上传电子投标文件。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17.2政府采购管理交易系统（苏采云）相关要求是本招标文件的组成部分。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17.3投标供应商应对CA 证书妥善保管，如被他人盗用投标，因此带来的结果均由投标供应商自行承担。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17.4投标供应商应当对招标文件提出的要求和条件作出实质性响应，并在电子投标系统逐条应答。</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17.5投标供应商应对要求提供的资格证明文件（如资质证书、资格证书）、技术资料（如白皮书、彩页、手册、检测报告等）扫描上传至投标系统。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17.6投标供应商应当在招标文件要求提交投标文件的截止时间前，将投标文件提交至“苏采云”系统，逾期提交的投标文件，“苏采云”系统将自动拒收。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17.7各投标供应商应在规定时间内凭CA证书进行网上解密。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18、投标截止日期</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18.1 投标供应商上传电子投标文件的时间不得迟于招标公告中规定的投标截止时间。</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投标供应商应充分考虑到网络环境、网络带宽等风险因素，如因投标供应商自身原因造成的电子投标文件上传不成功由投标供应商自行承担全部责任。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代理机构可以按照规定，通过修改招标文件延长投标截止日期，在此情况下，投标供应商的所有权利和义务以及投标供应商受制的截止日期均应以延长后新的截止日期为准。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19、投标文件的拒收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19.1代理机构拒绝接收在其规定的投标截止时间后上传的任何投标文件。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20、投标文件的撤回和修改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投标供应商可在投标截止时间前，撤回其电子投标文件，具体操作方法见《操作手册》。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投标供应商撤回电子投标文件，则认为其不再参与本项目投标活动。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投标供应商可在投标截止时间前，对其电子投标文件进行修改，具体操作方法见《操作手册》。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在投标截止时间之后，投标供应商不得对其电子投标文件作任何修改。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在投标截止时间至招标文件中规定的投标有效期满之间的这段时间内，投标供应商不得撤回其投标。</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代理机构将在招标公告中规定的时间和地点组织公开开标。投标供应商应当按照《操作手册》规定，参加开标活动。投标供应商未参加开标的，视同认可开标结果。</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21.2开标仪式由代理机构组织。“政府采购管理交易系统（苏采云）”将自动对项目进行开标，并宣读各投标供应商的《开标一览表》。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21.3投标供应商在开标过程中涉及到的投标文件解密、开标结果确认等工作，应按照《操作手册》规定执行。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开标后，代理机构将立即组织评标委员会（以下简称评委会）进行评标。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评委会由采购人代表和有关技术、经济等方面的专家组成，且人员构成符合政府采购有关规定。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22.3评委会独立工作，负责评审所有投标文件并确定中标候选人。</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23、评标过程的保密与公正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23.1公开开标后，直至签订合同之日止，凡是与审查、澄清、评价和比较投标的有关资料以及授标建议等，采购人、评委、代理机构工作人员均不得向投标供应商或与评标无关的其他人员透露。</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23.2在评标过程中，投标供应商不得以任何行为影响评标过程，否则其投标文件将被作为无效投标文件。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在评标期间，代理机构将设专门工作人员与投标供应商联系。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代理机构和评委会不向未中标的投标供应商解释未中标原因，也不公布评标过程中的相关细节。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采用综合评分法的项目，未中标的投标供应商可于中标结果公告期限届满之日起通过“政府采购管理交易系统（苏采云）”查看自己的评审得分及排序情况。</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24、投标的澄清</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24.1评标期间，为有助于对投标文件的审查、评价和比较，评委会有权以电子函件形式要求投标供应商对其投标文件进行澄清，但并非对每个投标供应商都作澄清要求。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接到评委会澄清要求的投标供应商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 接到评委会澄清要求的投标供应商如未按规定做出澄清，其风险由投标供应商自行承担。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25、对投标文件的初审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25.1.1资格审查：依据法律法规和招标文件的规定，由采购人对投标文件中的资格证明文件进行审查。并将审查结论以书面形式向评委会反馈。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中国政府采购网”(www.ccgp.gov.cn)对投标供应商是否被列入失信被执行人、重大税收违法案件当事人名单、政府采购严重失信行为记录名单情况进行查询，以确定投标供应商是否具备投标资格。查询结果将以网页打印的形式留存并归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25.1.2符合性检查：依据招标文件的规定，由评委会从投标文件的有效性、完整性和对招标文件的响应程度进行审查，以确定是否对招标文件的实质性要求作出响应。</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投标供应商，代理机构将在“政府采购管理交易系统（苏采云）”中告知未通过资格审查或符合性审查的原因，评审结束后，代理机构将不再告知未通过资格审查或符合性审查的原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采购人）和见证方（代理机构）的权利或投标供应商的义务，纠正这些偏离或保留将会对其他实质性响应要求的投标供应商的竞争地位产生不公正的影响。是否属于重大偏离由评委会按照少数服从多数的原则作出结论。评委决定投标文件的响应性只根据投标文件本身的内容，而不寻求外部的证据。</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25.3如果投标文件实质上没有响应招标文件的要求，评委会将予以拒绝，投标供应商不得通过修改或撤销不合要求的偏离或保留而使其投标成为实质性响应的投标。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25.4评委会将对确定为实质性响应的投标进行进一步审核，看其是否有计算上或累加上的算术错误，修正错误的原则如下：</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（2）大写金额与小写金额不一致的，以大写金额为准。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评委会将按上述修正错误的方法调整投标文件中的投标报价，并通过“政府采购管理交易系统（苏采云）”告知投标供应商，调整后的价格应对投标供应商具有约束力。如果投标供应商不接受修正后的价格，则其投标将被拒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25.6评委会将允许修正投标文件中不构成重大偏离的、微小的、非正规的、不一致的或不规则的地方，但这些修改不能影响任何投标供应商相应的名次排列。</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采用最低评标价法的采购项目，提供相同品牌产品的不同投标供应商参加同一合同项下投标的，以其中通过资格审查、符合性审查且报价最低的参加评标；报价相同的，由评委会按照招标文件规定的方式确定，招标文件未规定的通过随机抽取的方式确定一个参加评标的投标供应商，其他投标无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评委会根据招标文件规定的方式确定，招标文件未规定的采取随机抽取的方式确定一个中标候选人，其他同品牌投标供应商不作为中标候选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非单一产品采购项目，招标文件中将载明其中的核心产品。多家投标供应商提供的核心产品品牌相同的，按前两款规定处理。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 投标供应商在开、评标全过程中应保持通讯畅通，并安排专人与代理机构及评委会联系。</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26、无效投标、废标及投标供应商不足三家的处理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26.1无效投标条款</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投标供应商未成功解密电子投标文件的。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投标供应商未按照招标文件要求上传电子投标文件的。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26.1.3投标供应商在报价时采用选择性报价的。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26.1.4投标供应商不具备招标文件中规定资格要求的。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26.1.5投标供应商的报价超过了采购预算或最高限价的。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26.1.7不符合招标文件中规定的其他实质性要求和条件的（</w:t>
      </w:r>
      <w:r>
        <w:rPr>
          <w:rFonts w:ascii="SimSun" w:hAnsi="SimSun" w:eastAsia="SimSun" w:cs="SimSun"/>
          <w:i/>
          <w:color w:val="000000"/>
          <w:sz w:val="22"/>
          <w:u w:val="single"/>
        </w:rPr>
        <w:t xml:space="preserve">本招标文件中斜体且有下划线部分为实质性要求和条件</w:t>
      </w:r>
      <w:r>
        <w:rPr>
          <w:rFonts w:ascii="SimSun" w:hAnsi="SimSun" w:eastAsia="SimSun" w:cs="SimSun"/>
          <w:color w:val="000000"/>
          <w:sz w:val="22"/>
        </w:rPr>
        <w:t xml:space="preserve">）。</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 投标供应商被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  投标文件含有采购人不能接受的附加条件的。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 评委会认为投标供应商的报价明显低于其他通过符合性审查投标供应商的报价，有可能影响产品质量或者不能诚信履约的，将通过“政府采购管理交易系统（苏采云）”要求其在合理的时间内提供说明，必要时提交相关证明材料；投标供应商不能证明其报价合理性的，评委会应当将其作为无效投标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 本项目采购产品被财政部、国家发改委、生态环境部等列入“节能产品品目清单”、“环境标志产品品目清单”强制采购范围，而投标供应商所投标产品不在强制采购范围内的。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 投标文件未按照招标文件要求加盖电子签章。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26.1.13其他法律、法规及本招标文件规定的属无效投标的情形。</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26.2废标条款：</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26.2.2出现影响采购公正的违法、违规行为的。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26.2.4评委会认定招标文件存在歧义、重大缺陷导致评审工作无法进行。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26.3.1如出现投标截止时间结束后参加投标的供应商或者在评标期间对招标文件做出实质性响应的供应商不足三家情况，按政府采购相关规定执行。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27、确定中标单位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27.1评委会根据本招标文件规定评标方法与评标标准向采购人推荐出中标候选人。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采购人应根据评委会推荐的中标候选人确定中标供应商。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27.3代理机构将在“中国政府采购网”、“江苏省政府采购网”、“扬州市政府采购网”发布中标公告，公告期限为1个工作日。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27.4若有充分证据证明，中标供应商出现下列情况之一的，一经查实，将被取消中标资格：</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27.4.2向采购人、代理机构行贿或者提供其他不正当利益的；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27.4.3恶意竞争，投标总报价明显低于其自身合理成本且又无法提供证明的；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27.4.4属于本文件规定的无效条件，但在评标过程中又未被评委会发现的；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27.4.5与采购人或者其他投标供应商恶意串通的；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27.4.6采取不正当手段诋毁、排挤其他供应商的；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27.4.7不符合法律、法规的规定的。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有下列情形之一的，视为投标供应商串通投标，投标无效：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27.5.1不同投标供应商的投标文件由同一单位或者个人编制。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27.5.2不同投标供应商委托同一单位或者个人办理投标事宜。</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 不同投标供应商的投标文件载明的项目管理成员或者联系人员为同一人。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27.5.4不同投标供应商的投标文件异常一致或者投标报价呈规律性差异。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27.5.5不同投标供应商的投标文件相互混装。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28、质疑处理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28.1提出质疑的供应商应当是参与所质疑项目采购活动的供应商。潜在供应商依法获取其可质疑的采购文件的，可以对采购文件提出质疑。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对项目需求部分的质疑，潜在供应商应向采购人提出，由采购人负责答复。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28.2投标供应商认为采购文件、采购过程和中标或成交结果使自己的权益受到损害的，可以在知道或应知其权益受到损害之日起7个工作日内，以书面形式向采购人或代理机构提出质疑。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28.2.1对采购文件提出质疑的，应当在获取采购文件之日或者采购文件公告期限届满之日起7个工作日内提出。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28.2.2对采购过程提出质疑的，应当在各采购程序环节结束之日起7个工作日内提出。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28.2.3对中标结果提出质疑的，应当在中标结果公告期限届满之日起7个工作日内提出。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代理机构及采购人只接收以纸质原件形式送达的质疑。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采购人质疑接收人及联系方式见招标文件第一章。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28.6代理机构收到质疑申请后，将对质疑的形式和内容进行审查，如质疑内容、格式不符合规定，代理机构将告知质疑人进行补正。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28.7质疑人应当在法定质疑期限内进行补正并重新提交质疑函。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 以下情形的质疑不予受理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28.8.1 内容不符合《政府采购质疑和投诉办法》第十二条规定的质疑。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28.8.2 超出政府采购法定期限的质疑。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28.8.3 以传真、电子邮件等方式递交的非原件形式的质疑。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28.8.4 未参加投标活动的供应商或在投标活动中自身权益未受到损害的供应商所提出的质疑。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28.8.5供应商组成联合体参加投标，联合体中任何一方或多方未按要求签字、盖章、加盖公章的质疑。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28.10代理机构应当在收到供应商的书面质疑后7个工作日内作出答复，并以书面形式通知质疑供应商和其他有关供应商，但答复的内容不得涉及商业秘密。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29、中标通知书</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 中标结果确定后，代理机构将向中标供应商发出中标通知书。</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中标供应商可在“政府采购管理交易系统（苏采云）”中标通知书下载模块中自行下载中标通知书。</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29.3中标通知书将是合同的一个组成部分。对采购人和中标供应商均具有法律效力。中标通知书发出后，采购人改变中标结果的，或者中标供应商放弃中标项目的，应当依法承担法律责任。</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30、签订合同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30.l中标供应商应在中标通知书发出之日起三十日内，按照招标文件确定的事项与采购人签订政府采购合同。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招标文件、中标供应商的投标文件及招标过程中有关澄清、承诺文件均应作为合同附件。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合同在“政府采购管理交易系统（苏采云）”中签订，签订合同后，</w:t>
      </w:r>
      <w:r>
        <w:rPr>
          <w:rFonts w:ascii="SimSun" w:hAnsi="SimSun" w:eastAsia="SimSun" w:cs="SimSun"/>
          <w:i/>
          <w:color w:val="000000"/>
          <w:sz w:val="22"/>
          <w:u w:val="single"/>
        </w:rPr>
        <w:t xml:space="preserve">中标供应商不得将货物或服务及其他服务进行转包</w:t>
      </w:r>
      <w:r>
        <w:rPr>
          <w:rFonts w:ascii="SimSun" w:hAnsi="SimSun" w:eastAsia="SimSun" w:cs="SimSun"/>
          <w:color w:val="000000"/>
          <w:sz w:val="22"/>
        </w:rPr>
        <w:t xml:space="preserve">。未经采购人同意，中标供应商也不得采用分包的形式履行合同，否则采购人有权终止合同。转包或分包造成采购人损失的，中标供应商应承担赔偿责任。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31、电子投标文件要求</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31.1政府采购管理交易系统（苏采云）相关要求是本招标文件的组成部分。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31.2投标供应商应对CA 证书妥善保管，如被他人盗用投标，因此带来的结果均由投标供应商自行承担。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31.3投标供应商应当对招标文件提出的要求和条件作出实质性响应，并在电子投标系统逐条应答。</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31.4投标供应商应对要求提供的资格证明文件（如资质证书、资格证书）、技术资料（如白皮书、彩页、手册、检测报告等）扫描上传至投标系统。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 提交投标文件的截止时间（投标截止时间）。</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32.1投标供应商应当在招标文件要求提交投标文件的截止时间前，将投标文件提交至“苏采云”系统，逾期提交的投标文件，“苏采云”系统将自动拒收。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32.2各投标供应商应在规定时间内凭CA证书进行网上解密。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33、其他</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33.1依据《政府采购促进中小企业发展管理办法》享受享受扶持政策获得政府采购合同的，小微企业不得将合同分包给大中型企业，中型企业不得将合同分包给大型企业。</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以下为成交后签订本项目合同的通用条款，中标供应商不得提出实质性的修改，关于专用条款将由采购人与中标供应商结合本项目具体情况协商后签订。</w:t>
      </w:r>
      <w:r/>
    </w:p>
    <w:p>
      <w:pPr>
        <w:ind w:left="0" w:right="0" w:firstLine="56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政府采购合同（服务）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项目名称：2027世界田联路跑锦标赛运营管理服务项目</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编号：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甲方（采购人/买方）：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乙方（供应商/卖方）：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根据《中华人民共和国政府采购法》、《中华人民共和国民法典》等法律法规的规定，甲乙双方按照本项目招标结果签订本合同。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一、服务及产品内容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项目（产品）名称：</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项目服务内容：</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本合同金额为（大写）：_______________________________元人民币（¥_____元）。</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三、技术资料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3.1乙方应按招标文件规定的时间向甲方提供使用服务或产品的有关技术资料。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四、知识产权</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五、产权保证</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5.1乙方保证所交付的服务或产品的所有权完全属于乙方且无任何抵押、查封等产权瑕疵。</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六、转包或分包</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本合同范围的服务或产品，应由乙方直接供应，不得转让他人供应。</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除非得到甲方的书面同意，乙方不得部分分包给他人供应。</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如有转让和未经甲方同意的分包行为，甲方有权给予终止合同。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七、合同履行期限</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7.1 合同履行期限：</w:t>
      </w:r>
      <w:r>
        <w:rPr>
          <w:rFonts w:ascii="SimSun" w:hAnsi="SimSun" w:eastAsia="SimSun" w:cs="SimSun"/>
          <w:color w:val="000000"/>
          <w:sz w:val="22"/>
        </w:rPr>
        <w:t xml:space="preserve">自合同签订之日起至赛事结束。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八、服务方式及服务地点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服务方式：</w:t>
      </w:r>
      <w:r>
        <w:rPr>
          <w:rFonts w:ascii="SimSun" w:hAnsi="SimSun" w:eastAsia="SimSun" w:cs="SimSun"/>
          <w:color w:val="000000"/>
          <w:sz w:val="22"/>
          <w:u w:val="single"/>
        </w:rPr>
        <w:t xml:space="preserve">按项目需求要求执行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服务地点：</w:t>
      </w:r>
      <w:r>
        <w:rPr>
          <w:rFonts w:ascii="SimSun" w:hAnsi="SimSun" w:eastAsia="SimSun" w:cs="SimSun"/>
          <w:color w:val="000000"/>
          <w:sz w:val="22"/>
          <w:u w:val="single"/>
        </w:rPr>
        <w:t xml:space="preserve">采购人指定地点</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九、款项支付</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本合同项下所有款项均以人民币支付。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本合同项下的采购资金由甲方支付，付款前乙方向甲方开具发票。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甲方付款方式：乙方应于赛事开始前三个月向甲方开具金额为合同金额30%的增值税专用发票，甲方自收到发票之日起十个工作日内向乙方支付相应的预付款项；赛前一个月，乙方应开具金额为合同金额40%的发票，甲方在收到发票后十个工作日内支付相应款项；赛事结束后十个工作日内，经甲方考核验收合格后，乙方开具剩余30%的发票，甲方在收到发票后十个工作日内支付余款。</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十、税费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10.1本合同执行中相关的一切税费均由乙方负担。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十一、质量保证及售后服务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11.1乙方应按招标文件规定的服务内容或产品性能、技术要求、质量标准向甲方提供对应服务。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11.2乙方提供的服务或产品在质量期内因服务及产品本身的质量问题发生故障，乙方应负责免费更换。对达不到技术要求者，根据实际情况，经双方协商，可按以下办法处理：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（1）更换：由乙方承担所发生的全部费用。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（2）贬值处理：由甲乙双方合议定价。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（3）退还处理：乙方应退还甲方支付的合同款，同时应承担该服务或产品的直接费用（运输、保险、检验、款项利息及银行手续费等）。</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 如在使用过程中发生质量问题，乙方须在接到甲方通知后第一时间到达甲方现场。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11.4在服务期内，乙方应对服务或产品出现的质量及安全问题负责，对问题进行处理解决并承担一切费用。</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十二、交付和验收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12.1乙方交付前应对服务或产品作出全面检查和对验收文件进行整理，并列出清单，作为甲方交付验收和使用的技术条件依据，检验的结果应随服务或产品交甲方。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对于乙方要交付的服务，甲乙双方需在五个工作日内验收，甲方对乙方提交的服务依据竞争性招标文件上的服务要求和国家有关质量标准进行验收。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 对技术复杂的服务内容，甲方可请国家认可的专业检测机构参与验收，并由其出具质量检测报告。验收时乙方必须在现场，验收完毕后作出验收结果报告；若聘请第三方中立机构验收，验收费用由甲乙双方协商解决。</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12.4服务在交付甲方前发生的风险均由乙方负责。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12.5甲乙双方关于验收的其他约定。</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十三、违约责任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13.1甲方无正当理由拒收服务或产品的，甲方向乙方偿付拒收款项总值的5%违约金。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13.2甲方无故逾期验收和办理款项支付手续的,甲方应按逾期付款总额每日0.05%向乙方支付违约金。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乙方逾期交付服务或产品的，乙方应按逾期交付总额每日0.6%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十四、不可抗力事件处理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在合同有效期内，任何一方因不可抗力事件导致不能履行合同，则合同履行期可延长，其延长期与不可抗力影响期相同。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不可抗力事件发生后，应立即通知对方，并寄送有关权威机构出具的证明。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不可抗力事件延续 120 天以上，双方应通过友好协商，确定是否继续履行合同。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十五、诉讼</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双方在执行合同中所发生的一切争议，应通过协商解决。如协商不成，可向合同签订地法院起诉，合同签订地在此约定为扬州市。</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十六、合同生效及其他</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16.1合同经双方法定代表人或授权代表签字并加盖单位公章，并经见证盖章后生效。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本合同未尽事宜，遵照《中华人民共和国民法典》有关条文执行。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16.3本合同正本一式陆份，具有同等法律效力，甲方、乙方各执贰份，见证方及财政监管部门各执壹份。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见证方：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项目经办人：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项目属性：服务类项目。</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世界田联路跑锦标赛</w:t>
      </w:r>
      <w:r>
        <w:rPr>
          <w:rFonts w:ascii="SimSun" w:hAnsi="SimSun" w:eastAsia="SimSun" w:cs="SimSun"/>
          <w:color w:val="000000"/>
          <w:sz w:val="22"/>
          <w:u w:val="none"/>
        </w:rPr>
        <w:t xml:space="preserve">是</w:t>
      </w:r>
      <w:r>
        <w:rPr>
          <w:rFonts w:ascii="SimSun" w:hAnsi="SimSun" w:eastAsia="SimSun" w:cs="SimSun"/>
          <w:color w:val="000000"/>
          <w:sz w:val="22"/>
        </w:rPr>
        <w:t xml:space="preserve">世界田联系列赛之一，也是世界田联最高规格的国际路跑赛事，2027年世界路跑锦标赛将在扬州举办，是扬州市承办的规格最高、水平最高、影响最大的国际体育赛事。比赛设半程马拉松（男子、女子）和5公里（男子、女子）两个项目，其中半程马拉松项目预计将有来自50余个国家和地区的约200名专业运动员参赛，5公里项目约50名专业运动员参赛，运动员、教练员、技术官员、世界田联工作人员、嘉宾等将近千名外籍人员参加此次赛事。</w:t>
      </w:r>
      <w:r/>
    </w:p>
    <w:p>
      <w:pPr>
        <w:ind w:left="0" w:right="0" w:firstLine="442"/>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服务需求：</w:t>
      </w:r>
      <w:r/>
    </w:p>
    <w:p>
      <w:pPr>
        <w:ind w:left="0" w:right="0" w:firstLine="440"/>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招标项目主要采购服务包括2027世界田联路跑锦标赛（以下简称：路跑世锦赛）的整体策划、竞赛组织、对外联络、媒体运行、宣传及直播、抵离服务、礼宾接待、运动队服务、注册制证、安全保障、医疗保障、志愿服务、赛事保险、后勤保障及综合保障、市场开发（含世界田联的商务权益授权费）以及协议内的其他工作，以上所有费用都含在投标价内，不足部分通过市场开发解决。</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一、赛事整体策划</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根据世界田联系列赛的标准，细化制定运营执行方案及各专项方案，报组委会审定后执行。</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（一）本文件提出的是最低限度的基本技术要求，并未对所有技术细节作出规定，中标供应商应提供符合本技术要求和世界田联系列赛标准的优质产品及服务；</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（二）中标供应商必须按照世界田联和中国田径协会的办赛要求，根据双方分工约定开展赛事运营工作；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中标供应商必须在赛前3个月配置不低于20人的工作团队，其中应包括本项目的主要负责人，以及竞赛、外联抵离、礼宾接待、注册制证、媒体运行、宣传推广、市场开发等相关板块的主要负责人，该工作团队需积极响应和配合采购人开展路跑世锦赛相关的筹备、调研、宣传、客服、品牌维护及推广活动等相关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（四）中标供应商充分预估本项目合同实施期间可能发生的一切费用及政策风险，并承担由此而带来的风险；</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中标供应商应确保安全生产，做好相关安全措施，对服务人员的人身安全、物资安全及周边环境的安全负有全责。在项目实施过程中出现由中标供应商原因造成的生产事故，由中标供应商承担一切责任。中标供应商所完成的搭建与布置项目在使用过程中出现重大责任事故，给组委会造成重大经济和声誉损失，中标供应商承担相应法律责任和经济损失，并负责消除不良影响，如组委会承担了任何责任，可向中标供应商全额追偿；</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（六）中标供应商不得将赛事核心版块（竞赛组织、赛事保障、医疗救援、志愿者组织管理）进行转包。</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二、竞赛组织</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（一）赛道规划</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中标供应商须按照世界田联路跑锦标赛的标准和要求规划比赛路线（包含半程马拉松和5公里两个项目），并协调、邀请和配合世界田联任命的丈量员开展赛道丈量工作，并承担相关差旅、接待等费用。</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（二）竞赛及技术官员服务 </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1.中标供应商须做好世界田联及国派技术官员、裁判员的对接、前期考察及赛时接待工作，并承担相关人员劳务费（世界田联派遣的裁判劳务由世界田联支付）和差旅费；</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2.中标供应商须协助组委会编制竞赛日程，编写并制作技术官员手册、秩序册，配置竞赛组织和管理工作所需要的通讯器材、办公用品、竞赛物资等；</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3.中标供应商须落实相关场地和设施，协助组织裁判员培训、裁判员会议和技术会议。</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（三）报名及运动队服务</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1.中标供应商须配合世界田联和组委会做好运动队报名及对接工作；编制并发放竞赛指南或参赛手册等相关出版物；</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2.中标供应商须配备人员协调管理酒店、餐饮及交通运行，做好运动队抵离、入住、交通、训练、参赛等服务工作。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（四）计时系统</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中标供应商须根据世界田联关于路跑世锦赛计时系统的相关要求，做好与技术服务商的对接，落实计时设备进出口报关、运输、安装、调试、成绩处理等相关工作。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（五）兴奋剂检测</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中标供应商须负责与世界田联及国家体育总局反兴奋剂中心沟通兴奋剂检测相关事项，按照路跑世锦赛的要求开展兴奋剂检测工作。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（六）体育展示及颁奖</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中标供应商须对接世界田联相关部门，拟定路跑世锦赛体育展示及颁奖工作方案，获得组委会及世界田联批准后，配备专业人员和设备，配合世界田联做好赛前联调、彩排和赛事运行工作。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三、起终点及赛道临建设施</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起终点及赛道临建设施必须按照世界田联关于路跑世锦赛的有关要求和标准执行。</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临建设施是指因为举办路跑世锦赛必须现场临时布置到位并在赛后拆除的各类器材设施和设备，包括但不限于各类功能（运动员及技术官员休息、更衣、检录、赛道补给、竞赛管理、体育展示、媒体运行、电视转播、新闻发布、兴奋剂检查、赛后理疗等）帐篷、篷房、安保围栏、路障、看台、拱门/立柱、隔离栏、临时厕所、安检设施、医疗设施、赛事指挥设施、家具白电、消防设施、标识指示等；</w:t>
      </w:r>
      <w:r/>
    </w:p>
    <w:p>
      <w:pPr>
        <w:ind w:left="0" w:right="0" w:firstLine="440"/>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（二）赛事所有临建设施，在比赛日前1个月将相关设计方案报组委会审定后执行；并须在赛后24小时内及时撤除。</w:t>
      </w:r>
      <w:r/>
    </w:p>
    <w:p>
      <w:pPr>
        <w:ind w:left="0" w:right="0" w:firstLine="440"/>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（三）赛道所有标识及搭建方案，须在比赛日之前1个月报组委会审定后执行，包括但不限于景观标识的制作种类、材料材质、安装部位、中英文标识和工作进度计划等；</w:t>
      </w:r>
      <w:r/>
    </w:p>
    <w:p>
      <w:pPr>
        <w:ind w:left="0" w:right="0" w:firstLine="440"/>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（四）赛道隔离：根据赛道实际情况及路跑世锦赛的要求，采取硬隔离加软隔离方式，确保赛道安全有序。（组委会有权根据安全保障的要求进行调整）； </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赛事临建设施须符合国家安全生产的各项标准，达到抗风7级，并在现场安装过程中依法规范操作，并对可能发生的安全生产事故承担全部责任。所有临建设施安装调试到位之后，中标供应商应当向采购人提交有资质的第三方机构出具的临建设施安全检测合格报告；</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四、赛事保险</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中标供应商须根据世界田联关于路跑世锦赛风险识别和管理的要求投保相应保险，在比赛日之前的3个月内将保险方案报组委会审定后执行，在比赛日之前完成投保工作，具体保险要求如下：</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（一）第三方责任险：投保“事故发生”保单，保险金额不低于750万美元，该保险应在赛事筹备、组织及拆除的整个期间有效。</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死亡、伤残、医疗援助及遣返保险：组委会在赛事期间为任何获得路跑世锦赛注册的参与者投保并维持适当的死亡、伤残、医疗援助及遣返保险，该保险应在赛前不少于五（5）天及赛后后不少于五（5）天有效，死亡或伤残的保险金额每人不得低于五万美元（50,000美元）。</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（三）财产损失及物品保险：该保险针对路跑世锦赛所使用的设备和产品在失窃、丢失或损坏时的风险，正式投保前将提供设备和产品的价值清单。</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（四）赛事取消、延期及中止保险：保险金额涵盖因赛事全部或部分取消、延期及/或中止（包括为避免取消而产生的额外费用）而导致的所有损失或损害、索赔、法律诉讼或裁决、费用及开支。</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（五）世界田联、电通、主转播商、组委会应被列为被保险人。</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五、外联礼宾工作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（一）中标供应商须配合组委会编制签证及抵离工作计划，落实入境口岸和抵离站点安排，配备专业人员和志愿者，设置规范设施，对接参赛人员，提供抵离服务；</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（二）中标供应商须配合组委会对接参赛人员，提供签证指导服务，并按照世界田联要求承担相关签证费用；</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（三）中标供应商须策划欢迎晚宴（200人规模）和赛后聚会（900人规模）方案，经组委会和世界田联批准后组织实施。</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六、媒体、电视转播及宣传</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（一）中标供应商须配合组委会和世界田联开展媒体注册，配合专业团队，提供媒体运行及服务工作；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（二）中标供应商须配合组委会和世界田联对接电视转播机构，落实电视转播工作需求，做好电视转播及相关转播商的服务工作；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（三）中标供应商须编制路跑世锦赛宣传工作方案，做好赛事宣传工作。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（四）中标供应商须配合组委会做好赛事LOGO、吉祥物及赛事主视觉的设计工作，完成延展设计、制作及相应的知识产权注册、保护工作。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七、市场开发</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（一）商务谈判</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中标供应商须配合组委会就路跑世锦赛的商务开发世界田联开展商务谈判，最大化获取商业权益。</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（二）市场开发</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中标供应商须根据组委会与世界田联商定的商务模式，编制市场开发方案，报组委会批准后组织实施，承担相关成本、费用，并享有市场开发的全部收益。</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（三）权益保护</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中标供应商须根据组委会与世界田联的要求及市场开发体系，开展世锦赛赞助企业的权益回报及保护工作，严格履行赞助承诺，维护赞助商权益。</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（四）特许经营</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中标供应商应根据世界田联的相关规范编制特许经营计划，经组委会和世界田联批准后组织实施，承担相关成本、费用，并享有全部收益。</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八、医疗保障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中标供应商须配合组委会按照路跑世锦赛的要求编制医疗保障运行计划，并配合组织实施。</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九、注册与安全保障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（一）中标供应商须配合组委会按照世界田联的要求编制注册运行计划，并配合组织实施，包括但限于设置注册中心、组织及培训相关人员等；</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（二）中标供应商应配合组委会编制安保运行方案，并配合组织实施。</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十、综合保障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（一）官方酒店与餐饮</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中标供应商须配合组委会按照世界田联及路跑世锦赛关于住宿和餐饮的要求，洽谈并落实赛事官方酒店，并承担相关人员的住宿及餐饮的预订与管理工作，相关费用按以下原则分类结算：</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1.组委会承担食宿费用的人员</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根据组委会和世界田联的约定，由组委会承担食宿的费用应包含在中标供应商的报价中，采购人不再另行支付，但采购人需协助运营单位获得酒店协议优惠价格。</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2.世界田联承担食宿费用的人员</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相关住宿及餐饮费用由世界田联承担，按照酒店协议价格结算，由采购人在赛后向中标供应商支付。</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3.自费人员</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由参赛人员自行承担的住宿及餐饮费用，中标供应商可通过世界田联管理系统直接向相关人员收取，食宿单价须事先得到采购人的批准。</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4.冲抵与结算</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自费人员食宿费用中高于酒店协议价格的部分，与世界田联应承担的食宿费用相互冲抵，多退少补；运营单位应在赛后向采购人提交结算明细，经双方确认后执行。</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（二）交通保障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中标供应商应根据路跑世锦赛的运行需求，编制交通运行保障方案，租赁足够数量的车辆（包括但不限于小车、商务车、中巴车、大巴等），配备相关管理、调度和驾驶人员，为赛事提供交通运行保障。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（三）信息技术保障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应配合组委会按照世界田联的要求编制赛事信息技术保障方案，开展技术论证，配合组委会按照国家相关法律、法规申请国际互联网接入；国际互联网接入相关信息技术保障费用由采购人承担，但中标供应商应配合组委会选定的供应商开展赛时实施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（四）电力保障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中标供应商应按照世界田联的要求编制电力保障方案，报组委会和世界田联批准后组织实施。</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（五）通关物流</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应配合组委会编制海关物流方案，配备专业人员或选聘专业服务商，开展赛事相关物资、设备的进出口报关、国内仓储运输等工作，并承担相关报关、关税（如有）、国内仓储物流等费用及暂时进出口保证金。</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（六）赛事可持续发展</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中标供应商应根据世界田联要求编制赛事可持续发展计划等相关方案，经组委会和世界田联批准后实施，须在赛后经世界田联评估达到ABW（田径让世界更美好）铜级标准。</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十一、志愿服务</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供应商应编制路跑世锦赛志愿服务运行计划，经组委会和世界田联批准后组织实施，包括但不限于招募、通用知识培训、外事及礼仪培训、专业培训、岗位培训、演练、管理和保障工作，采购人将对志愿者招募、培训和保障工作给予支持。</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十二、财务与经费</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（一）中标供应商应做好赛事筹备及运行过程中的经费收支记录，配合组委会赛后与世界田联的对账工作；</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（二）组委会与世界田联已约定直接收支的费用由组委会承担或收取，包括赛事奖金、电视转播费用、履约保证金等。</w:t>
      </w:r>
      <w:r/>
    </w:p>
    <w:p>
      <w:pPr>
        <w:ind w:left="0" w:right="0" w:firstLine="44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（三）除组委会与世界田联收支结算项目经费、组委会工作经费外，其他所有与赛事运营管理服务有关的费用由中标单位承担。</w:t>
      </w:r>
      <w:r/>
    </w:p>
    <w:p>
      <w:pPr>
        <w:ind w:left="0" w:right="0" w:firstLine="442"/>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注：世界田联相关标准及要求可在世界田联官方网站（https://worldathletics.org）查询下载。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十三、采购标的对应的中小企业划分标准所属行业一览表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2"/>
        <w:gridCol w:w="3546"/>
        <w:gridCol w:w="4070"/>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w:t>
            </w:r>
            <w:r>
              <w:rPr>
                <w:rFonts w:ascii="Arial" w:hAnsi="Arial" w:eastAsia="Arial" w:cs="Arial"/>
                <w:color w:val="000000"/>
                <w:sz w:val="22"/>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w:t>
            </w:r>
            <w:r>
              <w:rPr>
                <w:rFonts w:ascii="Arial" w:hAnsi="Arial" w:eastAsia="Arial" w:cs="Arial"/>
                <w:color w:val="000000"/>
                <w:sz w:val="22"/>
              </w:rPr>
              <w:t xml:space="preserve">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7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w:t>
            </w:r>
            <w:r>
              <w:rPr>
                <w:rFonts w:ascii="Arial" w:hAnsi="Arial" w:eastAsia="Arial" w:cs="Arial"/>
                <w:color w:val="000000"/>
                <w:sz w:val="22"/>
              </w:rPr>
              <w:t xml:space="preserve">应中小企业划分标准所属行业</w:t>
            </w:r>
            <w:r/>
          </w:p>
        </w:tc>
      </w:tr>
      <w:tr>
        <w:trPr>
          <w:trHeight w:val="10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6"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2027世界田联路跑锦标赛运营管理服务项目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w:t>
            </w:r>
            <w:r>
              <w:rPr>
                <w:rFonts w:ascii="Arial" w:hAnsi="Arial" w:eastAsia="Arial" w:cs="Arial"/>
                <w:color w:val="000000"/>
                <w:sz w:val="22"/>
              </w:rPr>
              <w:t xml:space="preserve">他未列明行业</w:t>
            </w:r>
            <w:r/>
          </w:p>
        </w:tc>
      </w:tr>
    </w:tbl>
    <w:p>
      <w:pPr>
        <w:ind w:left="0" w:right="0" w:firstLine="56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评标方法及评标标准</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（1）供应商需按照招标文件的要求提供相应的《中小企业声明函》。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（2）企业标准请参照《关于印发中小企业划型标准规定的通知》（工信部联企业[2011]300号）文件规定自行填写。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5、根据《江苏省政府采购信用管理暂行办法》的规定，供应商信用评价结果为三星的扣2分，评价结果为二星的扣3分，评价结果为一星的扣4分。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6、采购本国产品的支持政策</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2"/>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2"/>
        <w:gridCol w:w="1408"/>
        <w:gridCol w:w="6644"/>
      </w:tblGrid>
      <w:tr>
        <w:trPr>
          <w:trHeight w:val="3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  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  分  标  准</w:t>
            </w:r>
            <w:r/>
          </w:p>
        </w:tc>
      </w:tr>
      <w:tr>
        <w:trPr>
          <w:trHeight w:val="3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以满足招标文件要求的最低报价为基准价，得满分15分，其它报价得分＝（基准价/其它报价）×15×100％（保留两位有效小数）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12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赛事整体策划方案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赛事整体策划方案优于招标文件要求得5分；符合招标文件要求得3分；内容有所欠缺，可行性一般的得1分；未提供的不得分。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竞赛组织方案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竞赛组织方案优于招标文件要求得5分；符合招标文件要求得3分；内容有所欠缺，可行性一般的得1分；未提供的不得分。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起终点及赛道临建设施方案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起终点及赛道临建设施方案优于招标文件要求得5分；符合招标文件要求得3分；内容有所欠缺，可行性一般的得1分；未提供的不得分。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赛事保险方案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赛事保险方案优于招标文件要求得5分；符合招标文件要求得3分；内容有所欠缺，可行性一般的得1分；未提供的不得分。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外联礼宾工作方案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外联礼宾工作方案优于招标文件要求得5分；符合招标文件要求得3分；内容有所欠缺，可行性一般的得1分；未提供的不得分。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媒体、电视转播及宣传方案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媒体、电视转播及宣传方案优于招标文件要求得5分；符合招标文件要求得3分；内容有所欠缺，可行性一般的得1分；未提供的不得分。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市场开发方案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市场开发方案优于招标文件要求得5分；符合招标文件要求得3分；内容有所欠缺，可行性一般的得1分；未提供的不得分。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医疗保障方案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医疗保障方案优于招标文件要求得5分；符合招标文件要求得3分；内容有所欠缺，可行性一般的得1分；未提供的不得分。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注册与安全保障方案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注册与安全保障方案优于招标文件要求得5分；符合招标文件要求得3分；内容有所欠缺，可行性一般的得1分；未提供的不得分。</w:t>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综合保障方案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综合保障方案优于招标文件要求得5分；符合招标文件要求得3分；内容有所欠缺，可行性一般的得1分；未提供的不得分。</w:t>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志愿服务方案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志愿服务方案优于招标文件要求得5分；符合招标文件要求得3分；内容有所欠缺，可行性一般的得1分；未提供的不得分。</w:t>
            </w:r>
            <w:r/>
          </w:p>
        </w:tc>
      </w:tr>
      <w:tr>
        <w:trPr>
          <w:trHeight w:val="4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项目团队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根据投标人拟投入到本项目的团队成员进行评审：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1、投标人拟投入本项目团队成员中具有参加过中国田协马拉松学院竞赛组织管理培训且获得合格证书的人员每有1名得1分，满分3分；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2、投标人拟投入本项目团队成员中具有参加过中国田协马拉松学院媒体专题培训且获得合格证书的人员每有1名得1分，满分2分；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3、投标人拟投入本项目团队成员中具有参加过中国田协马拉松学院医疗专题培训且获得合格证书的人员每有1名得1分，满分2分；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4、投标人拟投入本项目团队成员中具有参加过世界田联组织的赛事急救医疗课程(REMC)的培训并获取该培训颁发的认证证书的人员每有1名得1分，满分2分。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5、投标人团队成员在从事路跑赛事工作经验达到10年及以上，每提供1人，得1分。本项最高得5分。</w:t>
            </w:r>
            <w:r>
              <w:rPr>
                <w:rFonts w:ascii="SimSun" w:hAnsi="SimSun" w:eastAsia="SimSun" w:cs="SimSun"/>
                <w:b/>
                <w:color w:val="000000"/>
                <w:sz w:val="22"/>
              </w:rPr>
              <w:t xml:space="preserve">（提供工作经验证明材料，原件扫描上传）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1.须提供相关人员证书、工作经验证明材料，同时提供供应商为相关人员近三个月中任意一月缴纳社保的证明材料，原件扫描上传；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2.同一人员获得多个证书的，不重复计分。</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根据投标人2020年1月1日以来（时间以赛事举办时间为准）运营赛事情况评分：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（1）运营过世界田联锦标赛级别赛事或世界田联白金标赛事的，得4分；运营过世界田联金标赛事的，得3分；运营过世界田联精英标牌赛事的，得2分；运营过世界田联标牌赛事的，得1分，本项满分4分。</w:t>
            </w:r>
            <w:r>
              <w:rPr>
                <w:rFonts w:ascii="SimSun" w:hAnsi="SimSun" w:eastAsia="SimSun" w:cs="SimSun"/>
                <w:b/>
                <w:color w:val="000000"/>
                <w:sz w:val="22"/>
              </w:rPr>
              <w:t xml:space="preserve">（以上内容以高分计，不累计计分，提供赛事整体运营协议及官方认可的赛事等级证书或证明资料，原件扫描上传）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运行的路跑赛事IP在综合社会效益、社会责任，品牌文化传播等方面，获得过重要奖项的，或者供应商在体育赛事运行方面取得成绩获得重要奖项的：获得过市级或省级重要奖项的，得1分；获得过国家级重要奖项的，得1.5分；获得过国际级重要奖项，得2分。本项最高得6分。（国际级、国家级、省市级奖项应由相应的国际组织、国家部委办局、单项协会、省市政府有关部门颁发。）</w:t>
            </w:r>
            <w:r>
              <w:rPr>
                <w:rFonts w:ascii="SimSun" w:hAnsi="SimSun" w:eastAsia="SimSun" w:cs="SimSun"/>
                <w:b/>
                <w:color w:val="000000"/>
                <w:sz w:val="22"/>
              </w:rPr>
              <w:t xml:space="preserve">（提供赛事整体运营协议及获奖证明，原件扫描上传）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2020年1月1日以来（时间以赛事举办时间为准）运营的路跑赛事中：实现地市级媒体直播的，每有一场得0.5分；实现省级媒体直播的，每有一场得1分；实现国家级媒体直播的，每有一场得2分；本项最高得6分，没有不得分。</w:t>
            </w:r>
            <w:r>
              <w:rPr>
                <w:rFonts w:ascii="SimSun" w:hAnsi="SimSun" w:eastAsia="SimSun" w:cs="SimSun"/>
                <w:b/>
                <w:color w:val="000000"/>
                <w:sz w:val="22"/>
              </w:rPr>
              <w:t xml:space="preserve">（提供赛事整体运营协议及直播协议，原件扫描上传）</w:t>
            </w:r>
            <w:r/>
          </w:p>
        </w:tc>
      </w:tr>
    </w:tbl>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1、评标时，未能按以上要求提供相应证明的，不作为评标依据，不得分。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3、评审委员会启动异常低价投标(响应)审查的情形和具体要求，包括：</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(一)评审过程中出现下列情形之一的，评审委员会应当启动异常低价投标(响应)审查程序：</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（1）投标(响应)报价低于采购项目预算 50%的，即投标(响应)报价&lt;采购项目预算*50%；</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（2）投标(响应)报价低于采购项目最高限价45%的，即投标(响应)报价&lt;采购项目最高限价*45%；</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（3）评审委员会认定的供应商报价过低、有可能影响产品质量或者不能诚信履约的其他情形。</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2"/>
        <w:ind w:left="0" w:right="0" w:firstLine="0"/>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880"/>
        <w:jc w:val="center"/>
        <w:spacing w:before="220" w:after="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投标供应商名称：</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643"/>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w:t>
      </w:r>
      <w:r>
        <w:rPr>
          <w:rFonts w:ascii="SimSun" w:hAnsi="SimSun" w:eastAsia="SimSun" w:cs="SimSun"/>
          <w:b/>
          <w:color w:val="000000"/>
          <w:sz w:val="36"/>
          <w:u w:val="single"/>
        </w:rPr>
        <w:t xml:space="preserve">         </w:t>
      </w:r>
      <w:r>
        <w:rPr>
          <w:rFonts w:ascii="SimSun" w:hAnsi="SimSun" w:eastAsia="SimSun" w:cs="SimSun"/>
          <w:b/>
          <w:color w:val="000000"/>
          <w:sz w:val="36"/>
        </w:rPr>
        <w:t xml:space="preserve">（电子签章）</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一、资格审查响应对照表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二、符合性审查响应对照表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三、非实质性响应对照表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w:t>
      </w:r>
      <w:r>
        <w:rPr>
          <w:rFonts w:ascii="SimSun" w:hAnsi="SimSun" w:eastAsia="SimSun" w:cs="SimSun"/>
          <w:i/>
          <w:color w:val="000000"/>
          <w:sz w:val="24"/>
          <w:u w:val="single"/>
        </w:rPr>
        <w:t xml:space="preserve">开标一览表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五、分项报价表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六、技术参数响应及偏离表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七、商务条款响应及偏离表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八、服务方案</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九、其他 （投标供应商认为有必要提供的声明和文件，如有自拟并自行添加）</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643"/>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一、资格审查响应对照表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4"/>
        <w:gridCol w:w="8038"/>
        <w:gridCol w:w="959"/>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562"/>
              <w:jc w:val="center"/>
              <w:spacing w:before="220" w:after="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资格审查响应内容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是否响应（填是或者否）</w:t>
            </w:r>
            <w:r/>
          </w:p>
        </w:tc>
      </w:tr>
      <w:tr>
        <w:trPr>
          <w:trHeight w:val="33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1" w:type="dxa"/>
            <w:vAlign w:val="center"/>
            <w:textDirection w:val="lrTb"/>
            <w:noWrap/>
          </w:tcPr>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通用资格条件</w:t>
            </w:r>
            <w:r/>
          </w:p>
        </w:tc>
      </w:tr>
      <w:tr>
        <w:trPr>
          <w:trHeight w:val="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法人或者其他组织的营业执照等证明文件，自然人的身份证明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依法缴纳职工社会保障资金的证明材料(税务、银行或社会保险基金管理部门出具的近三个月内任意一个月缴纳职工社会保障资金的缴款凭证或缴款证明)（投标供应商依法享受缓缴、免缴的提供证明材料）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投标供应商近三个月内任意一份依法纳税的缴款凭证（投标供应商依法享受缓缴、免缴的提供证明材料）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上一年度的财务报告情况（成立不满一年不需提供）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具备履行合同所必需的设备和专业技术能力的证明材料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参加本次政府采购活动前3年内在经营活动中没有重大违法记录的书面声明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供应商信用承诺函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1" w:type="dxa"/>
            <w:vAlign w:val="center"/>
            <w:textDirection w:val="lrTb"/>
            <w:noWrap/>
          </w:tcPr>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落实政府采购政策需满足的资格要求</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本项目专门面向中小企业采购。投标供应商投标时须提供《中小企业声明函》，《中小企业声明函》不符合要求或未提供的，</w:t>
            </w:r>
            <w:r>
              <w:rPr>
                <w:rFonts w:ascii="SimSun" w:hAnsi="SimSun" w:eastAsia="SimSun" w:cs="SimSun"/>
                <w:color w:val="000000"/>
                <w:sz w:val="22"/>
              </w:rPr>
              <w:t xml:space="preserve">投标文件</w:t>
            </w:r>
            <w:r>
              <w:rPr>
                <w:rFonts w:ascii="Arial" w:hAnsi="Arial" w:eastAsia="Arial" w:cs="Arial"/>
                <w:color w:val="000000"/>
                <w:sz w:val="22"/>
              </w:rPr>
              <w:t xml:space="preserve">无效。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1" w:type="dxa"/>
            <w:vAlign w:val="center"/>
            <w:textDirection w:val="lrTb"/>
            <w:noWrap/>
          </w:tcPr>
          <w:p>
            <w:pPr>
              <w:ind w:left="0" w:right="0" w:firstLine="562"/>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特定资格条件</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1" w:type="dxa"/>
            <w:vAlign w:val="center"/>
            <w:textDirection w:val="lrTb"/>
            <w:noWrap/>
          </w:tcPr>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其他资格条件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8" w:type="dxa"/>
            <w:vAlign w:val="center"/>
            <w:textDirection w:val="lrTb"/>
            <w:noWrap/>
          </w:tcPr>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具备履行合同所必需的设备和专业技术能力的书面声明</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我单位郑重声明：我单位具备履行本项采购合同所必需的设备和专业技术能力，为履行本项采购合同我公司具备如下主要设备和主要专业技术能力：</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2"/>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参加本次政府采购活动前3 年内在经营活动中没有重大违法记录的书面声明</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声明</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法定代表人签章：</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    日期：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2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供应商信用承诺书</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承诺主体名称：</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统一社会信用代码：</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一、对提供给注册登记部门、行业管理部门、司法部门、行业组织以及在政府采购活动中提交的所有资料的合法性、真实性、准确性和有效性负责；</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二、严格按照国家法律、法规和规章开展采购活动，全面履行应尽的责任和义务，全面做到履约守信，具备《中华人民共和国政府采购法》第二十二条第一款规定的条件;</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三、严格依法开展生产经营活动，主动接受行业监管，自愿接受依法开展的日常检查；违法失信经营后将自愿接受约束和惩戒，并依法承担相应责任；</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四、自觉接受行政管理部门、行业组织、社会公众、新闻舆论的监督；</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五、自觉做到自我约束、自我管理，不制假售假、商标侵权、虚假宣传、违约毁约、恶意逃债、偷税漏税、垄断和不正当竞争，维护经营者、消费者的合法权益；</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六、提出政府采购质疑和投诉坚持依法依规、诚实信用原则，在全国范围12个月内没有三次以上查无实据的政府采购投诉；</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七、严格遵守信用信息公示相关规定，向社会公示信用信息；</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八、在“信用中国”和“中国政府采购网”网站中无违法违规、较重或严重失信记录；</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十、本承诺书自签订之日起生效。</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（注：法定代表人或负责人、主体名称发生变更的应当重新做出承诺。）</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承诺单位（签章）：</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法定代表人（负责人）：</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    月   日</w:t>
      </w:r>
      <w:r/>
    </w:p>
    <w:p>
      <w:pPr>
        <w:ind w:left="0" w:right="0" w:firstLine="560"/>
        <w:jc w:val="center"/>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2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投标函格式</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致：扬州市体育局</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根据贵方的（）号招标文件，正式授权下述签字人_________________(姓名)代表我方______________（投标供应商的名称），全权处理本次项目投标的有关事宜。</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据此函，__________签字人（姓名）兹宣布同意如下：</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1.按招标文件规定的各项要求，向买方提供所需货物与服务。</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2.我们完全理解贵方不一定将合同授予最低报价的投标供应商。</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3.我们已详细审核全部招标文件及其有效补充文件，我们知道必须放弃提出含糊不清或误解问题的权利。</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5.同意向贵方提供贵方可能另外要求的与投标有关的任何证据或资料，并保证我方已提供和将要提供的文件是真实的、准确的。</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6.一旦我方中标,我方将根据招标文件的规定，严格履行合同的责任和义务,并保证在招标文件规定的时间完成项目，交付买方验收、使用。</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7.与本投标有关的正式通讯地址为：</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投标供应商开户行：</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账户：</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行号：</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日期：________年____月____日</w:t>
      </w:r>
      <w:r/>
    </w:p>
    <w:p>
      <w:pPr>
        <w:ind w:left="0" w:right="0" w:firstLine="64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法人授权书</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w:t>
      </w:r>
      <w:r>
        <w:rPr>
          <w:rFonts w:ascii="SimSun" w:hAnsi="SimSun" w:eastAsia="SimSun" w:cs="SimSun"/>
          <w:color w:val="000000"/>
          <w:sz w:val="21"/>
        </w:rPr>
        <w:t xml:space="preserve">________________</w:t>
      </w:r>
      <w:r>
        <w:rPr>
          <w:rFonts w:ascii="SimSun" w:hAnsi="SimSun" w:eastAsia="SimSun" w:cs="SimSun"/>
          <w:color w:val="000000"/>
          <w:sz w:val="22"/>
        </w:rPr>
        <w:t xml:space="preserve">（投标供应商名称）授权</w:t>
      </w:r>
      <w:r>
        <w:rPr>
          <w:rFonts w:ascii="SimSun" w:hAnsi="SimSun" w:eastAsia="SimSun" w:cs="SimSun"/>
          <w:color w:val="000000"/>
          <w:sz w:val="21"/>
        </w:rPr>
        <w:t xml:space="preserve">________________</w:t>
      </w:r>
      <w:r>
        <w:rPr>
          <w:rFonts w:ascii="SimSun" w:hAnsi="SimSun" w:eastAsia="SimSun" w:cs="SimSun"/>
          <w:color w:val="000000"/>
          <w:sz w:val="22"/>
        </w:rPr>
        <w:t xml:space="preserve">（被授权人的姓名）为我方就（项目编号）号（项目名称）项目采购活动的合法代理人，以本公司名义全权处理一切与该项目采购有关的事务。</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w:t>
      </w:r>
      <w:r>
        <w:rPr>
          <w:rFonts w:ascii="SimSun" w:hAnsi="SimSun" w:eastAsia="SimSun" w:cs="SimSun"/>
          <w:color w:val="000000"/>
          <w:sz w:val="21"/>
        </w:rPr>
        <w:t xml:space="preserve">______</w:t>
      </w:r>
      <w:r>
        <w:rPr>
          <w:rFonts w:ascii="SimSun" w:hAnsi="SimSun" w:eastAsia="SimSun" w:cs="SimSun"/>
          <w:color w:val="000000"/>
          <w:sz w:val="22"/>
        </w:rPr>
        <w:t xml:space="preserve">年</w:t>
      </w:r>
      <w:r>
        <w:rPr>
          <w:rFonts w:ascii="SimSun" w:hAnsi="SimSun" w:eastAsia="SimSun" w:cs="SimSun"/>
          <w:color w:val="000000"/>
          <w:sz w:val="21"/>
        </w:rPr>
        <w:t xml:space="preserve">____</w:t>
      </w:r>
      <w:r>
        <w:rPr>
          <w:rFonts w:ascii="SimSun" w:hAnsi="SimSun" w:eastAsia="SimSun" w:cs="SimSun"/>
          <w:color w:val="000000"/>
          <w:sz w:val="22"/>
        </w:rPr>
        <w:t xml:space="preserve">月</w:t>
      </w:r>
      <w:r>
        <w:rPr>
          <w:rFonts w:ascii="SimSun" w:hAnsi="SimSun" w:eastAsia="SimSun" w:cs="SimSun"/>
          <w:color w:val="000000"/>
          <w:sz w:val="21"/>
        </w:rPr>
        <w:t xml:space="preserve">____</w:t>
      </w:r>
      <w:r>
        <w:rPr>
          <w:rFonts w:ascii="SimSun" w:hAnsi="SimSun" w:eastAsia="SimSun" w:cs="SimSun"/>
          <w:color w:val="000000"/>
          <w:sz w:val="22"/>
        </w:rPr>
        <w:t xml:space="preserve">日起生效，特此声明。</w:t>
      </w:r>
      <w:r/>
    </w:p>
    <w:p>
      <w:pPr>
        <w:ind w:left="0" w:right="0" w:firstLine="42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被授权人姓名：</w:t>
      </w:r>
      <w:r>
        <w:rPr>
          <w:rFonts w:ascii="SimSun" w:hAnsi="SimSun" w:eastAsia="SimSun" w:cs="SimSun"/>
          <w:color w:val="000000"/>
          <w:sz w:val="21"/>
        </w:rPr>
        <w:t xml:space="preserve">_____________________</w:t>
      </w:r>
      <w:r>
        <w:rPr>
          <w:rFonts w:ascii="SimSun" w:hAnsi="SimSun" w:eastAsia="SimSun" w:cs="SimSun"/>
          <w:color w:val="000000"/>
          <w:sz w:val="22"/>
          <w:u w:val="single"/>
        </w:rPr>
        <w:t xml:space="preserve">         </w:t>
      </w:r>
      <w:r>
        <w:rPr>
          <w:rFonts w:ascii="SimSun" w:hAnsi="SimSun" w:eastAsia="SimSun" w:cs="SimSun"/>
          <w:color w:val="000000"/>
          <w:sz w:val="21"/>
        </w:rPr>
        <w:t xml:space="preserve">__     </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联系电话（手机）：</w:t>
      </w:r>
      <w:r>
        <w:rPr>
          <w:rFonts w:ascii="SimSun" w:hAnsi="SimSun" w:eastAsia="SimSun" w:cs="SimSun"/>
          <w:color w:val="000000"/>
          <w:sz w:val="21"/>
          <w:u w:val="single"/>
        </w:rPr>
        <w:t xml:space="preserve">                             </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w:t>
      </w:r>
      <w:r>
        <w:rPr>
          <w:rFonts w:ascii="SimSun" w:hAnsi="SimSun" w:eastAsia="SimSun" w:cs="SimSun"/>
          <w:color w:val="000000"/>
          <w:sz w:val="21"/>
        </w:rPr>
        <w:t xml:space="preserve">____________________________________</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rPr>
          <w:rFonts w:ascii="Times New Roman" w:hAnsi="Times New Roman" w:eastAsia="Times New Roman" w:cs="Times New Roman"/>
          <w:color w:val="000000"/>
          <w:sz w:val="21"/>
          <w:u w:val="single"/>
        </w:rPr>
        <w:t xml:space="preserve">                                         </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被授权人身份证复印件</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落实政府采购政策需满足的资格要求：</w:t>
      </w:r>
      <w:r/>
    </w:p>
    <w:p>
      <w:pPr>
        <w:ind w:left="0" w:right="0" w:firstLine="482"/>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采购活动，为符合相关政策要求的中小企业。企业的具体情况如下：</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（其他未列明行业）</w:t>
      </w:r>
      <w:r>
        <w:rPr>
          <w:rFonts w:ascii="SimSun" w:hAnsi="SimSun" w:eastAsia="SimSun" w:cs="SimSun"/>
          <w:color w:val="000000"/>
          <w:sz w:val="22"/>
        </w:rPr>
        <w:t xml:space="preserve">； 供应商企业为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，从业人员人，营业收入为</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 </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以上企业，不属于大企业的分支机构，不存在控股股东为大企业的情形，也不存在与大企业的负责人为同一人的情形。 </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 </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注：从业人员、营业收入、资产总额填报上一年度数据，无上一年度数据的新成立企业可不填报相应数据。</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42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420"/>
        <w:jc w:val="both"/>
        <w:spacing w:before="220" w:after="31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r>
      <w:r>
        <w:rPr>
          <w:rFonts w:ascii="Times New Roman" w:hAnsi="Times New Roman" w:eastAsia="Times New Roman" w:cs="Times New Roman"/>
          <w:color w:val="000000"/>
          <w:sz w:val="28"/>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241"/>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（产品名称1）</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color w:val="000000"/>
          <w:sz w:val="21"/>
          <w:u w:val="single"/>
        </w:rPr>
        <w:t xml:space="preserve">（厂名）</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，厂址为</w:t>
      </w:r>
      <w:r>
        <w:rPr>
          <w:rFonts w:ascii="SimSun" w:hAnsi="SimSun" w:eastAsia="SimSun" w:cs="SimSun"/>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strike/>
          <w:color w:val="000000"/>
          <w:sz w:val="21"/>
          <w:u w:val="single"/>
        </w:rPr>
        <w:t xml:space="preserve">（产品名称1）</w:t>
      </w:r>
      <w:r>
        <w:rPr>
          <w:rFonts w:ascii="SimSun" w:hAnsi="SimSun" w:eastAsia="SimSun" w:cs="SimSun"/>
          <w:color w:val="000000"/>
          <w:sz w:val="21"/>
          <w:u w:val="single"/>
        </w:rPr>
        <w:t xml:space="preserve"> </w:t>
      </w:r>
      <w:r>
        <w:rPr>
          <w:rFonts w:ascii="SimSun" w:hAnsi="SimSun" w:eastAsia="SimSun" w:cs="SimSun"/>
          <w:color w:val="000000"/>
          <w:sz w:val="21"/>
        </w:rPr>
        <w:t xml:space="preserve">的中国境内生产的组件成本占比≥</w:t>
      </w:r>
      <w:r>
        <w:rPr>
          <w:rFonts w:ascii="SimSun" w:hAnsi="SimSun" w:eastAsia="SimSun" w:cs="SimSun"/>
          <w:strike/>
          <w:color w:val="000000"/>
          <w:sz w:val="21"/>
          <w:u w:val="single"/>
        </w:rPr>
        <w:t xml:space="preserve">（规定比例）</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w:t>
      </w:r>
      <w:r>
        <w:rPr>
          <w:rFonts w:ascii="SimSun" w:hAnsi="SimSun" w:eastAsia="SimSun" w:cs="SimSun"/>
          <w:strike/>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strike/>
          <w:color w:val="000000"/>
          <w:sz w:val="21"/>
          <w:u w:val="single"/>
        </w:rPr>
        <w:t xml:space="preserve">（关键组件）</w:t>
      </w:r>
      <w:r>
        <w:rPr>
          <w:rFonts w:ascii="SimSun" w:hAnsi="SimSun" w:eastAsia="SimSun" w:cs="SimSun"/>
          <w:color w:val="000000"/>
          <w:sz w:val="21"/>
          <w:vertAlign w:val="superscript"/>
        </w:rPr>
        <w:t xml:space="preserve">4</w:t>
      </w:r>
      <w:r>
        <w:rPr>
          <w:rFonts w:ascii="SimSun" w:hAnsi="SimSun" w:eastAsia="SimSun" w:cs="SimSun"/>
          <w:color w:val="000000"/>
          <w:sz w:val="21"/>
        </w:rPr>
        <w:t xml:space="preserve">在中国境内生产。</w:t>
      </w:r>
      <w:r>
        <w:rPr>
          <w:rFonts w:ascii="SimSun" w:hAnsi="SimSun" w:eastAsia="SimSun" w:cs="SimSun"/>
          <w:strike/>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strike/>
          <w:color w:val="000000"/>
          <w:sz w:val="21"/>
          <w:u w:val="single"/>
        </w:rPr>
        <w:t xml:space="preserve">（关键工序）</w:t>
      </w:r>
      <w:r>
        <w:rPr>
          <w:rFonts w:ascii="SimSun" w:hAnsi="SimSun" w:eastAsia="SimSun" w:cs="SimSun"/>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8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strike/>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strike/>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strike/>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strike/>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strike/>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strike/>
          <w:color w:val="000000"/>
          <w:sz w:val="21"/>
          <w:u w:val="single"/>
        </w:rPr>
        <w:t xml:space="preserve">（关键工序）</w:t>
      </w:r>
      <w:r>
        <w:rPr>
          <w:rFonts w:ascii="SimSun" w:hAnsi="SimSun" w:eastAsia="SimSun" w:cs="SimSun"/>
          <w:color w:val="000000"/>
          <w:sz w:val="21"/>
        </w:rPr>
        <w:t xml:space="preserve">在中国境内完成。</w:t>
      </w:r>
      <w:r/>
    </w:p>
    <w:p>
      <w:pPr>
        <w:ind w:left="0" w:right="0" w:firstLine="48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48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240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p>
      <w:pPr>
        <w:ind w:left="0" w:right="0" w:firstLine="48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__________________</w:t>
      </w:r>
      <w:r/>
    </w:p>
    <w:p>
      <w:pPr>
        <w:ind w:left="0" w:right="0" w:firstLine="44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4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4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4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44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44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6.用横线划除的地方无需填写。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二、符合性审查响应对照表</w:t>
      </w:r>
      <w:r/>
    </w:p>
    <w:p>
      <w:pPr>
        <w:ind w:left="0" w:right="0" w:firstLine="64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6649"/>
        <w:gridCol w:w="1399"/>
        <w:gridCol w:w="799"/>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2"/>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是否响应</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响应情况</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采购需求中必须满足的实质性要求（即加斜体下划线内容，每条详细列出）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562"/>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562"/>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三、非实质性响应对照表</w:t>
      </w:r>
      <w:r/>
    </w:p>
    <w:p>
      <w:pPr>
        <w:ind w:left="0" w:right="0" w:firstLine="64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4970"/>
        <w:gridCol w:w="2045"/>
        <w:gridCol w:w="1389"/>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70"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非实质性响应内容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是否响应</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0"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5"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0"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5"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0"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5"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四、开标一览表</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405"/>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tcPr>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05" w:type="dxa"/>
            <w:vAlign w:val="center"/>
            <w:textDirection w:val="lrTb"/>
            <w:noWrap/>
          </w:tcPr>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w:t>
            </w:r>
            <w:r>
              <w:rPr>
                <w:rFonts w:ascii="Arial" w:hAnsi="Arial" w:eastAsia="Arial" w:cs="Arial"/>
                <w:color w:val="000000"/>
                <w:sz w:val="22"/>
              </w:rPr>
              <w:t xml:space="preserve">标总报价</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tcPr>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5" w:type="dxa"/>
            <w:vAlign w:val="center"/>
            <w:textDirection w:val="lrTb"/>
            <w:noWrap/>
          </w:tcPr>
          <w:p>
            <w:pPr>
              <w:ind w:left="0" w:right="0" w:firstLine="56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w:t>
            </w:r>
            <w:r>
              <w:rPr>
                <w:rFonts w:ascii="Arial" w:hAnsi="Arial" w:eastAsia="Arial" w:cs="Arial"/>
                <w:color w:val="000000"/>
                <w:sz w:val="22"/>
              </w:rPr>
              <w:t xml:space="preserve">写：</w:t>
            </w:r>
            <w:r/>
          </w:p>
          <w:p>
            <w:pPr>
              <w:ind w:left="0" w:right="0" w:firstLine="56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w:t>
            </w:r>
            <w:r>
              <w:rPr>
                <w:rFonts w:ascii="Arial" w:hAnsi="Arial" w:eastAsia="Arial" w:cs="Arial"/>
                <w:color w:val="000000"/>
                <w:sz w:val="22"/>
              </w:rPr>
              <w:t xml:space="preserve">写：                                   （人民币：元）</w:t>
            </w:r>
            <w:r/>
          </w:p>
          <w:p>
            <w:pPr>
              <w:ind w:left="0" w:right="0" w:firstLine="560"/>
              <w:spacing w:before="22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投标供应商全称（盖章）：</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64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240" w:after="240" w:line="253"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五、分项报价表</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1809"/>
        <w:gridCol w:w="1450"/>
        <w:gridCol w:w="1437"/>
        <w:gridCol w:w="1401"/>
        <w:gridCol w:w="1741"/>
      </w:tblGrid>
      <w:tr>
        <w:trP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圆整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1"/>
                <w:u w:val="single"/>
              </w:rPr>
              <w:t xml:space="preserve">           </w:t>
            </w:r>
            <w:r/>
          </w:p>
        </w:tc>
      </w:tr>
    </w:tbl>
    <w:p>
      <w:pPr>
        <w:ind w:left="0" w:right="0" w:firstLine="560"/>
        <w:jc w:val="center"/>
        <w:spacing w:before="220" w:after="312"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六、技术参数响应及偏离表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7"/>
        <w:gridCol w:w="2367"/>
        <w:gridCol w:w="2506"/>
        <w:gridCol w:w="2190"/>
        <w:gridCol w:w="1355"/>
      </w:tblGrid>
      <w:tr>
        <w:trPr>
          <w:trHeight w:val="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6"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注：1、按照基本技术要求详细填列。</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181" w:after="181"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七、商务条款响应及偏离表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9"/>
        <w:gridCol w:w="2041"/>
        <w:gridCol w:w="2419"/>
        <w:gridCol w:w="1133"/>
        <w:gridCol w:w="2773"/>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投标供应商的承诺或说明</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八、服务方案</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（供应商根据评分细则自行编制）</w:t>
      </w:r>
      <w:r/>
    </w:p>
    <w:p>
      <w:pPr>
        <w:ind w:left="0" w:right="0" w:firstLine="64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九、其他</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（投标供应商认为有必要提供的声明和文件，如有自拟并自行添加）</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主要标的信息（中标后将公示）</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投标供应商全称：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品牌（如有）：</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bl>
    <w:p>
      <w:pPr>
        <w:ind w:left="0" w:right="0" w:firstLine="48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56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DengXian">
    <w:panose1 w:val="02010600030101010101"/>
  </w:font>
  <w:font w:name="YouYuan">
    <w:panose1 w:val="02010509060101010101"/>
  </w:font>
  <w:font w:name="Microsoft YaHei">
    <w:panose1 w:val="020B0503020204020204"/>
  </w:font>
  <w:font w:name="Times New Roman">
    <w:panose1 w:val="020206030504050203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EF%BC%89/%E2%80%9C%E5%BC%80%E6%A0%87%E5%A4%A7%E5%8E%85/%E2%80%9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1</cp:revision>
  <dcterms:created xsi:type="dcterms:W3CDTF">2026-09-09T05:39:40Z</dcterms:created>
  <dcterms:modified xsi:type="dcterms:W3CDTF">2026-09-09T06:19:19Z</dcterms:modified>
</cp:coreProperties>
</file>