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20"/>
          <w:sz w:val="44"/>
        </w:rPr>
      </w:pPr>
      <w:r>
        <w:rPr>
          <w:rFonts w:hint="eastAsia" w:ascii="宋体" w:hAnsi="宋体" w:cs="宋体"/>
          <w:b/>
          <w:spacing w:val="20"/>
          <w:sz w:val="44"/>
        </w:rPr>
      </w:r>
      <w:r/>
    </w:p>
    <w:p>
      <w:pPr>
        <w:jc w:val="center"/>
        <w:rPr>
          <w:rFonts w:hint="eastAsia" w:ascii="宋体" w:hAnsi="宋体" w:cs="宋体"/>
          <w:b/>
          <w:sz w:val="100"/>
          <w:szCs w:val="100"/>
        </w:rPr>
      </w:pPr>
      <w:r>
        <w:rPr>
          <w:rFonts w:hint="eastAsia" w:ascii="宋体" w:hAnsi="宋体" w:cs="宋体"/>
          <w:b/>
          <w:bCs/>
          <w:sz w:val="36"/>
          <w:szCs w:val="36"/>
        </w:rPr>
        <w:t xml:space="preserve">启东市农业废弃物处理中心市场化运营服务项目</w:t>
      </w:r>
      <w:r>
        <w:rPr>
          <w:rFonts w:hint="eastAsia" w:ascii="宋体" w:hAnsi="宋体" w:cs="宋体"/>
          <w:b/>
          <w:sz w:val="100"/>
          <w:szCs w:val="100"/>
        </w:rPr>
        <w:t xml:space="preserve">政府采购磋商文件</w:t>
      </w:r>
      <w:r/>
    </w:p>
    <w:p>
      <w:pPr>
        <w:jc w:val="center"/>
        <w:keepNext/>
        <w:spacing w:line="500" w:lineRule="exact"/>
        <w:rPr>
          <w:rFonts w:hint="eastAsia" w:ascii="宋体" w:hAnsi="宋体" w:cs="宋体"/>
          <w:b/>
          <w:sz w:val="44"/>
          <w:szCs w:val="20"/>
        </w:rPr>
        <w:outlineLvl w:val="5"/>
      </w:pPr>
      <w:r>
        <w:rPr>
          <w:rFonts w:hint="eastAsia" w:ascii="宋体" w:hAnsi="宋体" w:cs="宋体"/>
          <w:b/>
          <w:sz w:val="44"/>
          <w:szCs w:val="20"/>
        </w:rPr>
      </w:r>
      <w:r/>
    </w:p>
    <w:p>
      <w:pPr>
        <w:jc w:val="center"/>
        <w:keepNext/>
        <w:spacing w:line="500" w:lineRule="exact"/>
        <w:rPr>
          <w:rFonts w:hint="eastAsia" w:ascii="宋体" w:hAnsi="宋体" w:cs="宋体"/>
          <w:b/>
          <w:sz w:val="36"/>
          <w:szCs w:val="36"/>
        </w:rPr>
        <w:outlineLvl w:val="5"/>
      </w:pPr>
      <w:r>
        <w:rPr>
          <w:rFonts w:hint="eastAsia" w:ascii="宋体" w:hAnsi="宋体" w:cs="宋体"/>
          <w:b/>
          <w:sz w:val="36"/>
          <w:szCs w:val="36"/>
        </w:rPr>
        <w:t xml:space="preserve">项目</w:t>
      </w:r>
      <w:r>
        <w:rPr>
          <w:rFonts w:hint="eastAsia" w:ascii="宋体" w:hAnsi="宋体" w:cs="宋体"/>
          <w:b/>
          <w:sz w:val="36"/>
          <w:szCs w:val="36"/>
          <w:highlight w:val="none"/>
        </w:rPr>
        <w:t xml:space="preserve">编号：JSZC-320681-SHXP-C2026-0005</w:t>
      </w:r>
      <w:r/>
    </w:p>
    <w:p>
      <w:pPr>
        <w:jc w:val="center"/>
        <w:spacing w:line="500" w:lineRule="exact"/>
        <w:rPr>
          <w:rFonts w:hint="eastAsia" w:ascii="宋体" w:hAnsi="宋体" w:cs="宋体"/>
          <w:b/>
          <w:sz w:val="36"/>
        </w:rPr>
      </w:pPr>
      <w:r>
        <w:rPr>
          <w:rFonts w:hint="eastAsia" w:ascii="宋体" w:hAnsi="宋体" w:cs="宋体"/>
          <w:b/>
          <w:sz w:val="36"/>
        </w:rPr>
      </w:r>
      <w:r/>
    </w:p>
    <w:p>
      <w:pPr>
        <w:pStyle w:val="976"/>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82"/>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782"/>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left="-2" w:right="120"/>
        <w:jc w:val="center"/>
        <w:spacing w:before="120" w:after="120" w:line="500" w:lineRule="exact"/>
        <w:rPr>
          <w:rFonts w:hint="eastAsia" w:ascii="宋体" w:hAnsi="宋体" w:cs="宋体"/>
          <w:b/>
          <w:spacing w:val="20"/>
          <w:sz w:val="44"/>
        </w:rPr>
      </w:pPr>
      <w:r>
        <w:rPr>
          <w:rFonts w:hint="eastAsia" w:ascii="宋体" w:hAnsi="宋体" w:cs="宋体"/>
          <w:b/>
          <w:spacing w:val="20"/>
          <w:sz w:val="44"/>
        </w:rPr>
        <w:t xml:space="preserve">启东市动物疫病预防控制中心</w:t>
      </w:r>
      <w:r/>
    </w:p>
    <w:p>
      <w:pPr>
        <w:ind w:left="-2" w:right="120"/>
        <w:jc w:val="center"/>
        <w:spacing w:before="120" w:after="120" w:line="500" w:lineRule="exact"/>
        <w:rPr>
          <w:rFonts w:hint="eastAsia" w:ascii="宋体" w:hAnsi="宋体" w:cs="宋体"/>
          <w:b/>
          <w:bCs/>
          <w:sz w:val="32"/>
        </w:rPr>
      </w:pPr>
      <w:r>
        <w:rPr>
          <w:rFonts w:hint="eastAsia" w:ascii="宋体" w:hAnsi="宋体" w:cs="宋体"/>
          <w:b/>
          <w:bCs/>
          <w:sz w:val="32"/>
        </w:rPr>
        <w:t xml:space="preserve">2026年</w:t>
      </w:r>
      <w:r>
        <w:rPr>
          <w:rFonts w:hint="eastAsia" w:ascii="宋体" w:hAnsi="宋体" w:cs="宋体"/>
          <w:b/>
          <w:bCs/>
          <w:sz w:val="32"/>
          <w:highlight w:val="none"/>
          <w:lang w:val="en-US" w:eastAsia="zh-CN"/>
        </w:rPr>
        <w:t xml:space="preserve">9</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30</w:t>
      </w:r>
      <w:r>
        <w:rPr>
          <w:rFonts w:hint="eastAsia" w:ascii="宋体" w:hAnsi="宋体" w:cs="宋体"/>
          <w:b/>
          <w:bCs/>
          <w:sz w:val="32"/>
          <w:highlight w:val="none"/>
        </w:rPr>
        <w:t xml:space="preserve">日</w:t>
      </w:r>
      <w:bookmarkStart w:id="112" w:name="_GoBack"/>
      <w:r/>
      <w:bookmarkEnd w:id="112"/>
      <w:r/>
      <w:r/>
    </w:p>
    <w:p>
      <w:pPr>
        <w:pStyle w:val="976"/>
        <w:rPr>
          <w:rFonts w:hint="eastAsia" w:ascii="宋体" w:hAnsi="宋体" w:cs="宋体"/>
        </w:rPr>
      </w:pPr>
      <w:r>
        <w:rPr>
          <w:rFonts w:hint="eastAsia" w:ascii="宋体" w:hAnsi="宋体" w:cs="宋体"/>
        </w:rPr>
      </w:r>
      <w:r/>
    </w:p>
    <w:p>
      <w:pPr>
        <w:ind w:left="-158"/>
        <w:spacing w:line="500" w:lineRule="exact"/>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jc w:val="left"/>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32"/>
          <w:szCs w:val="32"/>
        </w:rPr>
        <w:t xml:space="preserve">启东市紫薇中路578号</w:t>
      </w:r>
      <w:r>
        <w:rPr>
          <w:rFonts w:hint="eastAsia" w:ascii="宋体" w:hAnsi="宋体" w:cs="宋体"/>
          <w:bCs/>
          <w:sz w:val="32"/>
          <w:szCs w:val="32"/>
        </w:rPr>
        <w:t xml:space="preserve">         </w:t>
      </w:r>
      <w:r>
        <w:rPr>
          <w:rFonts w:hint="eastAsia" w:ascii="宋体" w:hAnsi="宋体" w:cs="宋体"/>
          <w:sz w:val="32"/>
          <w:szCs w:val="32"/>
        </w:rPr>
        <w:t xml:space="preserve">  </w:t>
      </w:r>
      <w:r>
        <w:rPr>
          <w:rFonts w:hint="eastAsia" w:ascii="宋体" w:hAnsi="宋体" w:cs="宋体"/>
          <w:b/>
          <w:sz w:val="32"/>
          <w:szCs w:val="32"/>
        </w:rPr>
        <w:t xml:space="preserve">邮政编码：</w:t>
      </w:r>
      <w:r>
        <w:rPr>
          <w:rFonts w:hint="eastAsia" w:ascii="宋体" w:hAnsi="宋体" w:cs="宋体"/>
          <w:sz w:val="32"/>
          <w:szCs w:val="32"/>
        </w:rPr>
        <w:t xml:space="preserve">226200        </w:t>
      </w:r>
      <w:r/>
    </w:p>
    <w:p>
      <w:pPr>
        <w:ind w:left="-158" w:right="-601"/>
        <w:rPr>
          <w:rFonts w:hint="eastAsia" w:ascii="宋体" w:hAnsi="宋体" w:cs="宋体"/>
          <w:b/>
          <w:sz w:val="32"/>
          <w:szCs w:val="32"/>
        </w:rPr>
      </w:pPr>
      <w:r>
        <w:rPr>
          <w:rFonts w:hint="eastAsia" w:ascii="宋体" w:hAnsi="宋体" w:cs="宋体"/>
          <w:b/>
          <w:sz w:val="32"/>
          <w:szCs w:val="32"/>
        </w:rPr>
        <w:t xml:space="preserve">江苏政府采购网</w:t>
      </w:r>
      <w:r/>
    </w:p>
    <w:p>
      <w:pPr>
        <w:ind w:right="-601"/>
        <w:spacing w:line="500" w:lineRule="exact"/>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360" w:lineRule="auto"/>
        <w:rPr>
          <w:rFonts w:hint="eastAsia" w:ascii="宋体" w:hAnsi="宋体" w:cs="宋体"/>
          <w:sz w:val="44"/>
          <w:szCs w:val="44"/>
          <w:lang w:val="zh-CN"/>
        </w:rPr>
      </w:pPr>
      <w:r>
        <w:rPr>
          <w:rFonts w:hint="eastAsia" w:ascii="宋体" w:hAnsi="宋体" w:cs="宋体"/>
          <w:sz w:val="44"/>
          <w:szCs w:val="44"/>
          <w:lang w:val="zh-CN"/>
        </w:rPr>
        <w:t xml:space="preserve">目 录</w:t>
      </w:r>
      <w:r/>
    </w:p>
    <w:p>
      <w:pPr>
        <w:ind w:firstLine="556"/>
        <w:spacing w:line="360" w:lineRule="auto"/>
        <w:rPr>
          <w:rFonts w:hint="eastAsia" w:ascii="宋体" w:hAnsi="宋体" w:cs="宋体"/>
          <w:sz w:val="32"/>
          <w:szCs w:val="32"/>
        </w:rPr>
      </w:pPr>
      <w:r>
        <w:rPr>
          <w:rFonts w:hint="eastAsia" w:ascii="宋体" w:hAnsi="宋体" w:cs="宋体"/>
          <w:sz w:val="32"/>
          <w:szCs w:val="32"/>
        </w:rPr>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第一部分  竞争性磋商公告</w:t>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第二部分  磋商须知</w:t>
      </w:r>
      <w:r/>
    </w:p>
    <w:p>
      <w:pPr>
        <w:ind w:firstLine="537"/>
        <w:spacing w:line="360" w:lineRule="auto"/>
        <w:rPr>
          <w:rFonts w:hint="eastAsia" w:ascii="宋体" w:hAnsi="宋体" w:cs="宋体"/>
          <w:sz w:val="32"/>
          <w:szCs w:val="32"/>
        </w:rPr>
      </w:pPr>
      <w:r>
        <w:rPr>
          <w:rFonts w:hint="eastAsia" w:ascii="宋体" w:hAnsi="宋体" w:cs="宋体"/>
          <w:sz w:val="32"/>
          <w:szCs w:val="32"/>
        </w:rPr>
        <w:t xml:space="preserve">第三部分  项目需求</w:t>
      </w:r>
      <w:r/>
    </w:p>
    <w:p>
      <w:pPr>
        <w:ind w:firstLine="537"/>
        <w:spacing w:line="360" w:lineRule="auto"/>
        <w:rPr>
          <w:rFonts w:hint="eastAsia" w:ascii="宋体" w:hAnsi="宋体" w:cs="宋体"/>
          <w:sz w:val="32"/>
          <w:szCs w:val="32"/>
        </w:rPr>
      </w:pPr>
      <w:r>
        <w:rPr>
          <w:rFonts w:hint="eastAsia" w:ascii="宋体" w:hAnsi="宋体" w:cs="宋体"/>
          <w:sz w:val="32"/>
          <w:szCs w:val="32"/>
        </w:rPr>
        <w:t xml:space="preserve">第四部分  评审方法和评审标准</w:t>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第五部分  响应文件格式</w:t>
      </w:r>
      <w:r/>
    </w:p>
    <w:p>
      <w:pPr>
        <w:spacing w:line="500" w:lineRule="exact"/>
        <w:tabs>
          <w:tab w:val="left" w:pos="7740" w:leader="none"/>
        </w:tabs>
        <w:rPr>
          <w:rFonts w:hint="eastAsia" w:ascii="宋体" w:hAnsi="宋体" w:cs="宋体"/>
          <w:bCs/>
          <w:sz w:val="32"/>
          <w:szCs w:val="32"/>
        </w:rPr>
      </w:pPr>
      <w:r>
        <w:rPr>
          <w:rFonts w:hint="eastAsia" w:ascii="宋体" w:hAnsi="宋体" w:cs="宋体"/>
          <w:bCs/>
          <w:sz w:val="32"/>
          <w:szCs w:val="32"/>
        </w:rPr>
      </w:r>
      <w:r/>
    </w:p>
    <w:p>
      <w:pPr>
        <w:spacing w:line="500" w:lineRule="exact"/>
        <w:tabs>
          <w:tab w:val="left" w:pos="7740" w:leader="none"/>
        </w:tabs>
        <w:rPr>
          <w:rFonts w:hint="eastAsia" w:ascii="宋体" w:hAnsi="宋体" w:cs="宋体"/>
          <w:bCs/>
          <w:sz w:val="32"/>
          <w:szCs w:val="32"/>
        </w:rPr>
      </w:pPr>
      <w:r>
        <w:rPr>
          <w:rFonts w:hint="eastAsia" w:ascii="宋体" w:hAnsi="宋体" w:cs="宋体"/>
          <w:bCs/>
          <w:sz w:val="32"/>
          <w:szCs w:val="32"/>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pStyle w:val="976"/>
        <w:rPr>
          <w:rFonts w:hint="eastAsia" w:ascii="宋体" w:hAnsi="宋体" w:cs="宋体"/>
          <w:b/>
          <w:bCs/>
          <w:sz w:val="36"/>
          <w:szCs w:val="36"/>
          <w:lang w:val="zh-CN"/>
        </w:rPr>
      </w:pPr>
      <w:r>
        <w:rPr>
          <w:rFonts w:hint="eastAsia" w:ascii="宋体" w:hAnsi="宋体" w:cs="宋体"/>
          <w:b/>
          <w:bCs/>
          <w:sz w:val="36"/>
          <w:szCs w:val="36"/>
          <w:lang w:val="zh-CN"/>
        </w:rPr>
      </w:r>
      <w:r/>
    </w:p>
    <w:p>
      <w:pPr>
        <w:rPr>
          <w:rFonts w:hint="eastAsia" w:ascii="宋体" w:hAnsi="宋体" w:cs="宋体"/>
          <w:lang w:val="zh-CN"/>
        </w:rPr>
      </w:pPr>
      <w:r>
        <w:rPr>
          <w:rFonts w:hint="eastAsia" w:ascii="宋体" w:hAnsi="宋体" w:cs="宋体"/>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pStyle w:val="976"/>
        <w:rPr>
          <w:rFonts w:hint="eastAsia" w:ascii="宋体" w:hAnsi="宋体" w:cs="宋体"/>
          <w:lang w:val="zh-CN"/>
        </w:rPr>
      </w:pPr>
      <w:r>
        <w:rPr>
          <w:rFonts w:hint="eastAsia" w:ascii="宋体" w:hAnsi="宋体" w:cs="宋体"/>
          <w:lang w:val="zh-CN"/>
        </w:rPr>
      </w:r>
      <w:r/>
    </w:p>
    <w:p>
      <w:pPr>
        <w:jc w:val="center"/>
        <w:spacing w:line="500" w:lineRule="exact"/>
        <w:rPr>
          <w:rFonts w:hint="eastAsia" w:ascii="宋体" w:hAnsi="宋体" w:cs="宋体"/>
          <w:sz w:val="36"/>
          <w:szCs w:val="36"/>
          <w:lang w:val="zh-CN"/>
        </w:rPr>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6"/>
          <w:szCs w:val="36"/>
          <w:lang w:val="zh-CN"/>
        </w:rPr>
      </w:r>
      <w:r/>
    </w:p>
    <w:p>
      <w:pPr>
        <w:jc w:val="center"/>
        <w:spacing w:line="500" w:lineRule="exact"/>
        <w:rPr>
          <w:rFonts w:hint="eastAsia" w:ascii="宋体" w:hAnsi="宋体" w:cs="宋体"/>
          <w:sz w:val="36"/>
          <w:szCs w:val="36"/>
        </w:rPr>
        <w:outlineLvl w:val="0"/>
      </w:pPr>
      <w:r>
        <w:rPr>
          <w:rFonts w:hint="eastAsia" w:ascii="宋体" w:hAnsi="宋体" w:cs="宋体"/>
          <w:sz w:val="36"/>
          <w:szCs w:val="36"/>
          <w:lang w:val="zh-CN"/>
        </w:rPr>
        <w:t xml:space="preserve">第一部分  竞争性磋商公告</w:t>
      </w:r>
      <w:r/>
    </w:p>
    <w:p>
      <w:pPr>
        <w:ind w:firstLine="536"/>
        <w:spacing w:line="460" w:lineRule="exact"/>
        <w:rPr>
          <w:rFonts w:hint="eastAsia" w:ascii="宋体" w:hAnsi="宋体" w:cs="宋体"/>
          <w:sz w:val="28"/>
          <w:szCs w:val="28"/>
        </w:rPr>
      </w:pPr>
      <w:r>
        <w:rPr>
          <w:rFonts w:hint="eastAsia" w:ascii="宋体" w:hAnsi="宋体" w:cs="宋体"/>
          <w:sz w:val="28"/>
          <w:szCs w:val="28"/>
        </w:rPr>
        <w:t xml:space="preserve">受启东市动物疫病预防控制中心的委托，就启东市农业废弃物处理中心市场化运营服务项目（项目</w:t>
      </w:r>
      <w:r>
        <w:rPr>
          <w:rFonts w:hint="eastAsia" w:ascii="宋体" w:hAnsi="宋体" w:cs="宋体"/>
          <w:sz w:val="28"/>
          <w:szCs w:val="28"/>
          <w:highlight w:val="none"/>
        </w:rPr>
        <w:t xml:space="preserve">编号：JSZC-320681-SHXP-C2026-0005）进行竞争性磋商</w:t>
      </w:r>
      <w:r>
        <w:rPr>
          <w:rFonts w:hint="eastAsia" w:ascii="宋体" w:hAnsi="宋体" w:cs="宋体"/>
          <w:sz w:val="28"/>
          <w:szCs w:val="28"/>
        </w:rPr>
        <w:t xml:space="preserve">采购，欢迎符合条件的供应商参加磋商。</w:t>
      </w:r>
      <w:r/>
    </w:p>
    <w:p>
      <w:pPr>
        <w:ind w:firstLine="505"/>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项目概况</w:t>
      </w:r>
      <w:r/>
    </w:p>
    <w:p>
      <w:pPr>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项目概况</w:t>
      </w:r>
      <w:r/>
    </w:p>
    <w:p>
      <w:pPr>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pacing w:val="-6"/>
          <w:sz w:val="28"/>
          <w:szCs w:val="28"/>
        </w:rPr>
        <w:t xml:space="preserve">启东市农业废弃物处理中心市场化运营服务项目</w:t>
      </w:r>
      <w:r>
        <w:rPr>
          <w:rFonts w:hint="eastAsia" w:ascii="宋体" w:hAnsi="宋体" w:cs="宋体"/>
          <w:sz w:val="28"/>
          <w:szCs w:val="28"/>
        </w:rPr>
        <w:t xml:space="preserve">的潜在供应商应在江苏政府采购网获取采购文件，并于2026年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14</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w:t>
      </w:r>
      <w:r>
        <w:rPr>
          <w:rFonts w:hint="eastAsia" w:ascii="宋体" w:hAnsi="宋体" w:cs="宋体"/>
          <w:sz w:val="28"/>
          <w:szCs w:val="28"/>
        </w:rPr>
        <w:t xml:space="preserve">（北京时间）前提交响应文件。</w:t>
      </w:r>
      <w:r/>
    </w:p>
    <w:p>
      <w:pPr>
        <w:ind w:firstLine="577"/>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一、项目基本情况</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项目编号：JSZC-320681-SHXP-C2026-0005</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项目名称：启东市农业废弃物处理中心市场化运营服务项目</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项目类型：服务</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所属行业：其他未列明行业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预算金额：人民币330万元</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最高限价：本项目采用优惠率报价，最高限价为优惠率100%（取费基数详见下表，中标优惠率固定不变）</w:t>
      </w:r>
      <w:r/>
    </w:p>
    <w:tbl>
      <w:tblPr>
        <w:tblStyle w:val="804"/>
        <w:tblW w:w="8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1"/>
        <w:gridCol w:w="2484"/>
        <w:gridCol w:w="3104"/>
      </w:tblGrid>
      <w:tr>
        <w:trPr>
          <w:jc w:val="center"/>
          <w:trHeight w:val="694"/>
        </w:trPr>
        <w:tc>
          <w:tcPr>
            <w:tcW w:w="2641"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2484"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3104"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r>
      <w:tr>
        <w:trPr>
          <w:jc w:val="center"/>
          <w:trHeight w:val="415"/>
        </w:trPr>
        <w:tc>
          <w:tcPr>
            <w:tcW w:w="2641" w:type="dxa"/>
            <w:vAlign w:val="center"/>
            <w:textDirection w:val="lrTb"/>
            <w:noWrap w:val="false"/>
          </w:tcPr>
          <w:p>
            <w:pPr>
              <w:jc w:val="center"/>
            </w:pPr>
            <w:r>
              <w:rPr>
                <w:rFonts w:hint="eastAsia"/>
              </w:rPr>
              <w:t xml:space="preserve">0-2万(含)</w:t>
            </w:r>
            <w:r/>
          </w:p>
        </w:tc>
        <w:tc>
          <w:tcPr>
            <w:tcW w:w="2484" w:type="dxa"/>
            <w:vAlign w:val="center"/>
            <w:textDirection w:val="lrTb"/>
            <w:noWrap w:val="false"/>
          </w:tcPr>
          <w:p>
            <w:pPr>
              <w:jc w:val="center"/>
            </w:pPr>
            <w:r>
              <w:rPr>
                <w:rFonts w:hint="eastAsia"/>
              </w:rPr>
              <w:t xml:space="preserve">45 元/头</w:t>
            </w:r>
            <w:r/>
          </w:p>
        </w:tc>
        <w:tc>
          <w:tcPr>
            <w:tcBorders>
              <w:right w:val="single" w:color="auto" w:sz="4" w:space="0"/>
            </w:tcBorders>
            <w:tcW w:w="3104" w:type="dxa"/>
            <w:vAlign w:val="center"/>
            <w:textDirection w:val="lrTb"/>
            <w:noWrap w:val="false"/>
          </w:tcPr>
          <w:p>
            <w:pPr>
              <w:jc w:val="center"/>
            </w:pPr>
            <w:r>
              <w:rPr>
                <w:rFonts w:hint="eastAsia"/>
              </w:rPr>
              <w:t xml:space="preserve">35 元/头</w:t>
            </w:r>
            <w:r/>
          </w:p>
        </w:tc>
      </w:tr>
      <w:tr>
        <w:trPr>
          <w:jc w:val="center"/>
          <w:trHeight w:val="415"/>
        </w:trPr>
        <w:tc>
          <w:tcPr>
            <w:tcW w:w="2641" w:type="dxa"/>
            <w:vAlign w:val="center"/>
            <w:textDirection w:val="lrTb"/>
            <w:noWrap w:val="false"/>
          </w:tcPr>
          <w:p>
            <w:pPr>
              <w:jc w:val="center"/>
            </w:pPr>
            <w:r>
              <w:rPr>
                <w:rFonts w:hint="eastAsia"/>
              </w:rPr>
              <w:t xml:space="preserve">2-4万(含)</w:t>
            </w:r>
            <w:r/>
          </w:p>
        </w:tc>
        <w:tc>
          <w:tcPr>
            <w:tcW w:w="2484" w:type="dxa"/>
            <w:vAlign w:val="center"/>
            <w:textDirection w:val="lrTb"/>
            <w:noWrap w:val="false"/>
          </w:tcPr>
          <w:p>
            <w:pPr>
              <w:jc w:val="center"/>
            </w:pPr>
            <w:r>
              <w:rPr>
                <w:rFonts w:hint="eastAsia"/>
              </w:rPr>
              <w:t xml:space="preserve">40 元/头</w:t>
            </w:r>
            <w:r/>
          </w:p>
        </w:tc>
        <w:tc>
          <w:tcPr>
            <w:tcBorders>
              <w:right w:val="single" w:color="auto" w:sz="4" w:space="0"/>
            </w:tcBorders>
            <w:tcW w:w="3104" w:type="dxa"/>
            <w:vAlign w:val="center"/>
            <w:textDirection w:val="lrTb"/>
            <w:noWrap w:val="false"/>
          </w:tcPr>
          <w:p>
            <w:pPr>
              <w:jc w:val="center"/>
            </w:pPr>
            <w:r>
              <w:rPr>
                <w:rFonts w:hint="eastAsia"/>
                <w:highlight w:val="none"/>
              </w:rPr>
              <w:t xml:space="preserve">3</w:t>
            </w:r>
            <w:r>
              <w:rPr>
                <w:rFonts w:hint="eastAsia"/>
                <w:highlight w:val="none"/>
                <w:lang w:val="en-US" w:eastAsia="zh-CN"/>
              </w:rPr>
              <w:t xml:space="preserve">1</w:t>
            </w:r>
            <w:r>
              <w:rPr>
                <w:rFonts w:hint="eastAsia"/>
                <w:highlight w:val="none"/>
              </w:rPr>
              <w:t xml:space="preserve"> 元/头</w:t>
            </w:r>
            <w:r/>
          </w:p>
        </w:tc>
      </w:tr>
      <w:tr>
        <w:trPr>
          <w:jc w:val="center"/>
          <w:trHeight w:val="415"/>
        </w:trPr>
        <w:tc>
          <w:tcPr>
            <w:tcW w:w="2641" w:type="dxa"/>
            <w:vAlign w:val="center"/>
            <w:textDirection w:val="lrTb"/>
            <w:noWrap w:val="false"/>
          </w:tcPr>
          <w:p>
            <w:pPr>
              <w:jc w:val="center"/>
            </w:pPr>
            <w:r>
              <w:rPr>
                <w:rFonts w:hint="eastAsia"/>
              </w:rPr>
              <w:t xml:space="preserve">4-6万(含)</w:t>
            </w:r>
            <w:r/>
          </w:p>
        </w:tc>
        <w:tc>
          <w:tcPr>
            <w:tcW w:w="2484" w:type="dxa"/>
            <w:vAlign w:val="center"/>
            <w:textDirection w:val="lrTb"/>
            <w:noWrap w:val="false"/>
          </w:tcPr>
          <w:p>
            <w:pPr>
              <w:jc w:val="center"/>
            </w:pPr>
            <w:r>
              <w:rPr>
                <w:rFonts w:hint="eastAsia"/>
              </w:rPr>
              <w:t xml:space="preserve">30 元/头</w:t>
            </w:r>
            <w:r/>
          </w:p>
        </w:tc>
        <w:tc>
          <w:tcPr>
            <w:tcBorders>
              <w:right w:val="single" w:color="auto" w:sz="4" w:space="0"/>
            </w:tcBorders>
            <w:tcW w:w="3104" w:type="dxa"/>
            <w:vAlign w:val="center"/>
            <w:textDirection w:val="lrTb"/>
            <w:noWrap w:val="false"/>
          </w:tcPr>
          <w:p>
            <w:pPr>
              <w:jc w:val="center"/>
            </w:pPr>
            <w:r>
              <w:rPr>
                <w:rFonts w:hint="eastAsia"/>
              </w:rPr>
              <w:t xml:space="preserve">23 元/头</w:t>
            </w:r>
            <w:r/>
          </w:p>
        </w:tc>
      </w:tr>
      <w:tr>
        <w:trPr>
          <w:jc w:val="center"/>
          <w:trHeight w:val="415"/>
        </w:trPr>
        <w:tc>
          <w:tcPr>
            <w:tcW w:w="2641" w:type="dxa"/>
            <w:vAlign w:val="center"/>
            <w:textDirection w:val="lrTb"/>
            <w:noWrap w:val="false"/>
          </w:tcPr>
          <w:p>
            <w:pPr>
              <w:jc w:val="center"/>
            </w:pPr>
            <w:r>
              <w:rPr>
                <w:rFonts w:hint="eastAsia"/>
              </w:rPr>
              <w:t xml:space="preserve">6万以上</w:t>
            </w:r>
            <w:r/>
          </w:p>
        </w:tc>
        <w:tc>
          <w:tcPr>
            <w:tcW w:w="2484" w:type="dxa"/>
            <w:vAlign w:val="center"/>
            <w:textDirection w:val="lrTb"/>
            <w:noWrap w:val="false"/>
          </w:tcPr>
          <w:p>
            <w:pPr>
              <w:jc w:val="center"/>
            </w:pPr>
            <w:r>
              <w:rPr>
                <w:rFonts w:hint="eastAsia"/>
              </w:rPr>
              <w:t xml:space="preserve">20 元/头</w:t>
            </w:r>
            <w:r/>
          </w:p>
        </w:tc>
        <w:tc>
          <w:tcPr>
            <w:tcBorders>
              <w:right w:val="single" w:color="auto" w:sz="4" w:space="0"/>
            </w:tcBorders>
            <w:tcW w:w="3104" w:type="dxa"/>
            <w:vAlign w:val="center"/>
            <w:textDirection w:val="lrTb"/>
            <w:noWrap w:val="false"/>
          </w:tcPr>
          <w:p>
            <w:pPr>
              <w:jc w:val="center"/>
            </w:pPr>
            <w:r>
              <w:rPr>
                <w:rFonts w:hint="eastAsia"/>
              </w:rPr>
              <w:t xml:space="preserve">15 元/头</w:t>
            </w:r>
            <w:r/>
          </w:p>
        </w:tc>
      </w:tr>
      <w:tr>
        <w:trPr>
          <w:jc w:val="center"/>
          <w:trHeight w:val="419"/>
        </w:trPr>
        <w:tc>
          <w:tcPr>
            <w:gridSpan w:val="3"/>
            <w:tcBorders>
              <w:right w:val="single" w:color="auto" w:sz="4" w:space="0"/>
            </w:tcBorders>
            <w:tcW w:w="8229" w:type="dxa"/>
            <w:vAlign w:val="center"/>
            <w:textDirection w:val="lrTb"/>
            <w:noWrap w:val="false"/>
          </w:tcPr>
          <w:p>
            <w:pPr>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pPr>
            <w:r>
              <w:rPr>
                <w:rFonts w:hint="eastAsia" w:ascii="宋体" w:hAnsi="宋体"/>
                <w:b/>
                <w:bCs/>
              </w:rPr>
              <w:t xml:space="preserve">②结算补贴价=补贴限价*（1-中标优惠率）</w:t>
            </w:r>
            <w:r/>
          </w:p>
        </w:tc>
      </w:tr>
    </w:tbl>
    <w:p>
      <w:pPr>
        <w:ind w:firstLine="560"/>
        <w:spacing w:line="460" w:lineRule="exact"/>
        <w:rPr>
          <w:rFonts w:hint="eastAsia" w:ascii="宋体" w:hAnsi="宋体" w:cs="宋体"/>
          <w:sz w:val="28"/>
          <w:szCs w:val="28"/>
        </w:rPr>
      </w:pPr>
      <w:r>
        <w:rPr>
          <w:rFonts w:hint="eastAsia" w:ascii="宋体" w:hAnsi="宋体" w:cs="宋体"/>
          <w:sz w:val="28"/>
          <w:szCs w:val="28"/>
        </w:rPr>
        <w:t xml:space="preserve">采购需求：详见磋商文件，请仔细研究。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合同履行期限：（详见磋商文件第三部分)</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本项目不接受联合体投标；</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本项目不接受分包。</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二、供应商的资格要求：</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三、获取采购文件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时间：自本公告发布之日起5个工作日</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地点：江苏政府采购网（网上注册登记成功后系统内免费下载）</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方式：本项目采用网上注册登记方式。</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1.潜在供应商访问电子招标响应交易平台的网络地址和方法：</w:t>
      </w:r>
      <w:r/>
    </w:p>
    <w:p>
      <w:pPr>
        <w:spacing w:line="460" w:lineRule="exact"/>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4.采购文件（后缀名为“.kedt”）、供应商操作指南及政府采购客户端工具可通过“苏采云”系统--已报名项目--报名详情页面内相应链接进行下载。</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5.采购代理机构（采购代理机构）将数据电文形式的采购文件加载至“苏采云”系统，供潜在供应商下载或者查阅。</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6.请潜在投标单位提前安装相应的控件（详见《江苏省政府采购管理交易系统（苏采云）供应商操作指南》）并使用谷歌浏览器登录“苏采云”系统参与不见面开评标。</w:t>
      </w:r>
      <w:r/>
    </w:p>
    <w:p>
      <w:pPr>
        <w:ind w:firstLine="560"/>
        <w:spacing w:line="460" w:lineRule="exact"/>
        <w:rPr>
          <w:rFonts w:hint="eastAsia" w:ascii="宋体" w:hAnsi="宋体" w:cs="宋体"/>
          <w:sz w:val="28"/>
          <w:szCs w:val="28"/>
        </w:rPr>
      </w:pPr>
      <w:r>
        <w:rPr>
          <w:rFonts w:hint="eastAsia" w:ascii="宋体" w:hAnsi="宋体" w:cs="宋体"/>
          <w:b/>
          <w:sz w:val="28"/>
          <w:szCs w:val="28"/>
        </w:rPr>
        <w:t xml:space="preserve">注：如潜在供应商未按上述要求操作，将自行承担所产生的风险。</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四、提交响应文件截止时间、磋商时间和地点</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14</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w:t>
      </w:r>
      <w:r>
        <w:rPr>
          <w:rFonts w:hint="eastAsia" w:ascii="宋体" w:hAnsi="宋体" w:cs="宋体"/>
          <w:sz w:val="28"/>
          <w:szCs w:val="28"/>
        </w:rPr>
        <w:t xml:space="preserve">（北京时间）</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逾时，交易系统将拒绝接受上传响应文件电子文档。</w:t>
      </w:r>
      <w:r/>
    </w:p>
    <w:p>
      <w:pPr>
        <w:ind w:firstLine="560"/>
        <w:spacing w:line="460" w:lineRule="exact"/>
        <w:rPr>
          <w:rFonts w:hint="eastAsia" w:ascii="宋体" w:hAnsi="宋体" w:cs="宋体"/>
          <w:sz w:val="28"/>
          <w:szCs w:val="28"/>
        </w:rPr>
      </w:pPr>
      <w:r>
        <w:rPr>
          <w:rFonts w:hint="eastAsia" w:ascii="宋体" w:hAnsi="宋体" w:cs="宋体"/>
          <w:b/>
          <w:bCs/>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pacing w:val="-6"/>
          <w:sz w:val="28"/>
          <w:szCs w:val="28"/>
        </w:rPr>
        <w:t xml:space="preserve">线上开标地点：“苏采云”系统（网址：http://jszfcg.jsczt.cn/）“开标大厅”。</w:t>
      </w:r>
      <w:r/>
    </w:p>
    <w:p>
      <w:pPr>
        <w:ind w:firstLine="560"/>
        <w:spacing w:line="460" w:lineRule="exact"/>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3、响应文件的解密：开标当天各供应商及时登录不见面开标大厅，响应文件递交截止时间后，采购人将在系统内公布响应</w:t>
      </w:r>
      <w:r>
        <w:rPr>
          <w:rFonts w:hint="eastAsia" w:ascii="宋体" w:hAnsi="宋体" w:cs="宋体"/>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五、公告期限</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自本公告发布之日起3个工作日。</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六、其他补充事宜</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1、投标保证金：免收。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2、项目磋商活动模式：不见面远程磋商模式，供应商在各自地点通过“苏采云”系统参加磋商活动。</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3、项目演示、样品、答辩等：无。</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八、凡对本次采购提出询问，请按以下方式联系。</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1.采购人信息</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名  称：启东市动物疫病预防控制中心　　　　　　　　　　　　</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地  址：启东市紫薇中路578号</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联系人：丁先生</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联系方式：0513-83312746</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2、采购代理机构</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名  称：上海祥浦建设工程监理咨询有限责任公司</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地  址：启东市汇龙镇江海中路579号建都大厦2#3F</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联系人：俞女士</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联系方式：0513-83721688</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3、软件技术支持</w:t>
      </w:r>
      <w:r/>
    </w:p>
    <w:p>
      <w:pPr>
        <w:ind w:firstLine="1120"/>
        <w:spacing w:line="460" w:lineRule="exact"/>
        <w:rPr>
          <w:rFonts w:hint="eastAsia" w:ascii="宋体" w:hAnsi="宋体" w:cs="宋体"/>
          <w:sz w:val="36"/>
          <w:szCs w:val="36"/>
          <w:lang w:val="zh-CN"/>
        </w:rPr>
      </w:pPr>
      <w:r>
        <w:rPr>
          <w:rFonts w:hint="eastAsia" w:ascii="宋体" w:hAnsi="宋体" w:cs="宋体"/>
          <w:sz w:val="28"/>
          <w:szCs w:val="28"/>
        </w:rPr>
        <w:t xml:space="preserve">交易系统软件维护人员：0519-86722801、0519-86722806。</w:t>
      </w:r>
      <w:r/>
    </w:p>
    <w:p>
      <w:pPr>
        <w:rPr>
          <w:rFonts w:hint="eastAsia" w:ascii="宋体" w:hAnsi="宋体" w:cs="宋体"/>
          <w:sz w:val="36"/>
          <w:szCs w:val="36"/>
          <w:lang w:val="zh-CN"/>
        </w:rPr>
      </w:pPr>
      <w:r>
        <w:rPr>
          <w:rFonts w:hint="eastAsia" w:ascii="宋体" w:hAnsi="宋体" w:cs="宋体"/>
          <w:sz w:val="36"/>
          <w:szCs w:val="36"/>
          <w:lang w:val="zh-CN"/>
        </w:rPr>
        <w:br w:type="page" w:clear="all"/>
      </w:r>
      <w:r/>
    </w:p>
    <w:p>
      <w:pPr>
        <w:jc w:val="center"/>
        <w:spacing w:line="500" w:lineRule="exact"/>
        <w:rPr>
          <w:rFonts w:hint="eastAsia" w:ascii="宋体" w:hAnsi="宋体" w:cs="宋体"/>
          <w:sz w:val="36"/>
          <w:szCs w:val="36"/>
          <w:lang w:val="zh-CN"/>
        </w:rPr>
      </w:pPr>
      <w:r>
        <w:rPr>
          <w:rFonts w:hint="eastAsia" w:ascii="宋体" w:hAnsi="宋体" w:cs="宋体"/>
          <w:sz w:val="36"/>
          <w:szCs w:val="36"/>
          <w:lang w:val="zh-CN"/>
        </w:rPr>
        <w:t xml:space="preserve">第二部分 磋商须知</w:t>
      </w:r>
      <w:r/>
    </w:p>
    <w:p>
      <w:pPr>
        <w:keepLines/>
        <w:keepNext/>
        <w:spacing w:line="500" w:lineRule="exact"/>
        <w:rPr>
          <w:rFonts w:hint="eastAsia" w:ascii="宋体" w:hAnsi="宋体" w:cs="宋体"/>
          <w:b/>
          <w:bCs/>
          <w:sz w:val="28"/>
          <w:szCs w:val="28"/>
        </w:rPr>
        <w:outlineLvl w:val="2"/>
      </w:pPr>
      <w:r/>
      <w:bookmarkStart w:id="0" w:name="_Toc16938519"/>
      <w:r/>
      <w:bookmarkStart w:id="1" w:name="_Toc513029203"/>
      <w:r/>
      <w:bookmarkStart w:id="2" w:name="_Toc20823275"/>
      <w:r/>
      <w:bookmarkStart w:id="3" w:name="_Toc120614214"/>
      <w:r>
        <w:rPr>
          <w:rFonts w:hint="eastAsia" w:ascii="宋体" w:hAnsi="宋体" w:cs="宋体"/>
          <w:b/>
          <w:bCs/>
          <w:sz w:val="28"/>
          <w:szCs w:val="28"/>
        </w:rPr>
        <w:t xml:space="preserve">一、总则</w:t>
      </w:r>
      <w:bookmarkEnd w:id="0"/>
      <w:r/>
      <w:bookmarkEnd w:id="1"/>
      <w:r/>
      <w:bookmarkEnd w:id="2"/>
      <w:r/>
      <w:bookmarkEnd w:id="3"/>
      <w:r/>
      <w:r/>
    </w:p>
    <w:p>
      <w:pPr>
        <w:keepNext/>
        <w:spacing w:line="500" w:lineRule="exact"/>
        <w:rPr>
          <w:rFonts w:hint="eastAsia" w:ascii="宋体" w:hAnsi="宋体" w:cs="宋体"/>
          <w:b/>
          <w:bCs/>
          <w:sz w:val="28"/>
          <w:szCs w:val="28"/>
        </w:rPr>
        <w:outlineLvl w:val="3"/>
      </w:pPr>
      <w:r/>
      <w:bookmarkStart w:id="4" w:name="_Hlt16619475"/>
      <w:r/>
      <w:bookmarkEnd w:id="4"/>
      <w:r/>
      <w:bookmarkStart w:id="5" w:name="_Toc458694821"/>
      <w:r/>
      <w:bookmarkStart w:id="6" w:name="_Toc20823276"/>
      <w:r/>
      <w:bookmarkStart w:id="7" w:name="_Toc513029204"/>
      <w:r/>
      <w:bookmarkStart w:id="8" w:name="_Toc16938520"/>
      <w:r>
        <w:rPr>
          <w:rFonts w:hint="eastAsia" w:ascii="宋体" w:hAnsi="宋体" w:cs="宋体"/>
          <w:sz w:val="28"/>
          <w:szCs w:val="28"/>
        </w:rPr>
        <w:t xml:space="preserve">1</w:t>
      </w:r>
      <w:bookmarkEnd w:id="5"/>
      <w:r>
        <w:rPr>
          <w:rFonts w:hint="eastAsia" w:ascii="宋体" w:hAnsi="宋体" w:cs="宋体"/>
          <w:sz w:val="28"/>
          <w:szCs w:val="28"/>
        </w:rPr>
        <w:t xml:space="preserve">.采购方式</w:t>
      </w:r>
      <w:bookmarkEnd w:id="6"/>
      <w:r/>
      <w:bookmarkEnd w:id="7"/>
      <w:r/>
      <w:bookmarkEnd w:id="8"/>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1.1 本次采取竞争性磋商方式，本磋商文件仅适用于磋商公告中所述项目。</w:t>
      </w:r>
      <w:r/>
    </w:p>
    <w:p>
      <w:pPr>
        <w:keepNext/>
        <w:spacing w:line="500" w:lineRule="exact"/>
        <w:rPr>
          <w:rFonts w:hint="eastAsia" w:ascii="宋体" w:hAnsi="宋体" w:cs="宋体"/>
          <w:b/>
          <w:bCs/>
          <w:sz w:val="28"/>
          <w:szCs w:val="28"/>
        </w:rPr>
        <w:outlineLvl w:val="3"/>
      </w:pPr>
      <w:r/>
      <w:bookmarkStart w:id="9" w:name="_Toc513029205"/>
      <w:r/>
      <w:bookmarkStart w:id="10" w:name="_Toc20823277"/>
      <w:r/>
      <w:bookmarkStart w:id="11" w:name="_Toc16938521"/>
      <w:r>
        <w:rPr>
          <w:rFonts w:hint="eastAsia" w:ascii="宋体" w:hAnsi="宋体" w:cs="宋体"/>
          <w:sz w:val="28"/>
          <w:szCs w:val="28"/>
        </w:rPr>
        <w:t xml:space="preserve">2.合格的</w:t>
      </w:r>
      <w:bookmarkEnd w:id="9"/>
      <w:r/>
      <w:bookmarkEnd w:id="10"/>
      <w:r/>
      <w:bookmarkEnd w:id="11"/>
      <w:r>
        <w:rPr>
          <w:rFonts w:hint="eastAsia" w:ascii="宋体" w:hAnsi="宋体" w:cs="宋体"/>
          <w:sz w:val="28"/>
          <w:szCs w:val="28"/>
        </w:rPr>
        <w:t xml:space="preserve">供应商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2.1满足磋商公告中供应商的资格要求的规定。</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 满足本文件实质性条款的规定。</w:t>
      </w:r>
      <w:r/>
    </w:p>
    <w:p>
      <w:pPr>
        <w:keepNext/>
        <w:spacing w:line="500" w:lineRule="exact"/>
        <w:rPr>
          <w:rFonts w:hint="eastAsia" w:ascii="宋体" w:hAnsi="宋体" w:cs="宋体"/>
          <w:b/>
          <w:bCs/>
          <w:sz w:val="28"/>
          <w:szCs w:val="28"/>
        </w:rPr>
        <w:outlineLvl w:val="3"/>
      </w:pPr>
      <w:r/>
      <w:bookmarkStart w:id="12" w:name="_Toc16938522"/>
      <w:r/>
      <w:bookmarkStart w:id="13" w:name="_Toc513029206"/>
      <w:r/>
      <w:bookmarkStart w:id="14" w:name="_Toc20823278"/>
      <w:r>
        <w:rPr>
          <w:rFonts w:hint="eastAsia" w:ascii="宋体" w:hAnsi="宋体" w:cs="宋体"/>
          <w:sz w:val="28"/>
          <w:szCs w:val="28"/>
        </w:rPr>
        <w:t xml:space="preserve">3.适用法律</w:t>
      </w:r>
      <w:bookmarkEnd w:id="12"/>
      <w:r/>
      <w:bookmarkEnd w:id="13"/>
      <w:r/>
      <w:bookmarkEnd w:id="14"/>
      <w:r/>
      <w:r/>
    </w:p>
    <w:p>
      <w:pPr>
        <w:ind w:firstLine="490"/>
        <w:spacing w:line="500" w:lineRule="exact"/>
        <w:rPr>
          <w:rFonts w:hint="eastAsia" w:ascii="宋体" w:hAnsi="宋体" w:cs="宋体"/>
          <w:sz w:val="28"/>
          <w:szCs w:val="28"/>
        </w:rPr>
      </w:pPr>
      <w:r>
        <w:rPr>
          <w:rFonts w:hint="eastAsia" w:ascii="宋体" w:hAnsi="宋体" w:cs="宋体"/>
          <w:sz w:val="28"/>
          <w:szCs w:val="28"/>
        </w:rPr>
        <w:t xml:space="preserve">3.1 本次采购及由此产生的合同受中华人民共和国有关的法律法规制约和保护。</w:t>
      </w:r>
      <w:r/>
    </w:p>
    <w:p>
      <w:pPr>
        <w:keepNext/>
        <w:spacing w:line="500" w:lineRule="exact"/>
        <w:rPr>
          <w:rFonts w:hint="eastAsia" w:ascii="宋体" w:hAnsi="宋体" w:cs="宋体"/>
          <w:b/>
          <w:bCs/>
          <w:sz w:val="28"/>
          <w:szCs w:val="28"/>
        </w:rPr>
        <w:outlineLvl w:val="3"/>
      </w:pPr>
      <w:r/>
      <w:bookmarkStart w:id="15" w:name="_Toc20823279"/>
      <w:r/>
      <w:bookmarkStart w:id="16" w:name="_Toc513029207"/>
      <w:r/>
      <w:bookmarkStart w:id="17" w:name="_Toc462564067"/>
      <w:r/>
      <w:bookmarkStart w:id="18" w:name="_Toc16938523"/>
      <w:r>
        <w:rPr>
          <w:rFonts w:hint="eastAsia" w:ascii="宋体" w:hAnsi="宋体" w:cs="宋体"/>
          <w:sz w:val="28"/>
          <w:szCs w:val="28"/>
        </w:rPr>
        <w:t xml:space="preserve">4.磋商费用</w:t>
      </w:r>
      <w:bookmarkEnd w:id="15"/>
      <w:r/>
      <w:bookmarkEnd w:id="16"/>
      <w:r/>
      <w:bookmarkEnd w:id="17"/>
      <w:r/>
      <w:bookmarkEnd w:id="18"/>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 供应商应自行承担所有与参加磋商有关的费用，无论磋商过程中的做法和结果如何，采购人在任何情况下均无义务和责任承担这些费用。</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4.2本次磋商采购人不收取标书工本费。</w:t>
      </w:r>
      <w:r/>
    </w:p>
    <w:p>
      <w:pPr>
        <w:keepNext/>
        <w:spacing w:line="500" w:lineRule="exact"/>
        <w:rPr>
          <w:rFonts w:hint="eastAsia" w:ascii="宋体" w:hAnsi="宋体" w:cs="宋体"/>
          <w:b/>
          <w:bCs/>
          <w:sz w:val="28"/>
          <w:szCs w:val="28"/>
        </w:rPr>
        <w:outlineLvl w:val="3"/>
      </w:pPr>
      <w:r>
        <w:rPr>
          <w:rFonts w:hint="eastAsia" w:ascii="宋体" w:hAnsi="宋体" w:cs="宋体"/>
          <w:sz w:val="28"/>
          <w:szCs w:val="28"/>
        </w:rPr>
        <w:t xml:space="preserve">5.磋商文件的约束力</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供应商一旦参加本项目采购活动，即被认为接受了本磋商文件的规定和约束。</w:t>
      </w:r>
      <w:r/>
    </w:p>
    <w:p>
      <w:pPr>
        <w:keepNext/>
        <w:spacing w:line="500" w:lineRule="exact"/>
        <w:rPr>
          <w:rFonts w:hint="eastAsia" w:ascii="宋体" w:hAnsi="宋体" w:cs="宋体"/>
          <w:sz w:val="28"/>
          <w:szCs w:val="28"/>
        </w:rPr>
        <w:outlineLvl w:val="3"/>
      </w:pPr>
      <w:r>
        <w:rPr>
          <w:rFonts w:hint="eastAsia" w:ascii="宋体" w:hAnsi="宋体" w:cs="宋体"/>
          <w:sz w:val="28"/>
          <w:szCs w:val="28"/>
        </w:rPr>
        <w:t xml:space="preserve">6.磋商文件的解释</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磋商文件需求部分（供应商资格要求、项目需求、商务技术评分标准）由采购人解释，其他部分由采购代理机构解释。</w:t>
      </w:r>
      <w:r/>
    </w:p>
    <w:p>
      <w:pPr>
        <w:keepLines/>
        <w:keepNext/>
        <w:spacing w:line="500" w:lineRule="exact"/>
        <w:rPr>
          <w:rFonts w:hint="eastAsia" w:ascii="宋体" w:hAnsi="宋体" w:cs="宋体"/>
          <w:b/>
          <w:bCs/>
          <w:sz w:val="28"/>
          <w:szCs w:val="28"/>
        </w:rPr>
        <w:outlineLvl w:val="2"/>
      </w:pPr>
      <w:r/>
      <w:bookmarkStart w:id="19" w:name="_Toc120614215"/>
      <w:r/>
      <w:bookmarkStart w:id="20" w:name="_Toc20823281"/>
      <w:r/>
      <w:bookmarkStart w:id="21" w:name="_Toc513029209"/>
      <w:r/>
      <w:bookmarkStart w:id="22" w:name="_Toc16938525"/>
      <w:r>
        <w:rPr>
          <w:rFonts w:hint="eastAsia" w:ascii="宋体" w:hAnsi="宋体" w:cs="宋体"/>
          <w:b/>
          <w:bCs/>
          <w:sz w:val="28"/>
          <w:szCs w:val="28"/>
        </w:rPr>
        <w:t xml:space="preserve">二、磋商文件</w:t>
      </w:r>
      <w:bookmarkEnd w:id="19"/>
      <w:r/>
      <w:bookmarkEnd w:id="20"/>
      <w:r/>
      <w:bookmarkEnd w:id="21"/>
      <w:r/>
      <w:bookmarkEnd w:id="22"/>
      <w:r/>
      <w:r/>
    </w:p>
    <w:p>
      <w:pPr>
        <w:keepNext/>
        <w:spacing w:line="500" w:lineRule="exact"/>
        <w:rPr>
          <w:rFonts w:hint="eastAsia" w:ascii="宋体" w:hAnsi="宋体" w:cs="宋体"/>
          <w:b/>
          <w:bCs/>
          <w:sz w:val="28"/>
          <w:szCs w:val="28"/>
        </w:rPr>
        <w:outlineLvl w:val="3"/>
      </w:pPr>
      <w:r/>
      <w:bookmarkStart w:id="23" w:name="_Toc20823282"/>
      <w:r/>
      <w:bookmarkStart w:id="24" w:name="_Toc513029210"/>
      <w:r/>
      <w:bookmarkStart w:id="25" w:name="_Toc16938526"/>
      <w:r>
        <w:rPr>
          <w:rFonts w:hint="eastAsia" w:ascii="宋体" w:hAnsi="宋体" w:cs="宋体"/>
          <w:sz w:val="28"/>
          <w:szCs w:val="28"/>
        </w:rPr>
        <w:t xml:space="preserve">1.磋商文件构成</w:t>
      </w:r>
      <w:bookmarkEnd w:id="23"/>
      <w:r/>
      <w:bookmarkEnd w:id="24"/>
      <w:r/>
      <w:bookmarkEnd w:id="25"/>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磋商文件由以下部分组成：</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（1）采购邀请</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（2）磋商须知</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（3）项目需求</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（4）评审方法和评审标准</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（5）响应文件格式</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（6）附件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请仔细检查磋商文件是否齐全，如有缺漏请立即与采购代理机构联系解决。</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hint="eastAsia" w:ascii="宋体" w:hAnsi="宋体" w:cs="宋体"/>
          <w:b/>
          <w:bCs/>
          <w:sz w:val="28"/>
          <w:szCs w:val="28"/>
        </w:rPr>
        <w:outlineLvl w:val="3"/>
      </w:pPr>
      <w:r/>
      <w:bookmarkStart w:id="26" w:name="_Toc20823283"/>
      <w:r/>
      <w:bookmarkStart w:id="27" w:name="_Toc462564070"/>
      <w:r/>
      <w:bookmarkStart w:id="28" w:name="_Toc16938527"/>
      <w:r/>
      <w:bookmarkStart w:id="29" w:name="_Toc513029211"/>
      <w:r>
        <w:rPr>
          <w:rFonts w:hint="eastAsia" w:ascii="宋体" w:hAnsi="宋体" w:cs="宋体"/>
          <w:sz w:val="28"/>
          <w:szCs w:val="28"/>
        </w:rPr>
        <w:t xml:space="preserve">2.磋商文件的澄清</w:t>
      </w:r>
      <w:bookmarkEnd w:id="26"/>
      <w:r/>
      <w:bookmarkEnd w:id="27"/>
      <w:r/>
      <w:bookmarkEnd w:id="28"/>
      <w:r/>
      <w:bookmarkEnd w:id="29"/>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2.2采购人视情组织答疑会</w:t>
      </w:r>
      <w:r/>
    </w:p>
    <w:p>
      <w:pPr>
        <w:keepNext/>
        <w:spacing w:line="500" w:lineRule="exact"/>
        <w:rPr>
          <w:rFonts w:hint="eastAsia" w:ascii="宋体" w:hAnsi="宋体" w:cs="宋体"/>
          <w:b/>
          <w:bCs/>
          <w:sz w:val="28"/>
          <w:szCs w:val="28"/>
        </w:rPr>
        <w:outlineLvl w:val="3"/>
      </w:pPr>
      <w:r/>
      <w:bookmarkStart w:id="30" w:name="_Toc20823284"/>
      <w:r/>
      <w:bookmarkStart w:id="31" w:name="_Toc513029212"/>
      <w:r/>
      <w:bookmarkStart w:id="32" w:name="_Toc462564071"/>
      <w:r/>
      <w:bookmarkStart w:id="33" w:name="_Toc16938528"/>
      <w:r>
        <w:rPr>
          <w:rFonts w:hint="eastAsia" w:ascii="宋体" w:hAnsi="宋体" w:cs="宋体"/>
          <w:sz w:val="28"/>
          <w:szCs w:val="28"/>
        </w:rPr>
        <w:t xml:space="preserve">3.磋商文件的修改</w:t>
      </w:r>
      <w:bookmarkEnd w:id="30"/>
      <w:r/>
      <w:bookmarkEnd w:id="31"/>
      <w:r/>
      <w:bookmarkEnd w:id="32"/>
      <w:r/>
      <w:bookmarkEnd w:id="33"/>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3.1</w:t>
      </w:r>
      <w:r>
        <w:rPr>
          <w:rFonts w:hint="eastAsia" w:ascii="宋体" w:hAnsi="宋体" w:cs="宋体"/>
          <w:sz w:val="28"/>
          <w:szCs w:val="28"/>
        </w:rPr>
        <w:t xml:space="preserve"> 在响应文件提交截止时间前，采购人、采购代理机构可以对磋商文件进行修改。</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 xml:space="preserve">采购人、采购代理机构有权按照法定的要求推迟响应文件提交截止日期和磋商日期。</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 xml:space="preserve">磋商文件的修改将在江苏政府采购网公布，补充文件将作为磋商文件的组成部分，并对供应商具有约束力。</w:t>
      </w:r>
      <w:r/>
    </w:p>
    <w:p>
      <w:pPr>
        <w:keepLines/>
        <w:keepNext/>
        <w:spacing w:line="500" w:lineRule="exact"/>
        <w:rPr>
          <w:rFonts w:hint="eastAsia" w:ascii="宋体" w:hAnsi="宋体" w:cs="宋体"/>
          <w:b/>
          <w:bCs/>
          <w:sz w:val="28"/>
          <w:szCs w:val="28"/>
        </w:rPr>
        <w:outlineLvl w:val="2"/>
      </w:pPr>
      <w:r/>
      <w:bookmarkStart w:id="34" w:name="_Toc120614216"/>
      <w:r/>
      <w:bookmarkStart w:id="35" w:name="_Toc462564072"/>
      <w:r/>
      <w:bookmarkStart w:id="36" w:name="_Toc16938529"/>
      <w:r/>
      <w:bookmarkStart w:id="37" w:name="_Toc513029213"/>
      <w:r/>
      <w:bookmarkStart w:id="38" w:name="_Toc20823285"/>
      <w:r>
        <w:rPr>
          <w:rFonts w:hint="eastAsia" w:ascii="宋体" w:hAnsi="宋体" w:cs="宋体"/>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宋体" w:hAnsi="宋体" w:cs="宋体"/>
          <w:bCs/>
          <w:sz w:val="28"/>
          <w:szCs w:val="28"/>
        </w:rPr>
        <w:outlineLvl w:val="3"/>
      </w:pPr>
      <w:r/>
      <w:bookmarkStart w:id="39" w:name="_Toc513029214"/>
      <w:r/>
      <w:bookmarkStart w:id="40" w:name="_Toc16938530"/>
      <w:r/>
      <w:bookmarkStart w:id="41" w:name="_Toc462564073"/>
      <w:r/>
      <w:bookmarkStart w:id="42" w:name="_Toc20823286"/>
      <w:r>
        <w:rPr>
          <w:rFonts w:hint="eastAsia" w:ascii="宋体" w:hAnsi="宋体" w:cs="宋体"/>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供应商提交的响应文件以及供应商与采购人及采购代理机构就有关磋商的所有来往通知、函件和文件均应使用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除技术性能另有规定外，响应文件所使用的度量衡单位，均须采用国家法定计量单位。</w:t>
      </w:r>
      <w:r/>
    </w:p>
    <w:p>
      <w:pPr>
        <w:keepNext/>
        <w:spacing w:line="500" w:lineRule="exact"/>
        <w:rPr>
          <w:rFonts w:hint="eastAsia" w:ascii="宋体" w:hAnsi="宋体" w:cs="宋体"/>
          <w:b/>
          <w:bCs/>
          <w:sz w:val="28"/>
          <w:szCs w:val="28"/>
        </w:rPr>
        <w:outlineLvl w:val="3"/>
      </w:pPr>
      <w:r/>
      <w:bookmarkStart w:id="43" w:name="_Toc513029215"/>
      <w:r/>
      <w:bookmarkStart w:id="44" w:name="_Toc16938531"/>
      <w:r/>
      <w:bookmarkStart w:id="45" w:name="_Toc20823287"/>
      <w:r/>
      <w:bookmarkStart w:id="46" w:name="_Toc462564074"/>
      <w:r>
        <w:rPr>
          <w:rFonts w:hint="eastAsia" w:ascii="宋体" w:hAnsi="宋体" w:cs="宋体"/>
          <w:sz w:val="28"/>
          <w:szCs w:val="28"/>
        </w:rPr>
        <w:t xml:space="preserve">2.响应文件构成</w:t>
      </w:r>
      <w:bookmarkEnd w:id="43"/>
      <w:r/>
      <w:bookmarkEnd w:id="44"/>
      <w:r/>
      <w:bookmarkEnd w:id="45"/>
      <w:r/>
      <w:bookmarkEnd w:id="46"/>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 如标书制作工具中格式和内容与“江苏政府采购网”发布的磋商文件不一致，请以“江苏政府采购网”发布的磋商文件为准。</w:t>
      </w:r>
      <w:r/>
    </w:p>
    <w:p>
      <w:pPr>
        <w:spacing w:line="500" w:lineRule="exact"/>
        <w:rPr>
          <w:rFonts w:hint="eastAsia" w:ascii="宋体" w:hAnsi="宋体" w:cs="宋体"/>
          <w:bCs/>
          <w:sz w:val="28"/>
          <w:szCs w:val="28"/>
        </w:rPr>
      </w:pPr>
      <w:r/>
      <w:bookmarkStart w:id="47" w:name="_Hlt26954838"/>
      <w:r/>
      <w:bookmarkEnd w:id="47"/>
      <w:r/>
      <w:bookmarkStart w:id="48" w:name="_Hlt26668975"/>
      <w:r/>
      <w:bookmarkEnd w:id="48"/>
      <w:r/>
      <w:bookmarkStart w:id="49" w:name="_Hlt26670360"/>
      <w:r/>
      <w:bookmarkEnd w:id="49"/>
      <w:r/>
      <w:bookmarkStart w:id="50" w:name="_Toc14577360"/>
      <w:r/>
      <w:bookmarkStart w:id="51" w:name="_Toc49090511"/>
      <w:r>
        <w:rPr>
          <w:rFonts w:hint="eastAsia" w:ascii="宋体" w:hAnsi="宋体" w:cs="宋体"/>
          <w:bCs/>
          <w:sz w:val="28"/>
          <w:szCs w:val="28"/>
        </w:rPr>
        <w:t xml:space="preserve">3.证明供应商及响应标的符合磋商文件规定的文件</w:t>
      </w:r>
      <w:r/>
    </w:p>
    <w:p>
      <w:pPr>
        <w:ind w:firstLine="556"/>
        <w:spacing w:line="500" w:lineRule="exact"/>
        <w:rPr>
          <w:rFonts w:hint="eastAsia" w:ascii="宋体" w:hAnsi="宋体" w:cs="宋体"/>
          <w:bCs/>
          <w:sz w:val="28"/>
          <w:szCs w:val="28"/>
        </w:rPr>
      </w:pPr>
      <w:r/>
      <w:bookmarkStart w:id="52" w:name="_Toc14577355"/>
      <w:r/>
      <w:bookmarkStart w:id="53" w:name="_Toc49090508"/>
      <w:r>
        <w:rPr>
          <w:rFonts w:hint="eastAsia" w:ascii="宋体" w:hAnsi="宋体" w:cs="宋体"/>
          <w:bCs/>
          <w:sz w:val="28"/>
          <w:szCs w:val="28"/>
        </w:rPr>
        <w:t xml:space="preserve">3.1供应商应按照法律、法规、规章和规范性文件以及磋商文件要求提交证明文件，证明其及响应标的符合磋商文件规定。</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3.2磋商文件对证明文件无明确形式要求的，证明文件可以以文字资料、图纸和数据等形式提交。</w:t>
      </w:r>
      <w:r/>
    </w:p>
    <w:p>
      <w:pPr>
        <w:spacing w:line="500" w:lineRule="exact"/>
        <w:rPr>
          <w:rFonts w:hint="eastAsia" w:ascii="宋体" w:hAnsi="宋体" w:cs="宋体"/>
          <w:bCs/>
          <w:sz w:val="28"/>
          <w:szCs w:val="28"/>
        </w:rPr>
      </w:pPr>
      <w:r>
        <w:rPr>
          <w:rFonts w:hint="eastAsia" w:ascii="宋体" w:hAnsi="宋体" w:cs="宋体"/>
          <w:bCs/>
          <w:sz w:val="28"/>
          <w:szCs w:val="28"/>
        </w:rPr>
        <w:t xml:space="preserve">4.分项报价</w:t>
      </w:r>
      <w:bookmarkEnd w:id="52"/>
      <w:r/>
      <w:bookmarkStart w:id="54" w:name="_Hlt26670373"/>
      <w:r/>
      <w:bookmarkEnd w:id="54"/>
      <w:r>
        <w:rPr>
          <w:rFonts w:hint="eastAsia" w:ascii="宋体" w:hAnsi="宋体" w:cs="宋体"/>
          <w:bCs/>
          <w:sz w:val="28"/>
          <w:szCs w:val="28"/>
        </w:rPr>
        <w:t xml:space="preserve">明细表</w:t>
      </w:r>
      <w:bookmarkEnd w:id="53"/>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4.1供应商应按照磋商文件规定格式填报分项报价明细表</w:t>
      </w:r>
      <w:bookmarkStart w:id="55" w:name="_Hlt26670399"/>
      <w:r/>
      <w:bookmarkEnd w:id="55"/>
      <w:r>
        <w:rPr>
          <w:rFonts w:hint="eastAsia" w:ascii="宋体" w:hAnsi="宋体" w:cs="宋体"/>
          <w:bCs/>
          <w:sz w:val="28"/>
          <w:szCs w:val="28"/>
        </w:rPr>
        <w:t xml:space="preserve">。</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4.2响应货币。磋商文件中的单价和总价无特殊规定的采用人民币报价，以元为单位标注。磋商文件中另有规定的按规定执行。</w:t>
      </w:r>
      <w:r/>
    </w:p>
    <w:p>
      <w:pPr>
        <w:spacing w:line="500" w:lineRule="exact"/>
        <w:rPr>
          <w:rFonts w:hint="eastAsia" w:ascii="宋体" w:hAnsi="宋体" w:cs="宋体"/>
          <w:bCs/>
          <w:sz w:val="28"/>
          <w:szCs w:val="28"/>
        </w:rPr>
      </w:pPr>
      <w:r/>
      <w:bookmarkStart w:id="56" w:name="_Hlt26954844"/>
      <w:r/>
      <w:bookmarkEnd w:id="56"/>
      <w:r/>
      <w:bookmarkStart w:id="57" w:name="_Hlt26670425"/>
      <w:r/>
      <w:bookmarkEnd w:id="57"/>
      <w:r/>
      <w:bookmarkStart w:id="58" w:name="_Hlt26670482"/>
      <w:r/>
      <w:bookmarkEnd w:id="58"/>
      <w:r/>
      <w:bookmarkStart w:id="59" w:name="_Hlt26670403"/>
      <w:r/>
      <w:bookmarkEnd w:id="59"/>
      <w:r/>
      <w:bookmarkStart w:id="60" w:name="_Hlt26954842"/>
      <w:r/>
      <w:bookmarkEnd w:id="60"/>
      <w:r/>
      <w:bookmarkStart w:id="61" w:name="_Hlt26954848"/>
      <w:r/>
      <w:bookmarkEnd w:id="61"/>
      <w:r/>
      <w:bookmarkStart w:id="62" w:name="_Hlt26954731"/>
      <w:r/>
      <w:bookmarkEnd w:id="62"/>
      <w:r/>
      <w:bookmarkStart w:id="63" w:name="_Hlt26954846"/>
      <w:r/>
      <w:bookmarkEnd w:id="63"/>
      <w:r/>
      <w:bookmarkStart w:id="64" w:name="_Hlt26668983"/>
      <w:r/>
      <w:bookmarkEnd w:id="64"/>
      <w:r/>
      <w:bookmarkStart w:id="65" w:name="_Hlt26670486"/>
      <w:r/>
      <w:bookmarkEnd w:id="65"/>
      <w:r>
        <w:rPr>
          <w:rFonts w:hint="eastAsia" w:ascii="宋体" w:hAnsi="宋体" w:cs="宋体"/>
          <w:bCs/>
          <w:sz w:val="28"/>
          <w:szCs w:val="28"/>
        </w:rPr>
        <w:t xml:space="preserve">5.技术部分正负偏离表、商务部分正负偏离表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5.1供应商需按磋商文件中的技术要求与商务要求作出响应或偏离，并说明原因。</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5.2供应商可在磋商文件中提供认为需要的其他技术文件或说明。</w:t>
      </w:r>
      <w:r/>
    </w:p>
    <w:p>
      <w:pPr>
        <w:spacing w:line="500" w:lineRule="exact"/>
        <w:rPr>
          <w:rFonts w:hint="eastAsia" w:ascii="宋体" w:hAnsi="宋体" w:cs="宋体"/>
          <w:bCs/>
          <w:sz w:val="28"/>
          <w:szCs w:val="28"/>
        </w:rPr>
      </w:pPr>
      <w:r/>
      <w:bookmarkStart w:id="66" w:name="_Toc14577359"/>
      <w:r/>
      <w:bookmarkStart w:id="67" w:name="_Toc49090510"/>
      <w:r>
        <w:rPr>
          <w:rFonts w:hint="eastAsia" w:ascii="宋体" w:hAnsi="宋体" w:cs="宋体"/>
          <w:bCs/>
          <w:sz w:val="28"/>
          <w:szCs w:val="28"/>
        </w:rPr>
        <w:t xml:space="preserve">6.磋商响应函和磋商报价表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6.1供应商应按照磋商文件中提供的格式完整、正确填写磋商响应函、磋商报价表。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6.2对于采用货币报价的项目，磋商报价表中的响应总报价应与分项报价明细表中的响应总报价一致，如不一致，不作为无效响应处理，但评标时按磋商报价表中价格为准。</w:t>
      </w:r>
      <w:bookmarkEnd w:id="66"/>
      <w:bookmarkEnd w:id="67"/>
      <w:r/>
    </w:p>
    <w:p>
      <w:pPr>
        <w:spacing w:line="500" w:lineRule="exact"/>
        <w:rPr>
          <w:rFonts w:hint="eastAsia" w:ascii="宋体" w:hAnsi="宋体" w:cs="宋体"/>
          <w:bCs/>
          <w:sz w:val="28"/>
          <w:szCs w:val="28"/>
        </w:rPr>
      </w:pPr>
      <w:r>
        <w:rPr>
          <w:rFonts w:hint="eastAsia" w:ascii="宋体" w:hAnsi="宋体" w:cs="宋体"/>
          <w:bCs/>
          <w:sz w:val="28"/>
          <w:szCs w:val="28"/>
        </w:rPr>
        <w:t xml:space="preserve">7.磋商响应有效期</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7.1磋商响应有效期为采购人规定的响应文件提交截止时间后六十（60）天。磋商响应有效期比规定短的将被视为非实质性响应而予以拒绝。</w:t>
      </w:r>
      <w:r/>
    </w:p>
    <w:p>
      <w:pPr>
        <w:spacing w:line="500" w:lineRule="exact"/>
        <w:rPr>
          <w:rFonts w:hint="eastAsia" w:ascii="宋体" w:hAnsi="宋体" w:cs="宋体"/>
          <w:bCs/>
          <w:sz w:val="28"/>
          <w:szCs w:val="28"/>
        </w:rPr>
      </w:pPr>
      <w:r>
        <w:rPr>
          <w:rFonts w:hint="eastAsia" w:ascii="宋体" w:hAnsi="宋体" w:cs="宋体"/>
          <w:bCs/>
          <w:sz w:val="28"/>
          <w:szCs w:val="28"/>
        </w:rPr>
        <w:t xml:space="preserve">8.磋商响应有效期的延长</w:t>
      </w:r>
      <w:r/>
    </w:p>
    <w:p>
      <w:pPr>
        <w:ind w:firstLine="560"/>
        <w:keepLines/>
        <w:keepNext/>
        <w:spacing w:line="500" w:lineRule="exact"/>
        <w:rPr>
          <w:rFonts w:hint="eastAsia" w:ascii="宋体" w:hAnsi="宋体" w:cs="宋体"/>
          <w:b/>
          <w:bCs/>
          <w:sz w:val="28"/>
          <w:szCs w:val="28"/>
        </w:rPr>
        <w:outlineLvl w:val="2"/>
      </w:pPr>
      <w:r>
        <w:rPr>
          <w:rFonts w:hint="eastAsia" w:ascii="宋体" w:hAnsi="宋体" w:cs="宋体"/>
          <w:bCs/>
          <w:sz w:val="28"/>
          <w:szCs w:val="28"/>
        </w:rPr>
        <w:t xml:space="preserve">8.1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受磋商响应有效期约束的所有权利与义务均延长至新的有效期。</w:t>
      </w:r>
      <w:bookmarkEnd w:id="50"/>
      <w:r/>
      <w:bookmarkEnd w:id="51"/>
      <w:r/>
      <w:bookmarkStart w:id="68" w:name="_Hlt26954852"/>
      <w:r/>
      <w:bookmarkEnd w:id="68"/>
      <w:r/>
      <w:bookmarkStart w:id="69" w:name="_Hlt26954739"/>
      <w:r/>
      <w:bookmarkEnd w:id="69"/>
      <w:r/>
      <w:bookmarkStart w:id="70" w:name="_Toc513029224"/>
      <w:r/>
      <w:bookmarkStart w:id="71" w:name="_Toc16938540"/>
      <w:r/>
      <w:bookmarkStart w:id="72" w:name="_Toc120614217"/>
      <w:r/>
      <w:bookmarkStart w:id="73" w:name="_Toc20823296"/>
      <w:r/>
      <w:r/>
    </w:p>
    <w:p>
      <w:pPr>
        <w:keepLines/>
        <w:keepNext/>
        <w:spacing w:line="500" w:lineRule="exact"/>
        <w:rPr>
          <w:rFonts w:hint="eastAsia" w:ascii="宋体" w:hAnsi="宋体" w:cs="宋体"/>
          <w:b/>
          <w:bCs/>
          <w:sz w:val="28"/>
          <w:szCs w:val="28"/>
        </w:rPr>
        <w:outlineLvl w:val="2"/>
      </w:pPr>
      <w:r>
        <w:rPr>
          <w:rFonts w:hint="eastAsia" w:ascii="宋体" w:hAnsi="宋体" w:cs="宋体"/>
          <w:b/>
          <w:bCs/>
          <w:sz w:val="28"/>
          <w:szCs w:val="28"/>
        </w:rPr>
        <w:t xml:space="preserve">四、响应文件的提交</w:t>
      </w:r>
      <w:bookmarkEnd w:id="70"/>
      <w:r/>
      <w:bookmarkEnd w:id="71"/>
      <w:r/>
      <w:bookmarkEnd w:id="72"/>
      <w:r/>
      <w:bookmarkEnd w:id="73"/>
      <w:r/>
      <w:r/>
    </w:p>
    <w:p>
      <w:pPr>
        <w:keepNext/>
        <w:spacing w:line="500" w:lineRule="exact"/>
        <w:rPr>
          <w:rFonts w:hint="eastAsia" w:ascii="宋体" w:hAnsi="宋体" w:cs="宋体"/>
          <w:b/>
          <w:bCs/>
          <w:sz w:val="28"/>
          <w:szCs w:val="28"/>
        </w:rPr>
        <w:outlineLvl w:val="3"/>
      </w:pPr>
      <w:r/>
      <w:bookmarkStart w:id="74" w:name="_Toc462564084"/>
      <w:r/>
      <w:bookmarkStart w:id="75" w:name="_Toc16938541"/>
      <w:r/>
      <w:bookmarkStart w:id="76" w:name="_Toc513029225"/>
      <w:r/>
      <w:bookmarkStart w:id="77" w:name="_Toc20823297"/>
      <w:r>
        <w:rPr>
          <w:rFonts w:hint="eastAsia" w:ascii="宋体" w:hAnsi="宋体" w:cs="宋体"/>
          <w:sz w:val="28"/>
          <w:szCs w:val="28"/>
        </w:rPr>
        <w:t xml:space="preserve">1.响应文件</w:t>
      </w:r>
      <w:bookmarkEnd w:id="74"/>
      <w:r/>
      <w:bookmarkEnd w:id="75"/>
      <w:r/>
      <w:bookmarkEnd w:id="76"/>
      <w:r/>
      <w:bookmarkEnd w:id="77"/>
      <w:r>
        <w:rPr>
          <w:rFonts w:hint="eastAsia" w:ascii="宋体" w:hAnsi="宋体" w:cs="宋体"/>
          <w:sz w:val="28"/>
          <w:szCs w:val="28"/>
        </w:rPr>
        <w:t xml:space="preserve">的提交</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1.1供应商应当按照江苏政府采购网—资料下载中《江苏省政府采购管理交易系统（苏采云）供应商操作指南》规定，在</w:t>
      </w:r>
      <w:r>
        <w:rPr>
          <w:rFonts w:hint="eastAsia" w:ascii="宋体" w:hAnsi="宋体" w:cs="宋体"/>
          <w:sz w:val="28"/>
          <w:szCs w:val="28"/>
        </w:rPr>
        <w:t xml:space="preserve">响应文件提交</w:t>
      </w:r>
      <w:r>
        <w:rPr>
          <w:rFonts w:hint="eastAsia" w:ascii="宋体" w:hAnsi="宋体" w:cs="宋体"/>
          <w:bCs/>
          <w:sz w:val="28"/>
          <w:szCs w:val="28"/>
        </w:rPr>
        <w:t xml:space="preserve">截止时间前制作并上传电子响应文件。</w:t>
      </w:r>
      <w:bookmarkStart w:id="78" w:name="_Toc20823298"/>
      <w:r/>
      <w:bookmarkStart w:id="79" w:name="_Toc16938542"/>
      <w:r/>
      <w:bookmarkStart w:id="80" w:name="_Toc513029226"/>
      <w:r/>
      <w:r/>
    </w:p>
    <w:p>
      <w:pPr>
        <w:spacing w:line="500" w:lineRule="exact"/>
        <w:rPr>
          <w:rFonts w:hint="eastAsia" w:ascii="宋体" w:hAnsi="宋体" w:cs="宋体"/>
          <w:b/>
          <w:sz w:val="28"/>
          <w:szCs w:val="28"/>
        </w:rPr>
      </w:pPr>
      <w:r>
        <w:rPr>
          <w:rFonts w:hint="eastAsia" w:ascii="宋体" w:hAnsi="宋体" w:cs="宋体"/>
          <w:sz w:val="28"/>
          <w:szCs w:val="28"/>
        </w:rPr>
        <w:t xml:space="preserve">2.响应文件截止日期</w:t>
      </w:r>
      <w:bookmarkEnd w:id="78"/>
      <w:r/>
      <w:bookmarkEnd w:id="79"/>
      <w:r/>
      <w:bookmarkEnd w:id="80"/>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2.1 供应商上传电子响应文件的时间不得迟于磋商公告中规定的响应文件提交截止时间。</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供应商应充分考虑到网络环境、网络带宽、CA数字证书及电子签章故障等风险因素，如因供应商自身原因造成的电子响应文件上传不成功由供应商自行承担全部责任。</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2.2</w:t>
      </w:r>
      <w:r>
        <w:rPr>
          <w:rFonts w:hint="eastAsia" w:ascii="宋体" w:hAnsi="宋体" w:cs="宋体"/>
          <w:bCs/>
          <w:sz w:val="28"/>
          <w:szCs w:val="28"/>
        </w:rPr>
        <w:t xml:space="preserve"> 采购人可以按照规定，通过修改响应文件酌情延长响应文件提交截止日期，在此情况下，供应商的所有权利和义务以及供应商受制的截止日期均应以延长后新的截止日期为准。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hint="eastAsia" w:ascii="宋体" w:hAnsi="宋体" w:cs="宋体"/>
          <w:b/>
          <w:bCs/>
          <w:sz w:val="28"/>
          <w:szCs w:val="28"/>
        </w:rPr>
        <w:outlineLvl w:val="3"/>
      </w:pPr>
      <w:r/>
      <w:bookmarkStart w:id="81" w:name="_Toc16938543"/>
      <w:r/>
      <w:bookmarkStart w:id="82" w:name="_Toc513029227"/>
      <w:r/>
      <w:bookmarkStart w:id="83" w:name="_Toc20823299"/>
      <w:r>
        <w:rPr>
          <w:rFonts w:hint="eastAsia" w:ascii="宋体" w:hAnsi="宋体" w:cs="宋体"/>
          <w:sz w:val="28"/>
          <w:szCs w:val="28"/>
        </w:rPr>
        <w:t xml:space="preserve">3.响应文件</w:t>
      </w:r>
      <w:bookmarkEnd w:id="81"/>
      <w:r/>
      <w:bookmarkEnd w:id="82"/>
      <w:r/>
      <w:bookmarkEnd w:id="83"/>
      <w:r>
        <w:rPr>
          <w:rFonts w:hint="eastAsia" w:ascii="宋体" w:hAnsi="宋体" w:cs="宋体"/>
          <w:sz w:val="28"/>
          <w:szCs w:val="28"/>
        </w:rPr>
        <w:t xml:space="preserve">的拒收</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3.1 采购人拒绝接收在其规定的响应文件提交截止时间后上传的任何响应文件。</w:t>
      </w:r>
      <w:r/>
    </w:p>
    <w:p>
      <w:pPr>
        <w:keepNext/>
        <w:spacing w:line="500" w:lineRule="exact"/>
        <w:rPr>
          <w:rFonts w:hint="eastAsia" w:ascii="宋体" w:hAnsi="宋体" w:cs="宋体"/>
          <w:b/>
          <w:bCs/>
          <w:sz w:val="28"/>
          <w:szCs w:val="28"/>
        </w:rPr>
        <w:outlineLvl w:val="3"/>
      </w:pPr>
      <w:r/>
      <w:bookmarkStart w:id="84" w:name="_Toc513029228"/>
      <w:r/>
      <w:bookmarkStart w:id="85" w:name="_Toc16938544"/>
      <w:r/>
      <w:bookmarkStart w:id="86" w:name="_Toc20823300"/>
      <w:r>
        <w:rPr>
          <w:rFonts w:hint="eastAsia" w:ascii="宋体" w:hAnsi="宋体" w:cs="宋体"/>
          <w:sz w:val="28"/>
          <w:szCs w:val="28"/>
        </w:rPr>
        <w:t xml:space="preserve">4. 响应文件的撤回和修改</w:t>
      </w:r>
      <w:bookmarkEnd w:id="84"/>
      <w:r/>
      <w:bookmarkEnd w:id="85"/>
      <w:r/>
      <w:bookmarkEnd w:id="86"/>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 响应文件的撤回</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4.1.1 电子响应文件的撤回</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供应商可在响应文件提交截止时间前，撤回其电子响应文件，具体操作方法见《江苏省政府采购管理交易系统（苏采云）供应商操作指南》。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4.1.2 供应商撤回电子响应文件，则认为其不再参与本项目磋商活动。</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 响应文件的修改</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sz w:val="28"/>
          <w:szCs w:val="28"/>
        </w:rPr>
        <w:t xml:space="preserve">具体操作方法见《江苏省政府采购管理交易系统（苏采云）供应商操作指南》</w:t>
      </w:r>
      <w:r>
        <w:rPr>
          <w:rFonts w:hint="eastAsia" w:ascii="宋体" w:hAnsi="宋体" w:cs="宋体"/>
          <w:bCs/>
          <w:sz w:val="28"/>
          <w:szCs w:val="28"/>
        </w:rPr>
        <w:t xml:space="preserve">。</w:t>
      </w:r>
      <w:r/>
    </w:p>
    <w:p>
      <w:pPr>
        <w:ind w:firstLine="555"/>
        <w:spacing w:line="500" w:lineRule="exact"/>
        <w:rPr>
          <w:rFonts w:hint="eastAsia" w:ascii="宋体" w:hAnsi="宋体" w:cs="宋体"/>
          <w:bCs/>
          <w:sz w:val="28"/>
          <w:szCs w:val="28"/>
        </w:rPr>
      </w:pPr>
      <w:r>
        <w:rPr>
          <w:rFonts w:hint="eastAsia" w:ascii="宋体" w:hAnsi="宋体" w:cs="宋体"/>
          <w:sz w:val="28"/>
          <w:szCs w:val="28"/>
        </w:rPr>
        <w:t xml:space="preserve">4.3</w:t>
      </w:r>
      <w:r>
        <w:rPr>
          <w:rFonts w:hint="eastAsia" w:ascii="宋体" w:hAnsi="宋体" w:cs="宋体"/>
          <w:bCs/>
          <w:sz w:val="28"/>
          <w:szCs w:val="28"/>
        </w:rPr>
        <w:t xml:space="preserve"> 在响应文件提交截止时间之后，供应商不得对其电子响应文件作任何修改。</w:t>
      </w:r>
      <w:r/>
    </w:p>
    <w:p>
      <w:pPr>
        <w:ind w:firstLine="555"/>
        <w:spacing w:line="500" w:lineRule="exact"/>
        <w:rPr>
          <w:rFonts w:hint="eastAsia" w:ascii="宋体" w:hAnsi="宋体" w:cs="宋体"/>
          <w:bCs/>
          <w:sz w:val="28"/>
          <w:szCs w:val="28"/>
        </w:rPr>
      </w:pPr>
      <w:r>
        <w:rPr>
          <w:rFonts w:hint="eastAsia" w:ascii="宋体" w:hAnsi="宋体" w:cs="宋体"/>
          <w:sz w:val="28"/>
          <w:szCs w:val="28"/>
        </w:rPr>
        <w:t xml:space="preserve">4.4</w:t>
      </w:r>
      <w:r>
        <w:rPr>
          <w:rFonts w:hint="eastAsia" w:ascii="宋体" w:hAnsi="宋体" w:cs="宋体"/>
          <w:bCs/>
          <w:sz w:val="28"/>
          <w:szCs w:val="28"/>
        </w:rPr>
        <w:t xml:space="preserve"> 在响应文件截止时间至响应文件中规定的磋商响应有效期满之间的这段时间内，供应商不得撤回其响应文件。</w:t>
      </w:r>
      <w:r/>
    </w:p>
    <w:p>
      <w:pPr>
        <w:spacing w:line="500" w:lineRule="exact"/>
        <w:rPr>
          <w:rFonts w:hint="eastAsia" w:ascii="宋体" w:hAnsi="宋体" w:cs="宋体"/>
          <w:b/>
          <w:bCs/>
          <w:sz w:val="28"/>
          <w:szCs w:val="28"/>
        </w:rPr>
      </w:pPr>
      <w:r/>
      <w:bookmarkStart w:id="87" w:name="_Toc120614218"/>
      <w:r/>
      <w:bookmarkStart w:id="88" w:name="_Toc16938545"/>
      <w:r/>
      <w:bookmarkStart w:id="89" w:name="_Toc513029229"/>
      <w:r/>
      <w:bookmarkStart w:id="90" w:name="_Toc20823301"/>
      <w:r>
        <w:rPr>
          <w:rFonts w:hint="eastAsia" w:ascii="宋体" w:hAnsi="宋体" w:cs="宋体"/>
          <w:b/>
          <w:bCs/>
          <w:sz w:val="28"/>
          <w:szCs w:val="28"/>
        </w:rPr>
        <w:t xml:space="preserve">五、</w:t>
      </w:r>
      <w:bookmarkEnd w:id="87"/>
      <w:r/>
      <w:bookmarkEnd w:id="88"/>
      <w:r/>
      <w:bookmarkEnd w:id="89"/>
      <w:r/>
      <w:bookmarkEnd w:id="90"/>
      <w:r/>
      <w:bookmarkStart w:id="91" w:name="_Toc20823302"/>
      <w:r/>
      <w:bookmarkStart w:id="92" w:name="_Toc513029230"/>
      <w:r/>
      <w:bookmarkStart w:id="93" w:name="_Toc16938546"/>
      <w:r>
        <w:rPr>
          <w:rFonts w:hint="eastAsia" w:ascii="宋体" w:hAnsi="宋体" w:cs="宋体"/>
          <w:b/>
          <w:bCs/>
          <w:sz w:val="28"/>
          <w:szCs w:val="28"/>
        </w:rPr>
        <w:t xml:space="preserve">磋商与评审</w:t>
      </w:r>
      <w:r/>
    </w:p>
    <w:p>
      <w:pPr>
        <w:ind w:firstLine="420"/>
        <w:spacing w:line="500" w:lineRule="exact"/>
        <w:rPr>
          <w:rFonts w:hint="eastAsia" w:ascii="宋体" w:hAnsi="宋体" w:cs="宋体"/>
          <w:bCs/>
          <w:sz w:val="28"/>
          <w:szCs w:val="28"/>
        </w:rPr>
      </w:pPr>
      <w:r>
        <w:rPr>
          <w:rFonts w:hint="eastAsia" w:ascii="宋体" w:hAnsi="宋体" w:cs="宋体"/>
          <w:bCs/>
          <w:sz w:val="28"/>
          <w:szCs w:val="28"/>
        </w:rPr>
        <w:t xml:space="preserve">1.磋商仪式</w:t>
      </w:r>
      <w:r/>
    </w:p>
    <w:p>
      <w:pPr>
        <w:ind w:firstLine="420"/>
        <w:spacing w:line="500" w:lineRule="exact"/>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将在磋商公告中规定的时间和地点组织磋商开始仪式。</w:t>
      </w:r>
      <w:r/>
    </w:p>
    <w:p>
      <w:pPr>
        <w:ind w:firstLine="556"/>
        <w:spacing w:line="500" w:lineRule="exact"/>
        <w:rPr>
          <w:rFonts w:hint="eastAsia" w:ascii="宋体" w:hAnsi="宋体" w:cs="宋体"/>
          <w:b/>
          <w:sz w:val="28"/>
          <w:szCs w:val="28"/>
        </w:rPr>
      </w:pPr>
      <w:r>
        <w:rPr>
          <w:rFonts w:hint="eastAsia" w:ascii="宋体" w:hAnsi="宋体" w:cs="宋体"/>
          <w:bCs/>
          <w:sz w:val="28"/>
          <w:szCs w:val="28"/>
        </w:rPr>
        <w:t xml:space="preserve">1.2 磋商活动的文件解密工作</w:t>
      </w:r>
      <w:r>
        <w:rPr>
          <w:rFonts w:hint="eastAsia" w:ascii="宋体" w:hAnsi="宋体" w:cs="宋体"/>
          <w:sz w:val="28"/>
          <w:szCs w:val="28"/>
        </w:rPr>
        <w:t xml:space="preserve">由采购人或采购代理机构组织，在“苏采云”系统中进行磋商。</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1.3供应商在磋商过程中涉及到的磋商文件解密等工作，按照《</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》执行。</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2.磋商小组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2.1磋商开始仪式结束后，采购人或采购代理机构将组织磋商小组进行评审。</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2.3超过公开招标限额标准的项目，磋商小组应当由5人以上单数组成。</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2.5磋商小组独立工作，负责评审所有响应文件并确定成交候选人。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 磋商评审过程的保密与公正</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3.1磋商小组、采购人和采购代理机构工作人员、相关监督人员等与评审工作有关的人员，对评审情况以及在评审过程中获悉的国家秘密、商业秘密负有保密责任。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sz w:val="28"/>
          <w:szCs w:val="28"/>
        </w:rPr>
        <w:t xml:space="preserve">3.4</w:t>
      </w:r>
      <w:r>
        <w:rPr>
          <w:rFonts w:hint="eastAsia" w:ascii="宋体" w:hAnsi="宋体" w:cs="宋体"/>
          <w:bCs/>
          <w:sz w:val="28"/>
          <w:szCs w:val="28"/>
        </w:rPr>
        <w:t xml:space="preserve">评审开始后，直至向成交供应商授予合同时止，凡是与审查、澄清、评价和比较响应的有关资料以及授标建议等，采购人、磋商小组、</w:t>
      </w:r>
      <w:r>
        <w:rPr>
          <w:rFonts w:hint="eastAsia" w:ascii="宋体" w:hAnsi="宋体" w:cs="宋体"/>
          <w:sz w:val="28"/>
          <w:szCs w:val="28"/>
        </w:rPr>
        <w:t xml:space="preserve">采购代理机构</w:t>
      </w:r>
      <w:r>
        <w:rPr>
          <w:rFonts w:hint="eastAsia" w:ascii="宋体" w:hAnsi="宋体" w:cs="宋体"/>
          <w:bCs/>
          <w:sz w:val="28"/>
          <w:szCs w:val="28"/>
        </w:rPr>
        <w:t xml:space="preserve">均不得向供应商或与评标无关的其他人员透露。</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3.6采购人或采购代理机构和评审小组不向未成交的供应商解释未成交原因，也不公布评审过程中的相关细节。</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4、评审过程的澄清</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rPr>
        <w:t xml:space="preserve">《</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w:t>
      </w:r>
      <w:r>
        <w:rPr>
          <w:rFonts w:hint="eastAsia" w:ascii="宋体" w:hAnsi="宋体" w:cs="宋体"/>
          <w:sz w:val="28"/>
          <w:szCs w:val="28"/>
        </w:rPr>
        <w:t xml:space="preserve">。</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4.3 接到磋商小组澄清要求的供应商如未按规定做出澄清，其风</w:t>
      </w:r>
      <w:r>
        <w:rPr>
          <w:rFonts w:hint="eastAsia" w:ascii="宋体" w:hAnsi="宋体" w:cs="宋体"/>
          <w:bCs/>
          <w:sz w:val="28"/>
          <w:szCs w:val="28"/>
        </w:rPr>
        <w:t xml:space="preserve">险由供应商自行承担。</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5.对响应文件的初审</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5.1.1资格性检查：依据法律法规和磋商文件的规定，由磋商小组对响应文件中的资格审查证明材料进行审查，以确定供应商是否具备参加磋商的资格。</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磋商小组在进行资格性审查的同时，将在“信用中国”网站查询供应商的信用记录，以确定供应商是否具备参加磋商的资格，查询结果留存并归档。</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5.1.3未通过资格审查或符合性审查的供应商，</w:t>
      </w:r>
      <w:r>
        <w:rPr>
          <w:rFonts w:hint="eastAsia" w:ascii="宋体" w:hAnsi="宋体" w:cs="宋体"/>
          <w:sz w:val="28"/>
          <w:szCs w:val="28"/>
        </w:rPr>
        <w:t xml:space="preserve">采购人或采购代理机构</w:t>
      </w:r>
      <w:r>
        <w:rPr>
          <w:rFonts w:hint="eastAsia" w:ascii="宋体" w:hAnsi="宋体" w:cs="宋体"/>
          <w:bCs/>
          <w:sz w:val="28"/>
          <w:szCs w:val="28"/>
        </w:rPr>
        <w:t xml:space="preserve">将告知未通过资格审查或符合性审查的原因，评审结束后，</w:t>
      </w:r>
      <w:r>
        <w:rPr>
          <w:rFonts w:hint="eastAsia" w:ascii="宋体" w:hAnsi="宋体" w:cs="宋体"/>
          <w:sz w:val="28"/>
          <w:szCs w:val="28"/>
        </w:rPr>
        <w:t xml:space="preserve">采购人或采购代理机构</w:t>
      </w:r>
      <w:r>
        <w:rPr>
          <w:rFonts w:hint="eastAsia" w:ascii="宋体" w:hAnsi="宋体" w:cs="宋体"/>
          <w:bCs/>
          <w:sz w:val="28"/>
          <w:szCs w:val="28"/>
        </w:rPr>
        <w:t xml:space="preserve">将不再告知未通过资格审查或符合性审查的原因。</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（1）响应文件中</w:t>
      </w:r>
      <w:r>
        <w:rPr>
          <w:rFonts w:hint="eastAsia" w:ascii="宋体" w:hAnsi="宋体" w:cs="宋体"/>
          <w:sz w:val="28"/>
          <w:szCs w:val="28"/>
        </w:rPr>
        <w:t xml:space="preserve">磋商报价表</w:t>
      </w:r>
      <w:r>
        <w:rPr>
          <w:rFonts w:hint="eastAsia" w:ascii="宋体" w:hAnsi="宋体" w:cs="宋体"/>
          <w:bCs/>
          <w:sz w:val="28"/>
          <w:szCs w:val="28"/>
        </w:rPr>
        <w:t xml:space="preserve">内容与响应文件中相应内容不一致的，以磋商报价</w:t>
      </w:r>
      <w:r>
        <w:rPr>
          <w:rFonts w:hint="eastAsia" w:ascii="宋体" w:hAnsi="宋体" w:cs="宋体"/>
          <w:sz w:val="28"/>
          <w:szCs w:val="28"/>
        </w:rPr>
        <w:t xml:space="preserve">表</w:t>
      </w:r>
      <w:r>
        <w:rPr>
          <w:rFonts w:hint="eastAsia" w:ascii="宋体" w:hAnsi="宋体" w:cs="宋体"/>
          <w:bCs/>
          <w:sz w:val="28"/>
          <w:szCs w:val="28"/>
        </w:rPr>
        <w:t xml:space="preserve">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（3）单价金额小数点或者百分比有明显错位的，以磋商报价</w:t>
      </w:r>
      <w:r>
        <w:rPr>
          <w:rFonts w:hint="eastAsia" w:ascii="宋体" w:hAnsi="宋体" w:cs="宋体"/>
          <w:sz w:val="28"/>
          <w:szCs w:val="28"/>
        </w:rPr>
        <w:t xml:space="preserve">表</w:t>
      </w:r>
      <w:r>
        <w:rPr>
          <w:rFonts w:hint="eastAsia" w:ascii="宋体" w:hAnsi="宋体" w:cs="宋体"/>
          <w:bCs/>
          <w:sz w:val="28"/>
          <w:szCs w:val="28"/>
        </w:rPr>
        <w:t xml:space="preserve">的总价为准，并修改单价。</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w:t>
      </w:r>
      <w:r>
        <w:rPr>
          <w:rFonts w:hint="eastAsia" w:ascii="宋体" w:hAnsi="宋体" w:cs="宋体"/>
          <w:bCs/>
          <w:sz w:val="28"/>
          <w:szCs w:val="28"/>
        </w:rPr>
        <w:t xml:space="preserve">.5磋商小组将按上述修正错误的方法调整响应文件中的报价，并通过“苏彩云”系统告知供应商，调整后的价格应对供应商具有约束力。如果供应商不接受修正后的价格，则其磋商活动将被拒绝。</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5.7</w:t>
      </w:r>
      <w:r>
        <w:rPr>
          <w:rFonts w:hint="eastAsia" w:ascii="宋体" w:hAnsi="宋体" w:cs="宋体"/>
          <w:sz w:val="28"/>
          <w:szCs w:val="28"/>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5.8 供应商在评审全过程中应保持通讯畅通，并安排专人与采购人（或采购代理机构）及磋商小组联系。</w:t>
      </w:r>
      <w:r/>
    </w:p>
    <w:p>
      <w:pPr>
        <w:ind w:firstLine="560"/>
        <w:spacing w:line="500" w:lineRule="exact"/>
        <w:tabs>
          <w:tab w:val="left" w:pos="6555" w:leader="none"/>
          <w:tab w:val="right" w:pos="8306" w:leader="none"/>
        </w:tabs>
        <w:rPr>
          <w:rFonts w:hint="eastAsia" w:ascii="宋体" w:hAnsi="宋体" w:cs="宋体"/>
          <w:bCs/>
          <w:sz w:val="28"/>
          <w:szCs w:val="28"/>
        </w:rPr>
      </w:pPr>
      <w:r>
        <w:rPr>
          <w:rFonts w:hint="eastAsia" w:ascii="宋体" w:hAnsi="宋体" w:cs="宋体"/>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hint="eastAsia" w:ascii="宋体" w:hAnsi="宋体" w:cs="宋体"/>
          <w:b/>
          <w:sz w:val="28"/>
          <w:szCs w:val="28"/>
        </w:rPr>
      </w:pPr>
      <w:r>
        <w:rPr>
          <w:rFonts w:hint="eastAsia" w:ascii="宋体" w:hAnsi="宋体" w:cs="宋体"/>
          <w:bCs/>
          <w:sz w:val="28"/>
          <w:szCs w:val="28"/>
        </w:rPr>
        <w:t xml:space="preserve">6.1出现下列情形之一的，作无效响应处理。</w:t>
      </w:r>
      <w:r>
        <w:rPr>
          <w:rFonts w:hint="eastAsia" w:ascii="宋体" w:hAnsi="宋体" w:cs="宋体"/>
          <w:bCs/>
          <w:sz w:val="28"/>
          <w:szCs w:val="28"/>
        </w:rPr>
        <w:tab/>
      </w:r>
      <w:r>
        <w:rPr>
          <w:rFonts w:hint="eastAsia" w:ascii="宋体" w:hAnsi="宋体" w:cs="宋体"/>
          <w:b/>
          <w:sz w:val="28"/>
          <w:szCs w:val="28"/>
        </w:rPr>
        <w:tab/>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6.1.1供应商在</w:t>
      </w:r>
      <w:r>
        <w:rPr>
          <w:rFonts w:hint="eastAsia" w:ascii="宋体" w:hAnsi="宋体" w:cs="宋体"/>
          <w:sz w:val="28"/>
          <w:szCs w:val="28"/>
        </w:rPr>
        <w:t xml:space="preserve">“苏采云”</w:t>
      </w:r>
      <w:r>
        <w:rPr>
          <w:rFonts w:hint="eastAsia" w:ascii="宋体" w:hAnsi="宋体" w:cs="宋体"/>
          <w:bCs/>
          <w:sz w:val="28"/>
          <w:szCs w:val="28"/>
        </w:rPr>
        <w:t xml:space="preserve">系统规定的时间内未成功解密电子响应文件的。</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6.1.2未完整上传响应文件电子文档的,或上传的文件打不开的。</w:t>
      </w:r>
      <w:r/>
    </w:p>
    <w:p>
      <w:pPr>
        <w:ind w:left="559"/>
        <w:spacing w:line="500" w:lineRule="exact"/>
        <w:rPr>
          <w:rFonts w:hint="eastAsia" w:ascii="宋体" w:hAnsi="宋体" w:cs="宋体"/>
          <w:bCs/>
          <w:sz w:val="28"/>
          <w:szCs w:val="28"/>
        </w:rPr>
      </w:pPr>
      <w:r>
        <w:rPr>
          <w:rFonts w:hint="eastAsia" w:ascii="宋体" w:hAnsi="宋体" w:cs="宋体"/>
          <w:bCs/>
          <w:sz w:val="28"/>
          <w:szCs w:val="28"/>
        </w:rPr>
        <w:t xml:space="preserve">6.1.3同一供应商提交两个（含两个）以上不同的响应报价的。6.1.4不具备磋商文件中规定的资格要求的。 </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6.1.5响应报价超过了采购预算或最高限价的。 </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6.1.6未通过符合性检查的。</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6.1.7不符合法律、法规和磋商文件中规定的其他实质性要求的。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6.1.9 响应文件含有采购人不能接受的附加条件的。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6.1.10异常低价投标（响应）审查的情形和具体要求：</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6.1.10.1评审过程中出现下列情形之一的，磋商小组应当启动异常低价投标（响应）审查程序：</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③投标（响应）报价低于采购项目最高限价45%的，即投标（响应）报价&lt;采购项目最高限价×45%；</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④磋商小组基于专业判断，认为供应商报价过低，有可能影响产品质量或者不能诚信履约的其他情形。</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6.1.12响应文件未按照采购文件要求加盖电子签章。</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6.1.14其他法律、法规及本磋商文件规定的属无效响应的情形。</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6.2出现下列情形之一的，磋商失败。</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6.2.1符合条件的供应商或者对磋商文件作实质响应的供应商不足3家的（市场竞争不充分的科研项目，以及需要扶持的科技成果转化项目可以是2家）；</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6.2.3因重大变故，采购任务取消的。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6.2.4磋商小组认定磋商文件存在歧义、重大缺陷导致评审工作无法进行。</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6.2.5 因</w:t>
      </w:r>
      <w:r>
        <w:rPr>
          <w:rFonts w:hint="eastAsia" w:ascii="宋体" w:hAnsi="宋体" w:cs="宋体"/>
          <w:sz w:val="28"/>
          <w:szCs w:val="28"/>
        </w:rPr>
        <w:t xml:space="preserve">“苏采云”</w:t>
      </w:r>
      <w:r>
        <w:rPr>
          <w:rFonts w:hint="eastAsia" w:ascii="宋体" w:hAnsi="宋体" w:cs="宋体"/>
          <w:bCs/>
          <w:sz w:val="28"/>
          <w:szCs w:val="28"/>
        </w:rPr>
        <w:t xml:space="preserve">系统系统故障原因造成磋商不成功的。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6.3 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截止时间结束后参加磋商的供应商不足三家的处理：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6.3.1如出现响应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截止时间结束后参加磋商的供应商或者在评审期间对磋商文件做出实质响应的供应商不足三家情况，按政府采购相关规定执行。</w:t>
      </w:r>
      <w:bookmarkEnd w:id="91"/>
      <w:bookmarkEnd w:id="92"/>
      <w:bookmarkEnd w:id="93"/>
      <w:r/>
    </w:p>
    <w:p>
      <w:pPr>
        <w:keepLines/>
        <w:keepNext/>
        <w:spacing w:line="500" w:lineRule="exact"/>
        <w:rPr>
          <w:rFonts w:hint="eastAsia" w:ascii="宋体" w:hAnsi="宋体" w:cs="宋体"/>
          <w:b/>
          <w:bCs/>
          <w:sz w:val="28"/>
          <w:szCs w:val="28"/>
        </w:rPr>
        <w:outlineLvl w:val="2"/>
      </w:pPr>
      <w:r/>
      <w:bookmarkStart w:id="94" w:name="_Toc120614219"/>
      <w:r>
        <w:rPr>
          <w:rFonts w:hint="eastAsia" w:ascii="宋体" w:hAnsi="宋体" w:cs="宋体"/>
          <w:b/>
          <w:bCs/>
          <w:sz w:val="28"/>
          <w:szCs w:val="28"/>
        </w:rPr>
        <w:t xml:space="preserve">六</w:t>
      </w:r>
      <w:bookmarkEnd w:id="94"/>
      <w:r>
        <w:rPr>
          <w:rFonts w:hint="eastAsia" w:ascii="宋体" w:hAnsi="宋体" w:cs="宋体"/>
          <w:b/>
          <w:bCs/>
          <w:sz w:val="28"/>
          <w:szCs w:val="28"/>
        </w:rPr>
        <w:t xml:space="preserve">、成交</w:t>
      </w:r>
      <w:r/>
    </w:p>
    <w:p>
      <w:pPr>
        <w:ind w:firstLine="420"/>
        <w:keepNext/>
        <w:spacing w:line="500" w:lineRule="exact"/>
        <w:rPr>
          <w:rFonts w:hint="eastAsia" w:ascii="宋体" w:hAnsi="宋体" w:cs="宋体"/>
          <w:b/>
          <w:sz w:val="28"/>
          <w:szCs w:val="28"/>
        </w:rPr>
        <w:outlineLvl w:val="3"/>
      </w:pPr>
      <w:r/>
      <w:bookmarkStart w:id="95" w:name="_Toc20823310"/>
      <w:r/>
      <w:bookmarkStart w:id="96" w:name="_Toc16938554"/>
      <w:r>
        <w:rPr>
          <w:rFonts w:hint="eastAsia" w:ascii="宋体" w:hAnsi="宋体" w:cs="宋体"/>
          <w:sz w:val="28"/>
          <w:szCs w:val="28"/>
        </w:rPr>
        <w:t xml:space="preserve">1.确定</w:t>
      </w:r>
      <w:bookmarkEnd w:id="95"/>
      <w:r/>
      <w:bookmarkEnd w:id="96"/>
      <w:r>
        <w:rPr>
          <w:rFonts w:hint="eastAsia" w:ascii="宋体" w:hAnsi="宋体" w:cs="宋体"/>
          <w:sz w:val="28"/>
          <w:szCs w:val="28"/>
        </w:rPr>
        <w:t xml:space="preserve">成交单位</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1.1成交候选供应商的选取原则和数量见磋商文件第四部分规定。 </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1.2采购人从评审报告提出的成交候选供应商中，按照排序由高到低的原则确定成交供应商。</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1.3 </w:t>
      </w:r>
      <w:r>
        <w:rPr>
          <w:rFonts w:hint="eastAsia" w:ascii="宋体" w:hAnsi="宋体" w:cs="宋体"/>
          <w:sz w:val="28"/>
          <w:szCs w:val="28"/>
        </w:rPr>
        <w:t xml:space="preserve">采购人确定成交供应商后，采购人或采购代理机构将在江苏政府采购网发布成交结果公告，公告期限为1个工作日。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 若有充分证据证明，成交供应商出现下列情况之一的，一经查实，将被取消成交资格：</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1.4.1提供虚假材料谋取成交的。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1.4.2向采购人、采购代理机构行贿或者评审专家提供其他不正当利益的。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1.4.4属于本文件规定的无效条件，但在评审过程中又未被磋商小组发现的。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1.4.5与采购人或者其他供应商恶意串通的。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1.4.6采取不正当手段诋毁、排挤其他供应商的。</w:t>
      </w:r>
      <w:r/>
    </w:p>
    <w:p>
      <w:pPr>
        <w:ind w:firstLine="560"/>
        <w:spacing w:line="500" w:lineRule="exact"/>
        <w:rPr>
          <w:rFonts w:hint="eastAsia" w:ascii="宋体" w:hAnsi="宋体" w:cs="宋体"/>
          <w:sz w:val="28"/>
          <w:szCs w:val="28"/>
        </w:rPr>
      </w:pPr>
      <w:r/>
      <w:bookmarkStart w:id="97" w:name="_Toc200451960"/>
      <w:r>
        <w:rPr>
          <w:rFonts w:hint="eastAsia" w:ascii="宋体" w:hAnsi="宋体" w:cs="宋体"/>
          <w:sz w:val="28"/>
          <w:szCs w:val="28"/>
        </w:rPr>
        <w:t xml:space="preserve">1.5.有下列情形之一的，视为供应商串通参与磋商，响应无效：</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1.5.2不同供应商委托同一单位或者个人办理磋商事宜；</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20"/>
        <w:keepNext/>
        <w:spacing w:line="500" w:lineRule="exact"/>
        <w:rPr>
          <w:rFonts w:hint="eastAsia" w:ascii="宋体" w:hAnsi="宋体" w:cs="宋体"/>
          <w:b/>
          <w:sz w:val="28"/>
          <w:szCs w:val="28"/>
        </w:rPr>
        <w:outlineLvl w:val="3"/>
      </w:pPr>
      <w:r>
        <w:rPr>
          <w:rFonts w:hint="eastAsia" w:ascii="宋体" w:hAnsi="宋体" w:cs="宋体"/>
          <w:sz w:val="28"/>
          <w:szCs w:val="28"/>
        </w:rPr>
        <w:t xml:space="preserve">2.质疑处理</w:t>
      </w:r>
      <w:bookmarkEnd w:id="97"/>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提出质疑的供应商应当是参与所质疑项目采购活动的供应商。潜在供应商依法获取其可质疑的磋商文件的，可以对磋商文件提出质疑。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2.2.1对可以质疑的磋商文件提出质疑的，为收到磋商文件之日或者磋商文件公告期限届满之日；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ascii="宋体" w:hAnsi="宋体" w:cs="宋体"/>
          <w:b/>
          <w:sz w:val="28"/>
          <w:szCs w:val="28"/>
        </w:rPr>
      </w:pPr>
      <w:r>
        <w:rPr>
          <w:rFonts w:hint="eastAsia" w:ascii="宋体" w:hAnsi="宋体" w:cs="宋体"/>
          <w:sz w:val="28"/>
          <w:szCs w:val="28"/>
        </w:rPr>
        <w:t xml:space="preserve">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供应商于法定期限内提起质疑，向采购人或采购代理机构以书面形式提交质疑函。</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采购人质疑接收人及联系方式，见磋商文件第一部分。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 以下情形的质疑不予受理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2.5.3 未参加磋商活动的供应商或在磋商活动中自身权益未受到损害的供应商所提出的质疑。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2.5.4供应商组成联合体参加磋商，联合体中任何一方或多方未按要求签字、盖章、加盖公章的质疑。</w:t>
      </w:r>
      <w:r/>
    </w:p>
    <w:p>
      <w:pPr>
        <w:ind w:firstLine="546"/>
        <w:spacing w:line="500" w:lineRule="exact"/>
        <w:rPr>
          <w:rFonts w:hint="eastAsia"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20"/>
        <w:keepNext/>
        <w:spacing w:line="500" w:lineRule="exact"/>
        <w:rPr>
          <w:rFonts w:hint="eastAsia" w:ascii="宋体" w:hAnsi="宋体" w:cs="宋体"/>
          <w:b/>
          <w:sz w:val="28"/>
          <w:szCs w:val="28"/>
        </w:rPr>
        <w:outlineLvl w:val="3"/>
      </w:pPr>
      <w:r>
        <w:rPr>
          <w:rFonts w:hint="eastAsia" w:ascii="宋体" w:hAnsi="宋体" w:cs="宋体"/>
          <w:sz w:val="28"/>
          <w:szCs w:val="28"/>
        </w:rPr>
        <w:t xml:space="preserve">3．成交通知书</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3.l</w:t>
      </w:r>
      <w:r>
        <w:rPr>
          <w:rFonts w:hint="eastAsia" w:ascii="宋体" w:hAnsi="宋体" w:cs="宋体"/>
          <w:b/>
          <w:sz w:val="28"/>
          <w:szCs w:val="28"/>
        </w:rPr>
        <w:t xml:space="preserve"> </w:t>
      </w:r>
      <w:r>
        <w:rPr>
          <w:rFonts w:hint="eastAsia" w:ascii="宋体" w:hAnsi="宋体" w:cs="宋体"/>
          <w:sz w:val="28"/>
          <w:szCs w:val="28"/>
        </w:rPr>
        <w:t xml:space="preserve">成交结果确定后，采购人或采购代理机构将向成交供应商发出成交通知书</w:t>
      </w:r>
      <w:r>
        <w:rPr>
          <w:rFonts w:hint="eastAsia" w:ascii="宋体" w:hAnsi="宋体" w:cs="宋体"/>
          <w:bCs/>
          <w:sz w:val="28"/>
          <w:szCs w:val="28"/>
        </w:rPr>
        <w:t xml:space="preserve">（详见磋商文件第四部分）</w:t>
      </w:r>
      <w:r>
        <w:rPr>
          <w:rFonts w:hint="eastAsia" w:ascii="宋体" w:hAnsi="宋体" w:cs="宋体"/>
          <w:sz w:val="28"/>
          <w:szCs w:val="28"/>
        </w:rPr>
        <w:t xml:space="preserve">。</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hint="eastAsia" w:ascii="宋体" w:hAnsi="宋体" w:cs="宋体"/>
          <w:b/>
          <w:bCs/>
          <w:sz w:val="28"/>
          <w:szCs w:val="28"/>
        </w:rPr>
        <w:outlineLvl w:val="2"/>
      </w:pPr>
      <w:r/>
      <w:bookmarkStart w:id="98" w:name="_Toc120614220"/>
      <w:r/>
      <w:bookmarkStart w:id="99" w:name="_Toc16938552"/>
      <w:r/>
      <w:bookmarkStart w:id="100" w:name="_Toc513029236"/>
      <w:r/>
      <w:bookmarkStart w:id="101" w:name="_Toc20823308"/>
      <w:r>
        <w:rPr>
          <w:rFonts w:hint="eastAsia" w:ascii="宋体" w:hAnsi="宋体" w:cs="宋体"/>
          <w:b/>
          <w:bCs/>
          <w:sz w:val="28"/>
          <w:szCs w:val="28"/>
        </w:rPr>
        <w:t xml:space="preserve">七、授予合同</w:t>
      </w:r>
      <w:bookmarkEnd w:id="98"/>
      <w:r/>
      <w:bookmarkEnd w:id="99"/>
      <w:bookmarkEnd w:id="100"/>
      <w:bookmarkEnd w:id="101"/>
      <w:r/>
    </w:p>
    <w:p>
      <w:pPr>
        <w:keepNext/>
        <w:spacing w:line="500" w:lineRule="exact"/>
        <w:rPr>
          <w:rFonts w:hint="eastAsia" w:ascii="宋体" w:hAnsi="宋体" w:cs="宋体"/>
          <w:b/>
          <w:sz w:val="28"/>
          <w:szCs w:val="28"/>
        </w:rPr>
        <w:outlineLvl w:val="3"/>
      </w:pPr>
      <w:r/>
      <w:bookmarkStart w:id="102" w:name="_Toc513029237"/>
      <w:r/>
      <w:bookmarkStart w:id="103" w:name="_Toc16938553"/>
      <w:r/>
      <w:bookmarkStart w:id="104" w:name="_Toc20823309"/>
      <w:r>
        <w:rPr>
          <w:rFonts w:hint="eastAsia" w:ascii="宋体" w:hAnsi="宋体" w:cs="宋体"/>
          <w:sz w:val="28"/>
          <w:szCs w:val="28"/>
        </w:rPr>
        <w:t xml:space="preserve">1.签订合同</w:t>
      </w:r>
      <w:r/>
    </w:p>
    <w:p>
      <w:pPr>
        <w:ind w:firstLine="700"/>
        <w:spacing w:line="500" w:lineRule="exact"/>
        <w:rPr>
          <w:rFonts w:hint="eastAsia"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.l成交供应商应当在成交通知书发出之日起三十日内，按照磋商文件确定的事项与采购人签订政府采购合同。</w:t>
      </w:r>
      <w:r/>
    </w:p>
    <w:p>
      <w:pPr>
        <w:ind w:firstLine="700"/>
        <w:spacing w:line="500" w:lineRule="exact"/>
        <w:rPr>
          <w:rFonts w:hint="eastAsia" w:ascii="宋体" w:hAnsi="宋体" w:cs="宋体"/>
          <w:sz w:val="28"/>
          <w:szCs w:val="28"/>
        </w:rPr>
      </w:pPr>
      <w:r>
        <w:rPr>
          <w:rFonts w:hint="eastAsia" w:ascii="宋体" w:hAnsi="宋体" w:cs="宋体"/>
          <w:sz w:val="28"/>
          <w:szCs w:val="28"/>
        </w:rPr>
        <w:t xml:space="preserve">1.2磋商文件、成交供应商的响应文件及磋商过程中有关澄清、承诺文件均应作为合同附件。</w:t>
      </w:r>
      <w:r/>
    </w:p>
    <w:p>
      <w:pPr>
        <w:ind w:firstLine="700"/>
        <w:spacing w:line="500" w:lineRule="exact"/>
        <w:rPr>
          <w:rFonts w:hint="eastAsia" w:ascii="宋体" w:hAnsi="宋体" w:cs="宋体"/>
          <w:sz w:val="28"/>
          <w:szCs w:val="28"/>
        </w:rPr>
      </w:pPr>
      <w:r>
        <w:rPr>
          <w:rFonts w:hint="eastAsia" w:ascii="宋体" w:hAnsi="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宋体" w:hAnsi="宋体" w:cs="宋体"/>
          <w:b/>
          <w:sz w:val="28"/>
          <w:szCs w:val="28"/>
        </w:rPr>
        <w:outlineLvl w:val="3"/>
      </w:pPr>
      <w:r>
        <w:rPr>
          <w:rFonts w:hint="eastAsia" w:ascii="宋体" w:hAnsi="宋体" w:cs="宋体"/>
          <w:sz w:val="28"/>
          <w:szCs w:val="28"/>
        </w:rPr>
        <w:t xml:space="preserve">2.货物和服务的追加、减少和添购。</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964"/>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3.合同信用融资扶持政策</w:t>
      </w:r>
      <w:r/>
    </w:p>
    <w:p>
      <w:pPr>
        <w:ind w:firstLine="560"/>
        <w:spacing w:line="500" w:lineRule="exact"/>
        <w:rPr>
          <w:rFonts w:hint="eastAsia" w:ascii="宋体" w:hAnsi="宋体" w:cs="宋体"/>
          <w:bCs/>
          <w:sz w:val="36"/>
          <w:szCs w:val="36"/>
        </w:rPr>
      </w:pPr>
      <w:r>
        <w:rPr>
          <w:rFonts w:hint="eastAsia" w:ascii="宋体" w:hAnsi="宋体" w:cs="宋体"/>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102"/>
      <w:r/>
      <w:bookmarkEnd w:id="103"/>
      <w:r/>
      <w:bookmarkEnd w:id="104"/>
      <w:r/>
      <w:r/>
    </w:p>
    <w:p>
      <w:pPr>
        <w:ind w:firstLine="2520"/>
        <w:rPr>
          <w:rFonts w:hint="eastAsia" w:ascii="宋体" w:hAnsi="宋体" w:cs="宋体"/>
          <w:bCs/>
          <w:sz w:val="36"/>
          <w:szCs w:val="36"/>
        </w:rPr>
      </w:pPr>
      <w:r>
        <w:rPr>
          <w:rFonts w:hint="eastAsia" w:ascii="宋体" w:hAnsi="宋体" w:cs="宋体"/>
          <w:sz w:val="36"/>
          <w:szCs w:val="36"/>
        </w:rPr>
        <w:br w:type="page" w:clear="all"/>
      </w:r>
      <w:r>
        <w:rPr>
          <w:rFonts w:hint="eastAsia" w:ascii="宋体" w:hAnsi="宋体" w:cs="宋体"/>
          <w:bCs/>
          <w:sz w:val="36"/>
          <w:szCs w:val="36"/>
        </w:rPr>
        <w:t xml:space="preserve">第三部分  项目需求</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一、项目需求内容：</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rPr>
        <w:t xml:space="preserve">1、服务内容：全</w:t>
      </w:r>
      <w:r>
        <w:rPr>
          <w:rFonts w:hint="eastAsia" w:ascii="宋体" w:hAnsi="宋体" w:cs="宋体"/>
          <w:sz w:val="28"/>
          <w:szCs w:val="28"/>
          <w:highlight w:val="none"/>
        </w:rPr>
        <w:t xml:space="preserve">权负责启东市农业废弃物处理中心的运营管理，完成全市病死动物的无害化收集和处理任务。</w:t>
      </w:r>
      <w:r/>
    </w:p>
    <w:p>
      <w:pPr>
        <w:ind w:firstLine="560"/>
        <w:spacing w:line="500" w:lineRule="exact"/>
        <w:rPr>
          <w:rFonts w:hint="eastAsia" w:ascii="宋体" w:hAnsi="宋体" w:cs="宋体"/>
          <w:sz w:val="28"/>
          <w:szCs w:val="28"/>
          <w:highlight w:val="none"/>
        </w:rPr>
      </w:pPr>
      <w:r/>
      <w:bookmarkStart w:id="105" w:name="_Toc9945"/>
      <w:r/>
      <w:bookmarkStart w:id="106" w:name="_Toc27104"/>
      <w:r/>
      <w:bookmarkStart w:id="107" w:name="_Toc18731"/>
      <w:r/>
      <w:bookmarkStart w:id="108" w:name="_Toc6182"/>
      <w:r/>
      <w:bookmarkStart w:id="109" w:name="_Toc16311"/>
      <w:r/>
      <w:bookmarkStart w:id="110" w:name="_Toc4278"/>
      <w:r/>
      <w:bookmarkStart w:id="111" w:name="_Toc8850"/>
      <w:r>
        <w:rPr>
          <w:rFonts w:hint="eastAsia" w:ascii="宋体" w:hAnsi="宋体" w:cs="宋体"/>
          <w:sz w:val="28"/>
          <w:szCs w:val="28"/>
          <w:highlight w:val="none"/>
        </w:rPr>
        <w:t xml:space="preserve">2、总体要求</w:t>
      </w:r>
      <w:bookmarkEnd w:id="105"/>
      <w:r/>
      <w:bookmarkEnd w:id="106"/>
      <w:r/>
      <w:bookmarkEnd w:id="107"/>
      <w:r/>
      <w:bookmarkEnd w:id="108"/>
      <w:r/>
      <w:bookmarkEnd w:id="109"/>
      <w:r/>
      <w:bookmarkEnd w:id="110"/>
      <w:r/>
      <w:bookmarkEnd w:id="111"/>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1）本项目要求成交供应商全权负责启东市农业废弃物处理中心运营的一切事宜及费用，包括但不限于运营团队人员配备、岗位设置及工人工资，废水外运及处置费用、废气、噪音、固体废弃物等的环保处理及费用，设备设施的保养维修等。</w:t>
      </w:r>
      <w:r/>
    </w:p>
    <w:p>
      <w:pPr>
        <w:ind w:firstLine="560"/>
        <w:spacing w:line="500" w:lineRule="exact"/>
        <w:rPr>
          <w:rFonts w:hint="eastAsia" w:ascii="宋体" w:hAnsi="宋体" w:cs="宋体"/>
          <w:sz w:val="28"/>
          <w:szCs w:val="28"/>
        </w:rPr>
      </w:pPr>
      <w:r>
        <w:rPr>
          <w:rFonts w:hint="eastAsia" w:ascii="宋体" w:hAnsi="宋体" w:cs="宋体"/>
          <w:sz w:val="28"/>
          <w:szCs w:val="28"/>
          <w:highlight w:val="none"/>
        </w:rPr>
        <w:t xml:space="preserve">（2）采购人以现</w:t>
      </w:r>
      <w:r>
        <w:rPr>
          <w:rFonts w:hint="eastAsia" w:ascii="宋体" w:hAnsi="宋体" w:cs="宋体"/>
          <w:sz w:val="28"/>
          <w:szCs w:val="28"/>
        </w:rPr>
        <w:t xml:space="preserve">状交付成交供应商运营，若增添非必须的设备，则由成交供应商自行采购并承担费用。采购人移交的设备设施，成交供应商须做好相应的维保工作，合同期满，须完好无损地移交给采购人，否则，由成交供应商承担由此产生的所有后果与损失。</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若需增添必须设备，需经采购人确认，费用由成交供应商承担。若运营期满采购人不再与成交供应商签约的，则成交供应商在运营期内投入的必须设施设备，经采购人邀请第三方出具评估报告后，由本项目重新采购确定的成交供应商按评估价回购。</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（4）若在运营期内发生设备故障的，则成交供应商须在2个工作日内维修到位，并及时投入运营，不得出现由此引起的各种负面影响及矛盾。</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（5）成交供应商须承担运营过程中的各项意外伤害与安全风险、相关部门的处罚等（如环保部门的罚款），其费用由成交供应商承担。</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6）若成交供应商因自身原因无法继续运营的，则须提前3个月向采购人书面提出要求停运的申请，经采购人同意后方可停运，自停运之日起取消财政补贴，且成交供应商自行投入的或回购的设施设备采购人或下一轮成交商不作回购处理，且不得影响采购人移交时固定资产的安全使用。否则，扣除全额未支付的处理费，并扣除全部履约保证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（7）成交供应商发生合同约定扣减处理费情形的，除承担相应的行政处罚外，并承担由此引起的法律责任与赔偿。</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3、服务提供的时间、地点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（1）服务期限：本项目预算费用为每年330万元（本项目预算为一年度的预算，根据《政府购买服务管理办法》第二十四条规定，本项目根据采购结果，采取一次招标三年沿用。</w:t>
      </w:r>
      <w:r>
        <w:rPr>
          <w:rFonts w:ascii="宋体" w:hAnsi="宋体" w:cs="宋体"/>
          <w:sz w:val="28"/>
          <w:szCs w:val="28"/>
        </w:rPr>
        <w:t xml:space="preserve">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（2）服务地点：启东市农业废弃物处理中心。</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（3）服务周期：原运行单位合同到期日起计算一年，具体以采购人发出的书面运营通知为准。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4、其它事项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成交供应商须在收到采购人发出的书面运营通知当天进场开展动物无害化处置工作。若成交供应商延期进场开展各项处置工作或虽进场但无实质性进展的，则采购人有权根据情节严重程度进行处罚直至取消中标资格，且采购人有权除处罚外，罚没全额履约保证金，对采购人造成损失的予以赔偿；同时采购人有权上报相关主管部门将对成交供应商作以下处理：记入不良信誉，并按《政府采购法》有关规定，暂停其在启东市场的政府采购投标资格。</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二、其他要求</w:t>
      </w:r>
      <w:r/>
    </w:p>
    <w:p>
      <w:pPr>
        <w:numPr>
          <w:ilvl w:val="255"/>
          <w:numId w:val="0"/>
        </w:numPr>
        <w:ind w:firstLine="560"/>
        <w:spacing w:line="440" w:lineRule="exact"/>
        <w:rPr>
          <w:rFonts w:hint="eastAsia" w:ascii="宋体" w:hAnsi="宋体" w:cs="宋体"/>
          <w:sz w:val="28"/>
          <w:szCs w:val="28"/>
        </w:rPr>
      </w:pPr>
      <w:r>
        <w:rPr>
          <w:rFonts w:hint="eastAsia" w:ascii="宋体" w:hAnsi="宋体" w:cs="宋体"/>
          <w:sz w:val="28"/>
          <w:szCs w:val="28"/>
        </w:rPr>
        <w:t xml:space="preserve">本项目采用优惠率报价，结算补贴价=补贴限价*（1-中标优惠率）。投标报价为完成本采购项目所产生的一切费用，包括（但不限于）运营团队人员工资、废水处置费用、废气、噪音、固体废弃物等的环保处理及费用，设备设施的保养维修、咨询费、规费、税金、管理费等为完成本项目约定工作所发生的全部费用。同时，报价也应包含合同履行过程中可能发生的一切风险。供应商报价时应充分考虑现场环境以及国家政策性调整等风险因素，在合同实施期间，合同价不随国家政策或法规、标准及任何市场因素的变化而进行调整。</w:t>
      </w:r>
      <w:r/>
    </w:p>
    <w:p>
      <w:pPr>
        <w:numPr>
          <w:ilvl w:val="255"/>
          <w:numId w:val="0"/>
        </w:numPr>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三、采购标的的其他技术、服务等要求</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需求标准见《商品包装政府采购需求标准（试行）》《快递包装政府采购需求标准（试行）》（财办库〔2020〕123号）、《绿色数据中心政府采购需求标准（试行）》（财库〔2023〕7号）。</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rPr>
        <w:t xml:space="preserve">四、验收及</w:t>
      </w:r>
      <w:r>
        <w:rPr>
          <w:rFonts w:hint="eastAsia" w:ascii="宋体" w:hAnsi="宋体" w:cs="宋体"/>
          <w:b/>
          <w:bCs/>
          <w:sz w:val="28"/>
          <w:szCs w:val="28"/>
          <w:highlight w:val="none"/>
          <w:lang w:val="zh-CN"/>
        </w:rPr>
        <w:t xml:space="preserve">付款</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1、补贴标准：</w:t>
      </w:r>
      <w:r/>
    </w:p>
    <w:p>
      <w:pPr>
        <w:rPr>
          <w:highlight w:val="none"/>
        </w:rPr>
      </w:pPr>
      <w:r>
        <w:rPr>
          <w:rFonts w:hint="eastAsia"/>
          <w:highlight w:val="none"/>
        </w:rPr>
        <w:t xml:space="preserve">    </w:t>
      </w:r>
      <w:r/>
    </w:p>
    <w:tbl>
      <w:tblPr>
        <w:tblStyle w:val="804"/>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1560"/>
        <w:gridCol w:w="850"/>
        <w:gridCol w:w="1418"/>
        <w:gridCol w:w="1559"/>
      </w:tblGrid>
      <w:tr>
        <w:trPr>
          <w:trHeight w:val="603"/>
        </w:trPr>
        <w:tc>
          <w:tcPr>
            <w:tcW w:w="1809" w:type="dxa"/>
            <w:textDirection w:val="lrTb"/>
            <w:noWrap w:val="false"/>
          </w:tcPr>
          <w:p>
            <w:pPr>
              <w:jc w:val="center"/>
              <w:rPr>
                <w:highlight w:val="none"/>
              </w:rPr>
            </w:pPr>
            <w:r>
              <w:rPr>
                <w:rFonts w:hint="eastAsia"/>
                <w:highlight w:val="none"/>
              </w:rPr>
              <w:t xml:space="preserve"> 类别</w:t>
            </w:r>
            <w:r/>
          </w:p>
          <w:p>
            <w:pPr>
              <w:jc w:val="center"/>
              <w:rPr>
                <w:highlight w:val="none"/>
              </w:rPr>
            </w:pPr>
            <w:r>
              <w:rPr>
                <w:highlight w:val="none"/>
              </w:rPr>
            </w:r>
            <w:r/>
          </w:p>
          <w:p>
            <w:pPr>
              <w:jc w:val="left"/>
              <w:rPr>
                <w:highlight w:val="none"/>
              </w:rPr>
            </w:pPr>
            <w:r>
              <w:rPr>
                <w:rFonts w:hint="eastAsia"/>
                <w:highlight w:val="none"/>
              </w:rPr>
              <w:t xml:space="preserve">数量</w:t>
            </w:r>
            <w:r/>
          </w:p>
        </w:tc>
        <w:tc>
          <w:tcPr>
            <w:tcW w:w="1701" w:type="dxa"/>
            <w:vAlign w:val="center"/>
            <w:textDirection w:val="lrTb"/>
            <w:noWrap w:val="false"/>
          </w:tcPr>
          <w:p>
            <w:pPr>
              <w:jc w:val="center"/>
              <w:rPr>
                <w:highlight w:val="none"/>
              </w:rPr>
            </w:pPr>
            <w:r>
              <w:rPr>
                <w:rFonts w:hint="eastAsia"/>
                <w:highlight w:val="none"/>
              </w:rPr>
              <w:t xml:space="preserve">猪体长≥50CM补贴限价</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补贴限价</w:t>
            </w:r>
            <w:r/>
          </w:p>
        </w:tc>
        <w:tc>
          <w:tcPr>
            <w:tcBorders>
              <w:left w:val="single" w:color="auto" w:sz="4" w:space="0"/>
              <w:right w:val="single" w:color="auto" w:sz="4" w:space="0"/>
            </w:tcBorders>
            <w:tcW w:w="850" w:type="dxa"/>
            <w:vAlign w:val="center"/>
            <w:textDirection w:val="lrTb"/>
            <w:noWrap w:val="false"/>
          </w:tcPr>
          <w:p>
            <w:pPr>
              <w:jc w:val="center"/>
              <w:rPr>
                <w:highlight w:val="none"/>
              </w:rPr>
            </w:pPr>
            <w:r>
              <w:rPr>
                <w:rFonts w:hint="eastAsia"/>
                <w:highlight w:val="none"/>
              </w:rPr>
              <w:t xml:space="preserve">中标</w:t>
            </w:r>
            <w:r/>
          </w:p>
          <w:p>
            <w:pPr>
              <w:jc w:val="center"/>
              <w:rPr>
                <w:highlight w:val="none"/>
              </w:rPr>
            </w:pPr>
            <w:r>
              <w:rPr>
                <w:rFonts w:hint="eastAsia"/>
                <w:highlight w:val="none"/>
              </w:rPr>
              <w:t xml:space="preserve">优惠率（%）</w:t>
            </w:r>
            <w:r/>
          </w:p>
        </w:tc>
        <w:tc>
          <w:tcPr>
            <w:tcBorders>
              <w:left w:val="single" w:color="auto" w:sz="4" w:space="0"/>
              <w:right w:val="single" w:color="auto" w:sz="4" w:space="0"/>
            </w:tcBorders>
            <w:tcW w:w="1418"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结算补贴价</w:t>
            </w:r>
            <w:r/>
          </w:p>
        </w:tc>
        <w:tc>
          <w:tcPr>
            <w:tcBorders>
              <w:left w:val="single" w:color="auto" w:sz="4" w:space="0"/>
            </w:tcBorders>
            <w:tcW w:w="1559"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结算补贴价</w:t>
            </w:r>
            <w:r/>
          </w:p>
        </w:tc>
      </w:tr>
      <w:tr>
        <w:trPr>
          <w:trHeight w:val="413"/>
        </w:trPr>
        <w:tc>
          <w:tcPr>
            <w:tcW w:w="1809" w:type="dxa"/>
            <w:vAlign w:val="center"/>
            <w:textDirection w:val="lrTb"/>
            <w:noWrap w:val="false"/>
          </w:tcPr>
          <w:p>
            <w:pPr>
              <w:jc w:val="center"/>
              <w:rPr>
                <w:highlight w:val="none"/>
              </w:rPr>
            </w:pPr>
            <w:r>
              <w:rPr>
                <w:rFonts w:hint="eastAsia"/>
                <w:highlight w:val="none"/>
              </w:rPr>
              <w:t xml:space="preserve">0-2万(含)</w:t>
            </w:r>
            <w:r/>
          </w:p>
        </w:tc>
        <w:tc>
          <w:tcPr>
            <w:tcW w:w="1701" w:type="dxa"/>
            <w:vAlign w:val="center"/>
            <w:textDirection w:val="lrTb"/>
            <w:noWrap w:val="false"/>
          </w:tcPr>
          <w:p>
            <w:pPr>
              <w:jc w:val="center"/>
              <w:rPr>
                <w:highlight w:val="none"/>
              </w:rPr>
            </w:pPr>
            <w:r>
              <w:rPr>
                <w:rFonts w:hint="eastAsia"/>
                <w:highlight w:val="none"/>
              </w:rPr>
              <w:t xml:space="preserve">45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35 元/头</w:t>
            </w:r>
            <w:r/>
          </w:p>
        </w:tc>
        <w:tc>
          <w:tcPr>
            <w:tcBorders>
              <w:left w:val="single" w:color="auto" w:sz="4" w:space="0"/>
              <w:right w:val="single" w:color="auto" w:sz="4" w:space="0"/>
            </w:tcBorders>
            <w:tcW w:w="850" w:type="dxa"/>
            <w:vMerge w:val="restart"/>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561"/>
        </w:trPr>
        <w:tc>
          <w:tcPr>
            <w:tcW w:w="1809" w:type="dxa"/>
            <w:vAlign w:val="center"/>
            <w:textDirection w:val="lrTb"/>
            <w:noWrap w:val="false"/>
          </w:tcPr>
          <w:p>
            <w:pPr>
              <w:jc w:val="center"/>
              <w:rPr>
                <w:highlight w:val="none"/>
              </w:rPr>
            </w:pPr>
            <w:r>
              <w:rPr>
                <w:rFonts w:hint="eastAsia"/>
                <w:highlight w:val="none"/>
              </w:rPr>
              <w:t xml:space="preserve">2-4万(含)</w:t>
            </w:r>
            <w:r/>
          </w:p>
        </w:tc>
        <w:tc>
          <w:tcPr>
            <w:tcW w:w="1701" w:type="dxa"/>
            <w:vAlign w:val="center"/>
            <w:textDirection w:val="lrTb"/>
            <w:noWrap w:val="false"/>
          </w:tcPr>
          <w:p>
            <w:pPr>
              <w:jc w:val="center"/>
              <w:rPr>
                <w:highlight w:val="none"/>
              </w:rPr>
            </w:pPr>
            <w:r>
              <w:rPr>
                <w:rFonts w:hint="eastAsia"/>
                <w:highlight w:val="none"/>
              </w:rPr>
              <w:t xml:space="preserve">40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31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413"/>
        </w:trPr>
        <w:tc>
          <w:tcPr>
            <w:tcW w:w="1809" w:type="dxa"/>
            <w:vAlign w:val="center"/>
            <w:textDirection w:val="lrTb"/>
            <w:noWrap w:val="false"/>
          </w:tcPr>
          <w:p>
            <w:pPr>
              <w:jc w:val="center"/>
              <w:rPr>
                <w:highlight w:val="none"/>
              </w:rPr>
            </w:pPr>
            <w:r>
              <w:rPr>
                <w:rFonts w:hint="eastAsia"/>
                <w:highlight w:val="none"/>
              </w:rPr>
              <w:t xml:space="preserve">4-6万(含)</w:t>
            </w:r>
            <w:r/>
          </w:p>
        </w:tc>
        <w:tc>
          <w:tcPr>
            <w:tcW w:w="1701" w:type="dxa"/>
            <w:vAlign w:val="center"/>
            <w:textDirection w:val="lrTb"/>
            <w:noWrap w:val="false"/>
          </w:tcPr>
          <w:p>
            <w:pPr>
              <w:jc w:val="center"/>
              <w:rPr>
                <w:highlight w:val="none"/>
              </w:rPr>
            </w:pPr>
            <w:r>
              <w:rPr>
                <w:rFonts w:hint="eastAsia"/>
                <w:highlight w:val="none"/>
              </w:rPr>
              <w:t xml:space="preserve">30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23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419"/>
        </w:trPr>
        <w:tc>
          <w:tcPr>
            <w:tcW w:w="1809" w:type="dxa"/>
            <w:vAlign w:val="center"/>
            <w:textDirection w:val="lrTb"/>
            <w:noWrap w:val="false"/>
          </w:tcPr>
          <w:p>
            <w:pPr>
              <w:jc w:val="center"/>
              <w:rPr>
                <w:highlight w:val="none"/>
              </w:rPr>
            </w:pPr>
            <w:r>
              <w:rPr>
                <w:rFonts w:hint="eastAsia"/>
                <w:highlight w:val="none"/>
              </w:rPr>
              <w:t xml:space="preserve">6万以上</w:t>
            </w:r>
            <w:r/>
          </w:p>
        </w:tc>
        <w:tc>
          <w:tcPr>
            <w:tcW w:w="1701" w:type="dxa"/>
            <w:vAlign w:val="center"/>
            <w:textDirection w:val="lrTb"/>
            <w:noWrap w:val="false"/>
          </w:tcPr>
          <w:p>
            <w:pPr>
              <w:jc w:val="center"/>
              <w:rPr>
                <w:highlight w:val="none"/>
              </w:rPr>
            </w:pPr>
            <w:r>
              <w:rPr>
                <w:rFonts w:hint="eastAsia"/>
                <w:highlight w:val="none"/>
              </w:rPr>
              <w:t xml:space="preserve">20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15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910"/>
        </w:trPr>
        <w:tc>
          <w:tcPr>
            <w:gridSpan w:val="6"/>
            <w:tcW w:w="8897" w:type="dxa"/>
            <w:vAlign w:val="center"/>
            <w:textDirection w:val="lrTb"/>
            <w:noWrap w:val="false"/>
          </w:tcPr>
          <w:p>
            <w:pPr>
              <w:rPr>
                <w:rFonts w:hint="eastAsia" w:ascii="宋体" w:hAnsi="宋体"/>
                <w:highlight w:val="none"/>
              </w:rPr>
            </w:pPr>
            <w:r>
              <w:rPr>
                <w:rFonts w:hint="eastAsia"/>
                <w:highlight w:val="none"/>
              </w:rPr>
              <w:t xml:space="preserve">注：</w:t>
            </w:r>
            <w:r>
              <w:rPr>
                <w:rFonts w:hint="eastAsia" w:ascii="宋体" w:hAnsi="宋体"/>
                <w:highlight w:val="none"/>
              </w:rPr>
              <w:t xml:space="preserve">①病死牛羊禽按照苏农便(2021)189号文件规定，体长50cm 以上的病死猪为一个猪单位,60羽禽折算一个猪单位、一头牛折算5个猪单位、一只羊折算1个猪单位。</w:t>
            </w:r>
            <w:r/>
          </w:p>
          <w:p>
            <w:pPr>
              <w:ind w:firstLine="422"/>
              <w:rPr>
                <w:b/>
                <w:bCs/>
                <w:highlight w:val="none"/>
              </w:rPr>
            </w:pPr>
            <w:r>
              <w:rPr>
                <w:rFonts w:hint="eastAsia" w:ascii="宋体" w:hAnsi="宋体"/>
                <w:b/>
                <w:bCs/>
                <w:highlight w:val="none"/>
              </w:rPr>
              <w:t xml:space="preserve">②结算补贴价=补贴限价*（1-中标优惠率）</w:t>
            </w:r>
            <w:r/>
          </w:p>
        </w:tc>
      </w:tr>
    </w:tbl>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2、结算数量：以启东市各乡镇盖章的《区镇无害化分月汇总表》结算，按月统计，每半年汇总。（具体以采购人审核结果为准）</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3、支付方式：</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处理费=结算补贴价*结算审核数量</w:t>
      </w:r>
      <w:r/>
    </w:p>
    <w:p>
      <w:pPr>
        <w:contextualSpacing/>
        <w:ind w:right="-1" w:firstLine="560"/>
        <w:spacing w:line="440" w:lineRule="exact"/>
        <w:rPr>
          <w:rFonts w:hint="eastAsia" w:ascii="宋体" w:hAnsi="宋体" w:cs="宋体"/>
          <w:sz w:val="28"/>
          <w:szCs w:val="28"/>
          <w:highlight w:val="none"/>
        </w:rPr>
      </w:pPr>
      <w:r>
        <w:rPr>
          <w:rFonts w:hint="eastAsia" w:ascii="宋体" w:hAnsi="宋体" w:cs="宋体"/>
          <w:bCs/>
          <w:sz w:val="28"/>
          <w:szCs w:val="28"/>
          <w:highlight w:val="none"/>
        </w:rPr>
        <w:t xml:space="preserve">正常运营半年期满后，采购人根据1-6月《区镇无害化分月汇总表》的汇总量和启东市各保险公司理赔数据进行审核（处理数量应大于等于理赔数量），按照采购人结算审核数量支付处理费的100%；一年运营期满后，采购人根据7-12月《区镇无害化分月汇总表》的汇总量和启东市各保险公司理赔数据进行审核（处理数量应大于等于理赔数量），按照采购人结算审核数量支付处理费的100%。（试运营期间按实结算）</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注：①若全年度处理费不足240万元时，按240万元结算，且在一年运营期满随处理费一并结算支付；若超过240万元的，则按照实际处理量结算，全年度处理费最高限额为330万元，超过最高限额的采购人不再支付处理费，但成交供应商须无偿承担该部分处理工作；②每次支付处理费用时须扣除考核费用（考核标准附后），例如：全年处理费用不足240万元，且因考核扣除10万元，则实际支付中标人240-10=230万元；③</w:t>
      </w:r>
      <w:r>
        <w:rPr>
          <w:rFonts w:hint="eastAsia" w:ascii="宋体" w:hAnsi="宋体" w:cs="宋体"/>
          <w:sz w:val="28"/>
          <w:szCs w:val="28"/>
          <w:highlight w:val="none"/>
        </w:rPr>
        <w:t xml:space="preserve">若成交供应商因自身原因无法继续运营的，则须提前3个月向采购人书面提出要求停运的申请，经采购人同意后方可停运，否则，扣除全额未支付的处理费，并扣除全部履约保证金。</w:t>
      </w:r>
      <w:r/>
    </w:p>
    <w:p>
      <w:pPr>
        <w:contextualSpacing/>
        <w:ind w:right="-1" w:firstLine="280"/>
        <w:spacing w:line="440" w:lineRule="exact"/>
        <w:rPr>
          <w:rFonts w:hint="eastAsia" w:hAnsi="宋体" w:cs="宋体"/>
          <w:bCs/>
          <w:sz w:val="28"/>
          <w:szCs w:val="28"/>
          <w:highlight w:val="none"/>
        </w:rPr>
      </w:pPr>
      <w:r>
        <w:rPr>
          <w:rFonts w:hint="eastAsia" w:ascii="宋体" w:hAnsi="宋体" w:cs="宋体"/>
          <w:bCs/>
          <w:sz w:val="28"/>
          <w:szCs w:val="28"/>
          <w:highlight w:val="none"/>
        </w:rPr>
        <w:t xml:space="preserve">4、</w:t>
      </w:r>
      <w:r>
        <w:rPr>
          <w:rFonts w:hint="eastAsia" w:hAnsi="宋体" w:cs="宋体"/>
          <w:bCs/>
          <w:sz w:val="28"/>
          <w:szCs w:val="28"/>
          <w:highlight w:val="none"/>
        </w:rPr>
        <w:t xml:space="preserve">成交供应商发生下述情形的，经采购人核实确认后，在处理费付款时予以扣减：</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①因污水、废气处理不达标被环保部门查实处理的，除承担相关处罚及罚金外，另扣2万元/起；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②区镇通知后未及时处理的，扣5000元/起。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③收集运输过程中发生泄漏等不规范造成区镇污染情况的，扣1万元/起。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④生产过程中因操作不当发生事故的，扣1万元/起。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⑤无故不接受驻场官方兽医监督、指导的，扣1万元/起。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⑥使用不符合密闭、耐腐蚀、防渗漏、安装定位系统、视频监控设备、车厢印有“动物无害化处理”标识等规定的车辆运输病死或病害畜禽及畜禽产品的，扣1万元/起。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⑦未做好无害化处理和产物出场记录的，扣1万元/起。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⑧在销售处理产物时，未按规定审查资质手续、签订销售合同、报市农业农村局备案的，扣1万元/起。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⑨无故不配合保处联动的，扣1万元/起。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⑩若半年度考核扣款超过15万元，则采购人将终止合同，并扣除履约保证金的50%；全年累计扣款超过20万元的，则不再续签下一年度合同，同时扣除全额履约保证金。</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rPr>
        <w:t xml:space="preserve">五</w:t>
      </w:r>
      <w:r>
        <w:rPr>
          <w:rFonts w:hint="eastAsia" w:ascii="宋体" w:hAnsi="宋体" w:cs="宋体"/>
          <w:b/>
          <w:bCs/>
          <w:sz w:val="28"/>
          <w:szCs w:val="28"/>
          <w:highlight w:val="none"/>
          <w:lang w:val="zh-CN"/>
        </w:rPr>
        <w:t xml:space="preserve">、履约保证金</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1、</w:t>
      </w:r>
      <w:r>
        <w:rPr>
          <w:rFonts w:hint="eastAsia" w:ascii="宋体" w:hAnsi="宋体" w:cs="宋体"/>
          <w:sz w:val="28"/>
          <w:szCs w:val="28"/>
          <w:highlight w:val="none"/>
          <w:lang w:val="zh-CN"/>
        </w:rPr>
        <w:t xml:space="preserve">本项目成交后的履约保证金为20万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2、</w:t>
      </w:r>
      <w:r>
        <w:rPr>
          <w:rFonts w:hint="eastAsia" w:ascii="宋体" w:hAnsi="宋体" w:cs="宋体"/>
          <w:sz w:val="28"/>
          <w:szCs w:val="28"/>
          <w:highlight w:val="none"/>
          <w:lang w:val="zh-CN"/>
        </w:rPr>
        <w:t xml:space="preserve">成交供应商全部履约合同义务，经采购单位验收合格无质量、进度等问题的，采购人在验收合格后</w:t>
      </w:r>
      <w:r>
        <w:rPr>
          <w:rFonts w:hint="eastAsia" w:ascii="宋体" w:hAnsi="宋体" w:cs="宋体"/>
          <w:sz w:val="28"/>
          <w:szCs w:val="28"/>
          <w:highlight w:val="none"/>
        </w:rPr>
        <w:t xml:space="preserve">30个工作日内</w:t>
      </w:r>
      <w:r>
        <w:rPr>
          <w:rFonts w:hint="eastAsia" w:ascii="宋体" w:hAnsi="宋体" w:cs="宋体"/>
          <w:sz w:val="28"/>
          <w:szCs w:val="28"/>
          <w:highlight w:val="none"/>
          <w:lang w:val="zh-CN"/>
        </w:rPr>
        <w:t xml:space="preserve">一次性退还履约保证金。</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3、</w:t>
      </w:r>
      <w:r>
        <w:rPr>
          <w:rFonts w:hint="eastAsia" w:ascii="宋体" w:hAnsi="宋体" w:cs="宋体"/>
          <w:sz w:val="28"/>
          <w:szCs w:val="28"/>
          <w:highlight w:val="none"/>
          <w:lang w:val="zh-CN"/>
        </w:rPr>
        <w:t xml:space="preserve">发生以下情况的，履约保证金不予退还或部分退还：</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a.签订合同后，成交供应商不履行合同义务的，采购单位有权全额扣除履约保证金，同时采购单位亦有权终止合同，成交供应商还须承担相应的法律赔偿责任。</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lang w:val="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六、本项目（不接受）进口产品参与。</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七、合同条款</w:t>
      </w:r>
      <w:r/>
    </w:p>
    <w:p>
      <w:pPr>
        <w:ind w:firstLine="480"/>
        <w:jc w:val="left"/>
        <w:keepLines w:val="0"/>
        <w:keepNext w:val="0"/>
        <w:pageBreakBefore w:val="0"/>
        <w:spacing w:line="440" w:lineRule="exact"/>
        <w:widowControl/>
        <w:rPr>
          <w:rFonts w:hint="eastAsia" w:ascii="宋体" w:hAnsi="宋体" w:cs="宋体"/>
          <w:sz w:val="24"/>
          <w:u w:val="single"/>
        </w:rPr>
      </w:pPr>
      <w:r>
        <w:rPr>
          <w:rFonts w:hint="eastAsia" w:ascii="宋体" w:hAnsi="宋体" w:cs="宋体"/>
          <w:sz w:val="24"/>
        </w:rPr>
        <w:t xml:space="preserve">采购人（以下简称“甲方”）：</w:t>
      </w:r>
      <w:r>
        <w:rPr>
          <w:rFonts w:hint="eastAsia" w:ascii="宋体" w:hAnsi="宋体" w:cs="宋体"/>
          <w:sz w:val="24"/>
          <w:u w:val="single"/>
        </w:rPr>
        <w:t xml:space="preserve">                        </w:t>
      </w:r>
      <w:r/>
    </w:p>
    <w:p>
      <w:pPr>
        <w:ind w:firstLine="480"/>
        <w:jc w:val="left"/>
        <w:keepLines w:val="0"/>
        <w:keepNext w:val="0"/>
        <w:pageBreakBefore w:val="0"/>
        <w:spacing w:line="440" w:lineRule="exact"/>
        <w:widowControl/>
        <w:rPr>
          <w:rFonts w:hint="eastAsia" w:ascii="宋体" w:hAnsi="宋体" w:cs="宋体"/>
          <w:sz w:val="24"/>
          <w:u w:val="single"/>
        </w:rPr>
      </w:pPr>
      <w:r>
        <w:rPr>
          <w:rFonts w:hint="eastAsia" w:ascii="宋体" w:hAnsi="宋体" w:cs="宋体"/>
          <w:sz w:val="24"/>
        </w:rPr>
        <w:t xml:space="preserve">成交供应商（以下简称“乙方”）：</w:t>
      </w:r>
      <w:r>
        <w:rPr>
          <w:rFonts w:hint="eastAsia" w:ascii="宋体" w:hAnsi="宋体" w:cs="宋体"/>
          <w:sz w:val="24"/>
          <w:u w:val="single"/>
        </w:rPr>
        <w:t xml:space="preserve">                    </w:t>
      </w:r>
      <w:r/>
    </w:p>
    <w:p>
      <w:pPr>
        <w:ind w:firstLine="480"/>
        <w:jc w:val="left"/>
        <w:keepLines w:val="0"/>
        <w:keepNext w:val="0"/>
        <w:pageBreakBefore w:val="0"/>
        <w:spacing w:line="440" w:lineRule="exact"/>
        <w:widowControl/>
        <w:rPr>
          <w:rFonts w:hint="eastAsia" w:ascii="宋体" w:hAnsi="宋体" w:cs="宋体"/>
          <w:sz w:val="24"/>
        </w:rPr>
      </w:pPr>
      <w:r>
        <w:rPr>
          <w:rFonts w:hint="eastAsia" w:ascii="宋体" w:hAnsi="宋体" w:cs="宋体"/>
          <w:sz w:val="24"/>
        </w:rPr>
        <w:t xml:space="preserve">根据《中华人民共和国民法典》、《中华人民共和国政府采购法》等法律法规的规定以及</w:t>
      </w:r>
      <w:r>
        <w:rPr>
          <w:rFonts w:hint="eastAsia" w:ascii="宋体" w:hAnsi="宋体" w:cs="宋体"/>
          <w:sz w:val="24"/>
          <w:u w:val="single"/>
        </w:rPr>
        <w:t xml:space="preserve"> 启东市农业废弃物处理中心市场化运营服务项目</w:t>
      </w:r>
      <w:r>
        <w:rPr>
          <w:rFonts w:hint="eastAsia" w:ascii="宋体" w:hAnsi="宋体" w:cs="宋体"/>
          <w:sz w:val="24"/>
        </w:rPr>
        <w:t xml:space="preserve">采购结果，甲乙双方遵循平等、自愿、公平、诚实信用的原则，就</w:t>
      </w:r>
      <w:r>
        <w:rPr>
          <w:rFonts w:hint="eastAsia" w:ascii="宋体" w:hAnsi="宋体" w:cs="宋体"/>
          <w:sz w:val="24"/>
          <w:u w:val="single"/>
        </w:rPr>
        <w:t xml:space="preserve">启东市农业废弃物处理中心市场化运营服务项目</w:t>
      </w:r>
      <w:r>
        <w:rPr>
          <w:rFonts w:hint="eastAsia" w:ascii="宋体" w:hAnsi="宋体" w:cs="宋体"/>
          <w:sz w:val="24"/>
        </w:rPr>
        <w:t xml:space="preserve">事宜经双方协商一致，订立本合同。</w:t>
      </w:r>
      <w:r/>
    </w:p>
    <w:p>
      <w:pPr>
        <w:pStyle w:val="787"/>
        <w:ind w:firstLine="482"/>
        <w:keepLines w:val="0"/>
        <w:keepNext w:val="0"/>
        <w:pageBreakBefore w:val="0"/>
        <w:spacing w:line="440" w:lineRule="exact"/>
        <w:rPr>
          <w:rFonts w:hint="eastAsia" w:hAnsi="宋体" w:cs="宋体"/>
          <w:b/>
          <w:bCs/>
          <w:sz w:val="24"/>
        </w:rPr>
        <w:outlineLvl w:val="0"/>
      </w:pPr>
      <w:r>
        <w:rPr>
          <w:rFonts w:hint="eastAsia" w:hAnsi="宋体" w:cs="宋体"/>
          <w:b/>
          <w:bCs/>
          <w:sz w:val="24"/>
        </w:rPr>
        <w:t xml:space="preserve">一、合同内容</w:t>
      </w:r>
      <w:r/>
    </w:p>
    <w:p>
      <w:pPr>
        <w:pStyle w:val="787"/>
        <w:ind w:firstLine="480"/>
        <w:keepLines w:val="0"/>
        <w:keepNext w:val="0"/>
        <w:pageBreakBefore w:val="0"/>
        <w:spacing w:line="440" w:lineRule="exact"/>
        <w:rPr>
          <w:rFonts w:hint="eastAsia" w:hAnsi="宋体" w:cs="宋体"/>
          <w:b/>
          <w:sz w:val="24"/>
        </w:rPr>
        <w:outlineLvl w:val="0"/>
      </w:pPr>
      <w:r>
        <w:rPr>
          <w:rFonts w:hint="eastAsia" w:hAnsi="宋体" w:cs="宋体"/>
          <w:sz w:val="24"/>
        </w:rPr>
        <w:t xml:space="preserve">1、服务内容：乙方全权负责生物无害化转化中心的运营管理，完成全市病死动物的无害化收集和处理任务。</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2、总体要求</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1）本项目要求乙方全权负责启东市农业废弃物处理中心运营的一切事宜及费用，包括但不限于运营团队人员配备、岗位设置及工人工资，废水外运及处置费用、废气、噪音、固体废弃物等的环保处理及费用，设备设施的保养维修等。</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甲方以现状交付乙方运营，若需增添非必须设备，则由乙方自行采购并承担费用。甲方移交的设备设施，乙方须做好相应的维保工作，合同期满，须完好无损地移交给甲方，否则，由乙方承担由此产生的所有后果与损失。</w:t>
      </w:r>
      <w:r/>
    </w:p>
    <w:p>
      <w:pPr>
        <w:pStyle w:val="787"/>
        <w:ind w:firstLine="482"/>
        <w:keepLines w:val="0"/>
        <w:keepNext w:val="0"/>
        <w:pageBreakBefore w:val="0"/>
        <w:spacing w:line="440" w:lineRule="exact"/>
        <w:rPr>
          <w:rFonts w:hint="eastAsia" w:hAnsi="宋体" w:cs="宋体"/>
          <w:sz w:val="24"/>
        </w:rPr>
        <w:outlineLvl w:val="0"/>
      </w:pPr>
      <w:r>
        <w:rPr>
          <w:rFonts w:hint="eastAsia" w:hAnsi="宋体" w:cs="宋体"/>
          <w:sz w:val="24"/>
        </w:rPr>
        <w:t xml:space="preserve">（3）若需增添必须设备，需经采购方确认，费用由乙方承担。若运营期满甲方不再与乙方签约的，则乙方在运营期内投入的必须设施设备，经甲方邀请第三方出具评估报告后，由本项目重新采购确定的成交供应商按评估价回购或自行拆除，并回复甲方移交的设备设施的正常运行。</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（4）若在运营期内发生设备故障的，则乙方须在2个工作日内维修到位，并及时投入运营，不得出现由此引起的各种负面影响及矛盾。</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（5）乙方须承担运营过程中的各项意外伤害与安全风险、相关部门的处罚等（如环保部门的罚款），其费用由乙方承担。</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6）若乙方因自身原因无法继续运营的，则须提前3个月向甲方书面提出要求停运的申请，经甲方同意后方可停运，否则，扣除全额未支付的处理费，并扣除全部履约保证金。若因乙方自身原因造成转化中心停运的，则自停运之日起取消财政补贴，且乙方自行投入的或回购的设施设备甲方或下一轮成交商不作回购处理，且不得影响甲方移交时固定资产的安全使用。</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（7）乙方发生合同约定扣减处理费情形的，除承担相应的行政处罚外，并承担由此引起的法律责任与赔偿。</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3、服务提供的时间、地点</w:t>
      </w:r>
      <w:r/>
    </w:p>
    <w:p>
      <w:pPr>
        <w:pStyle w:val="787"/>
        <w:ind w:firstLine="482"/>
        <w:keepLines w:val="0"/>
        <w:keepNext w:val="0"/>
        <w:pageBreakBefore w:val="0"/>
        <w:spacing w:line="440" w:lineRule="exact"/>
        <w:rPr>
          <w:rFonts w:hint="eastAsia" w:hAnsi="宋体" w:cs="宋体"/>
          <w:sz w:val="24"/>
        </w:rPr>
        <w:outlineLvl w:val="0"/>
      </w:pPr>
      <w:r>
        <w:rPr>
          <w:rFonts w:hint="eastAsia" w:hAnsi="宋体" w:cs="宋体"/>
          <w:sz w:val="24"/>
        </w:rPr>
        <w:t xml:space="preserve">（1）服务期限：本项目预算费用为每年330万元（本项目预算为一年度的预算，根据《</w:t>
      </w:r>
      <w:r>
        <w:rPr>
          <w:rFonts w:hint="eastAsia" w:hAnsi="宋体" w:cs="宋体"/>
          <w:sz w:val="24"/>
        </w:rPr>
        <w:t xml:space="preserve">政府购买服务管理办法》第二十四条规定，本项目根据采购结果，采取一次招标三年沿用。一年合同期满后，甲方未获得预算批复或因政策变化采购需求取消，则经甲方书面通知供应商后，合同到期终止不再续签，或受疫情等不可抗力的影响，次年预算压减，甲方也将根据新的预算重新采购，供应商自行承担相应风险。），服务期自合同签订之日起一年，实行一年一考核一续签合同的办法，甲方有权单方决定是否续签后一年度合同，除政策性调整(如最低工资等)外，合同金额不作改变。如果乙方没有达到合同所要求履行条件之一的，则甲方有权在委托期限内随时终止合同。</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（2）服务地点：启东市农业废弃物处理中心。</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（3）服务周期：原运行单位合同到期日起计算一年，具体以甲方发出的书面运营通知为准。</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4、其它事项</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乙方须在收到甲方发出的书面运营通知当天进场开展动物无害化处置工作。若乙方延期进场开展各项处置工作或虽进场但无实质性进展的，则甲方有权根据情节严重程度进行处罚直至取消中标资格，且甲方有权除处罚外，罚没全额履约保证金，对甲方造成损失的予以赔偿；同时甲方有权上报相关主管部门将对乙方作以下处理：记入不良信誉，并按《政府采购法》有关规定，暂停其在启东市场的政府采购投标资格。</w:t>
      </w:r>
      <w:r/>
    </w:p>
    <w:p>
      <w:pPr>
        <w:pStyle w:val="787"/>
        <w:ind w:firstLine="482"/>
        <w:keepLines w:val="0"/>
        <w:keepNext w:val="0"/>
        <w:pageBreakBefore w:val="0"/>
        <w:spacing w:line="440" w:lineRule="exact"/>
        <w:rPr>
          <w:rFonts w:hint="eastAsia" w:hAnsi="宋体" w:cs="宋体"/>
          <w:b/>
          <w:sz w:val="24"/>
        </w:rPr>
        <w:outlineLvl w:val="0"/>
      </w:pPr>
      <w:r>
        <w:rPr>
          <w:rFonts w:hint="eastAsia" w:hAnsi="宋体" w:cs="宋体"/>
          <w:b/>
          <w:sz w:val="24"/>
        </w:rPr>
        <w:t xml:space="preserve">二、 合同金额及支付方式</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1、补贴标准：</w:t>
      </w:r>
      <w:r/>
    </w:p>
    <w:tbl>
      <w:tblPr>
        <w:tblStyle w:val="804"/>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1560"/>
        <w:gridCol w:w="850"/>
        <w:gridCol w:w="1418"/>
        <w:gridCol w:w="1559"/>
      </w:tblGrid>
      <w:tr>
        <w:trPr>
          <w:trHeight w:val="603"/>
        </w:trPr>
        <w:tc>
          <w:tcPr>
            <w:tcW w:w="1809"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1701"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1560"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c>
          <w:tcPr>
            <w:tcBorders>
              <w:left w:val="single" w:color="auto" w:sz="4" w:space="0"/>
              <w:right w:val="single" w:color="auto" w:sz="4" w:space="0"/>
            </w:tcBorders>
            <w:tcW w:w="850" w:type="dxa"/>
            <w:vAlign w:val="center"/>
            <w:textDirection w:val="lrTb"/>
            <w:noWrap w:val="false"/>
          </w:tcPr>
          <w:p>
            <w:pPr>
              <w:jc w:val="center"/>
            </w:pPr>
            <w:r>
              <w:rPr>
                <w:rFonts w:hint="eastAsia"/>
              </w:rPr>
              <w:t xml:space="preserve">中标</w:t>
            </w:r>
            <w:r/>
          </w:p>
          <w:p>
            <w:pPr>
              <w:jc w:val="center"/>
            </w:pPr>
            <w:r>
              <w:rPr>
                <w:rFonts w:hint="eastAsia"/>
              </w:rPr>
              <w:t xml:space="preserve">优惠率（%）</w:t>
            </w:r>
            <w:r/>
          </w:p>
        </w:tc>
        <w:tc>
          <w:tcPr>
            <w:tcBorders>
              <w:left w:val="single" w:color="auto" w:sz="4" w:space="0"/>
              <w:right w:val="single" w:color="auto" w:sz="4" w:space="0"/>
            </w:tcBorders>
            <w:tcW w:w="1418" w:type="dxa"/>
            <w:vAlign w:val="center"/>
            <w:textDirection w:val="lrTb"/>
            <w:noWrap w:val="false"/>
          </w:tcPr>
          <w:p>
            <w:pPr>
              <w:jc w:val="center"/>
            </w:pPr>
            <w:r>
              <w:rPr>
                <w:rFonts w:hint="eastAsia"/>
              </w:rPr>
              <w:t xml:space="preserve">猪体长≥50CM</w:t>
            </w:r>
            <w:r/>
          </w:p>
          <w:p>
            <w:pPr>
              <w:jc w:val="center"/>
            </w:pPr>
            <w:r>
              <w:rPr>
                <w:rFonts w:hint="eastAsia"/>
              </w:rPr>
              <w:t xml:space="preserve">结算补贴价</w:t>
            </w:r>
            <w:r/>
          </w:p>
        </w:tc>
        <w:tc>
          <w:tcPr>
            <w:tcBorders>
              <w:left w:val="single" w:color="auto" w:sz="4" w:space="0"/>
            </w:tcBorders>
            <w:tcW w:w="1559" w:type="dxa"/>
            <w:vAlign w:val="center"/>
            <w:textDirection w:val="lrTb"/>
            <w:noWrap w:val="false"/>
          </w:tcPr>
          <w:p>
            <w:pPr>
              <w:jc w:val="center"/>
            </w:pPr>
            <w:r>
              <w:rPr>
                <w:rFonts w:hint="eastAsia"/>
              </w:rPr>
              <w:t xml:space="preserve">猪体长＜50CM</w:t>
            </w:r>
            <w:r/>
          </w:p>
          <w:p>
            <w:pPr>
              <w:jc w:val="center"/>
            </w:pPr>
            <w:r>
              <w:rPr>
                <w:rFonts w:hint="eastAsia"/>
              </w:rPr>
              <w:t xml:space="preserve">结算补贴价</w:t>
            </w:r>
            <w:r/>
          </w:p>
        </w:tc>
      </w:tr>
      <w:tr>
        <w:trPr>
          <w:trHeight w:val="413"/>
        </w:trPr>
        <w:tc>
          <w:tcPr>
            <w:tcW w:w="1809" w:type="dxa"/>
            <w:vAlign w:val="center"/>
            <w:textDirection w:val="lrTb"/>
            <w:noWrap w:val="false"/>
          </w:tcPr>
          <w:p>
            <w:pPr>
              <w:jc w:val="center"/>
            </w:pPr>
            <w:r>
              <w:rPr>
                <w:rFonts w:hint="eastAsia"/>
              </w:rPr>
              <w:t xml:space="preserve">0-2万(含)</w:t>
            </w:r>
            <w:r/>
          </w:p>
        </w:tc>
        <w:tc>
          <w:tcPr>
            <w:tcW w:w="1701" w:type="dxa"/>
            <w:vAlign w:val="center"/>
            <w:textDirection w:val="lrTb"/>
            <w:noWrap w:val="false"/>
          </w:tcPr>
          <w:p>
            <w:pPr>
              <w:jc w:val="center"/>
            </w:pPr>
            <w:r>
              <w:rPr>
                <w:rFonts w:hint="eastAsia"/>
              </w:rPr>
              <w:t xml:space="preserve">45 元/头</w:t>
            </w:r>
            <w:r/>
          </w:p>
        </w:tc>
        <w:tc>
          <w:tcPr>
            <w:tcBorders>
              <w:right w:val="single" w:color="auto" w:sz="4" w:space="0"/>
            </w:tcBorders>
            <w:tcW w:w="1560" w:type="dxa"/>
            <w:vAlign w:val="center"/>
            <w:textDirection w:val="lrTb"/>
            <w:noWrap w:val="false"/>
          </w:tcPr>
          <w:p>
            <w:pPr>
              <w:jc w:val="center"/>
            </w:pPr>
            <w:r>
              <w:rPr>
                <w:rFonts w:hint="eastAsia"/>
              </w:rPr>
              <w:t xml:space="preserve">35 元/头</w:t>
            </w:r>
            <w:r/>
          </w:p>
        </w:tc>
        <w:tc>
          <w:tcPr>
            <w:tcBorders>
              <w:left w:val="single" w:color="auto" w:sz="4" w:space="0"/>
              <w:right w:val="single" w:color="auto" w:sz="4" w:space="0"/>
            </w:tcBorders>
            <w:tcW w:w="850" w:type="dxa"/>
            <w:vMerge w:val="restart"/>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561"/>
        </w:trPr>
        <w:tc>
          <w:tcPr>
            <w:tcW w:w="1809" w:type="dxa"/>
            <w:vAlign w:val="center"/>
            <w:textDirection w:val="lrTb"/>
            <w:noWrap w:val="false"/>
          </w:tcPr>
          <w:p>
            <w:pPr>
              <w:jc w:val="center"/>
            </w:pPr>
            <w:r>
              <w:rPr>
                <w:rFonts w:hint="eastAsia"/>
              </w:rPr>
              <w:t xml:space="preserve">2-4万(含)</w:t>
            </w:r>
            <w:r/>
          </w:p>
        </w:tc>
        <w:tc>
          <w:tcPr>
            <w:tcW w:w="1701" w:type="dxa"/>
            <w:vAlign w:val="center"/>
            <w:textDirection w:val="lrTb"/>
            <w:noWrap w:val="false"/>
          </w:tcPr>
          <w:p>
            <w:pPr>
              <w:jc w:val="center"/>
            </w:pPr>
            <w:r>
              <w:rPr>
                <w:rFonts w:hint="eastAsia"/>
              </w:rPr>
              <w:t xml:space="preserve">40 元/头</w:t>
            </w:r>
            <w:r/>
          </w:p>
        </w:tc>
        <w:tc>
          <w:tcPr>
            <w:tcBorders>
              <w:right w:val="single" w:color="auto" w:sz="4" w:space="0"/>
            </w:tcBorders>
            <w:tcW w:w="1560" w:type="dxa"/>
            <w:vAlign w:val="center"/>
            <w:textDirection w:val="lrTb"/>
            <w:noWrap w:val="false"/>
          </w:tcPr>
          <w:p>
            <w:pPr>
              <w:jc w:val="center"/>
            </w:pPr>
            <w:r>
              <w:rPr>
                <w:rFonts w:hint="eastAsia"/>
              </w:rPr>
              <w:t xml:space="preserve">31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413"/>
        </w:trPr>
        <w:tc>
          <w:tcPr>
            <w:tcW w:w="1809" w:type="dxa"/>
            <w:vAlign w:val="center"/>
            <w:textDirection w:val="lrTb"/>
            <w:noWrap w:val="false"/>
          </w:tcPr>
          <w:p>
            <w:pPr>
              <w:jc w:val="center"/>
            </w:pPr>
            <w:r>
              <w:rPr>
                <w:rFonts w:hint="eastAsia"/>
              </w:rPr>
              <w:t xml:space="preserve">4-6万(含)</w:t>
            </w:r>
            <w:r/>
          </w:p>
        </w:tc>
        <w:tc>
          <w:tcPr>
            <w:tcW w:w="1701" w:type="dxa"/>
            <w:vAlign w:val="center"/>
            <w:textDirection w:val="lrTb"/>
            <w:noWrap w:val="false"/>
          </w:tcPr>
          <w:p>
            <w:pPr>
              <w:jc w:val="center"/>
            </w:pPr>
            <w:r>
              <w:rPr>
                <w:rFonts w:hint="eastAsia"/>
              </w:rPr>
              <w:t xml:space="preserve">30 元/头</w:t>
            </w:r>
            <w:r/>
          </w:p>
        </w:tc>
        <w:tc>
          <w:tcPr>
            <w:tcBorders>
              <w:right w:val="single" w:color="auto" w:sz="4" w:space="0"/>
            </w:tcBorders>
            <w:tcW w:w="1560" w:type="dxa"/>
            <w:vAlign w:val="center"/>
            <w:textDirection w:val="lrTb"/>
            <w:noWrap w:val="false"/>
          </w:tcPr>
          <w:p>
            <w:pPr>
              <w:jc w:val="center"/>
            </w:pPr>
            <w:r>
              <w:rPr>
                <w:rFonts w:hint="eastAsia"/>
              </w:rPr>
              <w:t xml:space="preserve">23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419"/>
        </w:trPr>
        <w:tc>
          <w:tcPr>
            <w:tcW w:w="1809" w:type="dxa"/>
            <w:vAlign w:val="center"/>
            <w:textDirection w:val="lrTb"/>
            <w:noWrap w:val="false"/>
          </w:tcPr>
          <w:p>
            <w:pPr>
              <w:jc w:val="center"/>
            </w:pPr>
            <w:r>
              <w:rPr>
                <w:rFonts w:hint="eastAsia"/>
              </w:rPr>
              <w:t xml:space="preserve">6万以上</w:t>
            </w:r>
            <w:r/>
          </w:p>
        </w:tc>
        <w:tc>
          <w:tcPr>
            <w:tcW w:w="1701" w:type="dxa"/>
            <w:vAlign w:val="center"/>
            <w:textDirection w:val="lrTb"/>
            <w:noWrap w:val="false"/>
          </w:tcPr>
          <w:p>
            <w:pPr>
              <w:jc w:val="center"/>
            </w:pPr>
            <w:r>
              <w:rPr>
                <w:rFonts w:hint="eastAsia"/>
              </w:rPr>
              <w:t xml:space="preserve">20 元/头</w:t>
            </w:r>
            <w:r/>
          </w:p>
        </w:tc>
        <w:tc>
          <w:tcPr>
            <w:tcBorders>
              <w:right w:val="single" w:color="auto" w:sz="4" w:space="0"/>
            </w:tcBorders>
            <w:tcW w:w="1560" w:type="dxa"/>
            <w:vAlign w:val="center"/>
            <w:textDirection w:val="lrTb"/>
            <w:noWrap w:val="false"/>
          </w:tcPr>
          <w:p>
            <w:pPr>
              <w:jc w:val="center"/>
            </w:pPr>
            <w:r>
              <w:rPr>
                <w:rFonts w:hint="eastAsia"/>
              </w:rPr>
              <w:t xml:space="preserve">15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910"/>
        </w:trPr>
        <w:tc>
          <w:tcPr>
            <w:gridSpan w:val="6"/>
            <w:tcW w:w="8897" w:type="dxa"/>
            <w:vAlign w:val="center"/>
            <w:textDirection w:val="lrTb"/>
            <w:noWrap w:val="false"/>
          </w:tcPr>
          <w:p>
            <w:pPr>
              <w:jc w:val="both"/>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jc w:val="both"/>
              <w:rPr>
                <w:b/>
                <w:bCs/>
              </w:rPr>
            </w:pPr>
            <w:r>
              <w:rPr>
                <w:rFonts w:hint="eastAsia" w:ascii="宋体" w:hAnsi="宋体"/>
                <w:b/>
                <w:bCs/>
              </w:rPr>
              <w:t xml:space="preserve">②结算补贴价=补贴限价*（1-中标优惠率）</w:t>
            </w:r>
            <w:r/>
          </w:p>
        </w:tc>
      </w:tr>
    </w:tbl>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注：合同价为完成本采购项目所产生的一切费用，包括（但不限于）运营团队人员工资、废水处置费用、废气、噪音、固体废弃物等的环保处理及费用，设备设施的保养维修、咨询费、规费、税金、管理费等为完成本项目约定工作所发生的全部费用。同时，合同价已包含合同履行过程中可能发生的一切风险。乙方报价时已充分考虑现场环境以及国家政策性调整等风险因素，在合同实施期间，合同价不随国家政策或法规、标准及任何市场因素的变化而进行调整。</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2、结算数量：以启东市各乡镇盖章的《区镇无害化分月汇总表》结算，按月统计，每半年汇总。（具体以甲方审核结果为准）</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3、支付方式：</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处理费=结算补贴价*结算审核数量</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正常运营半年期满后，甲方根据1-6月《区镇无害化分月汇总表》的汇总量和启东市各保险公司理赔数据进行审核（处理数量应大于等于理赔数量），按照甲方结算审核数量支付处理费的100%；一年运营期满后，甲方根据7-12月《区镇无害化分月汇总表》的汇总量和启东市各保险公司理赔数据进行审核（处理数量应大于等于理赔数量），按照甲方结算审核数量支付处理费的100%。（试运营期间按实结算）</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注：①若全年度处理费不足240万元时，按24</w:t>
      </w:r>
      <w:r>
        <w:rPr>
          <w:rFonts w:hint="eastAsia" w:asciiTheme="minorEastAsia" w:hAnsiTheme="minorEastAsia" w:eastAsiaTheme="minorEastAsia" w:cstheme="minorEastAsia"/>
          <w:sz w:val="24"/>
        </w:rPr>
        <w:t xml:space="preserve">0万元结算，且在一年运营期满随处理费一并结算支付；若超过240万元的，则按照实际处理量结算，全年度处理费最高限额为330万元，超过最高限额的采购人不再支付处理费，但成交供应商须无偿承担该部分处理工作；②每次支付处理费用时须扣除考核费用（考核标准附后），例如：全年处理费用不足240万元，且因考核扣除10万元，则实际支付中标人240-10=230万元；③若成交供应商因自身原因无法继续运营的，则须提前3个月向采购人书面提出要求停运的申请，经采购人同意后方可停运，否则，扣除全额未支付的处理费，并扣除全部履约保证金。</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4、乙方发生下述情形的，经甲方核实确定后，在处理费付款时予以扣减：</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①因污水、废气处理不达标被环保部门查实处理的，除承担相关处罚及罚金外，另扣2万元/起；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②区镇通知后未及时处理的，扣5000元/起。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③收集运输过程中发生泄漏等不规范造成区镇污染情况的，扣1万元/起。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④生产过程中因操作不当发生事故的，扣1万元/起。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⑤无故不接受驻场官方兽医监督、指导的，扣1万元/起。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⑥使用不符合密闭、耐腐蚀、防渗漏、安装定位系统、视频监控设备、车厢印有“动物无害化处理”标识等规定的车辆运输病死或病害畜禽及畜禽产品的，扣1万元/起。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⑦未做好无害化处理和产物出场记录的，扣1万元/起。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⑧在销售处理产物时，未按规定审查资质手续、签订销售合同、报市农业农村局备案的，扣1万元/起。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⑨无故不配合保处联动的，扣1万元/起。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⑩若半年度考核扣款超过15万元，则甲方将终止合同，并扣除履约保证金的50%；全年累计扣款超过20万元的，则不再续签下一年度合同，同时扣除全额履约保证金。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三、甲方权利和义务：</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1、有权对乙方服务过程实施全方位监督，发现问题出具书面整改通知。</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2、协助乙方协调解决各乡镇处置点的突发情况。</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3、在每次结算周期到期后的15个工作日内完成对乙方的运行周期考核，并出具书面考核材料。</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4、在考核合格后的30个工作日内将乙方考核周期内的运行费用打入乙方收款账户。</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四、乙方权利和义务：</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1、必须服从甲方管理，认真履行项目运营服务，并确保处理中心正常运转。乙方根据实际情况雇佣专业运营人员，乙方所雇人员在运行生产过程中发生的意外事故由乙方自行负责。</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2、须负责处理项目产生的污水、废气污染，并承担因污水、废气处理不达标被环保部门查实处理的后果与损失；</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3、乙方的车辆和设备须符合农机、交警、交通等部门车照、车牌、税费、保险等要求。保持车辆、设备完好、清洁、罐体密封，不得沿途撒露，做到车走场清。</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运输车辆须使用符合密闭、耐腐蚀、防渗漏、安装定位系统、视频监控设备、车厢印有“动物无害化处理”标识等规定的车辆运输病死或病害畜禽及畜禽产品，收集运输过程中不得发生泄漏等不规范造成区镇污染的情况。</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5、须做好无害化处理和产物出场记录，</w:t>
      </w:r>
      <w:r>
        <w:rPr>
          <w:rFonts w:hint="eastAsia" w:asciiTheme="minorEastAsia" w:hAnsiTheme="minorEastAsia" w:eastAsiaTheme="minorEastAsia" w:cstheme="minorEastAsia"/>
          <w:sz w:val="24"/>
        </w:rPr>
        <w:t xml:space="preserve">生产过程中产生的其它固体有机物质销售所得归乙方所有，但</w:t>
      </w:r>
      <w:r>
        <w:rPr>
          <w:rFonts w:hint="eastAsia" w:asciiTheme="minorEastAsia" w:hAnsiTheme="minorEastAsia" w:eastAsiaTheme="minorEastAsia" w:cstheme="minorEastAsia"/>
          <w:bCs/>
          <w:color w:val="000000"/>
          <w:sz w:val="24"/>
        </w:rPr>
        <w:t xml:space="preserve">在销售处理产物时，应按规定审查资质手续、签订销售合同、并报甲方备案。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6、乙方不得将合同标的转包给他人履行，否则，甲方有权终止合同，且履约保证金不予退还，已发生的合同款项不予结算。</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五、违约责任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1、甲方无故逾期验收和办理合同款项支付手续的,甲方应按逾期付款总额   每日</w:t>
      </w:r>
      <w:r>
        <w:rPr>
          <w:rFonts w:hint="eastAsia" w:asciiTheme="minorEastAsia" w:hAnsiTheme="minorEastAsia" w:eastAsiaTheme="minorEastAsia" w:cstheme="minorEastAsia"/>
          <w:bCs/>
          <w:color w:val="000000"/>
          <w:sz w:val="24"/>
          <w:u w:val="single"/>
        </w:rPr>
        <w:t xml:space="preserve"> 万分之一 </w:t>
      </w:r>
      <w:r>
        <w:rPr>
          <w:rFonts w:hint="eastAsia" w:asciiTheme="minorEastAsia" w:hAnsiTheme="minorEastAsia" w:eastAsiaTheme="minorEastAsia" w:cstheme="minorEastAsia"/>
          <w:bCs/>
          <w:color w:val="000000"/>
          <w:sz w:val="24"/>
        </w:rPr>
        <w:t xml:space="preserve">向乙方支付违约金。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2、若乙方半年度考核扣款超过15万元，则甲方将终止合同，并扣除履约保证金的50%；全年累计扣款超过20万元的，则不再续签下一年度合同，同时扣除全额履约保证金。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sz w:val="24"/>
        </w:rPr>
        <w:t xml:space="preserve">3、乙方未提前3个月通知甲方停运的，则扣除全额未支付的处理费，</w:t>
      </w:r>
      <w:r>
        <w:rPr>
          <w:rFonts w:hint="eastAsia" w:asciiTheme="minorEastAsia" w:hAnsiTheme="minorEastAsia" w:eastAsiaTheme="minorEastAsia" w:cstheme="minorEastAsia"/>
          <w:bCs/>
          <w:color w:val="000000"/>
          <w:sz w:val="24"/>
        </w:rPr>
        <w:t xml:space="preserve">并扣除全部履约保证金</w:t>
      </w:r>
      <w:r>
        <w:rPr>
          <w:rFonts w:hint="eastAsia" w:asciiTheme="minorEastAsia" w:hAnsiTheme="minorEastAsia" w:eastAsiaTheme="minorEastAsia" w:cstheme="minorEastAsia"/>
          <w:bCs/>
          <w:sz w:val="24"/>
        </w:rPr>
        <w:t xml:space="preserve">。</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4、乙方所提供服务的标准不符合合同规定及采购文件规定标准的，甲方有权拒绝接受服务，并可单方面解除合同。</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5、因乙方自身原因造成全市病死动物无害化处理工作暂停10天及以上的，则乙方应向甲方支付违约金20万元，</w:t>
      </w:r>
      <w:r>
        <w:rPr>
          <w:rFonts w:hint="eastAsia" w:asciiTheme="minorEastAsia" w:hAnsiTheme="minorEastAsia" w:eastAsiaTheme="minorEastAsia" w:cstheme="minorEastAsia"/>
          <w:bCs/>
          <w:sz w:val="24"/>
        </w:rPr>
        <w:t xml:space="preserve">扣除全额未支付的处理费</w:t>
      </w:r>
      <w:r>
        <w:rPr>
          <w:rFonts w:hint="eastAsia" w:asciiTheme="minorEastAsia" w:hAnsiTheme="minorEastAsia" w:eastAsiaTheme="minorEastAsia" w:cstheme="minorEastAsia"/>
          <w:bCs/>
          <w:color w:val="000000"/>
          <w:sz w:val="24"/>
        </w:rPr>
        <w:t xml:space="preserve">，同时甲方可解除（终止）合同，并扣除履约保证金。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六、 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本项目成交后的履约保证金为20万元，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2.乙方全部履约合同义务，经甲方验收合格无质量、进度等问题的，甲方在验收合格后30个工作日内一次性退还履约保证金，甲方若逾期退还履约保证金的，按照逾期部分的每日0.05%支付违约金。</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3.发生以下情况的，履约保证金不予退还或部分退还：</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a.签订合同后，乙方不履行合同义务的，甲方有权全额扣除履约保证金，全额不予退还，同时甲方亦有权终止合同，乙方还须承担相应的法律赔偿责任。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b.乙方在履约过程中发生违约行为，给甲方造成损失的，甲方有权在乙方缴纳的履约保证金中予以扣款，以弥补甲方经济损失，不足的部分乙方另外补齐。</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七、诉讼</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双方在执行合同中所发生的一切争议，应通过协商解决。如协商不成，可向合同签订地法院起诉，合同签订地在此约定为  启东市汇龙镇  。</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八、其他</w:t>
      </w:r>
      <w:r/>
    </w:p>
    <w:p>
      <w:pPr>
        <w:numPr>
          <w:ilvl w:val="255"/>
          <w:numId w:val="0"/>
        </w:num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w:t>
      </w:r>
      <w:r>
        <w:rPr>
          <w:rFonts w:hint="eastAsia" w:asciiTheme="minorEastAsia" w:hAnsiTheme="minorEastAsia" w:eastAsiaTheme="minorEastAsia" w:cstheme="minorEastAsia"/>
          <w:color w:val="000000"/>
          <w:sz w:val="24"/>
        </w:rPr>
        <w:t xml:space="preserve">若在运营期内发生设备故障的，则成交供应商须在2个工作日内维修到位，并及时投入运营，不得出现由此引起的各种负面影响及矛盾</w:t>
      </w:r>
      <w:r>
        <w:rPr>
          <w:rFonts w:hint="eastAsia" w:asciiTheme="minorEastAsia" w:hAnsiTheme="minorEastAsia" w:eastAsiaTheme="minorEastAsia" w:cstheme="minorEastAsia"/>
          <w:bCs/>
          <w:color w:val="000000"/>
          <w:sz w:val="24"/>
        </w:rPr>
        <w:t xml:space="preserve">；若因疫情等不可抗力原因造成运营工作无法正常进行的，则由双方协商解决。</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2、乙方须承担运营过程中的各项意外伤害与安全风险、相关部门的处罚等（如环保部门的罚款），其费用由乙方承担。</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3、本合同所有附件、招标文件、投标文件、中标通知书均为合同的有效组成部分，与本合同具有同等法律效力。</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 如一方地址、电话、传真号码有变更，应在变更当日内书面通知对方，否则，应承担相应责任。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5、本合同未尽事宜，遵照《中华人民共和国民法典（合同编）》有关条文执行。</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九、合同生效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1、合同经双方法定代表人或授权委托代表人签字并加盖单位公章后生效。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2、本合同正本一式</w:t>
      </w:r>
      <w:r>
        <w:rPr>
          <w:rFonts w:hint="eastAsia" w:asciiTheme="minorEastAsia" w:hAnsiTheme="minorEastAsia" w:eastAsiaTheme="minorEastAsia" w:cstheme="minorEastAsia"/>
          <w:sz w:val="24"/>
          <w:u w:val="single"/>
        </w:rPr>
        <w:t xml:space="preserve"> 陆  </w:t>
      </w:r>
      <w:r>
        <w:rPr>
          <w:rFonts w:hint="eastAsia" w:asciiTheme="minorEastAsia" w:hAnsiTheme="minorEastAsia" w:eastAsiaTheme="minorEastAsia" w:cstheme="minorEastAsia"/>
          <w:sz w:val="24"/>
        </w:rPr>
        <w:t xml:space="preserve">份。甲乙双方各执</w:t>
      </w:r>
      <w:r>
        <w:rPr>
          <w:rFonts w:hint="eastAsia" w:asciiTheme="minorEastAsia" w:hAnsiTheme="minorEastAsia" w:eastAsiaTheme="minorEastAsia" w:cstheme="minorEastAsia"/>
          <w:sz w:val="24"/>
          <w:u w:val="single"/>
        </w:rPr>
        <w:t xml:space="preserve">  三  </w:t>
      </w:r>
      <w:r>
        <w:rPr>
          <w:rFonts w:hint="eastAsia" w:asciiTheme="minorEastAsia" w:hAnsiTheme="minorEastAsia" w:eastAsiaTheme="minorEastAsia" w:cstheme="minorEastAsia"/>
          <w:sz w:val="24"/>
        </w:rPr>
        <w:t xml:space="preserve">份。</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甲方(盖章)：                          乙方(盖章)：</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87"/>
        <w:ind w:left="0" w:firstLine="412"/>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7"/>
          <w:sz w:val="24"/>
        </w:rPr>
        <w:t xml:space="preserve">法定代表人(负责人)(签字或盖章)：</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pacing w:val="-17"/>
          <w:sz w:val="24"/>
        </w:rPr>
        <w:t xml:space="preserve">法定代表人（签字或盖章）：</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委托代理人：                         委托代理人：</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联系人：                             联系人：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单位地址：                           单位地址：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邮政编码：                           邮政编码：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电话号码：                           电话号码：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传真号码：                           传真号码：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                           开户银行：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lang w:bidi="zh-TW"/>
        </w:rPr>
      </w:pPr>
      <w:r>
        <w:rPr>
          <w:rFonts w:hint="eastAsia" w:asciiTheme="minorEastAsia" w:hAnsiTheme="minorEastAsia" w:eastAsiaTheme="minorEastAsia" w:cstheme="minorEastAsia"/>
          <w:sz w:val="24"/>
        </w:rPr>
        <w:t xml:space="preserve">账    号：                           账    号：</w:t>
      </w:r>
      <w:r/>
    </w:p>
    <w:p>
      <w:pPr>
        <w:ind w:firstLine="482"/>
        <w:spacing w:line="500" w:lineRule="exact"/>
        <w:tabs>
          <w:tab w:val="left" w:pos="0" w:leader="none"/>
          <w:tab w:val="left" w:pos="993" w:leader="none"/>
          <w:tab w:val="left" w:pos="1134" w:leader="none"/>
        </w:tabs>
        <w:rPr>
          <w:rFonts w:hint="eastAsia" w:ascii="宋体" w:hAnsi="宋体" w:cs="宋体"/>
          <w:b/>
          <w:bCs/>
          <w:sz w:val="24"/>
          <w:lang w:bidi="zh-TW"/>
        </w:rPr>
        <w:outlineLvl w:val="0"/>
      </w:pPr>
      <w:r>
        <w:rPr>
          <w:rFonts w:hint="eastAsia" w:ascii="宋体" w:hAnsi="宋体" w:cs="宋体"/>
          <w:b/>
          <w:bCs/>
          <w:sz w:val="24"/>
          <w:lang w:bidi="zh-TW"/>
        </w:rPr>
      </w:r>
      <w:r/>
    </w:p>
    <w:p>
      <w:pPr>
        <w:jc w:val="center"/>
        <w:spacing w:line="500" w:lineRule="exact"/>
        <w:rPr>
          <w:rFonts w:hint="eastAsia" w:ascii="宋体" w:hAnsi="宋体" w:cs="宋体"/>
          <w:bCs/>
          <w:sz w:val="36"/>
          <w:szCs w:val="36"/>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bCs/>
          <w:sz w:val="36"/>
          <w:szCs w:val="36"/>
        </w:rPr>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第四部分 评审方法和评审标准</w:t>
      </w:r>
      <w:r/>
    </w:p>
    <w:p>
      <w:pPr>
        <w:ind w:firstLine="640"/>
        <w:jc w:val="left"/>
        <w:spacing w:line="500" w:lineRule="exact"/>
        <w:rPr>
          <w:rFonts w:hint="eastAsia" w:ascii="宋体" w:hAnsi="宋体" w:cs="宋体"/>
          <w:b/>
          <w:sz w:val="32"/>
          <w:szCs w:val="32"/>
        </w:rPr>
      </w:pPr>
      <w:r>
        <w:rPr>
          <w:rFonts w:hint="eastAsia" w:ascii="宋体" w:hAnsi="宋体" w:cs="宋体"/>
          <w:b/>
          <w:sz w:val="32"/>
          <w:szCs w:val="32"/>
        </w:rPr>
        <w:t xml:space="preserve">一、磋商方式</w:t>
      </w:r>
      <w:r/>
    </w:p>
    <w:p>
      <w:pPr>
        <w:ind w:firstLine="537"/>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不见面远程磋商模式：供应商在各自地点通过“苏采云”系统参加磋商活动。</w:t>
      </w:r>
      <w:r/>
    </w:p>
    <w:p>
      <w:pPr>
        <w:ind w:firstLine="643"/>
        <w:jc w:val="left"/>
        <w:spacing w:line="500" w:lineRule="exact"/>
        <w:rPr>
          <w:rFonts w:hint="eastAsia" w:ascii="宋体" w:hAnsi="宋体" w:cs="宋体"/>
          <w:sz w:val="28"/>
          <w:szCs w:val="28"/>
        </w:rPr>
      </w:pPr>
      <w:r>
        <w:rPr>
          <w:rFonts w:hint="eastAsia" w:ascii="宋体" w:hAnsi="宋体" w:cs="宋体"/>
          <w:b/>
          <w:sz w:val="32"/>
          <w:szCs w:val="32"/>
        </w:rPr>
        <w:t xml:space="preserve">二、评审方法和标准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评审方法：综合评分法。</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供应商价格部分和商务、技术部分的合计分值，为该供应商的评审总得分。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评标结果按评审后总得分由高到低顺序排列，确定成交候选供应商名单并按顺序确定成交供应商。得分相同的，按响应报价由低到高顺序排列，得分且响应报价相同的并列。</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评委在认真审阅响应文件的基础上，根据各响应文件的响应程度独立评判，不得统一打分。</w:t>
      </w:r>
      <w:r/>
    </w:p>
    <w:p>
      <w:pPr>
        <w:ind w:firstLine="562"/>
        <w:jc w:val="left"/>
        <w:spacing w:line="500" w:lineRule="exact"/>
        <w:rPr>
          <w:rFonts w:hint="eastAsia" w:ascii="宋体" w:hAnsi="宋体" w:cs="宋体"/>
          <w:b/>
          <w:bCs/>
          <w:sz w:val="28"/>
          <w:szCs w:val="28"/>
        </w:rPr>
      </w:pPr>
      <w:r>
        <w:rPr>
          <w:rFonts w:hint="eastAsia" w:ascii="宋体" w:hAnsi="宋体" w:cs="宋体"/>
          <w:b/>
          <w:bCs/>
          <w:sz w:val="28"/>
          <w:szCs w:val="28"/>
        </w:rPr>
        <w:t xml:space="preserve">（一）磋商小组对供应商资格进行审查。</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562"/>
        <w:jc w:val="left"/>
        <w:spacing w:line="500" w:lineRule="exact"/>
        <w:rPr>
          <w:rFonts w:hint="eastAsia" w:ascii="宋体" w:hAnsi="宋体" w:cs="宋体"/>
          <w:b/>
          <w:bCs/>
          <w:sz w:val="28"/>
          <w:szCs w:val="28"/>
        </w:rPr>
      </w:pPr>
      <w:r>
        <w:rPr>
          <w:rFonts w:hint="eastAsia" w:ascii="宋体" w:hAnsi="宋体" w:cs="宋体"/>
          <w:b/>
          <w:bCs/>
          <w:sz w:val="28"/>
          <w:szCs w:val="28"/>
        </w:rPr>
        <w:t xml:space="preserve">（二）磋商小组对符合资格供应商的响应文件进行符合性审查。</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未通过符合性审查的响应文件，将被判为不满足磋商文件实质性要求。</w:t>
      </w:r>
      <w:r/>
    </w:p>
    <w:p>
      <w:pPr>
        <w:ind w:firstLine="562"/>
        <w:jc w:val="left"/>
        <w:spacing w:line="500" w:lineRule="exact"/>
        <w:rPr>
          <w:rFonts w:hint="eastAsia" w:ascii="宋体" w:hAnsi="宋体" w:cs="宋体"/>
          <w:b/>
          <w:bCs/>
          <w:sz w:val="28"/>
          <w:szCs w:val="28"/>
          <w:lang w:val="zh-CN"/>
        </w:rPr>
      </w:pPr>
      <w:r>
        <w:rPr>
          <w:rFonts w:hint="eastAsia" w:ascii="宋体" w:hAnsi="宋体" w:cs="宋体"/>
          <w:b/>
          <w:bCs/>
          <w:sz w:val="28"/>
          <w:szCs w:val="28"/>
        </w:rPr>
        <w:t xml:space="preserve">（三）</w:t>
      </w:r>
      <w:r>
        <w:rPr>
          <w:rFonts w:hint="eastAsia" w:ascii="宋体" w:hAnsi="宋体" w:cs="宋体"/>
          <w:b/>
          <w:bCs/>
          <w:sz w:val="28"/>
          <w:szCs w:val="28"/>
          <w:lang w:val="zh-CN"/>
        </w:rPr>
        <w:t xml:space="preserve">商务技术分：7</w:t>
      </w:r>
      <w:r>
        <w:rPr>
          <w:rFonts w:hint="eastAsia" w:ascii="宋体" w:hAnsi="宋体" w:cs="宋体"/>
          <w:b/>
          <w:bCs/>
          <w:sz w:val="28"/>
          <w:szCs w:val="28"/>
        </w:rPr>
        <w:t xml:space="preserve">0</w:t>
      </w:r>
      <w:r>
        <w:rPr>
          <w:rFonts w:hint="eastAsia" w:ascii="宋体" w:hAnsi="宋体" w:cs="宋体"/>
          <w:b/>
          <w:bCs/>
          <w:sz w:val="28"/>
          <w:szCs w:val="28"/>
          <w:lang w:val="zh-CN"/>
        </w:rPr>
        <w:t xml:space="preserve">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各供应商得分为磋商小组成员评分的算术平均分，分值保留小数点后两位。</w:t>
      </w:r>
      <w:r/>
    </w:p>
    <w:tbl>
      <w:tblPr>
        <w:tblStyle w:val="777"/>
        <w:tblpPr w:horzAnchor="page" w:tblpX="1592" w:vertAnchor="text" w:tblpY="867" w:leftFromText="180" w:topFromText="0" w:rightFromText="180" w:bottomFromText="0"/>
        <w:tblW w:w="8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803"/>
        <w:gridCol w:w="6701"/>
      </w:tblGrid>
      <w:tr>
        <w:trPr>
          <w:trHeight w:val="416"/>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评审项</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ind w:firstLine="0"/>
              <w:jc w:val="center"/>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评审标准</w:t>
            </w:r>
            <w:r/>
          </w:p>
        </w:tc>
      </w:tr>
      <w:tr>
        <w:trPr>
          <w:trHeight w:val="70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实施方案</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30分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ind w:firstLine="0"/>
              <w:jc w:val="left"/>
              <w:spacing w:after="0" w:line="300" w:lineRule="exact"/>
              <w:rPr>
                <w:rFonts w:hint="eastAsia" w:asciiTheme="minorEastAsia" w:hAnsiTheme="minorEastAsia" w:eastAsiaTheme="minorEastAsia"/>
                <w:color w:val="000000"/>
                <w:szCs w:val="21"/>
                <w:lang w:val="zh-CN"/>
              </w:rPr>
            </w:pPr>
            <w:r>
              <w:rPr>
                <w:rFonts w:hint="eastAsia" w:asciiTheme="minorEastAsia" w:hAnsiTheme="minorEastAsia" w:eastAsiaTheme="minorEastAsia"/>
                <w:color w:val="000000"/>
                <w:szCs w:val="21"/>
              </w:rPr>
              <w:t xml:space="preserve">（1）投标人结合本市无害化处理实际情况，提出合理可行的实施方案，</w:t>
            </w:r>
            <w:r>
              <w:rPr>
                <w:rFonts w:hint="eastAsia" w:asciiTheme="minorEastAsia" w:hAnsiTheme="minorEastAsia" w:eastAsiaTheme="minorEastAsia"/>
                <w:color w:val="000000"/>
                <w:szCs w:val="21"/>
              </w:rPr>
              <w:t xml:space="preserve">就快速收集、及时转运、立即处理、产物流向（产物包含但不限于残渣、油脂、污水及混合物及其他产物）、污染防治、疫病预警、灭杀消毒、数据核实、接受监管、群众矛盾等10个方面的处理措施进行打分，每个方面3分。每个方面的解决方案能切合实际，完整、合理、可行，对项目实施的重点、难点的处理措施针对性强、实施性强，得3分；实施方案切合实际，完整度及可行性一般，对项目实施的重点、难点的处理措施可操作性一般，得2分；实施方案未从项目实际出发，可行性差，且对项目实施的重点、难点的处理措施可操作性不强，得1分；无相关方案的不得分。</w:t>
            </w:r>
            <w:r/>
          </w:p>
        </w:tc>
      </w:tr>
      <w:t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企业实力</w:t>
            </w:r>
            <w:r/>
          </w:p>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19</w:t>
            </w:r>
            <w:r>
              <w:rPr>
                <w:rFonts w:hint="eastAsia" w:asciiTheme="minorEastAsia" w:hAnsiTheme="minorEastAsia" w:eastAsiaTheme="minorEastAsia" w:cstheme="minorEastAsia"/>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（1）投标人具有环保施工企业服务能力等级证书且在有效期内，国家一级得3分；国家二级得2分，国家三级得1分</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本项最多得3分</w:t>
            </w:r>
            <w:r>
              <w:rPr>
                <w:rFonts w:hint="eastAsia" w:asciiTheme="minorEastAsia" w:hAnsiTheme="minorEastAsia" w:eastAsiaTheme="minorEastAsia" w:cstheme="minorEastAsia"/>
                <w:color w:val="000000"/>
                <w:sz w:val="21"/>
                <w:szCs w:val="21"/>
                <w:highlight w:val="none"/>
              </w:rPr>
              <w:t xml:space="preserve">。</w:t>
            </w:r>
            <w:r/>
          </w:p>
          <w:p>
            <w:pPr>
              <w:pStyle w:val="802"/>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（2）投标人具有质量管理、环境管理、健康管理体系认证证书，且在有效期内的，有一个得1分，最多得3分。</w:t>
            </w:r>
            <w:r/>
          </w:p>
          <w:p>
            <w:pPr>
              <w:pStyle w:val="802"/>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（3）近5年内被评定为国家级高新技术企业的得2分，被评定过国家级科技型中小企业的得</w:t>
            </w:r>
            <w:r>
              <w:rPr>
                <w:rFonts w:hint="eastAsia" w:asciiTheme="minorEastAsia" w:hAnsiTheme="minorEastAsia" w:eastAsiaTheme="minorEastAsia" w:cstheme="minorEastAsia"/>
                <w:color w:val="000000"/>
                <w:sz w:val="21"/>
                <w:szCs w:val="21"/>
                <w:highlight w:val="none"/>
                <w:lang w:val="en-US" w:eastAsia="zh-CN"/>
              </w:rPr>
              <w:t xml:space="preserve">2</w:t>
            </w:r>
            <w:r>
              <w:rPr>
                <w:rFonts w:hint="eastAsia" w:asciiTheme="minorEastAsia" w:hAnsiTheme="minorEastAsia" w:eastAsiaTheme="minorEastAsia" w:cstheme="minorEastAsia"/>
                <w:color w:val="000000"/>
                <w:sz w:val="21"/>
                <w:szCs w:val="21"/>
                <w:highlight w:val="none"/>
              </w:rPr>
              <w:t xml:space="preserve">分</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本项最多得4分</w:t>
            </w:r>
            <w:r>
              <w:rPr>
                <w:rFonts w:hint="eastAsia" w:asciiTheme="minorEastAsia" w:hAnsiTheme="minorEastAsia" w:eastAsiaTheme="minorEastAsia" w:cstheme="minorEastAsia"/>
                <w:color w:val="000000"/>
                <w:sz w:val="21"/>
                <w:szCs w:val="21"/>
                <w:highlight w:val="none"/>
              </w:rPr>
              <w:t xml:space="preserve">。</w:t>
            </w:r>
            <w:r/>
          </w:p>
          <w:p>
            <w:pPr>
              <w:pStyle w:val="802"/>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（4）</w:t>
            </w:r>
            <w:r>
              <w:rPr>
                <w:rFonts w:hint="eastAsia" w:asciiTheme="minorEastAsia" w:hAnsiTheme="minorEastAsia" w:eastAsiaTheme="minorEastAsia" w:cstheme="minorEastAsia"/>
                <w:color w:val="000000"/>
                <w:sz w:val="21"/>
                <w:szCs w:val="21"/>
                <w:highlight w:val="none"/>
              </w:rPr>
              <w:t xml:space="preserve">投标人具有有效的《动物防疫条件合格证》的得3分。</w:t>
            </w:r>
            <w:r/>
          </w:p>
          <w:p>
            <w:pPr>
              <w:pStyle w:val="802"/>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注：以上提供证书。</w:t>
            </w:r>
            <w:r/>
          </w:p>
          <w:p>
            <w:pPr>
              <w:pStyle w:val="802"/>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（5）为确保项目正常运营，投标人配备二种类型车辆，即①无害化收集车辆和②叉车或装载机，车辆为投标人自有的，每个类型车辆得2分；车辆为投标人租赁的，每个类型车辆得1分；本项满分4分。</w:t>
            </w:r>
            <w:r/>
          </w:p>
          <w:p>
            <w:pPr>
              <w:pStyle w:val="802"/>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（6）为保证项目污水及时外运，投标人配备全封闭污水运输罐装车辆，车辆为投标人自有的，得2分；车辆为投标人租赁的，每得1分；本项满分2分。</w:t>
            </w:r>
            <w:r/>
          </w:p>
          <w:p>
            <w:pPr>
              <w:pStyle w:val="802"/>
              <w:ind w:firstLine="0"/>
              <w:jc w:val="left"/>
              <w:spacing w:after="0" w:line="300" w:lineRule="exact"/>
              <w:rPr>
                <w:rFonts w:hint="eastAsia" w:asciiTheme="minorEastAsia" w:hAnsiTheme="minorEastAsia" w:eastAsiaTheme="minorEastAsia"/>
                <w:color w:val="000000"/>
                <w:szCs w:val="21"/>
                <w:highlight w:val="none"/>
              </w:rPr>
            </w:pPr>
            <w:r>
              <w:rPr>
                <w:rFonts w:hint="eastAsia" w:asciiTheme="minorEastAsia" w:hAnsiTheme="minorEastAsia" w:eastAsiaTheme="minorEastAsia" w:cstheme="minorEastAsia"/>
                <w:color w:val="000000"/>
                <w:sz w:val="21"/>
                <w:szCs w:val="21"/>
                <w:highlight w:val="none"/>
              </w:rPr>
              <w:t xml:space="preserve">注：①车辆自有的，须同时</w:t>
            </w:r>
            <w:r>
              <w:rPr>
                <w:rFonts w:hint="eastAsia" w:asciiTheme="minorEastAsia" w:hAnsiTheme="minorEastAsia" w:eastAsiaTheme="minorEastAsia" w:cstheme="minorEastAsia"/>
                <w:sz w:val="21"/>
                <w:szCs w:val="21"/>
                <w:highlight w:val="none"/>
              </w:rPr>
              <w:t xml:space="preserve">提供投标人名下的车辆行驶证、登记证、保险单，均需在有效期内，缺一不可。②车辆为租赁的，须同时提供租赁协议、出租方名下的车辆行驶证、登记证、保险单，均需在有效期内，缺一不可。③同一类型车辆不重复计分。</w:t>
            </w:r>
            <w:r/>
          </w:p>
        </w:tc>
      </w:tr>
      <w:t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企业业绩</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8</w:t>
            </w:r>
            <w:r>
              <w:rPr>
                <w:rFonts w:hint="eastAsia" w:asciiTheme="minorEastAsia" w:hAnsiTheme="minorEastAsia" w:eastAsiaTheme="minorEastAsia" w:cstheme="minorEastAsia"/>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（1）投标人自2018年1月1日以来（以合同签订时间为准）承担过政府部门类似农业废弃物处置业绩（如病死动物无害化处置、畜禽粪污清运处理、秸秆综合利用、沼气工程等项目），有一类合同得1分，最多得4分； </w:t>
            </w:r>
            <w:r/>
          </w:p>
          <w:p>
            <w:pPr>
              <w:pStyle w:val="802"/>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（2）投标人具有污水处理经验和能力，具有与环保部门认可的污水处理厂签订委托合同的或者在项目所在地具有环保部门认可的污水处理厂的，得</w:t>
            </w:r>
            <w:r>
              <w:rPr>
                <w:rFonts w:hint="eastAsia" w:asciiTheme="minorEastAsia" w:hAnsiTheme="minorEastAsia" w:eastAsiaTheme="minorEastAsia" w:cstheme="minorEastAsia"/>
                <w:color w:val="000000"/>
                <w:sz w:val="21"/>
                <w:szCs w:val="21"/>
                <w:highlight w:val="none"/>
                <w:lang w:val="en-US" w:eastAsia="zh-CN"/>
              </w:rPr>
              <w:t xml:space="preserve">4</w:t>
            </w:r>
            <w:r>
              <w:rPr>
                <w:rFonts w:hint="eastAsia" w:asciiTheme="minorEastAsia" w:hAnsiTheme="minorEastAsia" w:eastAsiaTheme="minorEastAsia" w:cstheme="minorEastAsia"/>
                <w:color w:val="000000"/>
                <w:sz w:val="21"/>
                <w:szCs w:val="21"/>
                <w:highlight w:val="none"/>
              </w:rPr>
              <w:t xml:space="preserve">分。（提供委托合同和环保部门认证等有效证明材料。）</w:t>
            </w:r>
            <w:r/>
          </w:p>
          <w:p>
            <w:pPr>
              <w:pStyle w:val="802"/>
              <w:ind w:firstLine="0"/>
              <w:jc w:val="left"/>
              <w:spacing w:after="0" w:line="300" w:lineRule="exact"/>
              <w:rPr>
                <w:rFonts w:hint="eastAsia" w:asciiTheme="minorEastAsia" w:hAnsiTheme="minorEastAsia" w:eastAsiaTheme="minorEastAsia"/>
                <w:color w:val="000000"/>
                <w:szCs w:val="21"/>
                <w:highlight w:val="none"/>
              </w:rPr>
            </w:pPr>
            <w:r>
              <w:rPr>
                <w:rFonts w:hint="eastAsia" w:asciiTheme="minorEastAsia" w:hAnsiTheme="minorEastAsia" w:eastAsiaTheme="minorEastAsia" w:cstheme="minorEastAsia"/>
                <w:color w:val="000000"/>
                <w:sz w:val="21"/>
                <w:szCs w:val="21"/>
                <w:highlight w:val="none"/>
              </w:rPr>
              <w:t xml:space="preserve">注：①同时提供项目中标通知书、合同。②若同一合同业绩涉及“病死动物无害化处置、畜禽粪污清运处理、秸秆综合利用、沼气工程等”多项内容的，则仅按一份合同计一次，不重复计分。③若投标人提供的不同合同为同一内容的（如均为秸秆综合利用的），则只能计一次，不重复计分。</w:t>
            </w:r>
            <w:r/>
          </w:p>
        </w:tc>
      </w:tr>
      <w:t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拟派人员实力</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13分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numPr>
                <w:ilvl w:val="0"/>
                <w:numId w:val="1"/>
              </w:numPr>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拟投入本项目的运维及收集人员至少需配备8人，满足基本要求的得1分，拟投入9人及以上的得2分，8人以下不得分。</w:t>
            </w:r>
            <w:r/>
          </w:p>
          <w:p>
            <w:pPr>
              <w:pStyle w:val="802"/>
              <w:numPr>
                <w:ilvl w:val="0"/>
                <w:numId w:val="1"/>
              </w:numPr>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投入本项目的运维及收集人员中具有环保工程师中级职称的得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分，环保工程师高级及以上职称的得2分；具有固废处理工程师中级职称的得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分，固废处理工程师高级及以上职称的得2分；具有废气处理工程师中级职称的得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分，废气处理工程师高级及以上职称的得2分；本项满分6分。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（3）投入本项目的运维及收集人员中持有</w:t>
            </w:r>
            <w:r>
              <w:rPr>
                <w:rFonts w:asciiTheme="minorEastAsia" w:hAnsiTheme="minorEastAsia" w:eastAsiaTheme="minorEastAsia"/>
                <w:color w:val="000000"/>
                <w:szCs w:val="21"/>
              </w:rPr>
              <w:t xml:space="preserve">B2</w:t>
            </w:r>
            <w:r>
              <w:rPr>
                <w:rFonts w:hint="eastAsia" w:asciiTheme="minorEastAsia" w:hAnsiTheme="minorEastAsia" w:eastAsiaTheme="minorEastAsia"/>
                <w:color w:val="000000"/>
                <w:szCs w:val="21"/>
              </w:rPr>
              <w:t xml:space="preserve">及以上驾驶证的特种车辆驾驶员有2名的，得1分，2名以上得2分；持有叉车或装载机等操作证有1名的，得1分，2名及以上得2分；持有锅炉操作证的得1分；本项满分5分。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注：①提供投标人为以上人员缴纳的近三个月内任意一个月养老保险缴费证明（由当地社保机构出具，并加盖印章）；②车辆驾驶证、叉车等操作证；③职称证书 ；④以上人员不得兼职，计分仅计一次，且按最高得分计。</w:t>
            </w:r>
            <w:r/>
          </w:p>
        </w:tc>
      </w:tr>
      <w:tr>
        <w:trPr/>
        <w:tc>
          <w:tcPr>
            <w:gridSpan w:val="3"/>
            <w:tcBorders>
              <w:top w:val="single" w:color="auto" w:sz="4" w:space="0"/>
              <w:left w:val="single" w:color="auto" w:sz="4" w:space="0"/>
              <w:bottom w:val="single" w:color="auto" w:sz="4" w:space="0"/>
              <w:right w:val="single" w:color="auto" w:sz="4" w:space="0"/>
            </w:tcBorders>
            <w:tcW w:w="8581" w:type="dxa"/>
            <w:vAlign w:val="center"/>
            <w:textDirection w:val="lrTb"/>
            <w:noWrap w:val="false"/>
          </w:tcPr>
          <w:p>
            <w:pPr>
              <w:jc w:val="left"/>
              <w:spacing w:line="300" w:lineRule="exact"/>
              <w:rPr>
                <w:rFonts w:hint="eastAsia" w:asciiTheme="minorEastAsia" w:hAnsiTheme="minorEastAsia" w:eastAsiaTheme="minorEastAsia"/>
                <w:color w:val="000000"/>
                <w:szCs w:val="21"/>
                <w:lang w:val="zh-CN"/>
              </w:rPr>
            </w:pPr>
            <w:r>
              <w:rPr>
                <w:rFonts w:hint="eastAsia" w:asciiTheme="minorEastAsia" w:hAnsiTheme="minorEastAsia" w:eastAsiaTheme="minorEastAsia"/>
                <w:color w:val="000000"/>
                <w:szCs w:val="21"/>
              </w:rPr>
              <w:t xml:space="preserve">备注：（</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lang w:val="zh-CN"/>
              </w:rPr>
              <w:t xml:space="preserve">投标人的商务技术分不满3</w:t>
            </w:r>
            <w:r>
              <w:rPr>
                <w:rFonts w:hint="eastAsia" w:asciiTheme="minorEastAsia" w:hAnsiTheme="minorEastAsia" w:eastAsiaTheme="minorEastAsia"/>
                <w:color w:val="000000"/>
                <w:szCs w:val="21"/>
              </w:rPr>
              <w:t xml:space="preserve">0</w:t>
            </w:r>
            <w:r>
              <w:rPr>
                <w:rFonts w:hint="eastAsia" w:asciiTheme="minorEastAsia" w:hAnsiTheme="minorEastAsia" w:eastAsiaTheme="minorEastAsia"/>
                <w:color w:val="000000"/>
                <w:szCs w:val="21"/>
                <w:lang w:val="zh-CN"/>
              </w:rPr>
              <w:t xml:space="preserve">分，则视为无效投标文件。</w:t>
            </w:r>
            <w:r/>
          </w:p>
          <w:p>
            <w:pPr>
              <w:pStyle w:val="782"/>
              <w:ind w:firstLine="630"/>
              <w:jc w:val="left"/>
              <w:spacing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（2）投标人提供的所有证明材料均须为原件扫描件，且真实有效、清晰明了，若弄虚作假的，则采购人有权取消其中标资格，并上报相关行政监督部门，记不良行为记录。</w:t>
            </w:r>
            <w:r/>
          </w:p>
        </w:tc>
      </w:tr>
    </w:tbl>
    <w:p>
      <w:pPr>
        <w:ind w:firstLine="570"/>
        <w:spacing w:line="500" w:lineRule="exact"/>
        <w:rPr>
          <w:rFonts w:hint="eastAsia" w:ascii="宋体" w:hAnsi="宋体" w:cs="宋体"/>
          <w:sz w:val="28"/>
          <w:szCs w:val="28"/>
        </w:rPr>
      </w:pPr>
      <w:r>
        <w:rPr>
          <w:rFonts w:hint="eastAsia" w:ascii="宋体" w:hAnsi="宋体" w:cs="宋体"/>
          <w:sz w:val="28"/>
          <w:szCs w:val="28"/>
        </w:rPr>
        <w:t xml:space="preserve">（四）价格分：30分</w:t>
      </w:r>
      <w:r/>
    </w:p>
    <w:p>
      <w:pPr>
        <w:ind w:firstLine="570"/>
        <w:spacing w:line="5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价格分统一采用低价优先法计算，即满足招标文件要求且投标价格〔指（1-投标优惠率），下同〕最低的投标报价为评标基准价，其价格分为满分。其他投标人的价格分统一按照下列公式计算：</w:t>
      </w:r>
      <w:r/>
    </w:p>
    <w:p>
      <w:pPr>
        <w:ind w:firstLine="570"/>
        <w:spacing w:line="5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投标报价得分=（评标基准价/投标报价）×价格权值×100</w:t>
      </w:r>
      <w:r/>
    </w:p>
    <w:p>
      <w:pPr>
        <w:ind w:firstLine="570"/>
        <w:spacing w:line="500" w:lineRule="exact"/>
        <w:rPr>
          <w:rFonts w:hint="eastAsia" w:ascii="宋体" w:hAnsi="宋体" w:cs="宋体"/>
          <w:b/>
          <w:bCs/>
          <w:sz w:val="28"/>
          <w:szCs w:val="28"/>
        </w:rPr>
      </w:pPr>
      <w:r>
        <w:rPr>
          <w:rFonts w:hint="eastAsia" w:ascii="宋体" w:hAnsi="宋体" w:cs="宋体"/>
          <w:b/>
          <w:bCs/>
          <w:sz w:val="28"/>
          <w:szCs w:val="28"/>
          <w:lang w:val="en-US" w:eastAsia="zh-CN"/>
        </w:rPr>
        <w:t xml:space="preserve">注：①投标报价（投标优惠率）的%前小数点后保留两位有效数字。②磋商报价得分保留小数点后两位有效数字。</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（五）政府采购政策功能落实</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1.专门面向中小企业采购的项目或者采购包，不再执行价格评审优惠的扶持政策。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2.非专门面向中小企业采购的项目或者采购包，执行以下价格评审优惠的扶持政策。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（1）小微型企业价格扣除：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①对小型和微型企业产品给予10%的扣除价格，用扣除后的价格参与评审。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②供应商需按照《政府采购促进中小企业发展管理办法》（财库〔2020〕46号）的规定提供相应的《中小企业声明函》。</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③企业标准请参照《关于印发中小企业划型标准规定的通知》（工信部联企业</w:t>
      </w:r>
      <w:r>
        <w:rPr>
          <w:rFonts w:hint="eastAsia" w:ascii="宋体" w:hAnsi="宋体" w:cs="宋体"/>
          <w:sz w:val="28"/>
          <w:szCs w:val="28"/>
          <w:lang w:val="zh-CN"/>
        </w:rPr>
        <w:t xml:space="preserve">〔</w:t>
      </w:r>
      <w:r>
        <w:rPr>
          <w:rFonts w:hint="eastAsia" w:ascii="宋体" w:hAnsi="宋体" w:cs="宋体"/>
          <w:sz w:val="28"/>
          <w:szCs w:val="28"/>
        </w:rPr>
        <w:t xml:space="preserve">2011</w:t>
      </w:r>
      <w:r>
        <w:rPr>
          <w:rFonts w:hint="eastAsia" w:ascii="宋体" w:hAnsi="宋体" w:cs="宋体"/>
          <w:sz w:val="28"/>
          <w:szCs w:val="28"/>
          <w:lang w:val="zh-CN"/>
        </w:rPr>
        <w:t xml:space="preserve">〕</w:t>
      </w:r>
      <w:r>
        <w:rPr>
          <w:rFonts w:hint="eastAsia" w:ascii="宋体" w:hAnsi="宋体" w:cs="宋体"/>
          <w:sz w:val="28"/>
          <w:szCs w:val="28"/>
        </w:rPr>
        <w:t xml:space="preserve">300号）文件规定自行填写。</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（2）残疾人福利单位价格扣除：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①对残疾人福利性单位，给予10%的价格扣除，用扣除后的价格参与评审。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②残疾人福利单位需按照采购文件的要求提供《残疾人福利性单位声明函》。</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③残疾人福利单位标准请参照《关于促进残疾人就业政府采购政策的通知》（财库〔2017〕141号）。</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（3）监狱和戒毒企业价格扣除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①对监狱和戒毒企业（简称监狱企业）给予10%的价格扣除，用扣除后的价格参与评审。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③监狱企业标准请参照《关于政府采购支持监狱企业发展有关问题的通知》（财库〔2014</w:t>
      </w:r>
      <w:r>
        <w:rPr>
          <w:rFonts w:hint="eastAsia" w:ascii="宋体" w:hAnsi="宋体" w:cs="宋体"/>
          <w:sz w:val="28"/>
          <w:szCs w:val="28"/>
          <w:lang w:val="zh-CN"/>
        </w:rPr>
        <w:t xml:space="preserve">〕</w:t>
      </w:r>
      <w:r>
        <w:rPr>
          <w:rFonts w:hint="eastAsia" w:ascii="宋体" w:hAnsi="宋体" w:cs="宋体"/>
          <w:sz w:val="28"/>
          <w:szCs w:val="28"/>
        </w:rPr>
        <w:t xml:space="preserve">68号）。</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（4）残疾人福利单位、监狱企业属于小型、微型企业的，不重复享受政策。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（六）成交供应商的确定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采购人应根据磋商小组推荐的成交候选供应商确定成交供应商。</w:t>
      </w:r>
      <w:r/>
    </w:p>
    <w:p>
      <w:pPr>
        <w:ind w:firstLine="555"/>
        <w:spacing w:line="500" w:lineRule="exact"/>
        <w:rPr>
          <w:rFonts w:hint="eastAsia" w:ascii="宋体" w:hAnsi="宋体" w:cs="宋体"/>
          <w:b/>
          <w:sz w:val="28"/>
          <w:szCs w:val="28"/>
        </w:rPr>
      </w:pPr>
      <w:r>
        <w:rPr>
          <w:rFonts w:hint="eastAsia" w:ascii="宋体" w:hAnsi="宋体" w:cs="宋体"/>
          <w:b/>
          <w:sz w:val="28"/>
          <w:szCs w:val="28"/>
        </w:rPr>
        <w:t xml:space="preserve">（七）公告成交结果</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自确定成交供应商之日起2个工作日内，在江苏政府采购网公告成交结果，公告期限为1个工作日。</w:t>
      </w:r>
      <w:r/>
    </w:p>
    <w:p>
      <w:pPr>
        <w:ind w:firstLine="560"/>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八</w:t>
      </w:r>
      <w:r>
        <w:rPr>
          <w:rFonts w:hint="eastAsia" w:ascii="宋体" w:hAnsi="宋体" w:cs="宋体"/>
          <w:b/>
          <w:sz w:val="28"/>
          <w:szCs w:val="28"/>
        </w:rPr>
        <w:t xml:space="preserve">）</w:t>
      </w:r>
      <w:r>
        <w:rPr>
          <w:rFonts w:hint="eastAsia" w:ascii="宋体" w:hAnsi="宋体" w:cs="宋体"/>
          <w:b/>
          <w:bCs/>
          <w:sz w:val="28"/>
          <w:szCs w:val="28"/>
        </w:rPr>
        <w:t xml:space="preserve">发放成交通知书</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公告成交结果的同时，采购代理机构</w:t>
      </w:r>
      <w:r>
        <w:rPr>
          <w:rFonts w:hint="eastAsia" w:ascii="宋体" w:hAnsi="宋体" w:cs="宋体"/>
          <w:bCs/>
          <w:sz w:val="28"/>
          <w:szCs w:val="28"/>
        </w:rPr>
        <w:t xml:space="preserve">向成交供应商发放成交通知书</w:t>
      </w:r>
      <w:r>
        <w:rPr>
          <w:rFonts w:hint="eastAsia" w:ascii="宋体" w:hAnsi="宋体" w:cs="宋体"/>
          <w:sz w:val="24"/>
        </w:rPr>
        <w:t xml:space="preserve">。</w:t>
      </w:r>
      <w:r>
        <w:rPr>
          <w:rFonts w:hint="eastAsia" w:ascii="宋体" w:hAnsi="宋体" w:cs="宋体"/>
          <w:bCs/>
          <w:sz w:val="28"/>
          <w:szCs w:val="28"/>
        </w:rPr>
        <w:t xml:space="preserve">请成交供应商在成交结果公告届满之日起30日内,使用CA数字证书登录</w:t>
      </w:r>
      <w:r>
        <w:rPr>
          <w:rFonts w:hint="eastAsia" w:ascii="宋体" w:hAnsi="宋体" w:cs="宋体"/>
          <w:sz w:val="28"/>
          <w:szCs w:val="28"/>
        </w:rPr>
        <w:t xml:space="preserve">“苏采云”</w:t>
      </w:r>
      <w:r>
        <w:rPr>
          <w:rFonts w:hint="eastAsia" w:ascii="宋体" w:hAnsi="宋体" w:cs="宋体"/>
          <w:bCs/>
          <w:sz w:val="28"/>
          <w:szCs w:val="28"/>
        </w:rPr>
        <w:t xml:space="preserve">系统及时下载成交通知书。因系统存储空间有限，自成交结果公告届满之日起30日后，</w:t>
      </w:r>
      <w:r>
        <w:rPr>
          <w:rFonts w:hint="eastAsia" w:ascii="宋体" w:hAnsi="宋体" w:cs="宋体"/>
          <w:sz w:val="28"/>
          <w:szCs w:val="28"/>
        </w:rPr>
        <w:t xml:space="preserve">“苏采云”</w:t>
      </w:r>
      <w:r>
        <w:rPr>
          <w:rFonts w:hint="eastAsia" w:ascii="宋体" w:hAnsi="宋体" w:cs="宋体"/>
          <w:bCs/>
          <w:sz w:val="28"/>
          <w:szCs w:val="28"/>
        </w:rPr>
        <w:t xml:space="preserve">系统不再保证提供下载成交通知书服务,因未及时下载而造成的不利后果由成交供应商自行承担。联系电话：0513-83721688。</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成交通知书发出后，采购人不得违法改变成交结果，成交供应商无正当理由不得放弃成交。</w:t>
      </w:r>
      <w:r/>
    </w:p>
    <w:p>
      <w:pPr>
        <w:ind w:firstLine="555"/>
        <w:spacing w:line="500" w:lineRule="exact"/>
        <w:rPr>
          <w:rFonts w:hint="eastAsia" w:ascii="宋体" w:hAnsi="宋体" w:cs="宋体"/>
          <w:b/>
          <w:sz w:val="28"/>
          <w:szCs w:val="28"/>
        </w:rPr>
      </w:pPr>
      <w:r>
        <w:rPr>
          <w:rFonts w:hint="eastAsia" w:ascii="宋体" w:hAnsi="宋体" w:cs="宋体"/>
          <w:b/>
          <w:sz w:val="28"/>
          <w:szCs w:val="28"/>
        </w:rPr>
        <w:t xml:space="preserve">特别说明：成交供应商在成交结果公示结束后须提供四套加盖红章的系统内打印的纸质响应文件给采购代理机构，否则不予签订合同。</w:t>
      </w:r>
      <w:r/>
    </w:p>
    <w:p>
      <w:pPr>
        <w:jc w:val="center"/>
        <w:spacing w:line="500" w:lineRule="exact"/>
        <w:rPr>
          <w:rFonts w:hint="eastAsia" w:ascii="宋体" w:hAnsi="宋体" w:cs="宋体"/>
          <w:bCs/>
          <w:sz w:val="36"/>
          <w:szCs w:val="36"/>
        </w:rPr>
        <w:outlineLvl w:val="0"/>
      </w:pPr>
      <w:r>
        <w:rPr>
          <w:rFonts w:hint="eastAsia" w:ascii="宋体" w:hAnsi="宋体" w:cs="宋体"/>
          <w:b/>
          <w:sz w:val="36"/>
          <w:szCs w:val="36"/>
        </w:rPr>
        <w:br w:type="page" w:clear="all"/>
      </w:r>
      <w:r>
        <w:rPr>
          <w:rFonts w:hint="eastAsia" w:ascii="宋体" w:hAnsi="宋体" w:cs="宋体"/>
          <w:bCs/>
          <w:sz w:val="36"/>
          <w:szCs w:val="36"/>
        </w:rPr>
        <w:t xml:space="preserve">第五部分  响应文件格式</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1.响应人符合《中华人民共和国政府采购法》第二十二条规定条件的声明函（格式见附件1）（如分公司参加响应的，另需提供总公司的授权证明）；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2.法人或者其他组织的</w:t>
      </w:r>
      <w:r>
        <w:rPr>
          <w:rFonts w:hint="eastAsia" w:ascii="宋体" w:hAnsi="宋体" w:cs="宋体"/>
          <w:b/>
          <w:bCs/>
          <w:sz w:val="28"/>
          <w:szCs w:val="28"/>
          <w:lang w:val="zh-CN"/>
        </w:rPr>
        <w:t xml:space="preserve">营业执照</w:t>
      </w:r>
      <w:r>
        <w:rPr>
          <w:rFonts w:hint="eastAsia" w:ascii="宋体" w:hAnsi="宋体" w:cs="宋体"/>
          <w:sz w:val="28"/>
          <w:szCs w:val="28"/>
          <w:lang w:val="zh-CN"/>
        </w:rPr>
        <w:t xml:space="preserve">等证明文件，自然人参加的提供身份证明；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3.法定代表人参加响应的提供法定代表人身份证明书（格式见附件2）；非法定代表人参加响应的提供法定代表人授权委托书原件（格式见附件3）；</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供应商信用承诺书（格式见附件</w:t>
      </w:r>
      <w:r>
        <w:rPr>
          <w:rFonts w:hint="eastAsia" w:ascii="宋体" w:hAnsi="宋体" w:cs="宋体"/>
          <w:sz w:val="28"/>
          <w:szCs w:val="28"/>
        </w:rPr>
        <w:t xml:space="preserve">4</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磋商响应函（格式见附件</w:t>
      </w:r>
      <w:r>
        <w:rPr>
          <w:rFonts w:hint="eastAsia" w:ascii="宋体" w:hAnsi="宋体" w:cs="宋体"/>
          <w:sz w:val="28"/>
          <w:szCs w:val="28"/>
        </w:rPr>
        <w:t xml:space="preserve">5</w:t>
      </w:r>
      <w:r>
        <w:rPr>
          <w:rFonts w:hint="eastAsia" w:ascii="宋体" w:hAnsi="宋体" w:cs="宋体"/>
          <w:sz w:val="28"/>
          <w:szCs w:val="28"/>
          <w:lang w:val="zh-CN"/>
        </w:rPr>
        <w:t xml:space="preserve">）；</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rPr>
        <w:t xml:space="preserve">6</w:t>
      </w:r>
      <w:r>
        <w:rPr>
          <w:rFonts w:hint="eastAsia" w:ascii="宋体" w:hAnsi="宋体" w:cs="宋体"/>
          <w:bCs/>
          <w:sz w:val="28"/>
          <w:szCs w:val="28"/>
          <w:lang w:val="zh-CN"/>
        </w:rPr>
        <w:t xml:space="preserve">.商务部分正负偏离表（格式见附件6）、技术部分正负偏离表（格式见附件7）；</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hint="eastAsia" w:ascii="宋体" w:hAnsi="宋体" w:cs="宋体"/>
          <w:sz w:val="28"/>
          <w:szCs w:val="28"/>
          <w:lang w:val="zh-CN"/>
        </w:rPr>
      </w:pPr>
      <w:r>
        <w:rPr>
          <w:rFonts w:hint="eastAsia" w:ascii="宋体" w:hAnsi="宋体" w:cs="宋体"/>
          <w:bCs/>
          <w:sz w:val="28"/>
          <w:szCs w:val="28"/>
        </w:rPr>
        <w:t xml:space="preserve">7</w:t>
      </w:r>
      <w:r>
        <w:rPr>
          <w:rFonts w:hint="eastAsia" w:ascii="宋体" w:hAnsi="宋体" w:cs="宋体"/>
          <w:bCs/>
          <w:sz w:val="28"/>
          <w:szCs w:val="28"/>
          <w:lang w:val="zh-CN"/>
        </w:rPr>
        <w:t xml:space="preserve">.</w:t>
      </w:r>
      <w:r>
        <w:rPr>
          <w:rFonts w:hint="eastAsia" w:ascii="宋体" w:hAnsi="宋体" w:cs="宋体"/>
          <w:sz w:val="28"/>
          <w:szCs w:val="28"/>
        </w:rPr>
        <w:t xml:space="preserve">磋商报价表[</w:t>
      </w:r>
      <w:r>
        <w:rPr>
          <w:rFonts w:hint="eastAsia" w:ascii="宋体" w:hAnsi="宋体" w:cs="宋体"/>
          <w:sz w:val="28"/>
          <w:szCs w:val="28"/>
          <w:lang w:val="zh-CN"/>
        </w:rPr>
        <w:t xml:space="preserve">格式见</w:t>
      </w:r>
      <w:r>
        <w:rPr>
          <w:rFonts w:hint="eastAsia" w:ascii="宋体" w:hAnsi="宋体" w:cs="宋体"/>
          <w:sz w:val="28"/>
          <w:szCs w:val="28"/>
        </w:rPr>
        <w:t xml:space="preserve">“苏采云”</w:t>
      </w:r>
      <w:r>
        <w:rPr>
          <w:rFonts w:hint="eastAsia" w:ascii="宋体" w:hAnsi="宋体" w:cs="宋体"/>
          <w:sz w:val="28"/>
          <w:szCs w:val="28"/>
          <w:lang w:val="zh-CN"/>
        </w:rPr>
        <w:t xml:space="preserve">系统内电子投标(响应)文件中表式</w:t>
      </w:r>
      <w:r>
        <w:rPr>
          <w:rFonts w:hint="eastAsia" w:ascii="宋体" w:hAnsi="宋体" w:cs="宋体"/>
          <w:sz w:val="28"/>
          <w:szCs w:val="28"/>
        </w:rPr>
        <w:t xml:space="preserve">]</w:t>
      </w:r>
      <w:r>
        <w:rPr>
          <w:rFonts w:hint="eastAsia" w:ascii="宋体" w:hAnsi="宋体" w:cs="宋体"/>
          <w:sz w:val="28"/>
          <w:szCs w:val="28"/>
          <w:lang w:val="zh-CN"/>
        </w:rPr>
        <w:t xml:space="preserve">； </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8</w:t>
      </w:r>
      <w:r>
        <w:rPr>
          <w:rFonts w:hint="eastAsia" w:ascii="宋体" w:hAnsi="宋体" w:cs="宋体"/>
          <w:sz w:val="28"/>
          <w:szCs w:val="28"/>
          <w:lang w:val="zh-CN"/>
        </w:rPr>
        <w:t xml:space="preserve">.分项报价明细表（格式见附件</w:t>
      </w:r>
      <w:r>
        <w:rPr>
          <w:rFonts w:hint="eastAsia" w:ascii="宋体" w:hAnsi="宋体" w:cs="宋体"/>
          <w:sz w:val="28"/>
          <w:szCs w:val="28"/>
        </w:rPr>
        <w:t xml:space="preserve">8</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9</w:t>
      </w:r>
      <w:r>
        <w:rPr>
          <w:rFonts w:hint="eastAsia" w:ascii="宋体" w:hAnsi="宋体" w:cs="宋体"/>
          <w:sz w:val="28"/>
          <w:szCs w:val="28"/>
          <w:lang w:val="zh-CN"/>
        </w:rPr>
        <w:t xml:space="preserve">.</w:t>
      </w:r>
      <w:r>
        <w:rPr>
          <w:rFonts w:hint="eastAsia" w:ascii="宋体" w:hAnsi="宋体" w:cs="宋体"/>
          <w:sz w:val="28"/>
          <w:szCs w:val="28"/>
        </w:rPr>
        <w:t xml:space="preserve">中小企业声明函（</w:t>
      </w:r>
      <w:r>
        <w:rPr>
          <w:rFonts w:hint="eastAsia" w:ascii="宋体" w:hAnsi="宋体" w:cs="宋体"/>
          <w:sz w:val="28"/>
          <w:szCs w:val="28"/>
          <w:lang w:val="zh-CN"/>
        </w:rPr>
        <w:t xml:space="preserve">格式见附件9）；</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0</w:t>
      </w:r>
      <w:r>
        <w:rPr>
          <w:rFonts w:hint="eastAsia" w:ascii="宋体" w:hAnsi="宋体" w:cs="宋体"/>
          <w:sz w:val="28"/>
          <w:szCs w:val="28"/>
          <w:lang w:val="zh-CN"/>
        </w:rPr>
        <w:t xml:space="preserve">.残疾人福利性单位声明函（格式见附件10）；</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1</w:t>
      </w:r>
      <w:r>
        <w:rPr>
          <w:rFonts w:hint="eastAsia" w:ascii="宋体" w:hAnsi="宋体" w:cs="宋体"/>
          <w:sz w:val="28"/>
          <w:szCs w:val="28"/>
          <w:lang w:val="zh-CN"/>
        </w:rPr>
        <w:t xml:space="preserve">.监狱和戒毒企业证明材料（格式见附件11）。</w:t>
      </w:r>
      <w:r/>
    </w:p>
    <w:p>
      <w:pPr>
        <w:rPr>
          <w:rFonts w:hint="eastAsia" w:ascii="宋体" w:hAnsi="宋体" w:cs="宋体"/>
          <w:b/>
          <w:sz w:val="30"/>
          <w:szCs w:val="30"/>
        </w:rPr>
      </w:pPr>
      <w:r>
        <w:rPr>
          <w:rFonts w:hint="eastAsia" w:ascii="宋体" w:hAnsi="宋体" w:cs="宋体"/>
          <w:b/>
          <w:sz w:val="30"/>
          <w:szCs w:val="30"/>
        </w:rPr>
        <w:br w:type="page" w:clear="all"/>
      </w:r>
      <w:r/>
    </w:p>
    <w:p>
      <w:pPr>
        <w:jc w:val="left"/>
        <w:rPr>
          <w:rFonts w:hint="eastAsia" w:ascii="宋体" w:hAnsi="宋体" w:cs="宋体"/>
          <w:b/>
          <w:sz w:val="30"/>
          <w:szCs w:val="30"/>
        </w:rPr>
      </w:pPr>
      <w:r>
        <w:rPr>
          <w:rFonts w:hint="eastAsia" w:ascii="宋体" w:hAnsi="宋体" w:cs="宋体"/>
          <w:b/>
          <w:sz w:val="30"/>
          <w:szCs w:val="30"/>
        </w:rPr>
        <w:t xml:space="preserve">附件1</w:t>
      </w:r>
      <w:r/>
    </w:p>
    <w:p>
      <w:pPr>
        <w:pStyle w:val="779"/>
        <w:rPr>
          <w:rFonts w:hint="eastAsia" w:ascii="宋体" w:hAnsi="宋体" w:cs="宋体"/>
          <w:lang w:val="zh-CN"/>
        </w:rPr>
      </w:pPr>
      <w:r>
        <w:rPr>
          <w:rFonts w:hint="eastAsia" w:ascii="宋体" w:hAnsi="宋体" w:cs="宋体"/>
          <w:lang w:val="zh-CN"/>
        </w:rPr>
      </w:r>
      <w:r/>
    </w:p>
    <w:p>
      <w:pPr>
        <w:jc w:val="center"/>
        <w:rPr>
          <w:rFonts w:hint="eastAsia" w:ascii="宋体" w:hAnsi="宋体"/>
          <w:b/>
          <w:sz w:val="30"/>
          <w:szCs w:val="30"/>
        </w:rPr>
      </w:pPr>
      <w:r>
        <w:rPr>
          <w:rFonts w:hint="eastAsia" w:ascii="宋体" w:hAnsi="宋体"/>
          <w:b/>
          <w:sz w:val="30"/>
          <w:szCs w:val="30"/>
        </w:rPr>
        <w:t xml:space="preserve">响应人符合《中华人民共和国政府采购法》第二十二条规定条件的声明函</w:t>
      </w:r>
      <w:r/>
    </w:p>
    <w:p>
      <w:pPr>
        <w:spacing w:line="460" w:lineRule="exact"/>
        <w:rPr>
          <w:rFonts w:hint="eastAsia" w:ascii="宋体" w:hAnsi="宋体"/>
          <w:b/>
          <w:bCs/>
          <w:sz w:val="44"/>
          <w:szCs w:val="44"/>
        </w:rPr>
      </w:pPr>
      <w:r>
        <w:rPr>
          <w:rFonts w:hint="eastAsia" w:ascii="宋体" w:hAnsi="宋体"/>
          <w:b/>
          <w:bCs/>
          <w:sz w:val="44"/>
          <w:szCs w:val="44"/>
        </w:rPr>
      </w:r>
      <w:r/>
    </w:p>
    <w:p>
      <w:pPr>
        <w:ind w:firstLine="480"/>
        <w:spacing w:line="520" w:lineRule="exact"/>
        <w:rPr>
          <w:rFonts w:hint="eastAsia" w:ascii="宋体" w:hAnsi="宋体"/>
          <w:b/>
          <w:bCs/>
          <w:sz w:val="24"/>
        </w:rPr>
      </w:pPr>
      <w:r>
        <w:rPr>
          <w:rFonts w:hint="eastAsia" w:ascii="宋体" w:hAnsi="宋体"/>
          <w:bCs/>
          <w:sz w:val="24"/>
          <w:szCs w:val="21"/>
        </w:rPr>
        <w:t xml:space="preserve">我单位参加</w:t>
      </w:r>
      <w:r>
        <w:rPr>
          <w:rFonts w:hint="eastAsia" w:ascii="宋体" w:hAnsi="宋体"/>
          <w:bCs/>
          <w:sz w:val="24"/>
          <w:szCs w:val="21"/>
          <w:u w:val="single"/>
        </w:rPr>
        <w:t xml:space="preserve">            </w:t>
      </w:r>
      <w:r>
        <w:rPr>
          <w:rFonts w:hint="eastAsia" w:ascii="宋体" w:hAnsi="宋体"/>
          <w:bCs/>
          <w:sz w:val="24"/>
          <w:szCs w:val="21"/>
        </w:rPr>
        <w:t xml:space="preserve">（项目名称）（项目编号：</w:t>
      </w:r>
      <w:r>
        <w:rPr>
          <w:rFonts w:hint="eastAsia" w:ascii="宋体" w:hAnsi="宋体"/>
          <w:bCs/>
          <w:sz w:val="24"/>
          <w:szCs w:val="21"/>
          <w:u w:val="single"/>
        </w:rPr>
        <w:t xml:space="preserve">              </w:t>
      </w:r>
      <w:r>
        <w:rPr>
          <w:rFonts w:hint="eastAsia" w:ascii="宋体" w:hAnsi="宋体"/>
          <w:bCs/>
          <w:sz w:val="24"/>
          <w:szCs w:val="21"/>
        </w:rPr>
        <w:t xml:space="preserve">）响应活动。针对《中华人民共和国政府采购法》第二十二条规定做出如下声明：</w:t>
      </w:r>
      <w:r/>
    </w:p>
    <w:p>
      <w:pPr>
        <w:ind w:firstLine="482"/>
        <w:spacing w:line="520" w:lineRule="exact"/>
        <w:rPr>
          <w:rFonts w:hint="eastAsia"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hint="eastAsia"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hint="eastAsia"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hint="eastAsia"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hint="eastAsia"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 w:val="24"/>
        </w:rPr>
      </w:pPr>
      <w:r>
        <w:rPr>
          <w:rFonts w:hint="eastAsia" w:ascii="宋体" w:hAnsi="宋体"/>
          <w:sz w:val="24"/>
        </w:rPr>
        <w:t xml:space="preserve">6.我单位满足法律、行政法规规定的其他条件。</w:t>
      </w:r>
      <w:r/>
    </w:p>
    <w:p>
      <w:pPr>
        <w:ind w:firstLine="482"/>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jc w:val="center"/>
        <w:spacing w:line="460" w:lineRule="exact"/>
        <w:rPr>
          <w:rFonts w:hint="eastAsia" w:ascii="宋体" w:hAnsi="宋体"/>
          <w:bCs/>
          <w:sz w:val="24"/>
          <w:szCs w:val="21"/>
        </w:rPr>
      </w:pPr>
      <w:r>
        <w:rPr>
          <w:rFonts w:hint="eastAsia" w:ascii="宋体" w:hAnsi="宋体"/>
          <w:bCs/>
          <w:sz w:val="24"/>
          <w:szCs w:val="21"/>
        </w:rPr>
        <w:t xml:space="preserve">                                             承诺人名称（加盖公章）：</w:t>
      </w:r>
      <w:r/>
    </w:p>
    <w:p>
      <w:pPr>
        <w:jc w:val="right"/>
        <w:spacing w:line="460" w:lineRule="exact"/>
        <w:rPr>
          <w:rFonts w:hint="eastAsia" w:ascii="宋体" w:hAnsi="宋体"/>
          <w:bCs/>
          <w:sz w:val="24"/>
          <w:szCs w:val="21"/>
        </w:rPr>
      </w:pPr>
      <w:r>
        <w:rPr>
          <w:rFonts w:hint="eastAsia" w:ascii="宋体" w:hAnsi="宋体"/>
          <w:bCs/>
          <w:sz w:val="24"/>
          <w:szCs w:val="21"/>
        </w:rPr>
        <w:t xml:space="preserve">    </w:t>
      </w:r>
      <w:r/>
    </w:p>
    <w:p>
      <w:pPr>
        <w:jc w:val="right"/>
        <w:spacing w:line="460" w:lineRule="exact"/>
        <w:rPr>
          <w:rFonts w:hint="eastAsia" w:ascii="宋体" w:hAnsi="宋体" w:cs="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附件2</w:t>
      </w:r>
      <w:r/>
    </w:p>
    <w:p>
      <w:pPr>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hint="eastAsia" w:ascii="宋体" w:hAnsi="宋体" w:cs="宋体"/>
          <w:sz w:val="24"/>
        </w:rPr>
      </w:pPr>
      <w:r>
        <w:rPr>
          <w:rFonts w:hint="eastAsia" w:ascii="宋体" w:hAnsi="宋体" w:cs="宋体"/>
          <w:sz w:val="24"/>
        </w:rPr>
      </w:r>
      <w:r/>
    </w:p>
    <w:p>
      <w:pPr>
        <w:ind w:firstLine="560"/>
        <w:spacing w:line="48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先生/女士，身份证号码：</w:t>
      </w:r>
      <w:r>
        <w:rPr>
          <w:rFonts w:hint="eastAsia" w:ascii="宋体" w:hAnsi="宋体" w:cs="宋体"/>
          <w:sz w:val="28"/>
          <w:szCs w:val="28"/>
          <w:u w:val="single"/>
        </w:rPr>
        <w:t xml:space="preserve">                        </w:t>
      </w:r>
      <w:r>
        <w:rPr>
          <w:rFonts w:hint="eastAsia" w:ascii="宋体" w:hAnsi="宋体" w:cs="宋体"/>
          <w:sz w:val="28"/>
          <w:szCs w:val="28"/>
        </w:rPr>
        <w:t xml:space="preserve">，现任我单位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职务，为我单位法定代表人，特此证明。</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本证明用于参加</w:t>
      </w:r>
      <w:r>
        <w:rPr>
          <w:rFonts w:hint="eastAsia" w:ascii="宋体" w:hAnsi="宋体" w:cs="宋体"/>
          <w:sz w:val="28"/>
          <w:szCs w:val="28"/>
          <w:u w:val="single"/>
        </w:rPr>
        <w:t xml:space="preserve">                         </w:t>
      </w:r>
      <w:r>
        <w:rPr>
          <w:rFonts w:hint="eastAsia" w:ascii="宋体" w:hAnsi="宋体" w:cs="宋体"/>
          <w:bCs/>
          <w:color w:val="000000"/>
          <w:sz w:val="28"/>
          <w:szCs w:val="28"/>
        </w:rPr>
        <w:t xml:space="preserve">（项目名称）</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w:t>
      </w:r>
      <w:r>
        <w:rPr>
          <w:rFonts w:hint="eastAsia" w:ascii="宋体" w:hAnsi="宋体" w:cs="宋体"/>
          <w:sz w:val="28"/>
          <w:szCs w:val="28"/>
          <w:u w:val="single"/>
        </w:rPr>
        <w:t xml:space="preserve">项目编号：                    </w:t>
      </w:r>
      <w:r>
        <w:rPr>
          <w:rFonts w:hint="eastAsia" w:ascii="宋体" w:hAnsi="宋体" w:cs="宋体"/>
          <w:bCs/>
          <w:color w:val="000000"/>
          <w:sz w:val="28"/>
          <w:szCs w:val="28"/>
        </w:rPr>
        <w:t xml:space="preserve">）投标活动。</w:t>
      </w:r>
      <w:r/>
    </w:p>
    <w:p>
      <w:pPr>
        <w:ind w:firstLine="480"/>
        <w:spacing w:line="480" w:lineRule="exact"/>
        <w:rPr>
          <w:rFonts w:hint="eastAsia" w:ascii="宋体" w:hAnsi="宋体" w:cs="宋体"/>
          <w:sz w:val="28"/>
          <w:szCs w:val="28"/>
        </w:rPr>
      </w:pPr>
      <w:r>
        <w:rPr>
          <w:rFonts w:hint="eastAsia" w:ascii="宋体" w:hAnsi="宋体" w:cs="宋体"/>
          <w:sz w:val="28"/>
          <w:szCs w:val="28"/>
        </w:rPr>
      </w:r>
      <w:r/>
    </w:p>
    <w:p>
      <w:pPr>
        <w:ind w:firstLine="480"/>
        <w:spacing w:line="480" w:lineRule="exact"/>
        <w:rPr>
          <w:rFonts w:hint="eastAsia" w:ascii="宋体" w:hAnsi="宋体" w:cs="宋体"/>
          <w:sz w:val="28"/>
          <w:szCs w:val="28"/>
        </w:rPr>
      </w:pPr>
      <w:r>
        <w:rPr>
          <w:rFonts w:hint="eastAsia" w:ascii="宋体" w:hAnsi="宋体" w:cs="宋体"/>
          <w:sz w:val="28"/>
          <w:szCs w:val="28"/>
        </w:rPr>
      </w:r>
      <w:r/>
    </w:p>
    <w:p>
      <w:pPr>
        <w:ind w:left="3255" w:firstLine="280"/>
        <w:spacing w:line="480" w:lineRule="auto"/>
        <w:rPr>
          <w:rFonts w:hint="eastAsia" w:ascii="宋体" w:hAnsi="宋体" w:cs="宋体"/>
          <w:sz w:val="28"/>
          <w:szCs w:val="28"/>
        </w:rPr>
      </w:pPr>
      <w:r>
        <w:rPr>
          <w:rFonts w:hint="eastAsia" w:ascii="宋体" w:hAnsi="宋体" w:cs="宋体"/>
          <w:sz w:val="28"/>
          <w:szCs w:val="28"/>
        </w:rPr>
      </w:r>
      <w:r/>
    </w:p>
    <w:p>
      <w:pPr>
        <w:ind w:left="3255" w:firstLine="280"/>
        <w:jc w:val="left"/>
        <w:spacing w:line="480" w:lineRule="auto"/>
        <w:rPr>
          <w:rFonts w:hint="eastAsia" w:ascii="宋体" w:hAnsi="宋体" w:cs="宋体"/>
          <w:sz w:val="28"/>
          <w:szCs w:val="28"/>
          <w:u w:val="single"/>
        </w:rPr>
      </w:pPr>
      <w:r>
        <w:rPr>
          <w:rFonts w:hint="eastAsia" w:ascii="宋体" w:hAnsi="宋体" w:cs="宋体"/>
          <w:sz w:val="28"/>
          <w:szCs w:val="28"/>
        </w:rPr>
        <w:t xml:space="preserve">单位名称（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ind w:firstLine="3840"/>
        <w:spacing w:line="480" w:lineRule="auto"/>
        <w:rPr>
          <w:rFonts w:hint="eastAsia" w:ascii="宋体" w:hAnsi="宋体" w:cs="宋体"/>
          <w:sz w:val="24"/>
        </w:rPr>
      </w:pPr>
      <w:r>
        <w:rPr>
          <w:rFonts w:hint="eastAsia" w:ascii="宋体" w:hAnsi="宋体" w:cs="宋体"/>
          <w:sz w:val="28"/>
          <w:szCs w:val="28"/>
        </w:rPr>
        <w:t xml:space="preserve">日 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rPr>
          <w:rFonts w:hint="eastAsia" w:ascii="宋体" w:hAnsi="宋体" w:cs="宋体"/>
        </w:rPr>
      </w:pPr>
      <w:r>
        <w:rPr>
          <w:rFonts w:hint="eastAsia" w:ascii="宋体" w:hAnsi="宋体" w:cs="宋体"/>
        </w:rPr>
      </w:r>
      <w:r/>
    </w:p>
    <w:p>
      <w:pPr>
        <w:spacing w:line="360" w:lineRule="auto"/>
        <w:widowControl/>
        <w:rPr>
          <w:rFonts w:hint="eastAsia" w:ascii="宋体" w:hAnsi="宋体" w:cs="宋体"/>
          <w:b/>
          <w:bCs/>
          <w:sz w:val="28"/>
          <w:szCs w:val="28"/>
        </w:rPr>
      </w:pPr>
      <w:r>
        <w:rPr>
          <w:rFonts w:hint="eastAsia" w:ascii="宋体" w:hAnsi="宋体" w:cs="宋体"/>
          <w:b/>
          <w:sz w:val="24"/>
        </w:rPr>
        <w:t xml:space="preserve">附：法定代表人的身份证正反面复印件加盖单位公章</w:t>
      </w:r>
      <w:r/>
    </w:p>
    <w:p>
      <w:pPr>
        <w:spacing w:line="600" w:lineRule="exact"/>
        <w:rPr>
          <w:rFonts w:hint="eastAsia" w:ascii="宋体" w:hAnsi="宋体" w:cs="宋体"/>
          <w:b/>
          <w:sz w:val="24"/>
        </w:rPr>
      </w:pPr>
      <w:r>
        <w:rPr>
          <w:rFonts w:hint="eastAsia" w:ascii="宋体" w:hAnsi="宋体" w:cs="宋体"/>
          <w:b/>
          <w:sz w:val="24"/>
        </w:rPr>
      </w:r>
      <w:r/>
    </w:p>
    <w:p>
      <w:pPr>
        <w:ind w:firstLine="480"/>
        <w:spacing w:line="480" w:lineRule="exact"/>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附件3</w:t>
      </w:r>
      <w:r/>
    </w:p>
    <w:p>
      <w:pPr>
        <w:jc w:val="center"/>
        <w:rPr>
          <w:rFonts w:hint="eastAsia" w:ascii="宋体" w:hAnsi="宋体" w:cs="宋体"/>
          <w:sz w:val="32"/>
          <w:szCs w:val="32"/>
        </w:rPr>
      </w:pPr>
      <w:r>
        <w:rPr>
          <w:rFonts w:hint="eastAsia" w:ascii="宋体" w:hAnsi="宋体" w:cs="宋体"/>
          <w:sz w:val="32"/>
          <w:szCs w:val="32"/>
        </w:rPr>
        <w:t xml:space="preserve">法定代表人授权委托书</w:t>
      </w:r>
      <w:r/>
    </w:p>
    <w:p>
      <w:pPr>
        <w:rPr>
          <w:rFonts w:hint="eastAsia" w:ascii="宋体" w:hAnsi="宋体" w:cs="宋体"/>
          <w:sz w:val="32"/>
          <w:szCs w:val="32"/>
        </w:rPr>
      </w:pPr>
      <w:r>
        <w:rPr>
          <w:rFonts w:hint="eastAsia" w:ascii="宋体" w:hAnsi="宋体" w:cs="宋体"/>
          <w:sz w:val="32"/>
          <w:szCs w:val="32"/>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本人</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w:t>
      </w:r>
      <w:r>
        <w:rPr>
          <w:rFonts w:hint="eastAsia" w:ascii="宋体" w:hAnsi="宋体" w:cs="宋体"/>
          <w:sz w:val="28"/>
          <w:szCs w:val="28"/>
          <w:u w:val="single"/>
        </w:rPr>
        <w:t xml:space="preserve">                       （项目名称）</w:t>
      </w:r>
      <w:r>
        <w:rPr>
          <w:rFonts w:hint="eastAsia" w:ascii="宋体" w:hAnsi="宋体" w:cs="宋体"/>
          <w:sz w:val="28"/>
          <w:szCs w:val="28"/>
        </w:rPr>
        <w:t xml:space="preserve">（</w:t>
      </w:r>
      <w:r>
        <w:rPr>
          <w:rFonts w:hint="eastAsia" w:ascii="宋体" w:hAnsi="宋体" w:cs="宋体"/>
          <w:sz w:val="28"/>
          <w:szCs w:val="28"/>
          <w:u w:val="single"/>
        </w:rPr>
        <w:t xml:space="preserve">项目编号：                    </w:t>
      </w:r>
      <w:r>
        <w:rPr>
          <w:rFonts w:hint="eastAsia" w:ascii="宋体" w:hAnsi="宋体" w:cs="宋体"/>
          <w:sz w:val="28"/>
          <w:szCs w:val="28"/>
        </w:rPr>
        <w:t xml:space="preserve">）有关的一切事务，其法律后果由我方承担。</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spacing w:line="480" w:lineRule="exact"/>
        <w:rPr>
          <w:rFonts w:hint="eastAsia" w:ascii="宋体" w:hAnsi="宋体" w:cs="宋体"/>
          <w:sz w:val="28"/>
          <w:szCs w:val="28"/>
        </w:rPr>
      </w:pPr>
      <w:r>
        <w:rPr>
          <w:rFonts w:hint="eastAsia" w:ascii="宋体" w:hAnsi="宋体" w:cs="宋体"/>
          <w:sz w:val="28"/>
          <w:szCs w:val="28"/>
        </w:rPr>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代理人（被授权人）签字：</w:t>
      </w:r>
      <w:r>
        <w:rPr>
          <w:rFonts w:hint="eastAsia" w:ascii="宋体" w:hAnsi="宋体" w:cs="宋体"/>
          <w:sz w:val="28"/>
          <w:szCs w:val="28"/>
          <w:u w:val="single"/>
        </w:rPr>
        <w:t xml:space="preserve">                                </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授权单位名称（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p>
    <w:p>
      <w:pPr>
        <w:jc w:val="right"/>
        <w:spacing w:line="480" w:lineRule="exact"/>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附：代理人(被授权人)身份证正反面复印件加盖公章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附件4</w:t>
      </w:r>
      <w:r/>
    </w:p>
    <w:p>
      <w:pPr>
        <w:jc w:val="center"/>
        <w:spacing w:before="240" w:line="312" w:lineRule="auto"/>
        <w:rPr>
          <w:rFonts w:hint="eastAsia"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hint="eastAsia" w:ascii="宋体" w:hAnsi="宋体" w:cs="宋体"/>
          <w:sz w:val="24"/>
          <w:lang w:val="zh-CN"/>
        </w:rPr>
      </w:pPr>
      <w:r>
        <w:rPr>
          <w:rFonts w:hint="eastAsia" w:ascii="宋体" w:hAnsi="宋体" w:cs="宋体"/>
          <w:sz w:val="24"/>
          <w:lang w:val="zh-CN"/>
        </w:rPr>
      </w:r>
      <w:r/>
    </w:p>
    <w:p>
      <w:pPr>
        <w:ind w:firstLine="4560"/>
        <w:spacing w:line="360" w:lineRule="auto"/>
        <w:rPr>
          <w:rFonts w:hint="eastAsia" w:ascii="宋体" w:hAnsi="宋体" w:cs="宋体"/>
          <w:sz w:val="24"/>
          <w:lang w:val="zh-CN"/>
        </w:rPr>
      </w:pPr>
      <w:r>
        <w:rPr>
          <w:rFonts w:hint="eastAsia" w:ascii="宋体" w:hAnsi="宋体" w:cs="宋体"/>
          <w:sz w:val="24"/>
          <w:lang w:val="zh-CN"/>
        </w:rPr>
      </w:r>
      <w:r/>
    </w:p>
    <w:p>
      <w:pPr>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响应供应商全称(</w:t>
      </w:r>
      <w:r>
        <w:rPr>
          <w:rFonts w:hint="eastAsia" w:ascii="宋体" w:hAnsi="宋体" w:cs="宋体"/>
          <w:sz w:val="28"/>
          <w:szCs w:val="28"/>
          <w:lang w:bidi="ar"/>
        </w:rPr>
        <w:t xml:space="preserve">加</w:t>
      </w:r>
      <w:r>
        <w:rPr>
          <w:rFonts w:hint="eastAsia" w:ascii="宋体" w:hAnsi="宋体" w:cs="宋体"/>
          <w:sz w:val="28"/>
          <w:szCs w:val="28"/>
          <w:lang w:val="zh-CN" w:bidi="ar"/>
        </w:rPr>
        <w:t xml:space="preserve">盖公章)：</w:t>
      </w:r>
      <w:r/>
    </w:p>
    <w:p>
      <w:pPr>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法定代表人（签字或盖章）：</w:t>
      </w:r>
      <w:r/>
    </w:p>
    <w:p>
      <w:pPr>
        <w:ind w:firstLine="3080"/>
        <w:spacing w:line="360" w:lineRule="auto"/>
        <w:rPr>
          <w:rFonts w:hint="eastAsia" w:ascii="宋体" w:hAnsi="宋体" w:cs="宋体"/>
          <w:sz w:val="28"/>
          <w:szCs w:val="28"/>
          <w:lang w:val="zh-CN" w:bidi="ar"/>
        </w:rPr>
      </w:pPr>
      <w:r>
        <w:rPr>
          <w:rFonts w:hint="eastAsia" w:ascii="宋体" w:hAnsi="宋体" w:cs="宋体"/>
          <w:sz w:val="28"/>
          <w:szCs w:val="28"/>
          <w:lang w:val="zh-CN" w:bidi="ar"/>
        </w:rPr>
        <w:t xml:space="preserve">时间：  年  月   日</w:t>
      </w:r>
      <w:r/>
    </w:p>
    <w:p>
      <w:pPr>
        <w:contextualSpacing/>
        <w:spacing w:line="300" w:lineRule="auto"/>
        <w:rPr>
          <w:rFonts w:hint="eastAsia" w:ascii="宋体" w:hAnsi="宋体" w:cs="宋体"/>
          <w:sz w:val="28"/>
          <w:szCs w:val="28"/>
        </w:rPr>
      </w:pPr>
      <w:r>
        <w:rPr>
          <w:rFonts w:hint="eastAsia" w:ascii="宋体" w:hAnsi="宋体" w:cs="宋体"/>
          <w:sz w:val="28"/>
          <w:szCs w:val="28"/>
        </w:rPr>
      </w:r>
      <w:r/>
    </w:p>
    <w:p>
      <w:pPr>
        <w:pStyle w:val="976"/>
        <w:rPr>
          <w:rFonts w:hint="eastAsia" w:ascii="宋体" w:hAnsi="宋体" w:cs="宋体"/>
        </w:rPr>
      </w:pPr>
      <w:r>
        <w:rPr>
          <w:rFonts w:hint="eastAsia" w:ascii="宋体" w:hAnsi="宋体" w:cs="宋体"/>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附件5</w:t>
      </w:r>
      <w:r/>
    </w:p>
    <w:p>
      <w:pPr>
        <w:jc w:val="center"/>
        <w:keepLines/>
        <w:keepNext/>
        <w:spacing w:before="260" w:after="260" w:line="416" w:lineRule="auto"/>
        <w:rPr>
          <w:rFonts w:hint="eastAsia" w:ascii="宋体" w:hAnsi="宋体" w:cs="宋体"/>
          <w:sz w:val="32"/>
          <w:szCs w:val="32"/>
        </w:rPr>
        <w:outlineLvl w:val="1"/>
      </w:pPr>
      <w:r>
        <w:rPr>
          <w:rFonts w:hint="eastAsia" w:ascii="宋体" w:hAnsi="宋体" w:cs="宋体"/>
          <w:sz w:val="32"/>
          <w:szCs w:val="32"/>
        </w:rPr>
        <w:t xml:space="preserve">磋商响应函</w:t>
      </w:r>
      <w:r/>
    </w:p>
    <w:p>
      <w:pPr>
        <w:jc w:val="left"/>
        <w:spacing w:line="420" w:lineRule="exact"/>
        <w:rPr>
          <w:rFonts w:hint="eastAsia" w:ascii="宋体" w:hAnsi="宋体" w:cs="宋体"/>
          <w:sz w:val="24"/>
          <w:szCs w:val="21"/>
        </w:rPr>
      </w:pPr>
      <w:r>
        <w:rPr>
          <w:rFonts w:hint="eastAsia" w:ascii="宋体" w:hAnsi="宋体" w:cs="宋体"/>
          <w:sz w:val="24"/>
          <w:szCs w:val="21"/>
        </w:rPr>
        <w:t xml:space="preserve">致：</w:t>
      </w:r>
      <w:r>
        <w:rPr>
          <w:rFonts w:hint="eastAsia" w:ascii="宋体" w:hAnsi="宋体" w:cs="宋体"/>
          <w:sz w:val="24"/>
          <w:szCs w:val="21"/>
          <w:u w:val="single"/>
        </w:rPr>
        <w:t xml:space="preserve">          </w:t>
      </w:r>
      <w:r>
        <w:rPr>
          <w:rFonts w:hint="eastAsia" w:ascii="宋体" w:hAnsi="宋体" w:cs="宋体"/>
          <w:sz w:val="24"/>
          <w:szCs w:val="21"/>
        </w:rPr>
        <w:t xml:space="preserve">（采购人名称）</w:t>
      </w:r>
      <w:r/>
    </w:p>
    <w:p>
      <w:pPr>
        <w:ind w:firstLine="560"/>
        <w:jc w:val="left"/>
        <w:spacing w:line="420" w:lineRule="exact"/>
        <w:rPr>
          <w:rFonts w:hint="eastAsia" w:ascii="宋体" w:hAnsi="宋体" w:cs="宋体"/>
          <w:sz w:val="24"/>
          <w:szCs w:val="21"/>
        </w:rPr>
      </w:pPr>
      <w:r>
        <w:rPr>
          <w:rFonts w:hint="eastAsia" w:ascii="宋体" w:hAnsi="宋体" w:cs="宋体"/>
          <w:sz w:val="28"/>
          <w:szCs w:val="28"/>
        </w:rPr>
        <w:t xml:space="preserve">根据贵方项目编号为</w:t>
      </w:r>
      <w:r>
        <w:rPr>
          <w:rFonts w:hint="eastAsia" w:ascii="宋体" w:hAnsi="宋体" w:cs="宋体"/>
          <w:sz w:val="28"/>
          <w:szCs w:val="28"/>
          <w:u w:val="single"/>
        </w:rPr>
        <w:t xml:space="preserve">                   </w:t>
      </w:r>
      <w:r>
        <w:rPr>
          <w:rFonts w:hint="eastAsia" w:ascii="宋体" w:hAnsi="宋体" w:cs="宋体"/>
          <w:sz w:val="28"/>
          <w:szCs w:val="28"/>
        </w:rPr>
        <w:t xml:space="preserve">的磋商文件，我方正式提交磋商响应函，并宣布同意如下内容：</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2.我们完全理解贵方不一定将合同授予最低报价的供应商。</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s="宋体"/>
          <w:sz w:val="24"/>
          <w:szCs w:val="21"/>
        </w:rPr>
      </w:pPr>
      <w:r>
        <w:rPr>
          <w:rFonts w:hint="eastAsia" w:ascii="宋体" w:hAnsi="宋体" w:cs="宋体"/>
          <w:sz w:val="24"/>
          <w:szCs w:val="21"/>
        </w:rPr>
        <w:t xml:space="preserve">7.我方与本磋商有关的正式通讯地址为：</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t xml:space="preserve">电  子  邮  箱：</w:t>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t xml:space="preserve">供应商全称(</w:t>
      </w:r>
      <w:r>
        <w:rPr>
          <w:rFonts w:hint="eastAsia" w:ascii="宋体" w:hAnsi="宋体"/>
          <w:sz w:val="24"/>
          <w:szCs w:val="21"/>
        </w:rPr>
        <w:t xml:space="preserve">加</w:t>
      </w:r>
      <w:r>
        <w:rPr>
          <w:rFonts w:hint="eastAsia" w:ascii="宋体" w:hAnsi="宋体"/>
          <w:sz w:val="24"/>
          <w:szCs w:val="21"/>
          <w:lang w:val="zh-CN"/>
        </w:rPr>
        <w:t xml:space="preserve">盖公章)：</w:t>
      </w:r>
      <w:r/>
    </w:p>
    <w:p>
      <w:pPr>
        <w:contextualSpacing/>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32"/>
          <w:szCs w:val="32"/>
        </w:rPr>
        <w:sectPr>
          <w:footerReference w:type="default" r:id="rId13"/>
          <w:footerReference w:type="even" r:id="rId14"/>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sz w:val="32"/>
          <w:szCs w:val="32"/>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附件6</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rPr>
          <w:rFonts w:eastAsia="仿宋"/>
          <w:bCs/>
          <w:color w:val="000000"/>
          <w:sz w:val="28"/>
          <w:szCs w:val="28"/>
        </w:rPr>
      </w:pPr>
      <w:r>
        <w:rPr>
          <w:rFonts w:eastAsia="仿宋"/>
          <w:bCs/>
          <w:color w:val="000000"/>
          <w:sz w:val="28"/>
          <w:szCs w:val="28"/>
        </w:rPr>
      </w:r>
      <w:r/>
    </w:p>
    <w:p>
      <w:pPr>
        <w:rPr>
          <w:rFonts w:hint="eastAsia" w:ascii="宋体" w:hAnsi="宋体" w:cs="宋体"/>
          <w:sz w:val="28"/>
          <w:szCs w:val="28"/>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rPr>
          <w:rFonts w:hint="eastAsia" w:ascii="宋体" w:hAnsi="宋体" w:cs="宋体"/>
          <w:sz w:val="28"/>
          <w:szCs w:val="28"/>
        </w:rPr>
      </w:pPr>
      <w:r>
        <w:rPr>
          <w:rFonts w:hint="eastAsia" w:ascii="宋体" w:hAnsi="宋体" w:cs="宋体"/>
          <w:sz w:val="28"/>
          <w:szCs w:val="28"/>
        </w:rPr>
        <w:t xml:space="preserve">（由供应商据实填写，表格不够自行添加）</w:t>
      </w:r>
      <w:r/>
    </w:p>
    <w:tbl>
      <w:tblPr>
        <w:tblStyle w:val="777"/>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213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86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磋商文件要求的商务条款</w:t>
            </w:r>
            <w:r/>
          </w:p>
        </w:tc>
        <w:tc>
          <w:tcPr>
            <w:tcW w:w="240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响应文件响应情况</w:t>
            </w:r>
            <w:r/>
          </w:p>
        </w:tc>
        <w:tc>
          <w:tcPr>
            <w:tcW w:w="1326"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1.未说明偏离的，将被认为响应磋商文件的规定，但该表不作为供应商对所响应内容关于商务部分等详细描述和说明的替代。</w:t>
      </w:r>
      <w:r/>
    </w:p>
    <w:p>
      <w:pPr>
        <w:contextualSpacing/>
        <w:ind w:firstLine="480"/>
        <w:spacing w:line="300" w:lineRule="auto"/>
        <w:rPr>
          <w:rFonts w:hint="eastAsia" w:ascii="宋体" w:hAnsi="宋体" w:cs="宋体"/>
          <w:sz w:val="24"/>
        </w:rPr>
      </w:pPr>
      <w:r>
        <w:rPr>
          <w:rFonts w:hint="eastAsia" w:ascii="宋体" w:hAnsi="宋体" w:cs="宋体"/>
          <w:sz w:val="24"/>
        </w:rPr>
        <w:t xml:space="preserve">2.如有偏离的，在“偏离说明”一栏选择“正偏离”“负偏离”进行填写。正偏离、负偏离的确认和负偏离的是否响应磋商文件，由磋商小组认定。</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供应商名称（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contextualSpacing/>
        <w:ind w:firstLine="2954"/>
        <w:spacing w:line="400" w:lineRule="exact"/>
        <w:rPr>
          <w:rFonts w:hint="eastAsia" w:ascii="宋体" w:hAnsi="宋体" w:cs="宋体"/>
          <w:b/>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6"/>
        <w:rPr>
          <w:rFonts w:hint="eastAsia" w:ascii="宋体" w:hAnsi="宋体" w:cs="宋体"/>
        </w:rPr>
      </w:pPr>
      <w:r>
        <w:rPr>
          <w:rFonts w:hint="eastAsia" w:ascii="宋体" w:hAnsi="宋体" w:cs="宋体"/>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附件7</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r>
      <w:r/>
    </w:p>
    <w:p>
      <w:pPr>
        <w:jc w:val="left"/>
        <w:spacing w:line="520" w:lineRule="exact"/>
        <w:rPr>
          <w:rFonts w:hint="eastAsia" w:ascii="宋体" w:hAnsi="宋体" w:cs="宋体"/>
          <w:sz w:val="28"/>
          <w:szCs w:val="28"/>
        </w:rPr>
      </w:pPr>
      <w:r>
        <w:rPr>
          <w:rFonts w:hint="eastAsia" w:ascii="宋体" w:hAnsi="宋体" w:cs="宋体"/>
          <w:bCs/>
          <w:color w:val="000000"/>
          <w:sz w:val="28"/>
          <w:szCs w:val="28"/>
        </w:rPr>
        <w:t xml:space="preserve">项目编号：</w:t>
      </w:r>
      <w:r>
        <w:rPr>
          <w:rFonts w:hint="eastAsia" w:ascii="宋体" w:hAnsi="宋体" w:cs="宋体"/>
          <w:sz w:val="28"/>
          <w:szCs w:val="28"/>
          <w:u w:val="single"/>
        </w:rPr>
        <w:t xml:space="preserve">                    </w:t>
      </w:r>
      <w:r/>
    </w:p>
    <w:p>
      <w:pPr>
        <w:ind w:firstLine="560"/>
        <w:jc w:val="center"/>
        <w:rPr>
          <w:rFonts w:hint="eastAsia" w:ascii="宋体" w:hAnsi="宋体" w:cs="宋体"/>
          <w:sz w:val="28"/>
          <w:szCs w:val="28"/>
        </w:rPr>
      </w:pPr>
      <w:r>
        <w:rPr>
          <w:rFonts w:hint="eastAsia" w:ascii="宋体" w:hAnsi="宋体" w:cs="宋体"/>
          <w:sz w:val="28"/>
          <w:szCs w:val="28"/>
        </w:rPr>
        <w:t xml:space="preserve">（由供应商据实填写，表格不够自行添加）</w:t>
      </w:r>
      <w:r/>
    </w:p>
    <w:tbl>
      <w:tblPr>
        <w:tblStyle w:val="777"/>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213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86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磋商文件要求的技术要求</w:t>
            </w:r>
            <w:r/>
          </w:p>
        </w:tc>
        <w:tc>
          <w:tcPr>
            <w:tcW w:w="240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响应文件响应情况</w:t>
            </w:r>
            <w:r/>
          </w:p>
        </w:tc>
        <w:tc>
          <w:tcPr>
            <w:tcW w:w="1326"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1.未说明偏离的，将被认为响应磋商文件的规定，但该表不作为供应商对所响应内容关于技术部分等详细描述和说明的替代。</w:t>
      </w:r>
      <w:r/>
    </w:p>
    <w:p>
      <w:pPr>
        <w:contextualSpacing/>
        <w:ind w:firstLine="480"/>
        <w:spacing w:line="300" w:lineRule="auto"/>
        <w:rPr>
          <w:rFonts w:hint="eastAsia" w:ascii="宋体" w:hAnsi="宋体" w:cs="宋体"/>
          <w:sz w:val="24"/>
        </w:rPr>
      </w:pPr>
      <w:r>
        <w:rPr>
          <w:rFonts w:hint="eastAsia" w:ascii="宋体" w:hAnsi="宋体" w:cs="宋体"/>
          <w:sz w:val="24"/>
        </w:rPr>
        <w:t xml:space="preserve">2. 如有偏离的，在“偏离说明”一栏选择“正偏离”“负偏离”进行填写。正偏离、负偏离的确认和负偏离的是否响应磋商文件，由磋商小组认定。</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供应商名称（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contextualSpacing/>
        <w:ind w:firstLine="2954"/>
        <w:spacing w:line="400" w:lineRule="exact"/>
        <w:rPr>
          <w:rFonts w:hint="eastAsia" w:ascii="宋体" w:hAnsi="宋体" w:cs="宋体"/>
          <w:b/>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附件8</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p>
    <w:p>
      <w:pPr>
        <w:spacing w:line="400" w:lineRule="exact"/>
        <w:rPr>
          <w:rFonts w:hint="eastAsia" w:ascii="宋体" w:hAnsi="宋体" w:cs="宋体"/>
          <w:sz w:val="28"/>
          <w:szCs w:val="28"/>
          <w:u w:val="single"/>
        </w:rPr>
      </w:pPr>
      <w:r>
        <w:rPr>
          <w:rFonts w:hint="eastAsia" w:ascii="宋体" w:hAnsi="宋体" w:cs="宋体"/>
          <w:sz w:val="28"/>
          <w:szCs w:val="28"/>
        </w:rPr>
        <w:t xml:space="preserve">项目编号：</w:t>
      </w:r>
      <w:r>
        <w:rPr>
          <w:rFonts w:hint="eastAsia" w:ascii="宋体" w:hAnsi="宋体" w:cs="宋体"/>
          <w:sz w:val="28"/>
          <w:szCs w:val="28"/>
          <w:u w:val="single"/>
        </w:rPr>
        <w:t xml:space="preserve">              </w:t>
      </w:r>
      <w:r/>
    </w:p>
    <w:p>
      <w:pPr>
        <w:spacing w:line="400" w:lineRule="exact"/>
        <w:rPr>
          <w:rFonts w:hint="eastAsia" w:ascii="宋体" w:hAnsi="宋体" w:cs="宋体"/>
          <w:sz w:val="28"/>
          <w:szCs w:val="28"/>
        </w:rPr>
      </w:pPr>
      <w:r>
        <w:rPr>
          <w:rFonts w:hint="eastAsia" w:ascii="宋体" w:hAnsi="宋体" w:cs="宋体"/>
          <w:sz w:val="28"/>
          <w:szCs w:val="28"/>
        </w:rPr>
        <w:t xml:space="preserve">投标人（加盖盖章）：：</w:t>
      </w:r>
      <w:r>
        <w:rPr>
          <w:rFonts w:hint="eastAsia" w:ascii="宋体" w:hAnsi="宋体" w:cs="宋体"/>
          <w:sz w:val="28"/>
          <w:szCs w:val="28"/>
          <w:u w:val="single"/>
        </w:rPr>
        <w:t xml:space="preserve">              </w:t>
      </w:r>
      <w:r>
        <w:rPr>
          <w:rFonts w:hint="eastAsia" w:ascii="宋体" w:hAnsi="宋体" w:cs="宋体"/>
          <w:sz w:val="28"/>
          <w:szCs w:val="28"/>
        </w:rPr>
        <w:t xml:space="preserve">        年   月   日</w:t>
      </w:r>
      <w:r/>
    </w:p>
    <w:tbl>
      <w:tblPr>
        <w:tblStyle w:val="804"/>
        <w:tblW w:w="82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2016"/>
        <w:gridCol w:w="2767"/>
      </w:tblGrid>
      <w:tr>
        <w:trPr>
          <w:trHeight w:val="603"/>
        </w:trPr>
        <w:tc>
          <w:tcPr>
            <w:tcW w:w="1809"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1701"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2016"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c>
          <w:tcPr>
            <w:tcBorders>
              <w:left w:val="single" w:color="auto" w:sz="4" w:space="0"/>
              <w:right w:val="single" w:color="auto" w:sz="4" w:space="0"/>
            </w:tcBorders>
            <w:tcW w:w="2767" w:type="dxa"/>
            <w:vAlign w:val="center"/>
            <w:textDirection w:val="lrTb"/>
            <w:noWrap w:val="false"/>
          </w:tcPr>
          <w:p>
            <w:pPr>
              <w:jc w:val="center"/>
            </w:pPr>
            <w:r>
              <w:rPr>
                <w:rFonts w:hint="eastAsia"/>
              </w:rPr>
              <w:t xml:space="preserve">投标报价（优惠率%）</w:t>
            </w:r>
            <w:r/>
          </w:p>
        </w:tc>
      </w:tr>
      <w:tr>
        <w:trPr>
          <w:trHeight w:val="413"/>
        </w:trPr>
        <w:tc>
          <w:tcPr>
            <w:tcW w:w="1809" w:type="dxa"/>
            <w:vAlign w:val="center"/>
            <w:textDirection w:val="lrTb"/>
            <w:noWrap w:val="false"/>
          </w:tcPr>
          <w:p>
            <w:pPr>
              <w:jc w:val="center"/>
            </w:pPr>
            <w:r>
              <w:rPr>
                <w:rFonts w:hint="eastAsia"/>
              </w:rPr>
              <w:t xml:space="preserve">0-2万(含)</w:t>
            </w:r>
            <w:r/>
          </w:p>
        </w:tc>
        <w:tc>
          <w:tcPr>
            <w:tcW w:w="1701" w:type="dxa"/>
            <w:vAlign w:val="center"/>
            <w:textDirection w:val="lrTb"/>
            <w:noWrap w:val="false"/>
          </w:tcPr>
          <w:p>
            <w:pPr>
              <w:jc w:val="center"/>
            </w:pPr>
            <w:r>
              <w:rPr>
                <w:rFonts w:hint="eastAsia"/>
              </w:rPr>
              <w:t xml:space="preserve">45 元/头</w:t>
            </w:r>
            <w:r/>
          </w:p>
        </w:tc>
        <w:tc>
          <w:tcPr>
            <w:tcBorders>
              <w:right w:val="single" w:color="auto" w:sz="4" w:space="0"/>
            </w:tcBorders>
            <w:tcW w:w="2016" w:type="dxa"/>
            <w:vAlign w:val="center"/>
            <w:textDirection w:val="lrTb"/>
            <w:noWrap w:val="false"/>
          </w:tcPr>
          <w:p>
            <w:pPr>
              <w:jc w:val="center"/>
            </w:pPr>
            <w:r>
              <w:rPr>
                <w:rFonts w:hint="eastAsia"/>
              </w:rPr>
              <w:t xml:space="preserve">35 元/头</w:t>
            </w:r>
            <w:r/>
          </w:p>
        </w:tc>
        <w:tc>
          <w:tcPr>
            <w:tcBorders>
              <w:left w:val="single" w:color="auto" w:sz="4" w:space="0"/>
              <w:right w:val="single" w:color="auto" w:sz="4" w:space="0"/>
            </w:tcBorders>
            <w:tcW w:w="2767" w:type="dxa"/>
            <w:vMerge w:val="restart"/>
            <w:textDirection w:val="lrTb"/>
            <w:noWrap w:val="false"/>
          </w:tcPr>
          <w:p>
            <w:pPr>
              <w:jc w:val="center"/>
            </w:pPr>
            <w:r/>
            <w:r/>
          </w:p>
        </w:tc>
      </w:tr>
      <w:tr>
        <w:trPr>
          <w:trHeight w:val="561"/>
        </w:trPr>
        <w:tc>
          <w:tcPr>
            <w:tcW w:w="1809" w:type="dxa"/>
            <w:vAlign w:val="center"/>
            <w:textDirection w:val="lrTb"/>
            <w:noWrap w:val="false"/>
          </w:tcPr>
          <w:p>
            <w:pPr>
              <w:jc w:val="center"/>
            </w:pPr>
            <w:r>
              <w:rPr>
                <w:rFonts w:hint="eastAsia"/>
              </w:rPr>
              <w:t xml:space="preserve">2-4万(含)</w:t>
            </w:r>
            <w:r/>
          </w:p>
        </w:tc>
        <w:tc>
          <w:tcPr>
            <w:tcW w:w="1701" w:type="dxa"/>
            <w:vAlign w:val="center"/>
            <w:textDirection w:val="lrTb"/>
            <w:noWrap w:val="false"/>
          </w:tcPr>
          <w:p>
            <w:pPr>
              <w:jc w:val="center"/>
            </w:pPr>
            <w:r>
              <w:rPr>
                <w:rFonts w:hint="eastAsia"/>
              </w:rPr>
              <w:t xml:space="preserve">40 元/头</w:t>
            </w:r>
            <w:r/>
          </w:p>
        </w:tc>
        <w:tc>
          <w:tcPr>
            <w:tcBorders>
              <w:right w:val="single" w:color="auto" w:sz="4" w:space="0"/>
            </w:tcBorders>
            <w:tcW w:w="2016" w:type="dxa"/>
            <w:vAlign w:val="center"/>
            <w:textDirection w:val="lrTb"/>
            <w:noWrap w:val="false"/>
          </w:tcPr>
          <w:p>
            <w:pPr>
              <w:jc w:val="center"/>
            </w:pPr>
            <w:r>
              <w:rPr>
                <w:rFonts w:hint="eastAsia"/>
              </w:rPr>
              <w:t xml:space="preserve">31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413"/>
        </w:trPr>
        <w:tc>
          <w:tcPr>
            <w:tcW w:w="1809" w:type="dxa"/>
            <w:vAlign w:val="center"/>
            <w:textDirection w:val="lrTb"/>
            <w:noWrap w:val="false"/>
          </w:tcPr>
          <w:p>
            <w:pPr>
              <w:jc w:val="center"/>
            </w:pPr>
            <w:r>
              <w:rPr>
                <w:rFonts w:hint="eastAsia"/>
              </w:rPr>
              <w:t xml:space="preserve">4-6万(含)</w:t>
            </w:r>
            <w:r/>
          </w:p>
        </w:tc>
        <w:tc>
          <w:tcPr>
            <w:tcW w:w="1701" w:type="dxa"/>
            <w:vAlign w:val="center"/>
            <w:textDirection w:val="lrTb"/>
            <w:noWrap w:val="false"/>
          </w:tcPr>
          <w:p>
            <w:pPr>
              <w:jc w:val="center"/>
            </w:pPr>
            <w:r>
              <w:rPr>
                <w:rFonts w:hint="eastAsia"/>
              </w:rPr>
              <w:t xml:space="preserve">30 元/头</w:t>
            </w:r>
            <w:r/>
          </w:p>
        </w:tc>
        <w:tc>
          <w:tcPr>
            <w:tcBorders>
              <w:right w:val="single" w:color="auto" w:sz="4" w:space="0"/>
            </w:tcBorders>
            <w:tcW w:w="2016" w:type="dxa"/>
            <w:vAlign w:val="center"/>
            <w:textDirection w:val="lrTb"/>
            <w:noWrap w:val="false"/>
          </w:tcPr>
          <w:p>
            <w:pPr>
              <w:jc w:val="center"/>
            </w:pPr>
            <w:r>
              <w:rPr>
                <w:rFonts w:hint="eastAsia"/>
              </w:rPr>
              <w:t xml:space="preserve">23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419"/>
        </w:trPr>
        <w:tc>
          <w:tcPr>
            <w:tcW w:w="1809" w:type="dxa"/>
            <w:vAlign w:val="center"/>
            <w:textDirection w:val="lrTb"/>
            <w:noWrap w:val="false"/>
          </w:tcPr>
          <w:p>
            <w:pPr>
              <w:jc w:val="center"/>
            </w:pPr>
            <w:r>
              <w:rPr>
                <w:rFonts w:hint="eastAsia"/>
              </w:rPr>
              <w:t xml:space="preserve">6万以上</w:t>
            </w:r>
            <w:r/>
          </w:p>
        </w:tc>
        <w:tc>
          <w:tcPr>
            <w:tcW w:w="1701" w:type="dxa"/>
            <w:vAlign w:val="center"/>
            <w:textDirection w:val="lrTb"/>
            <w:noWrap w:val="false"/>
          </w:tcPr>
          <w:p>
            <w:pPr>
              <w:jc w:val="center"/>
            </w:pPr>
            <w:r>
              <w:rPr>
                <w:rFonts w:hint="eastAsia"/>
              </w:rPr>
              <w:t xml:space="preserve">20 元/头</w:t>
            </w:r>
            <w:r/>
          </w:p>
        </w:tc>
        <w:tc>
          <w:tcPr>
            <w:tcBorders>
              <w:right w:val="single" w:color="auto" w:sz="4" w:space="0"/>
            </w:tcBorders>
            <w:tcW w:w="2016" w:type="dxa"/>
            <w:vAlign w:val="center"/>
            <w:textDirection w:val="lrTb"/>
            <w:noWrap w:val="false"/>
          </w:tcPr>
          <w:p>
            <w:pPr>
              <w:jc w:val="center"/>
            </w:pPr>
            <w:r>
              <w:rPr>
                <w:rFonts w:hint="eastAsia"/>
              </w:rPr>
              <w:t xml:space="preserve">15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774"/>
        </w:trPr>
        <w:tc>
          <w:tcPr>
            <w:gridSpan w:val="4"/>
            <w:tcBorders>
              <w:right w:val="single" w:color="auto" w:sz="4" w:space="0"/>
            </w:tcBorders>
            <w:tcW w:w="8293" w:type="dxa"/>
            <w:vAlign w:val="center"/>
            <w:textDirection w:val="lrTb"/>
            <w:noWrap w:val="false"/>
          </w:tcPr>
          <w:p>
            <w:pPr>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pPr>
            <w:r>
              <w:rPr>
                <w:rFonts w:hint="eastAsia" w:ascii="宋体" w:hAnsi="宋体"/>
                <w:b/>
                <w:bCs/>
              </w:rPr>
              <w:t xml:space="preserve">②结算补贴价=补贴限价*（1-中标优惠率）</w:t>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60" w:lineRule="auto"/>
        <w:rPr>
          <w:rFonts w:hint="eastAsia" w:ascii="宋体" w:hAnsi="宋体" w:cs="宋体"/>
          <w:b/>
          <w:sz w:val="24"/>
        </w:rPr>
      </w:pPr>
      <w:r>
        <w:rPr>
          <w:rFonts w:hint="eastAsia" w:ascii="宋体" w:hAnsi="宋体" w:cs="宋体"/>
          <w:b/>
          <w:sz w:val="24"/>
          <w:lang w:val="zh-CN"/>
        </w:rPr>
        <w:t xml:space="preserve">注：1.1.供应商须按实填写分项报价明细表中的各项内容，且本表各分项报价合计应当与磋商报价表报价合计相等，请各供应商务必按照以上要求填报。</w:t>
      </w:r>
      <w:r/>
    </w:p>
    <w:p>
      <w:pPr>
        <w:ind w:firstLine="482"/>
        <w:spacing w:line="500" w:lineRule="exact"/>
        <w:rPr>
          <w:rFonts w:hint="eastAsia" w:ascii="宋体" w:hAnsi="宋体" w:cs="宋体"/>
          <w:b/>
          <w:sz w:val="24"/>
          <w:lang w:val="zh-CN"/>
        </w:rPr>
        <w:outlineLvl w:val="0"/>
      </w:pPr>
      <w:r>
        <w:rPr>
          <w:rFonts w:hint="eastAsia" w:ascii="宋体" w:hAnsi="宋体" w:cs="宋体"/>
          <w:b/>
          <w:sz w:val="24"/>
        </w:rPr>
        <w:t xml:space="preserve">2.主要标的信息</w:t>
      </w:r>
      <w:r>
        <w:rPr>
          <w:rFonts w:hint="eastAsia" w:ascii="宋体" w:hAnsi="宋体" w:cs="宋体"/>
          <w:b/>
          <w:sz w:val="24"/>
          <w:lang w:val="zh-CN"/>
        </w:rPr>
        <w:t xml:space="preserve">将随中标（成交）</w:t>
      </w:r>
      <w:r>
        <w:rPr>
          <w:rFonts w:ascii="宋体" w:hAnsi="宋体" w:cs="宋体"/>
          <w:b/>
          <w:sz w:val="24"/>
          <w:lang w:val="zh-CN"/>
        </w:rPr>
        <w:t xml:space="preserve">结果</w:t>
      </w:r>
      <w:r>
        <w:rPr>
          <w:rFonts w:hint="eastAsia" w:ascii="宋体" w:hAnsi="宋体" w:cs="宋体"/>
          <w:b/>
          <w:sz w:val="24"/>
          <w:lang w:val="zh-CN"/>
        </w:rPr>
        <w:t xml:space="preserve">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ind w:firstLine="482"/>
        <w:spacing w:line="440" w:lineRule="exact"/>
        <w:rPr>
          <w:rFonts w:hint="eastAsia" w:ascii="宋体" w:hAnsi="宋体" w:cs="宋体"/>
          <w:b/>
          <w:sz w:val="24"/>
          <w:lang w:val="zh-CN"/>
        </w:rPr>
      </w:pPr>
      <w:r>
        <w:rPr>
          <w:rFonts w:hint="eastAsia" w:ascii="宋体" w:hAnsi="宋体" w:cs="宋体"/>
          <w:b/>
          <w:sz w:val="24"/>
          <w:lang w:val="zh-CN"/>
        </w:rPr>
        <w:t xml:space="preserve">3.报价时仅对处理费（单价）进行</w:t>
      </w:r>
      <w:r>
        <w:rPr>
          <w:rFonts w:hint="eastAsia" w:ascii="宋体" w:hAnsi="宋体" w:cs="宋体"/>
          <w:b/>
          <w:sz w:val="24"/>
        </w:rPr>
        <w:t xml:space="preserve">优惠率</w:t>
      </w:r>
      <w:r>
        <w:rPr>
          <w:rFonts w:hint="eastAsia" w:ascii="宋体" w:hAnsi="宋体" w:cs="宋体"/>
          <w:b/>
          <w:sz w:val="24"/>
          <w:lang w:val="zh-CN"/>
        </w:rPr>
        <w:t xml:space="preserve">报价（统一</w:t>
      </w:r>
      <w:r>
        <w:rPr>
          <w:rFonts w:hint="eastAsia" w:ascii="宋体" w:hAnsi="宋体" w:cs="宋体"/>
          <w:b/>
          <w:sz w:val="24"/>
        </w:rPr>
        <w:t xml:space="preserve">优惠率</w:t>
      </w:r>
      <w:r>
        <w:rPr>
          <w:rFonts w:hint="eastAsia" w:ascii="宋体" w:hAnsi="宋体" w:cs="宋体"/>
          <w:b/>
          <w:sz w:val="24"/>
          <w:lang w:val="zh-CN"/>
        </w:rPr>
        <w:t xml:space="preserve">，不分类别），投标报价的%前</w:t>
      </w:r>
      <w:r>
        <w:rPr>
          <w:rFonts w:hint="eastAsia" w:ascii="宋体" w:hAnsi="宋体" w:cs="宋体"/>
          <w:b/>
          <w:sz w:val="24"/>
        </w:rPr>
        <w:t xml:space="preserve">小数点后</w:t>
      </w:r>
      <w:r>
        <w:rPr>
          <w:rFonts w:hint="eastAsia" w:ascii="宋体" w:hAnsi="宋体" w:cs="宋体"/>
          <w:b/>
          <w:sz w:val="24"/>
          <w:lang w:val="zh-CN"/>
        </w:rPr>
        <w:t xml:space="preserve">保留两位有效数字。</w:t>
      </w:r>
      <w:r/>
    </w:p>
    <w:p>
      <w:pPr>
        <w:ind w:firstLine="482"/>
        <w:spacing w:line="500" w:lineRule="exact"/>
        <w:rPr>
          <w:rFonts w:hint="eastAsia" w:ascii="宋体" w:hAnsi="宋体" w:cs="宋体"/>
          <w:b/>
          <w:sz w:val="24"/>
          <w:lang w:val="zh-CN"/>
        </w:rPr>
        <w:outlineLvl w:val="0"/>
      </w:pPr>
      <w:r>
        <w:rPr>
          <w:rFonts w:hint="eastAsia" w:ascii="宋体" w:hAnsi="宋体" w:cs="宋体"/>
          <w:b/>
          <w:sz w:val="24"/>
          <w:lang w:val="zh-CN"/>
        </w:rPr>
      </w:r>
      <w:r/>
    </w:p>
    <w:p>
      <w:pPr>
        <w:pStyle w:val="782"/>
        <w:rPr>
          <w:lang w:val="zh-CN"/>
        </w:rPr>
      </w:pPr>
      <w:r>
        <w:rPr>
          <w:rFonts w:hint="eastAsia"/>
          <w:lang w:val="zh-CN"/>
        </w:rPr>
        <w:t xml:space="preserve">   </w:t>
      </w:r>
      <w:r/>
    </w:p>
    <w:p>
      <w:pPr>
        <w:spacing w:line="300" w:lineRule="auto"/>
        <w:rPr>
          <w:rFonts w:hint="eastAsia" w:ascii="宋体" w:hAnsi="宋体" w:cs="宋体"/>
          <w:sz w:val="32"/>
          <w:szCs w:val="32"/>
        </w:rPr>
        <w:outlineLvl w:val="0"/>
      </w:pPr>
      <w:r>
        <w:rPr>
          <w:rFonts w:hint="eastAsia" w:ascii="宋体" w:hAnsi="宋体" w:cs="宋体"/>
          <w:sz w:val="32"/>
          <w:szCs w:val="32"/>
        </w:rPr>
      </w:r>
      <w:r/>
    </w:p>
    <w:p>
      <w:pPr>
        <w:spacing w:line="300" w:lineRule="auto"/>
        <w:rPr>
          <w:rFonts w:hint="eastAsia" w:ascii="宋体" w:hAnsi="宋体" w:cs="宋体"/>
          <w:sz w:val="32"/>
          <w:szCs w:val="32"/>
        </w:rPr>
        <w:outlineLvl w:val="0"/>
      </w:pPr>
      <w:r>
        <w:rPr>
          <w:rFonts w:hint="eastAsia" w:ascii="宋体" w:hAnsi="宋体" w:cs="宋体"/>
          <w:sz w:val="32"/>
          <w:szCs w:val="32"/>
        </w:rPr>
      </w:r>
      <w:r/>
    </w:p>
    <w:p>
      <w:pPr>
        <w:spacing w:line="300" w:lineRule="auto"/>
        <w:rPr>
          <w:rFonts w:hint="eastAsia" w:ascii="宋体" w:hAnsi="宋体" w:cs="宋体"/>
          <w:sz w:val="32"/>
          <w:szCs w:val="32"/>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2"/>
          <w:szCs w:val="32"/>
        </w:rPr>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附件9</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lang w:eastAsia="zh-CN"/>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00"/>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00"/>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00"/>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00"/>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00"/>
        <w:ind w:firstLine="480"/>
        <w:jc w:val="both"/>
        <w:spacing w:before="0" w:beforeAutospacing="0" w:after="0" w:afterAutospacing="0" w:line="380" w:lineRule="exact"/>
        <w:widowControl w:val="off"/>
        <w:rPr>
          <w:rFonts w:hint="eastAsia"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00"/>
        <w:ind w:firstLine="480"/>
        <w:jc w:val="both"/>
        <w:spacing w:before="0" w:beforeAutospacing="0" w:after="0" w:afterAutospacing="0" w:line="380" w:lineRule="exact"/>
        <w:widowControl w:val="off"/>
        <w:rPr>
          <w:rFonts w:hint="eastAsia" w:ascii="仿宋" w:hAnsi="仿宋" w:eastAsia="仿宋" w:cs="仿宋"/>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仿宋" w:hAnsi="仿宋" w:eastAsia="仿宋" w:cs="仿宋"/>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p>
    <w:p>
      <w:pPr>
        <w:ind w:firstLine="4900"/>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残疾人福利性单位声明函（采购包号：**）</w:t>
      </w:r>
      <w:r>
        <w:rPr>
          <w:rFonts w:ascii="Cambria" w:hAnsi="Cambria" w:eastAsia="Arial Unicode MS" w:cs="Cambria"/>
          <w:bCs/>
          <w:color w:val="000000"/>
          <w:sz w:val="30"/>
          <w:szCs w:val="30"/>
        </w:rPr>
        <w:t xml:space="preserve"> </w:t>
      </w:r>
      <w:r>
        <w:rPr>
          <w:rFonts w:hint="eastAsia" w:ascii="Arial Unicode MS" w:hAnsi="Arial Unicode MS" w:eastAsia="Arial Unicode MS" w:cs="Arial Unicode MS"/>
          <w:bCs/>
          <w:color w:val="000000"/>
          <w:sz w:val="30"/>
          <w:szCs w:val="30"/>
        </w:rPr>
        <w:t xml:space="preserve">（服务类项目）</w:t>
      </w:r>
      <w:r/>
    </w:p>
    <w:p>
      <w:pPr>
        <w:pStyle w:val="800"/>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80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0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800"/>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00"/>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ind w:right="1560" w:firstLine="560"/>
        <w:jc w:val="center"/>
        <w:spacing w:line="588" w:lineRule="exact"/>
        <w:tabs>
          <w:tab w:val="left" w:pos="4860" w:leader="none"/>
        </w:tabs>
        <w:rPr>
          <w:rFonts w:hint="eastAsia" w:ascii="宋体" w:hAnsi="宋体"/>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hint="eastAsia" w:ascii="仿宋_GB2312" w:hAnsi="宋体" w:eastAsia="仿宋_GB2312"/>
          <w:sz w:val="28"/>
          <w:szCs w:val="28"/>
        </w:rPr>
      </w:pPr>
      <w:r>
        <w:rPr>
          <w:rFonts w:hint="eastAsia" w:ascii="仿宋_GB2312" w:hAnsi="宋体" w:eastAsia="仿宋_GB2312"/>
          <w:sz w:val="28"/>
          <w:szCs w:val="28"/>
        </w:rPr>
      </w:r>
      <w:r/>
    </w:p>
    <w:p>
      <w:pPr>
        <w:spacing w:line="300" w:lineRule="auto"/>
        <w:rPr>
          <w:sz w:val="28"/>
          <w:szCs w:val="28"/>
        </w:rPr>
        <w:outlineLvl w:val="0"/>
      </w:pPr>
      <w:r>
        <w:rPr>
          <w:sz w:val="28"/>
          <w:szCs w:val="28"/>
        </w:rPr>
      </w:r>
      <w:r/>
    </w:p>
    <w:p>
      <w:pPr>
        <w:pStyle w:val="782"/>
      </w:pPr>
      <w:r/>
      <w:r/>
    </w:p>
    <w:p>
      <w:r/>
      <w:r/>
    </w:p>
    <w:p>
      <w:pPr>
        <w:pStyle w:val="782"/>
      </w:p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hint="eastAsia" w:ascii="Arial Unicode MS" w:hAnsi="Arial Unicode MS" w:eastAsia="Arial Unicode MS" w:cs="Arial Unicode MS"/>
          <w:bCs/>
          <w:color w:val="000000"/>
          <w:sz w:val="30"/>
          <w:szCs w:val="30"/>
        </w:rPr>
      </w:pPr>
      <w:r>
        <w:rPr>
          <w:rFonts w:hint="eastAsia" w:ascii="Arial Unicode MS" w:hAnsi="Arial Unicode MS" w:eastAsia="Arial Unicode MS" w:cs="Arial Unicode MS"/>
          <w:bCs/>
          <w:color w:val="000000"/>
          <w:sz w:val="30"/>
          <w:szCs w:val="30"/>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32"/>
          <w:szCs w:val="32"/>
          <w:lang w:bidi="ar"/>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bCs/>
          <w:sz w:val="32"/>
          <w:szCs w:val="32"/>
          <w:lang w:bidi="ar"/>
        </w:rPr>
      </w:r>
      <w:r/>
    </w:p>
    <w:p>
      <w:pPr>
        <w:rPr>
          <w:rFonts w:hint="eastAsia" w:ascii="宋体" w:hAnsi="宋体" w:cs="宋体"/>
          <w:bCs/>
          <w:sz w:val="32"/>
          <w:szCs w:val="32"/>
          <w:lang w:bidi="ar"/>
        </w:rPr>
      </w:pPr>
      <w:r>
        <w:rPr>
          <w:rFonts w:hint="eastAsia" w:ascii="宋体" w:hAnsi="宋体" w:cs="宋体"/>
          <w:bCs/>
          <w:sz w:val="32"/>
          <w:szCs w:val="32"/>
          <w:lang w:bidi="ar"/>
        </w:rPr>
        <w:t xml:space="preserve">附件12</w:t>
      </w:r>
      <w:r/>
    </w:p>
    <w:p>
      <w:pPr>
        <w:pStyle w:val="782"/>
      </w:pPr>
      <w:r/>
      <w:r/>
    </w:p>
    <w:p>
      <w:pPr>
        <w:jc w:val="center"/>
        <w:rPr>
          <w:rFonts w:hint="eastAsia" w:ascii="宋体" w:hAnsi="宋体" w:cs="宋体"/>
          <w:bCs/>
          <w:sz w:val="44"/>
          <w:szCs w:val="44"/>
        </w:rPr>
      </w:pPr>
      <w:r>
        <w:rPr>
          <w:rFonts w:hint="eastAsia" w:ascii="宋体" w:hAnsi="宋体" w:cs="宋体"/>
          <w:bCs/>
          <w:sz w:val="44"/>
          <w:szCs w:val="44"/>
        </w:rPr>
        <w:t xml:space="preserve">质疑函范本</w:t>
      </w:r>
      <w:r/>
    </w:p>
    <w:p>
      <w:pPr>
        <w:spacing w:before="240"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sz w:val="32"/>
          <w:szCs w:val="32"/>
        </w:rPr>
      </w:pPr>
      <w:r>
        <w:rPr>
          <w:rFonts w:hint="eastAsia" w:ascii="宋体" w:hAnsi="宋体" w:cs="宋体"/>
          <w:sz w:val="32"/>
          <w:szCs w:val="32"/>
        </w:rPr>
        <w:t xml:space="preserve">联系人：联系电话：</w:t>
      </w:r>
      <w:r/>
    </w:p>
    <w:p>
      <w:pPr>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p>
    <w:p>
      <w:pPr>
        <w:spacing w:line="360" w:lineRule="auto"/>
        <w:rPr>
          <w:rFonts w:hint="eastAsia" w:ascii="宋体" w:hAnsi="宋体" w:cs="宋体"/>
          <w:sz w:val="32"/>
          <w:szCs w:val="32"/>
        </w:rPr>
      </w:pPr>
      <w:r>
        <w:rPr>
          <w:rFonts w:hint="eastAsia" w:ascii="宋体" w:hAnsi="宋体" w:cs="宋体"/>
          <w:sz w:val="32"/>
          <w:szCs w:val="32"/>
        </w:rPr>
        <w:t xml:space="preserve">联系电话：</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hint="eastAsia" w:ascii="宋体" w:hAnsi="宋体" w:cs="宋体"/>
          <w:sz w:val="32"/>
          <w:szCs w:val="32"/>
        </w:rPr>
      </w:pPr>
      <w:r>
        <w:rPr>
          <w:rFonts w:hint="eastAsia" w:ascii="宋体" w:hAnsi="宋体" w:cs="宋体"/>
          <w:sz w:val="32"/>
          <w:szCs w:val="32"/>
        </w:rPr>
        <w:t xml:space="preserve">质疑项目的名称：</w:t>
      </w:r>
      <w:r/>
    </w:p>
    <w:p>
      <w:pPr>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p>
    <w:p>
      <w:pPr>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hint="eastAsia" w:ascii="宋体" w:hAnsi="宋体" w:cs="宋体"/>
          <w:sz w:val="32"/>
          <w:szCs w:val="32"/>
        </w:rPr>
      </w:pPr>
      <w:r>
        <w:rPr>
          <w:rFonts w:hint="eastAsia" w:ascii="宋体" w:hAnsi="宋体" w:cs="宋体"/>
          <w:sz w:val="32"/>
          <w:szCs w:val="32"/>
        </w:rPr>
        <w:t xml:space="preserve">采购文件获取日期：</w:t>
      </w:r>
      <w:r/>
    </w:p>
    <w:p>
      <w:pPr>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p>
    <w:p>
      <w:pPr>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p>
    <w:p>
      <w:pPr>
        <w:spacing w:line="360" w:lineRule="auto"/>
        <w:rPr>
          <w:rFonts w:hint="eastAsia" w:ascii="宋体" w:hAnsi="宋体" w:cs="宋体"/>
          <w:sz w:val="32"/>
          <w:szCs w:val="32"/>
        </w:rPr>
      </w:pPr>
      <w:r>
        <w:rPr>
          <w:rFonts w:hint="eastAsia" w:ascii="宋体" w:hAnsi="宋体" w:cs="宋体"/>
          <w:sz w:val="32"/>
          <w:szCs w:val="32"/>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p>
    <w:p>
      <w:pPr>
        <w:spacing w:line="360" w:lineRule="auto"/>
        <w:rPr>
          <w:rFonts w:hint="eastAsia" w:ascii="宋体" w:hAnsi="宋体" w:cs="宋体"/>
          <w:sz w:val="32"/>
          <w:szCs w:val="32"/>
          <w:u w:val="single"/>
        </w:rPr>
      </w:pPr>
      <w:r>
        <w:rPr>
          <w:rFonts w:hint="eastAsia" w:ascii="宋体" w:hAnsi="宋体" w:cs="宋体"/>
          <w:sz w:val="32"/>
          <w:szCs w:val="32"/>
          <w:u w:val="single"/>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p>
    <w:p>
      <w:pPr>
        <w:spacing w:line="360" w:lineRule="auto"/>
        <w:rPr>
          <w:rFonts w:hint="eastAsia" w:ascii="宋体" w:hAnsi="宋体" w:cs="宋体"/>
          <w:sz w:val="32"/>
          <w:szCs w:val="32"/>
        </w:rPr>
      </w:pPr>
      <w:r>
        <w:rPr>
          <w:rFonts w:hint="eastAsia" w:ascii="宋体" w:hAnsi="宋体" w:cs="宋体"/>
          <w:sz w:val="32"/>
          <w:szCs w:val="32"/>
        </w:rPr>
        <w:t xml:space="preserve">……</w:t>
      </w:r>
      <w:r/>
    </w:p>
    <w:p>
      <w:pPr>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hint="eastAsia" w:ascii="宋体" w:hAnsi="宋体" w:cs="宋体"/>
          <w:sz w:val="32"/>
          <w:szCs w:val="32"/>
          <w:u w:val="single"/>
        </w:rPr>
      </w:pPr>
      <w:r>
        <w:rPr>
          <w:rFonts w:hint="eastAsia" w:ascii="宋体" w:hAnsi="宋体" w:cs="宋体"/>
          <w:sz w:val="32"/>
          <w:szCs w:val="32"/>
        </w:rPr>
        <w:t xml:space="preserve">请求：</w:t>
      </w:r>
      <w:r/>
    </w:p>
    <w:p>
      <w:pPr>
        <w:rPr>
          <w:rFonts w:hint="eastAsia" w:ascii="宋体" w:hAnsi="宋体" w:cs="宋体"/>
          <w:sz w:val="30"/>
          <w:szCs w:val="30"/>
        </w:rPr>
      </w:pPr>
      <w:r>
        <w:rPr>
          <w:rFonts w:hint="eastAsia" w:ascii="宋体" w:hAnsi="宋体" w:cs="宋体"/>
          <w:sz w:val="30"/>
          <w:szCs w:val="30"/>
        </w:rPr>
        <w:t xml:space="preserve">签字(签章)：                   公章：                      </w:t>
      </w:r>
      <w:r/>
    </w:p>
    <w:p>
      <w:pPr>
        <w:rPr>
          <w:rFonts w:hint="eastAsia" w:ascii="宋体" w:hAnsi="宋体" w:cs="宋体"/>
          <w:sz w:val="30"/>
          <w:szCs w:val="30"/>
        </w:rPr>
      </w:pPr>
      <w:r>
        <w:rPr>
          <w:rFonts w:hint="eastAsia" w:ascii="宋体" w:hAnsi="宋体" w:cs="宋体"/>
          <w:sz w:val="30"/>
          <w:szCs w:val="30"/>
        </w:rPr>
        <w:t xml:space="preserve">日期：    </w:t>
      </w:r>
      <w:r/>
    </w:p>
    <w:p>
      <w:pPr>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500" w:lineRule="exact"/>
        <w:rPr>
          <w:rFonts w:hint="eastAsia" w:ascii="宋体" w:hAnsi="宋体" w:cs="宋体"/>
          <w:b/>
          <w:sz w:val="28"/>
          <w:szCs w:val="28"/>
        </w:rPr>
      </w:pPr>
      <w:r>
        <w:rPr>
          <w:rFonts w:hint="eastAsia" w:ascii="宋体" w:hAnsi="宋体" w:cs="宋体"/>
          <w:b/>
          <w:sz w:val="28"/>
          <w:szCs w:val="28"/>
        </w:rPr>
      </w:r>
      <w:r/>
    </w:p>
    <w:p>
      <w:pPr>
        <w:contextualSpacing/>
        <w:spacing w:line="500" w:lineRule="exact"/>
        <w:rPr>
          <w:rFonts w:hint="eastAsia" w:ascii="宋体" w:hAnsi="宋体" w:cs="宋体"/>
          <w:b/>
          <w:bCs/>
          <w:sz w:val="28"/>
          <w:szCs w:val="28"/>
        </w:rPr>
      </w:pPr>
      <w:r>
        <w:rPr>
          <w:rFonts w:hint="eastAsia" w:ascii="宋体" w:hAnsi="宋体" w:cs="宋体"/>
          <w:b/>
          <w:bCs/>
          <w:sz w:val="28"/>
          <w:szCs w:val="28"/>
        </w:rPr>
      </w:r>
      <w:r/>
    </w:p>
    <w:p>
      <w:pPr>
        <w:contextualSpacing/>
        <w:ind w:firstLine="562"/>
        <w:spacing w:line="500" w:lineRule="exact"/>
        <w:rPr>
          <w:rFonts w:hint="eastAsia" w:ascii="宋体" w:hAnsi="宋体" w:cs="宋体"/>
          <w:b/>
          <w:sz w:val="28"/>
          <w:szCs w:val="28"/>
        </w:rPr>
        <w:outlineLvl w:val="0"/>
      </w:pPr>
      <w:r>
        <w:rPr>
          <w:rFonts w:hint="eastAsia" w:ascii="宋体" w:hAnsi="宋体" w:cs="宋体"/>
          <w:b/>
          <w:sz w:val="28"/>
          <w:szCs w:val="28"/>
        </w:rPr>
      </w:r>
      <w:r/>
    </w:p>
    <w:p>
      <w:pPr>
        <w:contextualSpacing/>
        <w:ind w:firstLine="562"/>
        <w:spacing w:line="500" w:lineRule="exact"/>
        <w:rPr>
          <w:rFonts w:hint="eastAsia" w:ascii="宋体" w:hAnsi="宋体" w:cs="宋体"/>
          <w:b/>
          <w:sz w:val="28"/>
          <w:szCs w:val="28"/>
        </w:rPr>
        <w:outlineLvl w:val="0"/>
      </w:pPr>
      <w:r>
        <w:rPr>
          <w:rFonts w:hint="eastAsia" w:ascii="宋体" w:hAnsi="宋体" w:cs="宋体"/>
          <w:b/>
          <w:sz w:val="28"/>
          <w:szCs w:val="28"/>
        </w:rPr>
      </w:r>
      <w:r/>
    </w:p>
    <w:sectPr>
      <w:footnotePr/>
      <w:endnotePr/>
      <w:type w:val="nextPage"/>
      <w:pgSz w:w="11907" w:h="16839" w:orient="portrait"/>
      <w:pgMar w:top="1440" w:right="1800" w:bottom="1440" w:left="1800" w:header="720"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黑体_GBK">
    <w:panose1 w:val="020B0503020202020204"/>
  </w:font>
  <w:font w:name="Calibri">
    <w:panose1 w:val="020F0502020204030204"/>
  </w:font>
  <w:font w:name="Wingdings">
    <w:panose1 w:val="05000000000000000000"/>
  </w:font>
  <w:font w:name="Tahoma">
    <w:panose1 w:val="020B0604030504040204"/>
  </w:font>
  <w:font w:name="新宋体">
    <w:panose1 w:val="02010609030101010101"/>
  </w:font>
  <w:font w:name="Symbol">
    <w:panose1 w:val="05050102010706020507"/>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6"/>
    <w:link w:val="811"/>
    <w:uiPriority w:val="9"/>
    <w:rPr>
      <w:rFonts w:ascii="Arial" w:hAnsi="Arial" w:eastAsia="Arial" w:cs="Arial"/>
      <w:sz w:val="40"/>
      <w:szCs w:val="40"/>
    </w:rPr>
  </w:style>
  <w:style w:type="character" w:styleId="15">
    <w:name w:val="Heading 2 Char"/>
    <w:basedOn w:val="776"/>
    <w:link w:val="768"/>
    <w:uiPriority w:val="9"/>
    <w:rPr>
      <w:rFonts w:ascii="Arial" w:hAnsi="Arial" w:eastAsia="Arial" w:cs="Arial"/>
      <w:sz w:val="34"/>
    </w:rPr>
  </w:style>
  <w:style w:type="character" w:styleId="17">
    <w:name w:val="Heading 3 Char"/>
    <w:basedOn w:val="776"/>
    <w:link w:val="769"/>
    <w:uiPriority w:val="9"/>
    <w:rPr>
      <w:rFonts w:ascii="Arial" w:hAnsi="Arial" w:eastAsia="Arial" w:cs="Arial"/>
      <w:sz w:val="30"/>
      <w:szCs w:val="30"/>
    </w:rPr>
  </w:style>
  <w:style w:type="character" w:styleId="19">
    <w:name w:val="Heading 4 Char"/>
    <w:basedOn w:val="776"/>
    <w:link w:val="770"/>
    <w:uiPriority w:val="9"/>
    <w:rPr>
      <w:rFonts w:ascii="Arial" w:hAnsi="Arial" w:eastAsia="Arial" w:cs="Arial"/>
      <w:b/>
      <w:bCs/>
      <w:sz w:val="26"/>
      <w:szCs w:val="26"/>
    </w:rPr>
  </w:style>
  <w:style w:type="character" w:styleId="21">
    <w:name w:val="Heading 5 Char"/>
    <w:basedOn w:val="776"/>
    <w:link w:val="771"/>
    <w:uiPriority w:val="9"/>
    <w:rPr>
      <w:rFonts w:ascii="Arial" w:hAnsi="Arial" w:eastAsia="Arial" w:cs="Arial"/>
      <w:b/>
      <w:bCs/>
      <w:sz w:val="24"/>
      <w:szCs w:val="24"/>
    </w:rPr>
  </w:style>
  <w:style w:type="character" w:styleId="23">
    <w:name w:val="Heading 6 Char"/>
    <w:basedOn w:val="776"/>
    <w:link w:val="772"/>
    <w:uiPriority w:val="9"/>
    <w:rPr>
      <w:rFonts w:ascii="Arial" w:hAnsi="Arial" w:eastAsia="Arial" w:cs="Arial"/>
      <w:b/>
      <w:bCs/>
      <w:sz w:val="22"/>
      <w:szCs w:val="22"/>
    </w:rPr>
  </w:style>
  <w:style w:type="character" w:styleId="25">
    <w:name w:val="Heading 7 Char"/>
    <w:basedOn w:val="776"/>
    <w:link w:val="773"/>
    <w:uiPriority w:val="9"/>
    <w:rPr>
      <w:rFonts w:ascii="Arial" w:hAnsi="Arial" w:eastAsia="Arial" w:cs="Arial"/>
      <w:b/>
      <w:bCs/>
      <w:i/>
      <w:iCs/>
      <w:sz w:val="22"/>
      <w:szCs w:val="22"/>
    </w:rPr>
  </w:style>
  <w:style w:type="character" w:styleId="27">
    <w:name w:val="Heading 8 Char"/>
    <w:basedOn w:val="776"/>
    <w:link w:val="774"/>
    <w:uiPriority w:val="9"/>
    <w:rPr>
      <w:rFonts w:ascii="Arial" w:hAnsi="Arial" w:eastAsia="Arial" w:cs="Arial"/>
      <w:i/>
      <w:iCs/>
      <w:sz w:val="22"/>
      <w:szCs w:val="22"/>
    </w:rPr>
  </w:style>
  <w:style w:type="character" w:styleId="29">
    <w:name w:val="Heading 9 Char"/>
    <w:basedOn w:val="776"/>
    <w:link w:val="77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76"/>
    <w:link w:val="801"/>
    <w:uiPriority w:val="10"/>
    <w:rPr>
      <w:sz w:val="48"/>
      <w:szCs w:val="48"/>
    </w:rPr>
  </w:style>
  <w:style w:type="character" w:styleId="36">
    <w:name w:val="Subtitle Char"/>
    <w:basedOn w:val="776"/>
    <w:link w:val="794"/>
    <w:uiPriority w:val="11"/>
    <w:rPr>
      <w:sz w:val="24"/>
      <w:szCs w:val="24"/>
    </w:rPr>
  </w:style>
  <w:style w:type="paragraph" w:styleId="37">
    <w:name w:val="Quote"/>
    <w:basedOn w:val="766"/>
    <w:next w:val="766"/>
    <w:link w:val="38"/>
    <w:uiPriority w:val="29"/>
    <w:qFormat/>
    <w:pPr>
      <w:ind w:left="720" w:right="720"/>
    </w:pPr>
    <w:rPr>
      <w:i/>
    </w:rPr>
  </w:style>
  <w:style w:type="character" w:styleId="38">
    <w:name w:val="Quote Char"/>
    <w:link w:val="37"/>
    <w:uiPriority w:val="29"/>
    <w:rPr>
      <w:i/>
    </w:rPr>
  </w:style>
  <w:style w:type="paragraph" w:styleId="39">
    <w:name w:val="Intense Quote"/>
    <w:basedOn w:val="766"/>
    <w:next w:val="7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6"/>
    <w:link w:val="791"/>
    <w:uiPriority w:val="99"/>
  </w:style>
  <w:style w:type="character" w:styleId="46">
    <w:name w:val="Caption Char"/>
    <w:basedOn w:val="780"/>
    <w:link w:val="790"/>
    <w:uiPriority w:val="99"/>
  </w:style>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5"/>
    <w:uiPriority w:val="99"/>
    <w:rPr>
      <w:sz w:val="18"/>
    </w:rPr>
  </w:style>
  <w:style w:type="character" w:styleId="178">
    <w:name w:val="Endnote Text Char"/>
    <w:link w:val="789"/>
    <w:uiPriority w:val="99"/>
    <w:rPr>
      <w:sz w:val="20"/>
    </w:rPr>
  </w:style>
  <w:style w:type="paragraph" w:styleId="189">
    <w:name w:val="TOC Heading"/>
    <w:uiPriority w:val="39"/>
    <w:unhideWhenUsed/>
  </w:style>
  <w:style w:type="paragraph" w:styleId="7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7">
    <w:name w:val="Heading 1"/>
    <w:basedOn w:val="766"/>
    <w:next w:val="766"/>
    <w:link w:val="813"/>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14"/>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15"/>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1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17"/>
    <w:uiPriority w:val="9"/>
    <w:unhideWhenUsed/>
    <w:qFormat/>
    <w:pPr>
      <w:keepLines/>
      <w:keepNext/>
      <w:spacing w:before="320" w:after="200"/>
      <w:outlineLvl w:val="4"/>
    </w:pPr>
    <w:rPr>
      <w:rFonts w:ascii="Arial" w:hAnsi="Arial" w:eastAsia="Arial" w:cs="Arial"/>
      <w:b/>
      <w:bCs/>
      <w:sz w:val="24"/>
    </w:rPr>
  </w:style>
  <w:style w:type="paragraph" w:styleId="772">
    <w:name w:val="Heading 6"/>
    <w:basedOn w:val="766"/>
    <w:next w:val="766"/>
    <w:link w:val="818"/>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20"/>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21"/>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spacing w:after="57"/>
    </w:pPr>
  </w:style>
  <w:style w:type="paragraph" w:styleId="779">
    <w:name w:val="Normal Indent"/>
    <w:basedOn w:val="766"/>
    <w:uiPriority w:val="99"/>
    <w:qFormat/>
    <w:pPr>
      <w:ind w:firstLine="420"/>
    </w:pPr>
  </w:style>
  <w:style w:type="paragraph" w:styleId="780">
    <w:name w:val="Caption"/>
    <w:basedOn w:val="766"/>
    <w:next w:val="766"/>
    <w:uiPriority w:val="35"/>
    <w:unhideWhenUsed/>
    <w:qFormat/>
    <w:pPr>
      <w:spacing w:line="276" w:lineRule="auto"/>
    </w:pPr>
    <w:rPr>
      <w:b/>
      <w:bCs/>
      <w:color w:val="4f81bd"/>
      <w:sz w:val="18"/>
      <w:szCs w:val="18"/>
    </w:rPr>
  </w:style>
  <w:style w:type="paragraph" w:styleId="781">
    <w:name w:val="annotation text"/>
    <w:basedOn w:val="766"/>
    <w:uiPriority w:val="99"/>
    <w:unhideWhenUsed/>
    <w:qFormat/>
    <w:pPr>
      <w:jc w:val="left"/>
    </w:pPr>
  </w:style>
  <w:style w:type="paragraph" w:styleId="782">
    <w:name w:val="Body Text"/>
    <w:basedOn w:val="766"/>
    <w:next w:val="766"/>
    <w:link w:val="1036"/>
    <w:uiPriority w:val="0"/>
    <w:qFormat/>
    <w:rPr>
      <w:rFonts w:ascii="仿宋_GB2312" w:eastAsia="仿宋_GB2312"/>
      <w:sz w:val="24"/>
      <w:szCs w:val="20"/>
    </w:rPr>
  </w:style>
  <w:style w:type="paragraph" w:styleId="783">
    <w:name w:val="Body Text Indent"/>
    <w:basedOn w:val="766"/>
    <w:uiPriority w:val="0"/>
    <w:qFormat/>
    <w:pPr>
      <w:ind w:left="420"/>
      <w:spacing w:after="120"/>
    </w:pPr>
  </w:style>
  <w:style w:type="paragraph" w:styleId="784">
    <w:name w:val="index 4"/>
    <w:basedOn w:val="766"/>
    <w:next w:val="766"/>
    <w:uiPriority w:val="99"/>
    <w:qFormat/>
    <w:pPr>
      <w:ind w:left="1260"/>
    </w:pPr>
    <w:rPr>
      <w:szCs w:val="20"/>
    </w:rPr>
  </w:style>
  <w:style w:type="paragraph" w:styleId="785">
    <w:name w:val="toc 5"/>
    <w:basedOn w:val="766"/>
    <w:next w:val="766"/>
    <w:uiPriority w:val="39"/>
    <w:unhideWhenUsed/>
    <w:qFormat/>
    <w:pPr>
      <w:ind w:left="1134"/>
      <w:spacing w:after="57"/>
    </w:pPr>
  </w:style>
  <w:style w:type="paragraph" w:styleId="786">
    <w:name w:val="toc 3"/>
    <w:basedOn w:val="766"/>
    <w:next w:val="766"/>
    <w:uiPriority w:val="39"/>
    <w:unhideWhenUsed/>
    <w:qFormat/>
    <w:pPr>
      <w:ind w:left="567"/>
      <w:spacing w:after="57"/>
    </w:pPr>
  </w:style>
  <w:style w:type="paragraph" w:styleId="787">
    <w:name w:val="Plain Text"/>
    <w:basedOn w:val="766"/>
    <w:uiPriority w:val="0"/>
    <w:qFormat/>
    <w:rPr>
      <w:rFonts w:ascii="宋体" w:hAnsi="Courier New"/>
    </w:rPr>
  </w:style>
  <w:style w:type="paragraph" w:styleId="788">
    <w:name w:val="toc 8"/>
    <w:basedOn w:val="766"/>
    <w:next w:val="766"/>
    <w:uiPriority w:val="39"/>
    <w:unhideWhenUsed/>
    <w:qFormat/>
    <w:pPr>
      <w:ind w:left="1984"/>
      <w:spacing w:after="57"/>
    </w:pPr>
  </w:style>
  <w:style w:type="paragraph" w:styleId="789">
    <w:name w:val="endnote text"/>
    <w:basedOn w:val="766"/>
    <w:link w:val="959"/>
    <w:uiPriority w:val="99"/>
    <w:unhideWhenUsed/>
    <w:qFormat/>
    <w:rPr>
      <w:sz w:val="20"/>
    </w:rPr>
  </w:style>
  <w:style w:type="paragraph" w:styleId="790">
    <w:name w:val="Footer"/>
    <w:basedOn w:val="766"/>
    <w:link w:val="832"/>
    <w:uiPriority w:val="99"/>
    <w:unhideWhenUsed/>
    <w:qFormat/>
    <w:pPr>
      <w:tabs>
        <w:tab w:val="center" w:pos="7143" w:leader="none"/>
        <w:tab w:val="right" w:pos="14287" w:leader="none"/>
      </w:tabs>
    </w:pPr>
  </w:style>
  <w:style w:type="paragraph" w:styleId="791">
    <w:name w:val="Header"/>
    <w:basedOn w:val="766"/>
    <w:link w:val="830"/>
    <w:uiPriority w:val="99"/>
    <w:unhideWhenUsed/>
    <w:qFormat/>
    <w:pPr>
      <w:tabs>
        <w:tab w:val="center" w:pos="7143" w:leader="none"/>
        <w:tab w:val="right" w:pos="14287" w:leader="none"/>
      </w:tabs>
    </w:pPr>
  </w:style>
  <w:style w:type="paragraph" w:styleId="792">
    <w:name w:val="toc 1"/>
    <w:basedOn w:val="766"/>
    <w:next w:val="766"/>
    <w:uiPriority w:val="39"/>
    <w:unhideWhenUsed/>
    <w:qFormat/>
    <w:pPr>
      <w:spacing w:after="57"/>
    </w:pPr>
  </w:style>
  <w:style w:type="paragraph" w:styleId="793">
    <w:name w:val="toc 4"/>
    <w:basedOn w:val="766"/>
    <w:next w:val="766"/>
    <w:uiPriority w:val="39"/>
    <w:unhideWhenUsed/>
    <w:qFormat/>
    <w:pPr>
      <w:ind w:left="850"/>
      <w:spacing w:after="57"/>
    </w:pPr>
  </w:style>
  <w:style w:type="paragraph" w:styleId="794">
    <w:name w:val="Subtitle"/>
    <w:basedOn w:val="766"/>
    <w:next w:val="766"/>
    <w:link w:val="825"/>
    <w:uiPriority w:val="11"/>
    <w:qFormat/>
    <w:pPr>
      <w:spacing w:before="200" w:after="200"/>
    </w:pPr>
    <w:rPr>
      <w:sz w:val="24"/>
    </w:rPr>
  </w:style>
  <w:style w:type="paragraph" w:styleId="795">
    <w:name w:val="footnote text"/>
    <w:basedOn w:val="766"/>
    <w:link w:val="958"/>
    <w:uiPriority w:val="99"/>
    <w:unhideWhenUsed/>
    <w:qFormat/>
    <w:pPr>
      <w:spacing w:after="40"/>
    </w:pPr>
    <w:rPr>
      <w:sz w:val="18"/>
    </w:rPr>
  </w:style>
  <w:style w:type="paragraph" w:styleId="796">
    <w:name w:val="toc 6"/>
    <w:basedOn w:val="766"/>
    <w:next w:val="766"/>
    <w:uiPriority w:val="39"/>
    <w:unhideWhenUsed/>
    <w:qFormat/>
    <w:pPr>
      <w:ind w:left="1417"/>
      <w:spacing w:after="57"/>
    </w:pPr>
  </w:style>
  <w:style w:type="paragraph" w:styleId="797">
    <w:name w:val="table of figures"/>
    <w:basedOn w:val="766"/>
    <w:next w:val="766"/>
    <w:uiPriority w:val="99"/>
    <w:unhideWhenUsed/>
    <w:qFormat/>
  </w:style>
  <w:style w:type="paragraph" w:styleId="798">
    <w:name w:val="toc 2"/>
    <w:basedOn w:val="766"/>
    <w:next w:val="766"/>
    <w:uiPriority w:val="39"/>
    <w:unhideWhenUsed/>
    <w:qFormat/>
    <w:pPr>
      <w:ind w:left="283"/>
      <w:spacing w:after="57"/>
    </w:pPr>
  </w:style>
  <w:style w:type="paragraph" w:styleId="799">
    <w:name w:val="toc 9"/>
    <w:basedOn w:val="766"/>
    <w:next w:val="766"/>
    <w:uiPriority w:val="39"/>
    <w:unhideWhenUsed/>
    <w:qFormat/>
    <w:pPr>
      <w:ind w:left="2268"/>
      <w:spacing w:after="57"/>
    </w:pPr>
  </w:style>
  <w:style w:type="paragraph" w:styleId="800">
    <w:name w:val="Normal (Web)"/>
    <w:basedOn w:val="766"/>
    <w:uiPriority w:val="0"/>
    <w:unhideWhenUsed/>
    <w:qFormat/>
    <w:pPr>
      <w:jc w:val="left"/>
      <w:spacing w:before="100" w:beforeAutospacing="1" w:after="100" w:afterAutospacing="1"/>
      <w:widowControl/>
    </w:pPr>
    <w:rPr>
      <w:rFonts w:ascii="宋体" w:hAnsi="宋体" w:cs="宋体"/>
      <w:sz w:val="24"/>
    </w:rPr>
  </w:style>
  <w:style w:type="paragraph" w:styleId="801">
    <w:name w:val="Title"/>
    <w:basedOn w:val="766"/>
    <w:next w:val="766"/>
    <w:link w:val="824"/>
    <w:uiPriority w:val="10"/>
    <w:qFormat/>
    <w:pPr>
      <w:contextualSpacing/>
      <w:spacing w:before="300" w:after="200"/>
    </w:pPr>
    <w:rPr>
      <w:sz w:val="48"/>
      <w:szCs w:val="48"/>
    </w:rPr>
  </w:style>
  <w:style w:type="paragraph" w:styleId="802">
    <w:name w:val="Body Text First Indent"/>
    <w:basedOn w:val="782"/>
    <w:link w:val="1037"/>
    <w:uiPriority w:val="0"/>
    <w:qFormat/>
    <w:pPr>
      <w:ind w:firstLine="420"/>
      <w:spacing w:after="120"/>
    </w:pPr>
    <w:rPr>
      <w:rFonts w:ascii="Times New Roman" w:eastAsia="宋体"/>
      <w:sz w:val="21"/>
      <w:szCs w:val="24"/>
    </w:rPr>
  </w:style>
  <w:style w:type="paragraph" w:styleId="803">
    <w:name w:val="Body Text First Indent 2"/>
    <w:basedOn w:val="783"/>
    <w:uiPriority w:val="99"/>
    <w:unhideWhenUsed/>
    <w:qFormat/>
    <w:pPr>
      <w:ind w:firstLine="200"/>
    </w:p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76"/>
    <w:uiPriority w:val="99"/>
    <w:qFormat/>
    <w:rPr>
      <w:rFonts w:cs="Times New Roman"/>
      <w:b/>
    </w:rPr>
  </w:style>
  <w:style w:type="character" w:styleId="806">
    <w:name w:val="endnote reference"/>
    <w:uiPriority w:val="99"/>
    <w:unhideWhenUsed/>
    <w:qFormat/>
    <w:rPr>
      <w:vertAlign w:val="superscript"/>
    </w:rPr>
  </w:style>
  <w:style w:type="character" w:styleId="807">
    <w:name w:val="Hyperlink"/>
    <w:uiPriority w:val="99"/>
    <w:unhideWhenUsed/>
    <w:qFormat/>
    <w:rPr>
      <w:color w:val="0000ff"/>
      <w:u w:val="single"/>
    </w:rPr>
  </w:style>
  <w:style w:type="character" w:styleId="808">
    <w:name w:val="annotation reference"/>
    <w:basedOn w:val="776"/>
    <w:uiPriority w:val="99"/>
    <w:semiHidden/>
    <w:unhideWhenUsed/>
    <w:qFormat/>
    <w:rPr>
      <w:sz w:val="21"/>
      <w:szCs w:val="21"/>
    </w:rPr>
  </w:style>
  <w:style w:type="character" w:styleId="809">
    <w:name w:val="footnote reference"/>
    <w:uiPriority w:val="99"/>
    <w:unhideWhenUsed/>
    <w:qFormat/>
    <w:rPr>
      <w:vertAlign w:val="superscript"/>
    </w:rPr>
  </w:style>
  <w:style w:type="paragraph" w:styleId="810"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811" w:customStyle="1">
    <w:name w:val="Heading 1"/>
    <w:basedOn w:val="766"/>
    <w:next w:val="766"/>
    <w:uiPriority w:val="0"/>
    <w:qFormat/>
    <w:pPr>
      <w:keepLines/>
      <w:keepNext/>
      <w:spacing w:before="340" w:after="330" w:line="576" w:lineRule="auto"/>
    </w:pPr>
    <w:rPr>
      <w:b/>
      <w:bCs/>
      <w:sz w:val="44"/>
      <w:szCs w:val="44"/>
    </w:rPr>
  </w:style>
  <w:style w:type="paragraph" w:styleId="812" w:customStyle="1">
    <w:name w:val="标题 11"/>
    <w:basedOn w:val="766"/>
    <w:next w:val="766"/>
    <w:link w:val="967"/>
    <w:uiPriority w:val="0"/>
    <w:qFormat/>
    <w:pPr>
      <w:keepLines/>
      <w:keepNext/>
      <w:spacing w:before="340" w:after="330" w:line="578" w:lineRule="auto"/>
      <w:outlineLvl w:val="0"/>
    </w:pPr>
    <w:rPr>
      <w:b/>
      <w:bCs/>
      <w:sz w:val="44"/>
      <w:szCs w:val="44"/>
    </w:rPr>
  </w:style>
  <w:style w:type="character" w:styleId="813" w:customStyle="1">
    <w:name w:val="标题 1 字符"/>
    <w:link w:val="767"/>
    <w:uiPriority w:val="9"/>
    <w:qFormat/>
    <w:rPr>
      <w:rFonts w:ascii="Arial" w:hAnsi="Arial" w:eastAsia="Arial" w:cs="Arial"/>
      <w:sz w:val="40"/>
      <w:szCs w:val="40"/>
    </w:rPr>
  </w:style>
  <w:style w:type="character" w:styleId="814" w:customStyle="1">
    <w:name w:val="标题 2 字符"/>
    <w:link w:val="768"/>
    <w:uiPriority w:val="9"/>
    <w:qFormat/>
    <w:rPr>
      <w:rFonts w:ascii="Arial" w:hAnsi="Arial" w:eastAsia="Arial" w:cs="Arial"/>
      <w:sz w:val="34"/>
    </w:rPr>
  </w:style>
  <w:style w:type="character" w:styleId="815" w:customStyle="1">
    <w:name w:val="标题 3 字符"/>
    <w:link w:val="769"/>
    <w:uiPriority w:val="9"/>
    <w:qFormat/>
    <w:rPr>
      <w:rFonts w:ascii="Arial" w:hAnsi="Arial" w:eastAsia="Arial" w:cs="Arial"/>
      <w:sz w:val="30"/>
      <w:szCs w:val="30"/>
    </w:rPr>
  </w:style>
  <w:style w:type="character" w:styleId="816" w:customStyle="1">
    <w:name w:val="标题 4 字符"/>
    <w:link w:val="770"/>
    <w:uiPriority w:val="9"/>
    <w:qFormat/>
    <w:rPr>
      <w:rFonts w:ascii="Arial" w:hAnsi="Arial" w:eastAsia="Arial" w:cs="Arial"/>
      <w:b/>
      <w:bCs/>
      <w:sz w:val="26"/>
      <w:szCs w:val="26"/>
    </w:rPr>
  </w:style>
  <w:style w:type="character" w:styleId="817" w:customStyle="1">
    <w:name w:val="标题 5 字符"/>
    <w:link w:val="771"/>
    <w:uiPriority w:val="9"/>
    <w:qFormat/>
    <w:rPr>
      <w:rFonts w:ascii="Arial" w:hAnsi="Arial" w:eastAsia="Arial" w:cs="Arial"/>
      <w:b/>
      <w:bCs/>
      <w:sz w:val="24"/>
      <w:szCs w:val="24"/>
    </w:rPr>
  </w:style>
  <w:style w:type="character" w:styleId="818" w:customStyle="1">
    <w:name w:val="标题 6 字符"/>
    <w:link w:val="772"/>
    <w:uiPriority w:val="9"/>
    <w:qFormat/>
    <w:rPr>
      <w:rFonts w:ascii="Arial" w:hAnsi="Arial" w:eastAsia="Arial" w:cs="Arial"/>
      <w:b/>
      <w:bCs/>
      <w:sz w:val="22"/>
      <w:szCs w:val="22"/>
    </w:rPr>
  </w:style>
  <w:style w:type="character" w:styleId="819" w:customStyle="1">
    <w:name w:val="标题 7 字符"/>
    <w:link w:val="773"/>
    <w:uiPriority w:val="9"/>
    <w:qFormat/>
    <w:rPr>
      <w:rFonts w:ascii="Arial" w:hAnsi="Arial" w:eastAsia="Arial" w:cs="Arial"/>
      <w:b/>
      <w:bCs/>
      <w:i/>
      <w:iCs/>
      <w:sz w:val="22"/>
      <w:szCs w:val="22"/>
    </w:rPr>
  </w:style>
  <w:style w:type="character" w:styleId="820" w:customStyle="1">
    <w:name w:val="标题 8 字符"/>
    <w:link w:val="774"/>
    <w:uiPriority w:val="9"/>
    <w:qFormat/>
    <w:rPr>
      <w:rFonts w:ascii="Arial" w:hAnsi="Arial" w:eastAsia="Arial" w:cs="Arial"/>
      <w:i/>
      <w:iCs/>
      <w:sz w:val="22"/>
      <w:szCs w:val="22"/>
    </w:rPr>
  </w:style>
  <w:style w:type="character" w:styleId="821" w:customStyle="1">
    <w:name w:val="标题 9 字符"/>
    <w:link w:val="775"/>
    <w:uiPriority w:val="9"/>
    <w:qFormat/>
    <w:rPr>
      <w:rFonts w:ascii="Arial" w:hAnsi="Arial" w:eastAsia="Arial" w:cs="Arial"/>
      <w:i/>
      <w:iCs/>
      <w:sz w:val="21"/>
      <w:szCs w:val="21"/>
    </w:rPr>
  </w:style>
  <w:style w:type="paragraph" w:styleId="822" w:customStyle="1">
    <w:name w:val="列表段落1"/>
    <w:basedOn w:val="766"/>
    <w:uiPriority w:val="34"/>
    <w:qFormat/>
    <w:pPr>
      <w:contextualSpacing/>
      <w:ind w:left="720"/>
    </w:pPr>
  </w:style>
  <w:style w:type="paragraph" w:styleId="823" w:customStyle="1">
    <w:name w:val="无间隔1"/>
    <w:uiPriority w:val="1"/>
    <w:qFormat/>
    <w:rPr>
      <w:rFonts w:ascii="Times New Roman" w:hAnsi="Times New Roman" w:eastAsia="宋体" w:cs="Times New Roman"/>
      <w:lang w:val="en-US" w:eastAsia="zh-CN" w:bidi="ar-SA"/>
    </w:rPr>
  </w:style>
  <w:style w:type="character" w:styleId="824" w:customStyle="1">
    <w:name w:val="标题 字符"/>
    <w:link w:val="801"/>
    <w:uiPriority w:val="10"/>
    <w:qFormat/>
    <w:rPr>
      <w:sz w:val="48"/>
      <w:szCs w:val="48"/>
    </w:rPr>
  </w:style>
  <w:style w:type="character" w:styleId="825" w:customStyle="1">
    <w:name w:val="副标题 字符"/>
    <w:link w:val="794"/>
    <w:uiPriority w:val="11"/>
    <w:qFormat/>
    <w:rPr>
      <w:sz w:val="24"/>
      <w:szCs w:val="24"/>
    </w:rPr>
  </w:style>
  <w:style w:type="paragraph" w:styleId="826" w:customStyle="1">
    <w:name w:val="引用1"/>
    <w:basedOn w:val="766"/>
    <w:next w:val="766"/>
    <w:link w:val="827"/>
    <w:uiPriority w:val="29"/>
    <w:qFormat/>
    <w:pPr>
      <w:ind w:left="720" w:right="720"/>
    </w:pPr>
    <w:rPr>
      <w:i/>
    </w:rPr>
  </w:style>
  <w:style w:type="character" w:styleId="827" w:customStyle="1">
    <w:name w:val="引用 字符"/>
    <w:link w:val="826"/>
    <w:uiPriority w:val="29"/>
    <w:qFormat/>
    <w:rPr>
      <w:i/>
    </w:rPr>
  </w:style>
  <w:style w:type="paragraph" w:styleId="828" w:customStyle="1">
    <w:name w:val="明显引用1"/>
    <w:basedOn w:val="766"/>
    <w:next w:val="766"/>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link w:val="791"/>
    <w:uiPriority w:val="99"/>
    <w:qFormat/>
  </w:style>
  <w:style w:type="character" w:styleId="831" w:customStyle="1">
    <w:name w:val="Footer Char"/>
    <w:uiPriority w:val="99"/>
    <w:qFormat/>
  </w:style>
  <w:style w:type="character" w:styleId="832" w:customStyle="1">
    <w:name w:val="页脚 字符1"/>
    <w:link w:val="790"/>
    <w:uiPriority w:val="99"/>
    <w:qFormat/>
  </w:style>
  <w:style w:type="table" w:styleId="83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6" w:customStyle="1">
    <w:name w:val="无格式表格 31"/>
    <w:uiPriority w:val="99"/>
    <w:qFormat/>
    <w:tblPr>
      <w:tblCellMar>
        <w:left w:w="0" w:type="dxa"/>
        <w:top w:w="0" w:type="dxa"/>
        <w:right w:w="0" w:type="dxa"/>
        <w:bottom w:w="0" w:type="dxa"/>
      </w:tblCellMar>
    </w:tblPr>
  </w:style>
  <w:style w:type="table" w:styleId="837" w:customStyle="1">
    <w:name w:val="无格式表格 41"/>
    <w:uiPriority w:val="99"/>
    <w:qFormat/>
    <w:tblPr>
      <w:tblCellMar>
        <w:left w:w="0" w:type="dxa"/>
        <w:top w:w="0" w:type="dxa"/>
        <w:right w:w="0" w:type="dxa"/>
        <w:bottom w:w="0" w:type="dxa"/>
      </w:tblCellMar>
    </w:tblPr>
  </w:style>
  <w:style w:type="table" w:styleId="838" w:customStyle="1">
    <w:name w:val="无格式表格 51"/>
    <w:uiPriority w:val="99"/>
    <w:qFormat/>
    <w:tblPr>
      <w:tblCellMar>
        <w:left w:w="0" w:type="dxa"/>
        <w:top w:w="0" w:type="dxa"/>
        <w:right w:w="0" w:type="dxa"/>
        <w:bottom w:w="0" w:type="dxa"/>
      </w:tblCellMar>
    </w:tblPr>
  </w:style>
  <w:style w:type="table" w:styleId="83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清单表 1 浅色1"/>
    <w:uiPriority w:val="99"/>
    <w:qFormat/>
    <w:tblPr>
      <w:tblCellMar>
        <w:left w:w="0" w:type="dxa"/>
        <w:top w:w="0" w:type="dxa"/>
        <w:right w:w="0" w:type="dxa"/>
        <w:bottom w:w="0" w:type="dxa"/>
      </w:tblCellMar>
    </w:tblPr>
  </w:style>
  <w:style w:type="table" w:styleId="889" w:customStyle="1">
    <w:name w:val="List Table 1 Light - Accent 1"/>
    <w:uiPriority w:val="99"/>
    <w:qFormat/>
    <w:tblPr>
      <w:tblCellMar>
        <w:left w:w="0" w:type="dxa"/>
        <w:top w:w="0" w:type="dxa"/>
        <w:right w:w="0" w:type="dxa"/>
        <w:bottom w:w="0" w:type="dxa"/>
      </w:tblCellMar>
    </w:tblPr>
  </w:style>
  <w:style w:type="table" w:styleId="890" w:customStyle="1">
    <w:name w:val="List Table 1 Light - Accent 2"/>
    <w:uiPriority w:val="99"/>
    <w:qFormat/>
    <w:tblPr>
      <w:tblCellMar>
        <w:left w:w="0" w:type="dxa"/>
        <w:top w:w="0" w:type="dxa"/>
        <w:right w:w="0" w:type="dxa"/>
        <w:bottom w:w="0" w:type="dxa"/>
      </w:tblCellMar>
    </w:tblPr>
  </w:style>
  <w:style w:type="table" w:styleId="891" w:customStyle="1">
    <w:name w:val="List Table 1 Light - Accent 3"/>
    <w:uiPriority w:val="99"/>
    <w:qFormat/>
    <w:tblPr>
      <w:tblCellMar>
        <w:left w:w="0" w:type="dxa"/>
        <w:top w:w="0" w:type="dxa"/>
        <w:right w:w="0" w:type="dxa"/>
        <w:bottom w:w="0" w:type="dxa"/>
      </w:tblCellMar>
    </w:tblPr>
  </w:style>
  <w:style w:type="table" w:styleId="892" w:customStyle="1">
    <w:name w:val="List Table 1 Light - Accent 4"/>
    <w:uiPriority w:val="99"/>
    <w:qFormat/>
    <w:tblPr>
      <w:tblCellMar>
        <w:left w:w="0" w:type="dxa"/>
        <w:top w:w="0" w:type="dxa"/>
        <w:right w:w="0" w:type="dxa"/>
        <w:bottom w:w="0" w:type="dxa"/>
      </w:tblCellMar>
    </w:tblPr>
  </w:style>
  <w:style w:type="table" w:styleId="893" w:customStyle="1">
    <w:name w:val="List Table 1 Light - Accent 5"/>
    <w:uiPriority w:val="99"/>
    <w:qFormat/>
    <w:tblPr>
      <w:tblCellMar>
        <w:left w:w="0" w:type="dxa"/>
        <w:top w:w="0" w:type="dxa"/>
        <w:right w:w="0" w:type="dxa"/>
        <w:bottom w:w="0" w:type="dxa"/>
      </w:tblCellMar>
    </w:tblPr>
  </w:style>
  <w:style w:type="table" w:styleId="894" w:customStyle="1">
    <w:name w:val="List Table 1 Light - Accent 6"/>
    <w:uiPriority w:val="99"/>
    <w:qFormat/>
    <w:tblPr>
      <w:tblCellMar>
        <w:left w:w="0" w:type="dxa"/>
        <w:top w:w="0" w:type="dxa"/>
        <w:right w:w="0" w:type="dxa"/>
        <w:bottom w:w="0" w:type="dxa"/>
      </w:tblCellMar>
    </w:tblPr>
  </w:style>
  <w:style w:type="table" w:styleId="89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8" w:customStyle="1">
    <w:name w:val="脚注文本 字符"/>
    <w:link w:val="795"/>
    <w:uiPriority w:val="99"/>
    <w:qFormat/>
    <w:rPr>
      <w:sz w:val="18"/>
    </w:rPr>
  </w:style>
  <w:style w:type="character" w:styleId="959" w:customStyle="1">
    <w:name w:val="尾注文本 字符"/>
    <w:link w:val="789"/>
    <w:uiPriority w:val="99"/>
    <w:qFormat/>
    <w:rPr>
      <w:sz w:val="20"/>
    </w:rPr>
  </w:style>
  <w:style w:type="paragraph" w:styleId="960" w:customStyle="1">
    <w:name w:val="TOC 标题1"/>
    <w:uiPriority w:val="39"/>
    <w:unhideWhenUsed/>
    <w:qFormat/>
    <w:rPr>
      <w:rFonts w:ascii="Times New Roman" w:hAnsi="Times New Roman" w:eastAsia="宋体" w:cs="Times New Roman"/>
      <w:lang w:val="en-US" w:eastAsia="zh-CN" w:bidi="ar-SA"/>
    </w:rPr>
  </w:style>
  <w:style w:type="paragraph" w:styleId="961" w:customStyle="1">
    <w:name w:val="标题 21"/>
    <w:basedOn w:val="766"/>
    <w:next w:val="962"/>
    <w:link w:val="968"/>
    <w:uiPriority w:val="0"/>
    <w:qFormat/>
    <w:pPr>
      <w:keepLines/>
      <w:keepNext/>
      <w:spacing w:before="260" w:after="260" w:line="416" w:lineRule="auto"/>
      <w:outlineLvl w:val="1"/>
    </w:pPr>
    <w:rPr>
      <w:rFonts w:ascii="Arial" w:hAnsi="Arial" w:eastAsia="黑体"/>
      <w:b/>
      <w:bCs/>
      <w:sz w:val="32"/>
      <w:szCs w:val="32"/>
    </w:rPr>
  </w:style>
  <w:style w:type="paragraph" w:styleId="962" w:customStyle="1">
    <w:name w:val="纯文本1"/>
    <w:basedOn w:val="766"/>
    <w:uiPriority w:val="99"/>
    <w:qFormat/>
    <w:rPr>
      <w:rFonts w:ascii="宋体" w:hAnsi="Courier New"/>
      <w:szCs w:val="20"/>
    </w:rPr>
  </w:style>
  <w:style w:type="paragraph" w:styleId="963" w:customStyle="1">
    <w:name w:val="标题 31"/>
    <w:basedOn w:val="766"/>
    <w:next w:val="766"/>
    <w:link w:val="969"/>
    <w:uiPriority w:val="0"/>
    <w:qFormat/>
    <w:pPr>
      <w:keepLines/>
      <w:keepNext/>
      <w:spacing w:before="260" w:after="260" w:line="416" w:lineRule="auto"/>
      <w:outlineLvl w:val="2"/>
    </w:pPr>
    <w:rPr>
      <w:b/>
      <w:bCs/>
      <w:sz w:val="32"/>
      <w:szCs w:val="32"/>
    </w:rPr>
  </w:style>
  <w:style w:type="paragraph" w:styleId="964" w:customStyle="1">
    <w:name w:val="标题 41"/>
    <w:basedOn w:val="766"/>
    <w:next w:val="766"/>
    <w:link w:val="970"/>
    <w:uiPriority w:val="0"/>
    <w:qFormat/>
    <w:pPr>
      <w:jc w:val="center"/>
      <w:keepNext/>
      <w:outlineLvl w:val="3"/>
    </w:pPr>
    <w:rPr>
      <w:rFonts w:eastAsia="新宋体"/>
      <w:sz w:val="30"/>
      <w:szCs w:val="21"/>
    </w:rPr>
  </w:style>
  <w:style w:type="character" w:styleId="965" w:customStyle="1">
    <w:name w:val="默认段落字体1"/>
    <w:uiPriority w:val="1"/>
    <w:unhideWhenUsed/>
    <w:qFormat/>
  </w:style>
  <w:style w:type="table" w:styleId="966" w:customStyle="1">
    <w:name w:val="普通表格1"/>
    <w:uiPriority w:val="99"/>
    <w:unhideWhenUsed/>
    <w:qFormat/>
    <w:tblPr>
      <w:tblCellMar>
        <w:left w:w="0" w:type="dxa"/>
        <w:top w:w="0" w:type="dxa"/>
        <w:right w:w="0" w:type="dxa"/>
        <w:bottom w:w="0" w:type="dxa"/>
      </w:tblCellMar>
    </w:tblPr>
  </w:style>
  <w:style w:type="character" w:styleId="967" w:customStyle="1">
    <w:name w:val="标题 1 Char"/>
    <w:link w:val="812"/>
    <w:uiPriority w:val="0"/>
    <w:qFormat/>
    <w:rPr>
      <w:b/>
      <w:bCs/>
      <w:sz w:val="44"/>
      <w:szCs w:val="44"/>
    </w:rPr>
  </w:style>
  <w:style w:type="character" w:styleId="968" w:customStyle="1">
    <w:name w:val="标题 2 Char"/>
    <w:link w:val="961"/>
    <w:uiPriority w:val="0"/>
    <w:qFormat/>
    <w:rPr>
      <w:rFonts w:ascii="Arial" w:hAnsi="Arial" w:eastAsia="黑体"/>
      <w:b/>
      <w:bCs/>
      <w:sz w:val="32"/>
      <w:szCs w:val="32"/>
    </w:rPr>
  </w:style>
  <w:style w:type="character" w:styleId="969" w:customStyle="1">
    <w:name w:val="标题 3 Char"/>
    <w:link w:val="963"/>
    <w:uiPriority w:val="0"/>
    <w:qFormat/>
    <w:rPr>
      <w:b/>
      <w:bCs/>
      <w:sz w:val="32"/>
      <w:szCs w:val="32"/>
    </w:rPr>
  </w:style>
  <w:style w:type="character" w:styleId="970" w:customStyle="1">
    <w:name w:val="标题 4 Char"/>
    <w:link w:val="964"/>
    <w:uiPriority w:val="0"/>
    <w:qFormat/>
    <w:rPr>
      <w:rFonts w:eastAsia="新宋体"/>
      <w:sz w:val="30"/>
      <w:szCs w:val="21"/>
    </w:rPr>
  </w:style>
  <w:style w:type="paragraph" w:styleId="971" w:customStyle="1">
    <w:name w:val="正文缩进1"/>
    <w:basedOn w:val="766"/>
    <w:link w:val="972"/>
    <w:uiPriority w:val="0"/>
    <w:qFormat/>
    <w:pPr>
      <w:ind w:firstLine="420"/>
    </w:pPr>
    <w:rPr>
      <w:szCs w:val="20"/>
    </w:rPr>
  </w:style>
  <w:style w:type="character" w:styleId="972" w:customStyle="1">
    <w:name w:val="正文缩进 Char"/>
    <w:link w:val="971"/>
    <w:uiPriority w:val="0"/>
    <w:qFormat/>
    <w:rPr>
      <w:sz w:val="21"/>
    </w:rPr>
  </w:style>
  <w:style w:type="paragraph" w:styleId="973" w:customStyle="1">
    <w:name w:val="文档结构图1"/>
    <w:basedOn w:val="766"/>
    <w:link w:val="974"/>
    <w:uiPriority w:val="0"/>
    <w:semiHidden/>
    <w:qFormat/>
    <w:pPr>
      <w:shd w:val="clear" w:color="auto" w:fill="000080"/>
    </w:pPr>
  </w:style>
  <w:style w:type="character" w:styleId="974" w:customStyle="1">
    <w:name w:val="文档结构图 Char"/>
    <w:link w:val="973"/>
    <w:uiPriority w:val="0"/>
    <w:semiHidden/>
    <w:qFormat/>
    <w:rPr>
      <w:sz w:val="21"/>
      <w:szCs w:val="24"/>
      <w:shd w:val="clear" w:color="auto" w:fill="000080"/>
    </w:rPr>
  </w:style>
  <w:style w:type="paragraph" w:styleId="975" w:customStyle="1">
    <w:name w:val="批注文字1"/>
    <w:basedOn w:val="766"/>
    <w:uiPriority w:val="99"/>
    <w:unhideWhenUsed/>
    <w:qFormat/>
    <w:pPr>
      <w:jc w:val="left"/>
    </w:pPr>
  </w:style>
  <w:style w:type="paragraph" w:styleId="976" w:customStyle="1">
    <w:name w:val="正文文本1"/>
    <w:basedOn w:val="766"/>
    <w:next w:val="766"/>
    <w:uiPriority w:val="0"/>
    <w:qFormat/>
    <w:pPr>
      <w:spacing w:after="120"/>
    </w:pPr>
    <w:rPr>
      <w:szCs w:val="20"/>
    </w:rPr>
  </w:style>
  <w:style w:type="paragraph" w:styleId="977" w:customStyle="1">
    <w:name w:val="正文文本缩进1"/>
    <w:basedOn w:val="766"/>
    <w:link w:val="978"/>
    <w:uiPriority w:val="0"/>
    <w:qFormat/>
    <w:pPr>
      <w:ind w:left="420"/>
      <w:spacing w:after="120"/>
    </w:pPr>
  </w:style>
  <w:style w:type="character" w:styleId="978" w:customStyle="1">
    <w:name w:val="正文文本缩进 Char"/>
    <w:link w:val="977"/>
    <w:uiPriority w:val="0"/>
    <w:qFormat/>
    <w:rPr>
      <w:sz w:val="21"/>
      <w:szCs w:val="24"/>
    </w:rPr>
  </w:style>
  <w:style w:type="paragraph" w:styleId="979" w:customStyle="1">
    <w:name w:val="日期1"/>
    <w:basedOn w:val="766"/>
    <w:next w:val="766"/>
    <w:link w:val="980"/>
    <w:uiPriority w:val="0"/>
    <w:qFormat/>
    <w:pPr>
      <w:ind w:left="100"/>
    </w:pPr>
  </w:style>
  <w:style w:type="character" w:styleId="980" w:customStyle="1">
    <w:name w:val="日期 Char"/>
    <w:link w:val="979"/>
    <w:uiPriority w:val="0"/>
    <w:qFormat/>
    <w:rPr>
      <w:sz w:val="21"/>
      <w:szCs w:val="24"/>
    </w:rPr>
  </w:style>
  <w:style w:type="paragraph" w:styleId="981" w:customStyle="1">
    <w:name w:val="批注框文本1"/>
    <w:basedOn w:val="766"/>
    <w:link w:val="982"/>
    <w:uiPriority w:val="0"/>
    <w:semiHidden/>
    <w:qFormat/>
    <w:rPr>
      <w:sz w:val="18"/>
      <w:szCs w:val="18"/>
    </w:rPr>
  </w:style>
  <w:style w:type="character" w:styleId="982" w:customStyle="1">
    <w:name w:val="批注框文本 Char"/>
    <w:link w:val="981"/>
    <w:uiPriority w:val="0"/>
    <w:semiHidden/>
    <w:qFormat/>
    <w:rPr>
      <w:sz w:val="18"/>
      <w:szCs w:val="18"/>
    </w:rPr>
  </w:style>
  <w:style w:type="paragraph" w:styleId="983" w:customStyle="1">
    <w:name w:val="页脚1"/>
    <w:basedOn w:val="766"/>
    <w:link w:val="984"/>
    <w:uiPriority w:val="99"/>
    <w:qFormat/>
    <w:pPr>
      <w:jc w:val="left"/>
      <w:tabs>
        <w:tab w:val="center" w:pos="4153" w:leader="none"/>
        <w:tab w:val="right" w:pos="8306" w:leader="none"/>
      </w:tabs>
    </w:pPr>
    <w:rPr>
      <w:sz w:val="18"/>
      <w:szCs w:val="18"/>
    </w:rPr>
  </w:style>
  <w:style w:type="character" w:styleId="984" w:customStyle="1">
    <w:name w:val="页脚 Char"/>
    <w:link w:val="983"/>
    <w:uiPriority w:val="99"/>
    <w:qFormat/>
    <w:rPr>
      <w:sz w:val="18"/>
      <w:szCs w:val="18"/>
    </w:rPr>
  </w:style>
  <w:style w:type="paragraph" w:styleId="985" w:customStyle="1">
    <w:name w:val="页眉1"/>
    <w:basedOn w:val="766"/>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0"/>
    <w:qFormat/>
    <w:rPr>
      <w:sz w:val="18"/>
      <w:szCs w:val="18"/>
    </w:rPr>
  </w:style>
  <w:style w:type="paragraph" w:styleId="987" w:customStyle="1">
    <w:name w:val="正文文本缩进 31"/>
    <w:basedOn w:val="766"/>
    <w:link w:val="988"/>
    <w:uiPriority w:val="0"/>
    <w:qFormat/>
    <w:pPr>
      <w:ind w:firstLine="539"/>
      <w:spacing w:line="520" w:lineRule="exact"/>
    </w:pPr>
    <w:rPr>
      <w:rFonts w:ascii="宋体"/>
      <w:b/>
      <w:spacing w:val="6"/>
      <w:sz w:val="28"/>
    </w:rPr>
  </w:style>
  <w:style w:type="character" w:styleId="988" w:customStyle="1">
    <w:name w:val="正文文本缩进 3 Char"/>
    <w:link w:val="987"/>
    <w:uiPriority w:val="0"/>
    <w:qFormat/>
    <w:rPr>
      <w:rFonts w:ascii="宋体"/>
      <w:b/>
      <w:spacing w:val="6"/>
      <w:sz w:val="28"/>
      <w:szCs w:val="24"/>
    </w:rPr>
  </w:style>
  <w:style w:type="paragraph" w:styleId="989" w:customStyle="1">
    <w:name w:val="普通(网站)1"/>
    <w:basedOn w:val="766"/>
    <w:uiPriority w:val="0"/>
    <w:unhideWhenUsed/>
    <w:qFormat/>
    <w:pPr>
      <w:jc w:val="left"/>
      <w:spacing w:before="100" w:beforeAutospacing="1" w:after="100" w:afterAutospacing="1"/>
      <w:widowControl/>
    </w:pPr>
    <w:rPr>
      <w:rFonts w:ascii="宋体" w:hAnsi="宋体" w:cs="宋体"/>
      <w:sz w:val="24"/>
    </w:rPr>
  </w:style>
  <w:style w:type="paragraph" w:styleId="990" w:customStyle="1">
    <w:name w:val="正文首行缩进1"/>
    <w:basedOn w:val="976"/>
    <w:uiPriority w:val="99"/>
    <w:unhideWhenUsed/>
    <w:qFormat/>
    <w:pPr>
      <w:ind w:firstLine="420"/>
    </w:pPr>
  </w:style>
  <w:style w:type="table" w:styleId="991" w:customStyle="1">
    <w:name w:val="网格型1"/>
    <w:basedOn w:val="966"/>
    <w:uiPriority w:val="0"/>
    <w:qFormat/>
    <w:pPr>
      <w:jc w:val="both"/>
      <w:widowControl w:val="off"/>
    </w:pPr>
    <w:tblPr/>
  </w:style>
  <w:style w:type="character" w:styleId="992" w:customStyle="1">
    <w:name w:val="要点1"/>
    <w:uiPriority w:val="22"/>
    <w:qFormat/>
    <w:rPr>
      <w:b/>
      <w:bCs/>
    </w:rPr>
  </w:style>
  <w:style w:type="character" w:styleId="993" w:customStyle="1">
    <w:name w:val="页码1"/>
    <w:uiPriority w:val="0"/>
    <w:qFormat/>
  </w:style>
  <w:style w:type="character" w:styleId="994" w:customStyle="1">
    <w:name w:val="已访问的超链接1"/>
    <w:uiPriority w:val="99"/>
    <w:unhideWhenUsed/>
    <w:qFormat/>
    <w:rPr>
      <w:color w:val="800080"/>
      <w:u w:val="none"/>
    </w:rPr>
  </w:style>
  <w:style w:type="character" w:styleId="995" w:customStyle="1">
    <w:name w:val="强调1"/>
    <w:uiPriority w:val="0"/>
    <w:qFormat/>
    <w:rPr>
      <w:b/>
      <w:bCs/>
    </w:rPr>
  </w:style>
  <w:style w:type="character" w:styleId="996" w:customStyle="1">
    <w:name w:val="HTML 定义1"/>
    <w:uiPriority w:val="99"/>
    <w:unhideWhenUsed/>
    <w:qFormat/>
  </w:style>
  <w:style w:type="character" w:styleId="997" w:customStyle="1">
    <w:name w:val="HTML 打字机1"/>
    <w:uiPriority w:val="99"/>
    <w:unhideWhenUsed/>
    <w:qFormat/>
    <w:rPr>
      <w:rFonts w:ascii="monospace" w:hAnsi="monospace" w:eastAsia="monospace" w:cs="monospace"/>
      <w:sz w:val="20"/>
    </w:rPr>
  </w:style>
  <w:style w:type="character" w:styleId="998" w:customStyle="1">
    <w:name w:val="HTML 缩写1"/>
    <w:uiPriority w:val="99"/>
    <w:unhideWhenUsed/>
    <w:qFormat/>
  </w:style>
  <w:style w:type="character" w:styleId="999" w:customStyle="1">
    <w:name w:val="HTML 变量1"/>
    <w:uiPriority w:val="99"/>
    <w:unhideWhenUsed/>
    <w:qFormat/>
  </w:style>
  <w:style w:type="character" w:styleId="1000" w:customStyle="1">
    <w:name w:val="超链接1"/>
    <w:uiPriority w:val="99"/>
    <w:unhideWhenUsed/>
    <w:qFormat/>
    <w:rPr>
      <w:color w:val="0000ff"/>
      <w:u w:val="none"/>
    </w:rPr>
  </w:style>
  <w:style w:type="character" w:styleId="1001" w:customStyle="1">
    <w:name w:val="HTML 代码1"/>
    <w:uiPriority w:val="99"/>
    <w:unhideWhenUsed/>
    <w:qFormat/>
    <w:rPr>
      <w:rFonts w:ascii="monospace" w:hAnsi="monospace" w:eastAsia="monospace" w:cs="monospace"/>
      <w:sz w:val="20"/>
    </w:rPr>
  </w:style>
  <w:style w:type="character" w:styleId="1002" w:customStyle="1">
    <w:name w:val="HTML 引文1"/>
    <w:uiPriority w:val="99"/>
    <w:unhideWhenUsed/>
    <w:qFormat/>
  </w:style>
  <w:style w:type="character" w:styleId="1003" w:customStyle="1">
    <w:name w:val="HTML 键盘1"/>
    <w:uiPriority w:val="99"/>
    <w:unhideWhenUsed/>
    <w:qFormat/>
    <w:rPr>
      <w:rFonts w:ascii="monospace" w:hAnsi="monospace" w:eastAsia="monospace" w:cs="monospace"/>
      <w:sz w:val="20"/>
    </w:rPr>
  </w:style>
  <w:style w:type="character" w:styleId="1004" w:customStyle="1">
    <w:name w:val="HTML 样本1"/>
    <w:uiPriority w:val="99"/>
    <w:unhideWhenUsed/>
    <w:qFormat/>
    <w:rPr>
      <w:rFonts w:ascii="monospace" w:hAnsi="monospace" w:eastAsia="monospace" w:cs="monospace"/>
    </w:rPr>
  </w:style>
  <w:style w:type="character" w:styleId="1005" w:customStyle="1">
    <w:name w:val="正文缩进2格 Char"/>
    <w:link w:val="1006"/>
    <w:uiPriority w:val="0"/>
    <w:qFormat/>
    <w:rPr>
      <w:rFonts w:ascii="仿宋_GB2312" w:hAnsi="宋体" w:eastAsia="仿宋_GB2312"/>
      <w:sz w:val="31"/>
      <w:szCs w:val="28"/>
    </w:rPr>
  </w:style>
  <w:style w:type="paragraph" w:styleId="1006" w:customStyle="1">
    <w:name w:val="正文缩进2格"/>
    <w:basedOn w:val="766"/>
    <w:link w:val="1005"/>
    <w:uiPriority w:val="0"/>
    <w:qFormat/>
    <w:pPr>
      <w:ind w:firstLine="639"/>
      <w:spacing w:line="600" w:lineRule="exact"/>
    </w:pPr>
    <w:rPr>
      <w:rFonts w:ascii="仿宋_GB2312" w:hAnsi="宋体" w:eastAsia="仿宋_GB2312"/>
      <w:sz w:val="31"/>
      <w:szCs w:val="28"/>
    </w:rPr>
  </w:style>
  <w:style w:type="character" w:styleId="1007" w:customStyle="1">
    <w:name w:val="标题 3.1 Char"/>
    <w:link w:val="1008"/>
    <w:uiPriority w:val="0"/>
    <w:qFormat/>
    <w:rPr>
      <w:rFonts w:ascii="宋体" w:hAnsi="宋体"/>
      <w:b/>
      <w:bCs/>
      <w:color w:val="000000"/>
      <w:sz w:val="32"/>
      <w:szCs w:val="32"/>
    </w:rPr>
  </w:style>
  <w:style w:type="paragraph" w:styleId="1008" w:customStyle="1">
    <w:name w:val="标题 3.1"/>
    <w:basedOn w:val="963"/>
    <w:link w:val="1007"/>
    <w:uiPriority w:val="0"/>
    <w:qFormat/>
    <w:pPr>
      <w:spacing w:line="600" w:lineRule="exact"/>
      <w:tabs>
        <w:tab w:val="left" w:pos="1440" w:leader="none"/>
        <w:tab w:val="left" w:pos="1620" w:leader="none"/>
      </w:tabs>
    </w:pPr>
    <w:rPr>
      <w:rFonts w:ascii="宋体" w:hAnsi="宋体"/>
      <w:color w:val="000000"/>
    </w:rPr>
  </w:style>
  <w:style w:type="paragraph" w:styleId="1009" w:customStyle="1">
    <w:name w:val="Char"/>
    <w:basedOn w:val="766"/>
    <w:uiPriority w:val="0"/>
    <w:qFormat/>
    <w:rPr>
      <w:rFonts w:ascii="Tahoma" w:hAnsi="Tahoma"/>
      <w:sz w:val="24"/>
      <w:szCs w:val="20"/>
    </w:rPr>
  </w:style>
  <w:style w:type="paragraph" w:styleId="1010" w:customStyle="1">
    <w:name w:val="正文缩进4格"/>
    <w:basedOn w:val="1006"/>
    <w:uiPriority w:val="0"/>
    <w:qFormat/>
    <w:pPr>
      <w:ind w:left="2" w:firstLine="538"/>
    </w:pPr>
    <w:rPr>
      <w:color w:val="000000"/>
      <w:sz w:val="28"/>
    </w:rPr>
  </w:style>
  <w:style w:type="paragraph" w:styleId="1011" w:customStyle="1">
    <w:name w:val="Char Char Char Char"/>
    <w:basedOn w:val="766"/>
    <w:uiPriority w:val="0"/>
    <w:qFormat/>
    <w:rPr>
      <w:rFonts w:ascii="Tahoma" w:hAnsi="Tahoma"/>
      <w:sz w:val="24"/>
      <w:szCs w:val="20"/>
    </w:rPr>
  </w:style>
  <w:style w:type="paragraph" w:styleId="1012" w:customStyle="1">
    <w:name w:val="Char1"/>
    <w:basedOn w:val="766"/>
    <w:uiPriority w:val="0"/>
    <w:qFormat/>
    <w:pPr>
      <w:ind w:left="840" w:hanging="420"/>
      <w:tabs>
        <w:tab w:val="left" w:pos="840" w:leader="none"/>
      </w:tabs>
    </w:pPr>
    <w:rPr>
      <w:sz w:val="24"/>
    </w:rPr>
  </w:style>
  <w:style w:type="paragraph" w:styleId="1013" w:customStyle="1">
    <w:name w:val="Char Char1 Char Char Char Char Char Char"/>
    <w:basedOn w:val="766"/>
    <w:uiPriority w:val="0"/>
    <w:qFormat/>
    <w:pPr>
      <w:jc w:val="left"/>
      <w:spacing w:after="160" w:line="240" w:lineRule="exact"/>
      <w:widowControl/>
    </w:pPr>
    <w:rPr>
      <w:rFonts w:ascii="Verdana" w:hAnsi="Verdana" w:eastAsia="仿宋_GB2312"/>
      <w:sz w:val="24"/>
      <w:szCs w:val="20"/>
      <w:lang w:eastAsia="en-US"/>
    </w:rPr>
  </w:style>
  <w:style w:type="paragraph" w:styleId="1014" w:customStyle="1">
    <w:name w:val="msonormalcxspmiddle"/>
    <w:basedOn w:val="766"/>
    <w:uiPriority w:val="0"/>
    <w:qFormat/>
    <w:pPr>
      <w:jc w:val="left"/>
      <w:spacing w:before="100" w:beforeAutospacing="1" w:after="100" w:afterAutospacing="1"/>
      <w:widowControl/>
    </w:pPr>
    <w:rPr>
      <w:rFonts w:ascii="宋体" w:hAnsi="宋体" w:cs="宋体"/>
      <w:sz w:val="24"/>
    </w:rPr>
  </w:style>
  <w:style w:type="paragraph" w:styleId="1015" w:customStyle="1">
    <w:name w:val="Char Char 字元 字元 字元 Char Char Char Char"/>
    <w:basedOn w:val="766"/>
    <w:uiPriority w:val="0"/>
    <w:qFormat/>
    <w:pPr>
      <w:spacing w:line="360" w:lineRule="auto"/>
    </w:pPr>
    <w:rPr>
      <w:sz w:val="24"/>
      <w:szCs w:val="20"/>
    </w:rPr>
  </w:style>
  <w:style w:type="paragraph" w:styleId="1016" w:customStyle="1">
    <w:name w:val="para"/>
    <w:basedOn w:val="766"/>
    <w:uiPriority w:val="0"/>
    <w:qFormat/>
    <w:pPr>
      <w:jc w:val="left"/>
      <w:spacing w:before="100" w:beforeAutospacing="1" w:after="100" w:afterAutospacing="1"/>
      <w:widowControl/>
    </w:pPr>
    <w:rPr>
      <w:rFonts w:ascii="Arial" w:hAnsi="Arial" w:cs="Arial"/>
      <w:sz w:val="18"/>
      <w:szCs w:val="18"/>
    </w:rPr>
  </w:style>
  <w:style w:type="paragraph" w:styleId="1017" w:customStyle="1">
    <w:name w:val="Char2"/>
    <w:basedOn w:val="766"/>
    <w:uiPriority w:val="0"/>
    <w:qFormat/>
    <w:rPr>
      <w:rFonts w:ascii="Tahoma" w:hAnsi="Tahoma"/>
      <w:sz w:val="24"/>
      <w:szCs w:val="20"/>
    </w:rPr>
  </w:style>
  <w:style w:type="paragraph" w:styleId="1018" w:customStyle="1">
    <w:name w:val="msonormalcxsplast"/>
    <w:basedOn w:val="766"/>
    <w:uiPriority w:val="0"/>
    <w:qFormat/>
    <w:pPr>
      <w:jc w:val="left"/>
      <w:spacing w:before="100" w:beforeAutospacing="1" w:after="100" w:afterAutospacing="1"/>
      <w:widowControl/>
    </w:pPr>
    <w:rPr>
      <w:rFonts w:ascii="宋体" w:hAnsi="宋体" w:cs="宋体"/>
      <w:sz w:val="24"/>
    </w:rPr>
  </w:style>
  <w:style w:type="character" w:styleId="1019" w:customStyle="1">
    <w:name w:val="普通正文 Char"/>
    <w:link w:val="1020"/>
    <w:uiPriority w:val="0"/>
    <w:qFormat/>
    <w:rPr>
      <w:rFonts w:ascii="Arial" w:hAnsi="Arial"/>
      <w:sz w:val="24"/>
      <w:szCs w:val="24"/>
    </w:rPr>
  </w:style>
  <w:style w:type="paragraph" w:styleId="1020" w:customStyle="1">
    <w:name w:val="普通正文"/>
    <w:basedOn w:val="766"/>
    <w:link w:val="1019"/>
    <w:uiPriority w:val="0"/>
    <w:qFormat/>
    <w:pPr>
      <w:ind w:left="-2" w:right="120" w:firstLine="480"/>
      <w:jc w:val="center"/>
      <w:spacing w:before="120" w:after="120" w:line="360" w:lineRule="auto"/>
    </w:pPr>
    <w:rPr>
      <w:rFonts w:ascii="Arial" w:hAnsi="Arial"/>
      <w:sz w:val="24"/>
    </w:rPr>
  </w:style>
  <w:style w:type="character" w:styleId="1021" w:customStyle="1">
    <w:name w:val="mini-outputtext1"/>
    <w:uiPriority w:val="0"/>
    <w:qFormat/>
  </w:style>
  <w:style w:type="character" w:styleId="1022" w:customStyle="1">
    <w:name w:val="font31"/>
    <w:uiPriority w:val="0"/>
    <w:qFormat/>
    <w:rPr>
      <w:rFonts w:hint="eastAsia" w:ascii="宋体" w:hAnsi="宋体" w:eastAsia="宋体" w:cs="宋体"/>
      <w:color w:val="000000"/>
      <w:sz w:val="21"/>
      <w:szCs w:val="21"/>
      <w:u w:val="none"/>
    </w:rPr>
  </w:style>
  <w:style w:type="character" w:styleId="1023" w:customStyle="1">
    <w:name w:val="font61"/>
    <w:uiPriority w:val="0"/>
    <w:qFormat/>
    <w:rPr>
      <w:rFonts w:ascii="Times New Roman" w:hAnsi="Times New Roman" w:cs="Times New Roman"/>
      <w:color w:val="000000"/>
      <w:sz w:val="21"/>
      <w:szCs w:val="21"/>
      <w:u w:val="none"/>
    </w:rPr>
  </w:style>
  <w:style w:type="character" w:styleId="1024" w:customStyle="1">
    <w:name w:val="font01"/>
    <w:uiPriority w:val="0"/>
    <w:qFormat/>
    <w:rPr>
      <w:rFonts w:ascii="等线" w:hAnsi="等线" w:eastAsia="等线" w:cs="等线"/>
      <w:color w:val="000000"/>
      <w:sz w:val="22"/>
      <w:szCs w:val="22"/>
      <w:u w:val="none"/>
    </w:rPr>
  </w:style>
  <w:style w:type="character" w:styleId="1025" w:customStyle="1">
    <w:name w:val="font51"/>
    <w:uiPriority w:val="0"/>
    <w:qFormat/>
    <w:rPr>
      <w:rFonts w:ascii="等线" w:hAnsi="等线" w:eastAsia="等线" w:cs="等线"/>
      <w:b/>
      <w:bCs/>
      <w:color w:val="000000"/>
      <w:sz w:val="22"/>
      <w:szCs w:val="22"/>
      <w:u w:val="none"/>
    </w:rPr>
  </w:style>
  <w:style w:type="paragraph" w:styleId="1026" w:customStyle="1">
    <w:name w:val="普通(网站) Char"/>
    <w:basedOn w:val="766"/>
    <w:uiPriority w:val="0"/>
    <w:qFormat/>
    <w:pPr>
      <w:jc w:val="left"/>
      <w:spacing w:before="100" w:beforeAutospacing="1" w:after="100" w:afterAutospacing="1"/>
      <w:widowControl/>
    </w:pPr>
    <w:rPr>
      <w:rFonts w:hint="eastAsia" w:ascii="宋体" w:hAnsi="宋体"/>
      <w:sz w:val="24"/>
    </w:rPr>
  </w:style>
  <w:style w:type="character" w:styleId="1027" w:customStyle="1">
    <w:name w:val="页脚 字符"/>
    <w:uiPriority w:val="99"/>
    <w:qFormat/>
  </w:style>
  <w:style w:type="paragraph" w:styleId="1028" w:customStyle="1">
    <w:name w:val="样式 行距: 1.5 倍行距 左  1.71 字符 首行缩进:  1.35 字符"/>
    <w:basedOn w:val="766"/>
    <w:uiPriority w:val="0"/>
    <w:qFormat/>
    <w:pPr>
      <w:ind w:firstLine="200"/>
      <w:spacing w:line="360" w:lineRule="auto"/>
    </w:pPr>
    <w:rPr>
      <w:sz w:val="24"/>
      <w:szCs w:val="21"/>
    </w:rPr>
  </w:style>
  <w:style w:type="paragraph" w:styleId="1029" w:customStyle="1">
    <w:name w:val="_Style 3"/>
    <w:next w:val="987"/>
    <w:uiPriority w:val="99"/>
    <w:qFormat/>
    <w:pPr>
      <w:jc w:val="both"/>
      <w:widowControl w:val="off"/>
    </w:pPr>
    <w:rPr>
      <w:rFonts w:ascii="Times New Roman" w:hAnsi="Times New Roman" w:eastAsia="宋体" w:cs="Times New Roman"/>
      <w:sz w:val="21"/>
      <w:szCs w:val="22"/>
      <w:lang w:val="en-US" w:eastAsia="zh-CN" w:bidi="ar-SA"/>
    </w:rPr>
  </w:style>
  <w:style w:type="paragraph" w:styleId="1030" w:customStyle="1">
    <w:name w:val="Body text|1"/>
    <w:basedOn w:val="766"/>
    <w:uiPriority w:val="0"/>
    <w:qFormat/>
    <w:pPr>
      <w:ind w:firstLine="280"/>
      <w:spacing w:line="432" w:lineRule="auto"/>
    </w:pPr>
    <w:rPr>
      <w:rFonts w:ascii="宋体" w:hAnsi="宋体" w:cs="宋体"/>
      <w:sz w:val="17"/>
      <w:szCs w:val="17"/>
      <w:lang w:val="zh-CN" w:bidi="zh-CN"/>
    </w:rPr>
  </w:style>
  <w:style w:type="paragraph" w:styleId="1031" w:customStyle="1">
    <w:name w:val="1"/>
    <w:basedOn w:val="766"/>
    <w:uiPriority w:val="0"/>
    <w:qFormat/>
    <w:pPr>
      <w:ind w:firstLine="420"/>
      <w:jc w:val="left"/>
      <w:spacing w:before="40" w:after="160" w:line="288" w:lineRule="auto"/>
      <w:widowControl/>
    </w:pPr>
    <w:rPr>
      <w:rFonts w:ascii="宋体" w:hAnsi="宋体"/>
      <w:color w:val="000000"/>
      <w:szCs w:val="20"/>
      <w:lang w:val="zh-CN"/>
    </w:rPr>
  </w:style>
  <w:style w:type="paragraph" w:styleId="1032" w:customStyle="1">
    <w:name w:val="Normal_2"/>
    <w:uiPriority w:val="0"/>
    <w:qFormat/>
    <w:rPr>
      <w:rFonts w:ascii="Times New Roman" w:hAnsi="Times New Roman" w:eastAsia="宋体" w:cs="Times New Roman"/>
      <w:sz w:val="24"/>
      <w:szCs w:val="24"/>
      <w:lang w:val="en-US" w:eastAsia="zh-CN" w:bidi="ar-SA"/>
    </w:rPr>
  </w:style>
  <w:style w:type="paragraph" w:styleId="1033" w:customStyle="1">
    <w:name w:val="Normal_5"/>
    <w:uiPriority w:val="0"/>
    <w:qFormat/>
    <w:rPr>
      <w:rFonts w:ascii="Times New Roman" w:hAnsi="Times New Roman" w:eastAsia="Times New Roman" w:cs="Times New Roman"/>
      <w:sz w:val="24"/>
      <w:szCs w:val="24"/>
      <w:lang w:val="en-US" w:eastAsia="zh-CN" w:bidi="ar-SA"/>
    </w:rPr>
  </w:style>
  <w:style w:type="table" w:styleId="1034" w:customStyle="1">
    <w:name w:val="Table Normal"/>
    <w:uiPriority w:val="0"/>
    <w:unhideWhenUsed/>
    <w:qFormat/>
    <w:tblPr>
      <w:tblCellMar>
        <w:left w:w="0" w:type="dxa"/>
        <w:top w:w="0" w:type="dxa"/>
        <w:right w:w="0" w:type="dxa"/>
        <w:bottom w:w="0" w:type="dxa"/>
      </w:tblCellMar>
    </w:tblPr>
  </w:style>
  <w:style w:type="paragraph" w:styleId="1035">
    <w:name w:val="List Paragraph"/>
    <w:basedOn w:val="766"/>
    <w:uiPriority w:val="99"/>
    <w:unhideWhenUsed/>
    <w:qFormat/>
    <w:pPr>
      <w:ind w:firstLine="420"/>
    </w:pPr>
  </w:style>
  <w:style w:type="character" w:styleId="1036" w:customStyle="1">
    <w:name w:val="正文文本 字符"/>
    <w:basedOn w:val="776"/>
    <w:link w:val="782"/>
    <w:uiPriority w:val="0"/>
    <w:qFormat/>
    <w:rPr>
      <w:rFonts w:ascii="仿宋_GB2312" w:eastAsia="仿宋_GB2312"/>
      <w:sz w:val="24"/>
    </w:rPr>
  </w:style>
  <w:style w:type="character" w:styleId="1037" w:customStyle="1">
    <w:name w:val="正文文本首行缩进 字符"/>
    <w:basedOn w:val="1036"/>
    <w:link w:val="802"/>
    <w:uiPriority w:val="0"/>
    <w:qFormat/>
    <w:rPr>
      <w:rFonts w:ascii="仿宋_GB2312" w:eastAsia="仿宋_GB2312"/>
      <w:sz w:val="21"/>
      <w:szCs w:val="24"/>
    </w:rPr>
  </w:style>
  <w:style w:type="paragraph" w:styleId="1038"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3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40" w:customStyle="1">
    <w:name w:val="正文首行缩进2"/>
    <w:basedOn w:val="782"/>
    <w:uiPriority w:val="0"/>
    <w:qFormat/>
    <w:pPr>
      <w:ind w:firstLine="420"/>
      <w:spacing w:before="100" w:beforeAutospacing="1" w:after="120"/>
    </w:pPr>
    <w:rPr>
      <w:rFonts w:ascii="Times New Roman" w:eastAsia="宋体"/>
      <w:sz w:val="21"/>
      <w:szCs w:val="21"/>
    </w:rPr>
  </w:style>
  <w:style w:type="numbering" w:styleId="6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俞桂银</cp:lastModifiedBy>
  <cp:revision>81</cp:revision>
  <dcterms:created xsi:type="dcterms:W3CDTF">2021-11-26T13:03:00Z</dcterms:created>
  <dcterms:modified xsi:type="dcterms:W3CDTF">2026-09-30T09:24:43Z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F1E35E76CE5E45A4B3C5DDACB78D8BFA_13</vt:lpwstr>
  </property>
  <property fmtid="{D5CDD505-2E9C-101B-9397-08002B2CF9AE}" pid="4" name="KSOTemplateDocerSaveRecord">
    <vt:lpwstr>eyJoZGlkIjoiMzVkN2E3MzAyNjU0NjQ4ODE5YWUwZjJiN2U0MDhiMjAiLCJ1c2VySWQiOiI1MTkyNzEzMTgifQ==</vt:lpwstr>
  </property>
</Properties>
</file>