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竞争性谈判文件</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jc w:val="center"/>
        <w:spacing w:before="120" w:after="120" w:line="360" w:lineRule="auto"/>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lang w:eastAsia="zh-CN"/>
        </w:rPr>
        <w:t xml:space="preserve">海安主城区重点区域抑尘作业服务项目</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项目编号：JSZC-320685-WYKJ-T2026-0029</w:t>
      </w:r>
      <w:r/>
    </w:p>
    <w:p>
      <w:pPr>
        <w:ind w:firstLine="1470"/>
        <w:jc w:val="left"/>
        <w:spacing w:before="120" w:after="120" w:line="360" w:lineRule="auto"/>
        <w:rPr>
          <w:rFonts w:hint="eastAsia" w:ascii="仿宋" w:hAnsi="仿宋" w:eastAsia="仿宋" w:cs="仿宋"/>
          <w:b/>
          <w:color w:val="auto"/>
          <w:sz w:val="30"/>
          <w:szCs w:val="30"/>
          <w:highlight w:val="none"/>
        </w:rPr>
      </w:pPr>
      <w:r>
        <w:rPr>
          <w:rFonts w:hint="eastAsia" w:ascii="仿宋" w:hAnsi="仿宋" w:eastAsia="仿宋" w:cs="仿宋"/>
          <w:color w:val="auto"/>
          <w:szCs w:val="21"/>
          <w:highlight w:val="none"/>
        </w:rPr>
        <w:t xml:space="preserve">           </w:t>
      </w:r>
      <w:r>
        <w:rPr>
          <w:rFonts w:hint="eastAsia" w:ascii="仿宋" w:hAnsi="仿宋" w:eastAsia="仿宋" w:cs="仿宋"/>
          <w:b/>
          <w:color w:val="auto"/>
          <w:sz w:val="30"/>
          <w:szCs w:val="30"/>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采购人：</w:t>
      </w:r>
      <w:r>
        <w:rPr>
          <w:rFonts w:hint="eastAsia" w:ascii="仿宋" w:hAnsi="仿宋" w:eastAsia="仿宋" w:cs="仿宋"/>
          <w:b/>
          <w:bCs/>
          <w:color w:val="auto"/>
          <w:sz w:val="32"/>
          <w:szCs w:val="24"/>
          <w:highlight w:val="none"/>
          <w:lang w:eastAsia="zh-CN"/>
        </w:rPr>
        <w:t xml:space="preserve">海安市城市管理局</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lang w:val="en-US" w:eastAsia="zh-CN"/>
        </w:rPr>
        <w:t xml:space="preserve">2026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09</w:t>
      </w:r>
      <w:r>
        <w:rPr>
          <w:rFonts w:hint="eastAsia" w:ascii="仿宋" w:hAnsi="仿宋" w:eastAsia="仿宋" w:cs="仿宋"/>
          <w:b/>
          <w:bCs/>
          <w:color w:val="auto"/>
          <w:sz w:val="32"/>
          <w:szCs w:val="24"/>
          <w:highlight w:val="none"/>
        </w:rPr>
        <w:t xml:space="preserve">月</w:t>
      </w:r>
      <w:r>
        <w:rPr>
          <w:rFonts w:hint="eastAsia" w:ascii="仿宋" w:hAnsi="仿宋" w:eastAsia="仿宋" w:cs="仿宋"/>
          <w:b/>
          <w:bCs/>
          <w:color w:val="auto"/>
          <w:sz w:val="32"/>
          <w:szCs w:val="24"/>
          <w:highlight w:val="none"/>
          <w:lang w:val="en-US" w:eastAsia="zh-CN"/>
        </w:rPr>
        <w:t xml:space="preserve">02</w:t>
      </w:r>
      <w:r>
        <w:rPr>
          <w:rFonts w:hint="eastAsia" w:ascii="仿宋" w:hAnsi="仿宋" w:eastAsia="仿宋" w:cs="仿宋"/>
          <w:b/>
          <w:bCs/>
          <w:color w:val="auto"/>
          <w:sz w:val="32"/>
          <w:szCs w:val="24"/>
          <w:highlight w:val="none"/>
        </w:rPr>
        <w:t xml:space="preserve">日</w:t>
      </w:r>
      <w:r/>
    </w:p>
    <w:p>
      <w:pPr>
        <w:jc w:val="left"/>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p>
    <w:p>
      <w:pPr>
        <w:jc w:val="center"/>
        <w:spacing w:line="480" w:lineRule="auto"/>
        <w:rPr>
          <w:rFonts w:hint="eastAsia" w:ascii="仿宋" w:hAnsi="仿宋" w:eastAsia="仿宋" w:cs="仿宋"/>
          <w:b/>
          <w:color w:val="auto"/>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outlineLvl w:val="0"/>
      </w:pPr>
      <w:r/>
      <w:bookmarkStart w:id="0" w:name="_Toc120614210"/>
      <w:r/>
      <w:bookmarkStart w:id="1" w:name="_Toc523127445"/>
      <w:r/>
      <w:bookmarkStart w:id="2" w:name="_Toc479757206"/>
      <w:r/>
      <w:bookmarkStart w:id="3" w:name="_Toc20823272"/>
      <w:r/>
      <w:bookmarkStart w:id="4" w:name="_Toc513029200"/>
      <w:r/>
      <w:bookmarkStart w:id="5" w:name="_Toc16938516"/>
      <w:r/>
      <w:r/>
    </w:p>
    <w:p>
      <w:pPr>
        <w:jc w:val="center"/>
        <w:spacing w:line="480" w:lineRule="auto"/>
        <w:rPr>
          <w:rFonts w:hint="eastAsia" w:ascii="仿宋" w:hAnsi="仿宋" w:eastAsia="仿宋" w:cs="仿宋"/>
          <w:b/>
          <w:color w:val="auto"/>
          <w:sz w:val="44"/>
          <w:szCs w:val="21"/>
          <w:highlight w:val="none"/>
        </w:rPr>
        <w:outlineLvl w:val="0"/>
      </w:pPr>
      <w:r>
        <w:rPr>
          <w:rFonts w:hint="eastAsia" w:ascii="仿宋" w:hAnsi="仿宋" w:eastAsia="仿宋" w:cs="仿宋"/>
          <w:b/>
          <w:color w:val="auto"/>
          <w:sz w:val="44"/>
          <w:szCs w:val="21"/>
          <w:highlight w:val="none"/>
        </w:rPr>
        <w:t xml:space="preserve">总  目  录</w:t>
      </w:r>
      <w:r/>
    </w:p>
    <w:p>
      <w:pPr>
        <w:spacing w:line="480" w:lineRule="auto"/>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r>
      <w:r/>
    </w:p>
    <w:p>
      <w:pPr>
        <w:numPr>
          <w:ilvl w:val="0"/>
          <w:numId w:val="0"/>
        </w:numPr>
        <w:ind w:left="0" w:firstLine="640"/>
        <w:keepLines w:val="0"/>
        <w:keepNext w:val="0"/>
        <w:pageBreakBefore w:val="0"/>
        <w:spacing w:line="480" w:lineRule="auto"/>
        <w:widowControl w:val="off"/>
        <w:rPr>
          <w:rFonts w:hint="eastAsia" w:ascii="仿宋" w:hAnsi="仿宋" w:eastAsia="仿宋" w:cs="仿宋"/>
          <w:b w:val="0"/>
          <w:bCs w:val="0"/>
          <w:color w:val="auto"/>
          <w:sz w:val="32"/>
          <w:szCs w:val="32"/>
          <w:highlight w:val="none"/>
        </w:rPr>
        <w:outlineLvl w:val="0"/>
      </w:pPr>
      <w:r>
        <w:rPr>
          <w:rFonts w:hint="eastAsia" w:ascii="仿宋" w:hAnsi="仿宋" w:eastAsia="仿宋" w:cs="仿宋"/>
          <w:b w:val="0"/>
          <w:bCs w:val="0"/>
          <w:color w:val="auto"/>
          <w:sz w:val="32"/>
          <w:szCs w:val="32"/>
          <w:highlight w:val="none"/>
          <w:lang w:val="en-US" w:eastAsia="zh-CN" w:bidi="ar-SA"/>
        </w:rPr>
        <w:t xml:space="preserve">第一章  </w:t>
      </w:r>
      <w:r>
        <w:rPr>
          <w:rFonts w:hint="eastAsia" w:ascii="仿宋" w:hAnsi="仿宋" w:eastAsia="仿宋" w:cs="仿宋"/>
          <w:b w:val="0"/>
          <w:bCs w:val="0"/>
          <w:color w:val="auto"/>
          <w:sz w:val="32"/>
          <w:szCs w:val="32"/>
          <w:highlight w:val="none"/>
        </w:rPr>
        <w:t xml:space="preserve">谈判邀请</w:t>
      </w:r>
      <w:r/>
    </w:p>
    <w:p>
      <w:pPr>
        <w:numPr>
          <w:ilvl w:val="0"/>
          <w:numId w:val="0"/>
        </w:numPr>
        <w:ind w:left="0" w:firstLine="640"/>
        <w:keepLines w:val="0"/>
        <w:keepNext w:val="0"/>
        <w:pageBreakBefore w:val="0"/>
        <w:spacing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第二章  供应商须知  </w:t>
      </w:r>
      <w:r/>
    </w:p>
    <w:p>
      <w:pPr>
        <w:numPr>
          <w:ilvl w:val="0"/>
          <w:numId w:val="0"/>
        </w:numPr>
        <w:ind w:left="0" w:firstLine="640"/>
        <w:keepLines w:val="0"/>
        <w:keepNext w:val="0"/>
        <w:pageBreakBefore w:val="0"/>
        <w:spacing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第三章  采购需求</w:t>
      </w:r>
      <w:r/>
    </w:p>
    <w:p>
      <w:pPr>
        <w:numPr>
          <w:ilvl w:val="0"/>
          <w:numId w:val="0"/>
        </w:numPr>
        <w:ind w:left="0" w:firstLine="640"/>
        <w:keepLines w:val="0"/>
        <w:keepNext w:val="0"/>
        <w:pageBreakBefore w:val="0"/>
        <w:spacing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第四章  响应文件格式</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keepNext/>
        <w:spacing w:line="360" w:lineRule="auto"/>
        <w:rPr>
          <w:rFonts w:hint="eastAsia" w:ascii="仿宋" w:hAnsi="仿宋" w:eastAsia="仿宋" w:cs="仿宋"/>
          <w:bCs/>
          <w:color w:val="auto"/>
          <w:sz w:val="44"/>
          <w:szCs w:val="44"/>
          <w:highlight w:val="none"/>
        </w:rPr>
        <w:outlineLvl w:val="0"/>
      </w:pPr>
      <w:r>
        <w:rPr>
          <w:rFonts w:hint="eastAsia" w:ascii="仿宋" w:hAnsi="仿宋" w:eastAsia="仿宋" w:cs="仿宋"/>
          <w:color w:val="auto"/>
          <w:sz w:val="44"/>
          <w:szCs w:val="44"/>
          <w:highlight w:val="none"/>
        </w:rPr>
        <w:t xml:space="preserve">第一章  </w:t>
      </w:r>
      <w:bookmarkEnd w:id="0"/>
      <w:r>
        <w:rPr>
          <w:rFonts w:hint="eastAsia" w:ascii="仿宋" w:hAnsi="仿宋" w:eastAsia="仿宋" w:cs="仿宋"/>
          <w:color w:val="auto"/>
          <w:sz w:val="44"/>
          <w:szCs w:val="44"/>
          <w:highlight w:val="none"/>
        </w:rPr>
        <w:t xml:space="preserve">谈判邀请</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u w:val="single"/>
          <w:lang w:eastAsia="zh-CN"/>
        </w:rPr>
        <w:t xml:space="preserve">海安市城市管理局</w:t>
      </w:r>
      <w:r>
        <w:rPr>
          <w:rFonts w:hint="eastAsia" w:ascii="仿宋" w:hAnsi="仿宋" w:eastAsia="仿宋" w:cs="仿宋"/>
          <w:color w:val="auto"/>
          <w:sz w:val="28"/>
          <w:szCs w:val="28"/>
          <w:highlight w:val="none"/>
        </w:rPr>
        <w:t xml:space="preserve">的委托，</w:t>
      </w:r>
      <w:r>
        <w:rPr>
          <w:rFonts w:hint="eastAsia" w:ascii="仿宋" w:hAnsi="仿宋" w:eastAsia="仿宋" w:cs="仿宋"/>
          <w:color w:val="auto"/>
          <w:sz w:val="28"/>
          <w:szCs w:val="28"/>
          <w:highlight w:val="none"/>
          <w:lang w:eastAsia="zh-CN"/>
        </w:rPr>
        <w:t xml:space="preserve">中通服网盈科技有限公司</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u w:val="single"/>
          <w:lang w:eastAsia="zh-CN"/>
        </w:rPr>
        <w:t xml:space="preserve">海安主城区重点区域抑尘作业服务项目（</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eastAsia="zh-CN"/>
        </w:rPr>
        <w:t xml:space="preserve">JSZC-320685-WYKJ-T2026-0029</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项目进行竞争性谈判采购，欢迎符合条件的供应商参加谈判。</w:t>
      </w:r>
      <w:r/>
    </w:p>
    <w:p>
      <w:pPr>
        <w:ind w:left="0"/>
        <w:pageBreakBefore w:val="0"/>
        <w:spacing w:line="360" w:lineRule="auto"/>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rPr>
        <w:t xml:space="preserve">项目概况</w:t>
      </w:r>
      <w:r/>
    </w:p>
    <w:p>
      <w:pPr>
        <w:ind w:left="0" w:firstLine="560"/>
        <w:pageBreakBefore w:val="0"/>
        <w:spacing w:line="360" w:lineRule="auto"/>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u w:val="single"/>
          <w:lang w:eastAsia="zh-CN"/>
        </w:rPr>
        <w:t xml:space="preserve">海安主城区重点区域抑尘作业服务项目</w:t>
      </w:r>
      <w:r>
        <w:rPr>
          <w:rFonts w:hint="eastAsia" w:ascii="仿宋" w:hAnsi="仿宋" w:eastAsia="仿宋" w:cs="仿宋"/>
          <w:color w:val="auto"/>
          <w:sz w:val="28"/>
          <w:szCs w:val="28"/>
          <w:highlight w:val="none"/>
        </w:rPr>
        <w:t xml:space="preserve">竞争性谈判项目的潜在供应商可在</w:t>
      </w:r>
      <w:r>
        <w:rPr>
          <w:rFonts w:hint="eastAsia" w:ascii="仿宋" w:hAnsi="仿宋" w:eastAsia="仿宋" w:cs="仿宋"/>
          <w:color w:val="auto"/>
          <w:sz w:val="28"/>
          <w:szCs w:val="28"/>
          <w:highlight w:val="none"/>
          <w:u w:val="single"/>
        </w:rPr>
        <w:t xml:space="preserve">“江苏政府采购网”自行免费下载</w:t>
      </w:r>
      <w:r>
        <w:rPr>
          <w:rFonts w:hint="eastAsia" w:ascii="仿宋" w:hAnsi="仿宋" w:eastAsia="仿宋" w:cs="仿宋"/>
          <w:color w:val="auto"/>
          <w:sz w:val="28"/>
          <w:szCs w:val="28"/>
          <w:highlight w:val="none"/>
        </w:rPr>
        <w:t xml:space="preserve">谈判文件，并于</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年</w:t>
      </w:r>
      <w:r>
        <w:rPr>
          <w:rFonts w:hint="eastAsia" w:ascii="仿宋" w:hAnsi="仿宋" w:eastAsia="仿宋" w:cs="仿宋"/>
          <w:bCs/>
          <w:color w:val="auto"/>
          <w:sz w:val="28"/>
          <w:szCs w:val="28"/>
          <w:highlight w:val="none"/>
          <w:u w:val="single"/>
          <w:lang w:val="en-US" w:eastAsia="zh-CN"/>
        </w:rPr>
        <w:t xml:space="preserve">09</w:t>
      </w:r>
      <w:r>
        <w:rPr>
          <w:rFonts w:hint="eastAsia" w:ascii="仿宋" w:hAnsi="仿宋" w:eastAsia="仿宋" w:cs="仿宋"/>
          <w:bCs/>
          <w:color w:val="auto"/>
          <w:sz w:val="28"/>
          <w:szCs w:val="28"/>
          <w:highlight w:val="none"/>
          <w:u w:val="single"/>
        </w:rPr>
        <w:t xml:space="preserve">月</w:t>
      </w:r>
      <w:r>
        <w:rPr>
          <w:rFonts w:hint="eastAsia" w:ascii="仿宋" w:hAnsi="仿宋" w:eastAsia="仿宋" w:cs="仿宋"/>
          <w:bCs/>
          <w:color w:val="auto"/>
          <w:sz w:val="28"/>
          <w:szCs w:val="28"/>
          <w:highlight w:val="none"/>
          <w:u w:val="single"/>
          <w:lang w:val="en-US" w:eastAsia="zh-CN"/>
        </w:rPr>
        <w:t xml:space="preserve">08</w:t>
      </w:r>
      <w:r>
        <w:rPr>
          <w:rFonts w:hint="eastAsia" w:ascii="仿宋" w:hAnsi="仿宋" w:eastAsia="仿宋" w:cs="仿宋"/>
          <w:bCs/>
          <w:color w:val="auto"/>
          <w:sz w:val="28"/>
          <w:szCs w:val="28"/>
          <w:highlight w:val="none"/>
          <w:u w:val="single"/>
        </w:rPr>
        <w:t xml:space="preserve">日</w:t>
      </w:r>
      <w:r>
        <w:rPr>
          <w:rFonts w:hint="eastAsia" w:ascii="仿宋" w:hAnsi="仿宋" w:eastAsia="仿宋" w:cs="仿宋"/>
          <w:bCs/>
          <w:color w:val="auto"/>
          <w:sz w:val="28"/>
          <w:szCs w:val="28"/>
          <w:highlight w:val="none"/>
          <w:u w:val="single"/>
          <w:lang w:val="en-US" w:eastAsia="zh-CN"/>
        </w:rPr>
        <w:t xml:space="preserve"> 15</w:t>
      </w:r>
      <w:r>
        <w:rPr>
          <w:rFonts w:hint="eastAsia" w:ascii="仿宋" w:hAnsi="仿宋" w:eastAsia="仿宋" w:cs="仿宋"/>
          <w:bCs/>
          <w:color w:val="auto"/>
          <w:sz w:val="28"/>
          <w:szCs w:val="28"/>
          <w:highlight w:val="none"/>
          <w:u w:val="single"/>
        </w:rPr>
        <w:t xml:space="preserve">点</w:t>
      </w:r>
      <w:r>
        <w:rPr>
          <w:rFonts w:hint="eastAsia" w:ascii="仿宋" w:hAnsi="仿宋" w:eastAsia="仿宋" w:cs="仿宋"/>
          <w:bCs/>
          <w:color w:val="auto"/>
          <w:sz w:val="28"/>
          <w:szCs w:val="28"/>
          <w:highlight w:val="none"/>
          <w:u w:val="single"/>
          <w:lang w:val="en-US" w:eastAsia="zh-CN"/>
        </w:rPr>
        <w:t xml:space="preserve">00</w:t>
      </w:r>
      <w:r>
        <w:rPr>
          <w:rFonts w:hint="eastAsia" w:ascii="仿宋" w:hAnsi="仿宋" w:eastAsia="仿宋" w:cs="仿宋"/>
          <w:bCs/>
          <w:color w:val="auto"/>
          <w:sz w:val="28"/>
          <w:szCs w:val="28"/>
          <w:highlight w:val="none"/>
          <w:u w:val="single"/>
        </w:rPr>
        <w:t xml:space="preserve">分</w:t>
      </w:r>
      <w:r>
        <w:rPr>
          <w:rFonts w:hint="eastAsia" w:ascii="仿宋" w:hAnsi="仿宋" w:eastAsia="仿宋" w:cs="仿宋"/>
          <w:bCs/>
          <w:color w:val="auto"/>
          <w:sz w:val="28"/>
          <w:szCs w:val="28"/>
          <w:highlight w:val="none"/>
          <w:u w:val="none"/>
        </w:rPr>
        <w:t xml:space="preserve">（</w:t>
      </w:r>
      <w:r>
        <w:rPr>
          <w:rFonts w:hint="eastAsia" w:ascii="仿宋" w:hAnsi="仿宋" w:eastAsia="仿宋" w:cs="仿宋"/>
          <w:bCs/>
          <w:color w:val="auto"/>
          <w:sz w:val="28"/>
          <w:szCs w:val="28"/>
          <w:highlight w:val="none"/>
        </w:rPr>
        <w:t xml:space="preserve">北京时间）前递交响应文件</w:t>
      </w:r>
      <w:r>
        <w:rPr>
          <w:rFonts w:hint="eastAsia" w:ascii="仿宋" w:hAnsi="仿宋" w:eastAsia="仿宋" w:cs="仿宋"/>
          <w:color w:val="auto"/>
          <w:sz w:val="28"/>
          <w:szCs w:val="28"/>
          <w:highlight w:val="none"/>
        </w:rPr>
        <w:t xml:space="preserve">。</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仿宋" w:hAnsi="仿宋" w:eastAsia="仿宋" w:cs="仿宋"/>
          <w:b/>
          <w:bCs/>
          <w:color w:val="auto"/>
          <w:sz w:val="32"/>
          <w:szCs w:val="32"/>
          <w:highlight w:val="none"/>
        </w:rPr>
        <w:t xml:space="preserve">一、项目基本情况</w:t>
      </w:r>
      <w:bookmarkEnd w:id="6"/>
      <w:r/>
      <w:bookmarkEnd w:id="7"/>
      <w:r/>
      <w:bookmarkEnd w:id="8"/>
      <w:r/>
      <w:bookmarkEnd w:id="9"/>
      <w:r/>
      <w:bookmarkEnd w:id="10"/>
      <w:r/>
      <w:bookmarkEnd w:id="11"/>
      <w:r/>
    </w:p>
    <w:p>
      <w:pPr>
        <w:ind w:left="0" w:firstLine="560"/>
        <w:pageBreakBefore w:val="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1.项目编号：JSZC-320685-WYKJ-T2026-0029</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海安主城区重点区域抑尘作业服务项目</w:t>
      </w:r>
      <w:r/>
    </w:p>
    <w:p>
      <w:pPr>
        <w:ind w:left="0" w:firstLine="560"/>
        <w:pageBreakBefore w:val="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3.项目类型：</w:t>
      </w:r>
      <w:r>
        <w:rPr>
          <w:rFonts w:hint="eastAsia" w:ascii="仿宋" w:hAnsi="仿宋" w:eastAsia="仿宋" w:cs="仿宋"/>
          <w:color w:val="auto"/>
          <w:sz w:val="28"/>
          <w:szCs w:val="28"/>
          <w:highlight w:val="none"/>
          <w:lang w:val="en-US" w:eastAsia="zh-CN"/>
        </w:rPr>
        <w:t xml:space="preserve">服务</w:t>
      </w:r>
      <w:r/>
    </w:p>
    <w:p>
      <w:pPr>
        <w:ind w:left="0" w:firstLine="560"/>
        <w:pageBreakBefore w:val="0"/>
        <w:spacing w:line="360" w:lineRule="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none"/>
        </w:rPr>
        <w:t xml:space="preserve">4.项目行业：</w:t>
      </w:r>
      <w:r>
        <w:rPr>
          <w:rFonts w:hint="eastAsia" w:ascii="仿宋" w:hAnsi="仿宋" w:eastAsia="仿宋" w:cs="仿宋"/>
          <w:color w:val="auto"/>
          <w:sz w:val="28"/>
          <w:szCs w:val="28"/>
          <w:highlight w:val="none"/>
          <w:lang w:eastAsia="zh-CN"/>
        </w:rPr>
      </w:r>
      <w:r>
        <w:rPr>
          <w:rFonts w:hint="eastAsia" w:ascii="仿宋" w:hAnsi="仿宋" w:eastAsia="仿宋" w:cs="仿宋"/>
          <w:color w:val="auto"/>
          <w:sz w:val="28"/>
          <w:szCs w:val="28"/>
          <w:highlight w:val="none"/>
          <w:lang w:eastAsia="zh-CN"/>
        </w:rPr>
        <w:t xml:space="preserve">其他未列明行业</w:t>
      </w:r>
      <w:r>
        <w:rPr>
          <w:rFonts w:hint="eastAsia" w:ascii="仿宋" w:hAnsi="仿宋" w:eastAsia="仿宋" w:cs="仿宋"/>
          <w:color w:val="auto"/>
          <w:sz w:val="28"/>
          <w:szCs w:val="28"/>
          <w:highlight w:val="none"/>
          <w:lang w:eastAsia="zh-CN"/>
        </w:rPr>
      </w:r>
      <w:r>
        <w:rPr>
          <w:rFonts w:hint="eastAsia" w:ascii="仿宋" w:hAnsi="仿宋" w:eastAsia="仿宋" w:cs="仿宋"/>
          <w:color w:val="auto"/>
          <w:sz w:val="28"/>
          <w:szCs w:val="28"/>
          <w:highlight w:val="none"/>
          <w:lang w:val="en-US" w:eastAsia="zh-CN"/>
        </w:rPr>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5.预算金额：</w:t>
      </w:r>
      <w:r>
        <w:rPr>
          <w:rFonts w:hint="eastAsia" w:ascii="仿宋" w:hAnsi="仿宋" w:eastAsia="仿宋" w:cs="仿宋"/>
          <w:color w:val="auto"/>
          <w:sz w:val="28"/>
          <w:szCs w:val="28"/>
          <w:highlight w:val="none"/>
          <w:lang w:val="en-US" w:eastAsia="zh-CN"/>
        </w:rPr>
        <w:t xml:space="preserve">210</w:t>
      </w:r>
      <w:r>
        <w:rPr>
          <w:rFonts w:hint="eastAsia" w:ascii="仿宋" w:hAnsi="仿宋" w:eastAsia="仿宋" w:cs="仿宋"/>
          <w:color w:val="auto"/>
          <w:sz w:val="28"/>
          <w:szCs w:val="28"/>
          <w:highlight w:val="none"/>
        </w:rPr>
        <w:t xml:space="preserve">万元</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6.最高限价：</w:t>
      </w:r>
      <w:r>
        <w:rPr>
          <w:rFonts w:hint="eastAsia" w:ascii="仿宋" w:hAnsi="仿宋" w:eastAsia="仿宋" w:cs="仿宋"/>
          <w:color w:val="auto"/>
          <w:sz w:val="28"/>
          <w:szCs w:val="28"/>
          <w:highlight w:val="none"/>
          <w:lang w:val="en-US" w:eastAsia="zh-CN"/>
        </w:rPr>
        <w:t xml:space="preserve">210万</w:t>
      </w:r>
      <w:r>
        <w:rPr>
          <w:rFonts w:hint="eastAsia" w:ascii="仿宋" w:hAnsi="仿宋" w:eastAsia="仿宋" w:cs="仿宋"/>
          <w:color w:val="auto"/>
          <w:sz w:val="28"/>
          <w:szCs w:val="28"/>
          <w:highlight w:val="none"/>
        </w:rPr>
        <w:t xml:space="preserve">元，报价超过最高限价的将作为无效响应处理。</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7.采购需求：</w:t>
      </w:r>
      <w:r>
        <w:rPr>
          <w:rFonts w:hint="eastAsia" w:ascii="仿宋" w:hAnsi="仿宋" w:eastAsia="仿宋" w:cs="仿宋"/>
          <w:color w:val="auto"/>
          <w:sz w:val="28"/>
          <w:szCs w:val="28"/>
          <w:highlight w:val="none"/>
        </w:rPr>
        <w:t xml:space="preserve">详细内容见本采购文件第三章，请仔细研究。</w:t>
      </w:r>
      <w:r/>
    </w:p>
    <w:p>
      <w:pPr>
        <w:ind w:left="0" w:firstLine="56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 xml:space="preserve">8.合同履行期限：详见采购文件。</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bookmarkStart w:id="12" w:name="_Toc28359080"/>
      <w:r/>
      <w:bookmarkStart w:id="13" w:name="_Toc35393791"/>
      <w:r/>
      <w:bookmarkStart w:id="14" w:name="_Toc28359003"/>
      <w:r/>
      <w:bookmarkStart w:id="15" w:name="_Toc35393622"/>
      <w:r/>
      <w:bookmarkStart w:id="16" w:name="_Toc38985264"/>
      <w:r>
        <w:rPr>
          <w:rFonts w:hint="eastAsia" w:ascii="仿宋" w:hAnsi="仿宋" w:eastAsia="仿宋" w:cs="仿宋"/>
          <w:b/>
          <w:bCs/>
          <w:color w:val="auto"/>
          <w:sz w:val="32"/>
          <w:szCs w:val="32"/>
          <w:highlight w:val="none"/>
        </w:rPr>
        <w:t xml:space="preserve">二、申请人的资格要求：</w:t>
      </w:r>
      <w:bookmarkEnd w:id="12"/>
      <w:r/>
      <w:bookmarkEnd w:id="13"/>
      <w:r/>
      <w:bookmarkEnd w:id="14"/>
      <w:r/>
      <w:bookmarkEnd w:id="15"/>
      <w:r/>
      <w:bookmarkEnd w:id="16"/>
      <w:r/>
      <w:r/>
    </w:p>
    <w:p>
      <w:pPr>
        <w:ind w:left="0" w:firstLine="560"/>
        <w:pageBreakBefore w:val="0"/>
        <w:spacing w:line="360" w:lineRule="auto"/>
        <w:rPr>
          <w:rFonts w:hint="eastAsia" w:ascii="仿宋" w:hAnsi="仿宋" w:eastAsia="仿宋" w:cs="仿宋"/>
          <w:color w:val="auto"/>
          <w:sz w:val="28"/>
          <w:szCs w:val="28"/>
          <w:highlight w:val="none"/>
        </w:rPr>
      </w:pPr>
      <w:r/>
      <w:bookmarkStart w:id="17" w:name="_Toc35393792"/>
      <w:r/>
      <w:bookmarkStart w:id="18" w:name="_Toc28359081"/>
      <w:r/>
      <w:bookmarkStart w:id="19" w:name="_Toc28359004"/>
      <w:r/>
      <w:bookmarkStart w:id="20" w:name="_Toc35393623"/>
      <w:r/>
      <w:bookmarkStart w:id="21" w:name="_Toc38985265"/>
      <w:r>
        <w:rPr>
          <w:rFonts w:hint="eastAsia" w:ascii="仿宋" w:hAnsi="仿宋" w:eastAsia="仿宋" w:cs="仿宋"/>
          <w:color w:val="auto"/>
          <w:sz w:val="28"/>
          <w:szCs w:val="28"/>
          <w:highlight w:val="none"/>
        </w:rPr>
        <w:t xml:space="preserve">1.满足《中华人民共和国政府采购法》第二十二条规定。（按附件</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格式进行声明，响应文件中无需提供其他证明材料）</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2.在“信用中国”网站查询，无被列入失信被执行人、重大税收违法案件当事人名单、政府采购严重失信行为记录名单及其他不符合《中华人民共和国政府采购法》第二十二条规定条件的信用记录。（按附件</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格式进行声明，响应文件中无需提供其他证明材料）</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5.本项目不接受进口产品投标。</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6.本项目不接受分包。</w:t>
      </w:r>
      <w:r/>
    </w:p>
    <w:p>
      <w:pPr>
        <w:ind w:left="0" w:firstLine="560"/>
        <w:pageBreakBefore w:val="0"/>
        <w:spacing w:line="360" w:lineRule="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8"/>
          <w:szCs w:val="28"/>
          <w:highlight w:val="none"/>
        </w:rPr>
        <w:t xml:space="preserve">（二）本项目的特定资格要求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none"/>
          <w:lang w:val="en-US" w:eastAsia="zh-CN"/>
        </w:rPr>
        <w:t xml:space="preserve">无。</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三、获取</w:t>
      </w:r>
      <w:bookmarkEnd w:id="17"/>
      <w:r/>
      <w:bookmarkEnd w:id="18"/>
      <w:r/>
      <w:bookmarkEnd w:id="19"/>
      <w:r/>
      <w:bookmarkEnd w:id="20"/>
      <w:r/>
      <w:bookmarkEnd w:id="21"/>
      <w:r>
        <w:rPr>
          <w:rFonts w:hint="eastAsia" w:ascii="仿宋" w:hAnsi="仿宋" w:eastAsia="仿宋" w:cs="仿宋"/>
          <w:b/>
          <w:bCs/>
          <w:color w:val="auto"/>
          <w:sz w:val="32"/>
          <w:szCs w:val="32"/>
          <w:highlight w:val="none"/>
        </w:rPr>
        <w:t xml:space="preserve">谈判文件</w:t>
      </w:r>
      <w:r/>
    </w:p>
    <w:p>
      <w:pPr>
        <w:ind w:left="0" w:firstLine="540"/>
        <w:pageBreakBefore w:val="0"/>
        <w:spacing w:line="360" w:lineRule="auto"/>
        <w:rPr>
          <w:rFonts w:hint="eastAsia" w:ascii="仿宋" w:hAnsi="仿宋" w:eastAsia="仿宋" w:cs="仿宋"/>
          <w:b/>
          <w:color w:val="auto"/>
          <w:sz w:val="28"/>
          <w:szCs w:val="28"/>
          <w:highlight w:val="none"/>
        </w:rPr>
      </w:pPr>
      <w:r/>
      <w:bookmarkStart w:id="22" w:name="_Toc28359005"/>
      <w:r/>
      <w:bookmarkStart w:id="23" w:name="_Toc28359082"/>
      <w:r/>
      <w:bookmarkStart w:id="24" w:name="_Toc38985266"/>
      <w:r/>
      <w:bookmarkStart w:id="25" w:name="_Toc35393624"/>
      <w:r/>
      <w:bookmarkStart w:id="26" w:name="_Toc35393793"/>
      <w:r>
        <w:rPr>
          <w:rFonts w:hint="eastAsia" w:ascii="仿宋" w:hAnsi="仿宋" w:eastAsia="仿宋" w:cs="仿宋"/>
          <w:color w:val="auto"/>
          <w:sz w:val="28"/>
          <w:szCs w:val="28"/>
          <w:highlight w:val="none"/>
        </w:rPr>
        <w:t xml:space="preserve">1.时间：</w:t>
      </w:r>
      <w:r>
        <w:rPr>
          <w:rFonts w:hint="eastAsia" w:ascii="仿宋" w:hAnsi="仿宋" w:eastAsia="仿宋" w:cs="仿宋"/>
          <w:color w:val="auto"/>
          <w:sz w:val="28"/>
          <w:szCs w:val="28"/>
          <w:highlight w:val="none"/>
          <w:lang w:val="en-US" w:eastAsia="zh-CN"/>
        </w:rPr>
        <w:t xml:space="preserve">2026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09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02</w:t>
      </w:r>
      <w:r>
        <w:rPr>
          <w:rFonts w:hint="eastAsia" w:ascii="仿宋" w:hAnsi="仿宋" w:eastAsia="仿宋" w:cs="仿宋"/>
          <w:color w:val="auto"/>
          <w:sz w:val="28"/>
          <w:szCs w:val="28"/>
          <w:highlight w:val="none"/>
        </w:rPr>
        <w:t xml:space="preserve">日至</w:t>
      </w:r>
      <w:r>
        <w:rPr>
          <w:rFonts w:hint="eastAsia" w:ascii="仿宋" w:hAnsi="仿宋" w:eastAsia="仿宋" w:cs="仿宋"/>
          <w:color w:val="auto"/>
          <w:sz w:val="28"/>
          <w:szCs w:val="28"/>
          <w:highlight w:val="none"/>
          <w:lang w:val="en-US" w:eastAsia="zh-CN"/>
        </w:rPr>
        <w:t xml:space="preserve">2026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09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08</w:t>
      </w:r>
      <w:r>
        <w:rPr>
          <w:rFonts w:hint="eastAsia" w:ascii="仿宋" w:hAnsi="仿宋" w:eastAsia="仿宋" w:cs="仿宋"/>
          <w:color w:val="auto"/>
          <w:sz w:val="28"/>
          <w:szCs w:val="28"/>
          <w:highlight w:val="none"/>
        </w:rPr>
        <w:t xml:space="preserve">日（提供期限自本公告发布之日起不得少于3个工作日）。</w:t>
      </w:r>
      <w:r/>
    </w:p>
    <w:p>
      <w:pPr>
        <w:ind w:left="0" w:firstLine="54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2.方式：在“江苏政府采购网”自行免费下载谈判文件。</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3.获取方式：本项目采用网上注册登记方式。</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3.1潜在供应商访问电子招标响应交易平台的网络地址和方法：</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3.2潜在供应商访问“苏采云”系统的网络地址和方法：“苏采云”系统的网址：http://jszfcg.jsczt.cn</w:t>
      </w:r>
      <w:r>
        <w:rPr>
          <w:rFonts w:hint="eastAsia" w:ascii="仿宋" w:hAnsi="仿宋" w:eastAsia="仿宋" w:cs="仿宋"/>
          <w:color w:val="auto"/>
          <w:sz w:val="28"/>
          <w:szCs w:val="28"/>
          <w:highlight w:val="none"/>
          <w:lang w:eastAsia="zh-CN"/>
        </w:rPr>
        <w:t xml:space="preserve">/</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3.3“CA数字证书”的获取：</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 数字证书”，CA办理指南及“苏采云”操作手册可至江苏省政府采购网—办事指南-资料下载中心下载。</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3.4采购文件（后缀名为“.kedt”）、供应商操作手册及政府采购客户端工具可通过“苏采云”系统--已报名项目--报名详情页面内相应链接进行下载。</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3.5招标代理机构（采购代理机构）将数据电文形式的采购文件加载至“苏采云”系统，供潜在供应商下载或者查阅。  </w:t>
      </w:r>
      <w:r/>
    </w:p>
    <w:p>
      <w:pPr>
        <w:ind w:left="0" w:firstLine="48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left="0" w:firstLine="54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8"/>
          <w:szCs w:val="28"/>
          <w:highlight w:val="none"/>
        </w:rPr>
        <w:t xml:space="preserve">注：如潜在供应商未按上述要求操作，将自行承担所产生的风险。</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四、提交</w:t>
      </w:r>
      <w:bookmarkEnd w:id="22"/>
      <w:r/>
      <w:bookmarkEnd w:id="23"/>
      <w:r>
        <w:rPr>
          <w:rFonts w:hint="eastAsia" w:ascii="仿宋" w:hAnsi="仿宋" w:eastAsia="仿宋" w:cs="仿宋"/>
          <w:b/>
          <w:bCs/>
          <w:color w:val="auto"/>
          <w:sz w:val="32"/>
          <w:szCs w:val="32"/>
          <w:highlight w:val="none"/>
        </w:rPr>
        <w:t xml:space="preserve">响应文件截止时间</w:t>
      </w:r>
      <w:bookmarkEnd w:id="24"/>
      <w:r/>
      <w:bookmarkEnd w:id="25"/>
      <w:r/>
      <w:bookmarkEnd w:id="26"/>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u w:val="none"/>
        </w:rPr>
        <w:t xml:space="preserve">1.</w:t>
      </w:r>
      <w:r>
        <w:rPr>
          <w:rFonts w:hint="eastAsia" w:ascii="仿宋" w:hAnsi="仿宋" w:eastAsia="仿宋" w:cs="仿宋"/>
          <w:bCs/>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年</w:t>
      </w:r>
      <w:r>
        <w:rPr>
          <w:rFonts w:hint="eastAsia" w:ascii="仿宋" w:hAnsi="仿宋" w:eastAsia="仿宋" w:cs="仿宋"/>
          <w:bCs/>
          <w:color w:val="auto"/>
          <w:sz w:val="28"/>
          <w:szCs w:val="28"/>
          <w:highlight w:val="none"/>
          <w:u w:val="single"/>
          <w:lang w:val="en-US" w:eastAsia="zh-CN"/>
        </w:rPr>
        <w:t xml:space="preserve">09</w:t>
      </w:r>
      <w:r>
        <w:rPr>
          <w:rFonts w:hint="eastAsia" w:ascii="仿宋" w:hAnsi="仿宋" w:eastAsia="仿宋" w:cs="仿宋"/>
          <w:bCs/>
          <w:color w:val="auto"/>
          <w:sz w:val="28"/>
          <w:szCs w:val="28"/>
          <w:highlight w:val="none"/>
          <w:u w:val="single"/>
        </w:rPr>
        <w:t xml:space="preserve">月</w:t>
      </w:r>
      <w:r>
        <w:rPr>
          <w:rFonts w:hint="eastAsia" w:ascii="仿宋" w:hAnsi="仿宋" w:eastAsia="仿宋" w:cs="仿宋"/>
          <w:bCs/>
          <w:color w:val="auto"/>
          <w:sz w:val="28"/>
          <w:szCs w:val="28"/>
          <w:highlight w:val="none"/>
          <w:u w:val="single"/>
          <w:lang w:val="en-US" w:eastAsia="zh-CN"/>
        </w:rPr>
        <w:t xml:space="preserve">08</w:t>
      </w:r>
      <w:r>
        <w:rPr>
          <w:rFonts w:hint="eastAsia" w:ascii="仿宋" w:hAnsi="仿宋" w:eastAsia="仿宋" w:cs="仿宋"/>
          <w:bCs/>
          <w:color w:val="auto"/>
          <w:sz w:val="28"/>
          <w:szCs w:val="28"/>
          <w:highlight w:val="none"/>
          <w:u w:val="single"/>
        </w:rPr>
        <w:t xml:space="preserve">日</w:t>
      </w:r>
      <w:r>
        <w:rPr>
          <w:rFonts w:hint="eastAsia" w:ascii="仿宋" w:hAnsi="仿宋" w:eastAsia="仿宋" w:cs="仿宋"/>
          <w:bCs/>
          <w:color w:val="auto"/>
          <w:sz w:val="28"/>
          <w:szCs w:val="28"/>
          <w:highlight w:val="none"/>
          <w:u w:val="single"/>
          <w:lang w:val="en-US" w:eastAsia="zh-CN"/>
        </w:rPr>
        <w:t xml:space="preserve">15</w:t>
      </w:r>
      <w:r>
        <w:rPr>
          <w:rFonts w:hint="eastAsia" w:ascii="仿宋" w:hAnsi="仿宋" w:eastAsia="仿宋" w:cs="仿宋"/>
          <w:bCs/>
          <w:color w:val="auto"/>
          <w:sz w:val="28"/>
          <w:szCs w:val="28"/>
          <w:highlight w:val="none"/>
          <w:u w:val="single"/>
        </w:rPr>
        <w:t xml:space="preserve">点</w:t>
      </w:r>
      <w:r>
        <w:rPr>
          <w:rFonts w:hint="eastAsia" w:ascii="仿宋" w:hAnsi="仿宋" w:eastAsia="仿宋" w:cs="仿宋"/>
          <w:bCs/>
          <w:color w:val="auto"/>
          <w:sz w:val="28"/>
          <w:szCs w:val="28"/>
          <w:highlight w:val="none"/>
          <w:u w:val="single"/>
          <w:lang w:val="en-US" w:eastAsia="zh-CN"/>
        </w:rPr>
        <w:t xml:space="preserve">00</w:t>
      </w:r>
      <w:r>
        <w:rPr>
          <w:rFonts w:hint="eastAsia" w:ascii="仿宋" w:hAnsi="仿宋" w:eastAsia="仿宋" w:cs="仿宋"/>
          <w:bCs/>
          <w:color w:val="auto"/>
          <w:sz w:val="28"/>
          <w:szCs w:val="28"/>
          <w:highlight w:val="none"/>
          <w:u w:val="single"/>
        </w:rPr>
        <w:t xml:space="preserve">分</w:t>
      </w:r>
      <w:r>
        <w:rPr>
          <w:rFonts w:hint="eastAsia" w:ascii="仿宋" w:hAnsi="仿宋" w:eastAsia="仿宋" w:cs="仿宋"/>
          <w:bCs/>
          <w:color w:val="auto"/>
          <w:sz w:val="28"/>
          <w:szCs w:val="28"/>
          <w:highlight w:val="none"/>
        </w:rPr>
        <w:t xml:space="preserve">（北京时间）。</w:t>
      </w:r>
      <w:r>
        <w:rPr>
          <w:rFonts w:hint="eastAsia" w:ascii="仿宋" w:hAnsi="仿宋" w:eastAsia="仿宋" w:cs="仿宋"/>
          <w:color w:val="auto"/>
          <w:sz w:val="28"/>
          <w:szCs w:val="28"/>
          <w:highlight w:val="none"/>
        </w:rPr>
        <w:t xml:space="preserve">（自谈判文件开始发出之日起至供应商提交响应文件截止之日止，不得少于3个工作日）</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ind w:left="0" w:firstLine="562"/>
        <w:pageBreakBefore w:val="0"/>
        <w:spacing w:line="360" w:lineRule="auto"/>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 xml:space="preserve">注：各供应商请关注开标大厅交流区，在开标结束后，请勿离开开标大厅，待资格审查完毕，待资格审查完毕</w:t>
      </w:r>
      <w:r>
        <w:rPr>
          <w:rFonts w:hint="eastAsia" w:ascii="仿宋" w:hAnsi="仿宋" w:eastAsia="仿宋" w:cs="仿宋"/>
          <w:b/>
          <w:color w:val="auto"/>
          <w:sz w:val="28"/>
          <w:szCs w:val="22"/>
          <w:highlight w:val="none"/>
          <w:lang w:eastAsia="zh-CN"/>
        </w:rPr>
        <w:t xml:space="preserve">，</w:t>
      </w:r>
      <w:r>
        <w:rPr>
          <w:rFonts w:hint="eastAsia" w:ascii="仿宋" w:hAnsi="仿宋" w:eastAsia="仿宋" w:cs="仿宋"/>
          <w:b/>
          <w:color w:val="auto"/>
          <w:sz w:val="28"/>
          <w:szCs w:val="22"/>
          <w:highlight w:val="none"/>
        </w:rPr>
        <w:t xml:space="preserve">谈判小组发出报价指令后须在15分钟内完成系统报价。</w:t>
      </w:r>
      <w:r>
        <w:rPr>
          <w:rFonts w:hint="eastAsia" w:ascii="仿宋" w:hAnsi="仿宋" w:eastAsia="仿宋" w:cs="仿宋"/>
          <w:b/>
          <w:bCs/>
          <w:color w:val="auto"/>
          <w:sz w:val="28"/>
          <w:szCs w:val="28"/>
          <w:highlight w:val="none"/>
        </w:rPr>
        <w:t xml:space="preserve">供应商未在谈判小组规定的时间内在苏采云系统中提交最后报价的视为放弃谈判，其响应文件按无效响应处理。</w:t>
      </w:r>
      <w:r/>
    </w:p>
    <w:p>
      <w:pPr>
        <w:ind w:left="0" w:firstLine="560"/>
        <w:pageBreakBefore w:val="0"/>
        <w:spacing w:line="360" w:lineRule="auto"/>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2"/>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仿宋"/>
          <w:b/>
          <w:color w:val="auto"/>
          <w:sz w:val="28"/>
          <w:szCs w:val="22"/>
          <w:highlight w:val="none"/>
        </w:rPr>
        <w:t xml:space="preserve">供应商解密限定在开标后30分钟之内完成</w:t>
      </w:r>
      <w:r>
        <w:rPr>
          <w:rFonts w:hint="eastAsia" w:ascii="仿宋" w:hAnsi="仿宋" w:eastAsia="仿宋" w:cs="仿宋"/>
          <w:color w:val="auto"/>
          <w:sz w:val="28"/>
          <w:szCs w:val="22"/>
          <w:highlight w:val="none"/>
        </w:rPr>
        <w:t xml:space="preserve">。</w:t>
      </w:r>
      <w:r>
        <w:rPr>
          <w:rFonts w:hint="eastAsia" w:ascii="仿宋" w:hAnsi="仿宋" w:eastAsia="仿宋" w:cs="仿宋"/>
          <w:color w:val="auto"/>
          <w:sz w:val="28"/>
          <w:szCs w:val="22"/>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auto"/>
          <w:sz w:val="28"/>
          <w:szCs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bookmarkStart w:id="27" w:name="_Toc38985267"/>
      <w:r/>
      <w:bookmarkStart w:id="28" w:name="_Toc35393794"/>
      <w:r/>
      <w:bookmarkStart w:id="29" w:name="_Toc35393625"/>
      <w:r/>
      <w:bookmarkStart w:id="30" w:name="_Toc28359084"/>
      <w:r/>
      <w:bookmarkStart w:id="31" w:name="_Toc28359007"/>
      <w:r>
        <w:rPr>
          <w:rFonts w:hint="eastAsia" w:ascii="仿宋" w:hAnsi="仿宋" w:eastAsia="仿宋" w:cs="仿宋"/>
          <w:b/>
          <w:bCs/>
          <w:color w:val="auto"/>
          <w:sz w:val="32"/>
          <w:szCs w:val="32"/>
          <w:highlight w:val="none"/>
        </w:rPr>
        <w:t xml:space="preserve">五、公告期限</w:t>
      </w:r>
      <w:bookmarkEnd w:id="27"/>
      <w:r/>
      <w:bookmarkEnd w:id="28"/>
      <w:r/>
      <w:bookmarkEnd w:id="29"/>
      <w:r/>
      <w:bookmarkEnd w:id="30"/>
      <w:r/>
      <w:bookmarkEnd w:id="31"/>
      <w:r/>
      <w:r/>
    </w:p>
    <w:p>
      <w:pPr>
        <w:ind w:left="0" w:firstLine="560"/>
        <w:pageBreakBefore w:val="0"/>
        <w:spacing w:line="360" w:lineRule="auto"/>
        <w:rPr>
          <w:rFonts w:hint="eastAsia" w:ascii="仿宋" w:hAnsi="仿宋" w:eastAsia="仿宋" w:cs="仿宋"/>
          <w:color w:val="auto"/>
          <w:sz w:val="28"/>
          <w:szCs w:val="28"/>
          <w:highlight w:val="none"/>
        </w:rPr>
      </w:pPr>
      <w:r/>
      <w:bookmarkStart w:id="32" w:name="_Toc35393795"/>
      <w:r/>
      <w:bookmarkStart w:id="33" w:name="_Toc35393626"/>
      <w:r/>
      <w:bookmarkStart w:id="34" w:name="_Toc38985268"/>
      <w:r>
        <w:rPr>
          <w:rFonts w:hint="eastAsia" w:ascii="仿宋" w:hAnsi="仿宋" w:eastAsia="仿宋" w:cs="仿宋"/>
          <w:color w:val="auto"/>
          <w:sz w:val="28"/>
          <w:szCs w:val="28"/>
          <w:highlight w:val="none"/>
        </w:rPr>
        <w:t xml:space="preserve">谈判公告及谈判文件公告期限为自本公告发布之日起3个工作日。</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32"/>
      <w:r/>
      <w:bookmarkEnd w:id="33"/>
      <w:r/>
      <w:bookmarkEnd w:id="34"/>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1.投标保证金：免收</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2.项目开标活动模式：不见面远程开标模式，供应商在各自地点通过“苏采云”政府采购交易系统参加谈判活动。</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3.项目演示、样品、答辩等（如有请描述）：无</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6.有关本次谈判的事项若存在变动或修改，敬请及时关注采购人或采购代理机构在“江苏政府采购网”发布的更正公告。</w:t>
      </w:r>
      <w:r/>
    </w:p>
    <w:p>
      <w:pPr>
        <w:ind w:left="0" w:firstLine="498"/>
        <w:keepLines/>
        <w:keepNext/>
        <w:pageBreakBefore w:val="0"/>
        <w:spacing w:line="360" w:lineRule="auto"/>
        <w:rPr>
          <w:rFonts w:hint="eastAsia" w:ascii="仿宋" w:hAnsi="仿宋" w:eastAsia="仿宋" w:cs="仿宋"/>
          <w:b/>
          <w:bCs/>
          <w:color w:val="auto"/>
          <w:sz w:val="32"/>
          <w:szCs w:val="32"/>
          <w:highlight w:val="none"/>
        </w:rPr>
        <w:outlineLvl w:val="2"/>
      </w:pPr>
      <w:r/>
      <w:bookmarkStart w:id="35" w:name="_Toc35393796"/>
      <w:r/>
      <w:bookmarkStart w:id="36" w:name="_Toc28359008"/>
      <w:r/>
      <w:bookmarkStart w:id="37" w:name="_Toc28359085"/>
      <w:r/>
      <w:bookmarkStart w:id="38" w:name="_Toc38985269"/>
      <w:r/>
      <w:bookmarkStart w:id="39" w:name="_Toc35393627"/>
      <w:r>
        <w:rPr>
          <w:rFonts w:hint="eastAsia" w:ascii="仿宋" w:hAnsi="仿宋" w:eastAsia="仿宋" w:cs="仿宋"/>
          <w:b/>
          <w:bCs/>
          <w:color w:val="auto"/>
          <w:sz w:val="32"/>
          <w:szCs w:val="32"/>
          <w:highlight w:val="none"/>
        </w:rPr>
        <w:t xml:space="preserve">七、本次谈判联系方式</w:t>
      </w:r>
      <w:bookmarkEnd w:id="35"/>
      <w:r/>
      <w:bookmarkEnd w:id="36"/>
      <w:r/>
      <w:bookmarkEnd w:id="37"/>
      <w:r/>
      <w:bookmarkEnd w:id="38"/>
      <w:r/>
      <w:bookmarkEnd w:id="39"/>
      <w:r/>
      <w:r/>
    </w:p>
    <w:p>
      <w:pPr>
        <w:ind w:left="0"/>
        <w:jc w:val="left"/>
        <w:pageBreakBefore w:val="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bookmarkStart w:id="40" w:name="_Toc28359010"/>
      <w:r/>
      <w:bookmarkStart w:id="41" w:name="_Toc28359087"/>
      <w:r>
        <w:rPr>
          <w:rFonts w:hint="eastAsia" w:ascii="仿宋" w:hAnsi="仿宋" w:eastAsia="仿宋" w:cs="仿宋"/>
          <w:color w:val="auto"/>
          <w:sz w:val="28"/>
          <w:szCs w:val="28"/>
          <w:highlight w:val="none"/>
        </w:rPr>
        <w:t xml:space="preserve">1.采购人信息</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lang w:eastAsia="zh-CN"/>
        </w:rPr>
        <w:t xml:space="preserve">海安市城市管理局</w:t>
      </w:r>
      <w:r>
        <w:rPr>
          <w:rFonts w:hint="eastAsia" w:ascii="仿宋" w:hAnsi="仿宋" w:eastAsia="仿宋" w:cs="仿宋"/>
          <w:color w:val="auto"/>
          <w:sz w:val="28"/>
          <w:szCs w:val="28"/>
          <w:highlight w:val="none"/>
        </w:rPr>
        <w:t xml:space="preserve"> </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址：‌海安市丹凤路 69 号</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bookmarkStart w:id="42" w:name="_Toc28359086"/>
      <w:r/>
      <w:bookmarkStart w:id="43" w:name="_Toc28359009"/>
      <w:r>
        <w:rPr>
          <w:rFonts w:hint="eastAsia" w:ascii="仿宋" w:hAnsi="仿宋" w:eastAsia="仿宋" w:cs="仿宋"/>
          <w:color w:val="auto"/>
          <w:sz w:val="28"/>
          <w:szCs w:val="28"/>
          <w:highlight w:val="none"/>
        </w:rPr>
        <w:t xml:space="preserve">联系人：周广珅</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联系方式：13962758808</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42"/>
      <w:r/>
      <w:bookmarkEnd w:id="43"/>
      <w:r>
        <w:rPr>
          <w:rFonts w:hint="eastAsia" w:ascii="仿宋" w:hAnsi="仿宋" w:eastAsia="仿宋" w:cs="仿宋"/>
          <w:color w:val="auto"/>
          <w:sz w:val="28"/>
          <w:szCs w:val="28"/>
          <w:highlight w:val="none"/>
        </w:rPr>
        <w:t xml:space="preserve">采购代理机构信息</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称：</w:t>
      </w:r>
      <w:r>
        <w:rPr>
          <w:rFonts w:hint="eastAsia" w:ascii="仿宋" w:hAnsi="仿宋" w:eastAsia="仿宋" w:cs="仿宋"/>
          <w:color w:val="auto"/>
          <w:sz w:val="28"/>
          <w:szCs w:val="28"/>
          <w:highlight w:val="none"/>
          <w:lang w:eastAsia="zh-CN"/>
        </w:rPr>
        <w:t xml:space="preserve">中通服网盈科技有限公司</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sz w:val="28"/>
          <w:szCs w:val="28"/>
          <w:highlight w:val="none"/>
        </w:rPr>
        <w:t xml:space="preserve">海安市海安开发区通榆中路89号春秋置业7楼</w:t>
      </w:r>
      <w:r>
        <w:rPr>
          <w:rFonts w:hint="eastAsia" w:ascii="仿宋" w:hAnsi="仿宋" w:eastAsia="仿宋" w:cs="仿宋"/>
          <w:color w:val="auto"/>
          <w:sz w:val="28"/>
          <w:szCs w:val="28"/>
          <w:highlight w:val="none"/>
        </w:rPr>
        <w:t xml:space="preserve"> </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张茹、朱益龙、顾蓉蓉、张镇宁</w:t>
      </w:r>
      <w:r>
        <w:rPr>
          <w:rFonts w:hint="eastAsia" w:ascii="仿宋" w:hAnsi="仿宋" w:eastAsia="仿宋" w:cs="仿宋"/>
          <w:color w:val="auto"/>
          <w:sz w:val="28"/>
          <w:szCs w:val="28"/>
          <w:highlight w:val="none"/>
        </w:rPr>
        <w:t xml:space="preserve"> </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w:t>
      </w:r>
      <w:r>
        <w:rPr>
          <w:rFonts w:hint="eastAsia" w:ascii="仿宋" w:hAnsi="仿宋" w:eastAsia="仿宋" w:cs="仿宋"/>
          <w:color w:val="auto"/>
          <w:sz w:val="28"/>
          <w:szCs w:val="28"/>
          <w:highlight w:val="none"/>
          <w:lang w:val="en-US" w:eastAsia="zh-CN"/>
        </w:rPr>
        <w:t xml:space="preserve">5262723081</w:t>
      </w:r>
      <w:r>
        <w:rPr>
          <w:rFonts w:hint="eastAsia" w:ascii="仿宋" w:hAnsi="仿宋" w:eastAsia="仿宋" w:cs="仿宋"/>
          <w:color w:val="auto"/>
          <w:sz w:val="28"/>
          <w:szCs w:val="28"/>
          <w:highlight w:val="none"/>
        </w:rPr>
        <w:t xml:space="preserve"> </w:t>
      </w:r>
      <w:r/>
    </w:p>
    <w:p>
      <w:pPr>
        <w:ind w:firstLine="56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3.项目联系方式</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谈判文件制作人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张茹 </w:t>
      </w:r>
      <w:r>
        <w:rPr>
          <w:rFonts w:hint="eastAsia" w:ascii="仿宋" w:hAnsi="仿宋" w:eastAsia="仿宋" w:cs="仿宋"/>
          <w:color w:val="auto"/>
          <w:sz w:val="28"/>
          <w:szCs w:val="28"/>
          <w:highlight w:val="none"/>
        </w:rPr>
        <w:t xml:space="preserve"> </w:t>
      </w:r>
      <w:r/>
    </w:p>
    <w:p>
      <w:pPr>
        <w:ind w:left="0" w:firstLine="56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项目谈判经办人：周广珅</w:t>
      </w:r>
      <w:r>
        <w:rPr>
          <w:rFonts w:hint="eastAsia" w:ascii="仿宋" w:hAnsi="仿宋" w:eastAsia="仿宋" w:cs="仿宋"/>
          <w:color w:val="auto"/>
          <w:sz w:val="28"/>
          <w:szCs w:val="28"/>
          <w:highlight w:val="none"/>
          <w:lang w:val="en-US" w:eastAsia="zh-CN"/>
        </w:rPr>
        <w:t xml:space="preserve"> </w:t>
      </w:r>
      <w:r/>
    </w:p>
    <w:p>
      <w:pPr>
        <w:ind w:left="0" w:firstLine="560"/>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交易系统软件维护人员：那工 15991053297、0519-86722801、0519-86722806</w:t>
      </w:r>
      <w:bookmarkEnd w:id="40"/>
      <w:r/>
      <w:bookmarkEnd w:id="41"/>
      <w:r/>
      <w:r/>
    </w:p>
    <w:p>
      <w:pPr>
        <w:jc w:val="center"/>
        <w:keepLines/>
        <w:keepNext/>
        <w:spacing w:line="360" w:lineRule="auto"/>
        <w:rPr>
          <w:rFonts w:hint="eastAsia" w:ascii="仿宋" w:hAnsi="仿宋" w:eastAsia="仿宋" w:cs="仿宋"/>
          <w:color w:val="auto"/>
          <w:sz w:val="44"/>
          <w:szCs w:val="44"/>
          <w:highlight w:val="none"/>
        </w:rPr>
        <w:outlineLvl w:val="1"/>
      </w:pPr>
      <w:r/>
      <w:bookmarkStart w:id="44" w:name="_Toc120614211"/>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 xml:space="preserve">第二章  </w:t>
      </w:r>
      <w:bookmarkEnd w:id="1"/>
      <w:r/>
      <w:bookmarkEnd w:id="2"/>
      <w:r/>
      <w:bookmarkEnd w:id="3"/>
      <w:r/>
      <w:bookmarkEnd w:id="4"/>
      <w:r/>
      <w:bookmarkEnd w:id="5"/>
      <w:r/>
      <w:bookmarkEnd w:id="44"/>
      <w:r>
        <w:rPr>
          <w:rFonts w:hint="eastAsia" w:ascii="仿宋" w:hAnsi="仿宋" w:eastAsia="仿宋" w:cs="仿宋"/>
          <w:b/>
          <w:bCs/>
          <w:color w:val="auto"/>
          <w:sz w:val="44"/>
          <w:szCs w:val="44"/>
          <w:highlight w:val="none"/>
        </w:rPr>
        <w:t xml:space="preserve">供应商须知</w:t>
      </w:r>
      <w:r/>
    </w:p>
    <w:p>
      <w:pPr>
        <w:keepLines/>
        <w:keepNext/>
        <w:pageBreakBefore w:val="0"/>
        <w:spacing w:line="360" w:lineRule="auto"/>
        <w:widowControl w:val="off"/>
        <w:rPr>
          <w:rFonts w:hint="eastAsia" w:ascii="仿宋" w:hAnsi="仿宋" w:eastAsia="仿宋" w:cs="仿宋"/>
          <w:b/>
          <w:bCs/>
          <w:color w:val="auto"/>
          <w:sz w:val="32"/>
          <w:szCs w:val="32"/>
          <w:highlight w:val="none"/>
        </w:rPr>
        <w:outlineLvl w:val="2"/>
      </w:pPr>
      <w:r/>
      <w:bookmarkStart w:id="45" w:name="_Toc20823275"/>
      <w:r/>
      <w:bookmarkStart w:id="46" w:name="_Toc120614214"/>
      <w:r/>
      <w:bookmarkStart w:id="47" w:name="_Toc16938519"/>
      <w:r/>
      <w:bookmarkStart w:id="48" w:name="_Toc513029203"/>
      <w:r>
        <w:rPr>
          <w:rFonts w:hint="eastAsia" w:ascii="仿宋" w:hAnsi="仿宋" w:eastAsia="仿宋" w:cs="仿宋"/>
          <w:b/>
          <w:bCs/>
          <w:color w:val="auto"/>
          <w:sz w:val="32"/>
          <w:szCs w:val="32"/>
          <w:highlight w:val="none"/>
        </w:rPr>
        <w:t xml:space="preserve">一、总则</w:t>
      </w:r>
      <w:bookmarkEnd w:id="45"/>
      <w:r/>
      <w:bookmarkEnd w:id="46"/>
      <w:r/>
      <w:bookmarkEnd w:id="47"/>
      <w:r/>
      <w:bookmarkEnd w:id="48"/>
      <w:r/>
      <w:r/>
    </w:p>
    <w:p>
      <w:pPr>
        <w:ind w:firstLine="560"/>
        <w:keepLines/>
        <w:keepNext/>
        <w:pageBreakBefore w:val="0"/>
        <w:spacing w:line="360" w:lineRule="auto"/>
        <w:widowControl w:val="off"/>
        <w:rPr>
          <w:rFonts w:hint="eastAsia" w:ascii="仿宋" w:hAnsi="仿宋" w:eastAsia="仿宋" w:cs="仿宋"/>
          <w:color w:val="auto"/>
          <w:sz w:val="28"/>
          <w:szCs w:val="28"/>
          <w:highlight w:val="none"/>
          <w:u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仿宋" w:hAnsi="仿宋" w:eastAsia="仿宋" w:cs="仿宋"/>
          <w:color w:val="auto"/>
          <w:sz w:val="28"/>
          <w:szCs w:val="28"/>
          <w:highlight w:val="none"/>
          <w:u w:val="none"/>
        </w:rPr>
        <w:t xml:space="preserve">1</w:t>
      </w:r>
      <w:bookmarkEnd w:id="50"/>
      <w:r>
        <w:rPr>
          <w:rFonts w:hint="eastAsia" w:ascii="仿宋" w:hAnsi="仿宋" w:eastAsia="仿宋" w:cs="仿宋"/>
          <w:color w:val="auto"/>
          <w:sz w:val="28"/>
          <w:szCs w:val="28"/>
          <w:highlight w:val="none"/>
          <w:u w:val="none"/>
        </w:rPr>
        <w:t xml:space="preserve">.采购方式</w:t>
      </w:r>
      <w:bookmarkEnd w:id="51"/>
      <w:r/>
      <w:bookmarkEnd w:id="52"/>
      <w:r/>
      <w:bookmarkEnd w:id="53"/>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u w:val="none"/>
        </w:rPr>
        <w:t xml:space="preserve">1.1本次政府采购活动采取竞争性谈判</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rPr>
        <w:t xml:space="preserve">以下简称谈判</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rPr>
        <w:t xml:space="preserve">方式，本谈判文件仅适用于谈判</w:t>
      </w:r>
      <w:r>
        <w:rPr>
          <w:rFonts w:hint="eastAsia" w:ascii="仿宋" w:hAnsi="仿宋" w:eastAsia="仿宋" w:cs="仿宋"/>
          <w:color w:val="auto"/>
          <w:sz w:val="28"/>
          <w:szCs w:val="28"/>
          <w:highlight w:val="none"/>
        </w:rPr>
        <w:t xml:space="preserve">公告中所述项目。</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54" w:name="_Toc20823277"/>
      <w:r/>
      <w:bookmarkStart w:id="55" w:name="_Toc513029205"/>
      <w:r/>
      <w:bookmarkStart w:id="56" w:name="_Toc16938521"/>
      <w:r>
        <w:rPr>
          <w:rFonts w:hint="eastAsia" w:ascii="仿宋" w:hAnsi="仿宋" w:eastAsia="仿宋" w:cs="仿宋"/>
          <w:color w:val="auto"/>
          <w:sz w:val="28"/>
          <w:szCs w:val="28"/>
          <w:highlight w:val="none"/>
        </w:rPr>
        <w:t xml:space="preserve">2.合格的</w:t>
      </w:r>
      <w:bookmarkEnd w:id="54"/>
      <w:r/>
      <w:bookmarkEnd w:id="55"/>
      <w:r/>
      <w:bookmarkEnd w:id="56"/>
      <w:r>
        <w:rPr>
          <w:rFonts w:hint="eastAsia" w:ascii="仿宋" w:hAnsi="仿宋" w:eastAsia="仿宋" w:cs="仿宋"/>
          <w:color w:val="auto"/>
          <w:sz w:val="28"/>
          <w:szCs w:val="28"/>
          <w:highlight w:val="none"/>
        </w:rPr>
        <w:t xml:space="preserve">供应商</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2.1满足谈判公告中供应商资格要求的规定。</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2.2满足本谈判文件实质性要求和条件的规定。</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57" w:name="_Toc16938522"/>
      <w:r/>
      <w:bookmarkStart w:id="58" w:name="_Toc513029206"/>
      <w:r/>
      <w:bookmarkStart w:id="59" w:name="_Toc20823278"/>
      <w:r>
        <w:rPr>
          <w:rFonts w:hint="eastAsia" w:ascii="仿宋" w:hAnsi="仿宋" w:eastAsia="仿宋" w:cs="仿宋"/>
          <w:color w:val="auto"/>
          <w:sz w:val="28"/>
          <w:szCs w:val="28"/>
          <w:highlight w:val="none"/>
        </w:rPr>
        <w:t xml:space="preserve">3.适用法律</w:t>
      </w:r>
      <w:bookmarkEnd w:id="57"/>
      <w:r/>
      <w:bookmarkEnd w:id="58"/>
      <w:r/>
      <w:bookmarkEnd w:id="59"/>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3.1本次谈判及由此产生的合同受中华人民共和国有关的法律法规制约和保护。</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60" w:name="_Toc462564067"/>
      <w:r/>
      <w:bookmarkStart w:id="61" w:name="_Toc20823279"/>
      <w:r/>
      <w:bookmarkStart w:id="62" w:name="_Toc513029207"/>
      <w:r/>
      <w:bookmarkStart w:id="63" w:name="_Toc16938523"/>
      <w:r>
        <w:rPr>
          <w:rFonts w:hint="eastAsia" w:ascii="仿宋" w:hAnsi="仿宋" w:eastAsia="仿宋" w:cs="仿宋"/>
          <w:color w:val="auto"/>
          <w:sz w:val="28"/>
          <w:szCs w:val="28"/>
          <w:highlight w:val="none"/>
        </w:rPr>
        <w:t xml:space="preserve">4.谈判费用</w:t>
      </w:r>
      <w:bookmarkEnd w:id="60"/>
      <w:r/>
      <w:bookmarkEnd w:id="61"/>
      <w:r/>
      <w:bookmarkEnd w:id="62"/>
      <w:r/>
      <w:bookmarkEnd w:id="63"/>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4.1</w:t>
      </w:r>
      <w:r>
        <w:rPr>
          <w:rFonts w:hint="eastAsia" w:ascii="仿宋" w:hAnsi="仿宋" w:eastAsia="仿宋" w:cs="仿宋"/>
          <w:color w:val="auto"/>
          <w:sz w:val="28"/>
          <w:szCs w:val="28"/>
          <w:highlight w:val="none"/>
        </w:rPr>
        <w:t xml:space="preserve">供应商应自行承担所有与参加本次谈判有关的费用，无论谈判过程中的做法和结果如何，采购人和采购代理机构在任何情况下均无义务和责任承担这些费用。</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4.2本次谈判不收取标书工本费。</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5.谈判文件的约束力</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5.1</w:t>
      </w:r>
      <w:r>
        <w:rPr>
          <w:rFonts w:hint="eastAsia" w:ascii="仿宋" w:hAnsi="仿宋" w:eastAsia="仿宋" w:cs="仿宋"/>
          <w:color w:val="auto"/>
          <w:sz w:val="28"/>
          <w:szCs w:val="28"/>
          <w:highlight w:val="none"/>
        </w:rPr>
        <w:t xml:space="preserve">供应商一旦参加本项目采购活动，即被认为接受了本谈判文件的规定和约束。</w:t>
      </w:r>
      <w:r/>
    </w:p>
    <w:p>
      <w:pPr>
        <w:keepLines/>
        <w:keepNext/>
        <w:pageBreakBefore w:val="0"/>
        <w:spacing w:line="360" w:lineRule="auto"/>
        <w:widowControl w:val="off"/>
        <w:rPr>
          <w:rFonts w:hint="eastAsia" w:ascii="仿宋" w:hAnsi="仿宋" w:eastAsia="仿宋" w:cs="仿宋"/>
          <w:b/>
          <w:bCs/>
          <w:color w:val="auto"/>
          <w:sz w:val="32"/>
          <w:szCs w:val="32"/>
          <w:highlight w:val="none"/>
        </w:rPr>
        <w:outlineLvl w:val="2"/>
      </w:pPr>
      <w:r/>
      <w:bookmarkStart w:id="64" w:name="_Toc513029209"/>
      <w:r/>
      <w:bookmarkStart w:id="65" w:name="_Toc20823281"/>
      <w:r/>
      <w:bookmarkStart w:id="66" w:name="_Toc120614215"/>
      <w:r/>
      <w:bookmarkStart w:id="67" w:name="_Toc16938525"/>
      <w:r>
        <w:rPr>
          <w:rFonts w:hint="eastAsia" w:ascii="仿宋" w:hAnsi="仿宋" w:eastAsia="仿宋" w:cs="仿宋"/>
          <w:b/>
          <w:bCs/>
          <w:color w:val="auto"/>
          <w:sz w:val="32"/>
          <w:szCs w:val="32"/>
          <w:highlight w:val="none"/>
        </w:rPr>
        <w:t xml:space="preserve">二、</w:t>
      </w:r>
      <w:bookmarkEnd w:id="64"/>
      <w:r/>
      <w:bookmarkEnd w:id="65"/>
      <w:r/>
      <w:bookmarkEnd w:id="66"/>
      <w:r/>
      <w:bookmarkEnd w:id="67"/>
      <w:r>
        <w:rPr>
          <w:rFonts w:hint="eastAsia" w:ascii="仿宋" w:hAnsi="仿宋" w:eastAsia="仿宋" w:cs="仿宋"/>
          <w:b/>
          <w:bCs/>
          <w:color w:val="auto"/>
          <w:sz w:val="32"/>
          <w:szCs w:val="32"/>
          <w:highlight w:val="none"/>
        </w:rPr>
        <w:t xml:space="preserve">谈判文件</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68" w:name="_Toc20823282"/>
      <w:r/>
      <w:bookmarkStart w:id="69" w:name="_Toc513029210"/>
      <w:r/>
      <w:bookmarkStart w:id="70" w:name="_Toc16938526"/>
      <w:r>
        <w:rPr>
          <w:rFonts w:hint="eastAsia" w:ascii="仿宋" w:hAnsi="仿宋" w:eastAsia="仿宋" w:cs="仿宋"/>
          <w:color w:val="auto"/>
          <w:sz w:val="28"/>
          <w:szCs w:val="28"/>
          <w:highlight w:val="none"/>
        </w:rPr>
        <w:t xml:space="preserve">6.谈判文件构成</w:t>
      </w:r>
      <w:bookmarkEnd w:id="68"/>
      <w:r/>
      <w:bookmarkEnd w:id="69"/>
      <w:r/>
      <w:bookmarkEnd w:id="70"/>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6.1</w:t>
      </w:r>
      <w:r>
        <w:rPr>
          <w:rFonts w:hint="eastAsia" w:ascii="仿宋" w:hAnsi="仿宋" w:eastAsia="仿宋" w:cs="仿宋"/>
          <w:color w:val="auto"/>
          <w:sz w:val="28"/>
          <w:szCs w:val="28"/>
          <w:highlight w:val="none"/>
        </w:rPr>
        <w:t xml:space="preserve">谈判文件由以下部分组成：</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（1）谈判邀请</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（2）供应商须知</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（3）采购需求</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（4）响应文件格式</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（5）附件（如有）</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请仔细检查谈判文件是否齐全，如有缺漏请立即与采购人或采购代理机构联系解决。</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6.2</w:t>
      </w:r>
      <w:r>
        <w:rPr>
          <w:rFonts w:hint="eastAsia" w:ascii="仿宋" w:hAnsi="仿宋" w:eastAsia="仿宋" w:cs="仿宋"/>
          <w:color w:val="auto"/>
          <w:sz w:val="28"/>
          <w:szCs w:val="28"/>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71" w:name="_Toc462564070"/>
      <w:r/>
      <w:bookmarkStart w:id="72" w:name="_Toc20823283"/>
      <w:r/>
      <w:bookmarkStart w:id="73" w:name="_Toc513029211"/>
      <w:r/>
      <w:bookmarkStart w:id="74" w:name="_Toc16938527"/>
      <w:r>
        <w:rPr>
          <w:rFonts w:hint="eastAsia" w:ascii="仿宋" w:hAnsi="仿宋" w:eastAsia="仿宋" w:cs="仿宋"/>
          <w:color w:val="auto"/>
          <w:sz w:val="28"/>
          <w:szCs w:val="28"/>
          <w:highlight w:val="none"/>
        </w:rPr>
        <w:t xml:space="preserve">7.谈判文件的澄清</w:t>
      </w:r>
      <w:bookmarkEnd w:id="71"/>
      <w:r/>
      <w:bookmarkEnd w:id="72"/>
      <w:r/>
      <w:bookmarkEnd w:id="73"/>
      <w:r/>
      <w:bookmarkEnd w:id="74"/>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7.1</w:t>
      </w:r>
      <w:r>
        <w:rPr>
          <w:rFonts w:hint="eastAsia" w:ascii="仿宋" w:hAnsi="仿宋" w:eastAsia="仿宋" w:cs="仿宋"/>
          <w:color w:val="auto"/>
          <w:sz w:val="28"/>
          <w:szCs w:val="28"/>
          <w:highlight w:val="none"/>
        </w:rPr>
        <w:t xml:space="preserve">任何要求对谈判文件进行澄清的供应商，应在谈判截止期三个工作日前按谈判公告中的通讯地址，以书面形式通知采购人。</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7.2采购人视情组织答疑会。</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75" w:name="_Toc513029212"/>
      <w:r/>
      <w:bookmarkStart w:id="76" w:name="_Toc462564071"/>
      <w:r/>
      <w:bookmarkStart w:id="77" w:name="_Toc16938528"/>
      <w:r/>
      <w:bookmarkStart w:id="78" w:name="_Toc20823284"/>
      <w:r>
        <w:rPr>
          <w:rFonts w:hint="eastAsia" w:ascii="仿宋" w:hAnsi="仿宋" w:eastAsia="仿宋" w:cs="仿宋"/>
          <w:color w:val="auto"/>
          <w:sz w:val="28"/>
          <w:szCs w:val="28"/>
          <w:highlight w:val="none"/>
        </w:rPr>
        <w:t xml:space="preserve">8.谈判文件的澄清和修改</w:t>
      </w:r>
      <w:bookmarkEnd w:id="75"/>
      <w:r/>
      <w:bookmarkEnd w:id="76"/>
      <w:r/>
      <w:bookmarkEnd w:id="77"/>
      <w:r/>
      <w:bookmarkEnd w:id="78"/>
      <w:r/>
      <w:r/>
    </w:p>
    <w:p>
      <w:pPr>
        <w:ind w:firstLine="560"/>
        <w:pageBreakBefore w:val="0"/>
        <w:spacing w:line="360" w:lineRule="auto"/>
        <w:widowControl w:val="off"/>
        <w:rPr>
          <w:rFonts w:hint="eastAsia" w:ascii="仿宋" w:hAnsi="仿宋" w:eastAsia="仿宋" w:cs="仿宋"/>
          <w:color w:val="auto"/>
          <w:sz w:val="24"/>
          <w:szCs w:val="21"/>
          <w:highlight w:val="none"/>
        </w:rPr>
      </w:pPr>
      <w:r>
        <w:rPr>
          <w:rFonts w:hint="eastAsia" w:ascii="仿宋" w:hAnsi="仿宋" w:eastAsia="仿宋" w:cs="仿宋"/>
          <w:bCs/>
          <w:color w:val="auto"/>
          <w:sz w:val="28"/>
          <w:szCs w:val="28"/>
          <w:highlight w:val="none"/>
        </w:rPr>
        <w:t xml:space="preserve">8.1</w:t>
      </w:r>
      <w:r>
        <w:rPr>
          <w:rFonts w:hint="eastAsia" w:ascii="仿宋" w:hAnsi="仿宋" w:eastAsia="仿宋" w:cs="仿宋"/>
          <w:color w:val="auto"/>
          <w:sz w:val="28"/>
          <w:szCs w:val="28"/>
          <w:highlight w:val="none"/>
        </w:rPr>
        <w:t xml:space="preserve">在响应文件提交截止时间前，采购人可以对谈判文件进行澄清和修改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更正公告内容将作为谈判文件的组成部分，并对供应商具有约束力。不足三个工作日的，采购人将顺延提交首次响应文件截止时间。</w:t>
      </w:r>
      <w:r/>
    </w:p>
    <w:p>
      <w:pPr>
        <w:keepLines/>
        <w:keepNext/>
        <w:pageBreakBefore w:val="0"/>
        <w:spacing w:line="360" w:lineRule="auto"/>
        <w:widowControl w:val="off"/>
        <w:rPr>
          <w:rFonts w:hint="eastAsia" w:ascii="仿宋" w:hAnsi="仿宋" w:eastAsia="仿宋" w:cs="仿宋"/>
          <w:b/>
          <w:bCs/>
          <w:color w:val="auto"/>
          <w:sz w:val="32"/>
          <w:szCs w:val="32"/>
          <w:highlight w:val="none"/>
        </w:rPr>
        <w:outlineLvl w:val="2"/>
      </w:pPr>
      <w:r/>
      <w:bookmarkStart w:id="79" w:name="_Toc462564072"/>
      <w:r/>
      <w:bookmarkStart w:id="80" w:name="_Toc513029213"/>
      <w:r/>
      <w:bookmarkStart w:id="81" w:name="_Toc16938529"/>
      <w:r/>
      <w:bookmarkStart w:id="82" w:name="_Toc120614216"/>
      <w:r/>
      <w:bookmarkStart w:id="83" w:name="_Toc20823285"/>
      <w:r>
        <w:rPr>
          <w:rFonts w:hint="eastAsia" w:ascii="仿宋" w:hAnsi="仿宋" w:eastAsia="仿宋" w:cs="仿宋"/>
          <w:b/>
          <w:bCs/>
          <w:color w:val="auto"/>
          <w:sz w:val="32"/>
          <w:szCs w:val="32"/>
          <w:highlight w:val="none"/>
        </w:rPr>
        <w:t xml:space="preserve">三、响应文件的编制</w:t>
      </w:r>
      <w:bookmarkEnd w:id="79"/>
      <w:r/>
      <w:bookmarkEnd w:id="80"/>
      <w:r/>
      <w:bookmarkEnd w:id="81"/>
      <w:r/>
      <w:bookmarkEnd w:id="82"/>
      <w:r/>
      <w:bookmarkEnd w:id="83"/>
      <w:r/>
      <w:r/>
    </w:p>
    <w:p>
      <w:pPr>
        <w:ind w:firstLine="560"/>
        <w:keepLines/>
        <w:keepNext/>
        <w:pageBreakBefore w:val="0"/>
        <w:spacing w:line="360" w:lineRule="auto"/>
        <w:widowControl w:val="off"/>
        <w:rPr>
          <w:rFonts w:hint="eastAsia" w:ascii="仿宋" w:hAnsi="仿宋" w:eastAsia="仿宋" w:cs="仿宋"/>
          <w:b/>
          <w:color w:val="auto"/>
          <w:sz w:val="28"/>
          <w:szCs w:val="28"/>
          <w:highlight w:val="none"/>
        </w:rPr>
        <w:outlineLvl w:val="3"/>
      </w:pPr>
      <w:r/>
      <w:bookmarkStart w:id="84" w:name="_Toc16938530"/>
      <w:r/>
      <w:bookmarkStart w:id="85" w:name="_Toc513029214"/>
      <w:r/>
      <w:bookmarkStart w:id="86" w:name="_Toc20823286"/>
      <w:r/>
      <w:bookmarkStart w:id="87" w:name="_Toc462564073"/>
      <w:r>
        <w:rPr>
          <w:rFonts w:hint="eastAsia" w:ascii="仿宋" w:hAnsi="仿宋" w:eastAsia="仿宋" w:cs="仿宋"/>
          <w:color w:val="auto"/>
          <w:sz w:val="28"/>
          <w:szCs w:val="28"/>
          <w:highlight w:val="none"/>
        </w:rPr>
        <w:t xml:space="preserve">9.响应文件的语言及度量衡单位</w:t>
      </w:r>
      <w:bookmarkEnd w:id="84"/>
      <w:r/>
      <w:bookmarkEnd w:id="85"/>
      <w:r/>
      <w:bookmarkEnd w:id="86"/>
      <w:r/>
      <w:bookmarkEnd w:id="87"/>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9.1</w:t>
      </w:r>
      <w:r>
        <w:rPr>
          <w:rFonts w:hint="eastAsia" w:ascii="仿宋" w:hAnsi="仿宋" w:eastAsia="仿宋" w:cs="仿宋"/>
          <w:color w:val="auto"/>
          <w:sz w:val="28"/>
          <w:szCs w:val="28"/>
          <w:highlight w:val="none"/>
        </w:rPr>
        <w:t xml:space="preserve">供应商提交的响应文件以及供应商与采购人就有关谈判的所有来往通知、函件和文件均应使用</w:t>
      </w:r>
      <w:r>
        <w:rPr>
          <w:rFonts w:hint="eastAsia" w:ascii="仿宋" w:hAnsi="仿宋" w:eastAsia="仿宋" w:cs="仿宋"/>
          <w:b/>
          <w:bCs/>
          <w:color w:val="auto"/>
          <w:sz w:val="28"/>
          <w:szCs w:val="28"/>
          <w:highlight w:val="none"/>
        </w:rPr>
        <w:t xml:space="preserve">简体中文</w:t>
      </w:r>
      <w:r>
        <w:rPr>
          <w:rFonts w:hint="eastAsia" w:ascii="仿宋" w:hAnsi="仿宋" w:eastAsia="仿宋" w:cs="仿宋"/>
          <w:color w:val="auto"/>
          <w:sz w:val="28"/>
          <w:szCs w:val="28"/>
          <w:highlight w:val="none"/>
        </w:rPr>
        <w:t xml:space="preserve">。</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9.2</w:t>
      </w:r>
      <w:r>
        <w:rPr>
          <w:rFonts w:hint="eastAsia" w:ascii="仿宋" w:hAnsi="仿宋" w:eastAsia="仿宋" w:cs="仿宋"/>
          <w:color w:val="auto"/>
          <w:sz w:val="28"/>
          <w:szCs w:val="28"/>
          <w:highlight w:val="none"/>
        </w:rPr>
        <w:t xml:space="preserve">除技术性能另有规定外，响应文件所使用的度量衡单位，均须采用国家法定计量单位。</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88" w:name="_Toc462564074"/>
      <w:r/>
      <w:bookmarkStart w:id="89" w:name="_Toc513029215"/>
      <w:r/>
      <w:bookmarkStart w:id="90" w:name="_Toc20823287"/>
      <w:r/>
      <w:bookmarkStart w:id="91" w:name="_Toc16938531"/>
      <w:r>
        <w:rPr>
          <w:rFonts w:hint="eastAsia" w:ascii="仿宋" w:hAnsi="仿宋" w:eastAsia="仿宋" w:cs="仿宋"/>
          <w:color w:val="auto"/>
          <w:sz w:val="28"/>
          <w:szCs w:val="28"/>
          <w:highlight w:val="none"/>
        </w:rPr>
        <w:t xml:space="preserve">10.响应文件构成</w:t>
      </w:r>
      <w:bookmarkEnd w:id="88"/>
      <w:r/>
      <w:bookmarkEnd w:id="89"/>
      <w:r/>
      <w:bookmarkEnd w:id="90"/>
      <w:r/>
      <w:bookmarkEnd w:id="91"/>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10.1</w:t>
      </w:r>
      <w:r>
        <w:rPr>
          <w:rFonts w:hint="eastAsia" w:ascii="仿宋" w:hAnsi="仿宋" w:eastAsia="仿宋" w:cs="仿宋"/>
          <w:color w:val="auto"/>
          <w:sz w:val="28"/>
          <w:szCs w:val="28"/>
          <w:highlight w:val="none"/>
        </w:rPr>
        <w:t xml:space="preserve">供应商编写的响应文件应包括资格证明文件、符合性证明文件、分项报价表、技术要求响应及偏离表、商务要求响应及偏离表、其他证明文件、谈判响应函等部分。</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10.2如标书制作工具中格式和内容与“江苏政府采购网”发布的谈判文件不一致，请以“江苏政府采购网”发布的谈判文件为准。</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14577355"/>
      <w:r/>
      <w:bookmarkStart w:id="102" w:name="_Toc49090508"/>
      <w:r>
        <w:rPr>
          <w:rFonts w:hint="eastAsia" w:ascii="仿宋" w:hAnsi="仿宋" w:eastAsia="仿宋" w:cs="仿宋"/>
          <w:color w:val="auto"/>
          <w:sz w:val="28"/>
          <w:szCs w:val="28"/>
          <w:highlight w:val="none"/>
        </w:rPr>
        <w:t xml:space="preserve">11.证明谈判响应标的符合谈判文件规定的文件</w:t>
      </w:r>
      <w:bookmarkEnd w:id="95"/>
      <w:r/>
      <w:bookmarkEnd w:id="96"/>
      <w:r/>
      <w:bookmarkEnd w:id="97"/>
      <w:r/>
      <w:bookmarkEnd w:id="98"/>
      <w:bookmarkEnd w:id="99"/>
      <w:bookmarkEnd w:id="100"/>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11.1供应商应按照谈判文件要求提交证明文件，证明其及谈判响应标的符合谈判文件规定。</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11.2谈判文件对证明文件无明确形式要求的，证明文件可以以文字资料、图纸和数据等形式提交。</w:t>
      </w:r>
      <w:bookmarkEnd w:id="101"/>
      <w:bookmarkEnd w:id="102"/>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12.分项报价表</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12.1</w:t>
      </w:r>
      <w:r>
        <w:rPr>
          <w:rFonts w:hint="eastAsia" w:ascii="仿宋" w:hAnsi="仿宋" w:eastAsia="仿宋" w:cs="仿宋"/>
          <w:color w:val="auto"/>
          <w:sz w:val="28"/>
          <w:szCs w:val="28"/>
          <w:highlight w:val="none"/>
        </w:rPr>
        <w:t xml:space="preserve">供应商应按照谈判文件规定格式填报分项报价表。</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12.2</w:t>
      </w:r>
      <w:r>
        <w:rPr>
          <w:rFonts w:hint="eastAsia" w:ascii="仿宋" w:hAnsi="仿宋" w:eastAsia="仿宋" w:cs="仿宋"/>
          <w:bCs/>
          <w:color w:val="auto"/>
          <w:sz w:val="28"/>
          <w:szCs w:val="28"/>
          <w:highlight w:val="none"/>
        </w:rPr>
        <w:t xml:space="preserve">谈判货币。响应文件中的单价和总价无特殊规定的采用人民币报价，以元为单位标注。</w:t>
      </w:r>
      <w:r>
        <w:rPr>
          <w:rFonts w:hint="eastAsia" w:ascii="仿宋" w:hAnsi="仿宋" w:eastAsia="仿宋" w:cs="仿宋"/>
          <w:color w:val="auto"/>
          <w:sz w:val="28"/>
          <w:szCs w:val="28"/>
          <w:highlight w:val="none"/>
        </w:rPr>
        <w:t xml:space="preserve">谈判文件中另有规定的按规定执行。</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03" w:name="_Hlt26670486"/>
      <w:r/>
      <w:bookmarkEnd w:id="103"/>
      <w:r/>
      <w:bookmarkStart w:id="104" w:name="_Hlt26954846"/>
      <w:r/>
      <w:bookmarkEnd w:id="104"/>
      <w:r/>
      <w:bookmarkStart w:id="105" w:name="_Hlt26954731"/>
      <w:r/>
      <w:bookmarkEnd w:id="105"/>
      <w:r/>
      <w:bookmarkStart w:id="106" w:name="_Hlt26954848"/>
      <w:r/>
      <w:bookmarkEnd w:id="106"/>
      <w:r/>
      <w:bookmarkStart w:id="107" w:name="_Hlt26670482"/>
      <w:r/>
      <w:bookmarkEnd w:id="107"/>
      <w:r>
        <w:rPr>
          <w:rFonts w:hint="eastAsia" w:ascii="仿宋" w:hAnsi="仿宋" w:eastAsia="仿宋" w:cs="仿宋"/>
          <w:color w:val="auto"/>
          <w:sz w:val="28"/>
          <w:szCs w:val="28"/>
          <w:highlight w:val="none"/>
        </w:rPr>
        <w:t xml:space="preserve">13.技术要求响应及偏离表、商务要求响应及偏离表</w:t>
      </w:r>
      <w:r/>
    </w:p>
    <w:p>
      <w:pPr>
        <w:ind w:firstLine="560"/>
        <w:pageBreakBefore w:val="0"/>
        <w:spacing w:line="360"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lang w:val="zh-CN"/>
        </w:rPr>
        <w:t xml:space="preserve">13.1</w:t>
      </w:r>
      <w:r>
        <w:rPr>
          <w:rFonts w:hint="eastAsia" w:ascii="仿宋" w:hAnsi="仿宋" w:eastAsia="仿宋" w:cs="仿宋"/>
          <w:color w:val="auto"/>
          <w:sz w:val="28"/>
          <w:szCs w:val="28"/>
          <w:highlight w:val="none"/>
          <w:lang w:val="zh-CN"/>
        </w:rPr>
        <w:t xml:space="preserve">供应商需对谈判文件中的技术要求与商务要求逐项作出响应或偏离，并说明原因。</w:t>
      </w:r>
      <w:r/>
    </w:p>
    <w:p>
      <w:pPr>
        <w:ind w:firstLine="560"/>
        <w:pageBreakBefore w:val="0"/>
        <w:spacing w:line="360"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13.2供应商可在响应文件中提供认为需要的其他技术文件或说明。</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14.服务承诺、培训计划、人员安排及其他</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14</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供应商需根据谈判文件要求提供有关售后服务的管理制度，售后服务机构的分布情况，售后服务人员的数量、素质、技术水平及售后服务的反应能力等。</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14.2供应商需根据谈判文件要求提供培训计划。</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14.3供应商需根据谈判文件要求提供</w:t>
      </w:r>
      <w:r>
        <w:rPr>
          <w:rFonts w:hint="eastAsia" w:ascii="仿宋" w:hAnsi="仿宋" w:eastAsia="仿宋" w:cs="仿宋"/>
          <w:color w:val="auto"/>
          <w:sz w:val="28"/>
          <w:szCs w:val="28"/>
          <w:highlight w:val="none"/>
          <w:lang w:val="zh-CN"/>
        </w:rPr>
        <w:t xml:space="preserve">谈判响应标的的主要组成部分、功能设计、实现思路及关键技术等。</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08" w:name="_Toc14577359"/>
      <w:r/>
      <w:bookmarkStart w:id="109" w:name="_Toc49090510"/>
      <w:r>
        <w:rPr>
          <w:rFonts w:hint="eastAsia" w:ascii="仿宋" w:hAnsi="仿宋" w:eastAsia="仿宋" w:cs="仿宋"/>
          <w:color w:val="auto"/>
          <w:sz w:val="28"/>
          <w:szCs w:val="28"/>
          <w:highlight w:val="none"/>
        </w:rPr>
        <w:t xml:space="preserve">15.谈判响应函</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15.1</w:t>
      </w:r>
      <w:r>
        <w:rPr>
          <w:rFonts w:hint="eastAsia" w:ascii="仿宋" w:hAnsi="仿宋" w:eastAsia="仿宋" w:cs="仿宋"/>
          <w:color w:val="auto"/>
          <w:sz w:val="28"/>
          <w:szCs w:val="28"/>
          <w:highlight w:val="none"/>
        </w:rPr>
        <w:t xml:space="preserve">供应商应按照谈判文件中提供的格式完整、正确填写谈判响应函。</w:t>
      </w:r>
      <w:bookmarkEnd w:id="108"/>
      <w:bookmarkEnd w:id="109"/>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10" w:name="_Toc49090511"/>
      <w:r/>
      <w:bookmarkStart w:id="111" w:name="_Toc14577360"/>
      <w:r>
        <w:rPr>
          <w:rFonts w:hint="eastAsia" w:ascii="仿宋" w:hAnsi="仿宋" w:eastAsia="仿宋" w:cs="仿宋"/>
          <w:color w:val="auto"/>
          <w:sz w:val="28"/>
          <w:szCs w:val="28"/>
          <w:highlight w:val="none"/>
        </w:rPr>
        <w:t xml:space="preserve">16.谈判有效期</w:t>
      </w:r>
      <w:bookmarkEnd w:id="110"/>
      <w:r/>
      <w:bookmarkEnd w:id="111"/>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16.1谈判有效期为采购人规定的提交响应文件截止之日后</w:t>
      </w:r>
      <w:r>
        <w:rPr>
          <w:rFonts w:hint="eastAsia" w:ascii="仿宋" w:hAnsi="仿宋" w:eastAsia="仿宋" w:cs="仿宋"/>
          <w:b/>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。谈判有效期比规定短的将被视为非实质性响应谈判文件而予以拒绝。</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17.谈判有效期的延长</w:t>
      </w:r>
      <w:r/>
    </w:p>
    <w:p>
      <w:pPr>
        <w:ind w:firstLine="560"/>
        <w:pageBreakBefore w:val="0"/>
        <w:spacing w:line="360" w:lineRule="auto"/>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8"/>
          <w:szCs w:val="28"/>
          <w:highlight w:val="none"/>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cs="仿宋"/>
          <w:color w:val="auto"/>
          <w:sz w:val="28"/>
          <w:szCs w:val="28"/>
          <w:highlight w:val="none"/>
        </w:rPr>
        <w:t xml:space="preserve">受谈判有效期约束的所有权利与义务均延长至新的有效期</w:t>
      </w:r>
      <w:r>
        <w:rPr>
          <w:rFonts w:hint="eastAsia" w:ascii="仿宋" w:hAnsi="仿宋" w:eastAsia="仿宋" w:cs="仿宋"/>
          <w:bCs/>
          <w:color w:val="auto"/>
          <w:sz w:val="28"/>
          <w:szCs w:val="28"/>
          <w:highlight w:val="none"/>
        </w:rPr>
        <w:t xml:space="preserve">。</w:t>
      </w:r>
      <w:r/>
    </w:p>
    <w:p>
      <w:pPr>
        <w:keepLines/>
        <w:keepNext/>
        <w:pageBreakBefore w:val="0"/>
        <w:spacing w:line="360" w:lineRule="auto"/>
        <w:widowControl w:val="off"/>
        <w:rPr>
          <w:rFonts w:hint="eastAsia" w:ascii="仿宋" w:hAnsi="仿宋" w:eastAsia="仿宋" w:cs="仿宋"/>
          <w:b/>
          <w:bCs/>
          <w:color w:val="auto"/>
          <w:sz w:val="32"/>
          <w:szCs w:val="32"/>
          <w:highlight w:val="none"/>
        </w:rPr>
        <w:outlineLvl w:val="2"/>
      </w:pPr>
      <w:r/>
      <w:bookmarkStart w:id="112" w:name="_Hlt26954852"/>
      <w:r/>
      <w:bookmarkEnd w:id="112"/>
      <w:r/>
      <w:bookmarkStart w:id="113" w:name="_Hlt26954739"/>
      <w:r/>
      <w:bookmarkEnd w:id="113"/>
      <w:r/>
      <w:bookmarkStart w:id="114" w:name="_Toc513029224"/>
      <w:r/>
      <w:bookmarkStart w:id="115" w:name="_Toc16938540"/>
      <w:r/>
      <w:bookmarkStart w:id="116" w:name="_Toc120614217"/>
      <w:r/>
      <w:bookmarkStart w:id="117" w:name="_Toc20823296"/>
      <w:r>
        <w:rPr>
          <w:rFonts w:hint="eastAsia" w:ascii="仿宋" w:hAnsi="仿宋" w:eastAsia="仿宋" w:cs="仿宋"/>
          <w:b/>
          <w:bCs/>
          <w:color w:val="auto"/>
          <w:sz w:val="32"/>
          <w:szCs w:val="32"/>
          <w:highlight w:val="none"/>
        </w:rPr>
        <w:t xml:space="preserve">四、响应文件的递交</w:t>
      </w:r>
      <w:bookmarkEnd w:id="114"/>
      <w:r/>
      <w:bookmarkEnd w:id="115"/>
      <w:r/>
      <w:bookmarkEnd w:id="116"/>
      <w:r/>
      <w:bookmarkEnd w:id="117"/>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18" w:name="_Toc16938541"/>
      <w:r/>
      <w:bookmarkStart w:id="119" w:name="_Toc20823297"/>
      <w:r/>
      <w:bookmarkStart w:id="120" w:name="_Toc462564084"/>
      <w:r/>
      <w:bookmarkStart w:id="121" w:name="_Toc513029225"/>
      <w:r>
        <w:rPr>
          <w:rFonts w:hint="eastAsia" w:ascii="仿宋" w:hAnsi="仿宋" w:eastAsia="仿宋" w:cs="仿宋"/>
          <w:color w:val="auto"/>
          <w:sz w:val="28"/>
          <w:szCs w:val="28"/>
          <w:highlight w:val="none"/>
        </w:rPr>
        <w:t xml:space="preserve">18.电子谈判</w:t>
      </w:r>
      <w:bookmarkEnd w:id="118"/>
      <w:r/>
      <w:bookmarkEnd w:id="119"/>
      <w:r/>
      <w:bookmarkEnd w:id="120"/>
      <w:r/>
      <w:bookmarkEnd w:id="121"/>
      <w:r>
        <w:rPr>
          <w:rFonts w:hint="eastAsia" w:ascii="仿宋" w:hAnsi="仿宋" w:eastAsia="仿宋" w:cs="仿宋"/>
          <w:color w:val="auto"/>
          <w:sz w:val="28"/>
          <w:szCs w:val="28"/>
          <w:highlight w:val="none"/>
        </w:rPr>
        <w:t xml:space="preserve">响应文件的递交</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18.1供应商应当按照《操作手册》规定，在提交响应文件截止时间前制作并上传电子响应文件。</w:t>
      </w:r>
      <w:bookmarkStart w:id="122" w:name="_Toc20823298"/>
      <w:r/>
      <w:bookmarkStart w:id="123" w:name="_Toc16938542"/>
      <w:r/>
      <w:bookmarkStart w:id="124" w:name="_Toc513029226"/>
      <w:r/>
      <w:r/>
    </w:p>
    <w:p>
      <w:pPr>
        <w:ind w:firstLine="560"/>
        <w:keepLines/>
        <w:keepNext/>
        <w:pageBreakBefore w:val="0"/>
        <w:spacing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19.提交响应文件截止时间</w:t>
      </w:r>
      <w:bookmarkEnd w:id="122"/>
      <w:r/>
      <w:bookmarkEnd w:id="123"/>
      <w:r/>
      <w:bookmarkEnd w:id="124"/>
      <w:r/>
      <w:r/>
    </w:p>
    <w:p>
      <w:pPr>
        <w:ind w:firstLine="560"/>
        <w:pageBreakBefore w:val="0"/>
        <w:spacing w:line="360" w:lineRule="auto"/>
        <w:widowControl w:val="off"/>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 xml:space="preserve">19.1</w:t>
      </w:r>
      <w:r>
        <w:rPr>
          <w:rFonts w:hint="eastAsia" w:ascii="仿宋" w:hAnsi="仿宋" w:eastAsia="仿宋" w:cs="仿宋"/>
          <w:b/>
          <w:bCs/>
          <w:color w:val="auto"/>
          <w:sz w:val="28"/>
          <w:szCs w:val="28"/>
          <w:highlight w:val="none"/>
          <w:u w:val="single"/>
        </w:rPr>
        <w:t xml:space="preserve">供应商上传电子响应文件的时间不得迟于谈判公告中规定的提交响应文件截止时间</w:t>
      </w:r>
      <w:r>
        <w:rPr>
          <w:rFonts w:hint="eastAsia" w:ascii="仿宋" w:hAnsi="仿宋" w:eastAsia="仿宋" w:cs="仿宋"/>
          <w:b/>
          <w:bCs/>
          <w:color w:val="auto"/>
          <w:sz w:val="28"/>
          <w:szCs w:val="28"/>
          <w:highlight w:val="none"/>
          <w:u w:val="none"/>
        </w:rPr>
        <w:t xml:space="preserve">。</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供应商应充分考虑到网络环境、网络带宽等风险因素，如因供应商自身原因造成的电子响应文件上传不成功的按照本谈判文件第二章第26.3.2条规定做无效响应处理。</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19.2</w:t>
      </w:r>
      <w:r>
        <w:rPr>
          <w:rFonts w:hint="eastAsia" w:ascii="仿宋" w:hAnsi="仿宋" w:eastAsia="仿宋" w:cs="仿宋"/>
          <w:bCs/>
          <w:color w:val="auto"/>
          <w:sz w:val="28"/>
          <w:szCs w:val="28"/>
          <w:highlight w:val="none"/>
        </w:rPr>
        <w:t xml:space="preserve">采购人可以按照规定，通过修改谈判文件酌情延长提交响应文件截止日期，在此情况下，供应商的所有权利和义务以及供应商受制的截止日期均应以延长后新的截止日期为准。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25" w:name="_Toc513029227"/>
      <w:r/>
      <w:bookmarkStart w:id="126" w:name="_Toc16938543"/>
      <w:r/>
      <w:bookmarkStart w:id="127" w:name="_Toc20823299"/>
      <w:r>
        <w:rPr>
          <w:rFonts w:hint="eastAsia" w:ascii="仿宋" w:hAnsi="仿宋" w:eastAsia="仿宋" w:cs="仿宋"/>
          <w:color w:val="auto"/>
          <w:sz w:val="28"/>
          <w:szCs w:val="28"/>
          <w:highlight w:val="none"/>
        </w:rPr>
        <w:t xml:space="preserve">20.响应文件</w:t>
      </w:r>
      <w:bookmarkEnd w:id="125"/>
      <w:r/>
      <w:bookmarkEnd w:id="126"/>
      <w:r/>
      <w:bookmarkEnd w:id="127"/>
      <w:r>
        <w:rPr>
          <w:rFonts w:hint="eastAsia" w:ascii="仿宋" w:hAnsi="仿宋" w:eastAsia="仿宋" w:cs="仿宋"/>
          <w:color w:val="auto"/>
          <w:sz w:val="28"/>
          <w:szCs w:val="28"/>
          <w:highlight w:val="none"/>
        </w:rPr>
        <w:t xml:space="preserve">的拒收</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20.1 采购人拒绝接收在其规定的提交响应文件截止时间后上传的任何电子响应文件。</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28" w:name="_Toc20823300"/>
      <w:r/>
      <w:bookmarkStart w:id="129" w:name="_Toc513029228"/>
      <w:r/>
      <w:bookmarkStart w:id="130" w:name="_Toc16938544"/>
      <w:r>
        <w:rPr>
          <w:rFonts w:hint="eastAsia" w:ascii="仿宋" w:hAnsi="仿宋" w:eastAsia="仿宋" w:cs="仿宋"/>
          <w:color w:val="auto"/>
          <w:sz w:val="28"/>
          <w:szCs w:val="28"/>
          <w:highlight w:val="none"/>
        </w:rPr>
        <w:t xml:space="preserve">21.响应文件的撤回和修改</w:t>
      </w:r>
      <w:bookmarkEnd w:id="128"/>
      <w:r/>
      <w:bookmarkEnd w:id="129"/>
      <w:r/>
      <w:bookmarkEnd w:id="130"/>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21.1响应文件的撤回</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21.1.1电子响应文件的撤回</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供应商可在</w:t>
      </w:r>
      <w:r>
        <w:rPr>
          <w:rFonts w:hint="eastAsia" w:ascii="仿宋" w:hAnsi="仿宋" w:eastAsia="仿宋" w:cs="仿宋"/>
          <w:bCs/>
          <w:color w:val="auto"/>
          <w:sz w:val="28"/>
          <w:szCs w:val="28"/>
          <w:highlight w:val="none"/>
        </w:rPr>
        <w:t xml:space="preserve">提交响应文件</w:t>
      </w:r>
      <w:r>
        <w:rPr>
          <w:rFonts w:hint="eastAsia" w:ascii="仿宋" w:hAnsi="仿宋" w:eastAsia="仿宋" w:cs="仿宋"/>
          <w:color w:val="auto"/>
          <w:sz w:val="28"/>
          <w:szCs w:val="28"/>
          <w:highlight w:val="none"/>
        </w:rPr>
        <w:t xml:space="preserve">截止时间前，撤回其电子响应文件，具体操作方法见《操作手册》。</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21.1.2供应商撤回电子响应文件，则认为其不再参与本项目谈判活动。</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21.2响应文件的修改</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供应商可在</w:t>
      </w:r>
      <w:r>
        <w:rPr>
          <w:rFonts w:hint="eastAsia" w:ascii="仿宋" w:hAnsi="仿宋" w:eastAsia="仿宋" w:cs="仿宋"/>
          <w:bCs/>
          <w:color w:val="auto"/>
          <w:sz w:val="28"/>
          <w:szCs w:val="28"/>
          <w:highlight w:val="none"/>
        </w:rPr>
        <w:t xml:space="preserve">提交响应文件</w:t>
      </w:r>
      <w:r>
        <w:rPr>
          <w:rFonts w:hint="eastAsia" w:ascii="仿宋" w:hAnsi="仿宋" w:eastAsia="仿宋" w:cs="仿宋"/>
          <w:color w:val="auto"/>
          <w:sz w:val="28"/>
          <w:szCs w:val="28"/>
          <w:highlight w:val="none"/>
        </w:rPr>
        <w:t xml:space="preserve">截止时间前，对其电子响应文件进行修改，具体操作方法见《操作手册》。</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21.3</w:t>
      </w:r>
      <w:r>
        <w:rPr>
          <w:rFonts w:hint="eastAsia" w:ascii="仿宋" w:hAnsi="仿宋" w:eastAsia="仿宋" w:cs="仿宋"/>
          <w:bCs/>
          <w:color w:val="auto"/>
          <w:sz w:val="28"/>
          <w:szCs w:val="28"/>
          <w:highlight w:val="none"/>
        </w:rPr>
        <w:t xml:space="preserve">在提交响应文件截止时间之后，供应商不得对其电子响应文件作任何修改。</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21.4</w:t>
      </w:r>
      <w:r>
        <w:rPr>
          <w:rFonts w:hint="eastAsia" w:ascii="仿宋" w:hAnsi="仿宋" w:eastAsia="仿宋" w:cs="仿宋"/>
          <w:bCs/>
          <w:color w:val="auto"/>
          <w:sz w:val="28"/>
          <w:szCs w:val="28"/>
          <w:highlight w:val="none"/>
        </w:rPr>
        <w:t xml:space="preserve">在提交响应文件截止时间至谈判文件中规定的谈判有效期满之间的这段时间内，供应商不得撤回其响应文件。</w:t>
      </w:r>
      <w:r/>
    </w:p>
    <w:p>
      <w:pPr>
        <w:keepLines/>
        <w:keepNext/>
        <w:pageBreakBefore w:val="0"/>
        <w:spacing w:line="360" w:lineRule="auto"/>
        <w:widowControl w:val="off"/>
        <w:rPr>
          <w:rFonts w:hint="eastAsia" w:ascii="仿宋" w:hAnsi="仿宋" w:eastAsia="仿宋" w:cs="仿宋"/>
          <w:b/>
          <w:bCs/>
          <w:color w:val="auto"/>
          <w:sz w:val="32"/>
          <w:szCs w:val="32"/>
          <w:highlight w:val="none"/>
        </w:rPr>
        <w:outlineLvl w:val="2"/>
      </w:pPr>
      <w:r/>
      <w:bookmarkStart w:id="131" w:name="_Toc16938545"/>
      <w:r/>
      <w:bookmarkStart w:id="132" w:name="_Toc20823301"/>
      <w:r/>
      <w:bookmarkStart w:id="133" w:name="_Toc120614218"/>
      <w:r/>
      <w:bookmarkStart w:id="134" w:name="_Toc513029229"/>
      <w:r>
        <w:rPr>
          <w:rFonts w:hint="eastAsia" w:ascii="仿宋" w:hAnsi="仿宋" w:eastAsia="仿宋" w:cs="仿宋"/>
          <w:b/>
          <w:bCs/>
          <w:color w:val="auto"/>
          <w:sz w:val="32"/>
          <w:szCs w:val="32"/>
          <w:highlight w:val="none"/>
        </w:rPr>
        <w:t xml:space="preserve">五、响应文件的解密与评审</w:t>
      </w:r>
      <w:bookmarkEnd w:id="131"/>
      <w:r/>
      <w:bookmarkEnd w:id="132"/>
      <w:r/>
      <w:bookmarkEnd w:id="133"/>
      <w:r/>
      <w:bookmarkEnd w:id="134"/>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35" w:name="_Toc513029230"/>
      <w:r/>
      <w:bookmarkStart w:id="136" w:name="_Toc20823302"/>
      <w:r/>
      <w:bookmarkStart w:id="137" w:name="_Toc16938546"/>
      <w:r>
        <w:rPr>
          <w:rFonts w:hint="eastAsia" w:ascii="仿宋" w:hAnsi="仿宋" w:eastAsia="仿宋" w:cs="仿宋"/>
          <w:color w:val="auto"/>
          <w:sz w:val="28"/>
          <w:szCs w:val="28"/>
          <w:highlight w:val="none"/>
        </w:rPr>
        <w:t xml:space="preserve">22</w:t>
      </w:r>
      <w:bookmarkEnd w:id="135"/>
      <w:r/>
      <w:bookmarkEnd w:id="136"/>
      <w:r/>
      <w:bookmarkEnd w:id="137"/>
      <w:r>
        <w:rPr>
          <w:rFonts w:hint="eastAsia" w:ascii="仿宋" w:hAnsi="仿宋" w:eastAsia="仿宋" w:cs="仿宋"/>
          <w:color w:val="auto"/>
          <w:sz w:val="28"/>
          <w:szCs w:val="28"/>
          <w:highlight w:val="none"/>
        </w:rPr>
        <w:t xml:space="preserve">.响应文件解密</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22.1供应商应当按照《操作手册》规定，在苏采云系统规定的时间内对谈判响应文件进行解密。</w:t>
      </w:r>
      <w:r/>
    </w:p>
    <w:p>
      <w:pPr>
        <w:numPr>
          <w:ilvl w:val="0"/>
          <w:numId w:val="0"/>
        </w:num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38" w:name="_Toc20823303"/>
      <w:r/>
      <w:bookmarkStart w:id="139" w:name="_Toc513029231"/>
      <w:r/>
      <w:bookmarkStart w:id="140" w:name="_Toc16938547"/>
      <w:r>
        <w:rPr>
          <w:rFonts w:hint="eastAsia" w:ascii="仿宋" w:hAnsi="仿宋" w:eastAsia="仿宋" w:cs="仿宋"/>
          <w:color w:val="auto"/>
          <w:sz w:val="28"/>
          <w:szCs w:val="28"/>
          <w:highlight w:val="none"/>
          <w:lang w:val="en-US" w:eastAsia="zh-CN" w:bidi="ar-SA"/>
        </w:rPr>
        <w:t xml:space="preserve">23.</w:t>
      </w:r>
      <w:r>
        <w:rPr>
          <w:rFonts w:hint="eastAsia" w:ascii="仿宋" w:hAnsi="仿宋" w:eastAsia="仿宋" w:cs="仿宋"/>
          <w:color w:val="auto"/>
          <w:sz w:val="28"/>
          <w:szCs w:val="28"/>
          <w:highlight w:val="none"/>
        </w:rPr>
        <w:t xml:space="preserve">谈判小组</w:t>
      </w:r>
      <w:r/>
    </w:p>
    <w:p>
      <w:pPr>
        <w:numPr>
          <w:ilvl w:val="0"/>
          <w:numId w:val="0"/>
        </w:num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23.1采购人将组织谈判小组对响应文件进行评审。谈判小组由采购人代表和有关技术、经济等方面的专家组成，且人员构成符合政府采购有关规定。</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23.2谈判小组独立工作，负责评审所有响应文件并确定成交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24.评审过程的保密与公正</w:t>
      </w:r>
      <w:bookmarkEnd w:id="138"/>
      <w:bookmarkEnd w:id="139"/>
      <w:bookmarkEnd w:id="140"/>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24.1</w:t>
      </w:r>
      <w:r>
        <w:rPr>
          <w:rFonts w:hint="eastAsia" w:ascii="仿宋" w:hAnsi="仿宋" w:eastAsia="仿宋" w:cs="仿宋"/>
          <w:bCs/>
          <w:color w:val="auto"/>
          <w:sz w:val="28"/>
          <w:szCs w:val="28"/>
          <w:highlight w:val="none"/>
        </w:rPr>
        <w:t xml:space="preserve">谈判小组、采购人和采购代理机构工作人员、相关监督人员等与评审工作有关的人员，对评审情况以及在评审过程中获悉的国家秘密、商业秘密负有保密责任。</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24.2在评审过程中，供应商不得以任何行为影响谈判评审过程，否则其响应文件将被作为无效响应文件。</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24.3在项目评审期间，采购代理机构将设专门人员与供应商联系。</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24.4采购人和谈判小组不向未成交的供应商解释未成交原因，也不公布评审过程中的相关细节。</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41" w:name="_Toc16938548"/>
      <w:r/>
      <w:bookmarkStart w:id="142" w:name="_Toc20823304"/>
      <w:r/>
      <w:bookmarkStart w:id="143" w:name="_Toc513029232"/>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141"/>
      <w:r/>
      <w:bookmarkEnd w:id="142"/>
      <w:r/>
      <w:bookmarkEnd w:id="143"/>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谈判小组并非对每个供应商都作澄清要求。</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25.3接到谈判小组澄清、说明和更正要求的供应商如未按规定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bookmarkStart w:id="144" w:name="_Toc513029233"/>
      <w:r/>
      <w:bookmarkStart w:id="145" w:name="_Toc16938549"/>
      <w:r/>
      <w:bookmarkStart w:id="146" w:name="_Toc20823305"/>
      <w:r>
        <w:rPr>
          <w:rFonts w:hint="eastAsia" w:ascii="仿宋" w:hAnsi="仿宋" w:eastAsia="仿宋" w:cs="仿宋"/>
          <w:color w:val="auto"/>
          <w:sz w:val="28"/>
          <w:szCs w:val="28"/>
          <w:highlight w:val="none"/>
        </w:rPr>
        <w:t xml:space="preserve">26.对响应文件的审</w:t>
      </w:r>
      <w:bookmarkEnd w:id="144"/>
      <w:r/>
      <w:bookmarkEnd w:id="145"/>
      <w:r/>
      <w:bookmarkEnd w:id="146"/>
      <w:r>
        <w:rPr>
          <w:rFonts w:hint="eastAsia" w:ascii="仿宋" w:hAnsi="仿宋" w:eastAsia="仿宋" w:cs="仿宋"/>
          <w:color w:val="auto"/>
          <w:sz w:val="28"/>
          <w:szCs w:val="28"/>
          <w:highlight w:val="none"/>
        </w:rPr>
        <w:t xml:space="preserve">查</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bCs/>
          <w:color w:val="auto"/>
          <w:sz w:val="28"/>
          <w:szCs w:val="28"/>
          <w:highlight w:val="none"/>
        </w:rPr>
        <w:t xml:space="preserve">响应文件审查分为资格审查和符合性审查。</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26.1.1资格审查：由采购人依据法律法规和谈判文件的规定，对响应文件中的资格证明文件进行审查，以确定供应商是否具备参加谈判的资格。</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采购人在进行资格审查的同时，将在“信用中国”网站查询供应商的信用记录，以确定供应商是否具备谈判资格</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查询结果留存并归档。</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联合体成员中任何一方存在不良信用记录的，视同联合体存在不良应用记录。</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26.1.2符合性审查：依据谈判文件的规定，由谈判小组从响应文件的有效性、完整性和对谈判文件的响应程度进行审查，以确定是否对谈判文件的实质性要求作出响应。</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26.1.3未通过资格审查或符合性审查的供应商，采购代理机构将在</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中告知未通过资格审查或符合性审查的原因，评审结束后，采购代理机构将不再告知未通过资格审查或符合性审查的原因。</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26.3未实质性响应谈判文件的情形</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26.3.1供应商在</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规定的时间内未成功解密电子响应文件的。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26.3.2供应商未按照谈判文件要求上传电子响应文件的。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26.3.3同一供应商提交两个（含两个）以上不同的响应文件或者最后报价的。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26.3.4供应商不具备谈判文件中规定资格要求的。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26.3.5供应商的最后报价超过了采购预算。</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26.3.6不符合谈判文件中规定的实质性要求和条件的。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26.3.8响应文件含有采购人不能接受的附加条件的。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26.3.9本项目采购产品被财政部、</w:t>
      </w:r>
      <w:r>
        <w:rPr>
          <w:rFonts w:hint="eastAsia" w:ascii="仿宋" w:hAnsi="仿宋" w:eastAsia="仿宋" w:cs="仿宋"/>
          <w:bCs/>
          <w:color w:val="auto"/>
          <w:sz w:val="28"/>
          <w:szCs w:val="28"/>
          <w:highlight w:val="none"/>
          <w:lang w:eastAsia="zh-CN"/>
        </w:rPr>
        <w:t xml:space="preserve">国家发展改革委</w:t>
      </w:r>
      <w:r>
        <w:rPr>
          <w:rFonts w:hint="eastAsia" w:ascii="仿宋" w:hAnsi="仿宋" w:eastAsia="仿宋" w:cs="仿宋"/>
          <w:bCs/>
          <w:color w:val="auto"/>
          <w:sz w:val="28"/>
          <w:szCs w:val="28"/>
          <w:highlight w:val="none"/>
        </w:rPr>
        <w:t xml:space="preserve">、生态环境部等列入“节能产品品目清单</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26.3.10响应文件未按照谈判文件要求加盖CA电子公章的。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26.4未实质性响应谈判文件的响应文件按无效响应处理。</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26.5</w:t>
      </w:r>
      <w:r>
        <w:rPr>
          <w:rFonts w:hint="eastAsia" w:ascii="仿宋" w:hAnsi="仿宋" w:eastAsia="仿宋" w:cs="仿宋"/>
          <w:bCs/>
          <w:color w:val="auto"/>
          <w:sz w:val="28"/>
          <w:szCs w:val="28"/>
          <w:highlight w:val="none"/>
        </w:rPr>
        <w:t xml:space="preserve">如果响应文件实质上没有响应谈判文件的要求，谈判小组将予以拒绝，供应商不得通过修改或撤销</w:t>
      </w:r>
      <w:r>
        <w:rPr>
          <w:rFonts w:hint="eastAsia" w:ascii="仿宋" w:hAnsi="仿宋" w:eastAsia="仿宋" w:cs="仿宋"/>
          <w:bCs/>
          <w:color w:val="auto"/>
          <w:sz w:val="28"/>
          <w:szCs w:val="28"/>
          <w:highlight w:val="none"/>
          <w:lang w:eastAsia="zh-CN"/>
        </w:rPr>
        <w:t xml:space="preserve">不符</w:t>
      </w:r>
      <w:r>
        <w:rPr>
          <w:rFonts w:hint="eastAsia" w:ascii="仿宋" w:hAnsi="仿宋" w:eastAsia="仿宋" w:cs="仿宋"/>
          <w:bCs/>
          <w:color w:val="auto"/>
          <w:sz w:val="28"/>
          <w:szCs w:val="28"/>
          <w:highlight w:val="none"/>
        </w:rPr>
        <w:t xml:space="preserve">合要求的偏离或保留而使其成为实质性响应的文件。</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26.6谈判小组将对确定为实质性响应的文件进行进一步审核，看其是否有计算上或累加上的算术错误，修正错误的原则如下：</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（1）响应文件中报价总表内容与响应文件中</w:t>
      </w:r>
      <w:r>
        <w:rPr>
          <w:rFonts w:hint="eastAsia" w:ascii="仿宋" w:hAnsi="仿宋" w:eastAsia="仿宋" w:cs="仿宋"/>
          <w:bCs/>
          <w:color w:val="auto"/>
          <w:sz w:val="28"/>
          <w:szCs w:val="28"/>
          <w:highlight w:val="none"/>
          <w:lang w:eastAsia="zh-CN"/>
        </w:rPr>
        <w:t xml:space="preserve">响应</w:t>
      </w:r>
      <w:r>
        <w:rPr>
          <w:rFonts w:hint="eastAsia" w:ascii="仿宋" w:hAnsi="仿宋" w:eastAsia="仿宋" w:cs="仿宋"/>
          <w:bCs/>
          <w:color w:val="auto"/>
          <w:sz w:val="28"/>
          <w:szCs w:val="28"/>
          <w:highlight w:val="none"/>
        </w:rPr>
        <w:t xml:space="preserve">内容不一致的，以报价总表为准。</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（3）单价金额小数点或者百分比有明显错位的，以报价总表的总价为准，并修改单价。</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pageBreakBefore w:val="0"/>
        <w:spacing w:line="360" w:lineRule="auto"/>
        <w:widowControl w:val="off"/>
        <w:rPr>
          <w:rFonts w:hint="eastAsia" w:ascii="仿宋" w:hAnsi="仿宋" w:eastAsia="仿宋" w:cs="仿宋"/>
          <w:color w:val="auto"/>
          <w:sz w:val="28"/>
          <w:szCs w:val="28"/>
          <w:highlight w:val="none"/>
        </w:rPr>
      </w:pPr>
      <w:r/>
      <w:bookmarkStart w:id="147" w:name="_Toc16938550"/>
      <w:r/>
      <w:bookmarkStart w:id="148" w:name="_Toc20823306"/>
      <w:r/>
      <w:bookmarkStart w:id="149" w:name="_Toc513029234"/>
      <w:r>
        <w:rPr>
          <w:rFonts w:hint="eastAsia" w:ascii="仿宋" w:hAnsi="仿宋" w:eastAsia="仿宋" w:cs="仿宋"/>
          <w:color w:val="auto"/>
          <w:sz w:val="28"/>
          <w:szCs w:val="28"/>
          <w:highlight w:val="none"/>
        </w:rPr>
        <w:t xml:space="preserve">26.7供应商在项目评审全过程中应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，并安排专人与采购人或采购代理机构及谈判小组联系。</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w:t>
      </w:r>
      <w:bookmarkEnd w:id="147"/>
      <w:r/>
      <w:bookmarkEnd w:id="148"/>
      <w:r/>
      <w:bookmarkEnd w:id="149"/>
      <w:r>
        <w:rPr>
          <w:rFonts w:hint="eastAsia" w:ascii="仿宋" w:hAnsi="仿宋" w:eastAsia="仿宋" w:cs="仿宋"/>
          <w:color w:val="auto"/>
          <w:sz w:val="28"/>
          <w:szCs w:val="28"/>
          <w:highlight w:val="none"/>
        </w:rPr>
        <w:t xml:space="preserve">.谈判程序及成交原则</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27.1谈判程序</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仿宋" w:hAnsi="仿宋" w:eastAsia="仿宋" w:cs="仿宋"/>
          <w:color w:val="auto"/>
          <w:sz w:val="28"/>
          <w:szCs w:val="28"/>
          <w:highlight w:val="none"/>
          <w:lang w:eastAsia="zh-CN"/>
        </w:rPr>
        <w:t xml:space="preserve">，并</w:t>
      </w:r>
      <w:r>
        <w:rPr>
          <w:rFonts w:hint="eastAsia" w:ascii="仿宋" w:hAnsi="仿宋" w:eastAsia="仿宋" w:cs="仿宋"/>
          <w:color w:val="auto"/>
          <w:sz w:val="28"/>
          <w:szCs w:val="28"/>
          <w:highlight w:val="none"/>
        </w:rPr>
        <w:t xml:space="preserve">在苏采云系统中向其发布“最后报价要求函”及最后报价格式表，要求其在规定时间内提交最后报价。</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否则视为未提交最后报价。已提交响应文件的供应商，在提交最后报价之前，可以根据谈判情况退出谈判，并在苏采云系统中提交“退出谈判函”并加盖CA电子公章。</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27.1.4（一）评审过程中出现下列情形之一的，评标委员会应当启动异常低价投标审查程序：</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1）投标(响应)报价低于全部通过符合性审查供应商投标(响应)报价平均值50%的，即投标(响应)报价＜全部通过符合性审查供应商投标(响应)报价平均值×50%；</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2）投标(响应)报价低于通过符合性审查的次低报价供应商投标(响应)报价50%的，即投标(响应)报价＜通过符合性审查的次低报价供应商投标(响应)报价×50%；</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3）投标(响应)报价低于采购项目最高限价45%的，即投标(响应)报价＜采购项目最高限价×45%；</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4）评审委员会基于专业判断，认为供应商报价过低，有可能影响产品质量或者不能诚信履约的其他情形。</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成交原则</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27.2.3供应商的最后报价如相同，则优先采购 “环境标志产品”或“节能产品”；若均非“环境标志产品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节能产品”，则将优先采购交货期短者。环境标志产品是指列入财政部、环境保护部最新公布的《环境标志产品品目清单》内的产品；节能产品是指列入财政部、</w:t>
      </w:r>
      <w:r>
        <w:rPr>
          <w:rFonts w:hint="eastAsia" w:ascii="仿宋" w:hAnsi="仿宋" w:eastAsia="仿宋" w:cs="仿宋"/>
          <w:color w:val="auto"/>
          <w:sz w:val="28"/>
          <w:szCs w:val="28"/>
          <w:highlight w:val="none"/>
          <w:lang w:eastAsia="zh-CN"/>
        </w:rPr>
        <w:t xml:space="preserve">国家发展改革委</w:t>
      </w:r>
      <w:r>
        <w:rPr>
          <w:rFonts w:hint="eastAsia" w:ascii="仿宋" w:hAnsi="仿宋" w:eastAsia="仿宋" w:cs="仿宋"/>
          <w:color w:val="auto"/>
          <w:sz w:val="28"/>
          <w:szCs w:val="28"/>
          <w:highlight w:val="none"/>
        </w:rPr>
        <w:t xml:space="preserve">最新公布的《节能产品品目清单》内的产品。</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27.2.4采购人确定成交供应商后，</w:t>
      </w:r>
      <w:r>
        <w:rPr>
          <w:rFonts w:hint="eastAsia" w:ascii="仿宋" w:hAnsi="仿宋" w:eastAsia="仿宋" w:cs="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将在“江苏政府采购网”发布成交结果公告，公告期限为1个工作日。</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27.3对小微型企业、监狱企业和残疾人福利单位的价格扣除</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小微型企业价格扣除</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27.3.1供应商需按照《政府采购促进中小企业发展管理办法》（财库﹝2020﹞46号）的规定提供相应的《中小企业声明函》。</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27.3.3专门面向中小微企业采购的项目或者采购包，不再执行价格评审优惠的扶持政策。</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27.3.4在政府采购活动中残疾人福利性单位、监狱企业视同小型、微型企业。</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27.4采购活动终止的情况</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出现下列情形之一的，本次竞争性谈判采购活动将被终止：</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27.4.1因情况变化，不再符合规定的竞争性谈判采购方式适用情形的。</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27.4.2出现影响采购公正的违法、违规行为的。</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27.4.3在采购过程中符合要求的供应商或者最后报价未超过采购预算的供应商不足3家的。</w:t>
      </w:r>
      <w:r/>
    </w:p>
    <w:p>
      <w:pPr>
        <w:ind w:firstLine="560"/>
        <w:pageBreakBefore w:val="0"/>
        <w:spacing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ind w:firstLine="560"/>
        <w:keepLines/>
        <w:keepNext/>
        <w:pageBreakBefore w:val="0"/>
        <w:spacing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28.成交供应商被取消成交资格情形</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若有充分证据证明，成交供应商出现下列情况之一的，一经查实，将被取消成交资格：</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28.1提供虚假材料谋取成交的。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28.2与评审专家、采购人、其他供应商或者采购代理机构工作人员恶意串通的。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28.3向评审专家、采购人或采购代理机构工作人员行贿或者提供其他不正当利益的。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28.4恶意竞争，最后报价明显低于其自身合理成本且又无法提供证明的。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28.5不满足本谈判文件规定的实质性要求，但在评审过程中又未被谈判小组发现的。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28.6成交后无正当理由拒不与采购人签订政府采购合同或者未按照谈判文件确定的事项签订政府采购合同的。</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28.7将政府采购合同转包的。</w:t>
      </w:r>
      <w:r/>
    </w:p>
    <w:p>
      <w:pPr>
        <w:ind w:firstLine="560"/>
        <w:keepLines/>
        <w:keepNext/>
        <w:pageBreakBefore w:val="0"/>
        <w:spacing w:line="360" w:lineRule="auto"/>
        <w:widowControl w:val="off"/>
        <w:rPr>
          <w:rFonts w:hint="eastAsia" w:ascii="仿宋" w:hAnsi="仿宋" w:eastAsia="仿宋" w:cs="仿宋"/>
          <w:bCs/>
          <w:color w:val="auto"/>
          <w:sz w:val="28"/>
          <w:szCs w:val="28"/>
          <w:highlight w:val="none"/>
        </w:rPr>
        <w:outlineLvl w:val="3"/>
      </w:pPr>
      <w:r/>
      <w:bookmarkStart w:id="150" w:name="_Toc200451960"/>
      <w:r>
        <w:rPr>
          <w:rFonts w:hint="eastAsia" w:ascii="仿宋" w:hAnsi="仿宋" w:eastAsia="仿宋" w:cs="仿宋"/>
          <w:bCs/>
          <w:color w:val="auto"/>
          <w:sz w:val="28"/>
          <w:szCs w:val="28"/>
          <w:highlight w:val="none"/>
        </w:rPr>
        <w:t xml:space="preserve">29.质疑处理</w:t>
      </w:r>
      <w:bookmarkEnd w:id="150"/>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29.1提出质疑的供应商应当是参与所质疑项目采购活动的供应商。潜在供应商依法获取其可质疑的采购文件的，可以对采购文件提出质疑。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29.2.1</w:t>
      </w:r>
      <w:r>
        <w:rPr>
          <w:rFonts w:hint="eastAsia" w:ascii="仿宋" w:hAnsi="仿宋" w:eastAsia="仿宋" w:cs="仿宋"/>
          <w:color w:val="auto"/>
          <w:sz w:val="28"/>
          <w:szCs w:val="28"/>
          <w:highlight w:val="none"/>
        </w:rPr>
        <w:t xml:space="preserve">对可以质疑的采购文件提出质疑的，为收到采购文件之日或者采购文件公告期限届满之日。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29.2.2</w:t>
      </w:r>
      <w:r>
        <w:rPr>
          <w:rFonts w:hint="eastAsia" w:ascii="仿宋" w:hAnsi="仿宋" w:eastAsia="仿宋" w:cs="仿宋"/>
          <w:color w:val="auto"/>
          <w:sz w:val="28"/>
          <w:szCs w:val="28"/>
          <w:highlight w:val="none"/>
        </w:rPr>
        <w:t xml:space="preserve">对采购过程提出质疑的，为各采购程序环节结束之日。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29.2.3</w:t>
      </w:r>
      <w:r>
        <w:rPr>
          <w:rFonts w:hint="eastAsia" w:ascii="仿宋" w:hAnsi="仿宋" w:eastAsia="仿宋" w:cs="仿宋"/>
          <w:color w:val="auto"/>
          <w:sz w:val="28"/>
          <w:szCs w:val="28"/>
          <w:highlight w:val="none"/>
        </w:rPr>
        <w:t xml:space="preserve">对成交结果提出质疑的，为成交结果公告期限届满之日。</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rPr>
        <w:t xml:space="preserve">采购人或采购代理机构</w:t>
      </w:r>
      <w:r>
        <w:rPr>
          <w:rFonts w:hint="eastAsia" w:ascii="仿宋" w:hAnsi="仿宋" w:eastAsia="仿宋" w:cs="仿宋"/>
          <w:color w:val="auto"/>
          <w:sz w:val="28"/>
          <w:szCs w:val="28"/>
          <w:highlight w:val="none"/>
        </w:rPr>
        <w:t xml:space="preserve">将只对供应商第一次质疑作出答复。</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29.4 供应商（含潜在供应商）对采购方式、采购需求、供应商资格条件、评审方法与评审标准、合同文本的询问、质疑请向采购人提出，由采购人负责答复。关于评审方面的质疑，采购人可以组织原评审委员会协助答复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采购人或采购代理机构只接收以纸质原件形式送达的质疑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建议供应商尽量通过邮寄方式提交质疑（采购人或采购代理机构不接受未填写快递运单的快件）。</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采购人及采购代理机构质疑接收人及联系方式见本采购文件第一章。</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29.5以下情形的质疑不予受理</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29.5.1内容不符合《政府采购质疑和投诉办法》第十二条规定的质疑。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29.5.2超出政府采购法定期限的质疑。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29.5.3以传真、电子邮件等方式递交的非原件形式的质疑。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29.5.4未参加谈判活动的供应商或在谈判活动中自身权益未受到损害的供应商所提出的质疑。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29.5.5供应商组成联合体参加谈判，联合体中任何一方或多方未按要求签字、盖章、加盖公章的质疑。</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keepLines/>
        <w:keepNext/>
        <w:pageBreakBefore w:val="0"/>
        <w:spacing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30.成交通知书</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30.1成交结果确定后，采购人将向成交供应商发出成交通知书。请成交供应商在成交结果公告届满之日起30日内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bookmarkStart w:id="151" w:name="_Toc120614220"/>
      <w:r/>
      <w:bookmarkStart w:id="152" w:name="_Toc513029236"/>
      <w:r/>
      <w:bookmarkStart w:id="153" w:name="_Toc16938552"/>
      <w:r/>
      <w:bookmarkStart w:id="154" w:name="_Toc20823308"/>
      <w:r/>
      <w:r/>
    </w:p>
    <w:p>
      <w:pPr>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七、授予合同</w:t>
      </w:r>
      <w:bookmarkEnd w:id="151"/>
      <w:r/>
      <w:bookmarkEnd w:id="152"/>
      <w:bookmarkEnd w:id="153"/>
      <w:bookmarkEnd w:id="154"/>
      <w:r/>
    </w:p>
    <w:p>
      <w:pPr>
        <w:ind w:firstLine="560"/>
        <w:keepLines/>
        <w:keepNext/>
        <w:pageBreakBefore w:val="0"/>
        <w:spacing w:line="360" w:lineRule="auto"/>
        <w:widowControl w:val="off"/>
        <w:rPr>
          <w:rFonts w:hint="eastAsia" w:ascii="仿宋" w:hAnsi="仿宋" w:eastAsia="仿宋" w:cs="仿宋"/>
          <w:bCs/>
          <w:color w:val="auto"/>
          <w:sz w:val="28"/>
          <w:szCs w:val="28"/>
          <w:highlight w:val="none"/>
        </w:rPr>
        <w:outlineLvl w:val="3"/>
      </w:pPr>
      <w:r/>
      <w:bookmarkStart w:id="155" w:name="_Toc16938553"/>
      <w:r/>
      <w:bookmarkStart w:id="156" w:name="_Toc20823309"/>
      <w:r/>
      <w:bookmarkStart w:id="157" w:name="_Toc513029237"/>
      <w:r>
        <w:rPr>
          <w:rFonts w:hint="eastAsia" w:ascii="仿宋" w:hAnsi="仿宋" w:eastAsia="仿宋" w:cs="仿宋"/>
          <w:bCs/>
          <w:color w:val="auto"/>
          <w:sz w:val="28"/>
          <w:szCs w:val="28"/>
          <w:highlight w:val="none"/>
        </w:rPr>
        <w:t xml:space="preserve">31.签订合同</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31</w:t>
      </w:r>
      <w:r>
        <w:rPr>
          <w:rFonts w:hint="eastAsia" w:ascii="仿宋" w:hAnsi="仿宋" w:eastAsia="仿宋" w:cs="仿宋"/>
          <w:color w:val="auto"/>
          <w:sz w:val="28"/>
          <w:szCs w:val="28"/>
          <w:highlight w:val="none"/>
        </w:rPr>
        <w:t xml:space="preserve">.l成交供应商应当在成交通知书发出之日起三十日内，按照谈判文件确定的事项与采购人签订政府采购合同。</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31.2谈判文件、成交供应商的响应文件及谈判过程中有关澄清、承诺文件均应作为合同附件。</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31.3签订合同后，</w:t>
      </w:r>
      <w:r>
        <w:rPr>
          <w:rFonts w:hint="eastAsia" w:ascii="仿宋" w:hAnsi="仿宋" w:eastAsia="仿宋" w:cs="仿宋"/>
          <w:b/>
          <w:color w:val="auto"/>
          <w:sz w:val="28"/>
          <w:szCs w:val="28"/>
          <w:highlight w:val="none"/>
          <w:u w:val="single"/>
        </w:rPr>
        <w:t xml:space="preserve">成交供应商不得将合同标的进行转包</w:t>
      </w:r>
      <w:r>
        <w:rPr>
          <w:rFonts w:hint="eastAsia" w:ascii="仿宋" w:hAnsi="仿宋" w:eastAsia="仿宋" w:cs="仿宋"/>
          <w:color w:val="auto"/>
          <w:sz w:val="28"/>
          <w:szCs w:val="28"/>
          <w:highlight w:val="none"/>
        </w:rPr>
        <w:t xml:space="preserve">。未经采购人同意，成交供应商也不得采用分包形式履行合同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否则采购人有权终止合同。转包或分包造成采购人损失的，成交供应商应承担相应赔偿责任。</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（备注：项目经办人在发标前应与采购人商定是否允许成交供应商分包履行合同并在采购文件中明确，确定后该备注删除）</w:t>
      </w:r>
      <w:r/>
    </w:p>
    <w:p>
      <w:pPr>
        <w:ind w:firstLine="56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32.标的物的追加</w:t>
      </w:r>
      <w:r/>
    </w:p>
    <w:p>
      <w:pPr>
        <w:ind w:firstLine="56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5"/>
      <w:bookmarkEnd w:id="156"/>
      <w:bookmarkEnd w:id="157"/>
      <w:r/>
    </w:p>
    <w:p>
      <w:pPr>
        <w:ind w:firstLine="560"/>
        <w:keepLines/>
        <w:keepNext/>
        <w:pageBreakBefore w:val="0"/>
        <w:spacing w:line="360" w:lineRule="auto"/>
        <w:widowControl w:val="off"/>
        <w:rPr>
          <w:rFonts w:hint="eastAsia" w:ascii="仿宋" w:hAnsi="仿宋" w:eastAsia="仿宋" w:cs="仿宋"/>
          <w:bCs/>
          <w:color w:val="auto"/>
          <w:sz w:val="28"/>
          <w:szCs w:val="28"/>
          <w:highlight w:val="none"/>
        </w:rPr>
        <w:outlineLvl w:val="3"/>
      </w:pPr>
      <w:r/>
      <w:bookmarkStart w:id="158" w:name="_Toc513029242"/>
      <w:r/>
      <w:bookmarkStart w:id="159" w:name="_Toc479757207"/>
      <w:r/>
      <w:bookmarkStart w:id="160" w:name="_Toc16938558"/>
      <w:r/>
      <w:bookmarkStart w:id="161" w:name="_Toc20823314"/>
      <w:r/>
      <w:bookmarkStart w:id="162" w:name="_Toc120614221"/>
      <w:r>
        <w:rPr>
          <w:rFonts w:hint="eastAsia" w:ascii="仿宋" w:hAnsi="仿宋" w:eastAsia="仿宋" w:cs="仿宋"/>
          <w:bCs/>
          <w:color w:val="auto"/>
          <w:sz w:val="28"/>
          <w:szCs w:val="28"/>
          <w:highlight w:val="none"/>
        </w:rPr>
        <w:t xml:space="preserve">33.政府采购履约资金扶持政策</w:t>
      </w:r>
      <w:r/>
    </w:p>
    <w:p>
      <w:pPr>
        <w:ind w:firstLine="56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8"/>
          <w:szCs w:val="28"/>
          <w:highlight w:val="none"/>
        </w:rPr>
        <w:t xml:space="preserve">成交供应商可凭政府采购合同办理融资贷款，详情请见江苏政府采购网“政采贷”专栏。</w:t>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6"/>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bookmarkEnd w:id="158"/>
      <w:bookmarkEnd w:id="159"/>
      <w:bookmarkEnd w:id="160"/>
      <w:bookmarkEnd w:id="161"/>
      <w:bookmarkEnd w:id="162"/>
      <w:r/>
    </w:p>
    <w:p>
      <w:pPr>
        <w:rPr>
          <w:rFonts w:hint="eastAsia" w:ascii="仿宋" w:hAnsi="仿宋" w:eastAsia="仿宋" w:cs="仿宋"/>
          <w:b/>
          <w:bCs w:val="0"/>
          <w:color w:val="auto"/>
          <w:sz w:val="44"/>
          <w:szCs w:val="21"/>
          <w:highlight w:val="none"/>
        </w:rPr>
      </w:pPr>
      <w:r/>
      <w:bookmarkStart w:id="163" w:name="_Toc26554093"/>
      <w:r/>
      <w:bookmarkStart w:id="164" w:name="_Toc49090575"/>
      <w:r/>
      <w:bookmarkStart w:id="165" w:name="_Toc479757211"/>
      <w:r/>
      <w:bookmarkStart w:id="166" w:name="_Toc462564139"/>
      <w:r>
        <w:rPr>
          <w:rFonts w:hint="eastAsia" w:ascii="仿宋" w:hAnsi="仿宋" w:eastAsia="仿宋" w:cs="仿宋"/>
          <w:b/>
          <w:bCs w:val="0"/>
          <w:color w:val="auto"/>
          <w:sz w:val="44"/>
          <w:szCs w:val="21"/>
          <w:highlight w:val="none"/>
        </w:rPr>
        <w:br w:type="page" w:clear="all"/>
      </w:r>
      <w:r/>
    </w:p>
    <w:p>
      <w:pPr>
        <w:jc w:val="center"/>
        <w:spacing w:line="360" w:lineRule="auto"/>
        <w:rPr>
          <w:rFonts w:hint="eastAsia" w:ascii="仿宋" w:hAnsi="仿宋" w:eastAsia="仿宋" w:cs="仿宋"/>
          <w:bCs/>
          <w:color w:val="auto"/>
          <w:sz w:val="44"/>
          <w:szCs w:val="21"/>
          <w:highlight w:val="none"/>
        </w:rPr>
      </w:pPr>
      <w:r>
        <w:rPr>
          <w:rFonts w:hint="eastAsia" w:ascii="仿宋" w:hAnsi="仿宋" w:eastAsia="仿宋" w:cs="仿宋"/>
          <w:b/>
          <w:bCs w:val="0"/>
          <w:color w:val="auto"/>
          <w:sz w:val="44"/>
          <w:szCs w:val="21"/>
          <w:highlight w:val="none"/>
        </w:rPr>
        <w:t xml:space="preserve">第三章 采购需求</w:t>
      </w:r>
      <w:r/>
    </w:p>
    <w:p>
      <w:pPr>
        <w:ind w:firstLine="56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项目属性：</w:t>
      </w:r>
      <w:r>
        <w:rPr>
          <w:rFonts w:hint="eastAsia" w:ascii="仿宋" w:hAnsi="仿宋" w:eastAsia="仿宋" w:cs="仿宋"/>
          <w:b/>
          <w:bCs/>
          <w:color w:val="auto"/>
          <w:sz w:val="28"/>
          <w:szCs w:val="28"/>
          <w:highlight w:val="none"/>
          <w:lang w:val="en-US" w:eastAsia="zh-CN"/>
        </w:rPr>
        <w:t xml:space="preserve">服务类</w:t>
      </w:r>
      <w:r>
        <w:rPr>
          <w:rFonts w:hint="eastAsia" w:ascii="仿宋" w:hAnsi="仿宋" w:eastAsia="仿宋" w:cs="仿宋"/>
          <w:b/>
          <w:bCs/>
          <w:color w:val="auto"/>
          <w:sz w:val="28"/>
          <w:szCs w:val="28"/>
          <w:highlight w:val="none"/>
        </w:rPr>
        <w:t xml:space="preserve">项目</w:t>
      </w:r>
      <w:r/>
    </w:p>
    <w:p>
      <w:pPr>
        <w:ind w:firstLine="56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采购需求包括拟采购的标的及其需要满足的技术、商务要求。</w:t>
      </w:r>
      <w:r/>
    </w:p>
    <w:p>
      <w:pPr>
        <w:ind w:firstLine="56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（一）</w:t>
      </w:r>
      <w:r>
        <w:rPr>
          <w:rFonts w:hint="eastAsia" w:ascii="仿宋" w:hAnsi="仿宋" w:eastAsia="仿宋" w:cs="仿宋"/>
          <w:b/>
          <w:bCs/>
          <w:color w:val="auto"/>
          <w:sz w:val="28"/>
          <w:szCs w:val="28"/>
          <w:highlight w:val="none"/>
        </w:rPr>
        <w:t xml:space="preserve">技术要求是指对采购标的功能和质量要求，包括性能、材料、结构、外观、安全，或者服务内容和标准等。</w:t>
      </w:r>
      <w:r/>
    </w:p>
    <w:p>
      <w:pPr>
        <w:ind w:firstLine="56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其内容包含但不限于以下内容：</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一、采购标的需实现的功能或者目标，以及为落实政府采购政策需满足的要求：</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海安主城区重点区域抑尘作业服务项目</w:t>
      </w:r>
      <w:r>
        <w:rPr>
          <w:rFonts w:hint="eastAsia" w:ascii="仿宋" w:hAnsi="仿宋" w:eastAsia="仿宋" w:cs="仿宋"/>
          <w:color w:val="auto"/>
          <w:sz w:val="28"/>
          <w:szCs w:val="28"/>
          <w:highlight w:val="none"/>
        </w:rPr>
        <w:t xml:space="preserve">，贯彻落实市委市政府年度扬尘治理工作要求，提高抑尘车辆使用的制度化、规范化、标准化水平</w:t>
      </w:r>
      <w:r>
        <w:rPr>
          <w:rFonts w:hint="eastAsia" w:ascii="仿宋" w:hAnsi="仿宋" w:eastAsia="仿宋" w:cs="仿宋"/>
          <w:color w:val="auto"/>
          <w:sz w:val="28"/>
          <w:szCs w:val="28"/>
          <w:highlight w:val="none"/>
          <w:lang w:eastAsia="zh-CN"/>
        </w:rPr>
        <w:t xml:space="preserve">。</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二、采购标的需执行的国家相关标准、行业标准、地方标准或者其他标准、规范：</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按国家现行相关法律法规和行业标准执行。</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三、采购标的需满足的质量、安全、技术规格、物理特性等要求：</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符合国家现行相关法律法规和行业标准，按照规定路线</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方式</w:t>
      </w:r>
      <w:r>
        <w:rPr>
          <w:rFonts w:hint="eastAsia" w:ascii="仿宋" w:hAnsi="仿宋" w:eastAsia="仿宋" w:cs="仿宋"/>
          <w:color w:val="auto"/>
          <w:sz w:val="28"/>
          <w:szCs w:val="28"/>
          <w:highlight w:val="none"/>
        </w:rPr>
        <w:t xml:space="preserve">进行降尘抑尘作业的服务。</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四、采购标的的数量、采购项目交付或者实施的时间和地点： </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.1标的数量等：</w:t>
      </w:r>
      <w:r/>
    </w:p>
    <w:p>
      <w:pPr>
        <w:ind w:firstLine="84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为保障主城区重点区域抑尘工作，需配备相应的车辆开展抑尘作业服务。</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4.11服务路段：</w:t>
      </w:r>
      <w:r/>
    </w:p>
    <w:p>
      <w:pPr>
        <w:ind w:firstLine="560"/>
        <w:keepLines w:val="0"/>
        <w:keepNext w:val="0"/>
        <w:pageBreakBefore w:val="0"/>
        <w:spacing w:line="360" w:lineRule="auto"/>
        <w:widowControl w:val="off"/>
        <w:rPr>
          <w:rFonts w:hint="default"/>
          <w:highlight w:val="none"/>
          <w:lang w:val="en-US" w:eastAsia="zh-CN"/>
        </w:rPr>
      </w:pPr>
      <w:r>
        <w:rPr>
          <w:rFonts w:hint="eastAsia" w:ascii="仿宋" w:hAnsi="仿宋" w:eastAsia="仿宋" w:cs="仿宋"/>
          <w:color w:val="auto"/>
          <w:sz w:val="28"/>
          <w:szCs w:val="28"/>
          <w:highlight w:val="none"/>
          <w:lang w:val="en-US" w:eastAsia="zh-CN"/>
        </w:rPr>
        <w:t xml:space="preserve">成交供应商在主城区共6条线路（总里程数约44千米）内同步巡回实施抑尘作业，具体路线由采购人指定并可适时调整，每条线路内应各申请不少于一个加水点。成交供应商不得擅自改变作业路线，如有道路改造等特殊情况应无条件服从采购人作业线路调整决定且服务费用不会因此调整。</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4.12作业、人员等要求如下：</w:t>
      </w:r>
      <w:r/>
    </w:p>
    <w:p>
      <w:pPr>
        <w:ind w:firstLine="56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作业要求：①每天上下午沿采购人指定的6条线路各同步完成两次全路段抑尘洒水作业，作业时速不超过15千米/时，作业时应避开上下班高峰期，具体作业时间应服从采购人安排；②雨雪冰冻等恶劣天气向采购人报备后方可停止作业；③污染天气须随时响应服从采购人指令要求，同步开启雾炮及洒水</w:t>
      </w:r>
      <w:r>
        <w:rPr>
          <w:rFonts w:hint="eastAsia" w:ascii="仿宋" w:hAnsi="仿宋" w:eastAsia="仿宋" w:cs="仿宋"/>
          <w:b w:val="0"/>
          <w:bCs w:val="0"/>
          <w:color w:val="auto"/>
          <w:sz w:val="28"/>
          <w:szCs w:val="28"/>
          <w:highlight w:val="none"/>
          <w:lang w:val="en-US" w:eastAsia="zh-CN"/>
        </w:rPr>
        <w:t xml:space="preserve">。</w:t>
      </w:r>
      <w:r/>
    </w:p>
    <w:p>
      <w:pPr>
        <w:ind w:firstLine="56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2、作业天数：310天/年，6条线路每完成1次全路段抑尘作业计0.25天。</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3、人员要求:每辆车须配备一名具有相应驾驶证且经过培训熟悉要求的人员。</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4.13运行车辆最低要求清单：</w:t>
      </w:r>
      <w:r/>
    </w:p>
    <w:tbl>
      <w:tblPr>
        <w:tblStyle w:val="783"/>
        <w:tblW w:w="91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1350"/>
        <w:gridCol w:w="2205"/>
        <w:gridCol w:w="855"/>
        <w:gridCol w:w="3892"/>
      </w:tblGrid>
      <w:tr>
        <w:trPr>
          <w:trHeight w:val="1088"/>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20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89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参数要求</w:t>
            </w:r>
            <w:r/>
          </w:p>
        </w:tc>
      </w:tr>
      <w:tr>
        <w:trPr>
          <w:trHeight w:val="1635"/>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bookmarkStart w:id="167" w:name="_Hlk146202361"/>
            <w:r>
              <w:rPr>
                <w:rFonts w:hint="eastAsia" w:ascii="仿宋" w:hAnsi="仿宋" w:eastAsia="仿宋" w:cs="仿宋"/>
                <w:bCs/>
                <w:sz w:val="28"/>
                <w:szCs w:val="28"/>
                <w:highlight w:val="none"/>
                <w:lang w:val="en-US" w:eastAsia="zh-CN" w:bidi="ar"/>
              </w:rPr>
              <w:t xml:space="preserve">1</w:t>
            </w:r>
            <w:bookmarkEnd w:id="167"/>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多功能抑尘雾炮车</w:t>
            </w:r>
            <w:r/>
          </w:p>
        </w:tc>
        <w:tc>
          <w:tcPr>
            <w:shd w:val="clear" w:color="auto" w:fill="auto"/>
            <w:tcBorders>
              <w:top w:val="single" w:color="auto" w:sz="4" w:space="0"/>
              <w:left w:val="single" w:color="auto" w:sz="4" w:space="0"/>
              <w:bottom w:val="single" w:color="auto" w:sz="4" w:space="0"/>
              <w:right w:val="single" w:color="auto" w:sz="4" w:space="0"/>
            </w:tcBorders>
            <w:tcW w:w="2205" w:type="dxa"/>
            <w:vAlign w:val="center"/>
            <w:textDirection w:val="lrTb"/>
            <w:noWrap/>
          </w:tcPr>
          <w:p>
            <w:pPr>
              <w:ind w:left="0" w:right="0"/>
              <w:jc w:val="center"/>
              <w:keepLines w:val="0"/>
              <w:keepNext w:val="0"/>
              <w:spacing w:before="0" w:beforeAutospacing="0" w:after="0" w:afterAutospacing="0" w:line="360" w:lineRule="auto"/>
              <w:widowControl w:val="off"/>
              <w:rPr>
                <w:rFonts w:hint="default" w:ascii="仿宋" w:hAnsi="仿宋" w:eastAsia="仿宋" w:cs="仿宋"/>
                <w:bCs/>
                <w:sz w:val="28"/>
                <w:szCs w:val="28"/>
                <w:highlight w:val="none"/>
                <w:lang w:val="en-US"/>
              </w:rPr>
              <w:suppressLineNumbers w:val="0"/>
            </w:pPr>
            <w:r>
              <w:rPr>
                <w:rFonts w:hint="eastAsia" w:ascii="仿宋" w:hAnsi="仿宋" w:eastAsia="仿宋" w:cs="仿宋"/>
                <w:bCs/>
                <w:sz w:val="28"/>
                <w:szCs w:val="28"/>
                <w:highlight w:val="none"/>
                <w:lang w:val="en-US" w:eastAsia="zh-CN" w:bidi="ar"/>
              </w:rPr>
              <w:t xml:space="preserve">满足6条线路同时抑尘作业需求</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bCs/>
                <w:sz w:val="28"/>
                <w:szCs w:val="28"/>
                <w:highlight w:val="none"/>
                <w:lang w:val="en-US" w:eastAsia="zh-CN" w:bidi="ar"/>
              </w:rPr>
              <w:t xml:space="preserve">辆</w:t>
            </w:r>
            <w:r/>
          </w:p>
        </w:tc>
        <w:tc>
          <w:tcPr>
            <w:shd w:val="clear" w:color="auto" w:fill="auto"/>
            <w:tcBorders>
              <w:top w:val="single" w:color="auto" w:sz="4" w:space="0"/>
              <w:left w:val="single" w:color="auto" w:sz="4" w:space="0"/>
              <w:bottom w:val="single" w:color="auto" w:sz="4" w:space="0"/>
              <w:right w:val="single" w:color="auto" w:sz="4" w:space="0"/>
            </w:tcBorders>
            <w:tcW w:w="3892"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仿宋" w:hAnsi="仿宋" w:eastAsia="仿宋" w:cs="仿宋"/>
                <w:bCs/>
                <w:sz w:val="28"/>
                <w:szCs w:val="28"/>
                <w:highlight w:val="none"/>
              </w:rPr>
              <w:suppressLineNumbers w:val="0"/>
            </w:pPr>
            <w:r>
              <w:rPr>
                <w:rFonts w:hint="eastAsia" w:ascii="仿宋" w:hAnsi="仿宋" w:eastAsia="仿宋" w:cs="仿宋"/>
                <w:sz w:val="28"/>
                <w:szCs w:val="28"/>
                <w:highlight w:val="none"/>
                <w:lang w:val="en-US" w:eastAsia="zh-CN" w:bidi="ar"/>
              </w:rPr>
              <w:t xml:space="preserve">总质量≥18吨，雾炮水平射程：≥100米，垂直射程≥40米；水箱容积不低于8立方米‌</w:t>
            </w:r>
            <w:r/>
          </w:p>
        </w:tc>
      </w:tr>
    </w:tbl>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1、此为本项目最低配置要求，供应商在响应时不能降低或减少配置方式及配置数量。供应商可以根据自身情况增加配置。</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2、车辆符合安全国家标准，取得机动车检验合格证明，并已经在公安机关交通管理部门办理注册登记，保险及年检均合法有效。</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3、车辆设备专用原则：响应单位必须按照采购文件要求配备相关车辆设备，且承诺投入车辆设备均为本项目专用，不得用于其他标段或其他项目。</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车辆外观要求标识统一，成交后所有车辆须配备监控（安装不少于2个摄像头，实时监控雾炮和洒水作业）或北斗定位导航等装置，并接入智慧环卫系统。车辆配备干粉灭火器、急救箱等安全设备，安全设备应当放置在便于取用的位置，并确保性能良好、有效适用，相关费用包含于响应报价内。（注：视频数据可以实时查看，定位数据实时上传，本地存储不得少于15天）</w:t>
      </w:r>
      <w:r/>
    </w:p>
    <w:p>
      <w:pPr>
        <w:pStyle w:val="886"/>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5、合同履行期间，成交单位应做好车辆（设备）的日常维护保养工作，确保车辆符合正常作业要求，安全性能达标</w:t>
      </w:r>
      <w:r>
        <w:rPr>
          <w:rFonts w:hint="eastAsia" w:ascii="仿宋" w:hAnsi="仿宋" w:eastAsia="仿宋" w:cs="仿宋"/>
          <w:color w:val="auto"/>
          <w:sz w:val="28"/>
          <w:szCs w:val="28"/>
          <w:highlight w:val="none"/>
          <w:lang w:val="en-US" w:eastAsia="zh-CN" w:bidi="ar-SA"/>
        </w:rPr>
        <w:t xml:space="preserve">。如车辆出现故障须及时送修，一般维修时间期限不得超过3天，大修期限不超过一个月，车辆维修期间需有同等规格的作业车辆替换使用，保证6条线路同时正常抑尘作业。</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若响应人投入本项目的现自有或已租赁专用车辆不能满足采购文件要求的，应在进场核验前将承诺配置（购买或租赁均可）的车辆配备到位，否则，无论采购人是否同意承包人进场服务，承包人均应按照采购人进场核验报告中明确的限期整改期限，将车辆配备到位，并支付违约金。整改期限届满，如仍未配备到位，采购人有权解除合同。</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val="en-US" w:eastAsia="zh-CN"/>
        </w:rPr>
        <w:t xml:space="preserve">服务时间</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一年</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自2026年10月1日至2027年9月30日止</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4.3服务地点：</w:t>
      </w:r>
      <w:r>
        <w:rPr>
          <w:rFonts w:hint="eastAsia" w:ascii="仿宋" w:hAnsi="仿宋" w:eastAsia="仿宋" w:cs="仿宋"/>
          <w:color w:val="auto"/>
          <w:sz w:val="28"/>
          <w:szCs w:val="28"/>
          <w:highlight w:val="none"/>
          <w:lang w:val="en-US" w:eastAsia="zh-CN"/>
        </w:rPr>
        <w:t xml:space="preserve">采购人指定地点</w:t>
      </w:r>
      <w:r>
        <w:rPr>
          <w:rFonts w:hint="eastAsia" w:ascii="仿宋" w:hAnsi="仿宋" w:eastAsia="仿宋" w:cs="仿宋"/>
          <w:color w:val="auto"/>
          <w:sz w:val="28"/>
          <w:szCs w:val="28"/>
          <w:highlight w:val="none"/>
        </w:rPr>
        <w:t xml:space="preserve">。</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五、采购标的需满足的服务标准、期限、效率等要求： </w:t>
      </w:r>
      <w:r/>
    </w:p>
    <w:p>
      <w:pPr>
        <w:pStyle w:val="889"/>
        <w:numPr>
          <w:ilvl w:val="0"/>
          <w:numId w:val="0"/>
        </w:num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达到降尘抑尘作业相关要求，采购人按照《海安主城区重点区域抑尘作业服务项目考核办法》定期对成交单位进行考核</w:t>
      </w:r>
      <w:r>
        <w:rPr>
          <w:rFonts w:hint="eastAsia" w:ascii="仿宋" w:hAnsi="仿宋" w:eastAsia="仿宋" w:cs="仿宋"/>
          <w:color w:val="auto"/>
          <w:sz w:val="28"/>
          <w:szCs w:val="28"/>
          <w:highlight w:val="none"/>
        </w:rPr>
        <w:t xml:space="preserve">。</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六、采购标的的验收标准：</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在项目履行期限内，应严格执行《海安主城区重点区域抑尘作业服务项目考核办法》等相关规定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采购人实行考核，具体要求如下：</w:t>
      </w:r>
      <w:r/>
    </w:p>
    <w:tbl>
      <w:tblPr>
        <w:tblStyle w:val="783"/>
        <w:tblW w:w="910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1"/>
        <w:gridCol w:w="4590"/>
        <w:gridCol w:w="3535"/>
      </w:tblGrid>
      <w:tr>
        <w:trPr>
          <w:trHeight w:val="714"/>
        </w:trPr>
        <w:tc>
          <w:tcPr>
            <w:gridSpan w:val="3"/>
            <w:shd w:val="clear" w:color="auto" w:fill="auto"/>
            <w:tcBorders>
              <w:top w:val="none" w:color="000000" w:sz="4" w:space="0"/>
              <w:left w:val="none" w:color="000000" w:sz="4" w:space="0"/>
              <w:bottom w:val="none" w:color="000000" w:sz="4" w:space="0"/>
              <w:right w:val="none" w:color="000000" w:sz="4" w:space="0"/>
            </w:tcBorders>
            <w:tcW w:w="9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海安主城区重点区域抑尘作业服务项目考核办法</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扣款标准</w:t>
            </w:r>
            <w:r/>
          </w:p>
        </w:tc>
      </w:tr>
      <w:tr>
        <w:trPr>
          <w:trHeight w:val="2414"/>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作业车辆人员配备</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（1）配置满足6条线路同时抑尘作业需求</w:t>
            </w:r>
            <w:r>
              <w:rPr>
                <w:rFonts w:hint="eastAsia" w:ascii="宋体" w:hAnsi="宋体" w:cs="宋体"/>
                <w:i w:val="0"/>
                <w:iCs w:val="0"/>
                <w:color w:val="000000"/>
                <w:sz w:val="20"/>
                <w:szCs w:val="20"/>
                <w:highlight w:val="none"/>
                <w:u w:val="none"/>
                <w:lang w:val="en-US" w:eastAsia="zh-CN" w:bidi="ar"/>
              </w:rPr>
              <w:t xml:space="preserve">的多功能抑尘雾炮车</w:t>
            </w:r>
            <w:r>
              <w:rPr>
                <w:rFonts w:hint="eastAsia" w:ascii="宋体" w:hAnsi="宋体" w:eastAsia="宋体" w:cs="宋体"/>
                <w:i w:val="0"/>
                <w:iCs w:val="0"/>
                <w:color w:val="000000"/>
                <w:sz w:val="20"/>
                <w:szCs w:val="20"/>
                <w:highlight w:val="none"/>
                <w:u w:val="none"/>
                <w:lang w:val="en-US" w:eastAsia="zh-CN" w:bidi="ar"/>
              </w:rPr>
              <w:t xml:space="preserve">。驾驶员持有效驾驶证，培训合格后上岗。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（2）建立车辆常态化维修保养台账（备查），定期对雾炮机组、水泵、罐体、喷淋装置等开展检修。保持车辆外观整洁，车身标识清晰完整，水箱无渗漏，雾炮喷头通畅无堵塞。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（3）故障车辆及时维修，一般维修时限不得超过48小时。超过一个月，维修期间应有同等数量、同等规格性能的备用车辆替换作业。</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（1）合同起始日，作业车辆和人员未按要求配备到位的，采购人有权解除合同。驾驶员未经培训合格上岗的，扣5000元/人次。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（2）未建立车辆维修保养台账，扣5000元/辆；台账记录缺项、无检修记录，扣500元/辆；车身标识残缺、车身脏污、喷头堵塞等未能有效作业的，扣1000元/台次。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（3）车辆故障未报备擅自停运，扣1000元/台次；超过 24 小时未完成维修又无备用车辆顶岗，扣10000元/台次。</w:t>
            </w:r>
            <w:r/>
          </w:p>
        </w:tc>
      </w:tr>
      <w:tr>
        <w:trPr>
          <w:trHeight w:val="2174"/>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（1）所有作业车辆在合同起始日前须安装车载定位和视频监控终端，并与智慧环卫平台对接，作业时实时上传相关数据。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（2）车载定位用采用北斗系列；车载视频监控应不少于2个，分别清晰记录洒水、雾炮作业实时画面，视频保存本地存储时长不少于</w:t>
            </w:r>
            <w:r>
              <w:rPr>
                <w:rFonts w:hint="eastAsia" w:ascii="宋体" w:hAnsi="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t xml:space="preserve">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（3）作业单位每日自查定位、视频设备运行状态，发现故障立即报修，同步向主管部门报备故障时段，留存维修单据。</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（1）未按期安装车载终端并与智慧环卫联网的，扣1000元/天.台次。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（2）车载终端故障未及时报备的，扣500元/天.台次。车载终端未在3日内完成维修的，延期日扣200元/天；车载终端不符合要求的，限期整改，并扣2000元/天.台次。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（3）经查实，人为关闭、屏蔽终端的，扣2000元/天.台次。</w:t>
            </w:r>
            <w:r/>
          </w:p>
        </w:tc>
      </w:tr>
      <w:tr>
        <w:trPr>
          <w:trHeight w:val="1212"/>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作业开展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严格执行常态化抑尘作业计划，落实既定作业班次、出车趟次。如因降雨、低温（气温低于 4℃）等客观天气条件需要降频、暂停作业，必须</w:t>
            </w:r>
            <w:r>
              <w:rPr>
                <w:rFonts w:hint="eastAsia" w:ascii="宋体" w:hAnsi="宋体" w:cs="宋体"/>
                <w:i w:val="0"/>
                <w:iCs w:val="0"/>
                <w:color w:val="000000"/>
                <w:sz w:val="20"/>
                <w:szCs w:val="20"/>
                <w:highlight w:val="none"/>
                <w:u w:val="none"/>
                <w:lang w:val="en-US" w:eastAsia="zh-CN" w:bidi="ar"/>
              </w:rPr>
              <w:t xml:space="preserve">在规定的作业开始时间前及时</w:t>
            </w:r>
            <w:r>
              <w:rPr>
                <w:rFonts w:hint="eastAsia" w:ascii="宋体" w:hAnsi="宋体" w:eastAsia="宋体" w:cs="宋体"/>
                <w:i w:val="0"/>
                <w:iCs w:val="0"/>
                <w:color w:val="000000"/>
                <w:sz w:val="20"/>
                <w:szCs w:val="20"/>
                <w:highlight w:val="none"/>
                <w:u w:val="none"/>
                <w:lang w:val="en-US" w:eastAsia="zh-CN" w:bidi="ar"/>
              </w:rPr>
              <w:t xml:space="preserve">向管控部门线上报备，经审批后方可调整作业计划，不得擅自减少出车班次、缩短作业时长。</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（1）无审批擅自减少每日作业趟次、缩短作业时长，扣1000元/台次。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（2）天气条件符合作业要求，未报备擅自全天停运雾炮车辆，扣2000元/台次；当月存在此类问题超过2次的，另外加扣1000元。</w:t>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接到采购人增加作业频次指令后，作业单位必须立即启动应急方案，按采购人要求的路段、时间、方式开展增频作业。</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（1）收到增频指令后，未按要求的路段、时间、作业方式开展作业的，2000元/台次。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（2）拒不执行增频指令，扣10000元/次。</w:t>
            </w:r>
            <w:r/>
          </w:p>
        </w:tc>
      </w:tr>
      <w:tr>
        <w:trPr>
          <w:trHeight w:val="2655"/>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（1）严格按照</w:t>
            </w:r>
            <w:r>
              <w:rPr>
                <w:rFonts w:hint="eastAsia" w:ascii="宋体" w:hAnsi="宋体" w:cs="宋体"/>
                <w:i w:val="0"/>
                <w:iCs w:val="0"/>
                <w:color w:val="000000"/>
                <w:sz w:val="20"/>
                <w:szCs w:val="20"/>
                <w:highlight w:val="none"/>
                <w:u w:val="none"/>
                <w:lang w:val="en-US" w:eastAsia="zh-CN" w:bidi="ar"/>
              </w:rPr>
              <w:t xml:space="preserve">指</w:t>
            </w:r>
            <w:r>
              <w:rPr>
                <w:rFonts w:hint="eastAsia" w:ascii="宋体" w:hAnsi="宋体" w:eastAsia="宋体" w:cs="宋体"/>
                <w:i w:val="0"/>
                <w:iCs w:val="0"/>
                <w:color w:val="000000"/>
                <w:sz w:val="20"/>
                <w:szCs w:val="20"/>
                <w:highlight w:val="none"/>
                <w:u w:val="none"/>
                <w:lang w:val="en-US" w:eastAsia="zh-CN" w:bidi="ar"/>
              </w:rPr>
              <w:t xml:space="preserve">定路线、规定时段开展作业，不得擅自更改作业路段、规避重点区域；作业车速控制在15千米/时以</w:t>
            </w:r>
            <w:r>
              <w:rPr>
                <w:rStyle w:val="892"/>
                <w:highlight w:val="none"/>
                <w:lang w:val="en-US" w:eastAsia="zh-CN" w:bidi="ar"/>
              </w:rPr>
              <w:t xml:space="preserve">内，匀速低速喷淋。</w:t>
            </w:r>
            <w:r>
              <w:rPr>
                <w:rStyle w:val="892"/>
                <w:highlight w:val="none"/>
                <w:lang w:val="en-US" w:eastAsia="zh-CN" w:bidi="ar"/>
              </w:rPr>
              <w:br/>
            </w:r>
            <w:r>
              <w:rPr>
                <w:rStyle w:val="892"/>
                <w:highlight w:val="none"/>
                <w:lang w:val="en-US" w:eastAsia="zh-CN" w:bidi="ar"/>
              </w:rPr>
              <w:t xml:space="preserve">（2）合理调整雾炮喷射角度、水压，严禁直喷沿街商铺、居民楼栋窗户。</w:t>
            </w:r>
            <w:r>
              <w:rPr>
                <w:rStyle w:val="892"/>
                <w:rFonts w:hint="eastAsia"/>
                <w:highlight w:val="none"/>
                <w:lang w:val="en-US" w:eastAsia="zh-CN" w:bidi="ar"/>
              </w:rPr>
              <w:t xml:space="preserve">特殊</w:t>
            </w:r>
            <w:r>
              <w:rPr>
                <w:rStyle w:val="892"/>
                <w:highlight w:val="none"/>
                <w:lang w:val="en-US" w:eastAsia="zh-CN" w:bidi="ar"/>
              </w:rPr>
              <w:t xml:space="preserve">路段内仅洒水，严禁开启</w:t>
            </w:r>
            <w:r>
              <w:rPr>
                <w:rStyle w:val="892"/>
                <w:rFonts w:hint="eastAsia"/>
                <w:highlight w:val="none"/>
                <w:lang w:val="en-US" w:eastAsia="zh-CN" w:bidi="ar"/>
              </w:rPr>
              <w:t xml:space="preserve">雾炮</w:t>
            </w:r>
            <w:r>
              <w:rPr>
                <w:rStyle w:val="892"/>
                <w:highlight w:val="none"/>
                <w:lang w:val="en-US" w:eastAsia="zh-CN" w:bidi="ar"/>
              </w:rPr>
              <w:t xml:space="preserve">。</w:t>
            </w:r>
            <w:r>
              <w:rPr>
                <w:rStyle w:val="892"/>
                <w:highlight w:val="none"/>
                <w:lang w:val="en-US" w:eastAsia="zh-CN" w:bidi="ar"/>
              </w:rPr>
              <w:br/>
            </w:r>
            <w:r>
              <w:rPr>
                <w:rStyle w:val="892"/>
                <w:highlight w:val="none"/>
                <w:lang w:val="en-US" w:eastAsia="zh-CN" w:bidi="ar"/>
              </w:rPr>
              <w:t xml:space="preserve">（3）雨天、路面积水时暂停作业；冬季气温低于 4℃全面暂停作业，防止路面结冰；作业时水箱保持足量清水，不得空车 “跑趟”弄虚作假。</w:t>
            </w:r>
            <w:r>
              <w:rPr>
                <w:rStyle w:val="892"/>
                <w:highlight w:val="none"/>
                <w:lang w:val="en-US" w:eastAsia="zh-CN" w:bidi="ar"/>
              </w:rPr>
              <w:br/>
            </w:r>
            <w:r>
              <w:rPr>
                <w:rStyle w:val="892"/>
                <w:highlight w:val="none"/>
                <w:lang w:val="en-US" w:eastAsia="zh-CN" w:bidi="ar"/>
              </w:rPr>
              <w:t xml:space="preserve">（4）取水点位分别设置在各作业线路上。</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（1）擅自更改作业路线、绕开抑尘作业重点路段，扣 1000元/台次；车辆超速作业，扣500元/台次；空车行驶、无洒水、雾炮作业虚假出车，扣5000元/台次。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（2）雾炮直喷临街住户、商铺引发扰民投诉，每起扣1000元；在严禁雾炮区域违规雾炮作业，扣10000元/台次。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（3）雨雪积水天气、低温结冰时段违规喷淋作业，1000元/台次；发现空车“跑趟”，扣1000元/台次。</w:t>
            </w:r>
            <w:r/>
          </w:p>
          <w:p>
            <w:pPr>
              <w:ind w:left="0" w:right="0"/>
              <w:jc w:val="left"/>
              <w:keepLines w:val="0"/>
              <w:keepNext w:val="0"/>
              <w:spacing w:before="0" w:beforeAutospacing="0" w:after="0" w:afterAutospacing="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（4）在非作业线路取水的，扣500元/台次</w:t>
            </w:r>
            <w:r>
              <w:rPr>
                <w:rFonts w:hint="eastAsia" w:ascii="宋体" w:hAnsi="宋体" w:cs="宋体"/>
                <w:i w:val="0"/>
                <w:iCs w:val="0"/>
                <w:color w:val="000000"/>
                <w:sz w:val="20"/>
                <w:szCs w:val="20"/>
                <w:highlight w:val="none"/>
                <w:u w:val="none"/>
                <w:lang w:val="en-US" w:eastAsia="zh-CN" w:bidi="ar"/>
              </w:rPr>
              <w:t xml:space="preserve">。</w:t>
            </w:r>
            <w:r/>
          </w:p>
        </w:tc>
      </w:tr>
      <w:tr>
        <w:trPr>
          <w:trHeight w:val="1933"/>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（1）车辆严格遵守道路交通法规，避开早晚交通高峰主干道作业；行经人行横道、学校、菜场等人流密集区域主动停车或减速避让行人，不得向行人、非机动车喷射水雾，不得溅起泥水污染行人与非机动车。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（2）在作业过程中，要增强安全意识，做到安全驾驶，灵活处理作业过程中出现的问题，避免发生纠纷。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（3）临时停车时，车辆必须有序停靠在安全地段，同时设置安全警示标志。</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（1）交通高峰时段违规在主干道喷淋作业，扣500元/台次；泥水溅污路人、车辆引发投诉</w:t>
            </w:r>
            <w:r>
              <w:rPr>
                <w:rFonts w:hint="eastAsia" w:ascii="宋体" w:hAnsi="宋体" w:cs="宋体"/>
                <w:i w:val="0"/>
                <w:iCs w:val="0"/>
                <w:color w:val="000000"/>
                <w:sz w:val="20"/>
                <w:szCs w:val="20"/>
                <w:highlight w:val="none"/>
                <w:u w:val="none"/>
                <w:lang w:val="en-US" w:eastAsia="zh-CN" w:bidi="ar"/>
              </w:rPr>
              <w:t xml:space="preserve">（经核实</w:t>
            </w:r>
            <w:r>
              <w:rPr>
                <w:rFonts w:hint="eastAsia" w:ascii="宋体" w:hAnsi="宋体" w:eastAsia="宋体" w:cs="宋体"/>
                <w:i w:val="0"/>
                <w:iCs w:val="0"/>
                <w:color w:val="000000"/>
                <w:sz w:val="20"/>
                <w:szCs w:val="20"/>
                <w:highlight w:val="none"/>
                <w:u w:val="none"/>
                <w:lang w:val="en-US" w:eastAsia="zh-CN" w:bidi="ar"/>
              </w:rPr>
              <w:t xml:space="preserve">为有效投诉</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扣1000元/起。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（3）作业车辆占道乱停乱放或临时停车未设置安全警示标志，扣1000元/台次。</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作业管理</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（1）每日按时报送作业车辆出车台账：包含出车台次、作业路段、起止时间、作业模式、作业时长、行车轨迹等，台账内容真实可追溯。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（2）每周一下班前报送上一周抑尘作业周报，内容涵盖车辆运行数据、应急作业落实情况、设备检修情况，纸质台账加盖作业单位公章或者负责人签字，同步报送电子版资料。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（3）每月5日前报送上月各车辆作业轨迹资料</w:t>
            </w:r>
            <w:r>
              <w:rPr>
                <w:rFonts w:hint="eastAsia" w:ascii="宋体" w:hAnsi="宋体" w:cs="宋体"/>
                <w:i w:val="0"/>
                <w:iCs w:val="0"/>
                <w:color w:val="000000"/>
                <w:sz w:val="20"/>
                <w:szCs w:val="20"/>
                <w:highlight w:val="none"/>
                <w:u w:val="none"/>
                <w:lang w:val="en-US" w:eastAsia="zh-CN" w:bidi="ar"/>
              </w:rPr>
              <w:t xml:space="preserve">和随机抽查车辆的部分视频资料</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）所有台账分类归档，按月装订成册，留存备查，台账数据不得篡改、补填、造假。</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（1）未按时报送日报，扣200元/次。报送内容不全的，扣200元/次。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（2）未按时报送周报、月报，扣500元/次。报送内容不全的，扣500元/次。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（3）篡改作业记录弄虚作假，扣10000元/次。</w:t>
            </w:r>
            <w:r/>
          </w:p>
        </w:tc>
      </w:tr>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（1）作业单位须建立项目内部考核管理制度，明确驾驶员岗位职责、作业奖惩条款，形成常态化自查自纠机制。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（2）开展内部考核，形成车辆出勤核查、作业质量抽查记录。留存考核打分表、整改通知书、问题闭环记录。</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（1）未制定内部考核管理制度，扣5000元；无每日自查记录，无问题整改闭环资料，扣1000元/日次。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（2）未建立内部考核台账，考核台账不健全的，扣5000元/次。</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接到12345投诉、新闻媒体曝光、群众电话投诉、督查交办等抑尘作业不到位案件，须第一时间赶赴现场整改，完成处置并上传整改前后对比照片，确保案件按期闭环，处置回复内容真实有效。</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（1）案件未在规定时限处置办结，扣1000元/起；整改不到位、反复被督办，扣2000元/起。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（2）虚假整改、上传不实照片应付结案，查实后扣2000元/起。</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按采购人指令完成重大活动保障、专项扬尘管控等各项交办工作，完成情况及时反馈。</w:t>
            </w:r>
            <w:r/>
          </w:p>
        </w:tc>
        <w:tc>
          <w:tcPr>
            <w:shd w:val="clear" w:color="auto" w:fill="auto"/>
            <w:tcBorders>
              <w:top w:val="single" w:color="000000" w:sz="4" w:space="0"/>
              <w:left w:val="single" w:color="000000" w:sz="4" w:space="0"/>
              <w:bottom w:val="single" w:color="000000" w:sz="4" w:space="0"/>
              <w:right w:val="single" w:color="000000" w:sz="4" w:space="0"/>
            </w:tcBorders>
            <w:tcW w:w="353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（1）接到临时工作指令推诿拖延、车辆调配不到位，扣2000元/次；未保质保量完成专项抑尘作业，扣3000元/次。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（2）拒不服从现场调度安排，扣5000元/次。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（3）交办工作完成情况未及时反馈的，扣5000元/次。</w:t>
            </w:r>
            <w:r/>
          </w:p>
        </w:tc>
      </w:tr>
    </w:tbl>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七、采购标的的其他技术、服务等要求：</w:t>
      </w:r>
      <w:r/>
    </w:p>
    <w:p>
      <w:pPr>
        <w:pStyle w:val="886"/>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在服务过程中发生交通事故导致乘坐人员伤亡及财产损失的，由成交供应商对伤亡及损失承担全部的赔偿和事故处理责任。交通事故责任被认定涉及第三方的，由成交供应商自行向该第三方追索，但不得以此为由拖延或拒绝履行对相关人员的责任。</w:t>
      </w:r>
      <w:r/>
    </w:p>
    <w:p>
      <w:pPr>
        <w:numPr>
          <w:ilvl w:val="0"/>
          <w:numId w:val="4"/>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（1）非单一产品采购项目，采购标的中的核心产品：</w:t>
      </w:r>
      <w:r>
        <w:rPr>
          <w:rFonts w:hint="eastAsia" w:ascii="仿宋" w:hAnsi="仿宋" w:eastAsia="仿宋" w:cs="仿宋"/>
          <w:b/>
          <w:color w:val="auto"/>
          <w:sz w:val="28"/>
          <w:szCs w:val="28"/>
          <w:highlight w:val="none"/>
          <w:lang w:val="en-US" w:eastAsia="zh-CN"/>
        </w:rPr>
        <w:t xml:space="preserve">海安主城区重点区域抑尘作业服务</w:t>
      </w:r>
      <w:r/>
    </w:p>
    <w:p>
      <w:pPr>
        <w:numPr>
          <w:ilvl w:val="0"/>
          <w:numId w:val="0"/>
        </w:numPr>
        <w:ind w:firstLine="1124"/>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 xml:space="preserve">（2）本项目的主要标的：</w:t>
      </w:r>
      <w:r>
        <w:rPr>
          <w:rFonts w:hint="eastAsia" w:ascii="仿宋" w:hAnsi="仿宋" w:eastAsia="仿宋" w:cs="仿宋"/>
          <w:b/>
          <w:color w:val="auto"/>
          <w:sz w:val="28"/>
          <w:szCs w:val="28"/>
          <w:highlight w:val="none"/>
          <w:lang w:val="en-US" w:eastAsia="zh-CN"/>
        </w:rPr>
        <w:t xml:space="preserve">促进</w:t>
      </w:r>
      <w:r>
        <w:rPr>
          <w:rFonts w:hint="eastAsia" w:ascii="仿宋" w:hAnsi="仿宋" w:eastAsia="仿宋" w:cs="仿宋"/>
          <w:b/>
          <w:color w:val="auto"/>
          <w:sz w:val="28"/>
          <w:szCs w:val="28"/>
          <w:highlight w:val="none"/>
        </w:rPr>
        <w:t xml:space="preserve">抑尘车辆常态化作业</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、付款方式</w:t>
      </w:r>
      <w:r/>
    </w:p>
    <w:p>
      <w:pPr>
        <w:ind w:firstLine="560"/>
        <w:jc w:val="left"/>
        <w:keepLines w:val="0"/>
        <w:keepNext w:val="0"/>
        <w:widowControl/>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按月考核，</w:t>
      </w:r>
      <w:r>
        <w:rPr>
          <w:rFonts w:hint="eastAsia" w:ascii="仿宋" w:hAnsi="仿宋" w:eastAsia="仿宋" w:cs="仿宋"/>
          <w:color w:val="auto"/>
          <w:sz w:val="28"/>
          <w:szCs w:val="28"/>
          <w:highlight w:val="none"/>
        </w:rPr>
        <w:t xml:space="preserve">按季度付款</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即自服务开始后第</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个季度始，</w:t>
      </w:r>
      <w:r>
        <w:rPr>
          <w:rFonts w:hint="eastAsia" w:ascii="仿宋" w:hAnsi="仿宋" w:eastAsia="仿宋" w:cs="仿宋"/>
          <w:color w:val="auto"/>
          <w:sz w:val="28"/>
          <w:szCs w:val="28"/>
          <w:highlight w:val="none"/>
          <w:lang w:val="en-US" w:eastAsia="zh-CN"/>
        </w:rPr>
        <w:t xml:space="preserve">于每季度的首月</w:t>
      </w: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汇总的月度</w:t>
      </w:r>
      <w:r>
        <w:rPr>
          <w:rFonts w:hint="eastAsia" w:ascii="仿宋" w:hAnsi="仿宋" w:eastAsia="仿宋" w:cs="仿宋"/>
          <w:color w:val="auto"/>
          <w:sz w:val="28"/>
          <w:szCs w:val="28"/>
          <w:highlight w:val="none"/>
        </w:rPr>
        <w:t xml:space="preserve">考核结果向成交人支付上一季度服务费，以此类推。服务费凭正式税票结算</w:t>
      </w:r>
      <w:r>
        <w:rPr>
          <w:rFonts w:hint="eastAsia" w:ascii="仿宋" w:hAnsi="仿宋" w:eastAsia="仿宋" w:cs="仿宋"/>
          <w:color w:val="auto"/>
          <w:sz w:val="28"/>
          <w:szCs w:val="28"/>
          <w:highlight w:val="none"/>
          <w:lang w:val="en-US" w:eastAsia="zh-CN"/>
        </w:rPr>
        <w:t xml:space="preserve">。具体服务费计算公式如下：</w:t>
      </w:r>
      <w:r/>
    </w:p>
    <w:p>
      <w:pPr>
        <w:numPr>
          <w:ilvl w:val="0"/>
          <w:numId w:val="0"/>
        </w:numPr>
        <w:ind w:firstLine="560"/>
        <w:jc w:val="left"/>
        <w:keepLines w:val="0"/>
        <w:keepNext w:val="0"/>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1.前3个季度</w:t>
      </w:r>
      <w:r>
        <w:rPr>
          <w:rFonts w:hint="eastAsia" w:ascii="仿宋" w:hAnsi="仿宋" w:eastAsia="仿宋" w:cs="仿宋"/>
          <w:color w:val="auto"/>
          <w:sz w:val="28"/>
          <w:szCs w:val="28"/>
          <w:highlight w:val="none"/>
        </w:rPr>
        <w:t xml:space="preserve">付款金额=</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金额</w:t>
      </w:r>
      <w:r>
        <w:rPr>
          <w:rFonts w:hint="eastAsia" w:ascii="仿宋" w:hAnsi="仿宋" w:eastAsia="仿宋" w:cs="仿宋"/>
          <w:color w:val="auto"/>
          <w:sz w:val="28"/>
          <w:szCs w:val="28"/>
          <w:highlight w:val="none"/>
          <w:lang w:val="en-US" w:eastAsia="zh-CN"/>
        </w:rPr>
        <w:t xml:space="preserve">/4-当季考核扣减费用</w:t>
      </w:r>
      <w:r/>
    </w:p>
    <w:p>
      <w:pPr>
        <w:numPr>
          <w:ilvl w:val="0"/>
          <w:numId w:val="0"/>
        </w:numPr>
        <w:ind w:firstLine="560"/>
        <w:jc w:val="left"/>
        <w:keepLines w:val="0"/>
        <w:keepNext w:val="0"/>
        <w:widowControl/>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2.第4个季度</w:t>
      </w:r>
      <w:r>
        <w:rPr>
          <w:rFonts w:hint="eastAsia" w:ascii="仿宋" w:hAnsi="仿宋" w:eastAsia="仿宋" w:cs="仿宋"/>
          <w:color w:val="auto"/>
          <w:sz w:val="28"/>
          <w:szCs w:val="28"/>
          <w:highlight w:val="none"/>
        </w:rPr>
        <w:t xml:space="preserve">付款金额=</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金额</w:t>
      </w:r>
      <w:r>
        <w:rPr>
          <w:rFonts w:hint="eastAsia" w:ascii="仿宋" w:hAnsi="仿宋" w:eastAsia="仿宋" w:cs="仿宋"/>
          <w:color w:val="auto"/>
          <w:sz w:val="28"/>
          <w:szCs w:val="28"/>
          <w:highlight w:val="none"/>
          <w:lang w:val="en-US" w:eastAsia="zh-CN"/>
        </w:rPr>
        <w:t xml:space="preserve">/4-当季考核扣减费用-作业天数核减（如有）</w:t>
      </w:r>
      <w:r/>
    </w:p>
    <w:p>
      <w:pPr>
        <w:ind w:firstLine="560"/>
        <w:jc w:val="left"/>
        <w:keepLines w:val="0"/>
        <w:keepNext w:val="0"/>
        <w:widowControl/>
        <w:rPr>
          <w:rFonts w:hint="eastAsia" w:ascii="仿宋_GB2312" w:hAnsi="仿宋_GB2312" w:eastAsia="仿宋_GB2312" w:cs="仿宋_GB2312"/>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注：第四个季度对项目实际作业天数进行核算。当实际作业天数与基准作业天数的差额在±5%（含）内时，项目服务费用不做调整；当差额达+5%（不含）时，提前终止合同；当差额达-5%（不含）时，按实核减，核减公式为：成交金额/基准作业天数×（基准作业天数×95%-实际作业天数）。</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十、履约保证金：</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.1本项目免收履约保证金。</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、合同条款（详见附件）</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rPr>
      </w:pPr>
      <w:r>
        <w:rPr>
          <w:rFonts w:hint="eastAsia"/>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rPr>
      </w:pPr>
      <w:r>
        <w:rPr>
          <w:rFonts w:hint="eastAsia"/>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791"/>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Next/>
        <w:rPr>
          <w:rFonts w:hint="eastAsia" w:ascii="仿宋" w:hAnsi="仿宋" w:eastAsia="仿宋" w:cs="仿宋"/>
          <w:bCs/>
          <w:color w:val="auto"/>
          <w:sz w:val="44"/>
          <w:szCs w:val="28"/>
          <w:highlight w:val="none"/>
        </w:rPr>
        <w:outlineLvl w:val="0"/>
      </w:pPr>
      <w:r/>
      <w:bookmarkStart w:id="168" w:name="_Toc120614281"/>
      <w:r>
        <w:rPr>
          <w:rFonts w:hint="eastAsia" w:ascii="仿宋" w:hAnsi="仿宋" w:eastAsia="仿宋" w:cs="仿宋"/>
          <w:bCs/>
          <w:color w:val="auto"/>
          <w:sz w:val="44"/>
          <w:szCs w:val="28"/>
          <w:highlight w:val="none"/>
        </w:rPr>
        <w:t xml:space="preserve">第四章  </w:t>
      </w:r>
      <w:bookmarkEnd w:id="163"/>
      <w:r/>
      <w:bookmarkEnd w:id="164"/>
      <w:r/>
      <w:bookmarkEnd w:id="168"/>
      <w:r>
        <w:rPr>
          <w:rFonts w:hint="eastAsia" w:ascii="仿宋" w:hAnsi="仿宋" w:eastAsia="仿宋" w:cs="仿宋"/>
          <w:bCs/>
          <w:color w:val="auto"/>
          <w:sz w:val="44"/>
          <w:szCs w:val="28"/>
          <w:highlight w:val="none"/>
        </w:rPr>
        <w:t xml:space="preserve">响应文件格式 </w:t>
      </w:r>
      <w:r/>
    </w:p>
    <w:p>
      <w:pPr>
        <w:jc w:val="center"/>
        <w:rPr>
          <w:rFonts w:hint="eastAsia" w:ascii="仿宋" w:hAnsi="仿宋" w:eastAsia="仿宋" w:cs="仿宋"/>
          <w:b/>
          <w:color w:val="auto"/>
          <w:sz w:val="72"/>
          <w:szCs w:val="21"/>
          <w:highlight w:val="none"/>
        </w:rPr>
      </w:pPr>
      <w:r/>
      <w:bookmarkStart w:id="169" w:name="_Hlt26671244"/>
      <w:r/>
      <w:bookmarkEnd w:id="169"/>
      <w:r/>
      <w:bookmarkStart w:id="170" w:name="_Hlt26955039"/>
      <w:r/>
      <w:bookmarkEnd w:id="170"/>
      <w:r/>
      <w:bookmarkStart w:id="171" w:name="_Toc49090576"/>
      <w:r/>
      <w:bookmarkStart w:id="172" w:name="_Toc26554094"/>
      <w:r/>
      <w:bookmarkStart w:id="173" w:name="_Toc120614282"/>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firstLine="1084"/>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 xml:space="preserve">（加盖CA电子公章）</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rPr>
          <w:rFonts w:hint="eastAsia" w:ascii="仿宋" w:hAnsi="仿宋" w:eastAsia="仿宋" w:cs="仿宋"/>
          <w:b/>
          <w:color w:val="auto"/>
          <w:sz w:val="36"/>
          <w:szCs w:val="21"/>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spacing w:line="560" w:lineRule="exact"/>
        <w:rPr>
          <w:rFonts w:hint="eastAsia" w:ascii="仿宋" w:hAnsi="仿宋" w:eastAsia="仿宋" w:cs="仿宋"/>
          <w:b/>
          <w:bCs/>
          <w:color w:val="auto"/>
          <w:sz w:val="44"/>
          <w:szCs w:val="44"/>
          <w:highlight w:val="none"/>
        </w:rPr>
      </w:pPr>
      <w:r>
        <w:rPr>
          <w:rFonts w:hint="eastAsia" w:ascii="仿宋" w:hAnsi="仿宋" w:eastAsia="仿宋" w:cs="仿宋"/>
          <w:b/>
          <w:color w:val="auto"/>
          <w:sz w:val="36"/>
          <w:szCs w:val="21"/>
          <w:highlight w:val="none"/>
          <w:u w:val="single"/>
        </w:rPr>
        <w:br w:type="page" w:clear="all"/>
      </w:r>
      <w:r>
        <w:rPr>
          <w:rFonts w:hint="eastAsia" w:ascii="仿宋" w:hAnsi="仿宋" w:eastAsia="仿宋" w:cs="仿宋"/>
          <w:b/>
          <w:bCs/>
          <w:color w:val="auto"/>
          <w:sz w:val="44"/>
          <w:szCs w:val="44"/>
          <w:highlight w:val="none"/>
        </w:rPr>
        <w:t xml:space="preserve">响应文件目录</w:t>
      </w:r>
      <w:r/>
    </w:p>
    <w:p>
      <w:pPr>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482"/>
        <w:spacing w:line="72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一、资格审查证明材料</w:t>
      </w:r>
      <w:r/>
    </w:p>
    <w:p>
      <w:pPr>
        <w:ind w:left="482"/>
        <w:spacing w:line="72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二、商务、技术标</w:t>
      </w:r>
      <w:r/>
    </w:p>
    <w:p>
      <w:pPr>
        <w:ind w:left="482"/>
        <w:spacing w:line="72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三、价格标</w:t>
      </w:r>
      <w:r/>
    </w:p>
    <w:p>
      <w:pPr>
        <w:ind w:left="482"/>
        <w:spacing w:line="72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四、其他资料（如有）</w:t>
      </w:r>
      <w:r/>
    </w:p>
    <w:p>
      <w:pPr>
        <w:ind w:firstLine="480"/>
        <w:spacing w:line="440" w:lineRule="exact"/>
        <w:rPr>
          <w:rFonts w:hint="eastAsia" w:ascii="仿宋" w:hAnsi="仿宋" w:eastAsia="仿宋" w:cs="仿宋"/>
          <w:i/>
          <w:color w:val="auto"/>
          <w:sz w:val="24"/>
          <w:szCs w:val="21"/>
          <w:highlight w:val="none"/>
          <w:u w:val="single"/>
        </w:rPr>
      </w:pPr>
      <w:r>
        <w:rPr>
          <w:rFonts w:hint="eastAsia" w:ascii="仿宋" w:hAnsi="仿宋" w:eastAsia="仿宋" w:cs="仿宋"/>
          <w:i/>
          <w:color w:val="auto"/>
          <w:sz w:val="24"/>
          <w:szCs w:val="21"/>
          <w:highlight w:val="none"/>
          <w:u w:val="singl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keepLines w:val="0"/>
        <w:keepNext w:val="0"/>
        <w:pageBreakBefore w:val="0"/>
        <w:spacing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rPr>
        <w:t xml:space="preserve">一、资格审查证明材料</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1.供应商符合《政府采购法》第二十二条规定条件的承诺函（格式见附件</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2.法定代表人身份证明书（格式见附件</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3.法人授权书（格式见附件</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4.谈判响应函（格式见附件</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4.采购公告中“二、申请人的资格要求”提供相应的佐证材料；</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5.其它需要提交的资格审查证明材料。</w:t>
      </w:r>
      <w:r/>
    </w:p>
    <w:p>
      <w:pPr>
        <w:keepLines w:val="0"/>
        <w:keepNext w:val="0"/>
        <w:pageBreakBefore w:val="0"/>
        <w:spacing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二、商务、技术标</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1.商务部分正负偏离表；（格式见附件</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2.技术部分正负偏离表；（格式见附件</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.商务、技术评分标准中</w:t>
      </w:r>
      <w:r>
        <w:rPr>
          <w:rFonts w:hint="eastAsia" w:ascii="仿宋" w:hAnsi="仿宋" w:eastAsia="仿宋" w:cs="仿宋"/>
          <w:color w:val="auto"/>
          <w:sz w:val="28"/>
          <w:szCs w:val="28"/>
          <w:highlight w:val="none"/>
          <w:lang w:eastAsia="zh-CN"/>
        </w:rPr>
        <w:t xml:space="preserve">需</w:t>
      </w:r>
      <w:r>
        <w:rPr>
          <w:rFonts w:hint="eastAsia" w:ascii="仿宋" w:hAnsi="仿宋" w:eastAsia="仿宋" w:cs="仿宋"/>
          <w:color w:val="auto"/>
          <w:sz w:val="28"/>
          <w:szCs w:val="28"/>
          <w:highlight w:val="none"/>
        </w:rPr>
        <w:t xml:space="preserve">提供的相关得分佐证材料；</w:t>
      </w:r>
      <w:r/>
    </w:p>
    <w:p>
      <w:pPr>
        <w:ind w:firstLine="560"/>
        <w:keepLines w:val="0"/>
        <w:keepNext w:val="0"/>
        <w:pageBreakBefore w:val="0"/>
        <w:spacing w:line="5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.供应商认为需要提交的其他商务、技术材料。</w:t>
      </w:r>
      <w:r/>
    </w:p>
    <w:p>
      <w:pPr>
        <w:keepLines w:val="0"/>
        <w:keepNext w:val="0"/>
        <w:pageBreakBefore w:val="0"/>
        <w:spacing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三、价格标</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1.报价总表（格式见附件</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2.分项报价明细表（格式见附件</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3.中小企业声明函（格式见附件</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4.残疾人福利性单位声明函（如有）（格式见附件</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color w:val="auto"/>
          <w:sz w:val="32"/>
          <w:szCs w:val="32"/>
          <w:highlight w:val="none"/>
          <w:u w:val="single"/>
        </w:rPr>
      </w:pPr>
      <w:r>
        <w:rPr>
          <w:rFonts w:hint="eastAsia" w:ascii="仿宋" w:hAnsi="仿宋" w:eastAsia="仿宋" w:cs="仿宋"/>
          <w:color w:val="auto"/>
          <w:sz w:val="28"/>
          <w:szCs w:val="28"/>
          <w:highlight w:val="none"/>
        </w:rPr>
        <w:t xml:space="preserve">5.监狱和戒毒企业证明材料（如有）（格式见附件</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附件1</w:t>
      </w:r>
      <w:r/>
    </w:p>
    <w:p>
      <w:pPr>
        <w:ind w:left="0" w:right="0" w:firstLine="0"/>
        <w:jc w:val="center"/>
        <w:spacing w:before="0" w:after="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t xml:space="preserve">供应商符合《政府采购法》第二十二条规定条件的声明函</w:t>
      </w:r>
      <w:r/>
    </w:p>
    <w:p>
      <w:pPr>
        <w:ind w:left="0" w:right="0" w:firstLine="0"/>
        <w:jc w:val="both"/>
        <w:spacing w:before="0" w:after="0" w:line="4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b/>
          <w:color w:val="000000"/>
          <w:sz w:val="44"/>
          <w:highlight w:val="none"/>
        </w:rPr>
        <w:t xml:space="preserve">   </w:t>
      </w:r>
      <w:r/>
    </w:p>
    <w:p>
      <w:pPr>
        <w:ind w:left="0" w:right="0" w:firstLine="480"/>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我单位参加</w:t>
      </w:r>
      <w:r>
        <w:rPr>
          <w:rFonts w:hint="eastAsia" w:ascii="仿宋" w:hAnsi="仿宋" w:eastAsia="仿宋" w:cs="仿宋"/>
          <w:color w:val="000000"/>
          <w:sz w:val="24"/>
          <w:highlight w:val="none"/>
          <w:u w:val="single"/>
        </w:rPr>
        <w:t xml:space="preserve">________________ _</w:t>
      </w: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_______ __________</w:t>
      </w:r>
      <w:r>
        <w:rPr>
          <w:rFonts w:hint="eastAsia" w:ascii="仿宋" w:hAnsi="仿宋" w:eastAsia="仿宋" w:cs="仿宋"/>
          <w:color w:val="000000"/>
          <w:sz w:val="24"/>
          <w:highlight w:val="none"/>
        </w:rPr>
        <w:t xml:space="preserve">（项目编号）采购活动。针对《中华人民共和国政府采购法》第二十二条规定做出如下声明：</w:t>
      </w:r>
      <w:r/>
    </w:p>
    <w:p>
      <w:pPr>
        <w:ind w:left="0" w:right="0" w:firstLine="482"/>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1.我单位具有独立承担民事责任的能力；</w:t>
      </w:r>
      <w:r/>
    </w:p>
    <w:p>
      <w:pPr>
        <w:ind w:left="0" w:right="0" w:firstLine="482"/>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2.我单位具有良好的商业信誉和健全的财务会计制度；</w:t>
      </w:r>
      <w:r/>
    </w:p>
    <w:p>
      <w:pPr>
        <w:ind w:left="0" w:right="0" w:firstLine="482"/>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3.我单位具有履行合同所必需的设备和专业技术能力；</w:t>
      </w:r>
      <w:r/>
    </w:p>
    <w:p>
      <w:pPr>
        <w:ind w:left="0" w:right="0" w:firstLine="482"/>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4.我单位有依法缴纳税收和社会保障资金的良好记录；</w:t>
      </w:r>
      <w:r/>
    </w:p>
    <w:p>
      <w:pPr>
        <w:ind w:left="0" w:right="0" w:firstLine="482"/>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6.我单位满足法律、行政法规规定的其他条件。</w:t>
      </w:r>
      <w:r/>
    </w:p>
    <w:p>
      <w:pPr>
        <w:ind w:left="0" w:right="0" w:firstLine="482"/>
        <w:jc w:val="both"/>
        <w:spacing w:before="0" w:after="0"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p>
    <w:p>
      <w:pPr>
        <w:ind w:left="0" w:right="0" w:firstLine="0"/>
        <w:jc w:val="both"/>
        <w:spacing w:before="0" w:after="0"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p>
    <w:p>
      <w:pPr>
        <w:ind w:left="0" w:right="0" w:firstLine="0"/>
        <w:jc w:val="both"/>
        <w:spacing w:before="0" w:after="0"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p>
    <w:p>
      <w:pPr>
        <w:ind w:left="0" w:right="0" w:firstLine="0"/>
        <w:jc w:val="both"/>
        <w:spacing w:before="0" w:after="0" w:line="49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p>
    <w:p>
      <w:pPr>
        <w:ind w:left="0" w:right="0" w:firstLine="0"/>
        <w:jc w:val="center"/>
        <w:spacing w:before="0" w:after="0" w:line="4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承诺人名称（公章）：</w:t>
      </w:r>
      <w:r/>
    </w:p>
    <w:p>
      <w:pPr>
        <w:ind w:left="0" w:right="0" w:firstLine="0"/>
        <w:jc w:val="right"/>
        <w:spacing w:before="0" w:after="0" w:line="4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p>
    <w:p>
      <w:pPr>
        <w:ind w:left="0" w:right="0" w:firstLine="0"/>
        <w:jc w:val="right"/>
        <w:spacing w:before="0" w:after="0" w:line="4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日期：</w:t>
      </w:r>
      <w:r>
        <w:rPr>
          <w:rFonts w:hint="eastAsia" w:ascii="仿宋" w:hAnsi="仿宋" w:eastAsia="仿宋" w:cs="仿宋"/>
          <w:color w:val="000000"/>
          <w:sz w:val="24"/>
          <w:highlight w:val="none"/>
          <w:u w:val="single"/>
        </w:rPr>
        <w:t xml:space="preserve">______</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p>
    <w:p>
      <w:pPr>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spacing w:line="400" w:lineRule="exact"/>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lang w:val="zh-CN"/>
        </w:rPr>
        <w:t xml:space="preserve">附件2</w:t>
      </w:r>
      <w:r/>
    </w:p>
    <w:p>
      <w:pPr>
        <w:ind w:firstLine="643"/>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 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职务，为法定代表人，特此证明。</w:t>
      </w:r>
      <w:r/>
    </w:p>
    <w:p>
      <w:pPr>
        <w:ind w:firstLine="4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 xml:space="preserve">身份证号码：</w:t>
      </w:r>
      <w:r>
        <w:rPr>
          <w:rFonts w:hint="eastAsia" w:ascii="仿宋" w:hAnsi="仿宋" w:eastAsia="仿宋" w:cs="仿宋"/>
          <w:color w:val="auto"/>
          <w:sz w:val="28"/>
          <w:szCs w:val="28"/>
          <w:highlight w:val="none"/>
          <w:u w:val="single"/>
        </w:rPr>
        <w:t xml:space="preserve">                                               </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6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注：提供法定代表人的身份证复印件盖公章</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spacing w:line="400" w:lineRule="exact"/>
        <w:rPr>
          <w:rFonts w:hint="eastAsia" w:ascii="仿宋" w:hAnsi="仿宋" w:eastAsia="仿宋" w:cs="仿宋"/>
          <w:color w:val="auto"/>
          <w:sz w:val="32"/>
          <w:szCs w:val="32"/>
          <w:highlight w:val="none"/>
          <w:lang w:val="zh-CN" w:eastAsia="zh-CN"/>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w:t>
      </w:r>
      <w:r>
        <w:rPr>
          <w:rFonts w:hint="eastAsia" w:ascii="仿宋" w:hAnsi="仿宋" w:eastAsia="仿宋" w:cs="仿宋"/>
          <w:color w:val="auto"/>
          <w:sz w:val="32"/>
          <w:szCs w:val="32"/>
          <w:highlight w:val="none"/>
          <w:lang w:val="en-US" w:eastAsia="zh-CN"/>
        </w:rPr>
        <w:t xml:space="preserve">3</w:t>
      </w:r>
      <w:r/>
    </w:p>
    <w:p>
      <w:pPr>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法人授权书</w:t>
      </w:r>
      <w:r/>
    </w:p>
    <w:p>
      <w:pPr>
        <w:ind w:firstLine="560"/>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本授权书声明：____________（供应商名称）授权________________（被授权人的姓名）为我方就项目编号：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项目采购活动的合法代理人，以本单位名义全权处理一切与该项目采购有关的事务。</w:t>
      </w:r>
      <w:r/>
    </w:p>
    <w:p>
      <w:pPr>
        <w:ind w:firstLine="560"/>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被授权人身份证号码：</w:t>
      </w:r>
      <w:r>
        <w:rPr>
          <w:rFonts w:hint="eastAsia" w:ascii="仿宋" w:hAnsi="仿宋" w:eastAsia="仿宋" w:cs="仿宋"/>
          <w:color w:val="auto"/>
          <w:sz w:val="28"/>
          <w:szCs w:val="28"/>
          <w:highlight w:val="none"/>
          <w:u w:val="single"/>
        </w:rPr>
        <w:t xml:space="preserve">                              </w:t>
      </w:r>
      <w:r/>
    </w:p>
    <w:p>
      <w:pPr>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被授权人联系电话：（手机）</w:t>
      </w:r>
      <w:r>
        <w:rPr>
          <w:rFonts w:hint="eastAsia" w:ascii="仿宋" w:hAnsi="仿宋" w:eastAsia="仿宋" w:cs="仿宋"/>
          <w:color w:val="auto"/>
          <w:sz w:val="28"/>
          <w:szCs w:val="28"/>
          <w:highlight w:val="none"/>
          <w:u w:val="single"/>
        </w:rPr>
        <w:t xml:space="preserve">                          </w:t>
      </w:r>
      <w:r/>
    </w:p>
    <w:p>
      <w:pPr>
        <w:ind w:firstLine="1400"/>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ascii="仿宋" w:hAnsi="仿宋" w:eastAsia="仿宋" w:cs="仿宋"/>
          <w:color w:val="auto"/>
          <w:sz w:val="28"/>
          <w:szCs w:val="28"/>
          <w:highlight w:val="none"/>
          <w:u w:val="single"/>
        </w:rPr>
        <w:t xml:space="preserve">（加盖CA电子公章）</w:t>
      </w:r>
      <w:r/>
    </w:p>
    <w:p>
      <w:pPr>
        <w:ind w:firstLine="560"/>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单位地址：</w:t>
      </w:r>
      <w:r>
        <w:rPr>
          <w:rFonts w:hint="eastAsia" w:ascii="仿宋" w:hAnsi="仿宋" w:eastAsia="仿宋" w:cs="仿宋"/>
          <w:color w:val="auto"/>
          <w:sz w:val="28"/>
          <w:szCs w:val="28"/>
          <w:highlight w:val="none"/>
          <w:u w:val="single"/>
        </w:rPr>
        <w:t xml:space="preserve">                                         </w:t>
      </w:r>
      <w:r/>
    </w:p>
    <w:p>
      <w:pPr>
        <w:ind w:firstLine="560"/>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w:t>
      </w:r>
      <w:r>
        <w:rPr>
          <w:rFonts w:hint="eastAsia" w:ascii="仿宋" w:hAnsi="仿宋" w:eastAsia="仿宋" w:cs="仿宋"/>
          <w:color w:val="auto"/>
          <w:sz w:val="28"/>
          <w:szCs w:val="28"/>
          <w:highlight w:val="none"/>
          <w:u w:val="single"/>
        </w:rPr>
        <w:t xml:space="preserve">                                         </w:t>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spacing w:line="400" w:lineRule="exact"/>
        <w:rPr>
          <w:rFonts w:hint="eastAsia" w:ascii="仿宋" w:hAnsi="仿宋" w:eastAsia="仿宋" w:cs="仿宋"/>
          <w:color w:val="auto"/>
          <w:sz w:val="32"/>
          <w:szCs w:val="32"/>
          <w:highlight w:val="none"/>
          <w:lang w:eastAsia="zh-CN"/>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4</w:t>
      </w:r>
      <w:r/>
    </w:p>
    <w:p>
      <w:pPr>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谈判响应函</w:t>
      </w:r>
      <w:r/>
    </w:p>
    <w:p>
      <w:pPr>
        <w:jc w:val="left"/>
        <w:spacing w:line="4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eastAsia="zh-CN"/>
        </w:rPr>
        <w:t xml:space="preserve">）</w:t>
      </w:r>
      <w:r/>
    </w:p>
    <w:p>
      <w:pPr>
        <w:ind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谈判文件，正式授权下述签字人______</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代表我方______________（供应商的名称），全权处理本次项目谈判的有关事宜。</w:t>
      </w:r>
      <w:r/>
    </w:p>
    <w:p>
      <w:pPr>
        <w:ind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ind w:firstLine="48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1.按谈判文件规定的各项要求，向买方提供所需货物、服务（包含与货物相关的服务及与服务相关的货物）。</w:t>
      </w:r>
      <w:r/>
    </w:p>
    <w:p>
      <w:pPr>
        <w:ind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2.我们完全理解贵方不一定将合同授予最低报价的供应商。</w:t>
      </w:r>
      <w:r/>
    </w:p>
    <w:p>
      <w:pPr>
        <w:ind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3.我们已详细审核全部谈判文件及其有效补充文件，我们知道必须放弃提出含糊不清或误解问题的权利。</w:t>
      </w:r>
      <w:r/>
    </w:p>
    <w:p>
      <w:pPr>
        <w:ind w:firstLine="48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4.我们同意从规定的开标日期起遵循本响应文件，并在规定的谈判有效期期满之前均具有约束力。</w:t>
      </w:r>
      <w:r/>
    </w:p>
    <w:p>
      <w:pPr>
        <w:ind w:firstLine="48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5.同意向贵方提供贵方可能另外要求的与谈判有关的任何证据或资料，并保证我方已提供和将要提供的文件是真实的、准确的。</w:t>
      </w:r>
      <w:r/>
    </w:p>
    <w:p>
      <w:pPr>
        <w:ind w:firstLine="48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6.一旦我方成交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我方将根据谈判文件的规定，严格履行合同的责任和义务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并保证在谈判文件规定的时间完成项目，交付买方验收、使用。</w:t>
      </w:r>
      <w:r/>
    </w:p>
    <w:p>
      <w:pPr>
        <w:ind w:left="425"/>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7.我方与</w:t>
      </w:r>
      <w:r>
        <w:rPr>
          <w:rFonts w:hint="eastAsia" w:ascii="仿宋" w:hAnsi="仿宋" w:eastAsia="仿宋" w:cs="仿宋"/>
          <w:color w:val="auto"/>
          <w:sz w:val="28"/>
          <w:szCs w:val="28"/>
          <w:highlight w:val="none"/>
          <w:lang w:eastAsia="zh-CN"/>
        </w:rPr>
        <w:t xml:space="preserve">本次</w:t>
      </w:r>
      <w:r>
        <w:rPr>
          <w:rFonts w:hint="eastAsia" w:ascii="仿宋" w:hAnsi="仿宋" w:eastAsia="仿宋" w:cs="仿宋"/>
          <w:color w:val="auto"/>
          <w:sz w:val="28"/>
          <w:szCs w:val="28"/>
          <w:highlight w:val="none"/>
        </w:rPr>
        <w:t xml:space="preserve">谈判有关的正式通讯地址为：</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 </w:t>
      </w:r>
      <w:r/>
    </w:p>
    <w:p>
      <w:pPr>
        <w:ind w:left="420" w:firstLine="560"/>
        <w:jc w:val="left"/>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contextualSpacing/>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420" w:firstLine="56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420" w:firstLine="280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响应供应商全称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盖公章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420" w:firstLine="280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法定代表人（签字或盖章）：</w:t>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460" w:lineRule="exact"/>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p>
    <w:p>
      <w:pPr>
        <w:contextualSpacing/>
        <w:spacing w:line="400" w:lineRule="exact"/>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5</w:t>
      </w:r>
      <w:r/>
    </w:p>
    <w:p>
      <w:pPr>
        <w:contextualSpacing/>
        <w:jc w:val="center"/>
        <w:spacing w:line="30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商务部分正负偏离表</w:t>
      </w:r>
      <w:r/>
    </w:p>
    <w:p>
      <w:pPr>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（由供应商据实填写，表格不够自行添加）</w:t>
      </w:r>
      <w:r/>
    </w:p>
    <w:tbl>
      <w:tblPr>
        <w:tblStyle w:val="78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谈判文件要求的商务条款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bl>
    <w:p>
      <w:pPr>
        <w:contextualSpacing/>
        <w:spacing w:line="5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contextualSpacing/>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1.供应商提交的响应文件中与谈判文件第三部分“项目需求”中的商务部分的要求，应逐条填列在偏离表中。</w:t>
      </w:r>
      <w:r/>
    </w:p>
    <w:p>
      <w:pPr>
        <w:contextualSpacing/>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“偏离说明”一栏选择“正偏离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负偏离”进行填写。正偏离、无偏离的确认和负偏离的是否响应采购文件，由谈判小组认定。</w:t>
      </w:r>
      <w:r/>
    </w:p>
    <w:p>
      <w:pPr>
        <w:contextualSpacing/>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3.供应商如果虚假响应，将被暂停参加采购人组织政府采购活动。</w:t>
      </w:r>
      <w:r/>
    </w:p>
    <w:p>
      <w:pPr>
        <w:contextualSpacing/>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contextualSpacing/>
        <w:ind w:firstLine="540"/>
        <w:spacing w:line="5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spacing w:line="400" w:lineRule="exact"/>
        <w:rPr>
          <w:rFonts w:hint="eastAsia" w:ascii="仿宋" w:hAnsi="仿宋" w:eastAsia="仿宋" w:cs="仿宋"/>
          <w:color w:val="auto"/>
          <w:sz w:val="32"/>
          <w:szCs w:val="32"/>
          <w:highlight w:val="none"/>
          <w:lang w:eastAsia="zh-CN"/>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6</w:t>
      </w:r>
      <w:r/>
    </w:p>
    <w:p>
      <w:pPr>
        <w:contextualSpacing/>
        <w:jc w:val="center"/>
        <w:spacing w:line="30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技术部分正负偏离表</w:t>
      </w:r>
      <w:r/>
    </w:p>
    <w:p>
      <w:pPr>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（由供应商据实填写，表格不够自行添加）</w:t>
      </w:r>
      <w:r/>
    </w:p>
    <w:tbl>
      <w:tblPr>
        <w:tblStyle w:val="78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谈判文件要求的技术要求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spacing w:before="0" w:beforeAutospacing="0" w:after="0" w:afterAutospacing="0" w:line="34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r>
    </w:tbl>
    <w:p>
      <w:pPr>
        <w:contextualSpacing/>
        <w:spacing w:line="5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contextualSpacing/>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1.供应商提交的响应文件中与谈判文件第三部分“项目需求”中的技术部分的要求，应逐条填列在偏离表中。</w:t>
      </w:r>
      <w:r/>
    </w:p>
    <w:p>
      <w:pPr>
        <w:contextualSpacing/>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2.“偏离说明”一栏选择“正偏离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负偏离”进行填写。正偏离、无偏离的确认和负偏离的是否响应采购文件，由谈判小组认定。</w:t>
      </w:r>
      <w:r/>
    </w:p>
    <w:p>
      <w:pPr>
        <w:contextualSpacing/>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3.供应商如果虚假响应，将被暂停参加采购人组织政府采购活动。</w:t>
      </w:r>
      <w:r/>
    </w:p>
    <w:p>
      <w:pPr>
        <w:contextualSpacing/>
        <w:ind w:firstLine="560"/>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spacing w:line="400" w:lineRule="exact"/>
        <w:rPr>
          <w:rFonts w:hint="eastAsia" w:ascii="仿宋" w:hAnsi="仿宋" w:eastAsia="仿宋" w:cs="仿宋"/>
          <w:color w:val="auto"/>
          <w:sz w:val="32"/>
          <w:szCs w:val="32"/>
          <w:highlight w:val="none"/>
          <w:lang w:eastAsia="zh-CN"/>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7</w:t>
      </w:r>
      <w:r/>
    </w:p>
    <w:p>
      <w:pPr>
        <w:jc w:val="center"/>
        <w:spacing w:before="100" w:beforeAutospacing="1" w:after="100" w:afterAutospacing="1" w:line="500" w:lineRule="atLeast"/>
        <w:widowControl/>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报价总表</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供应商全称（加盖公章）：</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78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谈判货物、服务名称</w:t>
            </w:r>
            <w:r/>
          </w:p>
        </w:tc>
        <w:tc>
          <w:tcPr>
            <w:tcW w:w="4607" w:type="dxa"/>
            <w:vAlign w:val="top"/>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谈判总报价</w:t>
            </w:r>
            <w:r/>
          </w:p>
        </w:tc>
      </w:tr>
      <w:tr>
        <w:trPr>
          <w:trHeight w:val="1091"/>
        </w:trPr>
        <w:tc>
          <w:tcPr>
            <w:tcW w:w="4148" w:type="dxa"/>
            <w:vAlign w:val="top"/>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W w:w="4607" w:type="dxa"/>
            <w:vAlign w:val="top"/>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元（人民币）</w:t>
            </w:r>
            <w:r/>
          </w:p>
        </w:tc>
      </w:tr>
    </w:tbl>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contextualSpacing/>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报价总表必须加盖供应商公章（复印件无效）。</w:t>
      </w:r>
      <w:r/>
    </w:p>
    <w:p>
      <w:pPr>
        <w:contextualSpacing/>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2、如有分包，供应商投任何一个包的标的，都需单独填写报价总表。</w:t>
      </w:r>
      <w:r/>
    </w:p>
    <w:p>
      <w:pPr>
        <w:contextualSpacing/>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spacing w:line="400" w:lineRule="exact"/>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8</w:t>
      </w:r>
      <w:r/>
    </w:p>
    <w:p>
      <w:pPr>
        <w:jc w:val="center"/>
        <w:spacing w:before="100" w:beforeAutospacing="1" w:after="100" w:afterAutospacing="1" w:line="500" w:lineRule="atLeast"/>
        <w:widowControl/>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rPr>
        <w:t xml:space="preserve">分项报价明细表（服务类）</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供应商（盖章）：</w:t>
      </w:r>
      <w:r/>
    </w:p>
    <w:tbl>
      <w:tblPr>
        <w:tblStyle w:val="818"/>
        <w:tblW w:w="881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193"/>
        <w:gridCol w:w="1276"/>
        <w:gridCol w:w="1277"/>
        <w:gridCol w:w="1154"/>
        <w:gridCol w:w="1154"/>
        <w:gridCol w:w="788"/>
        <w:gridCol w:w="1076"/>
      </w:tblGrid>
      <w:tr>
        <w:trPr>
          <w:jc w:val="cente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服务范围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105"/>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2"/>
                <w:highlight w:val="none"/>
              </w:rPr>
              <w:t xml:space="preserve">备注</w:t>
            </w:r>
            <w:r/>
          </w:p>
        </w:tc>
      </w:tr>
      <w:tr>
        <w:trPr>
          <w:jc w:val="cente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r>
      <w:tr>
        <w:trPr>
          <w:jc w:val="cente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r>
      <w:tr>
        <w:trPr>
          <w:jc w:val="cente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r>
      <w:tr>
        <w:trPr>
          <w:jc w:val="cente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r>
      <w:tr>
        <w:trPr>
          <w:jc w:val="cente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合计</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8" w:type="dxa"/>
            <w:vAlign w:val="center"/>
            <w:textDirection w:val="lrTb"/>
            <w:noWrap w:val="false"/>
          </w:tcPr>
          <w:p>
            <w:pPr>
              <w:ind w:left="0" w:right="0" w:firstLine="0"/>
              <w:jc w:val="center"/>
              <w:keepLines w:val="0"/>
              <w:keepNext w:val="0"/>
              <w:spacing w:before="0" w:beforeAutospacing="0" w:after="0" w:afterAutospacing="0"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highlight w:val="none"/>
              </w:rPr>
              <w:t xml:space="preserve"> </w:t>
            </w:r>
            <w:r/>
          </w:p>
        </w:tc>
      </w:tr>
    </w:tbl>
    <w:p>
      <w:pPr>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供应商须详细备注主要标的信息，并将随成交公告进行公示。内容不实的，属于提供虚假材料谋取中标、成交，依照《中华人民共和国政府采购法》等国家有关规定追究相应责任。</w:t>
      </w:r>
      <w:r/>
    </w:p>
    <w:p>
      <w:pPr>
        <w:ind w:left="0" w:right="0" w:firstLine="0"/>
        <w:jc w:val="both"/>
        <w:spacing w:before="0" w:after="0" w:line="71"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00" w:lineRule="auto"/>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9</w:t>
      </w:r>
      <w:r/>
    </w:p>
    <w:p>
      <w:pPr>
        <w:jc w:val="center"/>
        <w:spacing w:line="300" w:lineRule="auto"/>
        <w:rPr>
          <w:rFonts w:hint="eastAsia" w:ascii="仿宋" w:hAnsi="仿宋" w:eastAsia="仿宋" w:cs="仿宋"/>
          <w:b/>
          <w:bCs/>
          <w:color w:val="auto"/>
          <w:sz w:val="32"/>
          <w:szCs w:val="32"/>
          <w:highlight w:val="none"/>
          <w:lang w:bidi="zh-CN"/>
        </w:rPr>
        <w:outlineLvl w:val="0"/>
      </w:pPr>
      <w:r>
        <w:rPr>
          <w:rFonts w:hint="eastAsia" w:ascii="仿宋" w:hAnsi="仿宋" w:eastAsia="仿宋" w:cs="仿宋"/>
          <w:b/>
          <w:bCs/>
          <w:color w:val="auto"/>
          <w:sz w:val="32"/>
          <w:szCs w:val="32"/>
          <w:highlight w:val="none"/>
          <w:lang w:bidi="zh-CN"/>
        </w:rPr>
        <w:t xml:space="preserve">中小企业声明函（服务）</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8"/>
          <w:szCs w:val="28"/>
          <w:highlight w:val="none"/>
          <w:u w:val="single"/>
          <w:lang w:bidi="zh-CN"/>
        </w:rPr>
        <w:t xml:space="preserve">（单位名称）</w:t>
      </w:r>
      <w:r>
        <w:rPr>
          <w:rFonts w:hint="eastAsia" w:ascii="仿宋" w:hAnsi="仿宋" w:eastAsia="仿宋" w:cs="仿宋"/>
          <w:color w:val="auto"/>
          <w:sz w:val="28"/>
          <w:szCs w:val="28"/>
          <w:highlight w:val="none"/>
          <w:lang w:bidi="zh-CN"/>
        </w:rPr>
        <w:t xml:space="preserve">的</w:t>
      </w:r>
      <w:r>
        <w:rPr>
          <w:rFonts w:hint="eastAsia" w:ascii="仿宋" w:hAnsi="仿宋" w:eastAsia="仿宋" w:cs="仿宋"/>
          <w:color w:val="auto"/>
          <w:sz w:val="28"/>
          <w:szCs w:val="28"/>
          <w:highlight w:val="none"/>
          <w:u w:val="single"/>
          <w:lang w:bidi="zh-CN"/>
        </w:rPr>
        <w:t xml:space="preserve">（项目名称）</w:t>
      </w:r>
      <w:r>
        <w:rPr>
          <w:rFonts w:hint="eastAsia" w:ascii="仿宋" w:hAnsi="仿宋" w:eastAsia="仿宋" w:cs="仿宋"/>
          <w:color w:val="auto"/>
          <w:sz w:val="28"/>
          <w:szCs w:val="28"/>
          <w:highlight w:val="none"/>
          <w:lang w:bidi="zh-CN"/>
        </w:rPr>
        <w:t xml:space="preserve">采购活动，服务全部由符合政策要求的中小企业承接。相关企业（含联合体中的中小企业、签订分包意向协议的中小企业）的具体情况如下：</w:t>
      </w:r>
      <w:r/>
    </w:p>
    <w:p>
      <w:pPr>
        <w:jc w:val="left"/>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1.</w:t>
      </w:r>
      <w:r>
        <w:rPr>
          <w:rFonts w:hint="eastAsia" w:ascii="仿宋" w:hAnsi="仿宋" w:eastAsia="仿宋" w:cs="仿宋"/>
          <w:color w:val="auto"/>
          <w:sz w:val="28"/>
          <w:szCs w:val="28"/>
          <w:highlight w:val="none"/>
          <w:u w:val="single"/>
          <w:lang w:bidi="zh-CN"/>
        </w:rPr>
        <w:t xml:space="preserve">（标的名称）</w:t>
      </w:r>
      <w:r>
        <w:rPr>
          <w:rFonts w:hint="eastAsia" w:ascii="仿宋" w:hAnsi="仿宋" w:eastAsia="仿宋" w:cs="仿宋"/>
          <w:color w:val="auto"/>
          <w:sz w:val="28"/>
          <w:szCs w:val="28"/>
          <w:highlight w:val="none"/>
          <w:lang w:bidi="zh-CN"/>
        </w:rPr>
        <w:t xml:space="preserve">，属于</w:t>
      </w:r>
      <w:r>
        <w:rPr>
          <w:rFonts w:hint="eastAsia" w:ascii="仿宋" w:hAnsi="仿宋" w:eastAsia="仿宋" w:cs="仿宋"/>
          <w:color w:val="auto"/>
          <w:sz w:val="28"/>
          <w:szCs w:val="28"/>
          <w:highlight w:val="none"/>
          <w:u w:val="single"/>
          <w:lang w:bidi="zh-CN"/>
        </w:rPr>
        <w:t xml:space="preserve">（采购文件中明确的所属行业）</w:t>
      </w:r>
      <w:r>
        <w:rPr>
          <w:rFonts w:hint="eastAsia" w:ascii="仿宋" w:hAnsi="仿宋" w:eastAsia="仿宋" w:cs="仿宋"/>
          <w:color w:val="auto"/>
          <w:sz w:val="28"/>
          <w:szCs w:val="28"/>
          <w:highlight w:val="none"/>
          <w:lang w:bidi="zh-CN"/>
        </w:rPr>
        <w:t xml:space="preserve">；承建（承接）企业为</w:t>
      </w:r>
      <w:r>
        <w:rPr>
          <w:rFonts w:hint="eastAsia" w:ascii="仿宋" w:hAnsi="仿宋" w:eastAsia="仿宋" w:cs="仿宋"/>
          <w:color w:val="auto"/>
          <w:sz w:val="28"/>
          <w:szCs w:val="28"/>
          <w:highlight w:val="none"/>
          <w:u w:val="single"/>
          <w:lang w:bidi="zh-CN"/>
        </w:rPr>
        <w:t xml:space="preserve">（企业名称）</w:t>
      </w:r>
      <w:r>
        <w:rPr>
          <w:rFonts w:hint="eastAsia" w:ascii="仿宋" w:hAnsi="仿宋" w:eastAsia="仿宋" w:cs="仿宋"/>
          <w:color w:val="auto"/>
          <w:sz w:val="28"/>
          <w:szCs w:val="28"/>
          <w:highlight w:val="none"/>
          <w:lang w:bidi="zh-CN"/>
        </w:rPr>
        <w:t xml:space="preserve">，从业人员</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人，营业收入为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万元，资产总额为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万元，属于</w:t>
      </w:r>
      <w:r>
        <w:rPr>
          <w:rFonts w:hint="eastAsia" w:ascii="仿宋" w:hAnsi="仿宋" w:eastAsia="仿宋" w:cs="仿宋"/>
          <w:color w:val="auto"/>
          <w:sz w:val="28"/>
          <w:szCs w:val="28"/>
          <w:highlight w:val="none"/>
          <w:u w:val="single"/>
          <w:lang w:bidi="zh-CN"/>
        </w:rPr>
        <w:t xml:space="preserve">（中型企业、小型企业、微型企业）</w:t>
      </w:r>
      <w:r>
        <w:rPr>
          <w:rFonts w:hint="eastAsia" w:ascii="仿宋" w:hAnsi="仿宋" w:eastAsia="仿宋" w:cs="仿宋"/>
          <w:color w:val="auto"/>
          <w:sz w:val="28"/>
          <w:szCs w:val="28"/>
          <w:highlight w:val="none"/>
          <w:lang w:bidi="zh-CN"/>
        </w:rPr>
        <w:t xml:space="preserve">；</w:t>
      </w:r>
      <w:r/>
    </w:p>
    <w:p>
      <w:pPr>
        <w:jc w:val="left"/>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2.</w:t>
      </w:r>
      <w:r>
        <w:rPr>
          <w:rFonts w:hint="eastAsia" w:ascii="仿宋" w:hAnsi="仿宋" w:eastAsia="仿宋" w:cs="仿宋"/>
          <w:color w:val="auto"/>
          <w:sz w:val="28"/>
          <w:szCs w:val="28"/>
          <w:highlight w:val="none"/>
          <w:u w:val="single"/>
          <w:lang w:bidi="zh-CN"/>
        </w:rPr>
        <w:t xml:space="preserve">（标的名称）</w:t>
      </w:r>
      <w:r>
        <w:rPr>
          <w:rFonts w:hint="eastAsia" w:ascii="仿宋" w:hAnsi="仿宋" w:eastAsia="仿宋" w:cs="仿宋"/>
          <w:color w:val="auto"/>
          <w:sz w:val="28"/>
          <w:szCs w:val="28"/>
          <w:highlight w:val="none"/>
          <w:lang w:bidi="zh-CN"/>
        </w:rPr>
        <w:t xml:space="preserve">，属于</w:t>
      </w:r>
      <w:r>
        <w:rPr>
          <w:rFonts w:hint="eastAsia" w:ascii="仿宋" w:hAnsi="仿宋" w:eastAsia="仿宋" w:cs="仿宋"/>
          <w:color w:val="auto"/>
          <w:sz w:val="28"/>
          <w:szCs w:val="28"/>
          <w:highlight w:val="none"/>
          <w:u w:val="single"/>
          <w:lang w:bidi="zh-CN"/>
        </w:rPr>
        <w:t xml:space="preserve">（采购文件中明确的所属行业）</w:t>
      </w:r>
      <w:bookmarkStart w:id="174" w:name="_GoBack"/>
      <w:r/>
      <w:bookmarkEnd w:id="174"/>
      <w:r>
        <w:rPr>
          <w:rFonts w:hint="eastAsia" w:ascii="仿宋" w:hAnsi="仿宋" w:eastAsia="仿宋" w:cs="仿宋"/>
          <w:color w:val="auto"/>
          <w:sz w:val="28"/>
          <w:szCs w:val="28"/>
          <w:highlight w:val="none"/>
          <w:lang w:bidi="zh-CN"/>
        </w:rPr>
        <w:t xml:space="preserve">；承建（承接）企业为</w:t>
      </w:r>
      <w:r>
        <w:rPr>
          <w:rFonts w:hint="eastAsia" w:ascii="仿宋" w:hAnsi="仿宋" w:eastAsia="仿宋" w:cs="仿宋"/>
          <w:color w:val="auto"/>
          <w:sz w:val="28"/>
          <w:szCs w:val="28"/>
          <w:highlight w:val="none"/>
          <w:u w:val="single"/>
          <w:lang w:bidi="zh-CN"/>
        </w:rPr>
        <w:t xml:space="preserve">（企业名称）</w:t>
      </w:r>
      <w:r>
        <w:rPr>
          <w:rFonts w:hint="eastAsia" w:ascii="仿宋" w:hAnsi="仿宋" w:eastAsia="仿宋" w:cs="仿宋"/>
          <w:color w:val="auto"/>
          <w:sz w:val="28"/>
          <w:szCs w:val="28"/>
          <w:highlight w:val="none"/>
          <w:lang w:bidi="zh-CN"/>
        </w:rPr>
        <w:t xml:space="preserve">，从业人员</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人，营业收入为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万元，资产总额为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 xml:space="preserve">万元，属于</w:t>
      </w:r>
      <w:r>
        <w:rPr>
          <w:rFonts w:hint="eastAsia" w:ascii="仿宋" w:hAnsi="仿宋" w:eastAsia="仿宋" w:cs="仿宋"/>
          <w:color w:val="auto"/>
          <w:sz w:val="28"/>
          <w:szCs w:val="28"/>
          <w:highlight w:val="none"/>
          <w:u w:val="single"/>
          <w:lang w:bidi="zh-CN"/>
        </w:rPr>
        <w:t xml:space="preserve">（中型企业、小型企业、微型企业）</w:t>
      </w:r>
      <w:r>
        <w:rPr>
          <w:rFonts w:hint="eastAsia" w:ascii="仿宋" w:hAnsi="仿宋" w:eastAsia="仿宋" w:cs="仿宋"/>
          <w:color w:val="auto"/>
          <w:sz w:val="28"/>
          <w:szCs w:val="28"/>
          <w:highlight w:val="none"/>
          <w:lang w:bidi="zh-CN"/>
        </w:rPr>
        <w:t xml:space="preserve">；</w:t>
      </w:r>
      <w:r/>
    </w:p>
    <w:p>
      <w:pPr>
        <w:jc w:val="left"/>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本企业对上述声明内容的真实性负责。如有虚假，将依法承担相应责任。</w:t>
      </w:r>
      <w:r/>
    </w:p>
    <w:p>
      <w:pPr>
        <w:ind w:firstLine="560"/>
        <w:spacing w:line="36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r>
      <w:r/>
    </w:p>
    <w:p>
      <w:pPr>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注：1.如项目属性为“服务”或“工程”，请按本表填写。</w:t>
      </w:r>
      <w:r/>
    </w:p>
    <w:p>
      <w:pPr>
        <w:ind w:firstLine="560"/>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2.从业人员、营业收入、资产总额填报上一年度数据，无上一年度数据的新成立企业可不填报。</w:t>
      </w:r>
      <w:r/>
    </w:p>
    <w:p>
      <w:pPr>
        <w:ind w:firstLine="560"/>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企业名称（盖章）：</w:t>
      </w:r>
      <w:r/>
    </w:p>
    <w:p>
      <w:pPr>
        <w:ind w:firstLine="4900"/>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日期：</w:t>
      </w:r>
      <w:r/>
    </w:p>
    <w:p>
      <w:pPr>
        <w:spacing w:line="4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300" w:lineRule="auto"/>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0</w:t>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588"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注：1、供应商如不提供此声明函，价格将不做相应扣除。</w:t>
      </w:r>
      <w:r/>
    </w:p>
    <w:p>
      <w:pPr>
        <w:ind w:firstLine="560"/>
        <w:spacing w:line="588"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right="1560" w:firstLine="584"/>
        <w:jc w:val="center"/>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240"/>
        <w:jc w:val="cente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300" w:lineRule="auto"/>
        <w:rPr>
          <w:rFonts w:hint="eastAsia" w:ascii="仿宋" w:hAnsi="仿宋" w:eastAsia="仿宋" w:cs="仿宋"/>
          <w:color w:val="auto"/>
          <w:sz w:val="32"/>
          <w:szCs w:val="32"/>
          <w:highlight w:val="none"/>
          <w:lang w:val="en-US" w:eastAsia="zh-CN"/>
        </w:rPr>
        <w:outlineLvl w:val="0"/>
      </w:pP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1</w:t>
      </w:r>
      <w:r/>
    </w:p>
    <w:p>
      <w:pPr>
        <w:jc w:val="center"/>
        <w:spacing w:line="420" w:lineRule="exact"/>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98"/>
        <w:spacing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60"/>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注：1、供应商如不提供此声明函，价格将不做相应扣除。</w:t>
      </w:r>
      <w:r/>
    </w:p>
    <w:p>
      <w:pPr>
        <w:ind w:firstLine="560"/>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成交供应商为监狱企业的，此声明函将随成交结果同时公告，</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接受社会监督。供应商按照本办法规定提供声明函内容不实的，属于</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提供虚假材料谋取中标、成交，依照《中华人民共和国政府采购法》</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等国家有关规定追究相应责任。</w:t>
      </w:r>
      <w:r/>
    </w:p>
    <w:p>
      <w:pPr>
        <w:spacing w:line="30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firstLine="360"/>
        <w:spacing w:line="56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bCs/>
          <w:color w:val="auto"/>
          <w:sz w:val="32"/>
          <w:szCs w:val="32"/>
          <w:highlight w:val="none"/>
          <w:lang w:eastAsia="zh-CN" w:bidi="ar"/>
        </w:rPr>
      </w:pPr>
      <w:r>
        <w:rPr>
          <w:rFonts w:hint="eastAsia" w:ascii="仿宋" w:hAnsi="仿宋" w:eastAsia="仿宋" w:cs="仿宋"/>
          <w:b/>
          <w:color w:val="auto"/>
          <w:sz w:val="32"/>
          <w:szCs w:val="32"/>
          <w:highlight w:val="none"/>
        </w:rPr>
        <w:br w:type="page" w:clear="all"/>
      </w:r>
      <w:r>
        <w:rPr>
          <w:rFonts w:hint="eastAsia" w:ascii="仿宋" w:hAnsi="仿宋" w:eastAsia="仿宋" w:cs="仿宋"/>
          <w:bCs/>
          <w:color w:val="auto"/>
          <w:sz w:val="32"/>
          <w:szCs w:val="32"/>
          <w:highlight w:val="none"/>
          <w:lang w:bidi="ar"/>
        </w:rPr>
        <w:t xml:space="preserve">附件1</w:t>
      </w:r>
      <w:r>
        <w:rPr>
          <w:rFonts w:hint="eastAsia" w:ascii="仿宋" w:hAnsi="仿宋" w:eastAsia="仿宋" w:cs="仿宋"/>
          <w:bCs/>
          <w:color w:val="auto"/>
          <w:sz w:val="32"/>
          <w:szCs w:val="32"/>
          <w:highlight w:val="none"/>
          <w:lang w:val="en-US" w:eastAsia="zh-CN" w:bidi="ar"/>
        </w:rPr>
        <w:t xml:space="preserve">2</w:t>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联合体协议（参考格式）（分包号：**）</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（联合体中各供应商全称）在此达成以下协议：</w:t>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我们</w:t>
      </w:r>
      <w:r>
        <w:rPr>
          <w:rFonts w:hint="eastAsia" w:ascii="仿宋" w:hAnsi="仿宋" w:eastAsia="仿宋" w:cs="仿宋"/>
          <w:color w:val="auto"/>
          <w:sz w:val="28"/>
          <w:szCs w:val="28"/>
          <w:highlight w:val="none"/>
          <w:u w:val="single"/>
        </w:rPr>
        <w:t xml:space="preserve"> （供应商1），（供应商2） ，……</w:t>
      </w:r>
      <w:r>
        <w:rPr>
          <w:rFonts w:hint="eastAsia" w:ascii="仿宋" w:hAnsi="仿宋" w:eastAsia="仿宋" w:cs="仿宋"/>
          <w:color w:val="auto"/>
          <w:sz w:val="28"/>
          <w:szCs w:val="28"/>
          <w:highlight w:val="none"/>
        </w:rPr>
        <w:t xml:space="preserve">自愿组成联合体，参加采购人组织的采购编号为</w:t>
      </w:r>
      <w:r>
        <w:rPr>
          <w:rFonts w:hint="eastAsia" w:ascii="仿宋" w:hAnsi="仿宋" w:eastAsia="仿宋" w:cs="仿宋"/>
          <w:color w:val="auto"/>
          <w:sz w:val="28"/>
          <w:szCs w:val="28"/>
          <w:highlight w:val="none"/>
          <w:u w:val="single"/>
        </w:rPr>
        <w:t xml:space="preserve">（编号全称），（项目全称）</w:t>
      </w:r>
      <w:r>
        <w:rPr>
          <w:rFonts w:hint="eastAsia" w:ascii="仿宋" w:hAnsi="仿宋" w:eastAsia="仿宋" w:cs="仿宋"/>
          <w:color w:val="auto"/>
          <w:sz w:val="28"/>
          <w:szCs w:val="28"/>
          <w:highlight w:val="none"/>
        </w:rPr>
        <w:t xml:space="preserve">项目（分包号：**）的政府采购活动，我联合体指定</w:t>
      </w:r>
      <w:r>
        <w:rPr>
          <w:rFonts w:hint="eastAsia" w:ascii="仿宋" w:hAnsi="仿宋" w:eastAsia="仿宋" w:cs="仿宋"/>
          <w:color w:val="auto"/>
          <w:sz w:val="28"/>
          <w:szCs w:val="28"/>
          <w:highlight w:val="none"/>
          <w:u w:val="single"/>
        </w:rPr>
        <w:t xml:space="preserve">（供应商*）</w:t>
      </w:r>
      <w:r>
        <w:rPr>
          <w:rFonts w:hint="eastAsia" w:ascii="仿宋" w:hAnsi="仿宋" w:eastAsia="仿宋" w:cs="仿宋"/>
          <w:color w:val="auto"/>
          <w:sz w:val="28"/>
          <w:szCs w:val="28"/>
          <w:highlight w:val="none"/>
        </w:rPr>
        <w:t xml:space="preserve">为牵头单位（牵头单位必须为联合体成员）。</w:t>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（小型、微型企业/残疾人福利性单位/监狱企业全称）为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备注：本谈判文件中要求加盖CA电子签章的地方，仅需加盖牵头单位的CA电子签章。</w:t>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645"/>
        <w:jc w:val="right"/>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联合体中各供应商全称（公章）：     </w:t>
      </w:r>
      <w:r/>
    </w:p>
    <w:p>
      <w:pPr>
        <w:ind w:firstLine="64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 </w:t>
      </w:r>
      <w:r/>
    </w:p>
    <w:p>
      <w:pPr>
        <w:ind w:firstLine="480"/>
        <w:jc w:val="left"/>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520" w:lineRule="exact"/>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3</w:t>
      </w:r>
      <w:r/>
    </w:p>
    <w:p>
      <w:pPr>
        <w:jc w:val="cente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公章：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仿宋"/>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firstLine="56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both"/>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0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4</w:t>
      </w:r>
      <w:r/>
    </w:p>
    <w:p>
      <w:pPr>
        <w:ind w:firstLine="624"/>
        <w:jc w:val="center"/>
        <w:spacing w:line="58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南通市政府采购线上合同信用融资政策</w:t>
      </w:r>
      <w:r/>
    </w:p>
    <w:p>
      <w:pPr>
        <w:jc w:val="center"/>
        <w:spacing w:line="58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告知函</w:t>
      </w:r>
      <w:r/>
    </w:p>
    <w:p>
      <w:pPr>
        <w:jc w:val="center"/>
        <w:spacing w:line="58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r>
      <w:r/>
    </w:p>
    <w:p>
      <w:pPr>
        <w:spacing w:line="5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各政府采购供应商：</w:t>
      </w:r>
      <w:r/>
    </w:p>
    <w:p>
      <w:pPr>
        <w:ind w:firstLine="640"/>
        <w:spacing w:line="5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欢迎贵公司参与南通市政府采购活动！</w:t>
      </w:r>
      <w:r/>
    </w:p>
    <w:p>
      <w:pPr>
        <w:ind w:firstLine="640"/>
        <w:spacing w:line="5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firstLine="640"/>
        <w:spacing w:line="5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提供贷款的金融机构，可在江苏省政府采购网-“政采贷”模块查询联系。</w:t>
      </w:r>
      <w:r/>
    </w:p>
    <w:p>
      <w:pPr>
        <w:ind w:firstLine="560"/>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00" w:lineRule="auto"/>
        <w:rPr>
          <w:rFonts w:hint="eastAsia" w:ascii="仿宋" w:hAnsi="仿宋" w:eastAsia="仿宋" w:cs="仿宋"/>
          <w:bCs/>
          <w:color w:val="auto"/>
          <w:sz w:val="24"/>
          <w:szCs w:val="21"/>
          <w:highlight w:val="none"/>
        </w:rPr>
        <w:outlineLvl w:val="0"/>
      </w:pPr>
      <w:r>
        <w:rPr>
          <w:rFonts w:hint="eastAsia" w:ascii="仿宋" w:hAnsi="仿宋" w:eastAsia="仿宋" w:cs="仿宋"/>
          <w:bCs/>
          <w:color w:val="auto"/>
          <w:sz w:val="24"/>
          <w:szCs w:val="21"/>
          <w:highlight w:val="none"/>
        </w:rPr>
        <w:t xml:space="preserve"> </w:t>
      </w:r>
      <w:r/>
    </w:p>
    <w:p>
      <w:pPr>
        <w:jc w:val="cente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7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bookmarkEnd w:id="165"/>
      <w:bookmarkEnd w:id="166"/>
      <w:bookmarkEnd w:id="171"/>
      <w:bookmarkEnd w:id="172"/>
      <w:bookmarkEnd w:id="173"/>
      <w:r/>
    </w:p>
    <w:p>
      <w:pPr>
        <w:spacing w:line="300" w:lineRule="auto"/>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highlight w:val="none"/>
        </w:rPr>
        <w:br w:type="page" w:clear="all"/>
      </w: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5</w:t>
      </w:r>
      <w:r/>
    </w:p>
    <w:p>
      <w:pPr>
        <w:jc w:val="center"/>
        <w:spacing w:line="58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南通市政府采购履约保证保险政策</w:t>
      </w:r>
      <w:r/>
    </w:p>
    <w:p>
      <w:pPr>
        <w:jc w:val="center"/>
        <w:spacing w:line="58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告知函</w:t>
      </w:r>
      <w:r/>
    </w:p>
    <w:p>
      <w:pPr>
        <w:ind w:firstLine="624"/>
        <w:jc w:val="center"/>
        <w:spacing w:line="58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r>
      <w:r/>
    </w:p>
    <w:p>
      <w:pPr>
        <w:spacing w:line="54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各政府采购供应商：</w:t>
      </w:r>
      <w:r/>
    </w:p>
    <w:p>
      <w:pPr>
        <w:ind w:firstLine="640"/>
        <w:spacing w:line="54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欢迎贵公司参与南通市政府采购活动！</w:t>
      </w:r>
      <w:r/>
    </w:p>
    <w:p>
      <w:pPr>
        <w:ind w:firstLine="640"/>
        <w:spacing w:line="54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641"/>
        <w:keepLines w:val="0"/>
        <w:keepNext w:val="0"/>
        <w:pageBreakBefore w:val="0"/>
        <w:spacing w:line="540" w:lineRule="exact"/>
        <w:widowControl w:val="off"/>
        <w:rPr>
          <w:rFonts w:hint="eastAsia" w:ascii="仿宋" w:hAnsi="仿宋" w:eastAsia="仿宋" w:cs="仿宋"/>
          <w:bCs/>
          <w:color w:val="auto"/>
          <w:sz w:val="24"/>
          <w:szCs w:val="21"/>
          <w:highlight w:val="none"/>
        </w:rPr>
      </w:pPr>
      <w:r>
        <w:rPr>
          <w:rFonts w:hint="eastAsia" w:ascii="仿宋" w:hAnsi="仿宋" w:eastAsia="仿宋" w:cs="仿宋"/>
          <w:color w:val="auto"/>
          <w:sz w:val="32"/>
          <w:szCs w:val="32"/>
          <w:highlight w:val="none"/>
        </w:rPr>
        <w:t xml:space="preserve">贵公司若成为本次政府采购项目的中标（成交）供应商，可自愿选择履约保证保险形式替代履约保证金。</w:t>
      </w:r>
      <w:r>
        <w:rPr>
          <w:rFonts w:hint="eastAsia" w:ascii="仿宋" w:hAnsi="仿宋" w:eastAsia="仿宋" w:cs="仿宋"/>
          <w:color w:val="auto"/>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hint="eastAsia" w:ascii="仿宋" w:hAnsi="仿宋" w:eastAsia="仿宋" w:cs="仿宋"/>
          <w:color w:val="auto"/>
          <w:sz w:val="32"/>
          <w:szCs w:val="32"/>
          <w:highlight w:val="none"/>
        </w:rPr>
        <w:t xml:space="preserve">将根据《关于在政府采购领域深入开展南通市履约保证保险业务的通知》（通财购〔2023〕23号），按照双方自愿的原则提供</w:t>
      </w:r>
      <w:r>
        <w:rPr>
          <w:rFonts w:hint="eastAsia" w:ascii="仿宋" w:hAnsi="仿宋" w:eastAsia="仿宋" w:cs="仿宋"/>
          <w:color w:val="auto"/>
          <w:sz w:val="32"/>
          <w:szCs w:val="20"/>
          <w:highlight w:val="none"/>
        </w:rPr>
        <w:t xml:space="preserve">履约保证保险服务</w:t>
      </w:r>
      <w:r>
        <w:rPr>
          <w:rFonts w:hint="eastAsia" w:ascii="仿宋" w:hAnsi="仿宋" w:eastAsia="仿宋" w:cs="仿宋"/>
          <w:color w:val="auto"/>
          <w:sz w:val="32"/>
          <w:szCs w:val="32"/>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ind w:left="0" w:firstLine="400"/>
        <w:jc w:val="both"/>
        <w:spacing w:after="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sectPr>
      <w:footerReference w:type="default" r:id="rId13"/>
      <w:footerReference w:type="first" r:id="rId14"/>
      <w:footnotePr/>
      <w:endnotePr/>
      <w:type w:val="nextPage"/>
      <w:pgSz w:w="11906" w:h="16838" w:orient="portrait"/>
      <w:pgMar w:top="1417" w:right="1417" w:bottom="1417"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rPr>
                              <w:rStyle w:val="820"/>
                              <w:rFonts w:ascii="宋体" w:hAnsi="宋体"/>
                            </w:rPr>
                          </w:pPr>
                          <w:r>
                            <w:rPr>
                              <w:rFonts w:ascii="宋体" w:hAnsi="宋体"/>
                            </w:rPr>
                            <w:fldChar w:fldCharType="begin"/>
                          </w:r>
                          <w:r>
                            <w:rPr>
                              <w:rStyle w:val="820"/>
                              <w:rFonts w:ascii="宋体" w:hAnsi="宋体"/>
                            </w:rPr>
                            <w:instrText xml:space="preserve">PAGE  </w:instrText>
                          </w:r>
                          <w:r>
                            <w:rPr>
                              <w:rFonts w:ascii="宋体" w:hAnsi="宋体"/>
                            </w:rPr>
                            <w:fldChar w:fldCharType="separate"/>
                          </w:r>
                          <w:r>
                            <w:rPr>
                              <w:rStyle w:val="820"/>
                              <w:rFonts w:ascii="宋体" w:hAnsi="宋体"/>
                            </w:rPr>
                            <w:t xml:space="preserve">５</w:t>
                          </w:r>
                          <w:r>
                            <w:rPr>
                              <w:rFonts w:ascii="宋体" w:hAnsi="宋体"/>
                            </w:rP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1"/>
                      <w:rPr>
                        <w:rStyle w:val="820"/>
                        <w:rFonts w:ascii="宋体" w:hAnsi="宋体"/>
                      </w:rPr>
                    </w:pPr>
                    <w:r>
                      <w:rPr>
                        <w:rFonts w:ascii="宋体" w:hAnsi="宋体"/>
                      </w:rPr>
                      <w:fldChar w:fldCharType="begin"/>
                    </w:r>
                    <w:r>
                      <w:rPr>
                        <w:rStyle w:val="820"/>
                        <w:rFonts w:ascii="宋体" w:hAnsi="宋体"/>
                      </w:rPr>
                      <w:instrText xml:space="preserve">PAGE  </w:instrText>
                    </w:r>
                    <w:r>
                      <w:rPr>
                        <w:rFonts w:ascii="宋体" w:hAnsi="宋体"/>
                      </w:rPr>
                      <w:fldChar w:fldCharType="separate"/>
                    </w:r>
                    <w:r>
                      <w:rPr>
                        <w:rStyle w:val="820"/>
                        <w:rFonts w:ascii="宋体" w:hAnsi="宋体"/>
                      </w:rPr>
                      <w:t xml:space="preserve">５</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0"/>
      </w:rPr>
      <w:framePr w:wrap="around" w:vAnchor="text" w:hAnchor="margin" w:xAlign="center" w:y="1"/>
    </w:pPr>
    <w:r>
      <w:fldChar w:fldCharType="begin"/>
    </w:r>
    <w:r>
      <w:rPr>
        <w:rStyle w:val="820"/>
      </w:rPr>
      <w:instrText xml:space="preserve">PAGE  </w:instrText>
    </w:r>
    <w:r>
      <w:fldChar w:fldCharType="separate"/>
    </w:r>
    <w:r>
      <w:rPr>
        <w:rStyle w:val="820"/>
      </w:rPr>
      <w:t xml:space="preserve">1</w:t>
    </w:r>
    <w:r>
      <w:fldChar w:fldCharType="end"/>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8"/>
      <w:isLgl w:val="false"/>
      <w:suff w:val="nothing"/>
      <w:lvlText w:val=""/>
      <w:lvlJc w:val="left"/>
      <w:pPr>
        <w:ind w:left="0" w:firstLine="0"/>
      </w:pPr>
      <w:rPr>
        <w:rFonts w:hint="eastAsia"/>
      </w:rPr>
    </w:lvl>
    <w:lvl w:ilvl="6">
      <w:start w:val="1"/>
      <w:numFmt w:val="none"/>
      <w:pStyle w:val="779"/>
      <w:isLgl w:val="false"/>
      <w:suff w:val="nothing"/>
      <w:lvlText w:val=""/>
      <w:lvlJc w:val="left"/>
      <w:pPr>
        <w:ind w:left="0" w:firstLine="0"/>
      </w:pPr>
      <w:rPr>
        <w:rFonts w:hint="eastAsia"/>
      </w:rPr>
    </w:lvl>
    <w:lvl w:ilvl="7">
      <w:start w:val="1"/>
      <w:numFmt w:val="none"/>
      <w:pStyle w:val="780"/>
      <w:isLgl w:val="false"/>
      <w:suff w:val="nothing"/>
      <w:lvlText w:val=""/>
      <w:lvlJc w:val="left"/>
      <w:pPr>
        <w:ind w:left="0" w:firstLine="0"/>
      </w:pPr>
      <w:rPr>
        <w:rFonts w:hint="eastAsia"/>
      </w:rPr>
    </w:lvl>
    <w:lvl w:ilvl="8">
      <w:start w:val="1"/>
      <w:numFmt w:val="none"/>
      <w:pStyle w:val="781"/>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2"/>
    <w:link w:val="773"/>
    <w:uiPriority w:val="9"/>
    <w:rPr>
      <w:rFonts w:ascii="Arial" w:hAnsi="Arial" w:eastAsia="Arial" w:cs="Arial"/>
      <w:sz w:val="40"/>
      <w:szCs w:val="40"/>
    </w:rPr>
  </w:style>
  <w:style w:type="character" w:styleId="15">
    <w:name w:val="Heading 2 Char"/>
    <w:basedOn w:val="782"/>
    <w:link w:val="774"/>
    <w:uiPriority w:val="9"/>
    <w:rPr>
      <w:rFonts w:ascii="Arial" w:hAnsi="Arial" w:eastAsia="Arial" w:cs="Arial"/>
      <w:sz w:val="34"/>
    </w:rPr>
  </w:style>
  <w:style w:type="character" w:styleId="17">
    <w:name w:val="Heading 3 Char"/>
    <w:basedOn w:val="782"/>
    <w:link w:val="775"/>
    <w:uiPriority w:val="9"/>
    <w:rPr>
      <w:rFonts w:ascii="Arial" w:hAnsi="Arial" w:eastAsia="Arial" w:cs="Arial"/>
      <w:sz w:val="30"/>
      <w:szCs w:val="30"/>
    </w:rPr>
  </w:style>
  <w:style w:type="character" w:styleId="19">
    <w:name w:val="Heading 4 Char"/>
    <w:basedOn w:val="782"/>
    <w:link w:val="776"/>
    <w:uiPriority w:val="9"/>
    <w:rPr>
      <w:rFonts w:ascii="Arial" w:hAnsi="Arial" w:eastAsia="Arial" w:cs="Arial"/>
      <w:b/>
      <w:bCs/>
      <w:sz w:val="26"/>
      <w:szCs w:val="26"/>
    </w:rPr>
  </w:style>
  <w:style w:type="character" w:styleId="21">
    <w:name w:val="Heading 5 Char"/>
    <w:basedOn w:val="782"/>
    <w:link w:val="777"/>
    <w:uiPriority w:val="9"/>
    <w:rPr>
      <w:rFonts w:ascii="Arial" w:hAnsi="Arial" w:eastAsia="Arial" w:cs="Arial"/>
      <w:b/>
      <w:bCs/>
      <w:sz w:val="24"/>
      <w:szCs w:val="24"/>
    </w:rPr>
  </w:style>
  <w:style w:type="character" w:styleId="23">
    <w:name w:val="Heading 6 Char"/>
    <w:basedOn w:val="782"/>
    <w:link w:val="778"/>
    <w:uiPriority w:val="9"/>
    <w:rPr>
      <w:rFonts w:ascii="Arial" w:hAnsi="Arial" w:eastAsia="Arial" w:cs="Arial"/>
      <w:b/>
      <w:bCs/>
      <w:sz w:val="22"/>
      <w:szCs w:val="22"/>
    </w:rPr>
  </w:style>
  <w:style w:type="character" w:styleId="25">
    <w:name w:val="Heading 7 Char"/>
    <w:basedOn w:val="782"/>
    <w:link w:val="779"/>
    <w:uiPriority w:val="9"/>
    <w:rPr>
      <w:rFonts w:ascii="Arial" w:hAnsi="Arial" w:eastAsia="Arial" w:cs="Arial"/>
      <w:b/>
      <w:bCs/>
      <w:i/>
      <w:iCs/>
      <w:sz w:val="22"/>
      <w:szCs w:val="22"/>
    </w:rPr>
  </w:style>
  <w:style w:type="character" w:styleId="27">
    <w:name w:val="Heading 8 Char"/>
    <w:basedOn w:val="782"/>
    <w:link w:val="780"/>
    <w:uiPriority w:val="9"/>
    <w:rPr>
      <w:rFonts w:ascii="Arial" w:hAnsi="Arial" w:eastAsia="Arial" w:cs="Arial"/>
      <w:i/>
      <w:iCs/>
      <w:sz w:val="22"/>
      <w:szCs w:val="22"/>
    </w:rPr>
  </w:style>
  <w:style w:type="character" w:styleId="29">
    <w:name w:val="Heading 9 Char"/>
    <w:basedOn w:val="782"/>
    <w:link w:val="781"/>
    <w:uiPriority w:val="9"/>
    <w:rPr>
      <w:rFonts w:ascii="Arial" w:hAnsi="Arial" w:eastAsia="Arial" w:cs="Arial"/>
      <w:i/>
      <w:iCs/>
      <w:sz w:val="21"/>
      <w:szCs w:val="21"/>
    </w:r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782"/>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782"/>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2"/>
    <w:link w:val="802"/>
    <w:uiPriority w:val="99"/>
  </w:style>
  <w:style w:type="character" w:styleId="44">
    <w:name w:val="Footer Char"/>
    <w:basedOn w:val="782"/>
    <w:link w:val="801"/>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801"/>
    <w:uiPriority w:val="99"/>
  </w:style>
  <w:style w:type="table" w:styleId="48">
    <w:name w:val="Table Grid Light"/>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6"/>
    <w:uiPriority w:val="99"/>
    <w:rPr>
      <w:sz w:val="18"/>
    </w:rPr>
  </w:style>
  <w:style w:type="character" w:styleId="176">
    <w:name w:val="footnote reference"/>
    <w:basedOn w:val="782"/>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2"/>
    <w:uiPriority w:val="99"/>
    <w:semiHidden/>
    <w:unhideWhenUsed/>
    <w:rPr>
      <w:vertAlign w:val="superscript"/>
    </w:rPr>
  </w:style>
  <w:style w:type="paragraph" w:styleId="189">
    <w:name w:val="TOC Heading"/>
    <w:uiPriority w:val="39"/>
    <w:unhideWhenUsed/>
  </w:style>
  <w:style w:type="paragraph" w:styleId="77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73">
    <w:name w:val="Heading 1"/>
    <w:basedOn w:val="772"/>
    <w:next w:val="772"/>
    <w:link w:val="824"/>
    <w:uiPriority w:val="0"/>
    <w:qFormat/>
    <w:pPr>
      <w:jc w:val="center"/>
      <w:keepNext/>
      <w:outlineLvl w:val="0"/>
    </w:pPr>
    <w:rPr>
      <w:rFonts w:ascii="楷体_GB2312" w:hAnsi="Times New Roman" w:eastAsia="楷体_GB2312"/>
      <w:sz w:val="28"/>
      <w:szCs w:val="28"/>
    </w:rPr>
  </w:style>
  <w:style w:type="paragraph" w:styleId="774">
    <w:name w:val="Heading 2"/>
    <w:basedOn w:val="772"/>
    <w:next w:val="784"/>
    <w:link w:val="825"/>
    <w:uiPriority w:val="0"/>
    <w:qFormat/>
    <w:pPr>
      <w:jc w:val="center"/>
      <w:keepLines/>
      <w:keepNext/>
      <w:spacing w:before="260" w:after="260" w:line="416" w:lineRule="auto"/>
      <w:outlineLvl w:val="1"/>
    </w:pPr>
    <w:rPr>
      <w:rFonts w:ascii="Arial" w:hAnsi="Arial" w:eastAsia="幼圆"/>
      <w:b/>
      <w:bCs/>
      <w:sz w:val="44"/>
      <w:szCs w:val="44"/>
    </w:rPr>
  </w:style>
  <w:style w:type="paragraph" w:styleId="775">
    <w:name w:val="Heading 3"/>
    <w:basedOn w:val="772"/>
    <w:next w:val="784"/>
    <w:link w:val="827"/>
    <w:uiPriority w:val="0"/>
    <w:qFormat/>
    <w:pPr>
      <w:keepLines/>
      <w:keepNext/>
      <w:spacing w:before="260" w:after="260" w:line="416" w:lineRule="auto"/>
      <w:outlineLvl w:val="2"/>
    </w:pPr>
    <w:rPr>
      <w:rFonts w:ascii="Times New Roman" w:hAnsi="Times New Roman"/>
      <w:b/>
      <w:bCs/>
      <w:sz w:val="32"/>
      <w:szCs w:val="32"/>
    </w:rPr>
  </w:style>
  <w:style w:type="paragraph" w:styleId="776">
    <w:name w:val="Heading 4"/>
    <w:basedOn w:val="772"/>
    <w:next w:val="772"/>
    <w:link w:val="828"/>
    <w:uiPriority w:val="0"/>
    <w:qFormat/>
    <w:pPr>
      <w:keepLines/>
      <w:keepNext/>
      <w:spacing w:before="280" w:after="290" w:line="376" w:lineRule="auto"/>
      <w:outlineLvl w:val="3"/>
    </w:pPr>
    <w:rPr>
      <w:rFonts w:ascii="Arial" w:hAnsi="Arial" w:eastAsia="黑体"/>
      <w:b/>
      <w:bCs/>
      <w:sz w:val="28"/>
      <w:szCs w:val="28"/>
    </w:rPr>
  </w:style>
  <w:style w:type="paragraph" w:styleId="777">
    <w:name w:val="Heading 5"/>
    <w:basedOn w:val="772"/>
    <w:next w:val="784"/>
    <w:link w:val="829"/>
    <w:uiPriority w:val="0"/>
    <w:qFormat/>
    <w:pPr>
      <w:keepNext/>
      <w:outlineLvl w:val="4"/>
    </w:pPr>
    <w:rPr>
      <w:rFonts w:ascii="宋体" w:hAnsi="Times New Roman"/>
      <w:color w:val="000000"/>
      <w:sz w:val="28"/>
      <w:szCs w:val="28"/>
    </w:rPr>
  </w:style>
  <w:style w:type="paragraph" w:styleId="778">
    <w:name w:val="Heading 6"/>
    <w:basedOn w:val="772"/>
    <w:next w:val="772"/>
    <w:link w:val="8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9">
    <w:name w:val="Heading 7"/>
    <w:basedOn w:val="772"/>
    <w:next w:val="772"/>
    <w:link w:val="83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80">
    <w:name w:val="Heading 8"/>
    <w:basedOn w:val="772"/>
    <w:next w:val="772"/>
    <w:link w:val="8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81">
    <w:name w:val="Heading 9"/>
    <w:basedOn w:val="772"/>
    <w:next w:val="772"/>
    <w:link w:val="83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782" w:default="1">
    <w:name w:val="Default Paragraph Font"/>
    <w:uiPriority w:val="1"/>
    <w:unhideWhenUsed/>
    <w:qFormat/>
  </w:style>
  <w:style w:type="table" w:styleId="783"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4">
    <w:name w:val="Normal Indent"/>
    <w:basedOn w:val="772"/>
    <w:link w:val="826"/>
    <w:uiPriority w:val="0"/>
    <w:qFormat/>
    <w:pPr>
      <w:ind w:firstLine="420"/>
    </w:pPr>
    <w:rPr>
      <w:sz w:val="20"/>
      <w:szCs w:val="21"/>
    </w:rPr>
  </w:style>
  <w:style w:type="paragraph" w:styleId="785">
    <w:name w:val="List 3"/>
    <w:basedOn w:val="772"/>
    <w:uiPriority w:val="0"/>
    <w:qFormat/>
    <w:pPr>
      <w:ind w:left="100" w:hanging="200"/>
    </w:pPr>
    <w:rPr>
      <w:rFonts w:ascii="Times New Roman" w:hAnsi="Times New Roman" w:eastAsia="宋体" w:cs="Times New Roman"/>
      <w:szCs w:val="21"/>
    </w:rPr>
  </w:style>
  <w:style w:type="paragraph" w:styleId="786">
    <w:name w:val="toc 7"/>
    <w:basedOn w:val="772"/>
    <w:next w:val="772"/>
    <w:uiPriority w:val="0"/>
    <w:semiHidden/>
    <w:qFormat/>
    <w:pPr>
      <w:ind w:left="1260"/>
      <w:jc w:val="left"/>
    </w:pPr>
    <w:rPr>
      <w:rFonts w:ascii="Times New Roman" w:hAnsi="Times New Roman" w:eastAsia="宋体" w:cs="Times New Roman"/>
      <w:szCs w:val="21"/>
    </w:rPr>
  </w:style>
  <w:style w:type="paragraph" w:styleId="787">
    <w:name w:val="index 5"/>
    <w:basedOn w:val="772"/>
    <w:next w:val="772"/>
    <w:uiPriority w:val="99"/>
    <w:unhideWhenUsed/>
    <w:qFormat/>
    <w:pPr>
      <w:ind w:left="1050" w:hanging="210"/>
      <w:jc w:val="left"/>
    </w:pPr>
    <w:rPr>
      <w:rFonts w:ascii="Times New Roman" w:hAnsi="Times New Roman"/>
      <w:sz w:val="18"/>
      <w:szCs w:val="18"/>
      <w:lang w:eastAsia="zh-TW"/>
    </w:rPr>
  </w:style>
  <w:style w:type="paragraph" w:styleId="788">
    <w:name w:val="Document Map"/>
    <w:basedOn w:val="772"/>
    <w:link w:val="834"/>
    <w:uiPriority w:val="0"/>
    <w:semiHidden/>
    <w:qFormat/>
    <w:pPr>
      <w:shd w:val="clear" w:color="auto" w:fill="000080"/>
    </w:pPr>
    <w:rPr>
      <w:rFonts w:ascii="Times New Roman" w:hAnsi="Times New Roman"/>
      <w:sz w:val="20"/>
      <w:szCs w:val="21"/>
    </w:rPr>
  </w:style>
  <w:style w:type="paragraph" w:styleId="789">
    <w:name w:val="annotation text"/>
    <w:basedOn w:val="772"/>
    <w:link w:val="835"/>
    <w:uiPriority w:val="0"/>
    <w:unhideWhenUsed/>
    <w:qFormat/>
    <w:pPr>
      <w:jc w:val="left"/>
    </w:pPr>
  </w:style>
  <w:style w:type="paragraph" w:styleId="790">
    <w:name w:val="Body Text 3"/>
    <w:basedOn w:val="772"/>
    <w:link w:val="836"/>
    <w:uiPriority w:val="0"/>
    <w:qFormat/>
    <w:rPr>
      <w:rFonts w:ascii="仿宋_GB2312" w:hAnsi="Arial" w:eastAsia="仿宋_GB2312"/>
      <w:sz w:val="32"/>
      <w:szCs w:val="32"/>
    </w:rPr>
  </w:style>
  <w:style w:type="paragraph" w:styleId="791">
    <w:name w:val="Body Text"/>
    <w:basedOn w:val="772"/>
    <w:next w:val="772"/>
    <w:link w:val="837"/>
    <w:uiPriority w:val="0"/>
    <w:qFormat/>
    <w:rPr>
      <w:rFonts w:ascii="楷体_GB2312" w:hAnsi="Arial" w:eastAsia="楷体_GB2312"/>
      <w:sz w:val="28"/>
      <w:szCs w:val="28"/>
    </w:rPr>
  </w:style>
  <w:style w:type="paragraph" w:styleId="792">
    <w:name w:val="Body Text Indent"/>
    <w:basedOn w:val="772"/>
    <w:link w:val="838"/>
    <w:uiPriority w:val="0"/>
    <w:unhideWhenUsed/>
    <w:qFormat/>
    <w:pPr>
      <w:ind w:left="420"/>
      <w:spacing w:after="120"/>
    </w:pPr>
  </w:style>
  <w:style w:type="paragraph" w:styleId="793">
    <w:name w:val="List 2"/>
    <w:basedOn w:val="772"/>
    <w:uiPriority w:val="0"/>
    <w:qFormat/>
    <w:pPr>
      <w:ind w:left="100" w:hanging="200"/>
    </w:pPr>
    <w:rPr>
      <w:rFonts w:ascii="Times New Roman" w:hAnsi="Times New Roman" w:eastAsia="宋体" w:cs="Times New Roman"/>
      <w:szCs w:val="21"/>
    </w:rPr>
  </w:style>
  <w:style w:type="paragraph" w:styleId="794">
    <w:name w:val="toc 5"/>
    <w:basedOn w:val="772"/>
    <w:next w:val="772"/>
    <w:uiPriority w:val="0"/>
    <w:semiHidden/>
    <w:qFormat/>
    <w:pPr>
      <w:ind w:left="840"/>
      <w:jc w:val="left"/>
    </w:pPr>
    <w:rPr>
      <w:rFonts w:ascii="Times New Roman" w:hAnsi="Times New Roman" w:eastAsia="宋体" w:cs="Times New Roman"/>
      <w:szCs w:val="21"/>
    </w:rPr>
  </w:style>
  <w:style w:type="paragraph" w:styleId="795">
    <w:name w:val="toc 3"/>
    <w:basedOn w:val="772"/>
    <w:next w:val="772"/>
    <w:uiPriority w:val="0"/>
    <w:semiHidden/>
    <w:qFormat/>
    <w:pPr>
      <w:ind w:left="420"/>
      <w:jc w:val="left"/>
    </w:pPr>
    <w:rPr>
      <w:rFonts w:ascii="Times New Roman" w:hAnsi="Times New Roman" w:eastAsia="宋体" w:cs="Times New Roman"/>
      <w:i/>
      <w:iCs/>
      <w:szCs w:val="24"/>
    </w:rPr>
  </w:style>
  <w:style w:type="paragraph" w:styleId="796">
    <w:name w:val="Plain Text"/>
    <w:basedOn w:val="772"/>
    <w:link w:val="839"/>
    <w:uiPriority w:val="0"/>
    <w:qFormat/>
    <w:rPr>
      <w:rFonts w:ascii="宋体" w:hAnsi="Courier New"/>
      <w:sz w:val="20"/>
      <w:szCs w:val="21"/>
    </w:rPr>
  </w:style>
  <w:style w:type="paragraph" w:styleId="797">
    <w:name w:val="toc 8"/>
    <w:basedOn w:val="772"/>
    <w:next w:val="772"/>
    <w:uiPriority w:val="0"/>
    <w:semiHidden/>
    <w:qFormat/>
    <w:pPr>
      <w:ind w:left="1470"/>
      <w:jc w:val="left"/>
    </w:pPr>
    <w:rPr>
      <w:rFonts w:ascii="Times New Roman" w:hAnsi="Times New Roman" w:eastAsia="宋体" w:cs="Times New Roman"/>
      <w:szCs w:val="21"/>
    </w:rPr>
  </w:style>
  <w:style w:type="paragraph" w:styleId="798">
    <w:name w:val="Date"/>
    <w:basedOn w:val="772"/>
    <w:next w:val="772"/>
    <w:link w:val="840"/>
    <w:uiPriority w:val="0"/>
    <w:qFormat/>
    <w:rPr>
      <w:rFonts w:ascii="Times New Roman" w:hAnsi="Times New Roman"/>
      <w:sz w:val="24"/>
      <w:szCs w:val="24"/>
    </w:rPr>
  </w:style>
  <w:style w:type="paragraph" w:styleId="799">
    <w:name w:val="Body Text Indent 2"/>
    <w:basedOn w:val="772"/>
    <w:link w:val="841"/>
    <w:uiPriority w:val="0"/>
    <w:qFormat/>
    <w:pPr>
      <w:ind w:left="630" w:firstLine="645"/>
    </w:pPr>
    <w:rPr>
      <w:rFonts w:ascii="Arial" w:hAnsi="Arial" w:eastAsia="仿宋_GB2312"/>
      <w:sz w:val="32"/>
      <w:szCs w:val="32"/>
    </w:rPr>
  </w:style>
  <w:style w:type="paragraph" w:styleId="800">
    <w:name w:val="Balloon Text"/>
    <w:basedOn w:val="772"/>
    <w:link w:val="842"/>
    <w:uiPriority w:val="0"/>
    <w:semiHidden/>
    <w:qFormat/>
    <w:rPr>
      <w:rFonts w:ascii="Times New Roman" w:hAnsi="Times New Roman"/>
      <w:sz w:val="18"/>
      <w:szCs w:val="18"/>
    </w:rPr>
  </w:style>
  <w:style w:type="paragraph" w:styleId="801">
    <w:name w:val="Footer"/>
    <w:basedOn w:val="772"/>
    <w:link w:val="843"/>
    <w:uiPriority w:val="0"/>
    <w:qFormat/>
    <w:pPr>
      <w:jc w:val="left"/>
      <w:tabs>
        <w:tab w:val="center" w:pos="4153" w:leader="none"/>
        <w:tab w:val="right" w:pos="8306" w:leader="none"/>
      </w:tabs>
    </w:pPr>
    <w:rPr>
      <w:rFonts w:ascii="Times New Roman" w:hAnsi="Times New Roman"/>
      <w:sz w:val="18"/>
      <w:szCs w:val="18"/>
    </w:rPr>
  </w:style>
  <w:style w:type="paragraph" w:styleId="802">
    <w:name w:val="Header"/>
    <w:basedOn w:val="772"/>
    <w:link w:val="8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03">
    <w:name w:val="toc 1"/>
    <w:basedOn w:val="772"/>
    <w:next w:val="77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04">
    <w:name w:val="toc 4"/>
    <w:basedOn w:val="772"/>
    <w:next w:val="772"/>
    <w:uiPriority w:val="0"/>
    <w:semiHidden/>
    <w:qFormat/>
    <w:pPr>
      <w:ind w:left="630"/>
      <w:jc w:val="left"/>
    </w:pPr>
    <w:rPr>
      <w:rFonts w:ascii="Times New Roman" w:hAnsi="Times New Roman" w:eastAsia="宋体" w:cs="Times New Roman"/>
      <w:szCs w:val="21"/>
    </w:rPr>
  </w:style>
  <w:style w:type="paragraph" w:styleId="805">
    <w:name w:val="List"/>
    <w:basedOn w:val="772"/>
    <w:uiPriority w:val="0"/>
    <w:qFormat/>
    <w:pPr>
      <w:ind w:left="200" w:hanging="200"/>
    </w:pPr>
    <w:rPr>
      <w:rFonts w:ascii="Times New Roman" w:hAnsi="Times New Roman" w:eastAsia="宋体" w:cs="Times New Roman"/>
      <w:szCs w:val="21"/>
    </w:rPr>
  </w:style>
  <w:style w:type="paragraph" w:styleId="806">
    <w:name w:val="footnote text"/>
    <w:basedOn w:val="772"/>
    <w:next w:val="787"/>
    <w:uiPriority w:val="0"/>
    <w:qFormat/>
    <w:pPr>
      <w:jc w:val="left"/>
    </w:pPr>
    <w:rPr>
      <w:sz w:val="18"/>
      <w:szCs w:val="18"/>
    </w:rPr>
  </w:style>
  <w:style w:type="paragraph" w:styleId="807">
    <w:name w:val="toc 6"/>
    <w:basedOn w:val="772"/>
    <w:next w:val="772"/>
    <w:uiPriority w:val="0"/>
    <w:semiHidden/>
    <w:qFormat/>
    <w:pPr>
      <w:ind w:left="1050"/>
      <w:jc w:val="left"/>
    </w:pPr>
    <w:rPr>
      <w:rFonts w:ascii="Times New Roman" w:hAnsi="Times New Roman" w:eastAsia="宋体" w:cs="Times New Roman"/>
      <w:szCs w:val="21"/>
    </w:rPr>
  </w:style>
  <w:style w:type="paragraph" w:styleId="808">
    <w:name w:val="Body Text Indent 3"/>
    <w:basedOn w:val="772"/>
    <w:link w:val="845"/>
    <w:uiPriority w:val="0"/>
    <w:qFormat/>
    <w:pPr>
      <w:ind w:left="645" w:firstLine="645"/>
    </w:pPr>
    <w:rPr>
      <w:rFonts w:ascii="Arial" w:hAnsi="Arial" w:eastAsia="仿宋_GB2312"/>
      <w:color w:val="ffff00"/>
      <w:sz w:val="32"/>
      <w:szCs w:val="32"/>
    </w:rPr>
  </w:style>
  <w:style w:type="paragraph" w:styleId="809">
    <w:name w:val="table of figures"/>
    <w:basedOn w:val="772"/>
    <w:next w:val="772"/>
    <w:uiPriority w:val="0"/>
    <w:semiHidden/>
    <w:qFormat/>
    <w:pPr>
      <w:ind w:left="840" w:hanging="420"/>
    </w:pPr>
    <w:rPr>
      <w:rFonts w:ascii="Times New Roman" w:hAnsi="Times New Roman" w:eastAsia="宋体" w:cs="Times New Roman"/>
      <w:szCs w:val="21"/>
    </w:rPr>
  </w:style>
  <w:style w:type="paragraph" w:styleId="810">
    <w:name w:val="toc 2"/>
    <w:basedOn w:val="772"/>
    <w:next w:val="772"/>
    <w:uiPriority w:val="0"/>
    <w:semiHidden/>
    <w:qFormat/>
    <w:pPr>
      <w:ind w:left="210"/>
      <w:jc w:val="left"/>
    </w:pPr>
    <w:rPr>
      <w:rFonts w:ascii="Times New Roman" w:hAnsi="Times New Roman" w:eastAsia="宋体" w:cs="Times New Roman"/>
      <w:smallCaps/>
      <w:szCs w:val="24"/>
    </w:rPr>
  </w:style>
  <w:style w:type="paragraph" w:styleId="811">
    <w:name w:val="toc 9"/>
    <w:basedOn w:val="772"/>
    <w:next w:val="772"/>
    <w:uiPriority w:val="0"/>
    <w:semiHidden/>
    <w:qFormat/>
    <w:pPr>
      <w:ind w:left="1680"/>
      <w:jc w:val="left"/>
    </w:pPr>
    <w:rPr>
      <w:rFonts w:ascii="Times New Roman" w:hAnsi="Times New Roman" w:eastAsia="宋体" w:cs="Times New Roman"/>
      <w:szCs w:val="21"/>
    </w:rPr>
  </w:style>
  <w:style w:type="paragraph" w:styleId="812">
    <w:name w:val="Body Text 2"/>
    <w:basedOn w:val="772"/>
    <w:link w:val="846"/>
    <w:uiPriority w:val="0"/>
    <w:qFormat/>
    <w:pPr>
      <w:jc w:val="center"/>
      <w:widowControl/>
    </w:pPr>
    <w:rPr>
      <w:rFonts w:ascii="楷体_GB2312" w:hAnsi="Times New Roman" w:eastAsia="楷体_GB2312"/>
      <w:sz w:val="28"/>
      <w:szCs w:val="28"/>
    </w:rPr>
  </w:style>
  <w:style w:type="paragraph" w:styleId="813">
    <w:name w:val="Normal (Web)"/>
    <w:basedOn w:val="772"/>
    <w:uiPriority w:val="99"/>
    <w:qFormat/>
    <w:pPr>
      <w:jc w:val="left"/>
      <w:spacing w:before="100" w:beforeAutospacing="1" w:after="100" w:afterAutospacing="1"/>
      <w:widowControl/>
    </w:pPr>
    <w:rPr>
      <w:rFonts w:ascii="宋体" w:hAnsi="宋体" w:eastAsia="宋体" w:cs="宋体"/>
      <w:sz w:val="24"/>
      <w:szCs w:val="24"/>
    </w:rPr>
  </w:style>
  <w:style w:type="paragraph" w:styleId="814">
    <w:name w:val="index 1"/>
    <w:basedOn w:val="772"/>
    <w:next w:val="772"/>
    <w:uiPriority w:val="0"/>
    <w:semiHidden/>
    <w:qFormat/>
    <w:pPr>
      <w:spacing w:line="240" w:lineRule="atLeast"/>
    </w:pPr>
    <w:rPr>
      <w:rFonts w:ascii="Times New Roman" w:hAnsi="Times New Roman" w:eastAsia="宋体" w:cs="Times New Roman"/>
      <w:b/>
      <w:bCs/>
      <w:szCs w:val="21"/>
    </w:rPr>
  </w:style>
  <w:style w:type="paragraph" w:styleId="815">
    <w:name w:val="annotation subject"/>
    <w:basedOn w:val="789"/>
    <w:next w:val="789"/>
    <w:link w:val="847"/>
    <w:uiPriority w:val="0"/>
    <w:semiHidden/>
    <w:qFormat/>
    <w:rPr>
      <w:rFonts w:ascii="Times New Roman" w:hAnsi="Times New Roman"/>
      <w:b/>
      <w:bCs/>
      <w:sz w:val="20"/>
      <w:szCs w:val="21"/>
    </w:rPr>
  </w:style>
  <w:style w:type="paragraph" w:styleId="816">
    <w:name w:val="Body Text First Indent"/>
    <w:basedOn w:val="772"/>
    <w:link w:val="848"/>
    <w:uiPriority w:val="0"/>
    <w:qFormat/>
    <w:pPr>
      <w:ind w:firstLine="200"/>
      <w:spacing w:line="360" w:lineRule="auto"/>
    </w:pPr>
    <w:rPr>
      <w:rFonts w:ascii="仿宋_GB2312" w:hAnsi="Times New Roman" w:eastAsia="仿宋_GB2312"/>
      <w:sz w:val="30"/>
      <w:szCs w:val="30"/>
    </w:rPr>
  </w:style>
  <w:style w:type="paragraph" w:styleId="817">
    <w:name w:val="Body Text First Indent 2"/>
    <w:basedOn w:val="792"/>
    <w:link w:val="849"/>
    <w:uiPriority w:val="0"/>
    <w:qFormat/>
    <w:pPr>
      <w:ind w:left="0" w:firstLine="420"/>
      <w:spacing w:after="0" w:line="360" w:lineRule="auto"/>
    </w:pPr>
    <w:rPr>
      <w:rFonts w:ascii="宋体" w:hAnsi="宋体"/>
      <w:sz w:val="20"/>
      <w:szCs w:val="20"/>
    </w:rPr>
  </w:style>
  <w:style w:type="table" w:styleId="818">
    <w:name w:val="Table Grid"/>
    <w:basedOn w:val="78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0"/>
    <w:qFormat/>
    <w:rPr>
      <w:b/>
      <w:bCs/>
    </w:rPr>
  </w:style>
  <w:style w:type="character" w:styleId="820">
    <w:name w:val="page number"/>
    <w:uiPriority w:val="0"/>
    <w:qFormat/>
  </w:style>
  <w:style w:type="character" w:styleId="821">
    <w:name w:val="FollowedHyperlink"/>
    <w:uiPriority w:val="0"/>
    <w:qFormat/>
    <w:rPr>
      <w:color w:val="800080"/>
      <w:u w:val="single"/>
    </w:rPr>
  </w:style>
  <w:style w:type="character" w:styleId="822">
    <w:name w:val="Hyperlink"/>
    <w:uiPriority w:val="0"/>
    <w:qFormat/>
    <w:rPr>
      <w:color w:val="0000ff"/>
      <w:u w:val="single"/>
    </w:rPr>
  </w:style>
  <w:style w:type="character" w:styleId="823">
    <w:name w:val="annotation reference"/>
    <w:uiPriority w:val="0"/>
    <w:semiHidden/>
    <w:qFormat/>
    <w:rPr>
      <w:sz w:val="21"/>
      <w:szCs w:val="21"/>
    </w:rPr>
  </w:style>
  <w:style w:type="character" w:styleId="824" w:customStyle="1">
    <w:name w:val="标题 1 Char"/>
    <w:link w:val="773"/>
    <w:uiPriority w:val="0"/>
    <w:qFormat/>
    <w:rPr>
      <w:rFonts w:ascii="楷体_GB2312" w:hAnsi="Times New Roman" w:eastAsia="楷体_GB2312" w:cs="Times New Roman"/>
      <w:sz w:val="28"/>
      <w:szCs w:val="28"/>
    </w:rPr>
  </w:style>
  <w:style w:type="character" w:styleId="825" w:customStyle="1">
    <w:name w:val="标题 2 Char"/>
    <w:link w:val="774"/>
    <w:uiPriority w:val="0"/>
    <w:qFormat/>
    <w:rPr>
      <w:rFonts w:ascii="Arial" w:hAnsi="Arial" w:eastAsia="幼圆" w:cs="Arial"/>
      <w:b/>
      <w:bCs/>
      <w:sz w:val="44"/>
      <w:szCs w:val="44"/>
    </w:rPr>
  </w:style>
  <w:style w:type="character" w:styleId="826" w:customStyle="1">
    <w:name w:val="正文缩进 Char"/>
    <w:link w:val="784"/>
    <w:uiPriority w:val="0"/>
    <w:qFormat/>
    <w:rPr>
      <w:szCs w:val="21"/>
    </w:rPr>
  </w:style>
  <w:style w:type="character" w:styleId="827" w:customStyle="1">
    <w:name w:val="标题 3 Char"/>
    <w:link w:val="775"/>
    <w:uiPriority w:val="0"/>
    <w:qFormat/>
    <w:rPr>
      <w:rFonts w:ascii="Times New Roman" w:hAnsi="Times New Roman" w:eastAsia="宋体" w:cs="Times New Roman"/>
      <w:b/>
      <w:bCs/>
      <w:sz w:val="32"/>
      <w:szCs w:val="32"/>
    </w:rPr>
  </w:style>
  <w:style w:type="character" w:styleId="828" w:customStyle="1">
    <w:name w:val="标题 4 Char"/>
    <w:link w:val="776"/>
    <w:uiPriority w:val="0"/>
    <w:qFormat/>
    <w:rPr>
      <w:rFonts w:ascii="Arial" w:hAnsi="Arial" w:eastAsia="黑体" w:cs="Arial"/>
      <w:b/>
      <w:bCs/>
      <w:sz w:val="28"/>
      <w:szCs w:val="28"/>
    </w:rPr>
  </w:style>
  <w:style w:type="character" w:styleId="829" w:customStyle="1">
    <w:name w:val="标题 5 Char"/>
    <w:link w:val="777"/>
    <w:uiPriority w:val="0"/>
    <w:qFormat/>
    <w:rPr>
      <w:rFonts w:ascii="宋体" w:hAnsi="Times New Roman" w:eastAsia="宋体" w:cs="Times New Roman"/>
      <w:color w:val="000000"/>
      <w:sz w:val="28"/>
      <w:szCs w:val="28"/>
    </w:rPr>
  </w:style>
  <w:style w:type="character" w:styleId="830" w:customStyle="1">
    <w:name w:val="标题 6 Char"/>
    <w:link w:val="778"/>
    <w:uiPriority w:val="0"/>
    <w:qFormat/>
    <w:rPr>
      <w:rFonts w:ascii="Arial" w:hAnsi="Arial" w:eastAsia="黑体" w:cs="Times New Roman"/>
      <w:b/>
      <w:bCs/>
      <w:sz w:val="24"/>
      <w:szCs w:val="24"/>
    </w:rPr>
  </w:style>
  <w:style w:type="character" w:styleId="831" w:customStyle="1">
    <w:name w:val="标题 7 Char"/>
    <w:link w:val="779"/>
    <w:uiPriority w:val="0"/>
    <w:qFormat/>
    <w:rPr>
      <w:rFonts w:ascii="Times New Roman" w:hAnsi="Times New Roman" w:eastAsia="宋体" w:cs="Times New Roman"/>
      <w:b/>
      <w:bCs/>
      <w:sz w:val="24"/>
      <w:szCs w:val="24"/>
    </w:rPr>
  </w:style>
  <w:style w:type="character" w:styleId="832" w:customStyle="1">
    <w:name w:val="标题 8 Char"/>
    <w:link w:val="780"/>
    <w:uiPriority w:val="0"/>
    <w:qFormat/>
    <w:rPr>
      <w:rFonts w:ascii="Arial" w:hAnsi="Arial" w:eastAsia="黑体" w:cs="Times New Roman"/>
      <w:sz w:val="24"/>
      <w:szCs w:val="24"/>
    </w:rPr>
  </w:style>
  <w:style w:type="character" w:styleId="833" w:customStyle="1">
    <w:name w:val="标题 9 Char"/>
    <w:link w:val="781"/>
    <w:uiPriority w:val="0"/>
    <w:qFormat/>
    <w:rPr>
      <w:rFonts w:ascii="Arial" w:hAnsi="Arial" w:eastAsia="黑体" w:cs="Times New Roman"/>
      <w:szCs w:val="21"/>
    </w:rPr>
  </w:style>
  <w:style w:type="character" w:styleId="834" w:customStyle="1">
    <w:name w:val="文档结构图 Char"/>
    <w:link w:val="788"/>
    <w:uiPriority w:val="0"/>
    <w:semiHidden/>
    <w:qFormat/>
    <w:rPr>
      <w:rFonts w:ascii="Times New Roman" w:hAnsi="Times New Roman" w:eastAsia="宋体" w:cs="Times New Roman"/>
      <w:szCs w:val="21"/>
      <w:shd w:val="clear" w:color="auto" w:fill="000080"/>
    </w:rPr>
  </w:style>
  <w:style w:type="character" w:styleId="835" w:customStyle="1">
    <w:name w:val="批注文字 Char"/>
    <w:basedOn w:val="782"/>
    <w:link w:val="789"/>
    <w:uiPriority w:val="99"/>
    <w:semiHidden/>
    <w:qFormat/>
  </w:style>
  <w:style w:type="character" w:styleId="836" w:customStyle="1">
    <w:name w:val="正文文本 3 Char"/>
    <w:link w:val="790"/>
    <w:uiPriority w:val="0"/>
    <w:qFormat/>
    <w:rPr>
      <w:rFonts w:ascii="仿宋_GB2312" w:hAnsi="Arial" w:eastAsia="仿宋_GB2312" w:cs="Times New Roman"/>
      <w:sz w:val="32"/>
      <w:szCs w:val="32"/>
    </w:rPr>
  </w:style>
  <w:style w:type="character" w:styleId="837" w:customStyle="1">
    <w:name w:val="正文文本 Char"/>
    <w:link w:val="791"/>
    <w:uiPriority w:val="0"/>
    <w:qFormat/>
    <w:rPr>
      <w:rFonts w:ascii="楷体_GB2312" w:hAnsi="Arial" w:eastAsia="楷体_GB2312" w:cs="Times New Roman"/>
      <w:sz w:val="28"/>
      <w:szCs w:val="28"/>
    </w:rPr>
  </w:style>
  <w:style w:type="character" w:styleId="838" w:customStyle="1">
    <w:name w:val="正文文本缩进 Char"/>
    <w:basedOn w:val="782"/>
    <w:link w:val="792"/>
    <w:uiPriority w:val="99"/>
    <w:semiHidden/>
    <w:qFormat/>
  </w:style>
  <w:style w:type="character" w:styleId="839" w:customStyle="1">
    <w:name w:val="纯文本 Char"/>
    <w:link w:val="796"/>
    <w:uiPriority w:val="0"/>
    <w:qFormat/>
    <w:rPr>
      <w:rFonts w:ascii="宋体" w:hAnsi="Courier New" w:eastAsia="宋体" w:cs="Courier New"/>
      <w:szCs w:val="21"/>
    </w:rPr>
  </w:style>
  <w:style w:type="character" w:styleId="840" w:customStyle="1">
    <w:name w:val="日期 Char"/>
    <w:link w:val="798"/>
    <w:uiPriority w:val="0"/>
    <w:qFormat/>
    <w:rPr>
      <w:rFonts w:ascii="Times New Roman" w:hAnsi="Times New Roman" w:eastAsia="宋体" w:cs="Times New Roman"/>
      <w:sz w:val="24"/>
      <w:szCs w:val="24"/>
    </w:rPr>
  </w:style>
  <w:style w:type="character" w:styleId="841" w:customStyle="1">
    <w:name w:val="正文文本缩进 2 Char"/>
    <w:link w:val="799"/>
    <w:uiPriority w:val="0"/>
    <w:qFormat/>
    <w:rPr>
      <w:rFonts w:ascii="Arial" w:hAnsi="Arial" w:eastAsia="仿宋_GB2312" w:cs="Arial"/>
      <w:sz w:val="32"/>
      <w:szCs w:val="32"/>
    </w:rPr>
  </w:style>
  <w:style w:type="character" w:styleId="842" w:customStyle="1">
    <w:name w:val="批注框文本 Char"/>
    <w:link w:val="800"/>
    <w:uiPriority w:val="0"/>
    <w:semiHidden/>
    <w:qFormat/>
    <w:rPr>
      <w:rFonts w:ascii="Times New Roman" w:hAnsi="Times New Roman" w:eastAsia="宋体" w:cs="Times New Roman"/>
      <w:sz w:val="18"/>
      <w:szCs w:val="18"/>
    </w:rPr>
  </w:style>
  <w:style w:type="character" w:styleId="843" w:customStyle="1">
    <w:name w:val="页脚 Char"/>
    <w:link w:val="801"/>
    <w:uiPriority w:val="0"/>
    <w:qFormat/>
    <w:rPr>
      <w:rFonts w:ascii="Times New Roman" w:hAnsi="Times New Roman" w:eastAsia="宋体" w:cs="Times New Roman"/>
      <w:sz w:val="18"/>
      <w:szCs w:val="18"/>
    </w:rPr>
  </w:style>
  <w:style w:type="character" w:styleId="844" w:customStyle="1">
    <w:name w:val="页眉 Char"/>
    <w:link w:val="802"/>
    <w:uiPriority w:val="0"/>
    <w:qFormat/>
    <w:rPr>
      <w:rFonts w:ascii="Times New Roman" w:hAnsi="Times New Roman" w:eastAsia="宋体" w:cs="Times New Roman"/>
      <w:sz w:val="18"/>
      <w:szCs w:val="18"/>
    </w:rPr>
  </w:style>
  <w:style w:type="character" w:styleId="845" w:customStyle="1">
    <w:name w:val="正文文本缩进 3 Char"/>
    <w:link w:val="808"/>
    <w:uiPriority w:val="0"/>
    <w:qFormat/>
    <w:rPr>
      <w:rFonts w:ascii="Arial" w:hAnsi="Arial" w:eastAsia="仿宋_GB2312" w:cs="Arial"/>
      <w:color w:val="ffff00"/>
      <w:sz w:val="32"/>
      <w:szCs w:val="32"/>
    </w:rPr>
  </w:style>
  <w:style w:type="character" w:styleId="846" w:customStyle="1">
    <w:name w:val="正文文本 2 Char"/>
    <w:link w:val="812"/>
    <w:uiPriority w:val="0"/>
    <w:qFormat/>
    <w:rPr>
      <w:rFonts w:ascii="楷体_GB2312" w:hAnsi="Times New Roman" w:eastAsia="楷体_GB2312" w:cs="Times New Roman"/>
      <w:sz w:val="28"/>
      <w:szCs w:val="28"/>
    </w:rPr>
  </w:style>
  <w:style w:type="character" w:styleId="847" w:customStyle="1">
    <w:name w:val="批注主题 Char"/>
    <w:link w:val="815"/>
    <w:uiPriority w:val="0"/>
    <w:semiHidden/>
    <w:qFormat/>
    <w:rPr>
      <w:rFonts w:ascii="Times New Roman" w:hAnsi="Times New Roman" w:eastAsia="宋体" w:cs="Times New Roman"/>
      <w:b/>
      <w:bCs/>
      <w:szCs w:val="21"/>
    </w:rPr>
  </w:style>
  <w:style w:type="character" w:styleId="848" w:customStyle="1">
    <w:name w:val="正文首行缩进 Char"/>
    <w:link w:val="816"/>
    <w:uiPriority w:val="0"/>
    <w:qFormat/>
    <w:rPr>
      <w:rFonts w:ascii="仿宋_GB2312" w:hAnsi="Times New Roman" w:eastAsia="仿宋_GB2312" w:cs="Times New Roman"/>
      <w:sz w:val="30"/>
      <w:szCs w:val="30"/>
    </w:rPr>
  </w:style>
  <w:style w:type="character" w:styleId="849" w:customStyle="1">
    <w:name w:val="正文首行缩进 2 Char"/>
    <w:link w:val="817"/>
    <w:uiPriority w:val="0"/>
    <w:qFormat/>
    <w:rPr>
      <w:rFonts w:ascii="宋体" w:hAnsi="宋体" w:eastAsia="宋体" w:cs="Times New Roman"/>
      <w:szCs w:val="20"/>
    </w:rPr>
  </w:style>
  <w:style w:type="character" w:styleId="850" w:customStyle="1">
    <w:name w:val="font5 Char"/>
    <w:uiPriority w:val="0"/>
    <w:qFormat/>
    <w:rPr>
      <w:rFonts w:ascii="宋体" w:hAnsi="宋体" w:eastAsia="宋体"/>
      <w:sz w:val="28"/>
      <w:szCs w:val="28"/>
      <w:lang w:val="en-US" w:eastAsia="zh-CN" w:bidi="ar-SA"/>
    </w:rPr>
  </w:style>
  <w:style w:type="character" w:styleId="851" w:customStyle="1">
    <w:name w:val="二级目录 Char"/>
    <w:link w:val="852"/>
    <w:uiPriority w:val="0"/>
    <w:qFormat/>
    <w:rPr>
      <w:b/>
      <w:sz w:val="30"/>
      <w:szCs w:val="28"/>
      <w:lang w:val="en-US" w:eastAsia="zh-CN" w:bidi="ar-SA"/>
    </w:rPr>
  </w:style>
  <w:style w:type="paragraph" w:styleId="852" w:customStyle="1">
    <w:name w:val="二级目录"/>
    <w:next w:val="772"/>
    <w:link w:val="85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853" w:customStyle="1">
    <w:name w:val="列出段落 Char"/>
    <w:link w:val="854"/>
    <w:uiPriority w:val="0"/>
    <w:qFormat/>
    <w:rPr>
      <w:rFonts w:ascii="Calibri" w:hAnsi="Calibri"/>
      <w:sz w:val="24"/>
      <w:szCs w:val="24"/>
      <w:lang w:eastAsia="en-US" w:bidi="en-US"/>
    </w:rPr>
  </w:style>
  <w:style w:type="paragraph" w:styleId="854" w:customStyle="1">
    <w:name w:val="列出段落1"/>
    <w:basedOn w:val="772"/>
    <w:link w:val="853"/>
    <w:uiPriority w:val="0"/>
    <w:qFormat/>
    <w:pPr>
      <w:contextualSpacing/>
      <w:ind w:left="720"/>
      <w:jc w:val="left"/>
      <w:widowControl/>
    </w:pPr>
    <w:rPr>
      <w:sz w:val="24"/>
      <w:szCs w:val="24"/>
      <w:lang w:eastAsia="en-US" w:bidi="en-US"/>
    </w:rPr>
  </w:style>
  <w:style w:type="paragraph" w:styleId="855" w:customStyle="1">
    <w:name w:val="Body Text(ch)"/>
    <w:basedOn w:val="772"/>
    <w:next w:val="791"/>
    <w:uiPriority w:val="0"/>
    <w:qFormat/>
    <w:pPr>
      <w:spacing w:after="120"/>
    </w:pPr>
    <w:rPr>
      <w:rFonts w:ascii="宋体" w:hAnsi="Arial" w:eastAsia="宋体" w:cs="Times New Roman"/>
      <w:bCs/>
      <w:iCs/>
      <w:szCs w:val="24"/>
    </w:rPr>
  </w:style>
  <w:style w:type="paragraph" w:styleId="856" w:customStyle="1">
    <w:name w:val="xl27"/>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57" w:customStyle="1">
    <w:name w:val="xl2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58" w:customStyle="1">
    <w:name w:val="Char"/>
    <w:basedOn w:val="772"/>
    <w:uiPriority w:val="0"/>
    <w:qFormat/>
    <w:pPr>
      <w:ind w:firstLine="200"/>
      <w:tabs>
        <w:tab w:val="left" w:pos="360" w:leader="none"/>
      </w:tabs>
    </w:pPr>
    <w:rPr>
      <w:rFonts w:ascii="Times New Roman" w:hAnsi="Times New Roman" w:eastAsia="宋体" w:cs="Times New Roman"/>
      <w:sz w:val="28"/>
      <w:szCs w:val="30"/>
    </w:rPr>
  </w:style>
  <w:style w:type="paragraph" w:styleId="859" w:customStyle="1">
    <w:name w:val=" Char"/>
    <w:basedOn w:val="788"/>
    <w:uiPriority w:val="0"/>
    <w:qFormat/>
    <w:rPr>
      <w:rFonts w:ascii="Tahoma" w:hAnsi="Tahoma"/>
      <w:sz w:val="24"/>
      <w:szCs w:val="24"/>
    </w:rPr>
  </w:style>
  <w:style w:type="paragraph" w:styleId="860" w:customStyle="1">
    <w:name w:val="普通正文"/>
    <w:basedOn w:val="772"/>
    <w:uiPriority w:val="0"/>
    <w:qFormat/>
    <w:pPr>
      <w:ind w:firstLine="480"/>
      <w:jc w:val="left"/>
      <w:spacing w:before="120" w:after="120" w:line="360" w:lineRule="auto"/>
    </w:pPr>
    <w:rPr>
      <w:rFonts w:ascii="Arial" w:hAnsi="Arial" w:eastAsia="宋体" w:cs="Times New Roman"/>
      <w:sz w:val="24"/>
      <w:szCs w:val="24"/>
    </w:rPr>
  </w:style>
  <w:style w:type="paragraph" w:styleId="861" w:customStyle="1">
    <w:name w:val="table_lines"/>
    <w:basedOn w:val="772"/>
    <w:uiPriority w:val="0"/>
    <w:qFormat/>
    <w:pPr>
      <w:jc w:val="left"/>
      <w:widowControl/>
    </w:pPr>
    <w:rPr>
      <w:rFonts w:ascii="Times New Roman" w:hAnsi="Times New Roman" w:eastAsia="宋体" w:cs="Times New Roman"/>
      <w:sz w:val="20"/>
      <w:szCs w:val="20"/>
      <w:lang w:val="de-DE" w:eastAsia="de-DE"/>
    </w:rPr>
  </w:style>
  <w:style w:type="paragraph" w:styleId="8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63" w:customStyle="1">
    <w:name w:val="font7"/>
    <w:basedOn w:val="77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64" w:customStyle="1">
    <w:name w:val=" Char Char Char Char"/>
    <w:basedOn w:val="788"/>
    <w:uiPriority w:val="0"/>
    <w:qFormat/>
    <w:pPr>
      <w:spacing w:line="360" w:lineRule="auto"/>
    </w:pPr>
    <w:rPr>
      <w:rFonts w:ascii="Tahoma" w:hAnsi="Tahoma"/>
      <w:sz w:val="24"/>
      <w:szCs w:val="24"/>
    </w:rPr>
  </w:style>
  <w:style w:type="paragraph" w:styleId="865">
    <w:name w:val="List Paragraph"/>
    <w:basedOn w:val="772"/>
    <w:uiPriority w:val="0"/>
    <w:qFormat/>
    <w:pPr>
      <w:contextualSpacing/>
      <w:ind w:left="720"/>
      <w:jc w:val="left"/>
      <w:widowControl/>
    </w:pPr>
    <w:rPr>
      <w:rFonts w:ascii="Calibri" w:hAnsi="Calibri" w:eastAsia="宋体" w:cs="Times New Roman"/>
      <w:sz w:val="24"/>
      <w:szCs w:val="24"/>
      <w:lang w:eastAsia="en-US" w:bidi="en-US"/>
    </w:rPr>
  </w:style>
  <w:style w:type="paragraph" w:styleId="866" w:customStyle="1">
    <w:name w:val="4"/>
    <w:basedOn w:val="772"/>
    <w:next w:val="808"/>
    <w:uiPriority w:val="0"/>
    <w:qFormat/>
    <w:pPr>
      <w:ind w:firstLine="420"/>
      <w:spacing w:line="360" w:lineRule="auto"/>
    </w:pPr>
    <w:rPr>
      <w:rFonts w:ascii="Times New Roman" w:hAnsi="Times New Roman" w:eastAsia="宋体" w:cs="Times New Roman"/>
      <w:color w:val="ff0000"/>
      <w:sz w:val="24"/>
      <w:szCs w:val="24"/>
    </w:rPr>
  </w:style>
  <w:style w:type="paragraph" w:styleId="867" w:customStyle="1">
    <w:name w:val="普通 (Web)"/>
    <w:basedOn w:val="772"/>
    <w:uiPriority w:val="0"/>
    <w:qFormat/>
    <w:pPr>
      <w:jc w:val="left"/>
      <w:spacing w:before="100" w:beforeAutospacing="1" w:after="100" w:afterAutospacing="1"/>
      <w:widowControl/>
    </w:pPr>
    <w:rPr>
      <w:rFonts w:ascii="宋体" w:hAnsi="宋体" w:eastAsia="宋体" w:cs="Times New Roman"/>
      <w:sz w:val="24"/>
      <w:szCs w:val="24"/>
    </w:rPr>
  </w:style>
  <w:style w:type="paragraph" w:styleId="868" w:customStyle="1">
    <w:name w:val=" Char Char Char Char Char Char Char Char Char Char"/>
    <w:basedOn w:val="772"/>
    <w:uiPriority w:val="0"/>
    <w:qFormat/>
    <w:pPr>
      <w:spacing w:line="360" w:lineRule="auto"/>
    </w:pPr>
    <w:rPr>
      <w:rFonts w:ascii="Times New Roman" w:hAnsi="Times New Roman" w:eastAsia="宋体" w:cs="Times New Roman"/>
      <w:sz w:val="24"/>
      <w:szCs w:val="20"/>
    </w:rPr>
  </w:style>
  <w:style w:type="paragraph" w:styleId="869" w:customStyle="1">
    <w:name w:val="样式1"/>
    <w:basedOn w:val="772"/>
    <w:uiPriority w:val="0"/>
    <w:qFormat/>
    <w:pPr>
      <w:numPr>
        <w:ilvl w:val="0"/>
        <w:numId w:val="3"/>
      </w:numPr>
    </w:pPr>
    <w:rPr>
      <w:rFonts w:ascii="宋体" w:hAnsi="宋体" w:eastAsia="宋体" w:cs="Times New Roman"/>
      <w:szCs w:val="21"/>
    </w:rPr>
  </w:style>
  <w:style w:type="paragraph" w:styleId="870" w:customStyle="1">
    <w:name w:val="font6"/>
    <w:basedOn w:val="77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71"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2"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73" w:customStyle="1">
    <w:name w:val="标题3"/>
    <w:basedOn w:val="772"/>
    <w:next w:val="772"/>
    <w:uiPriority w:val="0"/>
    <w:qFormat/>
    <w:pPr>
      <w:ind w:firstLine="624"/>
      <w:spacing w:line="590" w:lineRule="atLeast"/>
    </w:pPr>
    <w:rPr>
      <w:rFonts w:ascii="方正黑体_GBK" w:hAnsi="Times New Roman" w:eastAsia="方正黑体_GBK" w:cs="Times New Roman"/>
      <w:sz w:val="32"/>
      <w:szCs w:val="32"/>
    </w:rPr>
  </w:style>
  <w:style w:type="paragraph" w:styleId="874" w:customStyle="1">
    <w:name w:val="xl24"/>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75" w:customStyle="1">
    <w:name w:val="xl29"/>
    <w:basedOn w:val="77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76" w:customStyle="1">
    <w:name w:val="Char Char Char Char Char Char Char Char"/>
    <w:basedOn w:val="772"/>
    <w:uiPriority w:val="0"/>
    <w:qFormat/>
    <w:pPr>
      <w:jc w:val="left"/>
      <w:spacing w:after="160" w:line="240" w:lineRule="exact"/>
      <w:widowControl/>
    </w:pPr>
    <w:rPr>
      <w:rFonts w:ascii="Verdana" w:hAnsi="Verdana" w:eastAsia="宋体" w:cs="Times New Roman"/>
      <w:sz w:val="20"/>
      <w:szCs w:val="20"/>
      <w:lang w:eastAsia="en-US"/>
    </w:rPr>
  </w:style>
  <w:style w:type="paragraph" w:styleId="877" w:customStyle="1">
    <w:name w:val="xl28"/>
    <w:basedOn w:val="7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78" w:customStyle="1">
    <w:name w:val=" Char Char Char Char Char Char Char Char"/>
    <w:basedOn w:val="772"/>
    <w:uiPriority w:val="0"/>
    <w:qFormat/>
    <w:pPr>
      <w:jc w:val="left"/>
      <w:spacing w:after="160" w:line="240" w:lineRule="exact"/>
      <w:widowControl/>
    </w:pPr>
    <w:rPr>
      <w:rFonts w:ascii="Verdana" w:hAnsi="Verdana" w:eastAsia="宋体" w:cs="Times New Roman"/>
      <w:sz w:val="20"/>
      <w:szCs w:val="20"/>
      <w:lang w:eastAsia="en-US"/>
    </w:rPr>
  </w:style>
  <w:style w:type="paragraph" w:styleId="879" w:customStyle="1">
    <w:name w:val="xl30"/>
    <w:basedOn w:val="77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80" w:customStyle="1">
    <w:name w:val="Char Char Char Char"/>
    <w:basedOn w:val="788"/>
    <w:uiPriority w:val="0"/>
    <w:qFormat/>
    <w:pPr>
      <w:spacing w:line="360" w:lineRule="auto"/>
    </w:pPr>
    <w:rPr>
      <w:rFonts w:ascii="Tahoma" w:hAnsi="Tahoma"/>
      <w:sz w:val="24"/>
      <w:szCs w:val="24"/>
    </w:rPr>
  </w:style>
  <w:style w:type="paragraph" w:styleId="881" w:customStyle="1">
    <w:name w:val="table_1stline"/>
    <w:basedOn w:val="772"/>
    <w:uiPriority w:val="0"/>
    <w:qFormat/>
    <w:pPr>
      <w:jc w:val="left"/>
      <w:spacing w:before="120"/>
      <w:widowControl/>
    </w:pPr>
    <w:rPr>
      <w:rFonts w:ascii="Times New Roman" w:hAnsi="Times New Roman" w:eastAsia="宋体" w:cs="Times New Roman"/>
      <w:bCs/>
      <w:sz w:val="20"/>
      <w:szCs w:val="20"/>
      <w:lang w:val="de-DE" w:eastAsia="de-DE"/>
    </w:rPr>
  </w:style>
  <w:style w:type="paragraph" w:styleId="882" w:customStyle="1">
    <w:name w:val="font5"/>
    <w:basedOn w:val="77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883" w:customStyle="1">
    <w:name w:val="标题1"/>
    <w:basedOn w:val="772"/>
    <w:next w:val="77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4" w:customStyle="1">
    <w:name w:val="_Style 110"/>
    <w:uiPriority w:val="99"/>
    <w:semiHidden/>
    <w:qFormat/>
    <w:rPr>
      <w:rFonts w:ascii="Times New Roman" w:hAnsi="Times New Roman" w:eastAsia="宋体" w:cs="Times New Roman"/>
      <w:sz w:val="21"/>
      <w:szCs w:val="21"/>
      <w:lang w:val="en-US" w:eastAsia="zh-CN" w:bidi="ar-SA"/>
    </w:rPr>
  </w:style>
  <w:style w:type="paragraph" w:styleId="88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86" w:customStyle="1">
    <w:name w:val="正文首行缩进 21"/>
    <w:uiPriority w:val="0"/>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paragraph" w:styleId="887" w:customStyle="1">
    <w:name w:val="正文文本缩进1"/>
    <w:uiPriority w:val="0"/>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888" w:customStyle="1">
    <w:name w:val="正文（缩进）"/>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889" w:customStyle="1">
    <w:name w:val="首行缩进"/>
    <w:uiPriority w:val="0"/>
    <w:qFormat/>
    <w:pPr>
      <w:ind w:firstLine="480"/>
      <w:spacing w:line="360" w:lineRule="auto"/>
      <w:widowControl w:val="off"/>
    </w:pPr>
    <w:rPr>
      <w:rFonts w:ascii="宋体" w:hAnsi="宋体" w:eastAsia="宋体" w:cs="Times New Roman"/>
      <w:sz w:val="24"/>
      <w:szCs w:val="24"/>
      <w:lang w:val="en-US" w:eastAsia="zh-CN" w:bidi="ar-SA"/>
    </w:rPr>
  </w:style>
  <w:style w:type="character" w:styleId="890" w:customStyle="1">
    <w:name w:val="font51"/>
    <w:basedOn w:val="782"/>
    <w:uiPriority w:val="0"/>
    <w:qFormat/>
    <w:rPr>
      <w:rFonts w:hint="eastAsia" w:ascii="宋体" w:hAnsi="宋体" w:eastAsia="宋体" w:cs="宋体"/>
      <w:color w:val="000000"/>
      <w:sz w:val="20"/>
      <w:szCs w:val="20"/>
      <w:u w:val="none"/>
    </w:rPr>
  </w:style>
  <w:style w:type="character" w:styleId="891" w:customStyle="1">
    <w:name w:val="font41"/>
    <w:basedOn w:val="782"/>
    <w:uiPriority w:val="0"/>
    <w:qFormat/>
    <w:rPr>
      <w:rFonts w:hint="eastAsia" w:ascii="宋体" w:hAnsi="宋体" w:eastAsia="宋体" w:cs="宋体"/>
      <w:b/>
      <w:bCs/>
      <w:color w:val="000000"/>
      <w:sz w:val="20"/>
      <w:szCs w:val="20"/>
      <w:u w:val="none"/>
    </w:rPr>
  </w:style>
  <w:style w:type="character" w:styleId="892" w:customStyle="1">
    <w:name w:val="font21"/>
    <w:basedOn w:val="782"/>
    <w:uiPriority w:val="0"/>
    <w:qFormat/>
    <w:rPr>
      <w:rFonts w:hint="eastAsia" w:ascii="宋体" w:hAnsi="宋体" w:eastAsia="宋体" w:cs="宋体"/>
      <w:color w:val="000000"/>
      <w:sz w:val="20"/>
      <w:szCs w:val="20"/>
      <w:u w:val="none"/>
    </w:rPr>
  </w:style>
  <w:style w:type="numbering" w:styleId="6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c1bce02c-ad76-4ccd-9ffd-e2a93ca821a1</errorID>
      <errorWord>-</errorWord>
      <group>L1_Format</group>
      <groupName>格式问题</groupName>
      <ability>L2_HalfPunc_CN</ability>
      <abilityName/>
      <candidateList>
        <item>－</item>
      </candidateList>
      <explain>文本全半角错误。</explain>
      <paraID>440ECB3A</paraID>
      <start>11</start>
      <end>12</end>
      <status>unmodified</status>
      <modifiedWord/>
      <trackRevisions>false</trackRevisions>
    </reviewItem>
    <reviewItem>
      <errorID>dd2908de-335a-41c4-978e-b8394a7b3d8b</errorID>
      <errorWord>-</errorWord>
      <group>L1_Format</group>
      <groupName>格式问题</groupName>
      <ability>L2_HalfPunc_CN</ability>
      <abilityName/>
      <candidateList>
        <item>－</item>
      </candidateList>
      <explain>文本全半角错误。</explain>
      <paraID>440ECB3A</paraID>
      <start>12</start>
      <end>13</end>
      <status>unmodified</status>
      <modifiedWord/>
      <trackRevisions>false</trackRevisions>
    </reviewItem>
    <reviewItem>
      <errorID>97b74c1d-abaa-46d1-8c79-a8943c81feb9</errorID>
      <errorWord>-</errorWord>
      <group>L1_Format</group>
      <groupName>格式问题</groupName>
      <ability>L2_HalfPunc_CN</ability>
      <abilityName/>
      <candidateList>
        <item>－</item>
      </candidateList>
      <explain>文本全半角错误。</explain>
      <paraID>440ECB3A</paraID>
      <start>38</start>
      <end>39</end>
      <status>unmodified</status>
      <modifiedWord/>
      <trackRevisions>false</trackRevisions>
    </reviewItem>
    <reviewItem>
      <errorID>5a8c2a80-8890-4451-adb3-a1b735e19db6</errorID>
      <errorWord>-</errorWord>
      <group>L1_Format</group>
      <groupName>格式问题</groupName>
      <ability>L2_HalfPunc_CN</ability>
      <abilityName/>
      <candidateList>
        <item>－</item>
      </candidateList>
      <explain>文本全半角错误。</explain>
      <paraID>440ECB3A</paraID>
      <start>39</start>
      <end>40</end>
      <status>unmodified</status>
      <modifiedWord/>
      <trackRevisions>false</trackRevisions>
    </reviewItem>
    <reviewItem>
      <errorID>9f51a83c-7b6c-4d8d-8e34-fe3be00b3954</errorID>
      <errorWord>“.</errorWord>
      <group>L1_Punc</group>
      <groupName>标点问题</groupName>
      <ability>L2_Punc_CN</ability>
      <abilityName/>
      <candidateList>
        <item>“</item>
      </candidateList>
      <explain/>
      <paraID>440ECB3A</paraID>
      <start>51</start>
      <end>53</end>
      <status>unmodified</status>
      <modifiedWord/>
      <trackRevisions>false</trackRevisions>
    </reviewItem>
    <reviewItem>
      <errorID>9b93212b-0360-4ca3-9379-184309f4b418</errorID>
      <errorWord>“.</errorWord>
      <group>L1_Punc</group>
      <groupName>标点问题</groupName>
      <ability>L2_Punc_CN</ability>
      <abilityName/>
      <candidateList>
        <item>“</item>
      </candidateList>
      <explain/>
      <paraID>440ECB3A</paraID>
      <start>66</start>
      <end>68</end>
      <status>unmodified</status>
      <modifiedWord/>
      <trackRevisions>false</trackRevisions>
    </reviewItem>
    <reviewItem>
      <errorID>288389f2-125c-404f-abf8-33d09e6bcacd</errorID>
      <errorWord>-</errorWord>
      <group>L1_Format</group>
      <groupName>格式问题</groupName>
      <ability>L2_HalfPunc_CN</ability>
      <abilityName/>
      <candidateList>
        <item>－</item>
      </candidateList>
      <explain>文本全半角错误。</explain>
      <paraID>440ECB3A</paraID>
      <start>89</start>
      <end>90</end>
      <status>unmodified</status>
      <modifiedWord/>
      <trackRevisions>false</trackRevisions>
    </reviewItem>
    <reviewItem>
      <errorID>5b09b2a1-9944-46d9-96a5-374ee6fa6cd2</errorID>
      <errorWord>-</errorWord>
      <group>L1_Format</group>
      <groupName>格式问题</groupName>
      <ability>L2_HalfPunc_CN</ability>
      <abilityName/>
      <candidateList>
        <item>－</item>
      </candidateList>
      <explain>文本全半角错误。</explain>
      <paraID>440ECB3A</paraID>
      <start>90</start>
      <end>91</end>
      <status>unmodified</status>
      <modifiedWord/>
      <trackRevisions>false</trackRevisions>
    </reviewItem>
    <reviewItem>
      <errorID>08ffe7ea-6e43-4a60-88d8-4d9ecd166d23</errorID>
      <errorWord>-</errorWord>
      <group>L1_Format</group>
      <groupName>格式问题</groupName>
      <ability>L2_HalfPunc_CN</ability>
      <abilityName/>
      <candidateList>
        <item>－</item>
      </candidateList>
      <explain>文本全半角错误。</explain>
      <paraID>440ECB3A</paraID>
      <start>97</start>
      <end>98</end>
      <status>unmodified</status>
      <modifiedWord/>
      <trackRevisions>false</trackRevisions>
    </reviewItem>
    <reviewItem>
      <errorID>2dcc2214-bcb6-43c8-9ebd-18380cd1387e</errorID>
      <errorWord>-</errorWord>
      <group>L1_Format</group>
      <groupName>格式问题</groupName>
      <ability>L2_HalfPunc_CN</ability>
      <abilityName/>
      <candidateList>
        <item>－</item>
      </candidateList>
      <explain>文本全半角错误。</explain>
      <paraID>440ECB3A</paraID>
      <start>98</start>
      <end>99</end>
      <status>unmodified</status>
      <modifiedWord/>
      <trackRevisions>false</trackRevisions>
    </reviewItem>
    <reviewItem>
      <errorID>ec107b22-5081-4f57-b181-0b6476e01492</errorID>
      <errorWord>-</errorWord>
      <group>L1_Format</group>
      <groupName>格式问题</groupName>
      <ability>L2_HalfPunc_CN</ability>
      <abilityName/>
      <candidateList>
        <item>－</item>
      </candidateList>
      <explain>文本全半角错误。</explain>
      <paraID>611C6A73</paraID>
      <start>47</start>
      <end>48</end>
      <status>unmodified</status>
      <modifiedWord/>
      <trackRevisions>false</trackRevisions>
    </reviewItem>
    <reviewItem>
      <errorID>5576fb95-14e5-4690-b884-5c38b6ac8a96</errorID>
      <errorWord>“.</errorWord>
      <group>L1_Punc</group>
      <groupName>标点问题</groupName>
      <ability>L2_Punc_CN</ability>
      <abilityName/>
      <candidateList>
        <item>“</item>
      </candidateList>
      <explain/>
      <paraID>15C4C112</paraID>
      <start>12</start>
      <end>14</end>
      <status>unmodified</status>
      <modifiedWord/>
      <trackRevisions>false</trackRevisions>
    </reviewItem>
    <reviewItem>
      <errorID>fecacd4e-70ae-4e75-9b8e-67f4f845aaf2</errorID>
      <errorWord>-</errorWord>
      <group>L1_Format</group>
      <groupName>格式问题</groupName>
      <ability>L2_HalfPunc_CN</ability>
      <abilityName/>
      <candidateList>
        <item>－</item>
      </candidateList>
      <explain>文本全半角错误。</explain>
      <paraID>15C4C112</paraID>
      <start>48</start>
      <end>49</end>
      <status>unmodified</status>
      <modifiedWord/>
      <trackRevisions>false</trackRevisions>
    </reviewItem>
    <reviewItem>
      <errorID>57fe996a-559c-4682-b561-75841f169389</errorID>
      <errorWord>-</errorWord>
      <group>L1_Format</group>
      <groupName>格式问题</groupName>
      <ability>L2_HalfPunc_CN</ability>
      <abilityName/>
      <candidateList>
        <item>－</item>
      </candidateList>
      <explain>文本全半角错误。</explain>
      <paraID>15C4C112</paraID>
      <start>49</start>
      <end>50</end>
      <status>unmodified</status>
      <modifiedWord/>
      <trackRevisions>false</trackRevisions>
    </reviewItem>
    <reviewItem>
      <errorID>56b127bb-973d-4e77-841f-7fdd6b28b5e1</errorID>
      <errorWord>-</errorWord>
      <group>L1_Format</group>
      <groupName>格式问题</groupName>
      <ability>L2_HalfPunc_CN</ability>
      <abilityName/>
      <candidateList>
        <item>－</item>
      </candidateList>
      <explain>文本全半角错误。</explain>
      <paraID>15C4C112</paraID>
      <start>55</start>
      <end>56</end>
      <status>unmodified</status>
      <modifiedWord/>
      <trackRevisions>false</trackRevisions>
    </reviewItem>
    <reviewItem>
      <errorID>5babee44-183a-4a0b-83d4-b426029d248a</errorID>
      <errorWord>-</errorWord>
      <group>L1_Format</group>
      <groupName>格式问题</groupName>
      <ability>L2_HalfPunc_CN</ability>
      <abilityName/>
      <candidateList>
        <item>－</item>
      </candidateList>
      <explain>文本全半角错误。</explain>
      <paraID>15C4C112</paraID>
      <start>56</start>
      <end>57</end>
      <status>unmodified</status>
      <modifiedWord/>
      <trackRevisions>false</trackRevisions>
    </reviewItem>
    <reviewItem>
      <errorID>fcd91be9-2038-4c48-9dda-f3d7e94212a6</errorID>
      <errorWord>（</errorWord>
      <group>L1_Punc</group>
      <groupName>标点问题</groupName>
      <ability>L2_Punc_CN</ability>
      <abilityName/>
      <candidateList/>
      <explain>同一形式括号套用。</explain>
      <paraID>11973AF0</paraID>
      <start>35</start>
      <end>36</end>
      <status>unmodified</status>
      <modifiedWord/>
      <trackRevisions>false</trackRevisions>
    </reviewItem>
    <reviewItem>
      <errorID>104177bd-3660-43d1-b813-43819b8ca589</errorID>
      <errorWord>）</errorWord>
      <group>L1_Punc</group>
      <groupName>标点问题</groupName>
      <ability>L2_Punc_CN</ability>
      <abilityName/>
      <candidateList/>
      <explain>同一形式括号套用。</explain>
      <paraID>11973AF0</paraID>
      <start>39</start>
      <end>40</end>
      <status>unmodified</status>
      <modifiedWord/>
      <trackRevisions>false</trackRevisions>
    </reviewItem>
    <reviewItem>
      <errorID>d71edb48-a0e7-45f6-94ef-861bfb474b72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6808D80C</paraID>
      <start>54</start>
      <end>58</end>
      <status>unmodified</status>
      <modifiedWord/>
      <trackRevisions>false</trackRevisions>
    </reviewItem>
    <reviewItem>
      <errorID>bcc8202f-2a7b-42bc-beed-76ce4329038b</errorID>
      <errorWord>间</errorWord>
      <group>L1_Word</group>
      <groupName>字词问题</groupName>
      <ability>L2_Typo</ability>
      <abilityName>字词错误</abilityName>
      <candidateList>
        <item>间之</item>
      </candidateList>
      <explain/>
      <paraID>10D7A0E8</paraID>
      <start>13</start>
      <end>14</end>
      <status>unmodified</status>
      <modifiedWord/>
      <trackRevisions>false</trackRevisions>
    </reviewItem>
    <reviewItem>
      <errorID>f900f803-5235-467c-8b72-4130c9485e00</errorID>
      <errorWord>〈</errorWord>
      <group>L1_Punc</group>
      <groupName>标点问题</groupName>
      <ability>L2_Punc_CN</ability>
      <abilityName/>
      <candidateList/>
      <explain>此处标点可能未正确匹配，请检查句子中是否存在标点冗余、缺失或使用错误的情况。</explain>
      <paraID>5CEE4863</paraID>
      <start>24</start>
      <end>25</end>
      <status>unmodified</status>
      <modifiedWord/>
      <trackRevisions>false</trackRevisions>
    </reviewItem>
    <reviewItem>
      <errorID>50e5c809-eb10-433c-8940-fb8356c9c2fc</errorID>
      <errorWord>〈</errorWord>
      <group>L1_Punc</group>
      <groupName>标点问题</groupName>
      <ability>L2_Punc_CN</ability>
      <abilityName/>
      <candidateList/>
      <explain>此处标点可能未正确匹配，请检查句子中是否存在标点冗余、缺失或使用错误的情况。</explain>
      <paraID>6460E3CF</paraID>
      <start>26</start>
      <end>27</end>
      <status>unmodified</status>
      <modifiedWord/>
      <trackRevisions>false</trackRevisions>
    </reviewItem>
    <reviewItem>
      <errorID>22e7db9b-e288-42a8-a1a4-2f953a98c4aa</errorID>
      <errorWord>【2022】1号</errorWord>
      <group>L1_Knowledge</group>
      <groupName>知识性问题</groupName>
      <ability>L2_Knowledge</ability>
      <abilityName>其他知识</abilityName>
      <candidateList>
        <item>〔2022〕1号</item>
      </candidateList>
      <explain>发文字号格式错误。</explain>
      <paraID> 878708C</paraID>
      <start>41</start>
      <end>49</end>
      <status>modified</status>
      <modifiedWord>〔2022〕1号</modifiedWord>
      <trackRevisions>false</trackRevisions>
    </reviewItem>
    <reviewItem>
      <errorID>5fb296f1-da70-4646-91a1-edcd6c7c834c</errorID>
      <errorWord>作</errorWord>
      <group>L1_Word</group>
      <groupName>字词问题</groupName>
      <ability>L2_Typo</ability>
      <abilityName>字词错误</abilityName>
      <candidateList>
        <item>做</item>
      </candidateList>
      <explain>存在发音相同字词的误用。</explain>
      <paraID> 646FF34</paraID>
      <start>75</start>
      <end>76</end>
      <status>modified</status>
      <modifiedWord>做</modifiedWord>
      <trackRevisions>false</trackRevisions>
    </reviewItem>
    <reviewItem>
      <errorID>8dca1853-b6f2-4f7c-96b2-0f10aa4cfc1c</errorID>
      <errorWord>作</errorWord>
      <group>L1_Word</group>
      <groupName>字词问题</groupName>
      <ability>L2_Typo</ability>
      <abilityName>字词错误</abilityName>
      <candidateList>
        <item>做</item>
      </candidateList>
      <explain>存在发音相同字词的误用。</explain>
      <paraID>2F131922</paraID>
      <start>101</start>
      <end>102</end>
      <status>modified</status>
      <modifiedWord>做</modifiedWord>
      <trackRevisions>false</trackRevisions>
    </reviewItem>
    <reviewItem>
      <errorID>adbad9c8-5bd4-45e2-a981-601ff2acc94a</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12</start>
      <end>14</end>
      <status>modified</status>
      <modifiedWord>其他</modifiedWord>
      <trackRevisions>false</trackRevisions>
    </reviewItem>
    <reviewItem>
      <errorID>2e072703-c0b0-4847-8b34-fb3f7b5a9e87</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22</start>
      <end>24</end>
      <status>modified</status>
      <modifiedWord>其他</modifiedWord>
      <trackRevisions>false</trackRevisions>
    </reviewItem>
    <reviewItem>
      <errorID>a10a5337-ab18-43a9-b28f-c426bc35b3b4</errorID>
      <errorWord>作</errorWord>
      <group>L1_Word</group>
      <groupName>字词问题</groupName>
      <ability>L2_Typo</ability>
      <abilityName>字词错误</abilityName>
      <candidateList>
        <item>做</item>
      </candidateList>
      <explain>存在发音相同字词的误用。</explain>
      <paraID>69D4E70C</paraID>
      <start>73</start>
      <end>74</end>
      <status>modified</status>
      <modifiedWord>做</modifiedWord>
      <trackRevisions>false</trackRevisions>
    </reviewItem>
    <reviewItem>
      <errorID>fe0ed092-9c33-44e5-a613-1417760b20cc</errorID>
      <errorWord>作</errorWord>
      <group>L1_Word</group>
      <groupName>字词问题</groupName>
      <ability>L2_Typo</ability>
      <abilityName>字词错误</abilityName>
      <candidateList>
        <item>做</item>
      </candidateList>
      <explain>存在发音相同字词的误用。</explain>
      <paraID>16F9CC6C</paraID>
      <start>44</start>
      <end>45</end>
      <status>modified</status>
      <modifiedWord>做</modifiedWord>
      <trackRevisions>false</trackRevisions>
    </reviewItem>
    <reviewItem>
      <errorID>95fead0f-dcc5-4716-bf58-d1918b56d56f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4E448B10</paraID>
      <start>4</start>
      <end>5</end>
      <status>unmodified</status>
      <modifiedWord/>
      <trackRevisions>false</trackRevisions>
    </reviewItem>
    <reviewItem>
      <errorID>b2a7a453-e4af-414f-b37e-3ede66a2fa34</errorID>
      <errorWord>其它</errorWord>
      <group>L1_Word</group>
      <groupName>字词问题</groupName>
      <ability>L2_Alias</ability>
      <abilityName>也作/曾用词</abilityName>
      <candidateList>
        <item>其他</item>
      </candidateList>
      <explain>词汇[其它]为不规范表述或旧称，其规范书面表述为[其他]。</explain>
      <paraID>28988686</paraID>
      <start>3</start>
      <end>5</end>
      <status>modified</status>
      <modifiedWord>其他</modifiedWord>
      <trackRevisions>false</trackRevisions>
    </reviewItem>
    <reviewItem>
      <errorID>b36ac1ac-f0cf-44e9-b8b2-60c8b899def6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7E4033DF</paraID>
      <start>4</start>
      <end>5</end>
      <status>unmodified</status>
      <modifiedWord/>
      <trackRevisions>false</trackRevisions>
    </reviewItem>
    <reviewItem>
      <errorID>f9593d4a-d78e-4737-8e55-b02a904e43a7</errorID>
      <errorWord>：</errorWord>
      <group>L1_Punc</group>
      <groupName>标点问题</groupName>
      <ability>L2_Punc_CN</ability>
      <abilityName/>
      <candidateList/>
      <explain/>
      <paraID> 3A8D30C</paraID>
      <start>15</start>
      <end>16</end>
      <status>unmodified</status>
      <modifiedWord/>
      <trackRevisions>false</trackRevisions>
    </reviewItem>
    <reviewItem>
      <errorID>326521b5-1752-4ab2-be0a-428a49dfbfbe</errorID>
      <errorWord>方的</errorWord>
      <group>L1_Word</group>
      <groupName>字词问题</groupName>
      <ability>L2_Typo</ability>
      <abilityName>字词错误</abilityName>
      <candidateList>
        <item>方</item>
      </candidateList>
      <explain/>
      <paraID>4DF30564</paraID>
      <start>5</start>
      <end>7</end>
      <status>unmodified</status>
      <modifiedWord/>
      <trackRevisions>false</trackRevisions>
    </reviewItem>
    <reviewItem>
      <errorID>9ad5cc6b-a7a4-4c54-9843-be3d6cf4d6a1</errorID>
      <errorWord>慎重</errorWord>
      <group>L1_Word</group>
      <groupName>字词问题</groupName>
      <ability>L2_Typo</ability>
      <abilityName>字词错误</abilityName>
      <candidateList>
        <item>郑重</item>
      </candidateList>
      <explain>〈形〉严肃认真：～其事｜～声明｜话说得很～。</explain>
      <paraID>4DF30564</paraID>
      <start>23</start>
      <end>25</end>
      <status>unmodified</status>
      <modifiedWord/>
      <trackRevisions>false</trackRevisions>
    </reviewItem>
    <reviewItem>
      <errorID>6a6c7b3b-5eb2-4970-a521-cc0b9f89f798</errorID>
      <errorWord>件</errorWord>
      <group>L1_Word</group>
      <groupName>字词问题</groupName>
      <ability>L2_Typo</ability>
      <abilityName>字词错误</abilityName>
      <candidateList>
        <item>件加</item>
      </candidateList>
      <explain/>
      <paraID>6292E2BF</paraID>
      <start>15</start>
      <end>16</end>
      <status>unmodified</status>
      <modifiedWord/>
      <trackRevisions>false</trackRevisions>
    </reviewItem>
    <reviewItem>
      <errorID>b58ac803-5d95-427b-b5ae-2d36e18434ca</errorID>
      <errorWord>间</errorWord>
      <group>L1_Word</group>
      <groupName>字词问题</groupName>
      <ability>L2_Typo</ability>
      <abilityName>字词错误</abilityName>
      <candidateList>
        <item>间内</item>
      </candidateList>
      <explain/>
      <paraID>5B23D729</paraID>
      <start>47</start>
      <end>48</end>
      <status>unmodified</status>
      <modifiedWord/>
      <trackRevisions>false</trackRevisions>
    </reviewItem>
    <reviewItem>
      <errorID>ecc9d5b8-3a6c-479c-86e3-4181509fc67e</errorID>
      <errorWord>中国银保监会</errorWord>
      <group>L1_Word</group>
      <groupName>字词问题</groupName>
      <ability>L2_Typo</ability>
      <abilityName>字词错误</abilityName>
      <candidateList>
        <item>国家金融监督管理总局</item>
      </candidateList>
      <explain/>
      <paraID> 4B5ACED</paraID>
      <start>18</start>
      <end>24</end>
      <status>unmodified</status>
      <modifiedWord/>
      <trackRevisions>false</trackRevisions>
    </reviewItem>
    <reviewItem>
      <errorID>2b145687-222c-45d8-9b31-bba78f809a8a</errorID>
      <errorWord>：</errorWord>
      <group>L1_Word</group>
      <groupName>字词问题</groupName>
      <ability>L2_Typo</ability>
      <abilityName>字词错误</abilityName>
      <candidateList>
        <item>：在</item>
      </candidateList>
      <explain/>
      <paraID> 94735B7</paraID>
      <start>13</start>
      <end>14</end>
      <status>unmodified</status>
      <modifiedWord/>
      <trackRevisions>false</trackRevisions>
    </reviewItem>
    <reviewItem>
      <errorID>2f3c5006-fe13-4020-9e29-a885b478a670</errorID>
      <errorWord>办理跟</errorWord>
      <group>L1_Word</group>
      <groupName>字词问题</groupName>
      <ability>L2_Typo</ability>
      <abilityName>字词错误</abilityName>
      <candidateList>
        <item>办理</item>
      </candidateList>
      <explain/>
      <paraID> 6A87FD6</paraID>
      <start>102</start>
      <end>105</end>
      <status>unmodified</status>
      <modifiedWord/>
      <trackRevisions>false</trackRevisions>
    </reviewItem>
    <reviewItem>
      <errorID>d0153cdf-53f9-4ead-845f-804e5bc5208b</errorID>
      <errorWord>围</errorWord>
      <group>L1_Word</group>
      <groupName>字词问题</groupName>
      <ability>L2_Typo</ability>
      <abilityName>字词错误</abilityName>
      <candidateList>
        <item>围内</item>
      </candidateList>
      <explain/>
      <paraID>4153ECCA</paraID>
      <start>82</start>
      <end>83</end>
      <status>unmodified</status>
      <modifiedWord/>
      <trackRevisions>false</trackRevisions>
    </reviewItem>
    <reviewItem>
      <errorID>915d2d4a-36d4-4085-81b5-4c406910f272</errorID>
      <errorWord>房</errorWord>
      <group>L1_Word</group>
      <groupName>字词问题</groupName>
      <ability>L2_Typo</ability>
      <abilityName>字词错误</abilityName>
      <candidateList>
        <item>房和</item>
      </candidateList>
      <explain/>
      <paraID>7615B421</paraID>
      <start>56</start>
      <end>57</end>
      <status>unmodified</status>
      <modifiedWord/>
      <trackRevisions>false</trackRevisions>
    </reviewItem>
    <reviewItem>
      <errorID>35e55f9d-07aa-4d12-bcf0-80fc765840e9</errorID>
      <errorWord>扣</errorWord>
      <group>L1_Word</group>
      <groupName>字词问题</groupName>
      <ability>L2_Typo</ability>
      <abilityName>字词错误</abilityName>
      <candidateList>
        <item>扣除</item>
      </candidateList>
      <explain/>
      <paraID>32E4C603</paraID>
      <start>136</start>
      <end>137</end>
      <status>unmodified</status>
      <modifiedWord/>
      <trackRevisions>false</trackRevisions>
    </reviewItem>
    <reviewItem>
      <errorID>48e75a65-a137-424f-a2d9-4c55eb2517c8</errorID>
      <errorWord>权力</errorWord>
      <group>L1_Word</group>
      <groupName>字词问题</groupName>
      <ability>L2_Typo</ability>
      <abilityName>字词错误</abilityName>
      <candidateList>
        <item>权利</item>
      </candidateList>
      <explain/>
      <paraID>6F81F736</paraID>
      <start>49</start>
      <end>51</end>
      <status>unmodified</status>
      <modifiedWord/>
      <trackRevisions>false</trackRevisions>
    </reviewItem>
    <reviewItem>
      <errorID>e8eebf57-e7eb-4dc1-a403-7072a25303f1</errorID>
      <errorWord>其它</errorWord>
      <group>L1_Word</group>
      <groupName>字词问题</groupName>
      <ability>L2_Alias</ability>
      <abilityName>也作/曾用词</abilityName>
      <candidateList>
        <item>其他</item>
      </candidateList>
      <explain>词汇[其它]为不规范表述或旧称，其规范书面表述为[其他]。</explain>
      <paraID>3F490F62</paraID>
      <start>79</start>
      <end>81</end>
      <status>unmodified</status>
      <modifiedWord/>
      <trackRevisions>false</trackRevisions>
    </reviewItem>
    <reviewItem>
      <errorID>09e16a55-18fc-42cb-abe5-4e4fac4e2fcc</errorID>
      <errorWord>予以</errorWord>
      <group>L1_Word</group>
      <groupName>字词问题</groupName>
      <ability>L2_Typo</ability>
      <abilityName>字词错误</abilityName>
      <candidateList>
        <item>予</item>
      </candidateList>
      <explain/>
      <paraID>5307523F</paraID>
      <start>62</start>
      <end>64</end>
      <status>unmodified</status>
      <modifiedWord/>
      <trackRevisions>false</trackRevisions>
    </reviewItem>
    <reviewItem>
      <errorID>56c78f43-ce34-486a-aa91-7564b94e1bbf</errorID>
      <errorWord>高标准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73B56D04</paraID>
      <start>399</start>
      <end>402</end>
      <status>unmodified</status>
      <modifiedWord/>
      <trackRevisions>false</trackRevisions>
    </reviewItem>
    <reviewItem>
      <errorID>6bda1f4c-78fd-48c9-87a2-fcd12d78922d</errorID>
      <errorWord>变更的</errorWord>
      <group>L1_Word</group>
      <groupName>字词问题</groupName>
      <ability>L2_Typo</ability>
      <abilityName>字词错误</abilityName>
      <candidateList>
        <item>变更</item>
      </candidateList>
      <explain>〈动〉改变；变动：～原定赛程｜修订版的内容有些～。</explain>
      <paraID>6BBB6963</paraID>
      <start>2</start>
      <end>5</end>
      <status>unmodified</status>
      <modifiedWord/>
      <trackRevisions>false</trackRevisions>
    </reviewItem>
    <reviewItem>
      <errorID>3f2c2f8a-c347-4003-ab45-5edce156c324</errorID>
      <errorWord>涉及到</errorWord>
      <group>L1_Grammar</group>
      <groupName>语法问题</groupName>
      <ability>L2_Grammar</ability>
      <abilityName>语法错误</abilityName>
      <candidateList>
        <item>涉及</item>
      </candidateList>
      <explain>〈动〉牵涉到；关联到：案子～好几个人｜这个问题～面很广。</explain>
      <paraID>48ECAD43</paraID>
      <start>18</start>
      <end>21</end>
      <status>unmodified</status>
      <modifiedWord/>
      <trackRevisions>false</trackRevisions>
    </reviewItem>
    <reviewItem>
      <errorID>f9601e26-c40e-4aef-a97a-43a9e3656607</errorID>
      <errorWord>作</errorWord>
      <group>L1_Word</group>
      <groupName>字词问题</groupName>
      <ability>L2_Typo</ability>
      <abilityName>字词错误</abilityName>
      <candidateList>
        <item>做</item>
      </candidateList>
      <explain>存在发音相同字词的误用。</explain>
      <paraID>2BBF0F74</paraID>
      <start>74</start>
      <end>75</end>
      <status>unmodified</status>
      <modifiedWord/>
      <trackRevisions>false</trackRevisions>
    </reviewItem>
    <reviewItem>
      <errorID>7456a5be-fd5f-4959-91b9-1da92fe3512c</errorID>
      <errorWord>接受</errorWord>
      <group>L1_Word</group>
      <groupName>字词问题</groupName>
      <ability>L2_Typo</ability>
      <abilityName>字词错误</abilityName>
      <candidateList>
        <item>接收</item>
      </candidateList>
      <explain>存在发音相同字词的误用。</explain>
      <paraID>711AD648</paraID>
      <start>19</start>
      <end>21</end>
      <status>unmodified</status>
      <modifiedWord/>
      <trackRevisions>false</trackRevisions>
    </reviewItem>
    <reviewItem>
      <errorID>4000a825-327f-440c-9324-706f623a939d</errorID>
      <errorWord>原由</errorWord>
      <group>L1_Word</group>
      <groupName>字词问题</groupName>
      <ability>L2_Variant</ability>
      <abilityName>异形词</abilityName>
      <candidateList>
        <item>缘由</item>
      </candidateList>
      <explain>词汇[原由]的规范词形写作[缘由]。</explain>
      <paraID> 753E88F</paraID>
      <start>48</start>
      <end>50</end>
      <status>unmodified</status>
      <modifiedWord/>
      <trackRevisions>false</trackRevisions>
    </reviewItem>
    <reviewItem>
      <errorID>1efebc86-f0a4-49fe-a7f2-c14cabd1ba6d</errorID>
      <errorWord>所在地的</errorWord>
      <group>L1_Word</group>
      <groupName>字词问题</groupName>
      <ability>L2_Typo</ability>
      <abilityName>字词错误</abilityName>
      <candidateList>
        <item>所在地</item>
      </candidateList>
      <explain/>
      <paraID>1383FA50</paraID>
      <start>8</start>
      <end>12</end>
      <status>unmodified</status>
      <modifiedWord/>
      <trackRevisions>false</trackRevisions>
    </reviewItem>
    <reviewItem>
      <errorID>05d577d2-8ce9-426b-8f83-763011371efd</errorID>
      <errorWord>其它</errorWord>
      <group>L1_Word</group>
      <groupName>字词问题</groupName>
      <ability>L2_Alias</ability>
      <abilityName>也作/曾用词</abilityName>
      <candidateList>
        <item>其他</item>
      </candidateList>
      <explain>词汇[其它]为不规范表述或旧称，其规范书面表述为[其他]。</explain>
      <paraID>337EC15C</paraID>
      <start>104</start>
      <end>106</end>
      <status>unmodified</status>
      <modifiedWord/>
      <trackRevisions>false</trackRevisions>
    </reviewItem>
    <reviewItem>
      <errorID>09844b4b-d20f-4117-91da-11a24775ef31</errorID>
      <errorWord>：</errorWord>
      <group>L1_Punc</group>
      <groupName>标点问题</groupName>
      <ability>L2_Punc_CN</ability>
      <abilityName/>
      <candidateList/>
      <explain/>
      <paraID>272E2789</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C9381AE-5E30-4B48-99A0-724BD768A9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尹淑瑜</cp:lastModifiedBy>
  <cp:revision>2</cp:revision>
  <dcterms:created xsi:type="dcterms:W3CDTF">2023-03-27T07:28:00Z</dcterms:created>
  <dcterms:modified xsi:type="dcterms:W3CDTF">2026-09-02T07:13:18Z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eyJoZGlkIjoiODE4ZmMwYmE3YTY5NDEzM2U3MjJiNGZmZDcxMDI4ZmUiLCJ1c2VySWQiOiI3NDI1ODE3NjEifQ==</vt:lpwstr>
  </property>
  <property fmtid="{D5CDD505-2E9C-101B-9397-08002B2CF9AE}" pid="3" name="KSOProductBuildVer">
    <vt:lpwstr>2052-11.1.0.14309</vt:lpwstr>
  </property>
  <property fmtid="{D5CDD505-2E9C-101B-9397-08002B2CF9AE}" pid="4" name="ICV">
    <vt:lpwstr>FD75DA6F55A247C2943AB5B2F6952068_13</vt:lpwstr>
  </property>
</Properties>
</file>