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912"/>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p>
    <w:p>
      <w:pPr>
        <w:pStyle w:val="91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912"/>
        <w:ind w:firstLine="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项目名称：江苏省疫苗生产监管系统”人工智能+“升级改造项目</w:t>
      </w:r>
      <w:r>
        <w:rPr>
          <w:rFonts w:hint="eastAsia" w:ascii="方正黑体_GBK" w:hAnsi="方正黑体_GBK" w:eastAsia="方正黑体_GBK" w:cs="方正黑体_GBK"/>
          <w:b w:val="0"/>
          <w:bCs w:val="0"/>
          <w:color w:val="000000"/>
          <w:sz w:val="28"/>
          <w:szCs w:val="28"/>
        </w:rPr>
      </w:r>
      <w:r/>
    </w:p>
    <w:p>
      <w:pPr>
        <w:pStyle w:val="912"/>
        <w:ind w:firstLine="0"/>
        <w:jc w:val="center"/>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JSZC-320000-SCZX-C2026-0409</w:t>
      </w:r>
      <w:r>
        <w:rPr>
          <w:rFonts w:ascii="Arial" w:hAnsi="Arial"/>
          <w:b/>
          <w:bCs/>
          <w:color w:val="000000"/>
          <w:sz w:val="28"/>
          <w:szCs w:val="28"/>
        </w:rPr>
      </w:r>
      <w:r/>
    </w:p>
    <w:p>
      <w:pPr>
        <w:pStyle w:val="912"/>
        <w:ind w:left="0" w:firstLine="0"/>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（全流程电子化-</w:t>
      </w:r>
      <w:r>
        <w:rPr>
          <w:rFonts w:hint="eastAsia" w:ascii="方正黑体_GBK" w:hAnsi="方正黑体_GBK" w:eastAsia="方正黑体_GBK" w:cs="方正黑体_GBK"/>
          <w:b w:val="0"/>
          <w:bCs/>
          <w:color w:val="000000"/>
          <w:sz w:val="28"/>
          <w:szCs w:val="28"/>
          <w:lang w:eastAsia="zh-CN"/>
        </w:rPr>
        <w:t xml:space="preserve">服务</w:t>
      </w:r>
      <w:r>
        <w:rPr>
          <w:rFonts w:hint="eastAsia" w:ascii="方正黑体_GBK" w:hAnsi="方正黑体_GBK" w:eastAsia="方正黑体_GBK" w:cs="方正黑体_GBK"/>
          <w:b w:val="0"/>
          <w:bCs/>
          <w:color w:val="000000"/>
          <w:sz w:val="28"/>
          <w:szCs w:val="28"/>
        </w:rPr>
        <w:t xml:space="preserve">类项目，适用</w:t>
      </w:r>
      <w:r>
        <w:rPr>
          <w:rFonts w:hint="eastAsia" w:ascii="方正黑体_GBK" w:hAnsi="方正黑体_GBK" w:eastAsia="方正黑体_GBK" w:cs="方正黑体_GBK"/>
          <w:b w:val="0"/>
          <w:bCs/>
          <w:color w:val="000000"/>
          <w:sz w:val="28"/>
          <w:szCs w:val="28"/>
          <w:lang w:eastAsia="zh-CN"/>
        </w:rPr>
        <w:t xml:space="preserve">于“</w:t>
      </w:r>
      <w:r>
        <w:rPr>
          <w:rFonts w:hint="eastAsia" w:ascii="方正黑体_GBK" w:hAnsi="方正黑体_GBK" w:eastAsia="方正黑体_GBK" w:cs="方正黑体_GBK"/>
          <w:b w:val="0"/>
          <w:bCs/>
          <w:color w:val="000000"/>
          <w:sz w:val="28"/>
          <w:szCs w:val="28"/>
        </w:rPr>
        <w:t xml:space="preserve">苏采云</w:t>
      </w:r>
      <w:r>
        <w:rPr>
          <w:rFonts w:hint="eastAsia" w:ascii="方正黑体_GBK" w:hAnsi="方正黑体_GBK" w:eastAsia="方正黑体_GBK" w:cs="方正黑体_GBK"/>
          <w:b w:val="0"/>
          <w:bCs/>
          <w:color w:val="000000"/>
          <w:sz w:val="28"/>
          <w:szCs w:val="28"/>
          <w:lang w:eastAsia="zh-CN"/>
        </w:rPr>
        <w:t xml:space="preserve">”</w:t>
      </w:r>
      <w:r>
        <w:rPr>
          <w:rFonts w:hint="eastAsia" w:ascii="方正黑体_GBK" w:hAnsi="方正黑体_GBK" w:eastAsia="方正黑体_GBK" w:cs="方正黑体_GBK"/>
          <w:b w:val="0"/>
          <w:bCs/>
          <w:color w:val="000000"/>
          <w:sz w:val="28"/>
          <w:szCs w:val="28"/>
        </w:rPr>
        <w:t xml:space="preserve">系统）</w:t>
      </w:r>
      <w:r>
        <w:rPr>
          <w:rFonts w:hint="eastAsia" w:ascii="方正黑体_GBK" w:hAnsi="方正黑体_GBK" w:eastAsia="方正黑体_GBK" w:cs="方正黑体_GBK"/>
          <w:b w:val="0"/>
          <w:bCs/>
          <w:color w:val="000000"/>
          <w:sz w:val="28"/>
          <w:szCs w:val="28"/>
        </w:rPr>
      </w:r>
      <w:r/>
    </w:p>
    <w:p>
      <w:pPr>
        <w:pStyle w:val="912"/>
        <w:ind w:firstLine="1470"/>
        <w:jc w:val="left"/>
        <w:spacing w:before="120" w:after="120" w:line="360" w:lineRule="auto"/>
        <w:rPr>
          <w:rFonts w:hint="eastAsia" w:ascii="Times New Roman" w:hAnsi="Times New Roman"/>
          <w:szCs w:val="21"/>
        </w:rPr>
      </w:pPr>
      <w:r>
        <w:rPr>
          <w:rFonts w:hint="eastAsia" w:ascii="Times New Roman" w:hAnsi="Times New Roman"/>
          <w:szCs w:val="21"/>
        </w:rPr>
      </w:r>
      <w:r/>
    </w:p>
    <w:p>
      <w:pPr>
        <w:pStyle w:val="912"/>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91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9</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91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2"/>
        <w:jc w:val="center"/>
        <w:spacing w:before="120" w:after="120" w:line="360" w:lineRule="auto"/>
        <w:rPr>
          <w:rFonts w:hint="eastAsia" w:ascii="Arial" w:hAnsi="Arial"/>
          <w:sz w:val="24"/>
          <w:szCs w:val="24"/>
        </w:rPr>
      </w:pPr>
      <w:r>
        <w:rPr>
          <w:rFonts w:hint="eastAsia" w:ascii="Arial" w:hAnsi="Arial"/>
          <w:sz w:val="24"/>
          <w:szCs w:val="24"/>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03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06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18</w:t>
      </w:r>
      <w:r>
        <w:rPr>
          <w:rFonts w:ascii="方正黑体_GBK" w:hAnsi="方正黑体_GBK" w:eastAsia="方正黑体_GBK" w:cs="方正黑体_GBK"/>
          <w:b w:val="0"/>
          <w:bCs/>
          <w:sz w:val="28"/>
          <w:szCs w:val="28"/>
          <w:lang w:val="en-US" w:eastAsia="zh-CN"/>
        </w:rPr>
      </w:r>
      <w:r/>
    </w:p>
    <w:p>
      <w:pPr>
        <w:pStyle w:val="91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91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36</w:t>
      </w:r>
      <w:r>
        <w:rPr>
          <w:rFonts w:ascii="方正黑体_GBK" w:hAnsi="方正黑体_GBK" w:eastAsia="方正黑体_GBK" w:cs="方正黑体_GBK"/>
          <w:b w:val="0"/>
          <w:bCs/>
          <w:sz w:val="28"/>
          <w:szCs w:val="28"/>
          <w:lang w:val="en-US" w:eastAsia="zh-CN"/>
        </w:rPr>
      </w:r>
      <w:r/>
    </w:p>
    <w:p>
      <w:pPr>
        <w:pStyle w:val="91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45</w:t>
      </w:r>
      <w:r>
        <w:rPr>
          <w:rFonts w:ascii="方正黑体_GBK" w:hAnsi="方正黑体_GBK" w:eastAsia="方正黑体_GBK" w:cs="方正黑体_GBK"/>
          <w:b w:val="0"/>
          <w:bCs/>
          <w:sz w:val="28"/>
          <w:szCs w:val="28"/>
          <w:lang w:val="en-US" w:eastAsia="zh-CN"/>
        </w:rPr>
      </w:r>
      <w:r/>
    </w:p>
    <w:p>
      <w:pPr>
        <w:pStyle w:val="912"/>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受江苏省药品监督管理局的委托，江苏省政府采购中心就江苏省疫苗生产监管系统”人工智能+“升级改造项目(JSZC-320000-SCZX-C2026-0409)进行竞争性磋商采购，欢迎符合条件的供应商参加磋商。</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江苏省疫苗生产监管系统”人工智能+“升级改造项目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rPr>
        <w:t xml:space="preserve">JSZC-320000-SCZX-C2026-0409 </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cs="Times New Roman"/>
          <w:b w:val="0"/>
          <w:bCs w:val="0"/>
          <w:sz w:val="28"/>
          <w:szCs w:val="28"/>
          <w:lang w:eastAsia="zh-CN"/>
        </w:rPr>
        <w:t xml:space="preserve">江苏省疫苗生产监管系统”人工智能+“升级改造项目</w:t>
      </w:r>
      <w:r>
        <w:rPr>
          <w:rFonts w:hint="eastAsia" w:ascii="方正仿宋_GBK" w:hAnsi="方正仿宋_GBK" w:eastAsia="方正仿宋_GBK" w:cs="方正仿宋_GBK"/>
          <w:sz w:val="28"/>
          <w:szCs w:val="28"/>
          <w:lang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912"/>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94.6</w:t>
            </w:r>
            <w:r>
              <w:rPr>
                <w:rFonts w:ascii="方正仿宋_GBK" w:hAnsi="方正仿宋_GBK" w:eastAsia="方正仿宋_GBK" w:cs="方正仿宋_GBK"/>
                <w:sz w:val="28"/>
                <w:szCs w:val="28"/>
                <w:lang w:val="en-US" w:eastAsia="zh-CN"/>
              </w:rPr>
            </w:r>
            <w:r/>
          </w:p>
        </w:tc>
      </w:tr>
    </w:tbl>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1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1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1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1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12"/>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33" w:type="dxa"/>
            <w:vAlign w:val="top"/>
            <w:textDirection w:val="lrTb"/>
            <w:noWrap w:val="false"/>
          </w:tcPr>
          <w:p>
            <w:pPr>
              <w:pStyle w:val="912"/>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94.6</w:t>
            </w:r>
            <w:r>
              <w:rPr>
                <w:rFonts w:ascii="方正仿宋_GBK" w:hAnsi="方正仿宋_GBK" w:eastAsia="方正仿宋_GBK" w:cs="方正仿宋_GBK"/>
                <w:color w:val="000000"/>
                <w:sz w:val="28"/>
                <w:szCs w:val="28"/>
                <w:highlight w:val="none"/>
                <w:lang w:val="en-US" w:eastAsia="zh-CN"/>
              </w:rPr>
            </w:r>
            <w:r/>
          </w:p>
        </w:tc>
      </w:tr>
    </w:tbl>
    <w:p>
      <w:pPr>
        <w:pStyle w:val="912"/>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w:t>
      </w:r>
      <w:r>
        <w:rPr>
          <w:rFonts w:hint="eastAsia" w:ascii="方正仿宋_GBK" w:hAnsi="方正仿宋_GBK" w:eastAsia="方正仿宋_GBK" w:cs="方正仿宋_GBK"/>
          <w:b w:val="0"/>
          <w:bCs w:val="0"/>
          <w:sz w:val="28"/>
          <w:szCs w:val="28"/>
          <w:highlight w:val="none"/>
          <w:lang w:eastAsia="zh-CN"/>
        </w:rPr>
        <w:t xml:space="preserve">对江苏省疫苗生产监管系统进行智能化升级改造，主要开发</w:t>
      </w:r>
      <w:r>
        <w:rPr>
          <w:rFonts w:hint="eastAsia" w:ascii="方正仿宋_GBK" w:hAnsi="方正仿宋_GBK" w:eastAsia="方正仿宋_GBK" w:cs="方正仿宋_GBK"/>
          <w:sz w:val="28"/>
          <w:szCs w:val="28"/>
          <w:highlight w:val="none"/>
          <w:vertAlign w:val="baseline"/>
          <w:lang w:val="en-US" w:eastAsia="zh-CN"/>
        </w:rPr>
        <w:t xml:space="preserve">疫苗监管知识底座、能力支撑中心、现场检查智能体、远程监管智能体等功能，</w:t>
      </w:r>
      <w:r>
        <w:rPr>
          <w:rFonts w:hint="eastAsia" w:ascii="方正仿宋_GBK" w:hAnsi="方正仿宋_GBK" w:eastAsia="方正仿宋_GBK" w:cs="方正仿宋_GBK"/>
          <w:b w:val="0"/>
          <w:bCs w:val="0"/>
          <w:sz w:val="28"/>
          <w:szCs w:val="28"/>
          <w:highlight w:val="none"/>
          <w:lang w:eastAsia="zh-CN"/>
        </w:rPr>
        <w:t xml:space="preserve">通过人工智能技术在疫苗生产监管领域的深化应用，提升我省疫苗生产企业风险防控能力，保障疫苗质量安全</w:t>
      </w:r>
      <w:r>
        <w:rPr>
          <w:rFonts w:hint="eastAsia" w:ascii="方正仿宋_GBK" w:hAnsi="方正仿宋_GBK" w:eastAsia="方正仿宋_GBK" w:cs="方正仿宋_GBK"/>
          <w:sz w:val="28"/>
          <w:szCs w:val="28"/>
          <w:highlight w:val="none"/>
        </w:rPr>
        <w:t xml:space="preserve">（详细内容见本磋商文件第四章）</w:t>
      </w:r>
      <w:r>
        <w:rPr>
          <w:rFonts w:ascii="宋体" w:hAnsi="宋体"/>
          <w:sz w:val="28"/>
          <w:szCs w:val="28"/>
          <w:highlight w:val="none"/>
          <w:u w:val="singl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w:t>
      </w:r>
      <w:r>
        <w:rPr>
          <w:rFonts w:hint="eastAsia" w:ascii="Times New Roman" w:hAnsi="Times New Roman" w:eastAsia="方正黑体_GBK" w:cs="Times New Roman"/>
          <w:b w:val="0"/>
          <w:bCs w:val="0"/>
          <w:sz w:val="28"/>
          <w:szCs w:val="28"/>
          <w:highlight w:val="none"/>
          <w:lang w:val="en-US" w:eastAsia="zh-CN"/>
        </w:rPr>
        <w:t xml:space="preserve">1年</w:t>
      </w:r>
      <w:r>
        <w:rPr>
          <w:rFonts w:hint="eastAsia" w:ascii="方正仿宋_GBK" w:hAnsi="方正仿宋_GBK" w:eastAsia="方正仿宋_GBK" w:cs="方正仿宋_GBK"/>
          <w:sz w:val="28"/>
          <w:szCs w:val="28"/>
          <w:highlight w:val="none"/>
          <w:lang w:eastAsia="zh-CN"/>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28359080"/>
      <w:r/>
      <w:bookmarkStart w:id="13" w:name="_Toc35393622"/>
      <w:r/>
      <w:bookmarkStart w:id="14" w:name="_Toc28359003"/>
      <w:r/>
      <w:bookmarkStart w:id="15" w:name="_Toc35393791"/>
      <w:r/>
      <w:bookmarkStart w:id="16" w:name="_Toc38985264"/>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28359081"/>
      <w:r/>
      <w:bookmarkStart w:id="18" w:name="_Toc35393623"/>
      <w:r/>
      <w:bookmarkStart w:id="19" w:name="_Toc38985265"/>
      <w:r/>
      <w:bookmarkStart w:id="20" w:name="_Toc28359004"/>
      <w:r/>
      <w:bookmarkStart w:id="21" w:name="_Toc35393792"/>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highlight w:val="yellow"/>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423"/>
        <w:gridCol w:w="3525"/>
      </w:tblGrid>
      <w:tr>
        <w:trPr/>
        <w:tc>
          <w:tcPr>
            <w:tcW w:w="805"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423"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3525"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423"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525"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1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6982"/>
      </w:tblGrid>
      <w:tr>
        <w:trPr/>
        <w:tc>
          <w:tcPr>
            <w:tcW w:w="809"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982"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982" w:type="dxa"/>
            <w:vAlign w:val="top"/>
            <w:textDirection w:val="lrTb"/>
            <w:noWrap w:val="false"/>
          </w:tcPr>
          <w:p>
            <w:pPr>
              <w:pStyle w:val="912"/>
              <w:numPr>
                <w:ilvl w:val="0"/>
                <w:numId w:val="4"/>
              </w:numPr>
              <w:ind w:left="0" w:firstLine="240"/>
              <w:keepLines w:val="0"/>
              <w:keepNext w:val="0"/>
              <w:pageBreakBefore w:val="0"/>
              <w:spacing w:line="240" w:lineRule="auto"/>
              <w:widowControl w:val="off"/>
              <w:rPr>
                <w:rFonts w:hint="eastAsia" w:ascii="宋体" w:hAnsi="宋体" w:eastAsia="宋体" w:cs="宋体"/>
                <w:sz w:val="24"/>
                <w:szCs w:val="16"/>
                <w:lang w:val="en-US" w:eastAsia="zh-CN"/>
              </w:rPr>
            </w:pPr>
            <w:r>
              <w:rPr>
                <w:rFonts w:hint="eastAsia" w:ascii="宋体" w:hAnsi="宋体" w:eastAsia="宋体" w:cs="宋体"/>
                <w:sz w:val="24"/>
                <w:szCs w:val="16"/>
                <w:lang w:val="en-US" w:eastAsia="zh-CN"/>
              </w:rPr>
              <w:t xml:space="preserve">本次采购不接受未经采购人同意的任何形式的转包、分包（需提供承诺书，格式自拟，加盖公章，但必须包含此条内容）。</w:t>
            </w:r>
            <w:r>
              <w:rPr>
                <w:rFonts w:hint="eastAsia" w:ascii="宋体" w:hAnsi="宋体" w:eastAsia="宋体" w:cs="宋体"/>
                <w:sz w:val="24"/>
                <w:szCs w:val="16"/>
                <w:lang w:val="en-US" w:eastAsia="zh-CN"/>
              </w:rPr>
            </w:r>
            <w:r/>
          </w:p>
          <w:p>
            <w:pPr>
              <w:pStyle w:val="912"/>
              <w:numPr>
                <w:ilvl w:val="0"/>
                <w:numId w:val="4"/>
              </w:numPr>
              <w:ind w:left="0" w:firstLine="240"/>
              <w:keepLines w:val="0"/>
              <w:keepNext w:val="0"/>
              <w:pageBreakBefore w:val="0"/>
              <w:spacing w:line="240" w:lineRule="auto"/>
              <w:widowControl w:val="off"/>
              <w:rPr>
                <w:rFonts w:hint="eastAsia" w:ascii="宋体" w:hAnsi="宋体" w:eastAsia="宋体" w:cs="宋体"/>
                <w:sz w:val="24"/>
                <w:szCs w:val="16"/>
                <w:lang w:val="en-US" w:eastAsia="zh-CN"/>
              </w:rPr>
            </w:pPr>
            <w:r/>
            <w:bookmarkStart w:id="22" w:name="OLE_LINK3"/>
            <w:r>
              <w:rPr>
                <w:rFonts w:hint="eastAsia" w:ascii="宋体" w:hAnsi="宋体" w:eastAsia="宋体" w:cs="宋体"/>
                <w:sz w:val="24"/>
                <w:szCs w:val="16"/>
                <w:lang w:val="en-US" w:eastAsia="zh-CN"/>
              </w:rPr>
              <w:t xml:space="preserve">本项目供应商必须满足的其他资格条件：</w:t>
            </w:r>
            <w:r>
              <w:rPr>
                <w:rFonts w:hint="eastAsia" w:ascii="宋体" w:hAnsi="宋体" w:eastAsia="宋体" w:cs="宋体"/>
                <w:sz w:val="24"/>
                <w:szCs w:val="16"/>
                <w:lang w:val="en-US" w:eastAsia="zh-CN"/>
              </w:rPr>
            </w:r>
            <w:r/>
          </w:p>
          <w:p>
            <w:pPr>
              <w:pStyle w:val="912"/>
              <w:numPr>
                <w:ilvl w:val="0"/>
                <w:numId w:val="0"/>
              </w:numPr>
              <w:ind w:firstLine="480"/>
              <w:keepLines w:val="0"/>
              <w:keepNext w:val="0"/>
              <w:pageBreakBefore w:val="0"/>
              <w:spacing w:line="240" w:lineRule="auto"/>
              <w:widowControl w:val="off"/>
              <w:rPr>
                <w:rFonts w:hint="eastAsia" w:ascii="宋体" w:hAnsi="宋体" w:eastAsia="宋体" w:cs="宋体"/>
                <w:sz w:val="24"/>
                <w:szCs w:val="16"/>
                <w:lang w:val="en-US" w:eastAsia="zh-CN"/>
              </w:rPr>
            </w:pPr>
            <w:r>
              <w:rPr>
                <w:rFonts w:hint="eastAsia" w:ascii="宋体" w:hAnsi="宋体" w:eastAsia="宋体" w:cs="宋体"/>
                <w:sz w:val="24"/>
                <w:szCs w:val="16"/>
                <w:lang w:val="en-US" w:eastAsia="zh-CN"/>
              </w:rPr>
              <w:t xml:space="preserve">单位负责人为同一人或者存在直接控股、管理关系的不同供应商，不得同时参加本项目的政府采购活动。</w:t>
            </w:r>
            <w:r>
              <w:rPr>
                <w:rFonts w:hint="eastAsia" w:ascii="宋体" w:hAnsi="宋体" w:eastAsia="宋体" w:cs="宋体"/>
                <w:sz w:val="24"/>
                <w:szCs w:val="16"/>
                <w:lang w:val="en-US" w:eastAsia="zh-CN"/>
              </w:rPr>
            </w:r>
            <w:r/>
          </w:p>
          <w:p>
            <w:pPr>
              <w:pStyle w:val="912"/>
              <w:numPr>
                <w:ilvl w:val="0"/>
                <w:numId w:val="0"/>
              </w:numPr>
              <w:ind w:firstLine="480"/>
              <w:keepLines w:val="0"/>
              <w:keepNext w:val="0"/>
              <w:pageBreakBefore w:val="0"/>
              <w:spacing w:line="240" w:lineRule="auto"/>
              <w:widowControl w:val="off"/>
              <w:rPr>
                <w:rFonts w:hint="eastAsia" w:ascii="方正仿宋_GBK" w:hAnsi="方正仿宋_GBK" w:eastAsia="方正仿宋_GBK" w:cs="方正仿宋_GBK"/>
                <w:sz w:val="28"/>
                <w:szCs w:val="28"/>
                <w:lang w:eastAsia="zh-CN"/>
              </w:rPr>
            </w:pPr>
            <w:r>
              <w:rPr>
                <w:rFonts w:hint="eastAsia" w:ascii="宋体" w:hAnsi="宋体" w:eastAsia="宋体" w:cs="宋体"/>
                <w:sz w:val="24"/>
                <w:szCs w:val="16"/>
                <w:lang w:val="en-US" w:eastAsia="zh-CN"/>
              </w:rPr>
              <w:t xml:space="preserve">凡为采购项目提供整体设计、规范编制或者项目管理、监理、检测等服务的供应商不得再参加本项目的采购活动。</w:t>
            </w:r>
            <w:bookmarkEnd w:id="22"/>
            <w:r>
              <w:rPr>
                <w:rFonts w:hint="eastAsia" w:ascii="方正仿宋_GBK" w:hAnsi="方正仿宋_GBK" w:eastAsia="方正仿宋_GBK" w:cs="方正仿宋_GBK"/>
                <w:sz w:val="28"/>
                <w:szCs w:val="28"/>
                <w:lang w:eastAsia="zh-CN"/>
              </w:rPr>
            </w:r>
            <w:r/>
          </w:p>
        </w:tc>
      </w:tr>
    </w:tbl>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3" w:name="_Toc28359005"/>
      <w:r/>
      <w:bookmarkStart w:id="24" w:name="_Toc28359082"/>
      <w:r/>
      <w:bookmarkStart w:id="25" w:name="_Toc35393793"/>
      <w:r/>
      <w:bookmarkStart w:id="26" w:name="_Toc38985266"/>
      <w:r/>
      <w:bookmarkStart w:id="27" w:name="_Toc35393624"/>
      <w:r>
        <w:rPr>
          <w:rFonts w:hint="eastAsia" w:ascii="方正黑体_GBK" w:hAnsi="方正黑体_GBK" w:eastAsia="方正黑体_GBK" w:cs="方正黑体_GBK"/>
          <w:b w:val="0"/>
          <w:bCs w:val="0"/>
          <w:sz w:val="28"/>
          <w:szCs w:val="28"/>
        </w:rPr>
        <w:t xml:space="preserve">四、提交</w:t>
      </w:r>
      <w:bookmarkEnd w:id="23"/>
      <w:r/>
      <w:bookmarkEnd w:id="24"/>
      <w:r>
        <w:rPr>
          <w:rFonts w:hint="eastAsia" w:ascii="方正黑体_GBK" w:hAnsi="方正黑体_GBK" w:eastAsia="方正黑体_GBK" w:cs="方正黑体_GBK"/>
          <w:b w:val="0"/>
          <w:bCs w:val="0"/>
          <w:sz w:val="28"/>
          <w:szCs w:val="28"/>
        </w:rPr>
        <w:t xml:space="preserve">响应文件截止时间</w:t>
      </w:r>
      <w:bookmarkEnd w:id="25"/>
      <w:r/>
      <w:bookmarkEnd w:id="26"/>
      <w:r/>
      <w:bookmarkEnd w:id="27"/>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ascii="宋体" w:hAnsi="宋体" w:cs="宋体"/>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9</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ascii="宋体" w:hAnsi="宋体" w:cs="宋体"/>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8" w:name="_Toc35393625"/>
      <w:r/>
      <w:bookmarkStart w:id="29" w:name="_Toc28359084"/>
      <w:r/>
      <w:bookmarkStart w:id="30" w:name="_Toc35393794"/>
      <w:r/>
      <w:bookmarkStart w:id="31" w:name="_Toc28359007"/>
      <w:r/>
      <w:bookmarkStart w:id="32" w:name="_Toc38985267"/>
      <w:r>
        <w:rPr>
          <w:rFonts w:hint="eastAsia" w:ascii="方正黑体_GBK" w:hAnsi="方正黑体_GBK" w:eastAsia="方正黑体_GBK" w:cs="方正黑体_GBK"/>
          <w:b w:val="0"/>
          <w:bCs w:val="0"/>
          <w:sz w:val="28"/>
          <w:szCs w:val="28"/>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3" w:name="_Toc35393795"/>
      <w:r/>
      <w:bookmarkStart w:id="34" w:name="_Toc35393626"/>
      <w:r/>
      <w:bookmarkStart w:id="35" w:name="_Toc38985268"/>
      <w:r>
        <w:rPr>
          <w:rFonts w:hint="eastAsia" w:ascii="方正黑体_GBK" w:hAnsi="方正黑体_GBK" w:eastAsia="方正黑体_GBK" w:cs="方正黑体_GBK"/>
          <w:b w:val="0"/>
          <w:bCs w:val="0"/>
          <w:sz w:val="28"/>
          <w:szCs w:val="28"/>
        </w:rPr>
        <w:t xml:space="preserve">六、其他补充事宜</w:t>
      </w:r>
      <w:bookmarkEnd w:id="33"/>
      <w:r/>
      <w:bookmarkEnd w:id="34"/>
      <w:r/>
      <w:bookmarkEnd w:id="35"/>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6" w:name="_Toc35393627"/>
      <w:r/>
      <w:bookmarkStart w:id="37" w:name="_Toc28359008"/>
      <w:r/>
      <w:bookmarkStart w:id="38" w:name="_Toc28359085"/>
      <w:r/>
      <w:bookmarkStart w:id="39" w:name="_Toc35393796"/>
      <w:r/>
      <w:bookmarkStart w:id="40" w:name="_Toc38985269"/>
      <w:r>
        <w:rPr>
          <w:rFonts w:hint="eastAsia" w:ascii="方正黑体_GBK" w:hAnsi="方正黑体_GBK" w:eastAsia="方正黑体_GBK" w:cs="方正黑体_GBK"/>
          <w:b w:val="0"/>
          <w:bCs w:val="0"/>
          <w:sz w:val="28"/>
          <w:szCs w:val="28"/>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b w:val="0"/>
          <w:bCs w:val="0"/>
          <w:sz w:val="28"/>
          <w:szCs w:val="28"/>
        </w:rPr>
      </w:r>
      <w:r/>
    </w:p>
    <w:p>
      <w:pPr>
        <w:pStyle w:val="912"/>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1" w:name="_Toc28359087"/>
      <w:r/>
      <w:bookmarkStart w:id="42" w:name="_Toc28359010"/>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江苏省药品监督管理局</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eastAsia="zh-CN"/>
        </w:rPr>
        <w:t xml:space="preserve">江苏省南京市鼓楼街</w:t>
      </w:r>
      <w:r>
        <w:rPr>
          <w:rFonts w:hint="eastAsia" w:ascii="方正仿宋_GBK" w:hAnsi="方正仿宋_GBK" w:eastAsia="方正仿宋_GBK" w:cs="方正仿宋_GBK"/>
          <w:sz w:val="28"/>
          <w:szCs w:val="28"/>
          <w:u w:val="single"/>
          <w:lang w:val="en-US" w:eastAsia="zh-CN"/>
        </w:rPr>
        <w:t xml:space="preserve">5号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bookmarkStart w:id="43" w:name="OLE_LINK1"/>
      <w:r>
        <w:rPr>
          <w:rFonts w:hint="eastAsia" w:ascii="方正仿宋_GBK" w:hAnsi="方正仿宋_GBK" w:eastAsia="方正仿宋_GBK" w:cs="方正仿宋_GBK"/>
          <w:sz w:val="28"/>
          <w:szCs w:val="28"/>
          <w:u w:val="single"/>
          <w:lang w:eastAsia="zh-CN"/>
        </w:rPr>
        <w:t xml:space="preserve">刘老师</w:t>
      </w:r>
      <w:bookmarkEnd w:id="43"/>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bookmarkStart w:id="44" w:name="OLE_LINK2"/>
      <w:r>
        <w:rPr>
          <w:rFonts w:hint="eastAsia" w:ascii="方正仿宋_GBK" w:hAnsi="方正仿宋_GBK" w:eastAsia="方正仿宋_GBK" w:cs="方正仿宋_GBK"/>
          <w:sz w:val="28"/>
          <w:szCs w:val="28"/>
          <w:u w:val="single"/>
          <w:lang w:val="en-US" w:eastAsia="zh-CN"/>
        </w:rPr>
        <w:t xml:space="preserve">025-83273661</w:t>
      </w:r>
      <w:bookmarkEnd w:id="44"/>
      <w:r>
        <w:rPr>
          <w:rFonts w:hint="eastAsia" w:ascii="方正仿宋_GBK" w:hAnsi="方正仿宋_GBK" w:eastAsia="方正仿宋_GBK" w:cs="方正仿宋_GBK"/>
          <w:sz w:val="28"/>
          <w:szCs w:val="28"/>
          <w:u w:val="single"/>
        </w:rPr>
        <w:t xml:space="preserve">　　　　</w:t>
      </w:r>
      <w:bookmarkStart w:id="45" w:name="_Toc28359009"/>
      <w:r/>
      <w:bookmarkStart w:id="46" w:name="_Toc28359086"/>
      <w:r>
        <w:rPr>
          <w:rFonts w:hint="eastAsia" w:ascii="方正仿宋_GBK" w:hAnsi="方正仿宋_GBK" w:eastAsia="方正仿宋_GBK" w:cs="方正仿宋_GBK"/>
          <w:sz w:val="28"/>
          <w:szCs w:val="28"/>
          <w:u w:val="single"/>
        </w:rPr>
      </w:r>
      <w:r/>
    </w:p>
    <w:p>
      <w:pPr>
        <w:pStyle w:val="91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5"/>
      <w:r/>
      <w:bookmarkEnd w:id="46"/>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址：南京市汉中门大街145号</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人：苏俊、许滢</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rPr>
        <w:t xml:space="preserve">联系方式：025-83668518</w:t>
      </w:r>
      <w:r>
        <w:rPr>
          <w:rFonts w:hint="eastAsia" w:ascii="方正仿宋_GBK" w:hAnsi="方正仿宋_GBK" w:eastAsia="方正仿宋_GBK" w:cs="方正仿宋_GBK"/>
          <w:sz w:val="28"/>
          <w:szCs w:val="28"/>
          <w:highlight w:val="none"/>
          <w:shd w:val="clear" w:color="ffffff" w:fill="d9d9d9"/>
        </w:rPr>
      </w:r>
      <w:r/>
    </w:p>
    <w:p>
      <w:pPr>
        <w:pStyle w:val="91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41"/>
      <w:r/>
      <w:bookmarkEnd w:id="42"/>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7" w:name="_Toc120614211"/>
      <w:r/>
      <w:bookmarkStart w:id="48" w:name="_Toc513029203"/>
      <w:r/>
      <w:bookmarkStart w:id="49" w:name="_Toc120614214"/>
      <w:r/>
      <w:bookmarkStart w:id="50" w:name="_Toc16938519"/>
      <w:r/>
      <w:bookmarkStart w:id="51" w:name="_Toc20823275"/>
      <w:r>
        <w:rPr>
          <w:rFonts w:hint="eastAsia" w:ascii="方正黑体_GBK" w:hAnsi="方正黑体_GBK" w:eastAsia="方正黑体_GBK" w:cs="方正黑体_GBK"/>
          <w:b w:val="0"/>
          <w:bCs w:val="0"/>
          <w:sz w:val="28"/>
          <w:szCs w:val="28"/>
        </w:rPr>
        <w:br w:type="page" w:clear="all"/>
      </w:r>
      <w:r>
        <w:rPr>
          <w:rFonts w:hint="eastAsia" w:ascii="方正黑体_GBK" w:hAnsi="方正黑体_GBK" w:eastAsia="方正黑体_GBK" w:cs="方正黑体_GBK"/>
          <w:b w:val="0"/>
          <w:bCs w:val="0"/>
          <w:sz w:val="28"/>
          <w:szCs w:val="28"/>
        </w:rPr>
        <w:t xml:space="preserve">第二章  </w:t>
      </w:r>
      <w:bookmarkEnd w:id="47"/>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8"/>
      <w:r/>
      <w:bookmarkEnd w:id="49"/>
      <w:r/>
      <w:bookmarkEnd w:id="50"/>
      <w:r/>
      <w:bookmarkEnd w:id="51"/>
      <w:r/>
      <w:bookmarkStart w:id="52" w:name="_Toc513029209"/>
      <w:r/>
      <w:bookmarkStart w:id="53" w:name="_Toc120614215"/>
      <w:r/>
      <w:bookmarkStart w:id="54" w:name="_Toc20823281"/>
      <w:r/>
      <w:bookmarkStart w:id="55" w:name="_Toc16938525"/>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仿宋_GBK" w:hAnsi="方正仿宋_GBK" w:eastAsia="方正仿宋_GBK" w:cs="方正仿宋_GBK"/>
          <w:bCs/>
          <w:sz w:val="28"/>
          <w:szCs w:val="28"/>
        </w:rPr>
        <w:t xml:space="preserve">1</w:t>
      </w:r>
      <w:bookmarkEnd w:id="57"/>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8"/>
      <w:r/>
      <w:bookmarkEnd w:id="59"/>
      <w:r/>
      <w:bookmarkEnd w:id="60"/>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1" w:name="_Toc16938521"/>
      <w:r/>
      <w:bookmarkStart w:id="62" w:name="_Toc513029205"/>
      <w:r/>
      <w:bookmarkStart w:id="63"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61"/>
      <w:r/>
      <w:bookmarkEnd w:id="62"/>
      <w:r/>
      <w:bookmarkEnd w:id="63"/>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4" w:name="_Toc16938522"/>
      <w:r/>
      <w:bookmarkStart w:id="65" w:name="_Toc513029206"/>
      <w:r/>
      <w:bookmarkStart w:id="66" w:name="_Toc20823278"/>
      <w:r/>
      <w:bookmarkStart w:id="67" w:name="_Toc16938523"/>
      <w:r/>
      <w:bookmarkStart w:id="68" w:name="_Toc513029207"/>
      <w:r/>
      <w:bookmarkStart w:id="69" w:name="_Toc20823279"/>
      <w:r/>
      <w:bookmarkStart w:id="70" w:name="_Toc46256406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4"/>
      <w:r/>
      <w:bookmarkEnd w:id="65"/>
      <w:r/>
      <w:bookmarkEnd w:id="66"/>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7"/>
      <w:r/>
      <w:bookmarkEnd w:id="68"/>
      <w:r/>
      <w:bookmarkEnd w:id="69"/>
      <w:r/>
      <w:bookmarkEnd w:id="70"/>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52"/>
      <w:r/>
      <w:bookmarkEnd w:id="53"/>
      <w:r/>
      <w:bookmarkEnd w:id="54"/>
      <w:r/>
      <w:bookmarkEnd w:id="55"/>
      <w:r/>
      <w:bookmarkStart w:id="71" w:name="_Toc513029213"/>
      <w:r/>
      <w:bookmarkStart w:id="72" w:name="_Toc20823285"/>
      <w:r/>
      <w:bookmarkStart w:id="73" w:name="_Toc462564072"/>
      <w:r/>
      <w:bookmarkStart w:id="74" w:name="_Toc120614216"/>
      <w:r/>
      <w:bookmarkStart w:id="75" w:name="_Toc16938529"/>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513029210"/>
      <w:r/>
      <w:bookmarkStart w:id="77" w:name="_Toc20823282"/>
      <w:r/>
      <w:bookmarkStart w:id="78"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6"/>
      <w:r/>
      <w:bookmarkEnd w:id="77"/>
      <w:r/>
      <w:bookmarkEnd w:id="78"/>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9" w:name="_Toc513029212"/>
      <w:r/>
      <w:bookmarkStart w:id="80" w:name="_Toc16938528"/>
      <w:r/>
      <w:bookmarkStart w:id="81" w:name="_Toc462564071"/>
      <w:r/>
      <w:bookmarkStart w:id="82" w:name="_Toc20823284"/>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9"/>
      <w:r/>
      <w:bookmarkEnd w:id="80"/>
      <w:r/>
      <w:bookmarkEnd w:id="81"/>
      <w:r/>
      <w:bookmarkEnd w:id="82"/>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71"/>
      <w:r/>
      <w:bookmarkEnd w:id="72"/>
      <w:r/>
      <w:bookmarkEnd w:id="73"/>
      <w:r/>
      <w:bookmarkEnd w:id="74"/>
      <w:r/>
      <w:bookmarkEnd w:id="75"/>
      <w:r/>
      <w:bookmarkStart w:id="83" w:name="_Hlt26954739"/>
      <w:r/>
      <w:bookmarkEnd w:id="83"/>
      <w:r/>
      <w:bookmarkStart w:id="84" w:name="_Hlt26954852"/>
      <w:r/>
      <w:bookmarkEnd w:id="84"/>
      <w:r/>
      <w:bookmarkStart w:id="85" w:name="_Toc462564073"/>
      <w:r/>
      <w:bookmarkStart w:id="86" w:name="_Toc513029214"/>
      <w:r/>
      <w:bookmarkStart w:id="87" w:name="_Toc16938530"/>
      <w:r/>
      <w:bookmarkStart w:id="88" w:name="_Toc20823286"/>
      <w:r/>
      <w:bookmarkStart w:id="89" w:name="_Toc20823296"/>
      <w:r/>
      <w:bookmarkStart w:id="90" w:name="_Toc513029224"/>
      <w:r/>
      <w:bookmarkStart w:id="91" w:name="_Toc120614217"/>
      <w:r/>
      <w:bookmarkStart w:id="92" w:name="_Toc16938540"/>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5"/>
      <w:r/>
      <w:bookmarkEnd w:id="86"/>
      <w:r/>
      <w:bookmarkEnd w:id="87"/>
      <w:r/>
      <w:bookmarkEnd w:id="88"/>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3" w:name="_Toc462564074"/>
      <w:r/>
      <w:bookmarkStart w:id="94" w:name="_Toc20823287"/>
      <w:r/>
      <w:bookmarkStart w:id="95" w:name="_Toc513029215"/>
      <w:r/>
      <w:bookmarkStart w:id="96" w:name="_Toc16938531"/>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3"/>
      <w:r/>
      <w:bookmarkEnd w:id="94"/>
      <w:r/>
      <w:bookmarkEnd w:id="95"/>
      <w:r/>
      <w:bookmarkEnd w:id="96"/>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7" w:name="_Toc14577357"/>
      <w:r/>
      <w:bookmarkStart w:id="98" w:name="_Toc49090509"/>
      <w:r/>
      <w:bookmarkStart w:id="99" w:name="_Toc14577354"/>
      <w:r/>
      <w:bookmarkStart w:id="100" w:name="_Toc513029216"/>
      <w:r/>
      <w:bookmarkStart w:id="101" w:name="_Toc49090507"/>
      <w:r/>
      <w:bookmarkStart w:id="102" w:name="_Toc49090508"/>
      <w:r/>
      <w:bookmarkStart w:id="103" w:name="_Toc14577355"/>
      <w:r/>
      <w:bookmarkStart w:id="104" w:name="_Hlt26670360"/>
      <w:r/>
      <w:bookmarkEnd w:id="104"/>
      <w:r/>
      <w:bookmarkStart w:id="105" w:name="_Hlt26954838"/>
      <w:r/>
      <w:bookmarkEnd w:id="105"/>
      <w:r/>
      <w:bookmarkStart w:id="106" w:name="_Hlt26668975"/>
      <w:r/>
      <w:bookmarkEnd w:id="106"/>
      <w:r/>
      <w:bookmarkStart w:id="107" w:name="_Toc513029219"/>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7"/>
      <w:r/>
      <w:bookmarkEnd w:id="98"/>
      <w:r/>
      <w:bookmarkEnd w:id="107"/>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bookmarkEnd w:id="101"/>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2"/>
      <w:r/>
      <w:bookmarkEnd w:id="103"/>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8" w:name="_Hlt26954846"/>
      <w:r/>
      <w:bookmarkEnd w:id="108"/>
      <w:r/>
      <w:bookmarkStart w:id="109" w:name="_Hlt26954848"/>
      <w:r/>
      <w:bookmarkEnd w:id="109"/>
      <w:r/>
      <w:bookmarkStart w:id="110" w:name="_Hlt26670482"/>
      <w:r/>
      <w:bookmarkEnd w:id="110"/>
      <w:r/>
      <w:bookmarkStart w:id="111" w:name="_Hlt26954731"/>
      <w:r/>
      <w:bookmarkEnd w:id="111"/>
      <w:r/>
      <w:bookmarkStart w:id="112" w:name="_Hlt26670486"/>
      <w:r/>
      <w:bookmarkEnd w:id="112"/>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3" w:name="_Toc14577359"/>
      <w:r/>
      <w:bookmarkStart w:id="114"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3"/>
      <w:r/>
      <w:bookmarkEnd w:id="114"/>
      <w:r/>
      <w:bookmarkStart w:id="115" w:name="_Toc49090511"/>
      <w:r/>
      <w:bookmarkStart w:id="116"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5"/>
      <w:r/>
      <w:bookmarkEnd w:id="116"/>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9"/>
      <w:r/>
      <w:bookmarkEnd w:id="90"/>
      <w:r/>
      <w:bookmarkEnd w:id="91"/>
      <w:r/>
      <w:bookmarkEnd w:id="92"/>
      <w:r/>
      <w:bookmarkStart w:id="117" w:name="_Toc20823301"/>
      <w:r/>
      <w:bookmarkStart w:id="118" w:name="_Toc513029229"/>
      <w:r/>
      <w:bookmarkStart w:id="119" w:name="_Toc16938545"/>
      <w:r/>
      <w:bookmarkStart w:id="120" w:name="_Toc120614218"/>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1" w:name="_Toc462564084"/>
      <w:r/>
      <w:bookmarkStart w:id="122" w:name="_Toc513029225"/>
      <w:r/>
      <w:bookmarkStart w:id="123" w:name="_Toc20823297"/>
      <w:r/>
      <w:bookmarkStart w:id="124" w:name="_Toc16938541"/>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21"/>
      <w:r/>
      <w:bookmarkEnd w:id="122"/>
      <w:r/>
      <w:bookmarkEnd w:id="123"/>
      <w:r/>
      <w:bookmarkEnd w:id="124"/>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5" w:name="_Toc513029226"/>
      <w:r/>
      <w:bookmarkStart w:id="126" w:name="_Toc16938542"/>
      <w:r/>
      <w:bookmarkStart w:id="127" w:name="_Toc20823298"/>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5"/>
      <w:r/>
      <w:bookmarkEnd w:id="126"/>
      <w:r/>
      <w:bookmarkEnd w:id="127"/>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20823299"/>
      <w:r/>
      <w:bookmarkStart w:id="129" w:name="_Toc513029227"/>
      <w:r/>
      <w:bookmarkStart w:id="130"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8"/>
      <w:r/>
      <w:bookmarkEnd w:id="129"/>
      <w:r/>
      <w:bookmarkEnd w:id="130"/>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16938544"/>
      <w:r/>
      <w:bookmarkStart w:id="132" w:name="_Toc20823300"/>
      <w:r/>
      <w:bookmarkStart w:id="133"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31"/>
      <w:r/>
      <w:bookmarkEnd w:id="132"/>
      <w:r/>
      <w:bookmarkEnd w:id="133"/>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7"/>
      <w:r/>
      <w:bookmarkEnd w:id="118"/>
      <w:r/>
      <w:bookmarkEnd w:id="119"/>
      <w:r/>
      <w:bookmarkEnd w:id="120"/>
      <w:r>
        <w:rPr>
          <w:rFonts w:hint="eastAsia" w:ascii="方正黑体_GBK" w:hAnsi="方正黑体_GBK" w:eastAsia="方正黑体_GBK" w:cs="方正黑体_GBK"/>
          <w:b w:val="0"/>
          <w:bCs w:val="0"/>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4" w:name="_Toc16938546"/>
      <w:r/>
      <w:bookmarkStart w:id="135" w:name="_Toc20823302"/>
      <w:r/>
      <w:bookmarkStart w:id="136" w:name="_Toc513029230"/>
      <w:r/>
      <w:bookmarkStart w:id="137" w:name="_Toc513029232"/>
      <w:r/>
      <w:bookmarkStart w:id="138" w:name="_Toc20823304"/>
      <w:r/>
      <w:bookmarkStart w:id="139" w:name="_Toc16938548"/>
      <w:r>
        <w:rPr>
          <w:rFonts w:hint="eastAsia" w:ascii="方正仿宋_GBK" w:hAnsi="方正仿宋_GBK" w:eastAsia="方正仿宋_GBK" w:cs="方正仿宋_GBK"/>
          <w:bCs/>
          <w:sz w:val="28"/>
          <w:szCs w:val="28"/>
        </w:rPr>
        <w:t xml:space="preserve">21</w:t>
      </w:r>
      <w:bookmarkEnd w:id="134"/>
      <w:r/>
      <w:bookmarkEnd w:id="135"/>
      <w:r/>
      <w:bookmarkEnd w:id="136"/>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0" w:name="_Toc20823303"/>
      <w:r/>
      <w:bookmarkStart w:id="141" w:name="_Toc513029231"/>
      <w:r/>
      <w:bookmarkStart w:id="142"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40"/>
      <w:r/>
      <w:bookmarkEnd w:id="141"/>
      <w:r/>
      <w:bookmarkEnd w:id="142"/>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bookmarkStart w:id="143" w:name="_Toc513029233"/>
      <w:r/>
      <w:bookmarkStart w:id="144" w:name="_Toc16938549"/>
      <w:r/>
      <w:bookmarkStart w:id="145" w:name="_Toc20823305"/>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91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3"/>
      <w:r/>
      <w:bookmarkEnd w:id="144"/>
      <w:r/>
      <w:bookmarkEnd w:id="145"/>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val="en-US" w:eastAsia="zh-CN"/>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bookmarkStart w:id="146" w:name="_Toc513029234"/>
      <w:r/>
      <w:bookmarkStart w:id="147" w:name="_Toc20823306"/>
      <w:r/>
      <w:bookmarkStart w:id="148"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91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6"/>
      <w:r/>
      <w:bookmarkEnd w:id="147"/>
      <w:r/>
      <w:bookmarkEnd w:id="148"/>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9" w:name="_Toc20823307"/>
      <w:r/>
      <w:bookmarkStart w:id="150" w:name="_Toc120614219"/>
      <w:r/>
      <w:bookmarkStart w:id="151" w:name="_Toc16938551"/>
      <w:r/>
      <w:bookmarkStart w:id="152" w:name="_Toc513029235"/>
      <w:r>
        <w:rPr>
          <w:rFonts w:hint="eastAsia" w:ascii="方正黑体_GBK" w:hAnsi="方正黑体_GBK" w:eastAsia="方正黑体_GBK" w:cs="方正黑体_GBK"/>
          <w:b w:val="0"/>
          <w:bCs w:val="0"/>
          <w:sz w:val="28"/>
          <w:szCs w:val="28"/>
        </w:rPr>
        <w:t xml:space="preserve">六、</w:t>
      </w:r>
      <w:bookmarkEnd w:id="149"/>
      <w:r/>
      <w:bookmarkEnd w:id="150"/>
      <w:r/>
      <w:bookmarkEnd w:id="151"/>
      <w:r/>
      <w:bookmarkEnd w:id="152"/>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91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3" w:name="_Toc513029238"/>
      <w:r/>
      <w:bookmarkStart w:id="154" w:name="_Toc20823310"/>
      <w:r/>
      <w:bookmarkStart w:id="155" w:name="_Toc16938554"/>
      <w:r>
        <w:rPr>
          <w:rFonts w:hint="eastAsia" w:ascii="方正仿宋_GBK" w:hAnsi="方正仿宋_GBK" w:eastAsia="方正仿宋_GBK" w:cs="方正仿宋_GBK"/>
          <w:sz w:val="28"/>
          <w:szCs w:val="28"/>
        </w:rPr>
        <w:t xml:space="preserve">27</w:t>
      </w:r>
      <w:bookmarkEnd w:id="153"/>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4"/>
      <w:r/>
      <w:bookmarkEnd w:id="155"/>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912"/>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912"/>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6"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6"/>
      <w:r>
        <w:rPr>
          <w:rFonts w:hint="eastAsia" w:ascii="方正仿宋_GBK" w:hAnsi="方正仿宋_GBK" w:eastAsia="方正仿宋_GBK" w:cs="方正仿宋_GBK"/>
          <w:bCs/>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91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7" w:name="_Toc20823308"/>
      <w:r/>
      <w:bookmarkStart w:id="158" w:name="_Toc513029236"/>
      <w:r/>
      <w:bookmarkStart w:id="159" w:name="_Toc120614220"/>
      <w:r/>
      <w:bookmarkStart w:id="160" w:name="_Toc16938552"/>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91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7"/>
      <w:r/>
      <w:bookmarkEnd w:id="158"/>
      <w:r/>
      <w:bookmarkEnd w:id="159"/>
      <w:r/>
      <w:bookmarkEnd w:id="160"/>
      <w:r/>
      <w:bookmarkStart w:id="161" w:name="_Toc20823314"/>
      <w:r/>
      <w:bookmarkStart w:id="162" w:name="_Toc16938558"/>
      <w:r/>
      <w:bookmarkStart w:id="163" w:name="_Toc513029242"/>
      <w:r/>
      <w:bookmarkStart w:id="164" w:name="_Toc120614221"/>
      <w:r/>
      <w:bookmarkStart w:id="165" w:name="_Toc479757207"/>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6" w:name="_Toc513029237"/>
      <w:r/>
      <w:bookmarkStart w:id="167" w:name="_Toc16938553"/>
      <w:r/>
      <w:bookmarkStart w:id="168"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6"/>
      <w:r/>
      <w:bookmarkEnd w:id="167"/>
      <w:r/>
      <w:bookmarkEnd w:id="168"/>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91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91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t xml:space="preserve">第三章  合同</w:t>
      </w:r>
      <w:bookmarkEnd w:id="161"/>
      <w:r/>
      <w:bookmarkEnd w:id="162"/>
      <w:r/>
      <w:bookmarkEnd w:id="163"/>
      <w:r/>
      <w:bookmarkEnd w:id="164"/>
      <w:r/>
      <w:bookmarkEnd w:id="165"/>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912"/>
        <w:spacing w:line="400" w:lineRule="exact"/>
        <w:rPr>
          <w:rFonts w:ascii="宋体" w:hAnsi="宋体"/>
          <w:bCs/>
          <w:color w:val="000000"/>
          <w:sz w:val="28"/>
          <w:szCs w:val="28"/>
          <w:highlight w:val="yellow"/>
        </w:rPr>
      </w:pPr>
      <w:r/>
      <w:bookmarkStart w:id="169" w:name="_Toc16938559"/>
      <w:r/>
      <w:bookmarkStart w:id="170" w:name="_Toc20823315"/>
      <w:r/>
      <w:bookmarkStart w:id="171" w:name="_Toc513029243"/>
      <w:r>
        <w:rPr>
          <w:rFonts w:ascii="宋体" w:hAnsi="宋体"/>
          <w:bCs/>
          <w:color w:val="000000"/>
          <w:sz w:val="28"/>
          <w:szCs w:val="28"/>
          <w:highlight w:val="yellow"/>
        </w:rPr>
      </w:r>
      <w:r/>
    </w:p>
    <w:p>
      <w:pPr>
        <w:pStyle w:val="912"/>
        <w:jc w:val="center"/>
        <w:spacing w:before="156" w:after="156"/>
        <w:rPr>
          <w:rFonts w:hint="eastAsia" w:ascii="宋体" w:hAnsi="宋体"/>
          <w:b/>
          <w:sz w:val="30"/>
          <w:szCs w:val="21"/>
        </w:rPr>
        <w:outlineLvl w:val="0"/>
      </w:pPr>
      <w:r>
        <w:rPr>
          <w:rFonts w:hint="eastAsia" w:ascii="宋体" w:hAnsi="宋体"/>
          <w:b/>
          <w:sz w:val="30"/>
          <w:szCs w:val="21"/>
        </w:rPr>
      </w:r>
      <w:r/>
    </w:p>
    <w:p>
      <w:pPr>
        <w:pStyle w:val="94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12"/>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91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91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91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91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912"/>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912"/>
        <w:ind w:firstLine="480"/>
        <w:jc w:val="right"/>
        <w:spacing w:line="500" w:lineRule="exact"/>
        <w:rPr>
          <w:rFonts w:ascii="Times New Roman" w:hAnsi="Times New Roman"/>
          <w:sz w:val="24"/>
          <w:szCs w:val="24"/>
        </w:rPr>
      </w:pPr>
      <w:r>
        <w:rPr>
          <w:rFonts w:ascii="Times New Roman" w:hAnsi="Times New Roman"/>
          <w:sz w:val="24"/>
          <w:szCs w:val="24"/>
        </w:rPr>
      </w:r>
      <w:r/>
    </w:p>
    <w:p>
      <w:pPr>
        <w:pStyle w:val="912"/>
        <w:ind w:firstLine="480"/>
        <w:jc w:val="right"/>
        <w:spacing w:line="50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r>
        <w:rPr>
          <w:rFonts w:hint="eastAsia" w:ascii="Times New Roman" w:hAnsi="Times New Roman" w:eastAsia="宋体"/>
          <w:sz w:val="24"/>
          <w:szCs w:val="24"/>
          <w:lang w:val="en-US" w:eastAsia="zh-CN"/>
        </w:rPr>
      </w:r>
      <w:r/>
    </w:p>
    <w:p>
      <w:pPr>
        <w:pStyle w:val="912"/>
        <w:ind w:firstLine="480"/>
        <w:jc w:val="right"/>
        <w:spacing w:line="500" w:lineRule="exact"/>
        <w:rPr>
          <w:rFonts w:ascii="Times New Roman" w:hAnsi="Times New Roman"/>
          <w:sz w:val="24"/>
          <w:szCs w:val="24"/>
        </w:rPr>
      </w:pPr>
      <w:r>
        <w:rPr>
          <w:rFonts w:ascii="Times New Roman" w:hAnsi="Times New Roman"/>
          <w:sz w:val="24"/>
          <w:szCs w:val="24"/>
        </w:rPr>
      </w:r>
      <w:r/>
    </w:p>
    <w:p>
      <w:pPr>
        <w:pStyle w:val="914"/>
        <w:keepLines/>
        <w:keepNext/>
        <w:pageBreakBefore w:val="0"/>
        <w:spacing w:line="400" w:lineRule="exact"/>
        <w:widowControl w:val="off"/>
        <w:rPr>
          <w:rFonts w:ascii="宋体" w:hAnsi="Courier New" w:cs="Courier New"/>
          <w:sz w:val="28"/>
          <w:szCs w:val="28"/>
        </w:rPr>
      </w:pPr>
      <w:r/>
      <w:bookmarkEnd w:id="169"/>
      <w:r/>
      <w:bookmarkEnd w:id="170"/>
      <w:r/>
      <w:bookmarkEnd w:id="171"/>
      <w:r/>
      <w:bookmarkStart w:id="172" w:name="_Hlt16619369"/>
      <w:r/>
      <w:bookmarkEnd w:id="172"/>
      <w:r/>
      <w:bookmarkStart w:id="173" w:name="_Toc20823346"/>
      <w:r/>
      <w:bookmarkStart w:id="174" w:name="_Toc16938590"/>
      <w:r/>
      <w:bookmarkStart w:id="175" w:name="_Toc120614244"/>
      <w:r/>
      <w:bookmarkStart w:id="176" w:name="_Hlt16619350"/>
      <w:r/>
      <w:bookmarkStart w:id="177" w:name="_Toc479757211"/>
      <w:r/>
      <w:bookmarkStart w:id="178" w:name="_Toc462564139"/>
      <w:r>
        <w:rPr>
          <w:rFonts w:ascii="黑体" w:hAnsi="Courier New" w:eastAsia="黑体" w:cs="Courier New"/>
          <w:bCs w:val="0"/>
          <w:sz w:val="44"/>
          <w:szCs w:val="21"/>
        </w:rPr>
        <w:br w:type="page" w:clear="all"/>
      </w:r>
      <w:bookmarkEnd w:id="173"/>
      <w:r/>
      <w:bookmarkEnd w:id="174"/>
      <w:r/>
      <w:bookmarkEnd w:id="175"/>
      <w:r/>
      <w:bookmarkEnd w:id="176"/>
      <w:r/>
      <w:bookmarkStart w:id="179" w:name="_Toc26554093"/>
      <w:r/>
      <w:bookmarkStart w:id="180" w:name="_Toc49090575"/>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91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912"/>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仿宋_GBK" w:cs="Times New Roman"/>
                <w:sz w:val="28"/>
                <w:szCs w:val="28"/>
                <w:u w:val="none"/>
                <w:lang w:val="en-US" w:eastAsia="zh-CN"/>
              </w:rPr>
              <w:t xml:space="preserve">01</w:t>
            </w:r>
            <w:r>
              <w:rPr>
                <w:rFonts w:ascii="方正仿宋_GBK" w:hAnsi="方正仿宋_GBK" w:eastAsia="方正仿宋_GBK" w:cs="方正仿宋_GBK"/>
                <w:sz w:val="28"/>
                <w:szCs w:val="28"/>
                <w:lang w:val="en-US" w:eastAsia="zh-CN"/>
              </w:rPr>
            </w:r>
            <w:r/>
          </w:p>
        </w:tc>
        <w:tc>
          <w:tcPr>
            <w:tcW w:w="1007"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912"/>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hint="eastAsia" w:ascii="宋体" w:hAnsi="宋体" w:eastAsia="宋体" w:cs="宋体"/>
                <w:sz w:val="24"/>
                <w:szCs w:val="24"/>
                <w:lang w:val="en-US" w:eastAsia="zh-CN" w:bidi="ar-SA"/>
              </w:rPr>
              <w:t xml:space="preserve">江苏省疫苗生产监管系统“人工智能+”升级改造项目</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91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91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91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
          <w:bCs/>
          <w:sz w:val="28"/>
          <w:szCs w:val="28"/>
        </w:rPr>
      </w:r>
      <w:r/>
    </w:p>
    <w:p>
      <w:pPr>
        <w:pStyle w:val="912"/>
        <w:numPr>
          <w:ilvl w:val="1"/>
          <w:numId w:val="5"/>
        </w:numPr>
        <w:jc w:val="both"/>
        <w:keepLines/>
        <w:keepNext/>
        <w:spacing w:before="260" w:beforeAutospacing="0" w:after="260" w:afterAutospacing="0" w:line="413" w:lineRule="auto"/>
        <w:widowControl w:val="off"/>
        <w:rPr>
          <w:rFonts w:hint="eastAsia"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项目名称</w:t>
      </w:r>
      <w:r>
        <w:rPr>
          <w:rFonts w:hint="eastAsia" w:ascii="宋体" w:hAnsi="宋体" w:eastAsia="宋体" w:cs="宋体"/>
          <w:b/>
          <w:sz w:val="24"/>
          <w:szCs w:val="21"/>
          <w:lang w:val="en-US" w:eastAsia="zh-CN" w:bidi="ar-SA"/>
        </w:rPr>
      </w:r>
      <w:r/>
    </w:p>
    <w:p>
      <w:pPr>
        <w:pStyle w:val="912"/>
        <w:numPr>
          <w:ilvl w:val="0"/>
          <w:numId w:val="0"/>
        </w:numPr>
        <w:ind w:left="84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江苏省疫苗生产监管系统“人工智能+”升级改造项目</w:t>
      </w:r>
      <w:r>
        <w:rPr>
          <w:rFonts w:hint="eastAsia" w:ascii="宋体" w:hAnsi="宋体" w:eastAsia="宋体" w:cs="宋体"/>
          <w:sz w:val="24"/>
          <w:szCs w:val="24"/>
          <w:lang w:val="en-US" w:eastAsia="zh-CN" w:bidi="ar-SA"/>
        </w:rPr>
      </w:r>
      <w:r/>
    </w:p>
    <w:p>
      <w:pPr>
        <w:pStyle w:val="912"/>
        <w:numPr>
          <w:ilvl w:val="1"/>
          <w:numId w:val="5"/>
        </w:numPr>
        <w:jc w:val="both"/>
        <w:keepLines/>
        <w:keepNext/>
        <w:spacing w:before="260" w:beforeAutospacing="0" w:after="260" w:afterAutospacing="0" w:line="413" w:lineRule="auto"/>
        <w:widowControl w:val="off"/>
        <w:rPr>
          <w:rFonts w:hint="eastAsia"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项目背景</w:t>
      </w:r>
      <w:r>
        <w:rPr>
          <w:rFonts w:hint="eastAsia" w:ascii="宋体" w:hAnsi="宋体" w:eastAsia="宋体" w:cs="宋体"/>
          <w:b/>
          <w:sz w:val="24"/>
          <w:szCs w:val="21"/>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疫苗作为特殊生物制品，是国家战略性、公益性产品，其质量安全直接关系公众健康和社会稳定。近年来，随着疫苗产业快速发展，生产工艺日趋复杂，监管任务日益繁重，传统的人工监管模式在效率、覆盖面和风险识别能力方面已难以满足新形势下疫苗监管需求。现有疫苗生产监管系统虽已实现基础信息化监管，但仍依赖人工审核、事后检查，缺乏智能化预警和实时风险识别能力；GMP现场检查信息化程度不高，检查员需投入大量精力审核企业文档，检查报告编制仍以手工为主，工作效率有待提升。</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贯彻落实《江苏省“人工智能＋”行动方案》及国家药监局关于深化人工智能应用推进药品智慧监管的工作部署，依据《关于规范推进省级政务信息系统“人工智能+”升级改造工作的通知》（苏数发〔2026〕9号）关于规范推进省级政务信息系统“人工智能+”升级改造的要求，江苏省药监局启动对疫苗生产监管系统的智能化升级改造，通过人工智能技术在疫苗生产监管领域的深化应用，提升我省疫苗生产企业风险防控能力，保障疫苗质量安全。</w:t>
      </w:r>
      <w:r>
        <w:rPr>
          <w:rFonts w:hint="eastAsia"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hint="eastAsia"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项目概况</w:t>
      </w:r>
      <w:r>
        <w:rPr>
          <w:rFonts w:hint="eastAsia" w:ascii="宋体" w:hAnsi="宋体" w:eastAsia="宋体" w:cs="宋体"/>
          <w:b/>
          <w:sz w:val="24"/>
          <w:szCs w:val="21"/>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lang w:val="zh-CN" w:eastAsia="zh-CN"/>
        </w:rPr>
        <w:t xml:space="preserve">以国产开源大模型技术为核心</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依托大模型的自然语言处理及多模态交互</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val="zh-CN" w:eastAsia="zh-CN"/>
        </w:rPr>
        <w:t xml:space="preserve">能力，</w:t>
      </w:r>
      <w:r>
        <w:rPr>
          <w:rFonts w:hint="eastAsia" w:ascii="宋体" w:hAnsi="宋体" w:eastAsia="宋体" w:cs="宋体"/>
          <w:sz w:val="24"/>
          <w:szCs w:val="24"/>
          <w:lang w:val="en-US" w:eastAsia="zh-CN"/>
        </w:rPr>
        <w:t xml:space="preserve">聚焦疫苗现场检查与远程监管两大核心业务场景，对江苏省疫苗生产监管系统开展人工智能赋能升级改造，通过知识赋能与AI协同打造疫苗监管新模式。</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项目建设清单：</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bl>
      <w:tblPr>
        <w:tblStyle w:val="98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1"/>
        <w:gridCol w:w="6808"/>
      </w:tblGrid>
      <w:tr>
        <w:trPr/>
        <w:tc>
          <w:tcPr>
            <w:tcW w:w="100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rPr>
                <w:rFonts w:ascii="宋体" w:hAnsi="宋体" w:eastAsia="宋体" w:cs="宋体"/>
                <w:sz w:val="24"/>
                <w:szCs w:val="24"/>
                <w:vertAlign w:val="baseline"/>
                <w:lang w:val="en-US" w:eastAsia="zh-CN"/>
              </w:rPr>
            </w:r>
            <w:r/>
          </w:p>
        </w:tc>
        <w:tc>
          <w:tcPr>
            <w:tcW w:w="399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建设内容</w:t>
            </w:r>
            <w:r>
              <w:rPr>
                <w:rFonts w:ascii="宋体" w:hAnsi="宋体" w:eastAsia="宋体" w:cs="宋体"/>
                <w:sz w:val="24"/>
                <w:szCs w:val="24"/>
                <w:vertAlign w:val="baseline"/>
                <w:lang w:val="en-US" w:eastAsia="zh-CN"/>
              </w:rPr>
            </w:r>
            <w:r/>
          </w:p>
        </w:tc>
      </w:tr>
      <w:tr>
        <w:trPr/>
        <w:tc>
          <w:tcPr>
            <w:tcW w:w="100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399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疫苗监管知识底座</w:t>
            </w:r>
            <w:r>
              <w:rPr>
                <w:rFonts w:ascii="宋体" w:hAnsi="宋体" w:eastAsia="宋体" w:cs="宋体"/>
                <w:sz w:val="24"/>
                <w:szCs w:val="24"/>
                <w:vertAlign w:val="baseline"/>
                <w:lang w:val="en-US" w:eastAsia="zh-CN"/>
              </w:rPr>
            </w:r>
            <w:r/>
          </w:p>
        </w:tc>
      </w:tr>
      <w:tr>
        <w:trPr/>
        <w:tc>
          <w:tcPr>
            <w:tcW w:w="100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ascii="宋体" w:hAnsi="宋体" w:eastAsia="宋体" w:cs="宋体"/>
                <w:sz w:val="24"/>
                <w:szCs w:val="24"/>
                <w:vertAlign w:val="baseline"/>
                <w:lang w:val="en-US" w:eastAsia="zh-CN"/>
              </w:rPr>
            </w:r>
            <w:r/>
          </w:p>
        </w:tc>
        <w:tc>
          <w:tcPr>
            <w:tcW w:w="399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能力支撑中心</w:t>
            </w:r>
            <w:r>
              <w:rPr>
                <w:rFonts w:ascii="宋体" w:hAnsi="宋体" w:eastAsia="宋体" w:cs="宋体"/>
                <w:sz w:val="24"/>
                <w:szCs w:val="24"/>
                <w:vertAlign w:val="baseline"/>
                <w:lang w:val="en-US" w:eastAsia="zh-CN"/>
              </w:rPr>
            </w:r>
            <w:r/>
          </w:p>
        </w:tc>
      </w:tr>
      <w:tr>
        <w:trPr/>
        <w:tc>
          <w:tcPr>
            <w:tcW w:w="100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ascii="宋体" w:hAnsi="宋体" w:eastAsia="宋体" w:cs="宋体"/>
                <w:sz w:val="24"/>
                <w:szCs w:val="24"/>
                <w:vertAlign w:val="baseline"/>
                <w:lang w:val="en-US" w:eastAsia="zh-CN"/>
              </w:rPr>
            </w:r>
            <w:r/>
          </w:p>
        </w:tc>
        <w:tc>
          <w:tcPr>
            <w:tcW w:w="399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应用服务智能体</w:t>
            </w:r>
            <w:r>
              <w:rPr>
                <w:rFonts w:hint="eastAsia" w:ascii="宋体" w:hAnsi="宋体" w:eastAsia="宋体" w:cs="宋体"/>
                <w:sz w:val="24"/>
                <w:szCs w:val="24"/>
                <w:vertAlign w:val="baseline"/>
                <w:lang w:val="en-US" w:eastAsia="zh-CN"/>
              </w:rPr>
            </w:r>
            <w:r/>
          </w:p>
          <w:p>
            <w:pPr>
              <w:pStyle w:val="912"/>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1"/>
                <w:szCs w:val="21"/>
                <w:vertAlign w:val="baseline"/>
                <w:lang w:val="en-US" w:eastAsia="zh-CN"/>
              </w:rPr>
              <w:t xml:space="preserve">（现场检查智能体、远程监管智能体）</w:t>
            </w:r>
            <w:r>
              <w:rPr>
                <w:rFonts w:ascii="宋体" w:hAnsi="宋体" w:eastAsia="宋体" w:cs="宋体"/>
                <w:sz w:val="24"/>
                <w:szCs w:val="24"/>
                <w:vertAlign w:val="baseline"/>
                <w:lang w:val="en-US" w:eastAsia="zh-CN"/>
              </w:rPr>
            </w:r>
            <w:r/>
          </w:p>
        </w:tc>
      </w:tr>
    </w:tbl>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项目建设内容</w:t>
      </w:r>
      <w:r>
        <w:rPr>
          <w:rFonts w:ascii="宋体" w:hAnsi="宋体" w:eastAsia="宋体" w:cs="宋体"/>
          <w:b/>
          <w:sz w:val="24"/>
          <w:szCs w:val="21"/>
          <w:lang w:val="en-US" w:eastAsia="zh-CN" w:bidi="ar-SA"/>
        </w:rPr>
      </w:r>
      <w:r/>
    </w:p>
    <w:p>
      <w:pPr>
        <w:pStyle w:val="912"/>
        <w:numPr>
          <w:ilvl w:val="2"/>
          <w:numId w:val="5"/>
        </w:numPr>
        <w:ind w:firstLine="403"/>
        <w:jc w:val="both"/>
        <w:keepLines/>
        <w:keepNext/>
        <w:pageBreakBefore w:val="0"/>
        <w:spacing w:before="140" w:beforeAutospacing="0" w:after="120" w:afterAutospacing="0" w:line="360" w:lineRule="auto"/>
        <w:widowControl w:val="off"/>
        <w:rPr>
          <w:rFonts w:hint="eastAsia" w:ascii="Calibri" w:hAnsi="Calibri" w:eastAsia="宋体" w:cs="Times New Roman"/>
          <w:b/>
          <w:sz w:val="24"/>
          <w:szCs w:val="21"/>
          <w:lang w:val="en-US" w:eastAsia="zh-CN" w:bidi="ar-SA"/>
        </w:rPr>
        <w:outlineLvl w:val="2"/>
      </w:pPr>
      <w:r>
        <w:rPr>
          <w:rFonts w:hint="eastAsia" w:ascii="Calibri" w:hAnsi="Calibri" w:eastAsia="宋体" w:cs="Times New Roman"/>
          <w:b/>
          <w:sz w:val="24"/>
          <w:szCs w:val="21"/>
          <w:lang w:val="en-US" w:eastAsia="zh-CN" w:bidi="ar-SA"/>
        </w:rPr>
        <w:t xml:space="preserve">疫苗监管知识底座</w:t>
      </w:r>
      <w:r>
        <w:rPr>
          <w:rFonts w:hint="eastAsia" w:ascii="Calibri" w:hAnsi="Calibri" w:eastAsia="宋体" w:cs="Times New Roman"/>
          <w:b/>
          <w:sz w:val="24"/>
          <w:szCs w:val="21"/>
          <w:lang w:val="en-US" w:eastAsia="zh-CN" w:bidi="ar-SA"/>
        </w:rPr>
      </w:r>
      <w:r/>
    </w:p>
    <w:p>
      <w:pPr>
        <w:pStyle w:val="912"/>
        <w:numPr>
          <w:ilvl w:val="3"/>
          <w:numId w:val="5"/>
        </w:numPr>
        <w:ind w:firstLine="403"/>
        <w:jc w:val="both"/>
        <w:keepLines/>
        <w:keepNext/>
        <w:pageBreakBefore w:val="0"/>
        <w:spacing w:before="140" w:beforeAutospacing="0" w:after="120" w:afterAutospacing="0" w:line="360" w:lineRule="auto"/>
        <w:widowControl w:val="off"/>
        <w:rPr>
          <w:rFonts w:hint="eastAsia" w:ascii="宋体" w:hAnsi="宋体" w:eastAsia="宋体" w:cs="宋体"/>
          <w:b w:val="0"/>
          <w:bCs/>
          <w:sz w:val="24"/>
          <w:szCs w:val="22"/>
          <w:lang w:val="en-US" w:eastAsia="zh-CN" w:bidi="ar-SA"/>
        </w:rPr>
        <w:outlineLvl w:val="3"/>
      </w:pPr>
      <w:r>
        <w:rPr>
          <w:rFonts w:hint="eastAsia" w:ascii="宋体" w:hAnsi="宋体" w:eastAsia="宋体" w:cs="宋体"/>
          <w:b w:val="0"/>
          <w:bCs/>
          <w:sz w:val="24"/>
          <w:szCs w:val="22"/>
          <w:lang w:val="en-US" w:eastAsia="zh-CN" w:bidi="ar-SA"/>
        </w:rPr>
        <w:t xml:space="preserve">疫苗监管知识库</w:t>
      </w:r>
      <w:r>
        <w:rPr>
          <w:rFonts w:hint="eastAsia" w:ascii="宋体" w:hAnsi="宋体" w:eastAsia="宋体" w:cs="宋体"/>
          <w:b w:val="0"/>
          <w:bCs/>
          <w:sz w:val="24"/>
          <w:szCs w:val="22"/>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归集疫苗监管全链条的知识资源，包含相关法律法规、GMP管理规范、技术指导原则、行业技术标准等，完整覆盖疫苗研制、注册、生产、流通、上市后管理等全链条监管环节，构建结构化、关联化、动态可更新的疫苗监管专属知识库。</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Word、PDF、JPG/JPEG等非结构化文件的标准化治理，支持知识的动态增量更新与迭代优化，支持建立知识时效性标引与版本精准区分能力，保证入库资料的权威、准确、有效，为上层应用智能体提供高质量的AI知识支撑能力。</w:t>
      </w:r>
      <w:r>
        <w:rPr>
          <w:rFonts w:ascii="宋体" w:hAnsi="宋体" w:eastAsia="宋体" w:cs="宋体"/>
          <w:sz w:val="24"/>
          <w:szCs w:val="24"/>
          <w:lang w:val="en-US" w:eastAsia="zh-CN"/>
        </w:rPr>
      </w:r>
      <w:r/>
    </w:p>
    <w:p>
      <w:pPr>
        <w:pStyle w:val="912"/>
        <w:numPr>
          <w:ilvl w:val="3"/>
          <w:numId w:val="5"/>
        </w:numPr>
        <w:ind w:firstLine="403"/>
        <w:jc w:val="both"/>
        <w:keepLines/>
        <w:keepNext/>
        <w:pageBreakBefore w:val="0"/>
        <w:spacing w:before="140" w:beforeAutospacing="0" w:after="120" w:afterAutospacing="0" w:line="360" w:lineRule="auto"/>
        <w:widowControl w:val="off"/>
        <w:rPr>
          <w:rFonts w:hint="eastAsia" w:ascii="宋体" w:hAnsi="宋体" w:eastAsia="宋体" w:cs="宋体"/>
          <w:b w:val="0"/>
          <w:bCs/>
          <w:sz w:val="24"/>
          <w:szCs w:val="22"/>
          <w:lang w:val="en-US" w:eastAsia="zh-CN" w:bidi="ar-SA"/>
        </w:rPr>
        <w:outlineLvl w:val="3"/>
      </w:pPr>
      <w:r>
        <w:rPr>
          <w:rFonts w:hint="eastAsia" w:ascii="宋体" w:hAnsi="宋体" w:eastAsia="宋体" w:cs="宋体"/>
          <w:b w:val="0"/>
          <w:bCs/>
          <w:sz w:val="24"/>
          <w:szCs w:val="22"/>
          <w:lang w:val="en-US" w:eastAsia="zh-CN" w:bidi="ar-SA"/>
        </w:rPr>
        <w:t xml:space="preserve">现场检查案例库</w:t>
      </w:r>
      <w:r>
        <w:rPr>
          <w:rFonts w:hint="eastAsia" w:ascii="宋体" w:hAnsi="宋体" w:eastAsia="宋体" w:cs="宋体"/>
          <w:b w:val="0"/>
          <w:bCs/>
          <w:sz w:val="24"/>
          <w:szCs w:val="22"/>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归集2022年至今省内疫苗生产企业GMP符合性检查存档文件，覆盖许可检查、常规检查、有因检查及其他检查等检查类型，规范化开展数据清洗、结构化处理、分类标注等工作，形成以检查事项、缺陷问题、风险等级、法规依据等为核心的现场检查案例知识库。</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支持Word、PDF、JPG/JPEG等非结构化文件的标准化治理与知识图谱构建，精准实现多维数据要素的联动检索与关联溯源。支持案例知识的动态增量更新与检查缺陷样本的迭代优化，辅助现场检查</w:t>
      </w:r>
      <w:r>
        <w:rPr>
          <w:rFonts w:ascii="宋体" w:hAnsi="宋体" w:eastAsia="宋体" w:cs="宋体"/>
          <w:sz w:val="24"/>
          <w:szCs w:val="24"/>
        </w:rPr>
        <w:t xml:space="preserve">智能体研判精准度与业务适配能力</w:t>
      </w:r>
      <w:r>
        <w:rPr>
          <w:rFonts w:hint="eastAsia" w:ascii="宋体" w:hAnsi="宋体" w:eastAsia="宋体" w:cs="宋体"/>
          <w:sz w:val="24"/>
          <w:szCs w:val="24"/>
          <w:lang w:val="en-US" w:eastAsia="zh-CN"/>
        </w:rPr>
        <w:t xml:space="preserve">提升</w:t>
      </w:r>
      <w:r>
        <w:rPr>
          <w:rFonts w:ascii="宋体" w:hAnsi="宋体" w:eastAsia="宋体" w:cs="宋体"/>
          <w:sz w:val="24"/>
          <w:szCs w:val="24"/>
        </w:rPr>
        <w:t xml:space="preserve">。</w:t>
      </w:r>
      <w:r>
        <w:rPr>
          <w:rFonts w:ascii="宋体" w:hAnsi="宋体" w:eastAsia="宋体" w:cs="宋体"/>
          <w:sz w:val="24"/>
          <w:szCs w:val="24"/>
          <w:lang w:val="en-US" w:eastAsia="zh-CN"/>
        </w:rPr>
      </w:r>
      <w:r/>
    </w:p>
    <w:p>
      <w:pPr>
        <w:pStyle w:val="912"/>
        <w:numPr>
          <w:ilvl w:val="2"/>
          <w:numId w:val="5"/>
        </w:numPr>
        <w:ind w:firstLine="403"/>
        <w:jc w:val="both"/>
        <w:keepLines/>
        <w:keepNext/>
        <w:pageBreakBefore w:val="0"/>
        <w:spacing w:before="140" w:beforeAutospacing="0" w:after="120" w:afterAutospacing="0" w:line="360" w:lineRule="auto"/>
        <w:widowControl w:val="off"/>
        <w:rPr>
          <w:rFonts w:hint="eastAsia" w:ascii="Calibri" w:hAnsi="Calibri" w:eastAsia="宋体" w:cs="Times New Roman"/>
          <w:b/>
          <w:sz w:val="24"/>
          <w:szCs w:val="21"/>
          <w:lang w:val="en-US" w:eastAsia="zh-CN" w:bidi="ar-SA"/>
        </w:rPr>
        <w:outlineLvl w:val="2"/>
      </w:pPr>
      <w:r>
        <w:rPr>
          <w:rFonts w:hint="eastAsia" w:ascii="Calibri" w:hAnsi="Calibri" w:eastAsia="宋体" w:cs="Times New Roman"/>
          <w:b/>
          <w:sz w:val="24"/>
          <w:szCs w:val="21"/>
          <w:lang w:val="en-US" w:eastAsia="zh-CN" w:bidi="ar-SA"/>
        </w:rPr>
        <w:t xml:space="preserve">能力支撑中心</w:t>
      </w:r>
      <w:r>
        <w:rPr>
          <w:rFonts w:hint="eastAsia" w:ascii="Calibri" w:hAnsi="Calibri" w:eastAsia="宋体" w:cs="Times New Roman"/>
          <w:b/>
          <w:sz w:val="24"/>
          <w:szCs w:val="21"/>
          <w:lang w:val="en-US" w:eastAsia="zh-CN" w:bidi="ar-SA"/>
        </w:rPr>
      </w:r>
      <w:r/>
    </w:p>
    <w:p>
      <w:pPr>
        <w:pStyle w:val="912"/>
        <w:numPr>
          <w:ilvl w:val="3"/>
          <w:numId w:val="5"/>
        </w:numPr>
        <w:ind w:firstLine="403"/>
        <w:jc w:val="both"/>
        <w:keepLines/>
        <w:keepNext/>
        <w:pageBreakBefore w:val="0"/>
        <w:spacing w:before="140" w:beforeAutospacing="0" w:after="120" w:afterAutospacing="0" w:line="360" w:lineRule="auto"/>
        <w:widowControl w:val="off"/>
        <w:rPr>
          <w:rFonts w:hint="eastAsia" w:ascii="宋体" w:hAnsi="宋体" w:eastAsia="宋体" w:cs="宋体"/>
          <w:b w:val="0"/>
          <w:bCs/>
          <w:sz w:val="24"/>
          <w:szCs w:val="22"/>
          <w:lang w:val="en-US" w:eastAsia="zh-CN" w:bidi="ar-SA"/>
        </w:rPr>
        <w:outlineLvl w:val="3"/>
      </w:pPr>
      <w:r>
        <w:rPr>
          <w:rFonts w:hint="eastAsia" w:ascii="宋体" w:hAnsi="宋体" w:eastAsia="宋体" w:cs="宋体"/>
          <w:b w:val="0"/>
          <w:bCs/>
          <w:sz w:val="24"/>
          <w:szCs w:val="22"/>
          <w:lang w:val="en-US" w:eastAsia="zh-CN" w:bidi="ar-SA"/>
        </w:rPr>
        <w:t xml:space="preserve">知识管理服务平台</w:t>
      </w:r>
      <w:r>
        <w:rPr>
          <w:rFonts w:hint="eastAsia" w:ascii="宋体" w:hAnsi="宋体" w:eastAsia="宋体" w:cs="宋体"/>
          <w:b w:val="0"/>
          <w:bCs/>
          <w:sz w:val="24"/>
          <w:szCs w:val="22"/>
          <w:lang w:val="en-US" w:eastAsia="zh-CN" w:bidi="ar-SA"/>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平台面向业务管理人员、业务专家、系统运维人员，是知识全生命周期管理与服务的载体，具体需求如下：</w:t>
      </w:r>
      <w:r>
        <w:rPr>
          <w:rFonts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可视化知识运维：</w:t>
      </w:r>
      <w:r>
        <w:rPr>
          <w:rFonts w:ascii="宋体" w:hAnsi="宋体" w:eastAsia="宋体" w:cs="宋体"/>
          <w:sz w:val="24"/>
          <w:szCs w:val="24"/>
        </w:rPr>
        <w:t xml:space="preserve">依托现有知识底座资源实现知识全流程可视化管理；支持多格式文件上传、内容自动解析</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具备</w:t>
      </w:r>
      <w:r>
        <w:rPr>
          <w:rFonts w:ascii="宋体" w:hAnsi="宋体" w:eastAsia="宋体" w:cs="宋体"/>
          <w:sz w:val="24"/>
          <w:szCs w:val="24"/>
        </w:rPr>
        <w:t xml:space="preserve">上传日志</w:t>
      </w:r>
      <w:r>
        <w:rPr>
          <w:rFonts w:hint="eastAsia" w:ascii="宋体" w:hAnsi="宋体" w:eastAsia="宋体" w:cs="宋体"/>
          <w:sz w:val="24"/>
          <w:szCs w:val="24"/>
          <w:lang w:val="en-US" w:eastAsia="zh-CN"/>
        </w:rPr>
        <w:t xml:space="preserve">查询</w:t>
      </w:r>
      <w:r>
        <w:rPr>
          <w:rFonts w:ascii="宋体" w:hAnsi="宋体" w:eastAsia="宋体" w:cs="宋体"/>
          <w:sz w:val="24"/>
          <w:szCs w:val="24"/>
        </w:rPr>
        <w:t xml:space="preserve">、解析进度</w:t>
      </w:r>
      <w:r>
        <w:rPr>
          <w:rFonts w:hint="eastAsia" w:ascii="宋体" w:hAnsi="宋体" w:eastAsia="宋体" w:cs="宋体"/>
          <w:sz w:val="24"/>
          <w:szCs w:val="24"/>
          <w:lang w:val="en-US" w:eastAsia="zh-CN"/>
        </w:rPr>
        <w:t xml:space="preserve">跟踪、</w:t>
      </w:r>
      <w:r>
        <w:rPr>
          <w:rFonts w:ascii="宋体" w:hAnsi="宋体" w:eastAsia="宋体" w:cs="宋体"/>
          <w:sz w:val="24"/>
          <w:szCs w:val="24"/>
        </w:rPr>
        <w:t xml:space="preserve">原始文档在线预览、多版本内容对比</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功能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知识标签体系管理：支持知识标签体系搭建、维护知识分类目录，可对存量知识开展批量改标、分类归集、元数据更新等操作，实现海量非结构化知识的有序化、结构化管理。</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知识审核与入库管理：支持自定义多级知识审核流程，提供可视化任务看板。支持在线文档核验、审核意见录入及线上审核处理，规范知识入库全流程。</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权限分级与安全审计：支持账号、角色、权限可视化配置，依职责精细化管控各类操作权限。完整留存用户操作日志，支持日志查询、导出、溯源，满足合规审计需求。</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智能体数据服务：为上层智能体应用提供数据服务能力，包含统一的知识查询、知识检索、知识溯源等，实现知识底座与智能体应用的解耦对接。</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12"/>
        <w:numPr>
          <w:ilvl w:val="3"/>
          <w:numId w:val="5"/>
        </w:numPr>
        <w:ind w:firstLine="403"/>
        <w:jc w:val="both"/>
        <w:keepLines/>
        <w:keepNext/>
        <w:pageBreakBefore w:val="0"/>
        <w:spacing w:before="140" w:beforeAutospacing="0" w:after="120" w:afterAutospacing="0" w:line="360" w:lineRule="auto"/>
        <w:widowControl w:val="off"/>
        <w:rPr>
          <w:rFonts w:hint="eastAsia" w:ascii="宋体" w:hAnsi="宋体" w:eastAsia="宋体" w:cs="宋体"/>
          <w:b w:val="0"/>
          <w:bCs/>
          <w:sz w:val="24"/>
          <w:szCs w:val="22"/>
          <w:lang w:val="en-US" w:eastAsia="zh-CN" w:bidi="ar-SA"/>
        </w:rPr>
        <w:outlineLvl w:val="3"/>
      </w:pPr>
      <w:r>
        <w:rPr>
          <w:rFonts w:hint="eastAsia" w:ascii="宋体" w:hAnsi="宋体" w:eastAsia="宋体" w:cs="宋体"/>
          <w:b w:val="0"/>
          <w:bCs/>
          <w:sz w:val="24"/>
          <w:szCs w:val="22"/>
          <w:lang w:val="en-US" w:eastAsia="zh-CN" w:bidi="ar-SA"/>
        </w:rPr>
        <w:t xml:space="preserve">AI能力中心</w:t>
      </w:r>
      <w:r>
        <w:rPr>
          <w:rFonts w:hint="eastAsia" w:ascii="宋体" w:hAnsi="宋体" w:eastAsia="宋体" w:cs="宋体"/>
          <w:b w:val="0"/>
          <w:bCs/>
          <w:sz w:val="24"/>
          <w:szCs w:val="22"/>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AI能力中心面向现场检查和远程监管两类业务智能体，统一封装大模型、专用小模型、视觉多模态、规则计算及知识检索等能力，为上层应用提供标准化、可组合、可审计的AI能力服务，具体需求如下：</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统一模型接入与推理：支持疫苗监管垂直大模型及专用小模型统一接入，提供模型适配、任务路由、并发调度、超时重试、服务降级、版本切换和调用统计等能力。</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文档智能服务：支持文档智能解析切段、字段与事实抽取、条款匹配、跨文档逻辑校验、证据定位、缺陷候选识别、报告自动生成、整改跟踪及风险因子结构化输出功能，可面向企业SOP、生产记录、质量检验记录、偏差调查记录、整改及CAPA材料等各类质量文档提供一体化智能分析能力。</w:t>
      </w:r>
      <w:r>
        <w:rPr>
          <w:rFonts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多智能体协同编排：通过总控智能体完成任务意图识别，自动拆解任务并统筹调度各类专业智能体执行。支持各智能体间上下文信息传递，实现前置条件校验、任务状态管理，并支持人机协同复核。</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视觉多模态识别：支持企业既有视频监控接入后的抽帧分析、目标与行为识别、场景关系理解，支持规则阈值配置，具备边缘轻量识别，中心复核研判能力、自动完成事件抓拍和告警生成。</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知识检索与规则服务：依托疫苗监管知识底座、缺陷示例库及企业质量管理知识，提供语义检索、条款关联、知识图谱查询、规则编排和依据引用能力，确保AI输出有据可查。</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证据溯源与风险治理：统一封装事实、原文摘录、条款依据、证据位置、证据缺口、风险等级、处置状态等结构化要素，形成可追溯证据链和风险因子包，支持风险因子上报。</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训练评测与持续优化：支持样本管理、标注管理、提示词与规则调优、模型训练或轻量化适配、效果评测、版本管理、灰度发布、反馈闭环与回归验证能力。</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安全审计：支持对模型调用、智能体路由、工具调用、知识检索、人工复核、证据校准、报告生成、风险上报和视频事件处置等过程进行权限控制、日志记录和全过程追溯。</w:t>
      </w:r>
      <w:r>
        <w:rPr>
          <w:rFonts w:hint="eastAsia" w:ascii="宋体" w:hAnsi="宋体" w:eastAsia="宋体" w:cs="宋体"/>
          <w:sz w:val="24"/>
          <w:szCs w:val="24"/>
          <w:lang w:val="en-US" w:eastAsia="zh-CN"/>
        </w:rPr>
      </w:r>
      <w:r/>
    </w:p>
    <w:p>
      <w:pPr>
        <w:pStyle w:val="912"/>
        <w:numPr>
          <w:ilvl w:val="2"/>
          <w:numId w:val="5"/>
        </w:numPr>
        <w:ind w:firstLine="403"/>
        <w:jc w:val="both"/>
        <w:keepLines/>
        <w:keepNext/>
        <w:pageBreakBefore w:val="0"/>
        <w:spacing w:before="140" w:beforeAutospacing="0" w:after="120" w:afterAutospacing="0" w:line="360" w:lineRule="auto"/>
        <w:widowControl w:val="off"/>
        <w:rPr>
          <w:rFonts w:hint="eastAsia" w:ascii="Calibri" w:hAnsi="Calibri" w:eastAsia="宋体" w:cs="Times New Roman"/>
          <w:b/>
          <w:sz w:val="24"/>
          <w:szCs w:val="21"/>
          <w:lang w:val="en-US" w:eastAsia="zh-CN" w:bidi="ar-SA"/>
        </w:rPr>
        <w:outlineLvl w:val="2"/>
      </w:pPr>
      <w:r>
        <w:rPr>
          <w:rFonts w:hint="eastAsia" w:ascii="Calibri" w:hAnsi="Calibri" w:eastAsia="宋体" w:cs="Times New Roman"/>
          <w:b/>
          <w:sz w:val="24"/>
          <w:szCs w:val="21"/>
          <w:lang w:val="en-US" w:eastAsia="zh-CN" w:bidi="ar-SA"/>
        </w:rPr>
        <w:t xml:space="preserve">应用服务智能体</w:t>
      </w:r>
      <w:r>
        <w:rPr>
          <w:rFonts w:hint="eastAsia" w:ascii="Calibri" w:hAnsi="Calibri" w:eastAsia="宋体" w:cs="Times New Roman"/>
          <w:b/>
          <w:sz w:val="24"/>
          <w:szCs w:val="21"/>
          <w:lang w:val="en-US" w:eastAsia="zh-CN" w:bidi="ar-SA"/>
        </w:rPr>
      </w:r>
      <w:r/>
    </w:p>
    <w:tbl>
      <w:tblPr>
        <w:tblStyle w:val="9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
        <w:gridCol w:w="664"/>
        <w:gridCol w:w="1365"/>
        <w:gridCol w:w="5969"/>
      </w:tblGrid>
      <w:tr>
        <w:trPr/>
        <w:tc>
          <w:tcPr>
            <w:tcW w:w="524" w:type="dxa"/>
            <w:vAlign w:val="top"/>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rPr>
                <w:rFonts w:hint="eastAsia" w:ascii="宋体" w:hAnsi="宋体" w:eastAsia="宋体" w:cs="宋体"/>
                <w:b/>
                <w:bCs/>
                <w:sz w:val="24"/>
                <w:szCs w:val="24"/>
                <w:vertAlign w:val="baseline"/>
                <w:lang w:val="en-US" w:eastAsia="zh-CN"/>
              </w:rPr>
            </w:r>
            <w:r/>
          </w:p>
        </w:tc>
        <w:tc>
          <w:tcPr>
            <w:gridSpan w:val="3"/>
            <w:tcW w:w="7998" w:type="dxa"/>
            <w:vAlign w:val="top"/>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建设内容</w:t>
            </w:r>
            <w:r>
              <w:rPr>
                <w:rFonts w:hint="eastAsia" w:ascii="宋体" w:hAnsi="宋体" w:eastAsia="宋体" w:cs="宋体"/>
                <w:b/>
                <w:bCs/>
                <w:sz w:val="24"/>
                <w:szCs w:val="24"/>
                <w:vertAlign w:val="baseline"/>
                <w:lang w:val="en-US" w:eastAsia="zh-CN"/>
              </w:rPr>
            </w:r>
            <w:r/>
          </w:p>
        </w:tc>
      </w:tr>
      <w:tr>
        <w:trPr/>
        <w:tc>
          <w:tcPr>
            <w:gridSpan w:val="4"/>
            <w:tcW w:w="8522" w:type="dxa"/>
            <w:vAlign w:val="top"/>
            <w:textDirection w:val="lrTb"/>
            <w:noWrap w:val="false"/>
          </w:tcPr>
          <w:p>
            <w:pPr>
              <w:pStyle w:val="912"/>
              <w:jc w:val="center"/>
              <w:keepLines w:val="0"/>
              <w:keepNext w:val="0"/>
              <w:pageBreakBefore w:val="0"/>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（一）现场检查智能体</w:t>
            </w:r>
            <w:r>
              <w:rPr>
                <w:rFonts w:ascii="宋体" w:hAnsi="宋体" w:eastAsia="宋体" w:cs="宋体"/>
                <w:b/>
                <w:bCs/>
                <w:sz w:val="24"/>
                <w:szCs w:val="24"/>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664" w:type="dxa"/>
            <w:vAlign w:val="center"/>
            <w:vMerge w:val="restart"/>
            <w:textDirection w:val="lrTb"/>
            <w:noWrap w:val="false"/>
          </w:tcPr>
          <w:p>
            <w:pPr>
              <w:pStyle w:val="912"/>
              <w:jc w:val="both"/>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lang w:val="en-US" w:eastAsia="zh-CN"/>
              </w:rPr>
              <w:t xml:space="preserve">智能问答服务</w:t>
            </w:r>
            <w:r>
              <w:rPr>
                <w:rFonts w:hint="eastAsia" w:ascii="宋体" w:hAnsi="宋体" w:eastAsia="宋体" w:cs="宋体"/>
                <w:b w:val="0"/>
                <w:bCs w:val="0"/>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问答会话</w:t>
            </w:r>
            <w:r>
              <w:rPr>
                <w:rFonts w:hint="eastAsia"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依托疫苗监管知识底座权威资源，结合先进自然语言处理技术，构建全天候智能问答服务能力。支持模糊语义提问、场景化交互应答，实现咨询内容的精准溯源，生成结构化、规范化、精细化的问答结果。支持知识库、案例库联动检索，实现政策规范与监管实务一体化赋能；具备数据多维度动态聚类分析与聚合应答能力。</w:t>
            </w:r>
            <w:r>
              <w:rPr>
                <w:rFonts w:hint="eastAsia"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color w:val="000000"/>
                <w:sz w:val="21"/>
                <w:szCs w:val="21"/>
                <w:highlight w:val="none"/>
                <w:lang w:val="en-US" w:eastAsia="zh-CN"/>
              </w:rPr>
              <w:t xml:space="preserve">知识收藏</w:t>
            </w:r>
            <w:r>
              <w:rPr>
                <w:rFonts w:hint="eastAsia"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系统提供个性化知识归集能力，支持系统数据一键收藏，收藏空间实行个人私有隔离。支持收藏资源分组归类、自定义管理、快速检索与批量操作；支持识别原始数据变更与状态更新，自动推送更新提醒。</w:t>
            </w:r>
            <w:r>
              <w:rPr>
                <w:rFonts w:hint="eastAsia" w:ascii="宋体" w:hAnsi="宋体" w:eastAsia="宋体" w:cs="宋体"/>
                <w:sz w:val="21"/>
                <w:szCs w:val="21"/>
                <w:vertAlign w:val="baseline"/>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rPr>
                <w:rFonts w:ascii="宋体" w:hAnsi="宋体" w:eastAsia="宋体" w:cs="宋体"/>
                <w:sz w:val="21"/>
                <w:szCs w:val="21"/>
                <w:vertAlign w:val="baseline"/>
                <w:lang w:val="en-US" w:eastAsia="zh-CN"/>
              </w:rPr>
            </w:r>
            <w:r/>
          </w:p>
        </w:tc>
        <w:tc>
          <w:tcPr>
            <w:tcW w:w="66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总控调度服务</w:t>
            </w:r>
            <w:r>
              <w:rPr>
                <w:rFonts w:ascii="宋体" w:hAnsi="宋体" w:eastAsia="宋体" w:cs="宋体"/>
                <w:b w:val="0"/>
                <w:bCs w:val="0"/>
                <w:color w:val="000000"/>
                <w:sz w:val="21"/>
                <w:szCs w:val="21"/>
                <w:highlight w:val="no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sz w:val="21"/>
                <w:szCs w:val="21"/>
                <w:vertAlign w:val="baseline"/>
                <w:lang w:val="en-US" w:eastAsia="zh-CN"/>
              </w:rPr>
              <w:t xml:space="preserve">总控智能体</w:t>
            </w:r>
            <w:r>
              <w:rPr>
                <w:rFonts w:hint="eastAsia" w:ascii="宋体" w:hAnsi="宋体" w:eastAsia="宋体" w:cs="宋体"/>
                <w:b w:val="0"/>
                <w:bCs w:val="0"/>
                <w:color w:val="000000"/>
                <w:sz w:val="21"/>
                <w:szCs w:val="21"/>
                <w:highlight w:val="no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面向检查员任务请求识别任务意图，结合当前案件上下文判断审查目标和任务阶段。支持将复杂检查任务拆解为可执行子任务，并按任务需要调度相应专业智能体协同处理；支持在审查过程中提供阶段提示和下一步建议，组织多智能体形成连续、协同的工作机制。</w:t>
            </w:r>
            <w:r>
              <w:rPr>
                <w:rFonts w:hint="eastAsia"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rPr>
                <w:rFonts w:ascii="宋体" w:hAnsi="宋体" w:eastAsia="宋体" w:cs="宋体"/>
                <w:sz w:val="21"/>
                <w:szCs w:val="21"/>
                <w:vertAlign w:val="baseline"/>
                <w:lang w:val="en-US" w:eastAsia="zh-CN"/>
              </w:rPr>
            </w:r>
            <w:r/>
          </w:p>
        </w:tc>
        <w:tc>
          <w:tcPr>
            <w:tcW w:w="664" w:type="dxa"/>
            <w:vAlign w:val="center"/>
            <w:vMerge w:val="restart"/>
            <w:textDirection w:val="lrTb"/>
            <w:noWrap w:val="false"/>
          </w:tcPr>
          <w:p>
            <w:pPr>
              <w:pStyle w:val="912"/>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文档智能审查服务</w:t>
            </w:r>
            <w:r>
              <w:rPr>
                <w:rFonts w:hint="eastAsia" w:ascii="宋体" w:hAnsi="宋体" w:eastAsia="宋体" w:cs="宋体"/>
                <w:b/>
                <w:bCs/>
                <w:sz w:val="21"/>
                <w:szCs w:val="21"/>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审查经验沉淀智能体</w:t>
            </w:r>
            <w:r>
              <w:rPr>
                <w:rFonts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sz w:val="21"/>
                <w:szCs w:val="21"/>
                <w:lang w:val="en-US" w:eastAsia="zh-CN"/>
              </w:rPr>
              <w:t xml:space="preserve">基于疫苗监管知识底座权威资源及专家检查经验，沉淀现场检查专家经验与缺陷研判知识。通过自然语言提交知识补充或调整建议，经业务专家审核确认后更新入库，实现审查经验知识的持续沉淀与迭代完善。</w:t>
            </w:r>
            <w:r>
              <w:rPr>
                <w:rFonts w:hint="eastAsia" w:ascii="宋体" w:hAnsi="宋体" w:eastAsia="宋体" w:cs="宋体"/>
                <w:b w:val="0"/>
                <w:bCs w:val="0"/>
                <w:sz w:val="21"/>
                <w:szCs w:val="21"/>
                <w:vertAlign w:val="baseline"/>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文档审查智能体</w:t>
            </w:r>
            <w:r>
              <w:rPr>
                <w:rFonts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b w:val="0"/>
                <w:bCs w:val="0"/>
                <w:sz w:val="21"/>
                <w:szCs w:val="21"/>
                <w:vertAlign w:val="baseline"/>
                <w:lang w:val="en-US" w:eastAsia="zh-CN"/>
              </w:rPr>
              <w:t xml:space="preserve">面向现场检查过程中调阅的各类业务材料提供统一解析能力，形成材料画像。</w:t>
            </w:r>
            <w:r>
              <w:rPr>
                <w:rFonts w:hint="eastAsia" w:ascii="宋体" w:hAnsi="宋体" w:eastAsia="宋体" w:cs="宋体"/>
                <w:sz w:val="21"/>
                <w:szCs w:val="21"/>
                <w:lang w:val="en-US" w:eastAsia="zh-CN"/>
              </w:rPr>
              <w:t xml:space="preserve">抽取关键信息形成事实候选并保留事实来源位置，便于溯源。支持时间线与案件脉络梳理。基于已获取事实和对应条款，辅助形成后续需要验证的检查问题，并形成待验证的检查问题假设。</w:t>
            </w:r>
            <w:r>
              <w:rPr>
                <w:rFonts w:hint="eastAsia" w:ascii="宋体" w:hAnsi="宋体" w:eastAsia="宋体" w:cs="宋体"/>
                <w:b w:val="0"/>
                <w:bCs w:val="0"/>
                <w:sz w:val="21"/>
                <w:szCs w:val="21"/>
                <w:vertAlign w:val="baseline"/>
                <w:lang w:val="en-US" w:eastAsia="zh-CN"/>
              </w:rPr>
              <w:t xml:space="preserve">围绕检查问题和已获取事实开展证据完整性与一致性审查。基于已确认事实、匹配条款和证据审计结果，辅助检查人员开展缺陷识别和风险判断。针对证据不足或需进一步核实的情况，提出进一步补证建议。</w:t>
            </w:r>
            <w:r>
              <w:rPr>
                <w:rFonts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w:t>
            </w:r>
            <w:r>
              <w:rPr>
                <w:rFonts w:ascii="宋体" w:hAnsi="宋体" w:eastAsia="宋体" w:cs="宋体"/>
                <w:sz w:val="21"/>
                <w:szCs w:val="21"/>
                <w:vertAlign w:val="baseline"/>
                <w:lang w:val="en-US" w:eastAsia="zh-CN"/>
              </w:rPr>
            </w:r>
            <w:r/>
          </w:p>
        </w:tc>
        <w:tc>
          <w:tcPr>
            <w:tcW w:w="664" w:type="dxa"/>
            <w:vAlign w:val="center"/>
            <w:vMerge w:val="restart"/>
            <w:textDirection w:val="lrTb"/>
            <w:noWrap w:val="false"/>
          </w:tcPr>
          <w:p>
            <w:pPr>
              <w:pStyle w:val="912"/>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vertAlign w:val="baseline"/>
                <w:lang w:val="en-US" w:eastAsia="zh-CN"/>
              </w:rPr>
              <w:t xml:space="preserve">报告与整改审核服务</w:t>
            </w:r>
            <w:r>
              <w:rPr>
                <w:rFonts w:hint="eastAsia" w:ascii="宋体" w:hAnsi="宋体" w:eastAsia="宋体" w:cs="宋体"/>
                <w:b/>
                <w:bCs/>
                <w:sz w:val="21"/>
                <w:szCs w:val="21"/>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报告草稿智能体</w:t>
            </w:r>
            <w:r>
              <w:rPr>
                <w:rFonts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基于已采纳缺陷和已确认事实，辅助形成标准化现场检查报告成果。</w:t>
            </w:r>
            <w:r>
              <w:rPr>
                <w:rFonts w:hint="eastAsia" w:ascii="宋体" w:hAnsi="宋体" w:eastAsia="宋体" w:cs="宋体"/>
                <w:b w:val="0"/>
                <w:bCs w:val="0"/>
                <w:sz w:val="21"/>
                <w:szCs w:val="21"/>
                <w:vertAlign w:val="baseline"/>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整改复核智能体</w:t>
            </w:r>
            <w:r>
              <w:rPr>
                <w:rFonts w:hint="eastAsia"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围绕已采纳缺陷对整改过程及整改证据开展关联复核。结合整改材料及复核情况提出闭环建议，支撑缺陷整改跟踪。</w:t>
            </w:r>
            <w:r>
              <w:rPr>
                <w:rFonts w:hint="eastAsia" w:ascii="宋体" w:hAnsi="宋体" w:eastAsia="宋体" w:cs="宋体"/>
                <w:b w:val="0"/>
                <w:bCs w:val="0"/>
                <w:sz w:val="21"/>
                <w:szCs w:val="21"/>
                <w:vertAlign w:val="baseline"/>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14</w:t>
            </w:r>
            <w:r>
              <w:rPr>
                <w:rFonts w:ascii="宋体" w:hAnsi="宋体" w:eastAsia="宋体" w:cs="宋体"/>
                <w:sz w:val="21"/>
                <w:szCs w:val="21"/>
                <w:vertAlign w:val="baseline"/>
                <w:lang w:val="en-US" w:eastAsia="zh-CN"/>
              </w:rPr>
            </w:r>
            <w:r/>
          </w:p>
        </w:tc>
        <w:tc>
          <w:tcPr>
            <w:tcW w:w="664" w:type="dxa"/>
            <w:vAlign w:val="center"/>
            <w:textDirection w:val="lrTb"/>
            <w:noWrap w:val="false"/>
          </w:tcPr>
          <w:p>
            <w:pPr>
              <w:pStyle w:val="912"/>
              <w:jc w:val="both"/>
              <w:keepLines w:val="0"/>
              <w:keepNext w:val="0"/>
              <w:pageBreakBefore w:val="0"/>
              <w:spacing w:line="360" w:lineRule="auto"/>
              <w:widowControl w:val="off"/>
              <w:rPr>
                <w:rFonts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风险因子上报服务</w:t>
            </w:r>
            <w:r>
              <w:rPr>
                <w:rFonts w:ascii="宋体" w:hAnsi="宋体" w:eastAsia="宋体" w:cs="宋体"/>
                <w:b/>
                <w:bCs/>
                <w:color w:val="000000"/>
                <w:sz w:val="21"/>
                <w:szCs w:val="21"/>
                <w:vertAlign w:val="baseline"/>
                <w:lang w:val="en-US" w:eastAsia="zh-CN"/>
              </w:rPr>
            </w:r>
            <w:r/>
          </w:p>
        </w:tc>
        <w:tc>
          <w:tcPr>
            <w:gridSpan w:val="2"/>
            <w:tcW w:w="7334" w:type="dxa"/>
            <w:vAlign w:val="center"/>
            <w:textDirection w:val="lrTb"/>
            <w:noWrap w:val="false"/>
          </w:tcPr>
          <w:p>
            <w:pPr>
              <w:pStyle w:val="912"/>
              <w:jc w:val="left"/>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将检查识别到的风险信息整理为结构化上报数据，支撑风险信息进一步跟踪与处理。</w:t>
            </w:r>
            <w:r>
              <w:rPr>
                <w:rFonts w:ascii="宋体" w:hAnsi="宋体" w:eastAsia="宋体" w:cs="宋体"/>
                <w:color w:val="000000"/>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15</w:t>
            </w:r>
            <w:r>
              <w:rPr>
                <w:rFonts w:ascii="宋体" w:hAnsi="宋体" w:eastAsia="宋体" w:cs="宋体"/>
                <w:sz w:val="21"/>
                <w:szCs w:val="21"/>
                <w:vertAlign w:val="baseline"/>
                <w:lang w:val="en-US" w:eastAsia="zh-CN"/>
              </w:rPr>
            </w:r>
            <w:r/>
          </w:p>
        </w:tc>
        <w:tc>
          <w:tcPr>
            <w:tcW w:w="664" w:type="dxa"/>
            <w:vAlign w:val="center"/>
            <w:textDirection w:val="lrTb"/>
            <w:noWrap w:val="false"/>
          </w:tcPr>
          <w:p>
            <w:pPr>
              <w:pStyle w:val="912"/>
              <w:jc w:val="both"/>
              <w:keepLines w:val="0"/>
              <w:keepNext w:val="0"/>
              <w:pageBreakBefore w:val="0"/>
              <w:spacing w:line="360" w:lineRule="auto"/>
              <w:widowControl w:val="off"/>
              <w:rPr>
                <w:rFonts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人机协同审查服务</w:t>
            </w:r>
            <w:r>
              <w:rPr>
                <w:rFonts w:ascii="宋体" w:hAnsi="宋体" w:eastAsia="宋体" w:cs="宋体"/>
                <w:b/>
                <w:bCs/>
                <w:color w:val="000000"/>
                <w:sz w:val="21"/>
                <w:szCs w:val="21"/>
                <w:vertAlign w:val="baseline"/>
                <w:lang w:val="en-US" w:eastAsia="zh-CN"/>
              </w:rPr>
            </w:r>
            <w:r/>
          </w:p>
        </w:tc>
        <w:tc>
          <w:tcPr>
            <w:gridSpan w:val="2"/>
            <w:tcW w:w="7334"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vertAlign w:val="baseline"/>
                <w:lang w:val="en-US" w:eastAsia="zh-CN"/>
              </w:rPr>
              <w:t xml:space="preserve">建设面向检查人员的统一人机协同审查操作界面，集中承载现场检查智能化应用能力。提供审计追溯能力，支撑审查过程和结果追踪。</w:t>
            </w:r>
            <w:r>
              <w:rPr>
                <w:rFonts w:hint="eastAsia" w:ascii="宋体" w:hAnsi="宋体" w:eastAsia="宋体" w:cs="宋体"/>
                <w:color w:val="000000"/>
                <w:sz w:val="21"/>
                <w:szCs w:val="21"/>
                <w:lang w:val="en-US" w:eastAsia="zh-CN"/>
              </w:rPr>
            </w:r>
            <w:r/>
          </w:p>
        </w:tc>
      </w:tr>
      <w:tr>
        <w:trPr/>
        <w:tc>
          <w:tcPr>
            <w:gridSpan w:val="4"/>
            <w:tcW w:w="8522"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b/>
                <w:bCs/>
                <w:sz w:val="24"/>
                <w:szCs w:val="24"/>
                <w:vertAlign w:val="baseline"/>
                <w:lang w:val="en-US" w:eastAsia="zh-CN"/>
              </w:rPr>
              <w:t xml:space="preserve">（二）远程监管智能体</w:t>
            </w:r>
            <w:r>
              <w:rPr>
                <w:rFonts w:ascii="宋体" w:hAnsi="宋体" w:eastAsia="宋体" w:cs="宋体"/>
                <w:sz w:val="21"/>
                <w:szCs w:val="21"/>
                <w:vertAlign w:val="baseline"/>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16</w:t>
            </w:r>
            <w:r>
              <w:rPr>
                <w:rFonts w:ascii="宋体" w:hAnsi="宋体" w:eastAsia="宋体" w:cs="宋体"/>
                <w:sz w:val="21"/>
                <w:szCs w:val="21"/>
                <w:vertAlign w:val="baseline"/>
                <w:lang w:val="en-US" w:eastAsia="zh-CN"/>
              </w:rPr>
            </w:r>
            <w:r/>
          </w:p>
        </w:tc>
        <w:tc>
          <w:tcPr>
            <w:tcW w:w="664" w:type="dxa"/>
            <w:vAlign w:val="center"/>
            <w:vMerge w:val="restart"/>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lang w:val="en-US" w:eastAsia="zh-CN"/>
              </w:rPr>
              <w:t xml:space="preserve">多模态视觉识别服务</w:t>
            </w:r>
            <w:r>
              <w:rPr>
                <w:rFonts w:hint="eastAsia" w:ascii="宋体" w:hAnsi="宋体" w:eastAsia="宋体" w:cs="宋体"/>
                <w:b/>
                <w:bCs/>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视频资源接入与管理</w:t>
            </w:r>
            <w:r>
              <w:rPr>
                <w:rFonts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提供远程视频资源接入能力，对接试点企业关键生产环节既有视频，实现摄像头及相关设备的统一维护管理，支持实时视频远程巡查。</w:t>
            </w:r>
            <w:r>
              <w:rPr>
                <w:rFonts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17</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视觉场景与算法配置</w:t>
            </w:r>
            <w:r>
              <w:rPr>
                <w:rFonts w:hint="eastAsia"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围绕各类远程监管场景，具备视觉识别任务建立及告警规则配置能力,本期支持不少于10项视频场景AI识别能力。</w:t>
            </w:r>
            <w:r>
              <w:rPr>
                <w:rFonts w:hint="eastAsia"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18</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视觉语言多模态大模型推理服务</w:t>
            </w:r>
            <w:r>
              <w:rPr>
                <w:rFonts w:hint="eastAsia"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建设面向视觉监管场景的视觉语言多模态大模型推理平台，为各类定向视觉识别任务提供统一模型推理能力。建设面向真实监管场景的视觉多模态模型适配与管理能力。</w:t>
            </w:r>
            <w:r>
              <w:rPr>
                <w:rFonts w:hint="eastAsia"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19</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风险智能研判</w:t>
            </w:r>
            <w:r>
              <w:rPr>
                <w:rFonts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在企业侧对视频数据进行必要的前置处理，为中心侧智能研判提供有效数据输入。</w:t>
            </w:r>
            <w:r>
              <w:rPr>
                <w:rFonts w:ascii="宋体" w:hAnsi="宋体" w:eastAsia="宋体" w:cs="宋体"/>
                <w:sz w:val="21"/>
                <w:szCs w:val="21"/>
                <w:lang w:val="en-US" w:eastAsia="zh-CN"/>
              </w:rPr>
            </w:r>
            <w:r/>
          </w:p>
        </w:tc>
      </w:tr>
      <w:tr>
        <w:trPr>
          <w:trHeight w:val="1091"/>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预警事件与抓拍证据</w:t>
            </w:r>
            <w:r>
              <w:rPr>
                <w:rFonts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针对视觉识别形成的预警事件及相关视频证据，进行结构化记录。</w:t>
            </w:r>
            <w:r>
              <w:rPr>
                <w:rFonts w:hint="eastAsia"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w:t>
            </w:r>
            <w:r>
              <w:rPr>
                <w:rFonts w:ascii="宋体" w:hAnsi="宋体" w:eastAsia="宋体" w:cs="宋体"/>
                <w:sz w:val="21"/>
                <w:szCs w:val="21"/>
                <w:vertAlign w:val="baseline"/>
                <w:lang w:val="en-US" w:eastAsia="zh-CN"/>
              </w:rPr>
            </w:r>
            <w:r/>
          </w:p>
        </w:tc>
        <w:tc>
          <w:tcPr>
            <w:tcW w:w="664" w:type="dxa"/>
            <w:vAlign w:val="center"/>
            <w:vMerge w:val="continue"/>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告警查询与处置闭环</w:t>
            </w:r>
            <w:r>
              <w:rPr>
                <w:rFonts w:hint="eastAsia" w:ascii="宋体" w:hAnsi="宋体" w:eastAsia="宋体" w:cs="宋体"/>
                <w:b w:val="0"/>
                <w:bCs w:val="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对远程监管告警进行查询、处置和状态跟踪，形成事件闭环管理。</w:t>
            </w:r>
            <w:r>
              <w:rPr>
                <w:rFonts w:hint="eastAsia" w:ascii="宋体" w:hAnsi="宋体" w:eastAsia="宋体" w:cs="宋体"/>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22</w:t>
            </w:r>
            <w:r>
              <w:rPr>
                <w:rFonts w:ascii="宋体" w:hAnsi="宋体" w:eastAsia="宋体" w:cs="宋体"/>
                <w:color w:val="000000"/>
                <w:sz w:val="21"/>
                <w:szCs w:val="21"/>
                <w:vertAlign w:val="baseline"/>
                <w:lang w:val="en-US" w:eastAsia="zh-CN"/>
              </w:rPr>
            </w:r>
            <w:r/>
          </w:p>
        </w:tc>
        <w:tc>
          <w:tcPr>
            <w:tcW w:w="664"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视频风险因子上报服务</w:t>
            </w:r>
            <w:r>
              <w:rPr>
                <w:rFonts w:hint="eastAsia" w:ascii="宋体" w:hAnsi="宋体" w:eastAsia="宋体" w:cs="宋体"/>
                <w:b/>
                <w:bCs/>
                <w:color w:val="000000"/>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风险因子上报与追溯</w:t>
            </w:r>
            <w:r>
              <w:rPr>
                <w:rFonts w:hint="eastAsia" w:ascii="宋体" w:hAnsi="宋体" w:eastAsia="宋体" w:cs="宋体"/>
                <w:b w:val="0"/>
                <w:bCs w:val="0"/>
                <w:color w:val="00000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将复核确认的视频风险事件整理为结构化风险数据，支撑风险事件的进一步跟踪与处理。</w:t>
            </w:r>
            <w:r>
              <w:rPr>
                <w:rFonts w:hint="eastAsia" w:ascii="宋体" w:hAnsi="宋体" w:eastAsia="宋体" w:cs="宋体"/>
                <w:color w:val="000000"/>
                <w:sz w:val="21"/>
                <w:szCs w:val="21"/>
                <w:lang w:val="en-US" w:eastAsia="zh-CN"/>
              </w:rPr>
            </w:r>
            <w:r/>
          </w:p>
        </w:tc>
      </w:tr>
      <w:tr>
        <w:trPr/>
        <w:tc>
          <w:tcPr>
            <w:tcW w:w="52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23</w:t>
            </w:r>
            <w:r>
              <w:rPr>
                <w:rFonts w:ascii="宋体" w:hAnsi="宋体" w:eastAsia="宋体" w:cs="宋体"/>
                <w:color w:val="000000"/>
                <w:sz w:val="21"/>
                <w:szCs w:val="21"/>
                <w:vertAlign w:val="baseline"/>
                <w:lang w:val="en-US" w:eastAsia="zh-CN"/>
              </w:rPr>
            </w:r>
            <w:r/>
          </w:p>
        </w:tc>
        <w:tc>
          <w:tcPr>
            <w:tcW w:w="664" w:type="dxa"/>
            <w:vAlign w:val="center"/>
            <w:textDirection w:val="lrTb"/>
            <w:noWrap w:val="false"/>
          </w:tcPr>
          <w:p>
            <w:pPr>
              <w:pStyle w:val="912"/>
              <w:jc w:val="center"/>
              <w:keepLines w:val="0"/>
              <w:keepNext w:val="0"/>
              <w:pageBreakBefore w:val="0"/>
              <w:spacing w:line="360" w:lineRule="auto"/>
              <w:widowControl w:val="off"/>
              <w:rPr>
                <w:rFonts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可视化监管服务</w:t>
            </w:r>
            <w:r>
              <w:rPr>
                <w:rFonts w:ascii="宋体" w:hAnsi="宋体" w:eastAsia="宋体" w:cs="宋体"/>
                <w:b/>
                <w:bCs/>
                <w:color w:val="000000"/>
                <w:sz w:val="21"/>
                <w:szCs w:val="21"/>
                <w:vertAlign w:val="baseline"/>
                <w:lang w:val="en-US" w:eastAsia="zh-CN"/>
              </w:rPr>
            </w:r>
            <w:r/>
          </w:p>
        </w:tc>
        <w:tc>
          <w:tcPr>
            <w:tcW w:w="1365" w:type="dxa"/>
            <w:vAlign w:val="center"/>
            <w:textDirection w:val="lrTb"/>
            <w:noWrap w:val="false"/>
          </w:tcPr>
          <w:p>
            <w:pPr>
              <w:pStyle w:val="912"/>
              <w:jc w:val="center"/>
              <w:keepLines w:val="0"/>
              <w:keepNext w:val="0"/>
              <w:pageBreakBefore w:val="0"/>
              <w:spacing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可视化监管</w:t>
            </w:r>
            <w:r>
              <w:rPr>
                <w:rFonts w:hint="eastAsia" w:ascii="宋体" w:hAnsi="宋体" w:eastAsia="宋体" w:cs="宋体"/>
                <w:b w:val="0"/>
                <w:bCs w:val="0"/>
                <w:color w:val="000000"/>
                <w:sz w:val="21"/>
                <w:szCs w:val="21"/>
                <w:vertAlign w:val="baseline"/>
                <w:lang w:val="en-US" w:eastAsia="zh-CN"/>
              </w:rPr>
            </w:r>
            <w:r/>
          </w:p>
        </w:tc>
        <w:tc>
          <w:tcPr>
            <w:tcW w:w="5969" w:type="dxa"/>
            <w:vAlign w:val="center"/>
            <w:textDirection w:val="lrTb"/>
            <w:noWrap w:val="false"/>
          </w:tcPr>
          <w:p>
            <w:pPr>
              <w:pStyle w:val="912"/>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建设远程监管综合可视化展示界面，集中呈现监管运行和告警处置情况。</w:t>
            </w:r>
            <w:r>
              <w:rPr>
                <w:rFonts w:hint="eastAsia" w:ascii="宋体" w:hAnsi="宋体" w:eastAsia="宋体" w:cs="宋体"/>
                <w:color w:val="000000"/>
                <w:sz w:val="21"/>
                <w:szCs w:val="21"/>
                <w:lang w:val="en-US" w:eastAsia="zh-CN"/>
              </w:rPr>
            </w:r>
            <w:r/>
          </w:p>
        </w:tc>
      </w:tr>
    </w:tbl>
    <w:p>
      <w:pPr>
        <w:pStyle w:val="912"/>
        <w:numPr>
          <w:ilvl w:val="2"/>
          <w:numId w:val="5"/>
        </w:numPr>
        <w:ind w:firstLine="403"/>
        <w:jc w:val="both"/>
        <w:keepLines/>
        <w:keepNext/>
        <w:pageBreakBefore w:val="0"/>
        <w:spacing w:before="140" w:beforeAutospacing="0" w:after="120" w:afterAutospacing="0" w:line="360" w:lineRule="auto"/>
        <w:widowControl w:val="off"/>
        <w:rPr>
          <w:rFonts w:ascii="Calibri" w:hAnsi="Calibri" w:eastAsia="宋体" w:cs="Times New Roman"/>
          <w:b/>
          <w:sz w:val="24"/>
          <w:szCs w:val="21"/>
          <w:lang w:val="en-US" w:eastAsia="zh-CN" w:bidi="ar-SA"/>
        </w:rPr>
        <w:outlineLvl w:val="2"/>
      </w:pPr>
      <w:r>
        <w:rPr>
          <w:rFonts w:hint="eastAsia" w:ascii="Calibri" w:hAnsi="Calibri" w:eastAsia="宋体" w:cs="Times New Roman"/>
          <w:b/>
          <w:sz w:val="24"/>
          <w:szCs w:val="21"/>
          <w:lang w:val="en-US" w:eastAsia="zh-CN" w:bidi="ar-SA"/>
        </w:rPr>
        <w:t xml:space="preserve">系统集成与对接</w:t>
      </w:r>
      <w:r>
        <w:rPr>
          <w:rFonts w:ascii="Calibri" w:hAnsi="Calibri" w:eastAsia="宋体" w:cs="Times New Roman"/>
          <w:b/>
          <w:sz w:val="24"/>
          <w:szCs w:val="21"/>
          <w:lang w:val="en-US" w:eastAsia="zh-CN" w:bidi="ar-SA"/>
        </w:rPr>
      </w:r>
      <w:r/>
    </w:p>
    <w:p>
      <w:pPr>
        <w:pStyle w:val="912"/>
        <w:numPr>
          <w:ilvl w:val="3"/>
          <w:numId w:val="5"/>
        </w:numPr>
        <w:ind w:firstLine="403"/>
        <w:jc w:val="both"/>
        <w:keepLines/>
        <w:keepNext/>
        <w:pageBreakBefore w:val="0"/>
        <w:spacing w:before="140" w:beforeAutospacing="0" w:after="120" w:afterAutospacing="0" w:line="360" w:lineRule="auto"/>
        <w:widowControl w:val="off"/>
        <w:rPr>
          <w:rFonts w:hint="eastAsia" w:ascii="宋体" w:hAnsi="宋体" w:eastAsia="宋体" w:cs="宋体"/>
          <w:b w:val="0"/>
          <w:bCs/>
          <w:sz w:val="24"/>
          <w:szCs w:val="22"/>
          <w:lang w:val="en-US" w:eastAsia="zh-CN" w:bidi="ar-SA"/>
        </w:rPr>
        <w:outlineLvl w:val="3"/>
      </w:pPr>
      <w:r>
        <w:rPr>
          <w:rFonts w:hint="eastAsia" w:ascii="宋体" w:hAnsi="宋体" w:eastAsia="宋体" w:cs="宋体"/>
          <w:b w:val="0"/>
          <w:bCs/>
          <w:sz w:val="24"/>
          <w:szCs w:val="22"/>
          <w:lang w:val="en-US" w:eastAsia="zh-CN" w:bidi="ar-SA"/>
        </w:rPr>
        <w:t xml:space="preserve">系统集成</w:t>
      </w:r>
      <w:r>
        <w:rPr>
          <w:rFonts w:hint="eastAsia" w:ascii="宋体" w:hAnsi="宋体" w:eastAsia="宋体" w:cs="宋体"/>
          <w:b w:val="0"/>
          <w:bCs/>
          <w:sz w:val="24"/>
          <w:szCs w:val="22"/>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实现项目与现有江苏省疫苗生产监管系统深度集成，完成统一用户账户、权限体系互通，实现用户交互界面一体化整合，构建统一操作门户，保障业务流程连贯统一。</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本项目依托采购人本地化部署的Deepseek V4、Qwen等国产开源大模型底座，构建疫苗监管专属AI智能体。充分利用大模型在语义理解、逻辑推理、智能研判及内容生成等方面的能力，赋能“人工智能+疫苗监管”创新应用场景。</w:t>
      </w:r>
      <w:r>
        <w:rPr>
          <w:rFonts w:hint="eastAsia" w:ascii="宋体" w:hAnsi="宋体" w:eastAsia="宋体" w:cs="宋体"/>
          <w:sz w:val="24"/>
          <w:szCs w:val="24"/>
          <w:lang w:val="en-US" w:eastAsia="zh-CN"/>
        </w:rPr>
      </w:r>
      <w:r/>
    </w:p>
    <w:p>
      <w:pPr>
        <w:pStyle w:val="912"/>
        <w:numPr>
          <w:ilvl w:val="3"/>
          <w:numId w:val="5"/>
        </w:numPr>
        <w:ind w:firstLine="403"/>
        <w:jc w:val="both"/>
        <w:keepLines/>
        <w:keepNext/>
        <w:pageBreakBefore w:val="0"/>
        <w:spacing w:before="140" w:beforeAutospacing="0" w:after="120" w:afterAutospacing="0" w:line="360" w:lineRule="auto"/>
        <w:widowControl w:val="off"/>
        <w:rPr>
          <w:rFonts w:ascii="宋体" w:hAnsi="宋体" w:eastAsia="宋体" w:cs="宋体"/>
          <w:b w:val="0"/>
          <w:bCs/>
          <w:sz w:val="24"/>
          <w:szCs w:val="22"/>
          <w:lang w:val="en-US" w:eastAsia="zh-CN" w:bidi="ar-SA"/>
        </w:rPr>
        <w:outlineLvl w:val="3"/>
      </w:pPr>
      <w:r>
        <w:rPr>
          <w:rFonts w:hint="eastAsia" w:ascii="宋体" w:hAnsi="宋体" w:eastAsia="宋体" w:cs="宋体"/>
          <w:b w:val="0"/>
          <w:bCs/>
          <w:sz w:val="24"/>
          <w:szCs w:val="22"/>
          <w:lang w:val="en-US" w:eastAsia="zh-CN" w:bidi="ar-SA"/>
        </w:rPr>
        <w:t xml:space="preserve">系统对接</w:t>
      </w:r>
      <w:r>
        <w:rPr>
          <w:rFonts w:ascii="宋体" w:hAnsi="宋体" w:eastAsia="宋体" w:cs="宋体"/>
          <w:b w:val="0"/>
          <w:bCs/>
          <w:sz w:val="24"/>
          <w:szCs w:val="22"/>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实现与江苏省药品智慧监管综合平台的数据对接，将药品GMP符合性检查业务数据纳入疫苗生产监管数据底座中。在对接过程中，遵循江苏省药品智慧监管综合平台的数据标准和接口规范，确保数据的准确传输和有效利用。</w:t>
      </w:r>
      <w:r>
        <w:rPr>
          <w:rFonts w:hint="eastAsia"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技术要求</w:t>
      </w:r>
      <w:r>
        <w:rPr>
          <w:rFonts w:ascii="宋体" w:hAnsi="宋体" w:eastAsia="宋体" w:cs="宋体"/>
          <w:b/>
          <w:sz w:val="24"/>
          <w:szCs w:val="21"/>
          <w:lang w:val="en-US" w:eastAsia="zh-CN" w:bidi="ar-SA"/>
        </w:rPr>
      </w:r>
      <w:r/>
    </w:p>
    <w:p>
      <w:pPr>
        <w:pStyle w:val="912"/>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基础架构要求</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产化全栈适配：系统须全栈适配国产化基础软硬件环境，兼容主流国产芯片（包含鲲鹏、海光、飞腾、龙芯等）、国产主流操作系统（包含麒麟、统信UOS等）、国产数据库及中间件（包含达梦、人大金仓、PostgreSQL）等，支持在国产化终端及服务器上稳定运行。</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私有化部署：全部业务系统及组件均采用政务外网私有化部署方式，数据在内网闭环流转，严禁出域，符合数据安全相关需求。</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系统稳定性：系统需支持7×24小时连续不间断运行；若因不可抗力导致服务中断，需具备自动重启或快速恢复机制，恢复时间目标应在1小时内。</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系统扩展性：系统底层架构需具备良好的开放性与可扩展性，应具备兼容大模型接入的能力，确保系统能够灵活应对未来技术更新迭代及业务功能升级的需求。</w:t>
      </w:r>
      <w:r>
        <w:rPr>
          <w:rFonts w:hint="eastAsia" w:ascii="宋体" w:hAnsi="宋体" w:eastAsia="宋体" w:cs="宋体"/>
          <w:sz w:val="24"/>
          <w:szCs w:val="24"/>
          <w:lang w:val="en-US" w:eastAsia="zh-CN"/>
        </w:rPr>
      </w:r>
      <w:r/>
    </w:p>
    <w:p>
      <w:pPr>
        <w:pStyle w:val="912"/>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系统性能要求</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智能问答响应时效：普通问答单次响应耗时≤3秒，复杂多轮咨询、长文本解析问答响应耗时≤10秒，保障交互使用体验。 </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问答识别精准度：标准业务问答精准匹配率≥95%，无原则性、政策性错误。模糊语义提问识别准确率≥90%。</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AI视觉识别效果：系统稳定运行后，AI视觉识别缺陷的精确率不低于90%。</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系统并发性能：支持不少于100名用户同时在线登录，支持不少于30名用户在线并发咨</w:t>
      </w:r>
      <w:r>
        <w:rPr>
          <w:rFonts w:hint="eastAsia" w:ascii="宋体" w:hAnsi="宋体" w:eastAsia="宋体" w:cs="宋体"/>
          <w:sz w:val="24"/>
          <w:szCs w:val="24"/>
          <w:highlight w:val="none"/>
          <w:lang w:val="en-US" w:eastAsia="zh-CN"/>
        </w:rPr>
        <w:t xml:space="preserve">询/发起审核任务；业务高峰期系统运行流畅，无卡顿、超时、服务异常等情况。</w:t>
      </w:r>
      <w:r>
        <w:rPr>
          <w:rFonts w:hint="eastAsia" w:ascii="宋体" w:hAnsi="宋体" w:eastAsia="宋体" w:cs="宋体"/>
          <w:sz w:val="24"/>
          <w:szCs w:val="24"/>
          <w:highlight w:val="none"/>
          <w:lang w:val="en-US" w:eastAsia="zh-CN"/>
        </w:rPr>
      </w:r>
      <w:r/>
    </w:p>
    <w:p>
      <w:pPr>
        <w:pStyle w:val="912"/>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适用疫苗监管知识底座要求</w:t>
      </w:r>
      <w:r>
        <w:rPr>
          <w:rFonts w:hint="eastAsia" w:ascii="宋体" w:hAnsi="宋体" w:eastAsia="宋体" w:cs="宋体"/>
          <w:sz w:val="24"/>
          <w:szCs w:val="24"/>
          <w:highlight w:val="none"/>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知识库版本管控能力：实现知识库版本化管理，支持知识库历史版本快照与版本回滚。</w:t>
      </w:r>
      <w:r>
        <w:rPr>
          <w:rFonts w:hint="eastAsia" w:ascii="宋体" w:hAnsi="宋体" w:eastAsia="宋体" w:cs="宋体"/>
          <w:sz w:val="24"/>
          <w:szCs w:val="24"/>
          <w:highlight w:val="none"/>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数据容灾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配套完善的数据容灾保障</w:t>
      </w:r>
      <w:r>
        <w:rPr>
          <w:rFonts w:hint="eastAsia" w:ascii="宋体" w:hAnsi="宋体" w:eastAsia="宋体" w:cs="宋体"/>
          <w:sz w:val="24"/>
          <w:szCs w:val="24"/>
          <w:highlight w:val="none"/>
          <w:lang w:val="en-US" w:eastAsia="zh-CN"/>
        </w:rPr>
        <w:t xml:space="preserve">机制</w:t>
      </w:r>
      <w:r>
        <w:rPr>
          <w:rFonts w:hint="eastAsia" w:ascii="宋体" w:hAnsi="宋体" w:eastAsia="宋体" w:cs="宋体"/>
          <w:sz w:val="24"/>
          <w:szCs w:val="24"/>
          <w:highlight w:val="none"/>
        </w:rPr>
        <w:t xml:space="preserve">，对知识数据实施异地备份存储。备份周期最长不超过一周，且每份备份数据留存时长不低于一个月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12"/>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适用现场检查智能问答要求</w:t>
      </w:r>
      <w:r>
        <w:rPr>
          <w:rFonts w:hint="eastAsia" w:ascii="宋体" w:hAnsi="宋体" w:eastAsia="宋体" w:cs="宋体"/>
          <w:sz w:val="24"/>
          <w:szCs w:val="24"/>
          <w:highlight w:val="none"/>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▲溯源能力：AI问答输出内容100%可溯源，每条回答自动关联展示原始文件名称、对应条款原文、发布文号、版本时效，支持逐条溯源核验。</w:t>
      </w:r>
      <w:r>
        <w:rPr>
          <w:rFonts w:hint="eastAsia" w:ascii="宋体" w:hAnsi="宋体" w:eastAsia="宋体" w:cs="宋体"/>
          <w:color w:val="4874cb"/>
          <w:sz w:val="24"/>
          <w:szCs w:val="24"/>
          <w:lang w:val="en-US" w:eastAsia="zh-CN"/>
        </w:rPr>
        <w:t xml:space="preserve">（磋商响应文件中需提供能够证明投标人具有该实施能力的佐证材料，提供系统功能截图或产品检测报告等；仅书面承诺具备相关能力，未附佐证材料的，本项不予认可。）</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▲内容安全过滤：系统支持敏感词过滤，触发敏感词时自动留存操作日志，包含主体、时间、原始内容等关键信息；问答交互环节具备提示词注入校验与过滤机制；</w:t>
      </w:r>
      <w:r>
        <w:rPr>
          <w:rFonts w:hint="eastAsia" w:ascii="宋体" w:hAnsi="宋体" w:eastAsia="宋体" w:cs="宋体"/>
          <w:color w:val="4874cb"/>
          <w:sz w:val="24"/>
          <w:szCs w:val="24"/>
          <w:lang w:val="en-US" w:eastAsia="zh-CN"/>
        </w:rPr>
        <w:t xml:space="preserve">（磋商响应文件中需提供能够证明投标人具有该实施能力的佐证材料，提供系统功能截图或产品检测报告等；仅书面承诺具备相关能力，未附佐证材料的，本项不予认可。）</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问答数据聚类：在智能问答场景下，支持按照不同维度开展数据动态聚类与统计分析，并对聚类结果归纳提炼输出聚合应答结论。</w:t>
      </w:r>
      <w:r>
        <w:rPr>
          <w:rFonts w:hint="eastAsia" w:ascii="宋体" w:hAnsi="宋体" w:eastAsia="宋体" w:cs="宋体"/>
          <w:color w:val="4874cb"/>
          <w:sz w:val="24"/>
          <w:szCs w:val="24"/>
          <w:lang w:val="en-US" w:eastAsia="zh-CN"/>
        </w:rPr>
        <w:t xml:space="preserve">（磋商响应文件中需提供能够证明投标人具有该实施能力的佐证材料，提供系统功能截图或产品检测报告等；仅书面承诺具备相关能力，未附佐证材料的，本项不予认可。）</w:t>
      </w:r>
      <w:r>
        <w:rPr>
          <w:rFonts w:hint="eastAsia" w:ascii="宋体" w:hAnsi="宋体" w:eastAsia="宋体" w:cs="宋体"/>
          <w:sz w:val="24"/>
          <w:szCs w:val="24"/>
          <w:lang w:val="en-US" w:eastAsia="zh-CN"/>
        </w:rPr>
      </w:r>
      <w:r/>
    </w:p>
    <w:p>
      <w:pPr>
        <w:pStyle w:val="924"/>
        <w:tabs>
          <w:tab w:val="right" w:pos="8720" w:leader="dot"/>
        </w:tabs>
        <w:rPr>
          <w:rFonts w:hint="eastAsia"/>
          <w:lang w:val="en-US" w:eastAsia="zh-CN"/>
        </w:rPr>
      </w:pPr>
      <w:r>
        <w:rPr>
          <w:rFonts w:hint="eastAsia"/>
          <w:lang w:val="en-US" w:eastAsia="zh-CN"/>
        </w:rPr>
      </w:r>
      <w:r/>
    </w:p>
    <w:p>
      <w:pPr>
        <w:pStyle w:val="912"/>
        <w:numPr>
          <w:ilvl w:val="0"/>
          <w:numId w:val="6"/>
        </w:numPr>
        <w:ind w:left="0"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适用现场检查文档审查要求</w:t>
      </w:r>
      <w:r>
        <w:rPr>
          <w:rFonts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系统需内置适配疫苗监管业务的专属审核报告模板，涵盖GMP符合性核查、偏差/变更/CAPA台账审核、事件脉络完整性校验、时间时序性校验等各类场景模板。</w:t>
      </w:r>
      <w:r>
        <w:rPr>
          <w:rFonts w:hint="eastAsia" w:ascii="宋体" w:hAnsi="宋体" w:eastAsia="宋体" w:cs="宋体"/>
          <w:sz w:val="24"/>
          <w:szCs w:val="24"/>
          <w:lang w:val="en-US" w:eastAsia="zh-CN"/>
        </w:rPr>
      </w:r>
      <w:r/>
    </w:p>
    <w:p>
      <w:pPr>
        <w:pStyle w:val="912"/>
        <w:numPr>
          <w:ilvl w:val="0"/>
          <w:numId w:val="7"/>
        </w:numPr>
        <w:ind w:left="0" w:firstLine="2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系统支持</w:t>
      </w:r>
      <w:r>
        <w:rPr>
          <w:rFonts w:ascii="宋体" w:hAnsi="宋体" w:eastAsia="宋体" w:cs="宋体"/>
          <w:sz w:val="24"/>
          <w:szCs w:val="24"/>
        </w:rPr>
        <w:t xml:space="preserve">基于已获取事实和对应条款，支持形成待验证的检查问题假设，辅助形成后续需要验证的检查问题。</w:t>
      </w:r>
      <w:r>
        <w:rPr>
          <w:rFonts w:hint="eastAsia" w:ascii="宋体" w:hAnsi="宋体" w:eastAsia="宋体" w:cs="宋体"/>
          <w:color w:val="4874cb"/>
          <w:sz w:val="24"/>
          <w:szCs w:val="24"/>
        </w:rPr>
        <w:t xml:space="preserve">（</w:t>
      </w:r>
      <w:r>
        <w:rPr>
          <w:rFonts w:hint="eastAsia" w:ascii="宋体" w:hAnsi="宋体" w:eastAsia="宋体" w:cs="宋体"/>
          <w:color w:val="4874cb"/>
          <w:sz w:val="24"/>
          <w:szCs w:val="24"/>
          <w:lang w:eastAsia="zh-CN"/>
        </w:rPr>
        <w:t xml:space="preserve">磋商响应文件</w:t>
      </w:r>
      <w:r>
        <w:rPr>
          <w:rFonts w:hint="eastAsia" w:ascii="宋体" w:hAnsi="宋体" w:eastAsia="宋体" w:cs="宋体"/>
          <w:color w:val="4874cb"/>
          <w:sz w:val="24"/>
          <w:szCs w:val="24"/>
        </w:rPr>
        <w:t xml:space="preserve">中需提供能够证明投标人具有</w:t>
      </w:r>
      <w:r>
        <w:rPr>
          <w:rFonts w:hint="eastAsia" w:ascii="宋体" w:hAnsi="宋体" w:eastAsia="宋体" w:cs="宋体"/>
          <w:color w:val="4874cb"/>
          <w:sz w:val="24"/>
          <w:szCs w:val="24"/>
          <w:lang w:val="en-US" w:eastAsia="zh-CN"/>
        </w:rPr>
        <w:t xml:space="preserve">该</w:t>
      </w:r>
      <w:r>
        <w:rPr>
          <w:rFonts w:hint="eastAsia" w:ascii="宋体" w:hAnsi="宋体" w:eastAsia="宋体" w:cs="宋体"/>
          <w:color w:val="4874cb"/>
          <w:sz w:val="24"/>
          <w:szCs w:val="24"/>
        </w:rPr>
        <w:t xml:space="preserve">实施能力的佐证材料</w:t>
      </w:r>
      <w:r>
        <w:rPr>
          <w:rFonts w:hint="eastAsia" w:ascii="宋体" w:hAnsi="宋体" w:eastAsia="宋体" w:cs="宋体"/>
          <w:color w:val="4874cb"/>
          <w:sz w:val="24"/>
          <w:szCs w:val="24"/>
          <w:lang w:eastAsia="zh-CN"/>
        </w:rPr>
        <w:t xml:space="preserve">，</w:t>
      </w:r>
      <w:r>
        <w:rPr>
          <w:rFonts w:hint="eastAsia" w:ascii="宋体" w:hAnsi="宋体" w:eastAsia="宋体" w:cs="宋体"/>
          <w:color w:val="4874cb"/>
          <w:sz w:val="24"/>
          <w:szCs w:val="24"/>
          <w:lang w:val="en-US" w:eastAsia="zh-CN"/>
        </w:rPr>
        <w:t xml:space="preserve">提供系统功能截图或产品检测报告等</w:t>
      </w:r>
      <w:r>
        <w:rPr>
          <w:rFonts w:hint="eastAsia" w:ascii="宋体" w:hAnsi="宋体" w:eastAsia="宋体" w:cs="宋体"/>
          <w:color w:val="4874cb"/>
          <w:sz w:val="24"/>
          <w:szCs w:val="24"/>
        </w:rPr>
        <w:t xml:space="preserve">；仅书面承诺具备相关能力，未附佐证材料的，本项不予认可。）</w:t>
      </w:r>
      <w:r>
        <w:rPr>
          <w:rFonts w:hint="eastAsia" w:ascii="宋体" w:hAnsi="宋体" w:eastAsia="宋体" w:cs="宋体"/>
          <w:sz w:val="24"/>
          <w:szCs w:val="24"/>
          <w:lang w:val="en-US" w:eastAsia="zh-CN"/>
        </w:rPr>
      </w:r>
      <w:r/>
    </w:p>
    <w:p>
      <w:pPr>
        <w:pStyle w:val="912"/>
        <w:numPr>
          <w:ilvl w:val="0"/>
          <w:numId w:val="7"/>
        </w:numPr>
        <w:ind w:left="0" w:firstLine="24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支持对审核发现的缺陷、问题进行自动分级分类，按照严重缺陷、主要缺陷、一般缺陷、合规风险等维度区分风险等级，并区分资料缺失、内容不符、数据异常、流程不合规、条款违规等问题类型。</w:t>
      </w:r>
      <w:r>
        <w:rPr>
          <w:rFonts w:ascii="宋体" w:hAnsi="宋体" w:eastAsia="宋体" w:cs="宋体"/>
          <w:sz w:val="24"/>
          <w:szCs w:val="24"/>
          <w:lang w:val="en-US" w:eastAsia="zh-CN"/>
        </w:rPr>
      </w:r>
      <w:r/>
    </w:p>
    <w:p>
      <w:pPr>
        <w:pStyle w:val="912"/>
        <w:numPr>
          <w:ilvl w:val="0"/>
          <w:numId w:val="0"/>
        </w:numPr>
        <w:ind w:left="210" w:firstLine="0"/>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总体设计方案要求</w:t>
      </w:r>
      <w:r>
        <w:rPr>
          <w:rFonts w:ascii="宋体" w:hAnsi="宋体" w:eastAsia="宋体" w:cs="宋体"/>
          <w:b/>
          <w:sz w:val="24"/>
          <w:szCs w:val="21"/>
          <w:lang w:val="en-US" w:eastAsia="zh-CN" w:bidi="ar-SA"/>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投标人须提交系统总体设计方案，包括系统整体架构设计、功能模块设计、数据流设计、AI能力支撑、安全保障等，须结合项目实际需求，内容完整、结构清晰，具备可操作性。</w:t>
      </w:r>
      <w:r>
        <w:rPr>
          <w:rFonts w:hint="eastAsia"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实施方案要求</w:t>
      </w:r>
      <w:r>
        <w:rPr>
          <w:rFonts w:ascii="宋体" w:hAnsi="宋体" w:eastAsia="宋体" w:cs="宋体"/>
          <w:b/>
          <w:sz w:val="24"/>
          <w:szCs w:val="21"/>
          <w:lang w:val="en-US" w:eastAsia="zh-CN" w:bidi="ar-SA"/>
        </w:rPr>
      </w:r>
      <w:r/>
    </w:p>
    <w:p>
      <w:pPr>
        <w:pStyle w:val="912"/>
        <w:numPr>
          <w:ilvl w:val="0"/>
          <w:numId w:val="8"/>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投标人应在本章节基础上提交详细的项目实施方案，至少包含以下内容：</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项目组织及人员保障：项目团队组成、角色分工、职责说明；</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项目进度安排：各阶段任务分解、时间节点、里程碑设置；</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 项目管理：风险识别与控制、质量保证、沟通汇报机制等；</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④ 系统部署与集成实施：软硬件环境部署、平台集成、能力支撑底座部署、智能体配置、内外系统联调、项目试运行；</w:t>
      </w:r>
      <w:r>
        <w:rPr>
          <w:rFonts w:hint="eastAsia" w:ascii="宋体" w:hAnsi="宋体" w:eastAsia="宋体" w:cs="宋体"/>
          <w:sz w:val="24"/>
          <w:szCs w:val="24"/>
          <w:highlight w:val="none"/>
          <w:lang w:val="en-US" w:eastAsia="zh-CN"/>
        </w:rPr>
      </w:r>
      <w:r/>
    </w:p>
    <w:p>
      <w:pPr>
        <w:pStyle w:val="912"/>
        <w:numPr>
          <w:ilvl w:val="0"/>
          <w:numId w:val="8"/>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项目实施周期：自合同签订生效之日起，60日内完成磋商文件、合同包含的所有服务功能开发上线，项目具备试运行条件。</w:t>
      </w:r>
      <w:r>
        <w:rPr>
          <w:rFonts w:hint="eastAsia" w:ascii="宋体" w:hAnsi="宋体" w:eastAsia="宋体" w:cs="宋体"/>
          <w:sz w:val="24"/>
          <w:szCs w:val="24"/>
          <w:highlight w:val="none"/>
          <w:lang w:val="en-US" w:eastAsia="zh-CN"/>
        </w:rPr>
      </w:r>
      <w:r/>
    </w:p>
    <w:p>
      <w:pPr>
        <w:pStyle w:val="912"/>
        <w:numPr>
          <w:ilvl w:val="0"/>
          <w:numId w:val="8"/>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组织管理要求：投标人须建立专项项目组，派驻现场项目经理、技术负责人各1名，项目团队人员至少5名。项目组成员配置合理、岗位职责清晰，保障项目实施。</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投标人承诺的项目经理和交付实施的主要人员未经采购人同意不得调整；投标人如中途更换项目经理和主要交付技术人员，应征得采购人同意，否则采购人有权终止合同。</w:t>
      </w:r>
      <w:r>
        <w:rPr>
          <w:rFonts w:hint="eastAsia" w:ascii="宋体" w:hAnsi="宋体" w:eastAsia="宋体" w:cs="宋体"/>
          <w:sz w:val="24"/>
          <w:szCs w:val="24"/>
          <w:lang w:val="en-US" w:eastAsia="zh-CN"/>
        </w:rPr>
      </w:r>
      <w:r/>
    </w:p>
    <w:p>
      <w:pPr>
        <w:pStyle w:val="912"/>
        <w:numPr>
          <w:ilvl w:val="0"/>
          <w:numId w:val="8"/>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项目服务地点：成交供应商应按采购人要求在统一的办公地点（由采购人指定），全程集中提供服务，每周不少于5天，须严格服从采购人的管理制度和工作安排。</w:t>
      </w:r>
      <w:r>
        <w:rPr>
          <w:rFonts w:hint="eastAsia"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hint="eastAsia"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安全保障方案要求</w:t>
      </w:r>
      <w:r>
        <w:rPr>
          <w:rFonts w:hint="eastAsia" w:ascii="宋体" w:hAnsi="宋体" w:eastAsia="宋体" w:cs="宋体"/>
          <w:b/>
          <w:sz w:val="24"/>
          <w:szCs w:val="21"/>
          <w:lang w:val="en-US" w:eastAsia="zh-CN" w:bidi="ar-SA"/>
        </w:rPr>
      </w:r>
      <w:r/>
    </w:p>
    <w:p>
      <w:pPr>
        <w:pStyle w:val="912"/>
        <w:numPr>
          <w:ilvl w:val="0"/>
          <w:numId w:val="9"/>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项目需严格遵循《网络安全法》《数据安全法》《个人信息保护法》等法律法规及政务信息化安全管理相关要求，严格防范各类数据安全及AI应用安全风险。</w:t>
      </w:r>
      <w:r>
        <w:rPr>
          <w:rFonts w:hint="eastAsia" w:ascii="宋体" w:hAnsi="宋体" w:eastAsia="宋体" w:cs="宋体"/>
          <w:sz w:val="24"/>
          <w:szCs w:val="24"/>
          <w:lang w:val="en-US" w:eastAsia="zh-CN"/>
        </w:rPr>
      </w:r>
      <w:r/>
    </w:p>
    <w:p>
      <w:pPr>
        <w:pStyle w:val="912"/>
        <w:numPr>
          <w:ilvl w:val="0"/>
          <w:numId w:val="9"/>
        </w:numPr>
        <w:ind w:left="0"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投标人应在本章节基础上提交详细的安全保障方案，至少包含以下内容：</w:t>
      </w:r>
      <w:r>
        <w:rPr>
          <w:rFonts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数据全生命周期安全：落实数据入库审核、内容校验、敏感数据脱敏与操作全程留痕；具备知识库数据投毒防护、失效知识标记隔离能力。</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 智能体安全防护：提供</w:t>
      </w:r>
      <w:r>
        <w:rPr>
          <w:rFonts w:ascii="宋体" w:hAnsi="宋体" w:eastAsia="宋体" w:cs="宋体"/>
          <w:sz w:val="24"/>
          <w:szCs w:val="24"/>
        </w:rPr>
        <w:t xml:space="preserve">用户输入与模型输出双向安全过滤，对非业务问询合理拒答；应答结果标注知识来源，支持置信度评估，对低置信内容进行风险提示或阻断输出；智能体检索限定于授权知识库，禁止越权访问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③ 精细化权限管控：</w:t>
      </w:r>
      <w:r>
        <w:rPr>
          <w:rFonts w:ascii="宋体" w:hAnsi="宋体" w:eastAsia="宋体" w:cs="宋体"/>
          <w:sz w:val="24"/>
          <w:szCs w:val="24"/>
        </w:rPr>
        <w:t xml:space="preserve">区分业务用户、系统管理员等角色构建权限体系，高危操作执行最小权限原则；按角色</w:t>
      </w:r>
      <w:r>
        <w:rPr>
          <w:rFonts w:hint="eastAsia" w:ascii="宋体" w:hAnsi="宋体" w:eastAsia="宋体" w:cs="宋体"/>
          <w:sz w:val="24"/>
          <w:szCs w:val="24"/>
          <w:lang w:val="en-US" w:eastAsia="zh-CN"/>
        </w:rPr>
        <w:t xml:space="preserve">职责</w:t>
      </w:r>
      <w:r>
        <w:rPr>
          <w:rFonts w:ascii="宋体" w:hAnsi="宋体" w:eastAsia="宋体" w:cs="宋体"/>
          <w:sz w:val="24"/>
          <w:szCs w:val="24"/>
        </w:rPr>
        <w:t xml:space="preserve">配置差异化访问与操作权限；用户会话相互隔离，会话</w:t>
      </w:r>
      <w:r>
        <w:rPr>
          <w:rFonts w:ascii="宋体" w:hAnsi="宋体" w:eastAsia="宋体" w:cs="宋体"/>
          <w:sz w:val="24"/>
          <w:szCs w:val="24"/>
          <w:highlight w:val="none"/>
        </w:rPr>
        <w:t xml:space="preserve">数据互不互通。</w:t>
      </w:r>
      <w:r>
        <w:rPr>
          <w:rFonts w:hint="eastAsia" w:ascii="宋体" w:hAnsi="宋体" w:eastAsia="宋体" w:cs="宋体"/>
          <w:sz w:val="24"/>
          <w:szCs w:val="24"/>
          <w:highlight w:val="none"/>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 审计与运维分析：提供日志审计、运行故障统计、高频咨询分析能力，支撑安全事件溯源、系统运行研判等。</w:t>
      </w:r>
      <w:r>
        <w:rPr>
          <w:rFonts w:hint="eastAsia" w:ascii="宋体" w:hAnsi="宋体" w:eastAsia="宋体" w:cs="宋体"/>
          <w:sz w:val="24"/>
          <w:szCs w:val="24"/>
          <w:highlight w:val="none"/>
          <w:lang w:val="en-US" w:eastAsia="zh-CN"/>
        </w:rPr>
      </w:r>
      <w:r/>
    </w:p>
    <w:p>
      <w:pPr>
        <w:pStyle w:val="912"/>
        <w:numPr>
          <w:ilvl w:val="1"/>
          <w:numId w:val="5"/>
        </w:numPr>
        <w:jc w:val="both"/>
        <w:keepLines/>
        <w:keepNext/>
        <w:spacing w:before="260" w:beforeAutospacing="0" w:after="260" w:afterAutospacing="0" w:line="413" w:lineRule="auto"/>
        <w:widowControl w:val="off"/>
        <w:rPr>
          <w:rFonts w:ascii="宋体" w:hAnsi="宋体" w:eastAsia="宋体" w:cs="宋体"/>
          <w:b/>
          <w:sz w:val="24"/>
          <w:szCs w:val="21"/>
          <w:highlight w:val="none"/>
          <w:lang w:val="en-US" w:eastAsia="zh-CN" w:bidi="ar-SA"/>
        </w:rPr>
        <w:outlineLvl w:val="1"/>
      </w:pPr>
      <w:r>
        <w:rPr>
          <w:rFonts w:hint="eastAsia" w:ascii="宋体" w:hAnsi="宋体" w:eastAsia="宋体" w:cs="宋体"/>
          <w:b/>
          <w:sz w:val="24"/>
          <w:szCs w:val="21"/>
          <w:highlight w:val="none"/>
          <w:lang w:val="en-US" w:eastAsia="zh-CN" w:bidi="ar-SA"/>
        </w:rPr>
        <w:t xml:space="preserve">质量保障与验收方案要求</w:t>
      </w:r>
      <w:r>
        <w:rPr>
          <w:rFonts w:ascii="宋体" w:hAnsi="宋体" w:eastAsia="宋体" w:cs="宋体"/>
          <w:b/>
          <w:sz w:val="24"/>
          <w:szCs w:val="21"/>
          <w:highlight w:val="none"/>
          <w:lang w:val="en-US" w:eastAsia="zh-CN" w:bidi="ar-SA"/>
        </w:rPr>
      </w:r>
      <w:r/>
    </w:p>
    <w:p>
      <w:pPr>
        <w:pStyle w:val="912"/>
        <w:numPr>
          <w:ilvl w:val="0"/>
          <w:numId w:val="1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投标人应在本章节基础上提交详细的质量保障与验收方案，至少包含以下内容：</w:t>
      </w:r>
      <w:r>
        <w:rPr>
          <w:rFonts w:hint="eastAsia" w:ascii="宋体" w:hAnsi="宋体" w:eastAsia="宋体" w:cs="宋体"/>
          <w:sz w:val="24"/>
          <w:szCs w:val="24"/>
          <w:highlight w:val="none"/>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 项目质量管控：执行项目全过程质量管控，建立规范的项目文档管理制度、变更管理制度、版本管理制度、缺陷闭环管控制度等。</w:t>
      </w:r>
      <w:r>
        <w:rPr>
          <w:rFonts w:ascii="宋体" w:hAnsi="宋体" w:eastAsia="宋体" w:cs="宋体"/>
          <w:sz w:val="24"/>
          <w:szCs w:val="24"/>
          <w:highlight w:val="none"/>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 项目验收：明确项目验收内容、验收标准、验收组织实施等，建立问题整改、复核确认、验收闭环机制，确保验收工作规范落地。</w:t>
      </w:r>
      <w:r>
        <w:rPr>
          <w:rFonts w:hint="eastAsia" w:ascii="宋体" w:hAnsi="宋体" w:eastAsia="宋体" w:cs="宋体"/>
          <w:sz w:val="24"/>
          <w:szCs w:val="24"/>
          <w:highlight w:val="none"/>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 交付成果：系统梳理项目交付成果清单，包括但不限于软件系统、知识库、各类技术文档、培训资料等，明确各类成果交付阶段、交付形式及交付标准。</w:t>
      </w:r>
      <w:r>
        <w:rPr>
          <w:rFonts w:hint="eastAsia" w:ascii="宋体" w:hAnsi="宋体" w:eastAsia="宋体" w:cs="宋体"/>
          <w:sz w:val="24"/>
          <w:szCs w:val="24"/>
          <w:highlight w:val="none"/>
          <w:lang w:val="en-US" w:eastAsia="zh-CN"/>
        </w:rPr>
      </w:r>
      <w:r/>
    </w:p>
    <w:p>
      <w:pPr>
        <w:pStyle w:val="912"/>
        <w:numPr>
          <w:ilvl w:val="0"/>
          <w:numId w:val="1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投标人应建立项目常态化沟通机制，建立问题升级与协调机制，保障采购人全过程知情权与管控权。</w:t>
      </w:r>
      <w:r>
        <w:rPr>
          <w:rFonts w:hint="eastAsia" w:ascii="宋体" w:hAnsi="宋体" w:eastAsia="宋体" w:cs="宋体"/>
          <w:sz w:val="24"/>
          <w:szCs w:val="24"/>
          <w:highlight w:val="none"/>
          <w:lang w:val="en-US" w:eastAsia="zh-CN"/>
        </w:rPr>
      </w:r>
      <w:r/>
    </w:p>
    <w:p>
      <w:pPr>
        <w:pStyle w:val="912"/>
        <w:numPr>
          <w:ilvl w:val="0"/>
          <w:numId w:val="10"/>
        </w:numPr>
        <w:ind w:left="0" w:firstLine="480"/>
        <w:keepLines w:val="0"/>
        <w:keepNext w:val="0"/>
        <w:pageBreakBefore w:val="0"/>
        <w:spacing w:line="360" w:lineRule="auto"/>
        <w:widowControl w:val="off"/>
        <w:rPr>
          <w:rFonts w:ascii="宋体" w:hAnsi="宋体" w:eastAsia="宋体" w:cs="Times New Roman"/>
          <w:sz w:val="24"/>
          <w:szCs w:val="24"/>
          <w:highlight w:val="none"/>
          <w:lang w:val="en-US" w:eastAsia="zh-CN"/>
        </w:rPr>
      </w:pPr>
      <w:r>
        <w:rPr>
          <w:rFonts w:hint="eastAsia" w:ascii="宋体" w:hAnsi="宋体" w:eastAsia="宋体" w:cs="宋体"/>
          <w:sz w:val="24"/>
          <w:szCs w:val="24"/>
          <w:highlight w:val="none"/>
          <w:lang w:val="en-US" w:eastAsia="zh-CN"/>
        </w:rPr>
        <w:t xml:space="preserve">系统上线后须开展不少于1个月稳定试运行，试运行期间发现的所有问题、适配不足，成交供应商须无条件免费整改优化。</w:t>
      </w:r>
      <w:r>
        <w:rPr>
          <w:rFonts w:ascii="宋体" w:hAnsi="宋体" w:eastAsia="宋体" w:cs="Times New Roman"/>
          <w:sz w:val="24"/>
          <w:szCs w:val="24"/>
          <w:highlight w:val="none"/>
          <w:lang w:val="en-US" w:eastAsia="zh-CN"/>
        </w:rPr>
      </w:r>
      <w:r/>
    </w:p>
    <w:p>
      <w:pPr>
        <w:pStyle w:val="912"/>
        <w:numPr>
          <w:ilvl w:val="1"/>
          <w:numId w:val="5"/>
        </w:numPr>
        <w:jc w:val="both"/>
        <w:keepLines/>
        <w:keepNext/>
        <w:spacing w:before="260" w:beforeAutospacing="0" w:after="260" w:afterAutospacing="0" w:line="413" w:lineRule="auto"/>
        <w:widowControl w:val="off"/>
        <w:rPr>
          <w:rFonts w:hint="eastAsia" w:ascii="宋体" w:hAnsi="宋体" w:eastAsia="宋体" w:cs="宋体"/>
          <w:b/>
          <w:sz w:val="24"/>
          <w:szCs w:val="21"/>
          <w:lang w:val="en-US" w:eastAsia="zh-CN" w:bidi="ar-SA"/>
        </w:rPr>
        <w:outlineLvl w:val="1"/>
      </w:pPr>
      <w:r>
        <w:rPr>
          <w:rFonts w:hint="eastAsia" w:ascii="宋体" w:hAnsi="宋体" w:eastAsia="宋体" w:cs="宋体"/>
          <w:b/>
          <w:sz w:val="24"/>
          <w:szCs w:val="21"/>
          <w:lang w:val="en-US" w:eastAsia="zh-CN" w:bidi="ar-SA"/>
        </w:rPr>
        <w:t xml:space="preserve">培训方案要求</w:t>
      </w:r>
      <w:r>
        <w:rPr>
          <w:rFonts w:hint="eastAsia" w:ascii="宋体" w:hAnsi="宋体" w:eastAsia="宋体" w:cs="宋体"/>
          <w:b/>
          <w:sz w:val="24"/>
          <w:szCs w:val="21"/>
          <w:lang w:val="en-US" w:eastAsia="zh-CN" w:bidi="ar-SA"/>
        </w:rPr>
      </w:r>
      <w:r/>
    </w:p>
    <w:p>
      <w:pPr>
        <w:pStyle w:val="912"/>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成交供应商需为本项目提供及时、有效、全面的培训服务，并在培训实施前编制详细、可落地的专项培训计划，确保采购人相关人员熟练掌握系统操作、日常运维、安全管理等相关内容。</w:t>
      </w:r>
      <w:r>
        <w:rPr>
          <w:rFonts w:hint="eastAsia" w:ascii="宋体" w:hAnsi="宋体" w:eastAsia="宋体" w:cs="宋体"/>
          <w:sz w:val="24"/>
          <w:szCs w:val="24"/>
          <w:lang w:val="en-US" w:eastAsia="zh-CN"/>
        </w:rPr>
      </w:r>
      <w:r/>
    </w:p>
    <w:p>
      <w:pPr>
        <w:pStyle w:val="912"/>
        <w:numPr>
          <w:ilvl w:val="0"/>
          <w:numId w:val="11"/>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投标人应在本章节基础上提交详细的项目培训方案，至少包含以下内容：</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培训目的：确保系统使用人员、运维人员熟练掌握系统操作技能，能够独立进行日常维护和简易故障排查处理等工作。</w:t>
      </w:r>
      <w:r>
        <w:rPr>
          <w:rFonts w:hint="eastAsia"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② 培训内容：包含系统功能实操、运行维护培训、安全管理培训、培训总结与答疑等。</w:t>
      </w:r>
      <w:r>
        <w:rPr>
          <w:rFonts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③ 详细培训计划：科学制定分批次培训安排，适配不同岗位人员的参训需求，提高培训覆盖率。</w:t>
      </w:r>
      <w:r>
        <w:rPr>
          <w:rFonts w:ascii="宋体" w:hAnsi="宋体" w:eastAsia="宋体" w:cs="宋体"/>
          <w:sz w:val="24"/>
          <w:szCs w:val="24"/>
          <w:lang w:val="en-US" w:eastAsia="zh-CN"/>
        </w:rPr>
      </w:r>
      <w:r/>
    </w:p>
    <w:p>
      <w:pPr>
        <w:pStyle w:val="91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④ 培训质量保证：配备实践经验丰富的讲师团队，结合实际业务场景开展授课，确保培训质量与落地成效。</w:t>
      </w:r>
      <w:r>
        <w:rPr>
          <w:rFonts w:ascii="宋体" w:hAnsi="宋体" w:eastAsia="宋体" w:cs="宋体"/>
          <w:sz w:val="24"/>
          <w:szCs w:val="24"/>
          <w:lang w:val="en-US" w:eastAsia="zh-CN"/>
        </w:rPr>
      </w:r>
      <w:r/>
    </w:p>
    <w:p>
      <w:pPr>
        <w:pStyle w:val="912"/>
        <w:numPr>
          <w:ilvl w:val="0"/>
          <w:numId w:val="11"/>
        </w:numPr>
        <w:ind w:left="0"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成交供应商免收采购人的任何培训费用，包括但不限于场地费、教学费、资料费、师资费等。</w:t>
      </w:r>
      <w:r>
        <w:rPr>
          <w:rFonts w:ascii="宋体" w:hAnsi="宋体" w:eastAsia="宋体" w:cs="宋体"/>
          <w:sz w:val="24"/>
          <w:szCs w:val="24"/>
          <w:lang w:val="en-US" w:eastAsia="zh-CN"/>
        </w:rPr>
      </w:r>
      <w:r/>
    </w:p>
    <w:p>
      <w:pPr>
        <w:pStyle w:val="912"/>
        <w:numPr>
          <w:ilvl w:val="1"/>
          <w:numId w:val="5"/>
        </w:numPr>
        <w:jc w:val="both"/>
        <w:keepLines/>
        <w:keepNext/>
        <w:spacing w:before="260" w:beforeAutospacing="0" w:after="260" w:afterAutospacing="0" w:line="413" w:lineRule="auto"/>
        <w:widowControl w:val="off"/>
        <w:rPr>
          <w:rFonts w:ascii="宋体" w:hAnsi="宋体" w:eastAsia="宋体" w:cs="宋体"/>
          <w:b/>
          <w:sz w:val="24"/>
          <w:szCs w:val="21"/>
          <w:highlight w:val="none"/>
          <w:lang w:val="en-US" w:eastAsia="zh-CN" w:bidi="ar-SA"/>
        </w:rPr>
        <w:outlineLvl w:val="1"/>
      </w:pPr>
      <w:r>
        <w:rPr>
          <w:rFonts w:hint="eastAsia" w:ascii="宋体" w:hAnsi="宋体" w:eastAsia="宋体" w:cs="宋体"/>
          <w:b/>
          <w:sz w:val="24"/>
          <w:szCs w:val="21"/>
          <w:lang w:val="en-US" w:eastAsia="zh-CN" w:bidi="ar-SA"/>
        </w:rPr>
        <w:t xml:space="preserve">售后服</w:t>
      </w:r>
      <w:r>
        <w:rPr>
          <w:rFonts w:hint="eastAsia" w:ascii="宋体" w:hAnsi="宋体" w:eastAsia="宋体" w:cs="宋体"/>
          <w:b/>
          <w:sz w:val="24"/>
          <w:szCs w:val="21"/>
          <w:highlight w:val="none"/>
          <w:lang w:val="en-US" w:eastAsia="zh-CN" w:bidi="ar-SA"/>
        </w:rPr>
        <w:t xml:space="preserve">务方案要求</w:t>
      </w:r>
      <w:r>
        <w:rPr>
          <w:rFonts w:ascii="宋体" w:hAnsi="宋体" w:eastAsia="宋体" w:cs="宋体"/>
          <w:b/>
          <w:sz w:val="24"/>
          <w:szCs w:val="21"/>
          <w:highlight w:val="none"/>
          <w:lang w:val="en-US" w:eastAsia="zh-CN" w:bidi="ar-SA"/>
        </w:rPr>
      </w:r>
      <w:r/>
    </w:p>
    <w:p>
      <w:pPr>
        <w:pStyle w:val="912"/>
        <w:numPr>
          <w:ilvl w:val="0"/>
          <w:numId w:val="12"/>
        </w:numPr>
        <w:ind w:left="0" w:firstLine="560"/>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i/>
          <w:iCs/>
          <w:sz w:val="28"/>
          <w:szCs w:val="28"/>
          <w:highlight w:val="none"/>
          <w:u w:val="single"/>
          <w:lang w:val="en-US" w:eastAsia="zh-CN"/>
        </w:rPr>
        <w:t xml:space="preserve">成交供应商须提供至少一年免费质保与运维服务，质保维护期自项目验收合格之日起计算。</w:t>
      </w:r>
      <w:r>
        <w:rPr>
          <w:rFonts w:hint="eastAsia" w:ascii="宋体" w:hAnsi="宋体" w:eastAsia="宋体" w:cs="宋体"/>
          <w:sz w:val="28"/>
          <w:szCs w:val="28"/>
          <w:highlight w:val="none"/>
          <w:lang w:val="en-US" w:eastAsia="zh-CN"/>
        </w:rPr>
      </w:r>
      <w:r/>
    </w:p>
    <w:p>
      <w:pPr>
        <w:pStyle w:val="912"/>
        <w:numPr>
          <w:ilvl w:val="0"/>
          <w:numId w:val="12"/>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质保维护期内供应商须提供7*24小时技术支持服务，包含系统故障修复、知识库纠错迭代、智能体调优等。</w:t>
      </w:r>
      <w:r>
        <w:rPr>
          <w:rFonts w:hint="eastAsia" w:ascii="宋体" w:hAnsi="宋体" w:eastAsia="宋体" w:cs="宋体"/>
          <w:sz w:val="24"/>
          <w:szCs w:val="24"/>
          <w:lang w:val="en-US" w:eastAsia="zh-CN"/>
        </w:rPr>
      </w:r>
      <w:r/>
    </w:p>
    <w:p>
      <w:pPr>
        <w:pStyle w:val="912"/>
        <w:numPr>
          <w:ilvl w:val="0"/>
          <w:numId w:val="12"/>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供应商须建立故障分级处置机制，明确故障等级、响应、到场、修复时限，提供电话、远程、现场多渠道支撑。</w:t>
      </w:r>
      <w:r>
        <w:rPr>
          <w:rFonts w:hint="eastAsia" w:ascii="宋体" w:hAnsi="宋体" w:eastAsia="宋体" w:cs="宋体"/>
          <w:sz w:val="24"/>
          <w:szCs w:val="24"/>
          <w:lang w:val="en-US" w:eastAsia="zh-CN"/>
        </w:rPr>
      </w:r>
      <w:r/>
    </w:p>
    <w:p>
      <w:pPr>
        <w:pStyle w:val="912"/>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1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四、商务要求</w:t>
      </w:r>
      <w:r>
        <w:rPr>
          <w:rFonts w:hint="eastAsia" w:ascii="方正黑体_GBK" w:hAnsi="方正黑体_GBK" w:eastAsia="方正黑体_GBK" w:cs="方正黑体_GBK"/>
          <w:b w:val="0"/>
          <w:bCs w:val="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
          <w:bCs/>
          <w:sz w:val="28"/>
          <w:szCs w:val="28"/>
        </w:rPr>
      </w:r>
      <w:r/>
    </w:p>
    <w:p>
      <w:pPr>
        <w:pStyle w:val="912"/>
        <w:numPr>
          <w:ilvl w:val="0"/>
          <w:numId w:val="13"/>
        </w:numPr>
        <w:ind w:left="0" w:firstLine="480"/>
        <w:keepLines w:val="0"/>
        <w:keepNext w:val="0"/>
        <w:pageBreakBefore w:val="0"/>
        <w:spacing w:line="360" w:lineRule="auto"/>
        <w:widowControl w:val="off"/>
        <w:rPr>
          <w:rFonts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报价要求：投标人所投的报价含系统开发、调试、系统对接、运维、培训、服务费、税费及质保期内的后续服务一切费用。</w:t>
      </w:r>
      <w:r>
        <w:rPr>
          <w:rFonts w:hint="eastAsia" w:ascii="宋体" w:hAnsi="宋体" w:eastAsia="宋体" w:cs="宋体"/>
          <w:i/>
          <w:iCs/>
          <w:sz w:val="24"/>
          <w:szCs w:val="16"/>
          <w:u w:val="single"/>
          <w:lang w:val="en-US" w:eastAsia="zh-CN"/>
        </w:rPr>
        <w:t xml:space="preserve">项目实施过程中，</w:t>
      </w:r>
      <w:r>
        <w:rPr>
          <w:rFonts w:ascii="宋体" w:hAnsi="宋体" w:eastAsia="宋体" w:cs="宋体"/>
          <w:i/>
          <w:iCs/>
          <w:sz w:val="24"/>
          <w:szCs w:val="24"/>
          <w:u w:val="single"/>
        </w:rPr>
        <w:t xml:space="preserve">除采购人书面确认的重大需求变更外</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16"/>
          <w:u w:val="single"/>
          <w:lang w:val="en-US" w:eastAsia="zh-CN"/>
        </w:rPr>
        <w:t xml:space="preserve">采购人无需另外支付任何费用。</w:t>
      </w:r>
      <w:r>
        <w:rPr>
          <w:rFonts w:ascii="宋体" w:hAnsi="宋体" w:eastAsia="宋体" w:cs="宋体"/>
          <w:i/>
          <w:iCs/>
          <w:sz w:val="24"/>
          <w:szCs w:val="24"/>
          <w:highlight w:val="none"/>
          <w:u w:val="single"/>
          <w:lang w:val="en-US" w:eastAsia="zh-CN"/>
        </w:rPr>
      </w:r>
      <w:r/>
    </w:p>
    <w:p>
      <w:pPr>
        <w:pStyle w:val="912"/>
        <w:numPr>
          <w:ilvl w:val="0"/>
          <w:numId w:val="13"/>
        </w:numPr>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安全与保密要求：成交供应商需承诺严格遵守《中华人民共和国保守国家秘密法》《中华人民共和国网络安全法》《中华人民共和国个人信息保护法》《网络数据安全管理条例》等国家法律法规及政务信息安全管理相关规定，对项目建设、系统运维过程中接触到的所有政务数据、监管资料、业务信息等负有严格的保密义务，不得以任何形式予以公开、发表或向任何第三方提供、泄露。</w:t>
      </w:r>
      <w:r>
        <w:rPr>
          <w:rFonts w:ascii="宋体" w:hAnsi="宋体" w:eastAsia="宋体" w:cs="宋体"/>
          <w:sz w:val="24"/>
          <w:szCs w:val="24"/>
          <w:highlight w:val="none"/>
          <w:lang w:val="en-US" w:eastAsia="zh-CN"/>
        </w:rPr>
      </w:r>
      <w:r/>
    </w:p>
    <w:p>
      <w:pPr>
        <w:pStyle w:val="912"/>
        <w:numPr>
          <w:ilvl w:val="0"/>
          <w:numId w:val="13"/>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要求：系统部署上线后开展为期一月的试运行，试运行通过后由采购人组织项目验收。成交供应商须完成磋商文件及合同约定的全部建设内容，系统各项功能、性能指标满足项目要求，并完整提交全套设计、测试、运维等交付文档。若功能或指标不达标、交付文档缺失不全的，视为验收不合格，成交供应商应按要求整改，整改完成后方可通过验收。</w:t>
      </w:r>
      <w:r>
        <w:rPr>
          <w:rFonts w:hint="eastAsia" w:ascii="宋体" w:hAnsi="宋体" w:eastAsia="宋体" w:cs="宋体"/>
          <w:sz w:val="24"/>
          <w:szCs w:val="24"/>
          <w:highlight w:val="none"/>
          <w:lang w:val="en-US" w:eastAsia="zh-CN"/>
        </w:rPr>
      </w:r>
      <w:r/>
    </w:p>
    <w:p>
      <w:pPr>
        <w:pStyle w:val="912"/>
        <w:numPr>
          <w:ilvl w:val="0"/>
          <w:numId w:val="13"/>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合同支付：签订合同后支付合同总价80%；项目验收合格并交付使用后，支付至合同价款的100%。</w:t>
      </w:r>
      <w:r>
        <w:rPr>
          <w:rFonts w:hint="eastAsia" w:ascii="宋体" w:hAnsi="宋体" w:eastAsia="宋体" w:cs="宋体"/>
          <w:sz w:val="24"/>
          <w:szCs w:val="24"/>
          <w:highlight w:val="none"/>
          <w:lang w:val="en-US" w:eastAsia="zh-CN"/>
        </w:rPr>
      </w:r>
      <w:r/>
    </w:p>
    <w:p>
      <w:pPr>
        <w:pStyle w:val="912"/>
        <w:numPr>
          <w:ilvl w:val="0"/>
          <w:numId w:val="13"/>
        </w:numPr>
        <w:ind w:left="0"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投标货币：人民币</w:t>
      </w:r>
      <w:r>
        <w:rPr>
          <w:rFonts w:ascii="宋体" w:hAnsi="宋体" w:eastAsia="宋体" w:cs="宋体"/>
          <w:sz w:val="24"/>
          <w:szCs w:val="24"/>
          <w:lang w:val="en-US" w:eastAsia="zh-CN"/>
        </w:rPr>
      </w:r>
      <w:r/>
    </w:p>
    <w:p>
      <w:pPr>
        <w:pStyle w:val="912"/>
        <w:numPr>
          <w:ilvl w:val="0"/>
          <w:numId w:val="13"/>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2024年1月1日以来（以合同签订日期为准），磋商供应商具有类似“人工智能+”“多模态数据治理”“大数据分析”“大模型服务”项目业绩。</w:t>
      </w:r>
      <w:r>
        <w:rPr>
          <w:rFonts w:hint="eastAsia" w:ascii="宋体" w:hAnsi="宋体" w:eastAsia="宋体" w:cs="宋体"/>
          <w:sz w:val="24"/>
          <w:szCs w:val="24"/>
          <w:highlight w:val="none"/>
          <w:lang w:val="en-US" w:eastAsia="zh-CN"/>
        </w:rPr>
      </w:r>
      <w:r/>
    </w:p>
    <w:p>
      <w:pPr>
        <w:pStyle w:val="912"/>
        <w:numPr>
          <w:ilvl w:val="0"/>
          <w:numId w:val="13"/>
        </w:numPr>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磋商供应商持有自有计算机软件著作权登记证书，登记领域包含多模态数据管理、人工智能图像识别、人工智能应用等与本项目建设相关方向。</w:t>
      </w:r>
      <w:r>
        <w:rPr>
          <w:rFonts w:ascii="宋体" w:hAnsi="宋体" w:eastAsia="宋体" w:cs="宋体"/>
          <w:sz w:val="24"/>
          <w:szCs w:val="24"/>
          <w:highlight w:val="none"/>
          <w:lang w:val="en-US" w:eastAsia="zh-CN"/>
        </w:rPr>
      </w:r>
      <w:r/>
    </w:p>
    <w:p>
      <w:pPr>
        <w:pStyle w:val="912"/>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1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五、其他要求</w:t>
      </w:r>
      <w:r>
        <w:rPr>
          <w:rFonts w:hint="eastAsia" w:ascii="方正黑体_GBK" w:hAnsi="方正黑体_GBK" w:eastAsia="方正黑体_GBK" w:cs="方正黑体_GBK"/>
          <w:b w:val="0"/>
          <w:bCs w:val="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1.项目属性:服务类项目。</w:t>
      </w:r>
      <w:r>
        <w:rPr>
          <w:rFonts w:hint="eastAsia" w:ascii="方正仿宋_GBK" w:hAnsi="方正仿宋_GBK" w:eastAsia="方正仿宋_GBK" w:cs="方正仿宋_GBK"/>
          <w:sz w:val="28"/>
          <w:szCs w:val="28"/>
          <w:highlight w:val="non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.演示要求</w:t>
      </w:r>
      <w:r>
        <w:rPr>
          <w:rFonts w:hint="eastAsia" w:ascii="方正仿宋_GBK" w:hAnsi="方正仿宋_GBK" w:eastAsia="方正仿宋_GBK" w:cs="方正仿宋_GBK"/>
          <w:color w:val="000000"/>
          <w:sz w:val="28"/>
          <w:szCs w:val="28"/>
          <w:highlight w:val="non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上传视频演示</w:t>
      </w:r>
      <w:r>
        <w:rPr>
          <w:rFonts w:hint="eastAsia" w:ascii="方正仿宋_GBK" w:hAnsi="方正仿宋_GBK" w:eastAsia="方正仿宋_GBK" w:cs="方正仿宋_GBK"/>
          <w:sz w:val="28"/>
          <w:szCs w:val="28"/>
          <w:highlight w:val="non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（1）供应商需按照磋商文件规定的演示内容制作演示视频文件，视频文件的格式为</w:t>
      </w:r>
      <w:r>
        <w:rPr>
          <w:rFonts w:ascii="Times New Roman" w:hAnsi="Times New Roman" w:eastAsia="方正仿宋_GBK" w:cs="Times New Roman"/>
          <w:sz w:val="28"/>
          <w:szCs w:val="28"/>
          <w:highlight w:val="none"/>
          <w:lang w:eastAsia="zh-CN"/>
        </w:rPr>
        <w:t xml:space="preserve">X</w:t>
      </w:r>
      <w:r>
        <w:rPr>
          <w:rFonts w:ascii="Times New Roman" w:hAnsi="Times New Roman" w:eastAsia="方正仿宋_GBK" w:cs="Times New Roman"/>
          <w:sz w:val="28"/>
          <w:szCs w:val="28"/>
          <w:highlight w:val="none"/>
        </w:rPr>
        <w:t xml:space="preserve">.mp4</w:t>
      </w:r>
      <w:r>
        <w:rPr>
          <w:rFonts w:hint="eastAsia" w:ascii="方正仿宋_GBK" w:hAnsi="方正仿宋_GBK" w:eastAsia="方正仿宋_GBK" w:cs="方正仿宋_GBK"/>
          <w:sz w:val="28"/>
          <w:szCs w:val="28"/>
          <w:highlight w:val="none"/>
        </w:rPr>
        <w:t xml:space="preserve">或</w:t>
      </w:r>
      <w:r>
        <w:rPr>
          <w:rFonts w:hint="eastAsia" w:ascii="Times New Roman" w:hAnsi="Times New Roman" w:eastAsia="方正仿宋_GBK" w:cs="Times New Roman"/>
          <w:sz w:val="28"/>
          <w:szCs w:val="28"/>
          <w:highlight w:val="none"/>
          <w:lang w:eastAsia="zh-CN"/>
        </w:rPr>
        <w:t xml:space="preserve">X.avi</w:t>
      </w:r>
      <w:r>
        <w:rPr>
          <w:rFonts w:hint="eastAsia" w:ascii="方正仿宋_GBK" w:hAnsi="方正仿宋_GBK" w:eastAsia="方正仿宋_GBK" w:cs="方正仿宋_GBK"/>
          <w:sz w:val="28"/>
          <w:szCs w:val="28"/>
          <w:highlight w:val="none"/>
        </w:rPr>
        <w:t xml:space="preserve">，供应商须将视频文件分段压缩为</w:t>
      </w:r>
      <w:r>
        <w:rPr>
          <w:rFonts w:hint="eastAsia" w:ascii="Times New Roman" w:hAnsi="Times New Roman" w:eastAsia="方正仿宋_GBK" w:cs="Times New Roman"/>
          <w:sz w:val="28"/>
          <w:szCs w:val="28"/>
          <w:highlight w:val="none"/>
          <w:lang w:eastAsia="zh-CN"/>
        </w:rPr>
        <w:t xml:space="preserve">X.zip</w:t>
      </w:r>
      <w:r>
        <w:rPr>
          <w:rFonts w:hint="eastAsia" w:ascii="方正仿宋_GBK" w:hAnsi="方正仿宋_GBK" w:eastAsia="方正仿宋_GBK" w:cs="方正仿宋_GBK"/>
          <w:sz w:val="28"/>
          <w:szCs w:val="28"/>
          <w:highlight w:val="none"/>
        </w:rPr>
        <w:t xml:space="preserve">文件上传（单个文件不得大于</w:t>
      </w:r>
      <w:r>
        <w:rPr>
          <w:rFonts w:hint="eastAsia" w:ascii="Times New Roman" w:hAnsi="Times New Roman" w:eastAsia="方正仿宋_GBK" w:cs="Times New Roman"/>
          <w:sz w:val="28"/>
          <w:szCs w:val="28"/>
          <w:highlight w:val="none"/>
          <w:lang w:eastAsia="zh-CN"/>
        </w:rPr>
        <w:t xml:space="preserve">50M</w:t>
      </w:r>
      <w:r>
        <w:rPr>
          <w:rFonts w:hint="eastAsia" w:ascii="方正仿宋_GBK" w:hAnsi="方正仿宋_GBK" w:eastAsia="方正仿宋_GBK" w:cs="方正仿宋_GBK"/>
          <w:sz w:val="28"/>
          <w:szCs w:val="28"/>
          <w:highlight w:val="none"/>
        </w:rPr>
        <w:t xml:space="preserve">，所有文件总共不得大于</w:t>
      </w:r>
      <w:r>
        <w:rPr>
          <w:rFonts w:hint="eastAsia" w:ascii="Times New Roman" w:hAnsi="Times New Roman" w:eastAsia="方正仿宋_GBK" w:cs="Times New Roman"/>
          <w:sz w:val="28"/>
          <w:szCs w:val="28"/>
          <w:highlight w:val="none"/>
          <w:lang w:eastAsia="zh-CN"/>
        </w:rPr>
        <w:t xml:space="preserve">300M</w:t>
      </w:r>
      <w:r>
        <w:rPr>
          <w:rFonts w:hint="eastAsia" w:ascii="方正仿宋_GBK" w:hAnsi="方正仿宋_GBK" w:eastAsia="方正仿宋_GBK" w:cs="方正仿宋_GBK"/>
          <w:sz w:val="28"/>
          <w:szCs w:val="28"/>
          <w:highlight w:val="none"/>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highlight w:val="none"/>
          <w:u w:val="single"/>
        </w:rPr>
        <w:t xml:space="preserve">15</w:t>
      </w:r>
      <w:r>
        <w:rPr>
          <w:rFonts w:hint="eastAsia" w:ascii="方正仿宋_GBK" w:hAnsi="方正仿宋_GBK" w:eastAsia="方正仿宋_GBK" w:cs="方正仿宋_GBK"/>
          <w:sz w:val="28"/>
          <w:szCs w:val="28"/>
          <w:highlight w:val="none"/>
        </w:rPr>
        <w:t xml:space="preserve">分钟</w:t>
      </w:r>
      <w:r>
        <w:rPr>
          <w:rFonts w:hint="eastAsia" w:ascii="方正仿宋_GBK" w:hAnsi="方正仿宋_GBK" w:eastAsia="方正仿宋_GBK" w:cs="方正仿宋_GBK"/>
          <w:sz w:val="28"/>
          <w:szCs w:val="28"/>
          <w:highlight w:val="non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（2）演示内容如下：</w:t>
      </w:r>
      <w:r>
        <w:rPr>
          <w:rFonts w:hint="eastAsia" w:ascii="方正仿宋_GBK" w:hAnsi="方正仿宋_GBK" w:eastAsia="方正仿宋_GBK" w:cs="方正仿宋_GBK"/>
          <w:sz w:val="28"/>
          <w:szCs w:val="28"/>
          <w:highlight w:val="non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①</w:t>
      </w:r>
      <w:r>
        <w:rPr>
          <w:rFonts w:hint="eastAsia" w:ascii="方正仿宋_GBK" w:hAnsi="方正仿宋_GBK" w:eastAsia="方正仿宋_GBK" w:cs="方正仿宋_GBK"/>
          <w:sz w:val="28"/>
          <w:szCs w:val="28"/>
          <w:highlight w:val="none"/>
          <w:lang w:val="en-US" w:eastAsia="zh-CN"/>
        </w:rPr>
        <w:t xml:space="preserve">现场检查智能体功能演示：</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总控智能调度：演示根据案件上下文智能识别任务意图，并调度对应专业智能体开展业务处理。</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文档审查：演示文档智能审查业务流程。贯穿待审查文档上传解析，字段与事实抽取、标准条款匹配、证据定位、缺陷候选清单生成全过程。</w:t>
      </w:r>
      <w:r>
        <w:rPr>
          <w:rFonts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案件情况梳理：演示以时间轴的形式查看案件的完整时间脉络，展示案件的基础事实。</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检查结果生成：演示智能生成检查报告初稿，同步匹配输出整改意见。</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风险因子生成：演示结构化风险因子包智能生成。</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全流程跟踪：演示通过Trace溯源机制，查看智能体路由、模型调用、工具调用、证据校准等全过程记录。</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知识图谱生成：演示基于药品监管知识和审查文档构建知识图谱，支持查看实体及关联关系。</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w:t>
      </w:r>
      <w:r>
        <w:rPr>
          <w:rFonts w:hint="eastAsia" w:ascii="方正仿宋_GBK" w:hAnsi="方正仿宋_GBK" w:eastAsia="方正仿宋_GBK" w:cs="方正仿宋_GBK"/>
          <w:sz w:val="28"/>
          <w:szCs w:val="28"/>
          <w:highlight w:val="none"/>
          <w:lang w:val="en-US" w:eastAsia="zh-CN"/>
        </w:rPr>
        <w:t xml:space="preserve">远程监管智能体功能演示：</w:t>
      </w:r>
      <w:r>
        <w:rPr>
          <w:rFonts w:hint="eastAsia" w:ascii="方正仿宋_GBK" w:hAnsi="方正仿宋_GBK" w:eastAsia="方正仿宋_GBK" w:cs="方正仿宋_GBK"/>
          <w:sz w:val="28"/>
          <w:szCs w:val="28"/>
          <w:highlight w:val="non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异常事件预警：演示视觉识别异常事件的智能预警与统一归集查询，展示事件发生的地点、时间、违规情况图片、违规缺陷说明等信息。</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事件处理：演示异常事件在线复核、标记解决、填写处置意见并留存全过程记录。</w:t>
      </w:r>
      <w:r>
        <w:rPr>
          <w:rFonts w:hint="eastAsia" w:ascii="方正仿宋_GBK" w:hAnsi="方正仿宋_GBK" w:eastAsia="方正仿宋_GBK" w:cs="方正仿宋_GBK"/>
          <w:sz w:val="28"/>
          <w:szCs w:val="28"/>
          <w:highlight w:val="none"/>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设备及事件预警可视化监管：集中展示接入摄像头的在线状态、运行情况，实时汇聚异常事件、预警数量、违规类型、风险等级和处置进度等信息；支持查看实时视频、事件抓拍画面、预警详情及待办事项。</w:t>
      </w:r>
      <w:r>
        <w:rPr>
          <w:rFonts w:hint="eastAsia" w:ascii="方正仿宋_GBK" w:hAnsi="方正仿宋_GBK" w:eastAsia="方正仿宋_GBK" w:cs="方正仿宋_GBK"/>
          <w:sz w:val="28"/>
          <w:szCs w:val="28"/>
          <w:highlight w:val="none"/>
          <w:lang w:val="en-US" w:eastAsia="zh-CN"/>
        </w:rPr>
      </w:r>
      <w:r/>
    </w:p>
    <w:p>
      <w:pPr>
        <w:pStyle w:val="912"/>
        <w:spacing w:before="120" w:after="120" w:line="0" w:lineRule="atLeast"/>
        <w:rPr>
          <w:rFonts w:ascii="宋体" w:hAnsi="Courier New" w:cs="Courier New"/>
          <w:sz w:val="24"/>
          <w:szCs w:val="24"/>
        </w:rPr>
      </w:pPr>
      <w:r>
        <w:rPr>
          <w:rFonts w:ascii="宋体" w:hAnsi="Courier New" w:cs="Courier New"/>
          <w:sz w:val="24"/>
          <w:szCs w:val="24"/>
        </w:rPr>
      </w:r>
      <w:r/>
    </w:p>
    <w:p>
      <w:pPr>
        <w:pStyle w:val="912"/>
        <w:spacing w:before="120" w:after="120" w:line="0" w:lineRule="atLeast"/>
        <w:rPr>
          <w:rFonts w:ascii="宋体" w:hAnsi="Courier New" w:cs="Courier New"/>
          <w:sz w:val="24"/>
          <w:szCs w:val="24"/>
        </w:rPr>
      </w:pPr>
      <w:r>
        <w:rPr>
          <w:rFonts w:ascii="宋体" w:hAnsi="Courier New" w:cs="Courier New"/>
          <w:sz w:val="24"/>
          <w:szCs w:val="24"/>
        </w:rPr>
      </w:r>
      <w:r/>
    </w:p>
    <w:p>
      <w:pPr>
        <w:pStyle w:val="912"/>
        <w:spacing w:before="120" w:after="120" w:line="0" w:lineRule="atLeast"/>
        <w:rPr>
          <w:rFonts w:ascii="宋体" w:hAnsi="Courier New" w:cs="Courier New"/>
          <w:sz w:val="24"/>
          <w:szCs w:val="24"/>
        </w:rPr>
      </w:pPr>
      <w:r>
        <w:rPr>
          <w:rFonts w:ascii="宋体" w:hAnsi="Courier New" w:cs="Courier New"/>
          <w:sz w:val="24"/>
          <w:szCs w:val="24"/>
        </w:rPr>
      </w:r>
      <w:r/>
    </w:p>
    <w:p>
      <w:pPr>
        <w:pStyle w:val="912"/>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81" w:name="_Toc120614281"/>
      <w:r>
        <w:rPr>
          <w:rFonts w:hint="eastAsia" w:ascii="黑体" w:hAnsi="Times New Roman" w:eastAsia="黑体"/>
          <w:b w:val="0"/>
          <w:bCs/>
          <w:sz w:val="28"/>
          <w:szCs w:val="28"/>
        </w:rPr>
        <w:br w:type="page" w:clear="all"/>
      </w:r>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912"/>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912"/>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91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1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91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91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1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pPr w:horzAnchor="page" w:tblpX="1791" w:vertAnchor="text" w:tblpY="451"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826"/>
        <w:gridCol w:w="6758"/>
        <w:gridCol w:w="508"/>
      </w:tblGrid>
      <w:tr>
        <w:trPr>
          <w:trHeight w:val="557"/>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b/>
                <w:sz w:val="21"/>
                <w:szCs w:val="21"/>
                <w:highlight w:val="none"/>
              </w:rPr>
              <w:framePr w:vAnchor="text" w:hAnchor="page" w:x="1791" w:y="451"/>
            </w:pPr>
            <w:r>
              <w:rPr>
                <w:rFonts w:hint="eastAsia" w:ascii="宋体" w:hAnsi="宋体" w:eastAsia="宋体" w:cs="宋体"/>
                <w:b/>
                <w:sz w:val="21"/>
                <w:szCs w:val="21"/>
                <w:highlight w:val="none"/>
              </w:rPr>
              <w:t xml:space="preserve">序号</w:t>
            </w:r>
            <w:r>
              <w:rPr>
                <w:rFonts w:ascii="宋体" w:hAnsi="宋体" w:eastAsia="宋体" w:cs="宋体"/>
                <w:b/>
                <w:sz w:val="21"/>
                <w:szCs w:val="21"/>
                <w:highlight w:val="none"/>
              </w:rPr>
            </w:r>
            <w:r/>
          </w:p>
        </w:tc>
        <w:tc>
          <w:tcPr>
            <w:tcW w:w="485"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b/>
                <w:sz w:val="21"/>
                <w:szCs w:val="21"/>
                <w:highlight w:val="none"/>
              </w:rPr>
              <w:framePr w:vAnchor="text" w:hAnchor="page" w:x="1791" w:y="451"/>
            </w:pPr>
            <w:r>
              <w:rPr>
                <w:rFonts w:hint="eastAsia" w:ascii="宋体" w:hAnsi="宋体" w:eastAsia="宋体" w:cs="宋体"/>
                <w:b/>
                <w:sz w:val="21"/>
                <w:szCs w:val="21"/>
                <w:highlight w:val="none"/>
              </w:rPr>
              <w:t xml:space="preserve">评审因素</w:t>
            </w:r>
            <w:r>
              <w:rPr>
                <w:rFonts w:ascii="宋体" w:hAnsi="宋体" w:eastAsia="宋体" w:cs="宋体"/>
                <w:b/>
                <w:sz w:val="21"/>
                <w:szCs w:val="21"/>
                <w:highlight w:val="none"/>
              </w:rPr>
            </w:r>
            <w:r/>
          </w:p>
        </w:tc>
        <w:tc>
          <w:tcPr>
            <w:tcW w:w="3965"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b/>
                <w:sz w:val="21"/>
                <w:szCs w:val="21"/>
                <w:highlight w:val="none"/>
              </w:rPr>
              <w:framePr w:vAnchor="text" w:hAnchor="page" w:x="1791" w:y="451"/>
            </w:pPr>
            <w:r>
              <w:rPr>
                <w:rFonts w:hint="eastAsia" w:ascii="宋体" w:hAnsi="宋体" w:eastAsia="宋体" w:cs="宋体"/>
                <w:b/>
                <w:sz w:val="21"/>
                <w:szCs w:val="21"/>
                <w:highlight w:val="none"/>
              </w:rPr>
              <w:t xml:space="preserve">评分标准</w:t>
            </w:r>
            <w:r>
              <w:rPr>
                <w:rFonts w:ascii="宋体" w:hAnsi="宋体" w:eastAsia="宋体" w:cs="宋体"/>
                <w:b/>
                <w:sz w:val="21"/>
                <w:szCs w:val="21"/>
                <w:highlight w:val="none"/>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b/>
                <w:sz w:val="21"/>
                <w:szCs w:val="21"/>
                <w:highlight w:val="none"/>
              </w:rPr>
              <w:framePr w:vAnchor="text" w:hAnchor="page" w:x="1791" w:y="451"/>
            </w:pPr>
            <w:r>
              <w:rPr>
                <w:rFonts w:hint="eastAsia" w:ascii="宋体" w:hAnsi="宋体" w:eastAsia="宋体" w:cs="宋体"/>
                <w:b/>
                <w:sz w:val="21"/>
                <w:szCs w:val="21"/>
                <w:highlight w:val="none"/>
              </w:rPr>
              <w:t xml:space="preserve">分值</w:t>
            </w:r>
            <w:r>
              <w:rPr>
                <w:rFonts w:ascii="宋体" w:hAnsi="宋体" w:eastAsia="宋体" w:cs="宋体"/>
                <w:b/>
                <w:sz w:val="21"/>
                <w:szCs w:val="21"/>
                <w:highlight w:val="none"/>
              </w:rPr>
            </w:r>
            <w:r/>
          </w:p>
        </w:tc>
      </w:tr>
      <w:tr>
        <w:trPr>
          <w:trHeight w:val="658"/>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rPr>
              <w:framePr w:vAnchor="text" w:hAnchor="page" w:x="1791" w:y="451"/>
            </w:pPr>
            <w:r>
              <w:rPr>
                <w:rFonts w:hint="eastAsia" w:ascii="宋体" w:hAnsi="宋体" w:eastAsia="宋体" w:cs="宋体"/>
                <w:sz w:val="21"/>
                <w:szCs w:val="21"/>
                <w:highlight w:val="none"/>
              </w:rPr>
              <w:t xml:space="preserve">1</w:t>
            </w:r>
            <w:r>
              <w:rPr>
                <w:rFonts w:ascii="宋体" w:hAnsi="宋体" w:eastAsia="宋体" w:cs="宋体"/>
                <w:sz w:val="21"/>
                <w:szCs w:val="21"/>
                <w:highlight w:val="none"/>
              </w:rPr>
            </w:r>
            <w:r/>
          </w:p>
        </w:tc>
        <w:tc>
          <w:tcPr>
            <w:tcW w:w="485"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价格</w:t>
            </w:r>
            <w:r>
              <w:rPr>
                <w:rFonts w:hint="eastAsia" w:ascii="宋体" w:hAnsi="宋体" w:eastAsia="宋体" w:cs="宋体"/>
                <w:bCs/>
                <w:sz w:val="21"/>
                <w:szCs w:val="21"/>
                <w:highlight w:val="none"/>
                <w:lang w:val="en-US" w:eastAsia="zh-CN"/>
              </w:rPr>
            </w:r>
            <w:r/>
          </w:p>
          <w:p>
            <w:pPr>
              <w:pStyle w:val="912"/>
              <w:jc w:val="center"/>
              <w:keepLines w:val="0"/>
              <w:keepNext w:val="0"/>
              <w:pageBreakBefore w:val="0"/>
              <w:spacing w:line="440" w:lineRule="exact"/>
              <w:widowControl w:val="off"/>
              <w:rPr>
                <w:rFonts w:hint="eastAsia" w:ascii="宋体" w:hAnsi="宋体" w:eastAsia="宋体" w:cs="宋体"/>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（10分）</w:t>
            </w:r>
            <w:r>
              <w:rPr>
                <w:rFonts w:hint="eastAsia" w:ascii="宋体" w:hAnsi="宋体" w:eastAsia="宋体" w:cs="宋体"/>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价格分统一采用低价优先法计算，即满足要求且价格最低的磋商最终报价为评审基准价，其价格分为满分。其他磋商供应商的价格分统一按照下列公式计算：磋商报价得分=（评审基准价/磋商最终报价）×10，小数点后保留2位。</w:t>
            </w:r>
            <w:r>
              <w:rPr>
                <w:rFonts w:hint="eastAsia" w:ascii="宋体" w:hAnsi="宋体" w:eastAsia="宋体" w:cs="Times New Roman"/>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r>
      <w:tr>
        <w:trPr>
          <w:trHeight w:val="765"/>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2</w:t>
            </w:r>
            <w:r>
              <w:rPr>
                <w:rFonts w:ascii="宋体" w:hAnsi="宋体" w:eastAsia="宋体" w:cs="宋体"/>
                <w:sz w:val="21"/>
                <w:szCs w:val="21"/>
                <w:highlight w:val="none"/>
                <w:lang w:val="en-US" w:eastAsia="zh-CN"/>
              </w:rPr>
            </w:r>
            <w:r/>
          </w:p>
        </w:tc>
        <w:tc>
          <w:tcPr>
            <w:tcW w:w="485"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业绩</w:t>
            </w:r>
            <w:r>
              <w:rPr>
                <w:rFonts w:ascii="宋体" w:hAnsi="宋体" w:eastAsia="宋体" w:cs="宋体"/>
                <w:bCs/>
                <w:sz w:val="21"/>
                <w:szCs w:val="21"/>
                <w:highlight w:val="none"/>
                <w:lang w:val="en-US" w:eastAsia="zh-CN"/>
              </w:rPr>
            </w:r>
            <w:r/>
          </w:p>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（10分）</w:t>
            </w: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2024年1月1日以来（以合同签订日期为准），磋商供应商具有类似“人工智能+”“多模态数据治理”“大数据分析”“大模型服务”项目业绩，每提供1个有效业绩得2分，最高得10分。</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注：有效业绩指提供合同关键页扫描件（至少包括合同首页、合同签订日期页、双方盖章页）、项目验收证明扫描件，缺一不可。投标时提供上述材料的扫描件，并加盖投标人公章，否则不予认可，不提供不得分。</w:t>
            </w:r>
            <w:r>
              <w:rPr>
                <w:rFonts w:hint="eastAsia" w:ascii="宋体" w:hAnsi="宋体" w:eastAsia="宋体" w:cs="Times New Roman"/>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r>
      <w:tr>
        <w:trPr>
          <w:trHeight w:val="765"/>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r>
            <w:r/>
          </w:p>
        </w:tc>
        <w:tc>
          <w:tcPr>
            <w:tcW w:w="485"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履约能力</w:t>
            </w:r>
            <w:r>
              <w:rPr>
                <w:rFonts w:hint="eastAsia" w:ascii="宋体" w:hAnsi="宋体" w:eastAsia="宋体" w:cs="宋体"/>
                <w:bCs/>
                <w:sz w:val="21"/>
                <w:szCs w:val="21"/>
                <w:highlight w:val="none"/>
                <w:lang w:val="en-US" w:eastAsia="zh-CN"/>
              </w:rPr>
            </w:r>
            <w:r/>
          </w:p>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（3分）</w:t>
            </w:r>
            <w:r>
              <w:rPr>
                <w:rFonts w:hint="eastAsia"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磋商供应商持有自有计算机软件著作权登记证书，登记领域包含多模态数据管理、人工智能图像识别、人工智能应用等与本项目建设相关方向，每提供1项有效软著得1分，本项最高得3分。</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注：磋商响应文件提供上述证书的扫描件，磋商供应商应当确保证书磋商当天处于有效期内，且以上材料均须加盖投标人公章，否则不予认可，不提供不得分。同一软件多个版本的著作权，仅计1次得分。如磋商响应文件中提供的软著证书名称表述与竞争性磋商文件描述的关键字样不一致，而该磋商响应文件中能证明磋商响应供应商拥有的软件著作权具有相同或相似功能和效果，且磋商小组认可的，视同符合要求。</w:t>
            </w:r>
            <w:r>
              <w:rPr>
                <w:rFonts w:hint="eastAsia" w:ascii="宋体" w:hAnsi="宋体" w:eastAsia="宋体" w:cs="Times New Roman"/>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r>
      <w:tr>
        <w:trPr>
          <w:trHeight w:val="718"/>
        </w:trPr>
        <w:tc>
          <w:tcPr>
            <w:tcW w:w="250"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sz w:val="21"/>
                <w:szCs w:val="21"/>
                <w:highlight w:val="none"/>
                <w:lang w:eastAsia="zh-CN"/>
              </w:rPr>
              <w:framePr w:vAnchor="text" w:hAnchor="page" w:x="1791" w:y="451"/>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485" w:type="dxa"/>
            <w:vAlign w:val="center"/>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对磋商文件的响应程度</w:t>
            </w:r>
            <w:r>
              <w:rPr>
                <w:rFonts w:hint="eastAsia" w:ascii="宋体" w:hAnsi="宋体" w:eastAsia="宋体" w:cs="宋体"/>
                <w:bCs/>
                <w:sz w:val="21"/>
                <w:szCs w:val="21"/>
                <w:highlight w:val="none"/>
                <w:lang w:val="en-US" w:eastAsia="zh-CN"/>
              </w:rPr>
            </w:r>
            <w:r/>
          </w:p>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（12分）</w:t>
            </w:r>
            <w:r>
              <w:rPr>
                <w:rFonts w:hint="eastAsia"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framePr w:vAnchor="text" w:hAnchor="page" w:x="1791" w:y="451"/>
            </w:pPr>
            <w:r>
              <w:rPr>
                <w:rFonts w:hint="eastAsia" w:ascii="宋体" w:hAnsi="宋体" w:eastAsia="宋体" w:cs="宋体"/>
                <w:sz w:val="21"/>
                <w:szCs w:val="21"/>
                <w:highlight w:val="none"/>
                <w:lang w:val="en-US" w:eastAsia="zh-CN" w:bidi="ar-SA"/>
              </w:rPr>
              <w:t xml:space="preserve">根据</w:t>
            </w:r>
            <w:r>
              <w:rPr>
                <w:rFonts w:hint="eastAsia" w:ascii="宋体" w:hAnsi="宋体" w:eastAsia="宋体" w:cs="Times New Roman"/>
                <w:sz w:val="21"/>
                <w:szCs w:val="21"/>
                <w:highlight w:val="none"/>
                <w:lang w:val="en-US" w:eastAsia="zh-CN" w:bidi="ar-SA"/>
              </w:rPr>
              <w:t xml:space="preserve">磋商供应商</w:t>
            </w:r>
            <w:r>
              <w:rPr>
                <w:rFonts w:hint="eastAsia" w:ascii="宋体" w:hAnsi="宋体" w:eastAsia="宋体" w:cs="宋体"/>
                <w:sz w:val="21"/>
                <w:szCs w:val="21"/>
                <w:highlight w:val="none"/>
                <w:lang w:val="en-US" w:eastAsia="zh-CN" w:bidi="ar-SA"/>
              </w:rPr>
              <w:t xml:space="preserve">对磋商文件第四章“（五）技术要求”的响应情况进行评分，其中▲条款为重要条款一共4项，每负偏离一项扣1.5分；其他一般条款一共12项，每有一项负偏离扣0.5分；直至扣完为止，全部满足得12分。</w:t>
            </w:r>
            <w:r>
              <w:rPr>
                <w:rFonts w:hint="eastAsia" w:ascii="宋体" w:hAnsi="宋体" w:eastAsia="宋体" w:cs="宋体"/>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framePr w:vAnchor="text" w:hAnchor="page" w:x="1791" w:y="451"/>
            </w:pPr>
            <w:r>
              <w:rPr>
                <w:rFonts w:hint="eastAsia" w:ascii="宋体" w:hAnsi="宋体" w:eastAsia="宋体" w:cs="宋体"/>
                <w:sz w:val="21"/>
                <w:szCs w:val="21"/>
                <w:highlight w:val="none"/>
                <w:lang w:val="en-US" w:eastAsia="zh-CN" w:bidi="ar-SA"/>
              </w:rPr>
              <w:t xml:space="preserve">注：磋商文件要求提供佐证材料的，</w:t>
            </w:r>
            <w:r>
              <w:rPr>
                <w:rFonts w:hint="eastAsia" w:ascii="宋体" w:hAnsi="宋体" w:eastAsia="宋体" w:cs="Times New Roman"/>
                <w:sz w:val="21"/>
                <w:szCs w:val="21"/>
                <w:highlight w:val="none"/>
                <w:lang w:val="en-US" w:eastAsia="zh-CN" w:bidi="ar-SA"/>
              </w:rPr>
              <w:t xml:space="preserve">磋商供应商</w:t>
            </w:r>
            <w:r>
              <w:rPr>
                <w:rFonts w:hint="eastAsia" w:ascii="宋体" w:hAnsi="宋体" w:eastAsia="宋体" w:cs="宋体"/>
                <w:sz w:val="21"/>
                <w:szCs w:val="21"/>
                <w:highlight w:val="none"/>
                <w:lang w:val="en-US" w:eastAsia="zh-CN" w:bidi="ar-SA"/>
              </w:rPr>
              <w:t xml:space="preserve">须按要求提供，如在磋商响应文件未提供或不符合要求，按负偏离处理。投标人须在“技术条款偏离表”中如实逐项填写偏离情况并加盖供应商公章。</w:t>
            </w:r>
            <w:r>
              <w:rPr>
                <w:rFonts w:hint="eastAsia" w:ascii="宋体" w:hAnsi="宋体" w:eastAsia="宋体" w:cs="宋体"/>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12</w:t>
            </w:r>
            <w:r>
              <w:rPr>
                <w:rFonts w:ascii="宋体" w:hAnsi="宋体" w:eastAsia="宋体" w:cs="宋体"/>
                <w:sz w:val="21"/>
                <w:szCs w:val="21"/>
                <w:highlight w:val="none"/>
                <w:lang w:val="en-US" w:eastAsia="zh-CN"/>
              </w:rPr>
            </w:r>
            <w:r/>
          </w:p>
        </w:tc>
      </w:tr>
      <w:tr>
        <w:trPr>
          <w:trHeight w:val="90"/>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W w:w="485" w:type="dxa"/>
            <w:vAlign w:val="center"/>
            <w:vMerge w:val="restart"/>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建设方案</w:t>
            </w:r>
            <w:r>
              <w:rPr>
                <w:rFonts w:hint="eastAsia" w:ascii="宋体" w:hAnsi="宋体" w:eastAsia="宋体" w:cs="宋体"/>
                <w:bCs/>
                <w:sz w:val="21"/>
                <w:szCs w:val="21"/>
                <w:highlight w:val="none"/>
                <w:lang w:val="en-US" w:eastAsia="zh-CN"/>
              </w:rPr>
            </w:r>
            <w:r/>
          </w:p>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（30分）</w:t>
            </w: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磋商供应商根据本项目第四章采购需求的要求，提供系统设计方案，方案至少包含：整体架构设计、功能模块设计、数据流设计、AI能力支撑、安全保障等内容。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w:t>
            </w:r>
            <w:r>
              <w:rPr>
                <w:rFonts w:hint="eastAsia" w:ascii="宋体" w:hAnsi="宋体" w:eastAsia="宋体" w:cs="Times New Roman"/>
                <w:sz w:val="21"/>
                <w:szCs w:val="21"/>
                <w:highlight w:val="none"/>
                <w:lang w:val="en-US" w:eastAsia="zh-CN" w:bidi="ar-SA"/>
              </w:rPr>
              <w:t xml:space="preserve">系统设计方案</w:t>
            </w:r>
            <w:r>
              <w:rPr>
                <w:rFonts w:hint="eastAsia" w:ascii="宋体" w:hAnsi="宋体" w:eastAsia="宋体" w:cs="Times New Roman"/>
                <w:caps/>
                <w:sz w:val="21"/>
                <w:szCs w:val="21"/>
                <w:highlight w:val="none"/>
                <w:lang w:val="en-US" w:eastAsia="zh-CN" w:bidi="ar-SA"/>
              </w:rPr>
              <w:t xml:space="preserve">”要求的响应情况进行评审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w:t>
            </w:r>
            <w:r>
              <w:rPr>
                <w:rFonts w:hint="eastAsia" w:ascii="宋体" w:hAnsi="宋体" w:eastAsia="宋体" w:cs="Times New Roman"/>
                <w:sz w:val="21"/>
                <w:szCs w:val="21"/>
                <w:highlight w:val="none"/>
                <w:lang w:val="en-US" w:eastAsia="zh-CN" w:bidi="ar-SA"/>
              </w:rPr>
              <w:t xml:space="preserve">系统设计方案</w:t>
            </w:r>
            <w:r>
              <w:rPr>
                <w:rFonts w:hint="eastAsia" w:ascii="宋体" w:hAnsi="宋体" w:eastAsia="宋体" w:cs="Times New Roman"/>
                <w:caps/>
                <w:sz w:val="21"/>
                <w:szCs w:val="21"/>
                <w:highlight w:val="none"/>
                <w:lang w:val="en-US" w:eastAsia="zh-CN" w:bidi="ar-SA"/>
              </w:rPr>
              <w:t xml:space="preserve">”中全部条款要求的，视为不符合磋商文件，本项得0分。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w:t>
            </w:r>
            <w:r>
              <w:rPr>
                <w:rFonts w:hint="eastAsia" w:ascii="宋体" w:hAnsi="宋体" w:eastAsia="宋体" w:cs="Times New Roman"/>
                <w:sz w:val="21"/>
                <w:szCs w:val="21"/>
                <w:highlight w:val="none"/>
                <w:lang w:val="en-US" w:eastAsia="zh-CN" w:bidi="ar-SA"/>
              </w:rPr>
              <w:t xml:space="preserve">系统设计方案</w:t>
            </w:r>
            <w:r>
              <w:rPr>
                <w:rFonts w:hint="eastAsia" w:ascii="宋体" w:hAnsi="宋体" w:eastAsia="宋体" w:cs="Times New Roman"/>
                <w:caps/>
                <w:sz w:val="21"/>
                <w:szCs w:val="21"/>
                <w:highlight w:val="none"/>
                <w:lang w:val="en-US" w:eastAsia="zh-CN" w:bidi="ar-SA"/>
              </w:rPr>
              <w:t xml:space="preserve">”中全部条款要求的，视为符合磋商文件，本项得3分。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w:t>
            </w:r>
            <w:r>
              <w:rPr>
                <w:rFonts w:hint="eastAsia" w:ascii="宋体" w:hAnsi="宋体" w:eastAsia="宋体" w:cs="Times New Roman"/>
                <w:sz w:val="21"/>
                <w:szCs w:val="21"/>
                <w:highlight w:val="none"/>
                <w:lang w:val="en-US" w:eastAsia="zh-CN" w:bidi="ar-SA"/>
              </w:rPr>
              <w:t xml:space="preserve">系统设计方案</w:t>
            </w:r>
            <w:r>
              <w:rPr>
                <w:rFonts w:hint="eastAsia" w:ascii="宋体" w:hAnsi="宋体" w:eastAsia="宋体" w:cs="Times New Roman"/>
                <w:caps/>
                <w:sz w:val="21"/>
                <w:szCs w:val="21"/>
                <w:highlight w:val="none"/>
                <w:lang w:val="en-US" w:eastAsia="zh-CN" w:bidi="ar-SA"/>
              </w:rPr>
              <w:t xml:space="preserve">”中“整体架构设计”、“</w:t>
            </w:r>
            <w:r>
              <w:rPr>
                <w:rFonts w:hint="eastAsia" w:ascii="宋体" w:hAnsi="宋体" w:eastAsia="宋体" w:cs="宋体"/>
                <w:sz w:val="21"/>
                <w:szCs w:val="21"/>
                <w:highlight w:val="none"/>
                <w:lang w:val="en-US" w:eastAsia="zh-CN"/>
              </w:rPr>
              <w:t xml:space="preserve">功能模块设计</w:t>
            </w:r>
            <w:r>
              <w:rPr>
                <w:rFonts w:hint="eastAsia" w:ascii="宋体" w:hAnsi="宋体" w:eastAsia="宋体" w:cs="Times New Roman"/>
                <w:caps/>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数据流设计</w:t>
            </w:r>
            <w:r>
              <w:rPr>
                <w:rFonts w:hint="eastAsia" w:ascii="宋体" w:hAnsi="宋体" w:eastAsia="宋体" w:cs="Times New Roman"/>
                <w:caps/>
                <w:sz w:val="21"/>
                <w:szCs w:val="21"/>
                <w:highlight w:val="none"/>
                <w:lang w:val="en-US" w:eastAsia="zh-CN" w:bidi="ar-SA"/>
              </w:rPr>
              <w:t xml:space="preserve">”三项要求的响应内容全部优于磋商文件要求的（前提是磋商响应文件对“</w:t>
            </w:r>
            <w:r>
              <w:rPr>
                <w:rFonts w:hint="eastAsia" w:ascii="宋体" w:hAnsi="宋体" w:eastAsia="宋体" w:cs="Times New Roman"/>
                <w:sz w:val="21"/>
                <w:szCs w:val="21"/>
                <w:highlight w:val="none"/>
                <w:lang w:val="en-US" w:eastAsia="zh-CN" w:bidi="ar-SA"/>
              </w:rPr>
              <w:t xml:space="preserve">系统设计方案</w:t>
            </w:r>
            <w:r>
              <w:rPr>
                <w:rFonts w:hint="eastAsia" w:ascii="宋体" w:hAnsi="宋体" w:eastAsia="宋体" w:cs="Times New Roman"/>
                <w:caps/>
                <w:sz w:val="21"/>
                <w:szCs w:val="21"/>
                <w:highlight w:val="none"/>
                <w:lang w:val="en-US" w:eastAsia="zh-CN" w:bidi="ar-SA"/>
              </w:rPr>
              <w:t xml:space="preserve">”中除“整体架构设计”、“</w:t>
            </w:r>
            <w:r>
              <w:rPr>
                <w:rFonts w:hint="eastAsia" w:ascii="宋体" w:hAnsi="宋体" w:eastAsia="宋体" w:cs="宋体"/>
                <w:sz w:val="21"/>
                <w:szCs w:val="21"/>
                <w:highlight w:val="none"/>
                <w:lang w:val="en-US" w:eastAsia="zh-CN"/>
              </w:rPr>
              <w:t xml:space="preserve">功能模块设计</w:t>
            </w:r>
            <w:r>
              <w:rPr>
                <w:rFonts w:hint="eastAsia" w:ascii="宋体" w:hAnsi="宋体" w:eastAsia="宋体" w:cs="Times New Roman"/>
                <w:caps/>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数据流设计</w:t>
            </w:r>
            <w:r>
              <w:rPr>
                <w:rFonts w:hint="eastAsia" w:ascii="宋体" w:hAnsi="宋体" w:eastAsia="宋体" w:cs="Times New Roman"/>
                <w:caps/>
                <w:sz w:val="21"/>
                <w:szCs w:val="21"/>
                <w:highlight w:val="none"/>
                <w:lang w:val="en-US" w:eastAsia="zh-CN" w:bidi="ar-SA"/>
              </w:rPr>
              <w:t xml:space="preserve">”外其他要求响应内容符合磋商文件要求），本项得5分。</w:t>
            </w:r>
            <w:r>
              <w:rPr>
                <w:rFonts w:ascii="宋体" w:hAnsi="宋体" w:eastAsia="宋体" w:cs="Times New Roman"/>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90"/>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投标人根据本项目第四章采购需求中“疫苗监管知识底座”要求，提供方案至少包含：知识域规划、数据标准化治理、知识分层入库与存储、数据质量管控等内容。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评委根据磋商响应文件对磋商文件第四章“采购需求”中“疫苗监管知识底座”要求的响应情况进行评审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（1）磋商响应文件未符合“疫苗监管知识底座”中全部条款要求的，视为不符合磋商文件，本项得0分。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（2）磋商响应文件符合“疫苗监管知识底座”中全部条款要求的，视为符合磋商文件，本项得3分。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疫苗监管知识底座”中“数据标准化治理”、“知识增量更新与迭代优化”、“检查案例知识图谱构建”三项要求的响应内容全部优于磋商文件要求的（前提是磋商响应文件对“疫苗监管知识底座”中除“数据标准化治理”、“知识增量更新与迭代优化”、“检查案例知识图谱构建”外其他要求响应内容符合磋商文件要求），本项得5分。</w:t>
            </w:r>
            <w:r>
              <w:rPr>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90"/>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投标人根据本项目第四章采购需求中“能力支撑中心-知识管理服务平台”要求，提供方案至少包含：可视化知识运维、知识标签体系管理、知识审核与入库管理、权限分级与安全审计、数据服务等内容。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评委根据磋商响应文件对磋商文件第四章“采购需求”中“能力支撑中心-知识管理服务平台”要求的响应情况进行评审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（1）磋商响应文件未符合“能力支撑中心-知识管理服务平台”中全部条款要求的，视为不符合磋商文件，本项得0分。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（2）磋商响应文件符合“能力支撑中心-知识管理服务平台”中全部条款要求的，视为符合磋商文件，本项得3分。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能力支撑中心-知识管理服务平台”中“可视化知识运维”、“知识标签体系管理”、“知识审核与入库管理”三项要求的响应内容全部优于磋商文件要求的（前提是磋商响应文件对“能力支撑中心-知识管理服务平台”中除“可视化知识运维”、“知识标签体系管理”、“知识审核与入库管理”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549"/>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8</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投标人根据本项目第四章采购需求中“能力支撑中心-AI能力中心”要求，提供方案至少包含：统一模型接入与推理、多智能体协同编排、视觉多模态识别、知识检索与规则服务、训练测评与持续优化等内容。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评委根据磋商响应文件对磋商文件第四章“采购需求”中“能力支撑中心-AI能力中心”要求的响应情况进行评审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（1）磋商响应文件未符合“能力支撑中心-AI能力中心”中全部条款要求的，视为不符合磋商文件，本项得0分。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（2）磋商响应文件符合“能力支撑中心-AI能力中心”中全部条款要求的，视为符合磋商文件，本项得3分。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能力支撑中心-AI能力中心”中“统一模型接入与推理”“多智能体协同编排”、“视觉多模态识别”三项要求的响应内容全部优于磋商文件要求的（前提是磋商响应文件对“能力支撑中心-AI能力中心”中除“统一模型接入与推理”“多智能体协同编排”、“视觉多模态识别”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1326"/>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9</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投标人根据本项目第四章采购需求中“现场检查智能体”要求，提供方案至少包含：智能问答服务、总控调度服务、文档智能审查服务、报告与整改审核服务、风险因子上报服务、人机协同审查服务内容。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评委根据磋商响应文件对磋商文件第四章“采购需求”中“现场检查智能体”要求的响应情况进行评审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（1）磋商响应文件未符合“现场检查智能体”中全部条款要求的，视为不符合磋商文件，本项得0分。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（2）磋商响应文件符合“现场检查智能体”中全部条款要求的，视为符合磋商文件，本项得3分。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现场检查智能体”中“智能问答服务”“文档智能审查服务”、“报告与整改审核服务”三项要求的响应内容全部优于磋商文件要求的（前提是磋商响应文件对“现场检查智能体”中除“智能问答服务”“文档智能审查服务”、“报告与整改审核服务”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1326"/>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投标人根据本项目第四章采购需求中“远程监管智能体”要求，提供方案至少包含：多模态视觉识别服务、视频风险因子上报服务、可视化监管服务等内容。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评委根据磋商响应文件对磋商文件第四章“采购需求”中“远程监管智能体”要求的响应情况进行评审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（1）磋商响应文件未符合“远程监管智能体”中全部条款要求的，视为不符合磋商文件，本项得0分。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（2）磋商响应文件符合“远程监管智能体”中全部条款要求的，视为符合磋商文件，本项得3分。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远程监管智能体”中“视频资源接入与管理”“视觉语言多模态大模型推理服务”、“可视化监管”三项要求的响应内容全部优于磋商文件要求的（前提是磋商响应文件对“远程监管智能体”中除“视频资源接入与管理”“视觉语言多模态大模型推理服务”、“可视化监管”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249"/>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11</w:t>
            </w:r>
            <w:r>
              <w:rPr>
                <w:rFonts w:ascii="宋体" w:hAnsi="宋体" w:eastAsia="宋体" w:cs="宋体"/>
                <w:sz w:val="21"/>
                <w:szCs w:val="21"/>
                <w:highlight w:val="none"/>
                <w:lang w:val="en-US" w:eastAsia="zh-CN"/>
              </w:rPr>
            </w:r>
            <w:r/>
          </w:p>
        </w:tc>
        <w:tc>
          <w:tcPr>
            <w:tcW w:w="485" w:type="dxa"/>
            <w:vAlign w:val="center"/>
            <w:vMerge w:val="restart"/>
            <w:textDirection w:val="lrTb"/>
            <w:noWrap w:val="false"/>
          </w:tcPr>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rPr>
              <w:framePr w:vAnchor="text" w:hAnchor="page" w:x="1791" w:y="451"/>
            </w:pPr>
            <w:r>
              <w:rPr>
                <w:rFonts w:hint="eastAsia" w:ascii="宋体" w:hAnsi="宋体" w:eastAsia="宋体" w:cs="宋体"/>
                <w:bCs/>
                <w:sz w:val="21"/>
                <w:szCs w:val="21"/>
                <w:highlight w:val="none"/>
              </w:rPr>
              <w:t xml:space="preserve">实施方案</w:t>
            </w:r>
            <w:r>
              <w:rPr>
                <w:rFonts w:hint="eastAsia" w:ascii="宋体" w:hAnsi="宋体" w:eastAsia="宋体" w:cs="宋体"/>
                <w:bCs/>
                <w:sz w:val="21"/>
                <w:szCs w:val="21"/>
                <w:highlight w:val="none"/>
              </w:rPr>
            </w:r>
            <w:r/>
          </w:p>
          <w:p>
            <w:pPr>
              <w:pStyle w:val="912"/>
              <w:jc w:val="center"/>
              <w:keepLines w:val="0"/>
              <w:keepNext w:val="0"/>
              <w:pageBreakBefore w:val="0"/>
              <w:spacing w:line="440" w:lineRule="exact"/>
              <w:widowControl w:val="off"/>
              <w:rPr>
                <w:rFonts w:hint="eastAsia" w:ascii="宋体" w:hAnsi="宋体" w:eastAsia="宋体" w:cs="宋体"/>
                <w:bCs/>
                <w:sz w:val="21"/>
                <w:szCs w:val="21"/>
                <w:highlight w:val="none"/>
                <w:lang w:eastAsia="zh-CN"/>
              </w:rPr>
              <w:framePr w:vAnchor="text" w:hAnchor="page" w:x="1791" w:y="451"/>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25分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投标人根据本项目第四章采购需求，提供项目实施方案，方案至少包含：①项目组织及人员保障、②项目进度安排、③项目管理、④系统部署与集成实施等内容。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评委根据磋商响应文件对磋商文件第四章“采购需求”中“项目实施方案”要求的响应情况进行评审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（1）磋商响应文件未符合“项目实施方案”中全部条款要求的，视为不符合磋商文件，本项得0分。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（2）磋商响应文件符合“项目实施方案”中全部条款要求的，视为符合磋商文件，本项得3分。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项目实施方案”中“项目组织及人员保障”“项目实施周期”、“系统集成实施”三项要求的响应内容全部优于磋商文件要求的（前提是磋商响应文件对“项目实施方案”中除“项目组织及人员保障”“项目实施周期”、“系统集成实施”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1126"/>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12</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投标人根据本项目第四章采购需求，提供安全保障方案，方案至少包含：①数据安全管控、③智能体应用安全、②权限账号管控、④审计运维安全等内容。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评委根据磋商响应文件对磋商文件第四章“采购需求”中“安全保障方案”要求的响应情况进行评审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（1）磋商响应文件未符合“安全保障方案”中全部条款要求的，视为不符合磋商文件，本项得0分。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（2）磋商响应文件符合“安全保障方案”中全部条款要求的，视为符合磋商文件，本项得3分。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安全保障方案”中“数据全生命周期安全”“智能体安全防护”、“精细化权限管控”三项要求的响应内容全部优于磋商文件要求的（前提是磋商响应文件对“安全保障方案”中除“数据全生命周期安全”“智能体安全防护”、“精细化权限管控”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1126"/>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投标人根据本项目第四章采购需求，提供质量保障与验收方案，方案至少包含：①项目质量管控、②项目验收、③项目交付成果等内容。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评委根据磋商响应文件对磋商文件第四章“采购需求”中“质量保障与验收方案”要求的响应情况进行评审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（1）磋商响应文件未符合“质量保障与验收方案”中全部条款要求的，视为不符合磋商文件，本项得0分。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（2）磋商响应文件符合“质量保障与验收方案”中全部条款要求的，视为符合磋商文件，本项得3分。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质量保障与验收方案”中“项目质量管控”“项目验收”、“项目交付成果”三项要求的响应内容全部优于磋商文件要求的（前提是磋商响应文件对“质量保障与验收方案”中除“项目质量管控”“项目验收”、“项目交付成果”外其他要求响应内容符合磋商文件要求），本项得5分。</w:t>
            </w:r>
            <w:r>
              <w:rPr>
                <w:rFonts w:hint="eastAsia" w:ascii="宋体" w:hAnsi="宋体" w:eastAsia="宋体" w:cs="Times New Roman"/>
                <w:caps/>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1126"/>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14</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投标人根据本项目第四章采购需求，提供培训服务方案，方案至少包含：①培训目的、②培训内容、③培训计划、④培训质量保证等内容。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评委根据磋商响应文件对磋商文件第四章“采购需求”中“项目培训方案”要求的响应情况进行评审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（1）磋商响应文件未符合“项目培训方案”中全部条款要求的，视为不符合磋商文件，本项得0分。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（2）磋商响应文件符合“项目培训方案”中全部条款要求的，视为符合磋商文件，本项得3分。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项目培训方案”中“培训内容”“详细培训计划”、“培训质量保证”三项要求的响应内容全部优于磋商文件要求的（前提是磋商响应文件对“项目培训方案”中除“培训内容”“详细培训计划”、“培训质量保证”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709"/>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15</w:t>
            </w:r>
            <w:r>
              <w:rPr>
                <w:rFonts w:ascii="宋体" w:hAnsi="宋体" w:eastAsia="宋体" w:cs="宋体"/>
                <w:sz w:val="21"/>
                <w:szCs w:val="21"/>
                <w:highlight w:val="none"/>
                <w:lang w:val="en-US" w:eastAsia="zh-CN"/>
              </w:rPr>
            </w:r>
            <w:r/>
          </w:p>
        </w:tc>
        <w:tc>
          <w:tcPr>
            <w:tcW w:w="485" w:type="dxa"/>
            <w:vAlign w:val="center"/>
            <w:vMerge w:val="continue"/>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根据本项目第四章采购需求，提供售后服务方案，方案至少包含：①售后服务内容（包括不限于系统故障修复、知识库纠错迭代、智能体调优等）②应急处理预案③售后服务质量保障方案④服务人员稳定性保障方案等内容，</w:t>
            </w:r>
            <w:r>
              <w:rPr>
                <w:rFonts w:hint="eastAsia" w:ascii="宋体" w:hAnsi="宋体" w:eastAsia="宋体" w:cs="Times New Roman"/>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评委根据磋商响应文件对磋商文件第四章“采购需求”中“售后服务方案”要求的响应情况进行评审</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（1）磋商响应文件未符合“售后服务方案”中全部条款要求的，视为不符合磋商文件，本项得0分。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ascii="宋体" w:hAnsi="宋体" w:eastAsia="宋体" w:cs="Times New Roman"/>
                <w:caps/>
                <w:sz w:val="21"/>
                <w:szCs w:val="21"/>
                <w:highlight w:val="none"/>
                <w:lang w:val="en-US" w:eastAsia="zh-CN" w:bidi="ar-SA"/>
              </w:rPr>
              <w:framePr w:vAnchor="text" w:hAnchor="page" w:x="1791" w:y="451"/>
            </w:pPr>
            <w:r>
              <w:rPr>
                <w:rFonts w:hint="eastAsia" w:ascii="宋体" w:hAnsi="宋体" w:eastAsia="宋体" w:cs="Times New Roman"/>
                <w:caps/>
                <w:sz w:val="21"/>
                <w:szCs w:val="21"/>
                <w:highlight w:val="none"/>
                <w:lang w:val="en-US" w:eastAsia="zh-CN" w:bidi="ar-SA"/>
              </w:rPr>
              <w:t xml:space="preserve">（2）磋商响应文件符合“售后服务方案”中全部条款要求的，视为符合磋商文件，本项得3分。</w:t>
            </w:r>
            <w:r>
              <w:rPr>
                <w:rFonts w:hint="eastAsia" w:ascii="宋体" w:hAnsi="宋体" w:eastAsia="宋体" w:cs="Times New Roman"/>
                <w:caps/>
                <w:sz w:val="21"/>
                <w:szCs w:val="21"/>
                <w:highlight w:val="none"/>
                <w:lang w:val="en-US" w:eastAsia="zh-CN" w:bidi="ar-SA"/>
              </w:rPr>
            </w:r>
            <w:r/>
          </w:p>
          <w:p>
            <w:pPr>
              <w:pStyle w:val="924"/>
              <w:keepLines w:val="0"/>
              <w:keepNext w:val="0"/>
              <w:pageBreakBefore w:val="0"/>
              <w:spacing w:before="0" w:after="0" w:line="440" w:lineRule="exact"/>
              <w:widowControl w:val="off"/>
              <w:tabs>
                <w:tab w:val="right" w:pos="8720" w:leader="dot"/>
              </w:tabs>
              <w:rPr>
                <w:rFonts w:hint="eastAsia"/>
                <w:highlight w:val="none"/>
                <w:lang w:val="en-US" w:eastAsia="zh-CN"/>
              </w:rPr>
              <w:framePr w:vAnchor="text" w:hAnchor="page" w:x="1791" w:y="451"/>
            </w:pPr>
            <w:r>
              <w:rPr>
                <w:rFonts w:hint="eastAsia" w:ascii="宋体" w:hAnsi="宋体" w:eastAsia="宋体" w:cs="Times New Roman"/>
                <w:caps/>
                <w:sz w:val="21"/>
                <w:szCs w:val="21"/>
                <w:highlight w:val="none"/>
                <w:lang w:val="en-US" w:eastAsia="zh-CN" w:bidi="ar-SA"/>
              </w:rPr>
              <w:t xml:space="preserve">（3）经评委认定，磋商响应文件对“售后服务方案”中“售后服务期”“售后服务内容”、“应急处理预案”三项要求的响应内容全部优于磋商文件要求的（前提是磋商响应文件对“售后服务方案”中除““售后服务期”“售后服务内容”、“应急处理预案”外其他要求响应内容符合磋商文件要求），本项得5分。</w:t>
            </w:r>
            <w:r>
              <w:rPr>
                <w:rFonts w:hint="eastAsia"/>
                <w:highlight w:val="none"/>
                <w:lang w:val="en-US" w:eastAsia="zh-CN"/>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r>
      <w:tr>
        <w:trPr>
          <w:trHeight w:val="90"/>
        </w:trPr>
        <w:tc>
          <w:tcPr>
            <w:tcW w:w="250"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16</w:t>
            </w:r>
            <w:r>
              <w:rPr>
                <w:rFonts w:ascii="宋体" w:hAnsi="宋体" w:eastAsia="宋体" w:cs="宋体"/>
                <w:sz w:val="21"/>
                <w:szCs w:val="21"/>
                <w:highlight w:val="none"/>
                <w:lang w:val="en-US" w:eastAsia="zh-CN"/>
              </w:rPr>
            </w:r>
            <w:r/>
          </w:p>
        </w:tc>
        <w:tc>
          <w:tcPr>
            <w:tcW w:w="485"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bCs/>
                <w:sz w:val="21"/>
                <w:szCs w:val="21"/>
                <w:highlight w:val="none"/>
                <w:lang w:val="en-US" w:eastAsia="zh-CN"/>
              </w:rPr>
              <w:framePr w:vAnchor="text" w:hAnchor="page" w:x="1791" w:y="451"/>
            </w:pPr>
            <w:r>
              <w:rPr>
                <w:rFonts w:hint="eastAsia" w:ascii="宋体" w:hAnsi="宋体" w:eastAsia="宋体" w:cs="宋体"/>
                <w:bCs/>
                <w:sz w:val="21"/>
                <w:szCs w:val="21"/>
                <w:highlight w:val="none"/>
                <w:lang w:val="en-US" w:eastAsia="zh-CN"/>
              </w:rPr>
              <w:t xml:space="preserve">系统演示（10分）</w:t>
            </w:r>
            <w:r>
              <w:rPr>
                <w:rFonts w:ascii="宋体" w:hAnsi="宋体" w:eastAsia="宋体" w:cs="宋体"/>
                <w:bCs/>
                <w:sz w:val="21"/>
                <w:szCs w:val="21"/>
                <w:highlight w:val="none"/>
                <w:lang w:val="en-US" w:eastAsia="zh-CN"/>
              </w:rPr>
            </w:r>
            <w:r/>
          </w:p>
        </w:tc>
        <w:tc>
          <w:tcPr>
            <w:tcW w:w="3965" w:type="dxa"/>
            <w:vAlign w:val="center"/>
            <w:textDirection w:val="lrTb"/>
            <w:noWrap w:val="false"/>
          </w:tcPr>
          <w:p>
            <w:pPr>
              <w:pStyle w:val="912"/>
              <w:jc w:val="both"/>
              <w:keepLines w:val="0"/>
              <w:keepNext w:val="0"/>
              <w:pageBreakBefore w:val="0"/>
              <w:spacing w:line="440" w:lineRule="exact"/>
              <w:widowControl w:val="off"/>
              <w:rPr>
                <w:rFonts w:hint="eastAsia" w:ascii="宋体" w:hAnsi="宋体" w:eastAsia="宋体" w:cs="Times New Roman"/>
                <w:b/>
                <w:bCs/>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投标人需按照以下要求提供系统或Demo演示视频文件：供应商需按照磋商文件规定的演示内容制作演示视频文件，视频文件的格式为</w:t>
            </w:r>
            <w:r>
              <w:rPr>
                <w:rFonts w:ascii="宋体" w:hAnsi="宋体" w:eastAsia="宋体" w:cs="Times New Roman"/>
                <w:sz w:val="21"/>
                <w:szCs w:val="21"/>
                <w:highlight w:val="none"/>
                <w:lang w:val="en-US" w:eastAsia="zh-CN" w:bidi="ar-SA"/>
              </w:rPr>
              <w:t xml:space="preserve">X.mp4</w:t>
            </w:r>
            <w:r>
              <w:rPr>
                <w:rFonts w:hint="eastAsia" w:ascii="宋体" w:hAnsi="宋体" w:eastAsia="宋体" w:cs="Times New Roman"/>
                <w:sz w:val="21"/>
                <w:szCs w:val="21"/>
                <w:highlight w:val="none"/>
                <w:lang w:val="en-US" w:eastAsia="zh-CN" w:bidi="ar-SA"/>
              </w:rPr>
              <w:t xml:space="preserve">或X.avi，供应商须将视频文件分段压缩为X.zip文件上传（单个文件不得大于50M，所有文件总共不得大于300M）。文件上传方式见《操作手册》规定，上传的演示视频将作为响应文件的组成部分，视频时长总计不超过15分钟。不演示不得分。</w:t>
            </w:r>
            <w:r>
              <w:rPr>
                <w:rFonts w:hint="eastAsia" w:ascii="宋体" w:hAnsi="宋体" w:eastAsia="宋体" w:cs="Times New Roman"/>
                <w:b/>
                <w:bCs/>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b/>
                <w:bCs/>
                <w:sz w:val="21"/>
                <w:szCs w:val="21"/>
                <w:highlight w:val="none"/>
                <w:lang w:val="en-US" w:eastAsia="zh-CN" w:bidi="ar-SA"/>
              </w:rPr>
              <w:framePr w:vAnchor="text" w:hAnchor="page" w:x="1791" w:y="451"/>
            </w:pPr>
            <w:r>
              <w:rPr>
                <w:rFonts w:hint="eastAsia" w:ascii="宋体" w:hAnsi="宋体" w:eastAsia="宋体" w:cs="Times New Roman"/>
                <w:b/>
                <w:bCs/>
                <w:sz w:val="21"/>
                <w:szCs w:val="21"/>
                <w:highlight w:val="none"/>
                <w:lang w:val="en-US" w:eastAsia="zh-CN" w:bidi="ar-SA"/>
              </w:rPr>
              <w:t xml:space="preserve">1.智能体功能演示：</w:t>
            </w:r>
            <w:r>
              <w:rPr>
                <w:rFonts w:hint="eastAsia" w:ascii="宋体" w:hAnsi="宋体" w:eastAsia="宋体" w:cs="Times New Roman"/>
                <w:b/>
                <w:bCs/>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①总控智能调度：演示</w:t>
            </w:r>
            <w:r>
              <w:rPr>
                <w:rFonts w:ascii="宋体" w:hAnsi="宋体" w:eastAsia="宋体" w:cs="Times New Roman"/>
                <w:sz w:val="21"/>
                <w:szCs w:val="21"/>
                <w:highlight w:val="none"/>
                <w:lang w:val="en-US" w:eastAsia="zh-CN" w:bidi="ar-SA"/>
              </w:rPr>
              <w:t xml:space="preserve">根据案件上下文</w:t>
            </w:r>
            <w:r>
              <w:rPr>
                <w:rFonts w:hint="eastAsia" w:ascii="宋体" w:hAnsi="宋体" w:eastAsia="宋体" w:cs="Times New Roman"/>
                <w:sz w:val="21"/>
                <w:szCs w:val="21"/>
                <w:highlight w:val="none"/>
                <w:lang w:val="en-US" w:eastAsia="zh-CN" w:bidi="ar-SA"/>
              </w:rPr>
              <w:t xml:space="preserve">智能</w:t>
            </w:r>
            <w:r>
              <w:rPr>
                <w:rFonts w:ascii="宋体" w:hAnsi="宋体" w:eastAsia="宋体" w:cs="Times New Roman"/>
                <w:sz w:val="21"/>
                <w:szCs w:val="21"/>
                <w:highlight w:val="none"/>
                <w:lang w:val="en-US" w:eastAsia="zh-CN" w:bidi="ar-SA"/>
              </w:rPr>
              <w:t xml:space="preserve">识别任务意图，</w:t>
            </w:r>
            <w:r>
              <w:rPr>
                <w:rFonts w:hint="eastAsia" w:ascii="宋体" w:hAnsi="宋体" w:eastAsia="宋体" w:cs="Times New Roman"/>
                <w:sz w:val="21"/>
                <w:szCs w:val="21"/>
                <w:highlight w:val="none"/>
                <w:lang w:val="en-US" w:eastAsia="zh-CN" w:bidi="ar-SA"/>
              </w:rPr>
              <w:t xml:space="preserve">并</w:t>
            </w:r>
            <w:r>
              <w:rPr>
                <w:rFonts w:ascii="宋体" w:hAnsi="宋体" w:eastAsia="宋体" w:cs="Times New Roman"/>
                <w:sz w:val="21"/>
                <w:szCs w:val="21"/>
                <w:highlight w:val="none"/>
                <w:lang w:val="en-US" w:eastAsia="zh-CN" w:bidi="ar-SA"/>
              </w:rPr>
              <w:t xml:space="preserve">调度对应专业智能体</w:t>
            </w:r>
            <w:r>
              <w:rPr>
                <w:rFonts w:hint="eastAsia" w:ascii="宋体" w:hAnsi="宋体" w:eastAsia="宋体" w:cs="Times New Roman"/>
                <w:sz w:val="21"/>
                <w:szCs w:val="21"/>
                <w:highlight w:val="none"/>
                <w:lang w:val="en-US" w:eastAsia="zh-CN" w:bidi="ar-SA"/>
              </w:rPr>
              <w:t xml:space="preserve">开展业务处理</w:t>
            </w:r>
            <w:r>
              <w:rPr>
                <w:rFonts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②文档审查：演示文档智能审查业务流程。贯穿待审查文档上传解析，字段与事实抽取、标准条款匹配、证据定位、缺陷候选清单生成全过程。</w:t>
            </w:r>
            <w:r>
              <w:rPr>
                <w:rFonts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③案件情况梳理：演示以时间轴的形式查看案件的完整时间脉络，展示案件的基础事实。</w:t>
            </w:r>
            <w:r>
              <w:rPr>
                <w:rFonts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④检查结果生成：演示智能生成检查报告初稿，同步匹配输出整改意见。</w:t>
            </w:r>
            <w:r>
              <w:rPr>
                <w:rFonts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⑤风险因子生成：演示结构化风险因子包智能生成。</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⑥全流程跟踪：演示通过Trace溯源机制，查看智能体路由、模型调用、工具调用、证据校准等全过程记录。</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⑦知识图谱生成：演示</w:t>
            </w:r>
            <w:r>
              <w:rPr>
                <w:rFonts w:ascii="宋体" w:hAnsi="宋体" w:eastAsia="宋体" w:cs="Times New Roman"/>
                <w:sz w:val="21"/>
                <w:szCs w:val="21"/>
                <w:highlight w:val="none"/>
                <w:lang w:val="en-US" w:eastAsia="zh-CN" w:bidi="ar-SA"/>
              </w:rPr>
              <w:t xml:space="preserve">基于药品监管知识和审查文档构建知识图谱，</w:t>
            </w:r>
            <w:r>
              <w:rPr>
                <w:rFonts w:hint="eastAsia" w:ascii="宋体" w:hAnsi="宋体" w:eastAsia="宋体" w:cs="Times New Roman"/>
                <w:sz w:val="21"/>
                <w:szCs w:val="21"/>
                <w:highlight w:val="none"/>
                <w:lang w:val="en-US" w:eastAsia="zh-CN" w:bidi="ar-SA"/>
              </w:rPr>
              <w:t xml:space="preserve">支持</w:t>
            </w:r>
            <w:r>
              <w:rPr>
                <w:rFonts w:ascii="宋体" w:hAnsi="宋体" w:eastAsia="宋体" w:cs="Times New Roman"/>
                <w:sz w:val="21"/>
                <w:szCs w:val="21"/>
                <w:highlight w:val="none"/>
                <w:lang w:val="en-US" w:eastAsia="zh-CN" w:bidi="ar-SA"/>
              </w:rPr>
              <w:t xml:space="preserve">查看实体及关联关系</w:t>
            </w: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b/>
                <w:bCs/>
                <w:sz w:val="21"/>
                <w:szCs w:val="21"/>
                <w:highlight w:val="none"/>
                <w:lang w:val="en-US" w:eastAsia="zh-CN" w:bidi="ar-SA"/>
              </w:rPr>
              <w:t xml:space="preserve">2.远程监管智能体功能演示：</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⑧异常事件预警：演示视觉识别异常事件的智能预警与统一归集查询，展示事件发生的地点、时间、违规情况图片、违规缺陷说明等信息。</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⑨事件处理：演示异常事件在线复核、标记解决、填写处置意见并留存全过程记录。</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⑩设备及事件预警可视化监管：集中展示接入摄像头的在线状态、运行情况，实时汇聚异常事件、预警数量、违规类型、风险等级和处置进度等信息；支持查看实时视频、事件抓拍画面、预警详情及待办事项。</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t xml:space="preserve">每演示符合一项得1分，最高得10分，不演示不得分。</w:t>
            </w: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hint="eastAsia" w:ascii="宋体" w:hAnsi="宋体" w:eastAsia="宋体" w:cs="Times New Roman"/>
                <w:sz w:val="21"/>
                <w:szCs w:val="21"/>
                <w:highlight w:val="none"/>
                <w:lang w:val="en-US" w:eastAsia="zh-CN" w:bidi="ar-SA"/>
              </w:rPr>
              <w:framePr w:vAnchor="text" w:hAnchor="page" w:x="1791" w:y="451"/>
            </w:pPr>
            <w:r>
              <w:rPr>
                <w:rFonts w:hint="eastAsia" w:ascii="宋体" w:hAnsi="宋体" w:eastAsia="宋体" w:cs="Times New Roman"/>
                <w:sz w:val="21"/>
                <w:szCs w:val="21"/>
                <w:highlight w:val="none"/>
                <w:lang w:val="en-US" w:eastAsia="zh-CN" w:bidi="ar-SA"/>
              </w:rPr>
            </w:r>
            <w:r/>
          </w:p>
          <w:p>
            <w:pPr>
              <w:pStyle w:val="912"/>
              <w:jc w:val="both"/>
              <w:keepLines w:val="0"/>
              <w:keepNext w:val="0"/>
              <w:pageBreakBefore w:val="0"/>
              <w:spacing w:line="440" w:lineRule="exact"/>
              <w:widowControl w:val="off"/>
              <w:rPr>
                <w:rFonts w:ascii="宋体" w:hAnsi="宋体" w:eastAsia="宋体" w:cs="Times New Roman"/>
                <w:sz w:val="21"/>
                <w:szCs w:val="21"/>
                <w:highlight w:val="none"/>
                <w:lang w:val="en-US" w:eastAsia="zh-CN" w:bidi="ar-SA"/>
              </w:rPr>
              <w:framePr w:vAnchor="text" w:hAnchor="page" w:x="1791" w:y="451"/>
            </w:pPr>
            <w:r>
              <w:rPr>
                <w:rFonts w:ascii="宋体" w:hAnsi="宋体" w:eastAsia="宋体" w:cs="Times New Roman"/>
                <w:sz w:val="21"/>
                <w:szCs w:val="21"/>
                <w:highlight w:val="none"/>
                <w:lang w:val="en-US" w:eastAsia="zh-CN" w:bidi="ar-SA"/>
              </w:rPr>
            </w:r>
            <w:r/>
          </w:p>
        </w:tc>
        <w:tc>
          <w:tcPr>
            <w:tcW w:w="298" w:type="dxa"/>
            <w:vAlign w:val="center"/>
            <w:textDirection w:val="lrTb"/>
            <w:noWrap w:val="false"/>
          </w:tcPr>
          <w:p>
            <w:pPr>
              <w:pStyle w:val="912"/>
              <w:jc w:val="center"/>
              <w:keepLines w:val="0"/>
              <w:keepNext w:val="0"/>
              <w:pageBreakBefore w:val="0"/>
              <w:spacing w:line="440" w:lineRule="exact"/>
              <w:widowControl w:val="off"/>
              <w:rPr>
                <w:rFonts w:ascii="宋体" w:hAnsi="宋体" w:eastAsia="宋体" w:cs="宋体"/>
                <w:sz w:val="21"/>
                <w:szCs w:val="21"/>
                <w:highlight w:val="none"/>
                <w:lang w:val="en-US" w:eastAsia="zh-CN"/>
              </w:rPr>
              <w:framePr w:vAnchor="text" w:hAnchor="page" w:x="1791" w:y="451"/>
            </w:pPr>
            <w:r>
              <w:rPr>
                <w:rFonts w:hint="eastAsia" w:ascii="宋体" w:hAnsi="宋体" w:eastAsia="宋体" w:cs="宋体"/>
                <w:sz w:val="21"/>
                <w:szCs w:val="21"/>
                <w:highlight w:val="none"/>
                <w:lang w:val="en-US" w:eastAsia="zh-CN"/>
              </w:rPr>
              <w:t xml:space="preserve">10</w:t>
            </w:r>
            <w:r>
              <w:rPr>
                <w:rFonts w:ascii="宋体" w:hAnsi="宋体" w:eastAsia="宋体" w:cs="宋体"/>
                <w:sz w:val="21"/>
                <w:szCs w:val="21"/>
                <w:highlight w:val="none"/>
                <w:lang w:val="en-US" w:eastAsia="zh-CN"/>
              </w:rPr>
            </w:r>
            <w:r/>
          </w:p>
        </w:tc>
      </w:tr>
    </w:tbl>
    <w:p>
      <w:pPr>
        <w:pStyle w:val="91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1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1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1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br w:type="page" w:clear="all"/>
      </w:r>
      <w:r>
        <w:rPr>
          <w:rFonts w:hint="eastAsia" w:ascii="Times New Roman" w:hAnsi="Times New Roman"/>
          <w:szCs w:val="21"/>
        </w:rPr>
      </w:r>
      <w:r/>
    </w:p>
    <w:p>
      <w:pPr>
        <w:pStyle w:val="912"/>
        <w:rPr>
          <w:rFonts w:ascii="Times New Roman" w:hAnsi="Times New Roman"/>
          <w:szCs w:val="21"/>
        </w:rPr>
      </w:pPr>
      <w:r>
        <w:rPr>
          <w:rFonts w:ascii="Times New Roman" w:hAnsi="Times New Roman"/>
          <w:szCs w:val="21"/>
        </w:rPr>
      </w:r>
      <w:r/>
    </w:p>
    <w:p>
      <w:pPr>
        <w:pStyle w:val="912"/>
        <w:rPr>
          <w:rFonts w:ascii="Times New Roman" w:hAnsi="Times New Roman"/>
          <w:szCs w:val="21"/>
        </w:rPr>
      </w:pPr>
      <w:r>
        <w:rPr>
          <w:rFonts w:ascii="Times New Roman" w:hAnsi="Times New Roman"/>
          <w:szCs w:val="21"/>
        </w:rPr>
      </w:r>
      <w:r/>
    </w:p>
    <w:p>
      <w:pPr>
        <w:pStyle w:val="912"/>
        <w:rPr>
          <w:rFonts w:ascii="Times New Roman" w:hAnsi="Times New Roman"/>
          <w:szCs w:val="21"/>
        </w:rPr>
      </w:pPr>
      <w:r>
        <w:rPr>
          <w:rFonts w:ascii="Times New Roman" w:hAnsi="Times New Roman"/>
          <w:szCs w:val="21"/>
        </w:rPr>
      </w:r>
      <w:r/>
    </w:p>
    <w:p>
      <w:pPr>
        <w:pStyle w:val="912"/>
        <w:rPr>
          <w:rFonts w:ascii="Times New Roman" w:hAnsi="Times New Roman"/>
          <w:szCs w:val="21"/>
        </w:rPr>
      </w:pPr>
      <w:r>
        <w:rPr>
          <w:rFonts w:ascii="Times New Roman" w:hAnsi="Times New Roman"/>
          <w:szCs w:val="21"/>
        </w:rPr>
      </w:r>
      <w:r/>
    </w:p>
    <w:p>
      <w:pPr>
        <w:pStyle w:val="912"/>
        <w:rPr>
          <w:rFonts w:ascii="Times New Roman" w:hAnsi="Times New Roman"/>
          <w:szCs w:val="21"/>
        </w:rPr>
      </w:pPr>
      <w:r>
        <w:rPr>
          <w:rFonts w:ascii="Times New Roman" w:hAnsi="Times New Roman"/>
          <w:szCs w:val="21"/>
        </w:rPr>
      </w:r>
      <w:r/>
    </w:p>
    <w:p>
      <w:pPr>
        <w:pStyle w:val="912"/>
        <w:rPr>
          <w:rFonts w:ascii="Times New Roman" w:hAnsi="Times New Roman"/>
          <w:szCs w:val="21"/>
        </w:rPr>
      </w:pPr>
      <w:r>
        <w:rPr>
          <w:rFonts w:ascii="Times New Roman" w:hAnsi="Times New Roman"/>
          <w:szCs w:val="21"/>
        </w:rPr>
      </w:r>
      <w:r/>
    </w:p>
    <w:p>
      <w:pPr>
        <w:pStyle w:val="914"/>
        <w:keepLines/>
        <w:keepNext/>
        <w:pageBreakBefore w:val="0"/>
        <w:spacing w:line="400" w:lineRule="exact"/>
        <w:widowControl w:val="off"/>
        <w:rPr>
          <w:rFonts w:hint="eastAsia" w:ascii="黑体" w:hAnsi="黑体" w:eastAsia="黑体" w:cs="Arial"/>
          <w:b w:val="0"/>
          <w:bCs w:val="0"/>
          <w:sz w:val="28"/>
          <w:szCs w:val="28"/>
        </w:rPr>
      </w:pPr>
      <w:r/>
      <w:bookmarkEnd w:id="179"/>
      <w:r/>
      <w:bookmarkEnd w:id="180"/>
      <w:r/>
      <w:bookmarkEnd w:id="181"/>
      <w:r/>
      <w:bookmarkStart w:id="182" w:name="_Toc49090576"/>
      <w:r/>
      <w:bookmarkStart w:id="183" w:name="_Toc120614282"/>
      <w:r/>
      <w:bookmarkStart w:id="184" w:name="_Toc26554094"/>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912"/>
        <w:jc w:val="center"/>
        <w:rPr>
          <w:rFonts w:hint="eastAsia" w:ascii="宋体" w:hAnsi="宋体"/>
          <w:b/>
          <w:sz w:val="72"/>
          <w:szCs w:val="21"/>
        </w:rPr>
      </w:pPr>
      <w:r/>
      <w:bookmarkStart w:id="185" w:name="_Hlt26671244"/>
      <w:r/>
      <w:bookmarkEnd w:id="185"/>
      <w:r/>
      <w:bookmarkStart w:id="186" w:name="_Hlt26955039"/>
      <w:r/>
      <w:bookmarkEnd w:id="186"/>
      <w:r>
        <w:rPr>
          <w:rFonts w:hint="eastAsia" w:ascii="宋体" w:hAnsi="宋体"/>
          <w:b/>
          <w:sz w:val="72"/>
          <w:szCs w:val="21"/>
        </w:rPr>
      </w:r>
      <w:r/>
    </w:p>
    <w:p>
      <w:pPr>
        <w:pStyle w:val="912"/>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912"/>
        <w:jc w:val="center"/>
        <w:rPr>
          <w:rFonts w:hint="eastAsia" w:ascii="宋体" w:hAnsi="宋体"/>
          <w:b/>
          <w:sz w:val="72"/>
          <w:szCs w:val="21"/>
        </w:rPr>
      </w:pPr>
      <w:r>
        <w:rPr>
          <w:rFonts w:hint="eastAsia" w:ascii="宋体" w:hAnsi="宋体"/>
          <w:b/>
          <w:sz w:val="72"/>
          <w:szCs w:val="21"/>
        </w:rPr>
      </w:r>
      <w:r/>
    </w:p>
    <w:p>
      <w:pPr>
        <w:pStyle w:val="912"/>
        <w:jc w:val="center"/>
        <w:rPr>
          <w:rFonts w:hint="eastAsia" w:ascii="宋体" w:hAnsi="宋体"/>
          <w:b/>
          <w:sz w:val="72"/>
          <w:szCs w:val="21"/>
        </w:rPr>
      </w:pPr>
      <w:r>
        <w:rPr>
          <w:rFonts w:hint="eastAsia" w:ascii="宋体" w:hAnsi="宋体"/>
          <w:b/>
          <w:sz w:val="72"/>
          <w:szCs w:val="21"/>
        </w:rPr>
      </w:r>
      <w:r/>
    </w:p>
    <w:p>
      <w:pPr>
        <w:pStyle w:val="912"/>
        <w:jc w:val="center"/>
        <w:rPr>
          <w:rFonts w:hint="eastAsia" w:ascii="宋体" w:hAnsi="宋体"/>
          <w:b/>
          <w:sz w:val="36"/>
          <w:szCs w:val="21"/>
        </w:rPr>
      </w:pPr>
      <w:r>
        <w:rPr>
          <w:rFonts w:hint="eastAsia" w:ascii="宋体" w:hAnsi="宋体"/>
          <w:b/>
          <w:sz w:val="36"/>
          <w:szCs w:val="21"/>
        </w:rPr>
      </w:r>
      <w:r/>
    </w:p>
    <w:p>
      <w:pPr>
        <w:pStyle w:val="912"/>
        <w:jc w:val="center"/>
        <w:rPr>
          <w:rFonts w:hint="eastAsia" w:ascii="宋体" w:hAnsi="宋体"/>
          <w:b/>
          <w:sz w:val="36"/>
          <w:szCs w:val="21"/>
        </w:rPr>
      </w:pPr>
      <w:r>
        <w:rPr>
          <w:rFonts w:hint="eastAsia" w:ascii="宋体" w:hAnsi="宋体"/>
          <w:b/>
          <w:sz w:val="36"/>
          <w:szCs w:val="21"/>
        </w:rPr>
      </w:r>
      <w:r/>
    </w:p>
    <w:p>
      <w:pPr>
        <w:pStyle w:val="912"/>
        <w:jc w:val="center"/>
        <w:rPr>
          <w:rFonts w:hint="eastAsia" w:ascii="宋体" w:hAnsi="宋体"/>
          <w:b/>
          <w:sz w:val="36"/>
          <w:szCs w:val="21"/>
        </w:rPr>
      </w:pPr>
      <w:r>
        <w:rPr>
          <w:rFonts w:hint="eastAsia" w:ascii="宋体" w:hAnsi="宋体"/>
          <w:b/>
          <w:sz w:val="36"/>
          <w:szCs w:val="21"/>
        </w:rPr>
      </w:r>
      <w:r/>
    </w:p>
    <w:p>
      <w:pPr>
        <w:pStyle w:val="91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1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1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1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spacing w:line="440" w:lineRule="exact"/>
        <w:rPr>
          <w:rFonts w:ascii="宋体" w:hAnsi="宋体"/>
          <w:szCs w:val="21"/>
        </w:rPr>
      </w:pPr>
      <w:r>
        <w:rPr>
          <w:rFonts w:ascii="宋体" w:hAnsi="宋体"/>
          <w:szCs w:val="21"/>
        </w:rPr>
      </w:r>
      <w:r/>
    </w:p>
    <w:p>
      <w:pPr>
        <w:pStyle w:val="912"/>
        <w:spacing w:line="440" w:lineRule="exact"/>
        <w:rPr>
          <w:rFonts w:ascii="宋体" w:hAnsi="宋体"/>
          <w:szCs w:val="21"/>
        </w:rPr>
      </w:pPr>
      <w:r>
        <w:rPr>
          <w:rFonts w:ascii="宋体" w:hAnsi="宋体"/>
          <w:szCs w:val="21"/>
        </w:rPr>
      </w:r>
      <w:r/>
    </w:p>
    <w:p>
      <w:pPr>
        <w:pStyle w:val="912"/>
        <w:rPr>
          <w:rFonts w:ascii="宋体" w:hAnsi="宋体"/>
          <w:b/>
          <w:bCs/>
          <w:sz w:val="32"/>
          <w:szCs w:val="32"/>
        </w:rPr>
      </w:pPr>
      <w:r>
        <w:rPr>
          <w:rFonts w:ascii="宋体" w:hAnsi="宋体"/>
          <w:b/>
          <w:bCs/>
          <w:sz w:val="32"/>
          <w:szCs w:val="32"/>
        </w:rPr>
      </w:r>
      <w:r/>
    </w:p>
    <w:p>
      <w:pPr>
        <w:pStyle w:val="924"/>
        <w:tabs>
          <w:tab w:val="right" w:pos="8720" w:leader="dot"/>
        </w:tabs>
        <w:rPr>
          <w:rFonts w:ascii="宋体" w:hAnsi="宋体"/>
          <w:b/>
          <w:bCs/>
          <w:sz w:val="32"/>
          <w:szCs w:val="32"/>
        </w:rPr>
      </w:pPr>
      <w:r>
        <w:rPr>
          <w:rFonts w:ascii="宋体" w:hAnsi="宋体"/>
          <w:b/>
          <w:bCs/>
          <w:sz w:val="32"/>
          <w:szCs w:val="32"/>
        </w:rPr>
      </w:r>
      <w:r/>
    </w:p>
    <w:p>
      <w:pPr>
        <w:pStyle w:val="912"/>
        <w:rPr>
          <w:rFonts w:ascii="宋体" w:hAnsi="宋体"/>
          <w:b/>
          <w:bCs/>
          <w:sz w:val="32"/>
          <w:szCs w:val="32"/>
        </w:rPr>
      </w:pPr>
      <w:r>
        <w:rPr>
          <w:rFonts w:ascii="宋体" w:hAnsi="宋体"/>
          <w:b/>
          <w:bCs/>
          <w:sz w:val="32"/>
          <w:szCs w:val="32"/>
        </w:rPr>
      </w:r>
      <w:r/>
    </w:p>
    <w:p>
      <w:pPr>
        <w:pStyle w:val="924"/>
        <w:tabs>
          <w:tab w:val="right" w:pos="8720" w:leader="dot"/>
        </w:tabs>
      </w:p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912"/>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91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cs="Times New Roman"/>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91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ind w:left="480"/>
        <w:rPr>
          <w:rFonts w:ascii="宋体" w:hAnsi="宋体"/>
          <w:b/>
          <w:sz w:val="24"/>
          <w:szCs w:val="21"/>
        </w:rPr>
      </w:pPr>
      <w:r>
        <w:rPr>
          <w:rFonts w:ascii="宋体" w:hAnsi="宋体"/>
          <w:b/>
          <w:sz w:val="24"/>
          <w:szCs w:val="21"/>
        </w:rPr>
      </w:r>
      <w:r/>
    </w:p>
    <w:p>
      <w:pPr>
        <w:pStyle w:val="912"/>
        <w:rPr>
          <w:rFonts w:ascii="宋体" w:hAnsi="宋体"/>
          <w:b/>
          <w:sz w:val="24"/>
          <w:szCs w:val="21"/>
        </w:rPr>
      </w:pPr>
      <w:r>
        <w:rPr>
          <w:rFonts w:ascii="宋体" w:hAnsi="宋体"/>
          <w:b/>
          <w:sz w:val="24"/>
          <w:szCs w:val="21"/>
        </w:rPr>
      </w:r>
      <w:r/>
    </w:p>
    <w:p>
      <w:pPr>
        <w:pStyle w:val="912"/>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12"/>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12"/>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7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12"/>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24"/>
        <w:tabs>
          <w:tab w:val="right" w:pos="8720" w:leader="dot"/>
        </w:tabs>
        <w:rPr>
          <w:rFonts w:hint="eastAsia"/>
          <w:lang w:eastAsia="zh-CN"/>
        </w:rPr>
      </w:pPr>
      <w:r>
        <w:rPr>
          <w:rFonts w:hint="eastAsia"/>
          <w:lang w:eastAsia="zh-CN"/>
        </w:rPr>
      </w:r>
      <w:r/>
    </w:p>
    <w:p>
      <w:pPr>
        <w:pStyle w:val="912"/>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1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12"/>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91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12"/>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91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912"/>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12"/>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91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12"/>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912"/>
        <w:keepLines w:val="0"/>
        <w:keepNext w:val="0"/>
        <w:pageBreakBefore w:val="0"/>
        <w:spacing w:line="400" w:lineRule="exact"/>
        <w:rPr>
          <w:rFonts w:hint="eastAsia" w:ascii="宋体" w:hAnsi="宋体"/>
          <w:b/>
          <w:color w:val="000000"/>
          <w:sz w:val="28"/>
          <w:szCs w:val="28"/>
        </w:rPr>
      </w:pPr>
      <w:r/>
      <w:bookmarkEnd w:id="182"/>
      <w:r/>
      <w:bookmarkEnd w:id="183"/>
      <w:r/>
      <w:bookmarkEnd w:id="184"/>
      <w:r/>
      <w:bookmarkStart w:id="187" w:name="_Toc120614284"/>
      <w:r>
        <w:rPr>
          <w:rFonts w:hint="eastAsia" w:ascii="宋体" w:hAnsi="宋体"/>
          <w:b/>
          <w:color w:val="000000"/>
          <w:sz w:val="28"/>
          <w:szCs w:val="28"/>
        </w:rPr>
      </w:r>
      <w:r/>
    </w:p>
    <w:p>
      <w:pPr>
        <w:pStyle w:val="91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1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91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91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8" w:name="_Hlt26671380"/>
      <w:r/>
      <w:bookmarkEnd w:id="188"/>
      <w:r/>
      <w:bookmarkStart w:id="189" w:name="_格式3__银行出具的资信证明"/>
      <w:r/>
      <w:bookmarkEnd w:id="189"/>
      <w:r/>
      <w:bookmarkStart w:id="190" w:name="_Hlt26955070"/>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912"/>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912"/>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91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1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1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912"/>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12"/>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91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12"/>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912"/>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912"/>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91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1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1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12"/>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12"/>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12"/>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12"/>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12"/>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12"/>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912"/>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912"/>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912"/>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1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12"/>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912"/>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1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91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1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24"/>
        <w:rPr>
          <w:rFonts w:hint="eastAsia"/>
        </w:rPr>
      </w:pPr>
      <w:r>
        <w:rPr>
          <w:rFonts w:hint="eastAsia"/>
        </w:rPr>
      </w:r>
      <w:r/>
    </w:p>
    <w:p>
      <w:pPr>
        <w:pStyle w:val="91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12"/>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7"/>
      <w:r/>
      <w:bookmarkEnd w:id="178"/>
      <w:r/>
      <w:bookmarkEnd w:id="187"/>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8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8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7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74"/>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7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7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7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7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7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7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8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1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1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1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1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91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912"/>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1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1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1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1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12"/>
        <w:ind w:left="0" w:firstLine="0"/>
      </w:pPr>
      <w:rPr>
        <w:rFonts w:hint="eastAsia"/>
      </w:rPr>
    </w:lvl>
    <w:lvl w:ilvl="1">
      <w:start w:val="1"/>
      <w:numFmt w:val="chineseCounting"/>
      <w:isLgl w:val="false"/>
      <w:suff w:val="nothing"/>
      <w:lvlText w:val="（%2）"/>
      <w:lvlJc w:val="left"/>
      <w:pPr>
        <w:pStyle w:val="912"/>
        <w:ind w:left="0" w:firstLine="0"/>
      </w:pPr>
      <w:rPr>
        <w:rFonts w:hint="eastAsia"/>
      </w:rPr>
    </w:lvl>
    <w:lvl w:ilvl="2">
      <w:start w:val="1"/>
      <w:numFmt w:val="decimal"/>
      <w:isLgl w:val="false"/>
      <w:suff w:val="nothing"/>
      <w:lvlText w:val="%3．"/>
      <w:lvlJc w:val="left"/>
      <w:pPr>
        <w:pStyle w:val="912"/>
        <w:ind w:left="0" w:firstLine="400"/>
      </w:pPr>
      <w:rPr>
        <w:rFonts w:hint="eastAsia"/>
      </w:rPr>
    </w:lvl>
    <w:lvl w:ilvl="3">
      <w:start w:val="1"/>
      <w:numFmt w:val="decimal"/>
      <w:isLgl w:val="false"/>
      <w:suff w:val="nothing"/>
      <w:lvlText w:val="（%4）"/>
      <w:lvlJc w:val="left"/>
      <w:pPr>
        <w:pStyle w:val="912"/>
        <w:ind w:left="0" w:firstLine="402"/>
      </w:pPr>
      <w:rPr>
        <w:rFonts w:hint="eastAsia"/>
      </w:rPr>
    </w:lvl>
    <w:lvl w:ilvl="4">
      <w:start w:val="1"/>
      <w:numFmt w:val="decimalEnclosedCircleChinese"/>
      <w:isLgl w:val="false"/>
      <w:suff w:val="nothing"/>
      <w:lvlText w:val="%5"/>
      <w:lvlJc w:val="left"/>
      <w:pPr>
        <w:pStyle w:val="912"/>
        <w:ind w:left="0" w:firstLine="402"/>
      </w:pPr>
      <w:rPr>
        <w:rFonts w:hint="eastAsia"/>
      </w:rPr>
    </w:lvl>
    <w:lvl w:ilvl="5">
      <w:start w:val="1"/>
      <w:numFmt w:val="decimal"/>
      <w:isLgl w:val="false"/>
      <w:suff w:val="nothing"/>
      <w:lvlText w:val="%6）"/>
      <w:lvlJc w:val="left"/>
      <w:pPr>
        <w:pStyle w:val="912"/>
        <w:ind w:left="0" w:firstLine="402"/>
      </w:pPr>
      <w:rPr>
        <w:rFonts w:hint="eastAsia"/>
      </w:rPr>
    </w:lvl>
    <w:lvl w:ilvl="6">
      <w:start w:val="1"/>
      <w:numFmt w:val="lowerLetter"/>
      <w:isLgl w:val="false"/>
      <w:suff w:val="nothing"/>
      <w:lvlText w:val="%7．"/>
      <w:lvlJc w:val="left"/>
      <w:pPr>
        <w:pStyle w:val="912"/>
        <w:ind w:left="0" w:firstLine="402"/>
      </w:pPr>
      <w:rPr>
        <w:rFonts w:hint="eastAsia"/>
      </w:rPr>
    </w:lvl>
    <w:lvl w:ilvl="7">
      <w:start w:val="1"/>
      <w:numFmt w:val="lowerLetter"/>
      <w:isLgl w:val="false"/>
      <w:suff w:val="nothing"/>
      <w:lvlText w:val="%8）"/>
      <w:lvlJc w:val="left"/>
      <w:pPr>
        <w:pStyle w:val="912"/>
        <w:ind w:left="0" w:firstLine="402"/>
      </w:pPr>
      <w:rPr>
        <w:rFonts w:hint="eastAsia"/>
      </w:rPr>
    </w:lvl>
    <w:lvl w:ilvl="8">
      <w:start w:val="1"/>
      <w:numFmt w:val="lowerRoman"/>
      <w:isLgl w:val="false"/>
      <w:suff w:val="nothing"/>
      <w:lvlText w:val="%9 "/>
      <w:lvlJc w:val="left"/>
      <w:pPr>
        <w:pStyle w:val="912"/>
        <w:ind w:left="0" w:firstLine="402"/>
      </w:pPr>
      <w:rPr>
        <w:rFonts w:hint="eastAsia"/>
      </w:rPr>
    </w:lvl>
  </w:abstractNum>
  <w:abstractNum w:abstractNumId="5">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1"/>
      <w:isLgl w:val="false"/>
      <w:suff w:val="tab"/>
      <w:lvlText w:val="附录%1."/>
      <w:lvlJc w:val="left"/>
      <w:pPr>
        <w:pStyle w:val="9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8"/>
      <w:isLgl w:val="false"/>
      <w:suff w:val="tab"/>
      <w:lvlText w:val="%1."/>
      <w:lvlJc w:val="left"/>
      <w:pPr>
        <w:pStyle w:val="912"/>
        <w:ind w:left="709" w:hanging="709"/>
        <w:tabs>
          <w:tab w:val="num" w:pos="709" w:leader="none"/>
        </w:tabs>
      </w:pPr>
      <w:rPr>
        <w:rFonts w:hint="eastAsia"/>
      </w:rPr>
    </w:lvl>
    <w:lvl w:ilvl="1">
      <w:start w:val="1"/>
      <w:numFmt w:val="decimal"/>
      <w:isLgl w:val="false"/>
      <w:suff w:val="tab"/>
      <w:lvlText w:val="%1.%2"/>
      <w:lvlJc w:val="left"/>
      <w:pPr>
        <w:pStyle w:val="912"/>
        <w:ind w:left="709" w:hanging="709"/>
        <w:tabs>
          <w:tab w:val="num" w:pos="709" w:leader="none"/>
        </w:tabs>
      </w:pPr>
      <w:rPr>
        <w:rFonts w:hint="eastAsia"/>
      </w:rPr>
    </w:lvl>
    <w:lvl w:ilvl="2">
      <w:start w:val="1"/>
      <w:numFmt w:val="decimal"/>
      <w:isLgl w:val="false"/>
      <w:suff w:val="tab"/>
      <w:lvlText w:val="%1.%2.%3."/>
      <w:lvlJc w:val="left"/>
      <w:pPr>
        <w:pStyle w:val="912"/>
        <w:ind w:left="425" w:hanging="425"/>
        <w:tabs>
          <w:tab w:val="num" w:pos="425" w:leader="none"/>
        </w:tabs>
      </w:pPr>
      <w:rPr>
        <w:rFonts w:hint="eastAsia"/>
      </w:rPr>
    </w:lvl>
    <w:lvl w:ilvl="3">
      <w:start w:val="1"/>
      <w:numFmt w:val="decimal"/>
      <w:isLgl w:val="false"/>
      <w:suff w:val="tab"/>
      <w:lvlText w:val="%1.%2.%3.%4."/>
      <w:lvlJc w:val="left"/>
      <w:pPr>
        <w:pStyle w:val="912"/>
        <w:ind w:left="851" w:hanging="851"/>
        <w:tabs>
          <w:tab w:val="num" w:pos="851" w:leader="none"/>
        </w:tabs>
      </w:pPr>
      <w:rPr>
        <w:rFonts w:hint="eastAsia"/>
      </w:rPr>
    </w:lvl>
    <w:lvl w:ilvl="4">
      <w:start w:val="1"/>
      <w:numFmt w:val="decimal"/>
      <w:isLgl w:val="false"/>
      <w:suff w:val="tab"/>
      <w:lvlText w:val="%1.%2.%3.%4.%5."/>
      <w:lvlJc w:val="left"/>
      <w:pPr>
        <w:pStyle w:val="912"/>
        <w:ind w:left="992" w:hanging="992"/>
        <w:tabs>
          <w:tab w:val="num" w:pos="992" w:leader="none"/>
        </w:tabs>
      </w:pPr>
      <w:rPr>
        <w:rFonts w:hint="eastAsia"/>
      </w:rPr>
    </w:lvl>
    <w:lvl w:ilvl="5">
      <w:start w:val="1"/>
      <w:numFmt w:val="decimal"/>
      <w:isLgl w:val="false"/>
      <w:suff w:val="tab"/>
      <w:lvlText w:val="%1.%2.%3.%4.%5.%6."/>
      <w:lvlJc w:val="left"/>
      <w:pPr>
        <w:pStyle w:val="912"/>
        <w:ind w:left="1134" w:hanging="1134"/>
        <w:tabs>
          <w:tab w:val="num" w:pos="1134" w:leader="none"/>
        </w:tabs>
      </w:pPr>
      <w:rPr>
        <w:rFonts w:hint="eastAsia"/>
      </w:rPr>
    </w:lvl>
    <w:lvl w:ilvl="6">
      <w:start w:val="1"/>
      <w:numFmt w:val="decimal"/>
      <w:isLgl w:val="false"/>
      <w:suff w:val="tab"/>
      <w:lvlText w:val="%1.%2.%3.%4.%5.%6.%7."/>
      <w:lvlJc w:val="left"/>
      <w:pPr>
        <w:pStyle w:val="912"/>
        <w:ind w:left="1276" w:hanging="1276"/>
        <w:tabs>
          <w:tab w:val="num" w:pos="1276" w:leader="none"/>
        </w:tabs>
      </w:pPr>
      <w:rPr>
        <w:rFonts w:hint="eastAsia"/>
      </w:rPr>
    </w:lvl>
    <w:lvl w:ilvl="7">
      <w:start w:val="1"/>
      <w:numFmt w:val="decimal"/>
      <w:isLgl w:val="false"/>
      <w:suff w:val="tab"/>
      <w:lvlText w:val="%1.%2.%3.%4.%5.%6.%7.%8."/>
      <w:lvlJc w:val="left"/>
      <w:pPr>
        <w:pStyle w:val="912"/>
        <w:ind w:left="1418" w:hanging="1418"/>
        <w:tabs>
          <w:tab w:val="num" w:pos="1418" w:leader="none"/>
        </w:tabs>
      </w:pPr>
      <w:rPr>
        <w:rFonts w:hint="eastAsia"/>
      </w:rPr>
    </w:lvl>
    <w:lvl w:ilvl="8">
      <w:start w:val="1"/>
      <w:numFmt w:val="decimal"/>
      <w:isLgl w:val="false"/>
      <w:suff w:val="tab"/>
      <w:lvlText w:val="%1.%2.%3.%4.%5.%6.%7.%8.%9."/>
      <w:lvlJc w:val="left"/>
      <w:pPr>
        <w:pStyle w:val="912"/>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912"/>
        <w:ind w:left="0" w:firstLine="0"/>
      </w:pPr>
      <w:rPr>
        <w:rFonts w:hint="eastAsia"/>
      </w:rPr>
    </w:lvl>
    <w:lvl w:ilvl="1">
      <w:start w:val="1"/>
      <w:numFmt w:val="decimal"/>
      <w:isLgl w:val="false"/>
      <w:suff w:val="nothing"/>
      <w:lvlText w:val="%2、"/>
      <w:lvlJc w:val="left"/>
      <w:pPr>
        <w:pStyle w:val="912"/>
        <w:ind w:left="0" w:firstLine="0"/>
      </w:pPr>
      <w:rPr>
        <w:rFonts w:hint="eastAsia"/>
      </w:rPr>
    </w:lvl>
    <w:lvl w:ilvl="2">
      <w:start w:val="1"/>
      <w:numFmt w:val="decimal"/>
      <w:isLgl w:val="false"/>
      <w:suff w:val="nothing"/>
      <w:lvlText w:val="%2.%3 "/>
      <w:lvlJc w:val="left"/>
      <w:pPr>
        <w:pStyle w:val="912"/>
        <w:ind w:left="0" w:firstLine="0"/>
      </w:pPr>
      <w:rPr>
        <w:rFonts w:hint="eastAsia"/>
      </w:rPr>
    </w:lvl>
    <w:lvl w:ilvl="3">
      <w:start w:val="1"/>
      <w:numFmt w:val="decimal"/>
      <w:isLgl w:val="false"/>
      <w:suff w:val="nothing"/>
      <w:lvlText w:val="%2.%3.%4 "/>
      <w:lvlJc w:val="left"/>
      <w:pPr>
        <w:pStyle w:val="912"/>
        <w:ind w:left="0" w:firstLine="0"/>
      </w:pPr>
      <w:rPr>
        <w:rFonts w:hint="eastAsia"/>
      </w:rPr>
    </w:lvl>
    <w:lvl w:ilvl="4">
      <w:start w:val="1"/>
      <w:numFmt w:val="decimal"/>
      <w:isLgl w:val="false"/>
      <w:suff w:val="nothing"/>
      <w:lvlText w:val="%2.%3.%4.%5 "/>
      <w:lvlJc w:val="left"/>
      <w:pPr>
        <w:pStyle w:val="912"/>
        <w:ind w:left="0" w:firstLine="0"/>
      </w:pPr>
      <w:rPr>
        <w:rFonts w:hint="eastAsia"/>
      </w:rPr>
    </w:lvl>
    <w:lvl w:ilvl="5">
      <w:start w:val="1"/>
      <w:numFmt w:val="decimal"/>
      <w:pStyle w:val="918"/>
      <w:isLgl w:val="false"/>
      <w:suff w:val="nothing"/>
      <w:lvlText w:val=""/>
      <w:lvlJc w:val="left"/>
      <w:pPr>
        <w:pStyle w:val="912"/>
        <w:ind w:left="0" w:firstLine="0"/>
      </w:pPr>
      <w:rPr>
        <w:rFonts w:hint="eastAsia"/>
      </w:rPr>
    </w:lvl>
    <w:lvl w:ilvl="6">
      <w:start w:val="1"/>
      <w:numFmt w:val="decimal"/>
      <w:pStyle w:val="919"/>
      <w:isLgl w:val="false"/>
      <w:suff w:val="nothing"/>
      <w:lvlText w:val=""/>
      <w:lvlJc w:val="left"/>
      <w:pPr>
        <w:pStyle w:val="912"/>
        <w:ind w:left="0" w:firstLine="0"/>
      </w:pPr>
      <w:rPr>
        <w:rFonts w:hint="eastAsia"/>
      </w:rPr>
    </w:lvl>
    <w:lvl w:ilvl="7">
      <w:start w:val="1"/>
      <w:numFmt w:val="decimal"/>
      <w:pStyle w:val="920"/>
      <w:isLgl w:val="false"/>
      <w:suff w:val="nothing"/>
      <w:lvlText w:val=""/>
      <w:lvlJc w:val="left"/>
      <w:pPr>
        <w:pStyle w:val="912"/>
        <w:ind w:left="0" w:firstLine="0"/>
      </w:pPr>
      <w:rPr>
        <w:rFonts w:hint="eastAsia"/>
      </w:rPr>
    </w:lvl>
    <w:lvl w:ilvl="8">
      <w:start w:val="1"/>
      <w:numFmt w:val="decimal"/>
      <w:pStyle w:val="921"/>
      <w:isLgl w:val="false"/>
      <w:suff w:val="nothing"/>
      <w:lvlText w:val=""/>
      <w:lvlJc w:val="left"/>
      <w:pPr>
        <w:pStyle w:val="912"/>
        <w:ind w:left="0" w:firstLine="0"/>
      </w:pPr>
      <w:rPr>
        <w:rFonts w:hint="eastAsia"/>
      </w:rPr>
    </w:lvl>
  </w:abstractNum>
  <w:abstractNum w:abstractNumId="12">
    <w:multiLevelType w:val="hybridMultilevel"/>
    <w:lvl w:ilvl="0">
      <w:start w:val="1"/>
      <w:numFmt w:val="decimal"/>
      <w:isLgl w:val="false"/>
      <w:suff w:val="tab"/>
      <w:lvlText w:val="%1."/>
      <w:lvlJc w:val="left"/>
      <w:pPr>
        <w:pStyle w:val="91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9"/>
  </w:num>
  <w:num w:numId="4">
    <w:abstractNumId w:val="1"/>
  </w:num>
  <w:num w:numId="5">
    <w:abstractNumId w:val="4"/>
  </w:num>
  <w:num w:numId="6">
    <w:abstractNumId w:val="10"/>
  </w:num>
  <w:num w:numId="7">
    <w:abstractNumId w:val="2"/>
  </w:num>
  <w:num w:numId="8">
    <w:abstractNumId w:val="6"/>
  </w:num>
  <w:num w:numId="9">
    <w:abstractNumId w:val="5"/>
  </w:num>
  <w:num w:numId="10">
    <w:abstractNumId w:val="0"/>
  </w:num>
  <w:num w:numId="11">
    <w:abstractNumId w:val="7"/>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24"/>
    <w:link w:val="912"/>
    <w:qFormat/>
    <w:pPr>
      <w:jc w:val="both"/>
      <w:widowControl w:val="off"/>
    </w:pPr>
    <w:rPr>
      <w:sz w:val="21"/>
      <w:szCs w:val="22"/>
      <w:lang w:val="en-US" w:eastAsia="zh-CN" w:bidi="ar-SA"/>
    </w:rPr>
  </w:style>
  <w:style w:type="paragraph" w:styleId="913">
    <w:name w:val="标题 1"/>
    <w:basedOn w:val="912"/>
    <w:next w:val="912"/>
    <w:link w:val="925"/>
    <w:qFormat/>
    <w:pPr>
      <w:jc w:val="center"/>
      <w:keepNext/>
      <w:outlineLvl w:val="0"/>
    </w:pPr>
    <w:rPr>
      <w:rFonts w:ascii="楷体_GB2312" w:hAnsi="Times New Roman" w:eastAsia="楷体_GB2312" w:cs="Times New Roman"/>
      <w:sz w:val="28"/>
      <w:szCs w:val="28"/>
    </w:rPr>
  </w:style>
  <w:style w:type="paragraph" w:styleId="914">
    <w:name w:val="标题 2"/>
    <w:basedOn w:val="912"/>
    <w:next w:val="927"/>
    <w:link w:val="926"/>
    <w:qFormat/>
    <w:pPr>
      <w:jc w:val="center"/>
      <w:keepLines/>
      <w:keepNext/>
      <w:spacing w:before="260" w:after="260" w:line="416" w:lineRule="auto"/>
      <w:outlineLvl w:val="1"/>
    </w:pPr>
    <w:rPr>
      <w:rFonts w:ascii="Arial" w:hAnsi="Arial" w:eastAsia="幼圆" w:cs="Arial"/>
      <w:b/>
      <w:bCs/>
      <w:sz w:val="44"/>
      <w:szCs w:val="44"/>
    </w:rPr>
  </w:style>
  <w:style w:type="paragraph" w:styleId="915">
    <w:name w:val="标题 3"/>
    <w:basedOn w:val="912"/>
    <w:next w:val="927"/>
    <w:link w:val="92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6">
    <w:name w:val="标题 4"/>
    <w:basedOn w:val="912"/>
    <w:next w:val="927"/>
    <w:link w:val="930"/>
    <w:qFormat/>
    <w:pPr>
      <w:keepLines/>
      <w:keepNext/>
      <w:spacing w:before="280" w:after="290" w:line="376" w:lineRule="auto"/>
      <w:outlineLvl w:val="3"/>
    </w:pPr>
    <w:rPr>
      <w:rFonts w:ascii="Arial" w:hAnsi="Arial" w:eastAsia="黑体" w:cs="Arial"/>
      <w:b/>
      <w:bCs/>
      <w:sz w:val="28"/>
      <w:szCs w:val="28"/>
    </w:rPr>
  </w:style>
  <w:style w:type="paragraph" w:styleId="917">
    <w:name w:val="标题 5"/>
    <w:basedOn w:val="912"/>
    <w:next w:val="927"/>
    <w:link w:val="931"/>
    <w:qFormat/>
    <w:pPr>
      <w:keepNext/>
      <w:outlineLvl w:val="4"/>
    </w:pPr>
    <w:rPr>
      <w:rFonts w:ascii="宋体" w:hAnsi="Times New Roman" w:eastAsia="宋体" w:cs="Times New Roman"/>
      <w:color w:val="000000"/>
      <w:sz w:val="28"/>
      <w:szCs w:val="28"/>
    </w:rPr>
  </w:style>
  <w:style w:type="paragraph" w:styleId="918">
    <w:name w:val="标题 6"/>
    <w:basedOn w:val="912"/>
    <w:next w:val="912"/>
    <w:link w:val="93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9">
    <w:name w:val="标题 7"/>
    <w:basedOn w:val="912"/>
    <w:next w:val="912"/>
    <w:link w:val="93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0">
    <w:name w:val="标题 8"/>
    <w:basedOn w:val="912"/>
    <w:next w:val="912"/>
    <w:link w:val="93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1">
    <w:name w:val="标题 9"/>
    <w:basedOn w:val="912"/>
    <w:next w:val="912"/>
    <w:link w:val="935"/>
    <w:qFormat/>
    <w:pPr>
      <w:numPr>
        <w:ilvl w:val="8"/>
        <w:numId w:val="1"/>
      </w:numPr>
      <w:keepLines/>
      <w:keepNext/>
      <w:spacing w:before="240" w:after="64" w:line="320" w:lineRule="auto"/>
      <w:outlineLvl w:val="8"/>
    </w:pPr>
    <w:rPr>
      <w:rFonts w:ascii="Arial" w:hAnsi="Arial" w:eastAsia="黑体" w:cs="Times New Roman"/>
      <w:szCs w:val="21"/>
    </w:rPr>
  </w:style>
  <w:style w:type="character" w:styleId="922">
    <w:name w:val="默认段落字体"/>
    <w:next w:val="922"/>
    <w:link w:val="912"/>
    <w:uiPriority w:val="1"/>
    <w:unhideWhenUsed/>
  </w:style>
  <w:style w:type="table" w:styleId="923">
    <w:name w:val="普通表格"/>
    <w:next w:val="923"/>
    <w:link w:val="912"/>
    <w:uiPriority w:val="99"/>
    <w:unhideWhenUsed/>
    <w:tblPr/>
  </w:style>
  <w:style w:type="paragraph" w:styleId="924">
    <w:name w:val="目录 1"/>
    <w:basedOn w:val="912"/>
    <w:next w:val="912"/>
    <w:link w:val="912"/>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925">
    <w:name w:val="标题 1 Char"/>
    <w:next w:val="925"/>
    <w:link w:val="913"/>
    <w:rPr>
      <w:rFonts w:ascii="楷体_GB2312" w:hAnsi="Times New Roman" w:eastAsia="楷体_GB2312" w:cs="Times New Roman"/>
      <w:sz w:val="28"/>
      <w:szCs w:val="28"/>
    </w:rPr>
  </w:style>
  <w:style w:type="character" w:styleId="926">
    <w:name w:val="标题 2 Char"/>
    <w:next w:val="926"/>
    <w:link w:val="914"/>
    <w:rPr>
      <w:rFonts w:ascii="Arial" w:hAnsi="Arial" w:eastAsia="幼圆" w:cs="Arial"/>
      <w:b/>
      <w:bCs/>
      <w:sz w:val="44"/>
      <w:szCs w:val="44"/>
    </w:rPr>
  </w:style>
  <w:style w:type="paragraph" w:styleId="927">
    <w:name w:val="正文缩进"/>
    <w:basedOn w:val="912"/>
    <w:next w:val="927"/>
    <w:link w:val="928"/>
    <w:pPr>
      <w:ind w:firstLine="420"/>
    </w:pPr>
    <w:rPr>
      <w:szCs w:val="21"/>
    </w:rPr>
  </w:style>
  <w:style w:type="character" w:styleId="928">
    <w:name w:val="正文缩进 Char"/>
    <w:next w:val="928"/>
    <w:link w:val="927"/>
    <w:rPr>
      <w:szCs w:val="21"/>
    </w:rPr>
  </w:style>
  <w:style w:type="character" w:styleId="929">
    <w:name w:val="标题 3 Char"/>
    <w:next w:val="929"/>
    <w:link w:val="915"/>
    <w:rPr>
      <w:rFonts w:ascii="Times New Roman" w:hAnsi="Times New Roman" w:eastAsia="宋体" w:cs="Times New Roman"/>
      <w:b/>
      <w:bCs/>
      <w:sz w:val="32"/>
      <w:szCs w:val="32"/>
    </w:rPr>
  </w:style>
  <w:style w:type="character" w:styleId="930">
    <w:name w:val="标题 4 Char"/>
    <w:next w:val="930"/>
    <w:link w:val="916"/>
    <w:rPr>
      <w:rFonts w:ascii="Arial" w:hAnsi="Arial" w:eastAsia="黑体" w:cs="Arial"/>
      <w:b/>
      <w:bCs/>
      <w:sz w:val="28"/>
      <w:szCs w:val="28"/>
    </w:rPr>
  </w:style>
  <w:style w:type="character" w:styleId="931">
    <w:name w:val="标题 5 Char"/>
    <w:next w:val="931"/>
    <w:link w:val="917"/>
    <w:rPr>
      <w:rFonts w:ascii="宋体" w:hAnsi="Times New Roman" w:eastAsia="宋体" w:cs="Times New Roman"/>
      <w:color w:val="000000"/>
      <w:sz w:val="28"/>
      <w:szCs w:val="28"/>
    </w:rPr>
  </w:style>
  <w:style w:type="character" w:styleId="932">
    <w:name w:val="标题 6 Char"/>
    <w:next w:val="932"/>
    <w:link w:val="918"/>
    <w:rPr>
      <w:rFonts w:ascii="Arial" w:hAnsi="Arial" w:eastAsia="黑体" w:cs="Times New Roman"/>
      <w:b/>
      <w:bCs/>
      <w:sz w:val="24"/>
      <w:szCs w:val="24"/>
    </w:rPr>
  </w:style>
  <w:style w:type="character" w:styleId="933">
    <w:name w:val="标题 7 Char"/>
    <w:next w:val="933"/>
    <w:link w:val="919"/>
    <w:rPr>
      <w:rFonts w:ascii="Times New Roman" w:hAnsi="Times New Roman" w:eastAsia="宋体" w:cs="Times New Roman"/>
      <w:b/>
      <w:bCs/>
      <w:sz w:val="24"/>
      <w:szCs w:val="24"/>
    </w:rPr>
  </w:style>
  <w:style w:type="character" w:styleId="934">
    <w:name w:val="标题 8 Char"/>
    <w:next w:val="934"/>
    <w:link w:val="920"/>
    <w:rPr>
      <w:rFonts w:ascii="Arial" w:hAnsi="Arial" w:eastAsia="黑体" w:cs="Times New Roman"/>
      <w:sz w:val="24"/>
      <w:szCs w:val="24"/>
    </w:rPr>
  </w:style>
  <w:style w:type="character" w:styleId="935">
    <w:name w:val="标题 9 Char"/>
    <w:next w:val="935"/>
    <w:link w:val="921"/>
    <w:rPr>
      <w:rFonts w:ascii="Arial" w:hAnsi="Arial" w:eastAsia="黑体" w:cs="Times New Roman"/>
      <w:szCs w:val="21"/>
    </w:rPr>
  </w:style>
  <w:style w:type="paragraph" w:styleId="936">
    <w:name w:val="列表 3"/>
    <w:basedOn w:val="912"/>
    <w:next w:val="936"/>
    <w:link w:val="912"/>
    <w:pPr>
      <w:ind w:left="100" w:hanging="200"/>
    </w:pPr>
    <w:rPr>
      <w:rFonts w:ascii="Times New Roman" w:hAnsi="Times New Roman" w:eastAsia="宋体" w:cs="Times New Roman"/>
      <w:szCs w:val="21"/>
    </w:rPr>
  </w:style>
  <w:style w:type="paragraph" w:styleId="937">
    <w:name w:val="目录 7"/>
    <w:basedOn w:val="912"/>
    <w:next w:val="912"/>
    <w:link w:val="912"/>
    <w:semiHidden/>
    <w:pPr>
      <w:ind w:left="1260"/>
      <w:jc w:val="left"/>
    </w:pPr>
    <w:rPr>
      <w:rFonts w:ascii="Times New Roman" w:hAnsi="Times New Roman" w:eastAsia="宋体" w:cs="Times New Roman"/>
      <w:szCs w:val="21"/>
    </w:rPr>
  </w:style>
  <w:style w:type="paragraph" w:styleId="938">
    <w:name w:val="文档结构图"/>
    <w:basedOn w:val="912"/>
    <w:next w:val="938"/>
    <w:link w:val="939"/>
    <w:semiHidden/>
    <w:pPr>
      <w:shd w:val="clear" w:color="auto" w:fill="000080"/>
    </w:pPr>
    <w:rPr>
      <w:rFonts w:ascii="Times New Roman" w:hAnsi="Times New Roman" w:eastAsia="宋体" w:cs="Times New Roman"/>
      <w:szCs w:val="21"/>
    </w:rPr>
  </w:style>
  <w:style w:type="character" w:styleId="939">
    <w:name w:val="文档结构图 Char"/>
    <w:next w:val="939"/>
    <w:link w:val="938"/>
    <w:semiHidden/>
    <w:rPr>
      <w:rFonts w:ascii="Times New Roman" w:hAnsi="Times New Roman" w:eastAsia="宋体" w:cs="Times New Roman"/>
      <w:szCs w:val="21"/>
      <w:shd w:val="clear" w:color="auto" w:fill="000080"/>
    </w:rPr>
  </w:style>
  <w:style w:type="paragraph" w:styleId="940">
    <w:name w:val="批注文字"/>
    <w:basedOn w:val="912"/>
    <w:next w:val="940"/>
    <w:link w:val="941"/>
    <w:unhideWhenUsed/>
    <w:pPr>
      <w:jc w:val="left"/>
    </w:pPr>
  </w:style>
  <w:style w:type="character" w:styleId="941">
    <w:name w:val="批注文字 Char"/>
    <w:next w:val="941"/>
    <w:link w:val="940"/>
    <w:uiPriority w:val="99"/>
    <w:semiHidden/>
  </w:style>
  <w:style w:type="paragraph" w:styleId="942">
    <w:name w:val="正文文本 3"/>
    <w:basedOn w:val="912"/>
    <w:next w:val="942"/>
    <w:link w:val="943"/>
    <w:rPr>
      <w:rFonts w:ascii="仿宋_GB2312" w:hAnsi="Arial" w:eastAsia="仿宋_GB2312" w:cs="Times New Roman"/>
      <w:sz w:val="32"/>
      <w:szCs w:val="32"/>
    </w:rPr>
  </w:style>
  <w:style w:type="character" w:styleId="943">
    <w:name w:val="正文文本 3 Char"/>
    <w:next w:val="943"/>
    <w:link w:val="942"/>
    <w:rPr>
      <w:rFonts w:ascii="仿宋_GB2312" w:hAnsi="Arial" w:eastAsia="仿宋_GB2312" w:cs="Times New Roman"/>
      <w:sz w:val="32"/>
      <w:szCs w:val="32"/>
    </w:rPr>
  </w:style>
  <w:style w:type="paragraph" w:styleId="944">
    <w:name w:val="正文文本"/>
    <w:basedOn w:val="912"/>
    <w:next w:val="944"/>
    <w:link w:val="945"/>
    <w:rPr>
      <w:rFonts w:ascii="楷体_GB2312" w:hAnsi="Arial" w:eastAsia="楷体_GB2312" w:cs="Times New Roman"/>
      <w:sz w:val="28"/>
      <w:szCs w:val="28"/>
    </w:rPr>
  </w:style>
  <w:style w:type="character" w:styleId="945">
    <w:name w:val="正文文本 Char"/>
    <w:next w:val="945"/>
    <w:link w:val="944"/>
    <w:rPr>
      <w:rFonts w:ascii="楷体_GB2312" w:hAnsi="Arial" w:eastAsia="楷体_GB2312" w:cs="Times New Roman"/>
      <w:sz w:val="28"/>
      <w:szCs w:val="28"/>
    </w:rPr>
  </w:style>
  <w:style w:type="paragraph" w:styleId="946">
    <w:name w:val="正文文本缩进"/>
    <w:basedOn w:val="912"/>
    <w:next w:val="946"/>
    <w:link w:val="947"/>
    <w:unhideWhenUsed/>
    <w:pPr>
      <w:ind w:left="420"/>
      <w:spacing w:after="120"/>
    </w:pPr>
  </w:style>
  <w:style w:type="character" w:styleId="947">
    <w:name w:val="正文文本缩进 Char"/>
    <w:next w:val="947"/>
    <w:link w:val="946"/>
    <w:uiPriority w:val="99"/>
    <w:semiHidden/>
  </w:style>
  <w:style w:type="paragraph" w:styleId="948">
    <w:name w:val="列表 2"/>
    <w:basedOn w:val="912"/>
    <w:next w:val="948"/>
    <w:link w:val="912"/>
    <w:pPr>
      <w:ind w:left="100" w:hanging="200"/>
    </w:pPr>
    <w:rPr>
      <w:rFonts w:ascii="Times New Roman" w:hAnsi="Times New Roman" w:eastAsia="宋体" w:cs="Times New Roman"/>
      <w:szCs w:val="21"/>
    </w:rPr>
  </w:style>
  <w:style w:type="paragraph" w:styleId="949">
    <w:name w:val="目录 5"/>
    <w:basedOn w:val="912"/>
    <w:next w:val="912"/>
    <w:link w:val="912"/>
    <w:semiHidden/>
    <w:pPr>
      <w:ind w:left="840"/>
      <w:jc w:val="left"/>
    </w:pPr>
    <w:rPr>
      <w:rFonts w:ascii="Times New Roman" w:hAnsi="Times New Roman" w:eastAsia="宋体" w:cs="Times New Roman"/>
      <w:szCs w:val="21"/>
    </w:rPr>
  </w:style>
  <w:style w:type="paragraph" w:styleId="950">
    <w:name w:val="目录 3"/>
    <w:basedOn w:val="912"/>
    <w:next w:val="912"/>
    <w:link w:val="912"/>
    <w:semiHidden/>
    <w:pPr>
      <w:ind w:left="420"/>
      <w:jc w:val="left"/>
    </w:pPr>
    <w:rPr>
      <w:rFonts w:ascii="Times New Roman" w:hAnsi="Times New Roman" w:eastAsia="宋体" w:cs="Times New Roman"/>
      <w:i/>
      <w:iCs/>
      <w:szCs w:val="24"/>
    </w:rPr>
  </w:style>
  <w:style w:type="paragraph" w:styleId="951">
    <w:name w:val="纯文本"/>
    <w:basedOn w:val="912"/>
    <w:next w:val="951"/>
    <w:link w:val="952"/>
    <w:qFormat/>
    <w:rPr>
      <w:rFonts w:ascii="宋体" w:hAnsi="Courier New" w:eastAsia="宋体" w:cs="Courier New"/>
      <w:szCs w:val="21"/>
    </w:rPr>
  </w:style>
  <w:style w:type="character" w:styleId="952">
    <w:name w:val="纯文本 Char"/>
    <w:next w:val="952"/>
    <w:link w:val="951"/>
    <w:rPr>
      <w:rFonts w:ascii="宋体" w:hAnsi="Courier New" w:eastAsia="宋体" w:cs="Courier New"/>
      <w:szCs w:val="21"/>
    </w:rPr>
  </w:style>
  <w:style w:type="paragraph" w:styleId="953">
    <w:name w:val="目录 8"/>
    <w:basedOn w:val="912"/>
    <w:next w:val="912"/>
    <w:link w:val="912"/>
    <w:semiHidden/>
    <w:pPr>
      <w:ind w:left="1470"/>
      <w:jc w:val="left"/>
    </w:pPr>
    <w:rPr>
      <w:rFonts w:ascii="Times New Roman" w:hAnsi="Times New Roman" w:eastAsia="宋体" w:cs="Times New Roman"/>
      <w:szCs w:val="21"/>
    </w:rPr>
  </w:style>
  <w:style w:type="paragraph" w:styleId="954">
    <w:name w:val="日期"/>
    <w:basedOn w:val="912"/>
    <w:next w:val="912"/>
    <w:link w:val="955"/>
    <w:rPr>
      <w:rFonts w:ascii="Times New Roman" w:hAnsi="Times New Roman" w:eastAsia="宋体" w:cs="Times New Roman"/>
      <w:sz w:val="24"/>
      <w:szCs w:val="24"/>
    </w:rPr>
  </w:style>
  <w:style w:type="character" w:styleId="955">
    <w:name w:val="日期 Char"/>
    <w:next w:val="955"/>
    <w:link w:val="954"/>
    <w:rPr>
      <w:rFonts w:ascii="Times New Roman" w:hAnsi="Times New Roman" w:eastAsia="宋体" w:cs="Times New Roman"/>
      <w:sz w:val="24"/>
      <w:szCs w:val="24"/>
    </w:rPr>
  </w:style>
  <w:style w:type="paragraph" w:styleId="956">
    <w:name w:val="正文文本缩进 2"/>
    <w:basedOn w:val="912"/>
    <w:next w:val="956"/>
    <w:link w:val="957"/>
    <w:pPr>
      <w:ind w:left="630" w:firstLine="645"/>
    </w:pPr>
    <w:rPr>
      <w:rFonts w:ascii="Arial" w:hAnsi="Arial" w:eastAsia="仿宋_GB2312" w:cs="Arial"/>
      <w:sz w:val="32"/>
      <w:szCs w:val="32"/>
    </w:rPr>
  </w:style>
  <w:style w:type="character" w:styleId="957">
    <w:name w:val="正文文本缩进 2 Char"/>
    <w:next w:val="957"/>
    <w:link w:val="956"/>
    <w:rPr>
      <w:rFonts w:ascii="Arial" w:hAnsi="Arial" w:eastAsia="仿宋_GB2312" w:cs="Arial"/>
      <w:sz w:val="32"/>
      <w:szCs w:val="32"/>
    </w:rPr>
  </w:style>
  <w:style w:type="paragraph" w:styleId="958">
    <w:name w:val="批注框文本"/>
    <w:basedOn w:val="912"/>
    <w:next w:val="958"/>
    <w:link w:val="959"/>
    <w:semiHidden/>
    <w:rPr>
      <w:rFonts w:ascii="Times New Roman" w:hAnsi="Times New Roman" w:eastAsia="宋体" w:cs="Times New Roman"/>
      <w:sz w:val="18"/>
      <w:szCs w:val="18"/>
    </w:rPr>
  </w:style>
  <w:style w:type="character" w:styleId="959">
    <w:name w:val="批注框文本 Char"/>
    <w:next w:val="959"/>
    <w:link w:val="958"/>
    <w:semiHidden/>
    <w:rPr>
      <w:rFonts w:ascii="Times New Roman" w:hAnsi="Times New Roman" w:eastAsia="宋体" w:cs="Times New Roman"/>
      <w:sz w:val="18"/>
      <w:szCs w:val="18"/>
    </w:rPr>
  </w:style>
  <w:style w:type="paragraph" w:styleId="960">
    <w:name w:val="页脚"/>
    <w:basedOn w:val="912"/>
    <w:next w:val="960"/>
    <w:link w:val="96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1">
    <w:name w:val="页脚 Char"/>
    <w:next w:val="961"/>
    <w:link w:val="960"/>
    <w:uiPriority w:val="99"/>
    <w:rPr>
      <w:rFonts w:ascii="Times New Roman" w:hAnsi="Times New Roman" w:eastAsia="宋体" w:cs="Times New Roman"/>
      <w:sz w:val="18"/>
      <w:szCs w:val="18"/>
    </w:rPr>
  </w:style>
  <w:style w:type="paragraph" w:styleId="962">
    <w:name w:val="页眉"/>
    <w:basedOn w:val="912"/>
    <w:next w:val="962"/>
    <w:link w:val="96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name w:val="页眉 Char"/>
    <w:next w:val="963"/>
    <w:link w:val="962"/>
    <w:rPr>
      <w:rFonts w:ascii="Times New Roman" w:hAnsi="Times New Roman" w:eastAsia="宋体" w:cs="Times New Roman"/>
      <w:sz w:val="18"/>
      <w:szCs w:val="18"/>
    </w:rPr>
  </w:style>
  <w:style w:type="paragraph" w:styleId="964">
    <w:name w:val="目录 4"/>
    <w:basedOn w:val="912"/>
    <w:next w:val="912"/>
    <w:link w:val="912"/>
    <w:semiHidden/>
    <w:pPr>
      <w:ind w:left="630"/>
      <w:jc w:val="left"/>
    </w:pPr>
    <w:rPr>
      <w:rFonts w:ascii="Times New Roman" w:hAnsi="Times New Roman" w:eastAsia="宋体" w:cs="Times New Roman"/>
      <w:szCs w:val="21"/>
    </w:rPr>
  </w:style>
  <w:style w:type="paragraph" w:styleId="965">
    <w:name w:val="列表"/>
    <w:basedOn w:val="912"/>
    <w:next w:val="965"/>
    <w:link w:val="912"/>
    <w:pPr>
      <w:ind w:left="200" w:hanging="200"/>
    </w:pPr>
    <w:rPr>
      <w:rFonts w:ascii="Times New Roman" w:hAnsi="Times New Roman" w:eastAsia="宋体" w:cs="Times New Roman"/>
      <w:szCs w:val="21"/>
    </w:rPr>
  </w:style>
  <w:style w:type="paragraph" w:styleId="966">
    <w:name w:val="目录 6"/>
    <w:basedOn w:val="912"/>
    <w:next w:val="912"/>
    <w:link w:val="912"/>
    <w:semiHidden/>
    <w:pPr>
      <w:ind w:left="1050"/>
      <w:jc w:val="left"/>
    </w:pPr>
    <w:rPr>
      <w:rFonts w:ascii="Times New Roman" w:hAnsi="Times New Roman" w:eastAsia="宋体" w:cs="Times New Roman"/>
      <w:szCs w:val="21"/>
    </w:rPr>
  </w:style>
  <w:style w:type="paragraph" w:styleId="967">
    <w:name w:val="正文文本缩进 3"/>
    <w:basedOn w:val="912"/>
    <w:next w:val="967"/>
    <w:link w:val="968"/>
    <w:pPr>
      <w:ind w:left="645" w:firstLine="645"/>
    </w:pPr>
    <w:rPr>
      <w:rFonts w:ascii="Arial" w:hAnsi="Arial" w:eastAsia="仿宋_GB2312" w:cs="Arial"/>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2"/>
    <w:next w:val="912"/>
    <w:link w:val="912"/>
    <w:semiHidden/>
    <w:pPr>
      <w:ind w:left="840" w:hanging="420"/>
    </w:pPr>
    <w:rPr>
      <w:rFonts w:ascii="Times New Roman" w:hAnsi="Times New Roman" w:eastAsia="宋体" w:cs="Times New Roman"/>
      <w:szCs w:val="21"/>
    </w:rPr>
  </w:style>
  <w:style w:type="paragraph" w:styleId="970">
    <w:name w:val="目录 2"/>
    <w:basedOn w:val="912"/>
    <w:next w:val="912"/>
    <w:link w:val="912"/>
    <w:semiHidden/>
    <w:pPr>
      <w:ind w:left="210"/>
      <w:jc w:val="left"/>
    </w:pPr>
    <w:rPr>
      <w:rFonts w:ascii="Times New Roman" w:hAnsi="Times New Roman" w:eastAsia="宋体" w:cs="Times New Roman"/>
      <w:smallCaps/>
      <w:szCs w:val="24"/>
    </w:rPr>
  </w:style>
  <w:style w:type="paragraph" w:styleId="971">
    <w:name w:val="目录 9"/>
    <w:basedOn w:val="912"/>
    <w:next w:val="912"/>
    <w:link w:val="912"/>
    <w:semiHidden/>
    <w:pPr>
      <w:ind w:left="1680"/>
      <w:jc w:val="left"/>
    </w:pPr>
    <w:rPr>
      <w:rFonts w:ascii="Times New Roman" w:hAnsi="Times New Roman" w:eastAsia="宋体" w:cs="Times New Roman"/>
      <w:szCs w:val="21"/>
    </w:rPr>
  </w:style>
  <w:style w:type="paragraph" w:styleId="972">
    <w:name w:val="正文文本 2"/>
    <w:basedOn w:val="912"/>
    <w:next w:val="972"/>
    <w:link w:val="973"/>
    <w:pPr>
      <w:jc w:val="center"/>
      <w:widowControl/>
    </w:pPr>
    <w:rPr>
      <w:rFonts w:ascii="楷体_GB2312" w:hAnsi="Times New Roman" w:eastAsia="楷体_GB2312" w:cs="Times New Roman"/>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2"/>
    <w:next w:val="974"/>
    <w:link w:val="912"/>
    <w:uiPriority w:val="99"/>
    <w:pPr>
      <w:jc w:val="left"/>
      <w:spacing w:before="100" w:beforeAutospacing="1" w:after="100" w:afterAutospacing="1"/>
      <w:widowControl/>
    </w:pPr>
    <w:rPr>
      <w:rFonts w:ascii="宋体" w:hAnsi="宋体" w:eastAsia="宋体" w:cs="宋体"/>
      <w:sz w:val="24"/>
      <w:szCs w:val="24"/>
    </w:rPr>
  </w:style>
  <w:style w:type="paragraph" w:styleId="975">
    <w:name w:val="索引 1"/>
    <w:basedOn w:val="912"/>
    <w:next w:val="912"/>
    <w:link w:val="912"/>
    <w:semiHidden/>
    <w:pPr>
      <w:spacing w:line="240" w:lineRule="atLeast"/>
    </w:pPr>
    <w:rPr>
      <w:rFonts w:ascii="Times New Roman" w:hAnsi="Times New Roman" w:eastAsia="宋体" w:cs="Times New Roman"/>
      <w:b/>
      <w:bCs/>
      <w:szCs w:val="21"/>
    </w:rPr>
  </w:style>
  <w:style w:type="paragraph" w:styleId="976">
    <w:name w:val="批注主题"/>
    <w:basedOn w:val="940"/>
    <w:next w:val="940"/>
    <w:link w:val="977"/>
    <w:semiHidden/>
    <w:rPr>
      <w:rFonts w:ascii="Times New Roman" w:hAnsi="Times New Roman" w:eastAsia="宋体" w:cs="Times New Roman"/>
      <w:b/>
      <w:bCs/>
      <w:szCs w:val="21"/>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12"/>
    <w:next w:val="978"/>
    <w:link w:val="979"/>
    <w:pPr>
      <w:ind w:firstLine="200"/>
      <w:spacing w:line="360" w:lineRule="auto"/>
    </w:pPr>
    <w:rPr>
      <w:rFonts w:ascii="仿宋_GB2312" w:hAnsi="Times New Roman" w:eastAsia="仿宋_GB2312" w:cs="Times New Roman"/>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6"/>
    <w:next w:val="980"/>
    <w:link w:val="981"/>
    <w:pPr>
      <w:ind w:left="0" w:firstLine="420"/>
      <w:spacing w:after="0" w:line="360" w:lineRule="auto"/>
    </w:pPr>
    <w:rPr>
      <w:rFonts w:ascii="宋体" w:hAnsi="宋体" w:eastAsia="宋体" w:cs="Times New Roman"/>
      <w:szCs w:val="20"/>
    </w:rPr>
  </w:style>
  <w:style w:type="character" w:styleId="981">
    <w:name w:val="正文首行缩进 2 Char"/>
    <w:next w:val="981"/>
    <w:link w:val="980"/>
    <w:rPr>
      <w:rFonts w:ascii="宋体" w:hAnsi="宋体" w:eastAsia="宋体" w:cs="Times New Roman"/>
      <w:szCs w:val="20"/>
    </w:rPr>
  </w:style>
  <w:style w:type="table" w:styleId="982">
    <w:name w:val="网格型"/>
    <w:basedOn w:val="923"/>
    <w:next w:val="982"/>
    <w:link w:val="912"/>
    <w:pPr>
      <w:jc w:val="both"/>
      <w:widowControl w:val="off"/>
    </w:pPr>
    <w:rPr>
      <w:rFonts w:ascii="Times New Roman" w:hAnsi="Times New Roman" w:eastAsia="宋体" w:cs="Times New Roman"/>
      <w:sz w:val="20"/>
      <w:szCs w:val="20"/>
    </w:rPr>
    <w:tblPr/>
  </w:style>
  <w:style w:type="character" w:styleId="983">
    <w:name w:val="要点"/>
    <w:next w:val="983"/>
    <w:link w:val="912"/>
    <w:qFormat/>
    <w:rPr>
      <w:b/>
      <w:bCs/>
    </w:rPr>
  </w:style>
  <w:style w:type="character" w:styleId="984">
    <w:name w:val="页码"/>
    <w:next w:val="984"/>
    <w:link w:val="912"/>
  </w:style>
  <w:style w:type="character" w:styleId="985">
    <w:name w:val="已访问的超链接"/>
    <w:next w:val="985"/>
    <w:link w:val="912"/>
    <w:rPr>
      <w:color w:val="800080"/>
      <w:u w:val="single"/>
    </w:rPr>
  </w:style>
  <w:style w:type="character" w:styleId="986">
    <w:name w:val="强调"/>
    <w:basedOn w:val="922"/>
    <w:next w:val="986"/>
    <w:link w:val="912"/>
    <w:qFormat/>
    <w:rPr>
      <w:i/>
    </w:rPr>
  </w:style>
  <w:style w:type="character" w:styleId="987">
    <w:name w:val="超链接"/>
    <w:next w:val="987"/>
    <w:link w:val="912"/>
    <w:rPr>
      <w:color w:val="0000ff"/>
      <w:u w:val="single"/>
    </w:rPr>
  </w:style>
  <w:style w:type="character" w:styleId="988">
    <w:name w:val="批注引用"/>
    <w:next w:val="988"/>
    <w:link w:val="912"/>
    <w:semiHidden/>
    <w:rPr>
      <w:sz w:val="21"/>
      <w:szCs w:val="21"/>
    </w:rPr>
  </w:style>
  <w:style w:type="character" w:styleId="989">
    <w:name w:val="font5 Char"/>
    <w:next w:val="989"/>
    <w:link w:val="912"/>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12"/>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2"/>
    <w:next w:val="993"/>
    <w:link w:val="992"/>
    <w:qFormat/>
    <w:pPr>
      <w:contextualSpacing/>
      <w:ind w:left="720"/>
      <w:jc w:val="left"/>
      <w:widowControl/>
    </w:pPr>
    <w:rPr>
      <w:rFonts w:ascii="Calibri" w:hAnsi="Calibri"/>
      <w:sz w:val="24"/>
      <w:szCs w:val="24"/>
      <w:lang w:eastAsia="en-US" w:bidi="en-US"/>
    </w:rPr>
  </w:style>
  <w:style w:type="paragraph" w:styleId="994">
    <w:name w:val="Body Text(ch)"/>
    <w:basedOn w:val="912"/>
    <w:next w:val="944"/>
    <w:link w:val="912"/>
    <w:pPr>
      <w:spacing w:after="120"/>
    </w:pPr>
    <w:rPr>
      <w:rFonts w:ascii="宋体" w:hAnsi="Arial" w:eastAsia="宋体" w:cs="Times New Roman"/>
      <w:bCs/>
      <w:iCs/>
      <w:szCs w:val="24"/>
    </w:rPr>
  </w:style>
  <w:style w:type="paragraph" w:styleId="995">
    <w:name w:val="xl27"/>
    <w:basedOn w:val="912"/>
    <w:next w:val="995"/>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6"/>
    <w:basedOn w:val="912"/>
    <w:next w:val="996"/>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Char"/>
    <w:basedOn w:val="912"/>
    <w:next w:val="997"/>
    <w:link w:val="912"/>
    <w:pPr>
      <w:ind w:firstLine="200"/>
      <w:tabs>
        <w:tab w:val="left" w:pos="360" w:leader="none"/>
      </w:tabs>
    </w:pPr>
    <w:rPr>
      <w:rFonts w:ascii="Times New Roman" w:hAnsi="Times New Roman" w:eastAsia="宋体" w:cs="Times New Roman"/>
      <w:sz w:val="28"/>
      <w:szCs w:val="30"/>
    </w:rPr>
  </w:style>
  <w:style w:type="paragraph" w:styleId="998">
    <w:name w:val=" Char"/>
    <w:basedOn w:val="938"/>
    <w:next w:val="998"/>
    <w:link w:val="912"/>
    <w:rPr>
      <w:rFonts w:ascii="Tahoma" w:hAnsi="Tahoma"/>
      <w:sz w:val="24"/>
      <w:szCs w:val="24"/>
    </w:rPr>
  </w:style>
  <w:style w:type="paragraph" w:styleId="999">
    <w:name w:val="普通正文"/>
    <w:basedOn w:val="912"/>
    <w:next w:val="999"/>
    <w:link w:val="912"/>
    <w:pPr>
      <w:ind w:firstLine="480"/>
      <w:jc w:val="left"/>
      <w:spacing w:before="120" w:after="120" w:line="360" w:lineRule="auto"/>
    </w:pPr>
    <w:rPr>
      <w:rFonts w:ascii="Arial" w:hAnsi="Arial" w:eastAsia="宋体" w:cs="Times New Roman"/>
      <w:sz w:val="24"/>
      <w:szCs w:val="24"/>
    </w:rPr>
  </w:style>
  <w:style w:type="paragraph" w:styleId="1000">
    <w:name w:val="table_lines"/>
    <w:basedOn w:val="912"/>
    <w:next w:val="1000"/>
    <w:link w:val="912"/>
    <w:pPr>
      <w:jc w:val="left"/>
      <w:widowControl/>
    </w:pPr>
    <w:rPr>
      <w:rFonts w:ascii="Times New Roman" w:hAnsi="Times New Roman" w:eastAsia="宋体" w:cs="Times New Roman"/>
      <w:sz w:val="20"/>
      <w:szCs w:val="20"/>
      <w:lang w:val="de-DE" w:eastAsia="de-DE"/>
    </w:rPr>
  </w:style>
  <w:style w:type="paragraph" w:styleId="1001">
    <w:name w:val="附录1"/>
    <w:next w:val="1001"/>
    <w:link w:val="91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2"/>
    <w:next w:val="1002"/>
    <w:link w:val="912"/>
    <w:pPr>
      <w:jc w:val="left"/>
      <w:spacing w:before="100" w:beforeAutospacing="1" w:after="100" w:afterAutospacing="1"/>
      <w:widowControl/>
    </w:pPr>
    <w:rPr>
      <w:rFonts w:hint="eastAsia" w:ascii="宋体" w:hAnsi="宋体" w:eastAsia="宋体" w:cs="Times New Roman"/>
      <w:sz w:val="18"/>
      <w:szCs w:val="18"/>
    </w:rPr>
  </w:style>
  <w:style w:type="paragraph" w:styleId="1003">
    <w:name w:val=" Char Char Char Char"/>
    <w:basedOn w:val="938"/>
    <w:next w:val="1003"/>
    <w:link w:val="912"/>
    <w:pPr>
      <w:spacing w:line="360" w:lineRule="auto"/>
    </w:pPr>
    <w:rPr>
      <w:rFonts w:ascii="Tahoma" w:hAnsi="Tahoma"/>
      <w:sz w:val="24"/>
      <w:szCs w:val="24"/>
    </w:rPr>
  </w:style>
  <w:style w:type="paragraph" w:styleId="1004">
    <w:name w:val="列出段落"/>
    <w:basedOn w:val="912"/>
    <w:next w:val="1004"/>
    <w:link w:val="912"/>
    <w:qFormat/>
    <w:pPr>
      <w:contextualSpacing/>
      <w:ind w:left="720"/>
      <w:jc w:val="left"/>
      <w:widowControl/>
    </w:pPr>
    <w:rPr>
      <w:rFonts w:ascii="Calibri" w:hAnsi="Calibri" w:eastAsia="宋体" w:cs="Times New Roman"/>
      <w:sz w:val="24"/>
      <w:szCs w:val="24"/>
      <w:lang w:eastAsia="en-US" w:bidi="en-US"/>
    </w:rPr>
  </w:style>
  <w:style w:type="paragraph" w:styleId="1005">
    <w:name w:val="4"/>
    <w:basedOn w:val="912"/>
    <w:next w:val="967"/>
    <w:link w:val="912"/>
    <w:pPr>
      <w:ind w:firstLine="420"/>
      <w:spacing w:line="360" w:lineRule="auto"/>
    </w:pPr>
    <w:rPr>
      <w:rFonts w:ascii="Times New Roman" w:hAnsi="Times New Roman" w:eastAsia="宋体" w:cs="Times New Roman"/>
      <w:color w:val="ff0000"/>
      <w:sz w:val="24"/>
      <w:szCs w:val="24"/>
    </w:rPr>
  </w:style>
  <w:style w:type="paragraph" w:styleId="1006">
    <w:name w:val="普通 (Web)"/>
    <w:basedOn w:val="912"/>
    <w:next w:val="1006"/>
    <w:link w:val="912"/>
    <w:pPr>
      <w:jc w:val="left"/>
      <w:spacing w:before="100" w:beforeAutospacing="1" w:after="100" w:afterAutospacing="1"/>
      <w:widowControl/>
    </w:pPr>
    <w:rPr>
      <w:rFonts w:ascii="宋体" w:hAnsi="宋体" w:eastAsia="宋体" w:cs="Times New Roman"/>
      <w:sz w:val="24"/>
      <w:szCs w:val="24"/>
    </w:rPr>
  </w:style>
  <w:style w:type="paragraph" w:styleId="1007">
    <w:name w:val=" Char Char Char Char Char Char Char Char Char Char"/>
    <w:basedOn w:val="912"/>
    <w:next w:val="1007"/>
    <w:link w:val="912"/>
    <w:pPr>
      <w:spacing w:line="360" w:lineRule="auto"/>
    </w:pPr>
    <w:rPr>
      <w:rFonts w:ascii="Times New Roman" w:hAnsi="Times New Roman" w:eastAsia="宋体" w:cs="Times New Roman"/>
      <w:sz w:val="24"/>
      <w:szCs w:val="20"/>
    </w:rPr>
  </w:style>
  <w:style w:type="paragraph" w:styleId="1008">
    <w:name w:val="样式1"/>
    <w:basedOn w:val="912"/>
    <w:next w:val="1008"/>
    <w:link w:val="912"/>
    <w:pPr>
      <w:numPr>
        <w:ilvl w:val="0"/>
        <w:numId w:val="3"/>
      </w:numPr>
      <w:tabs>
        <w:tab w:val="left" w:pos="709" w:leader="none"/>
      </w:tabs>
    </w:pPr>
    <w:rPr>
      <w:rFonts w:ascii="宋体" w:hAnsi="宋体" w:eastAsia="宋体" w:cs="Times New Roman"/>
      <w:szCs w:val="21"/>
    </w:rPr>
  </w:style>
  <w:style w:type="paragraph" w:styleId="1009">
    <w:name w:val="font6"/>
    <w:basedOn w:val="912"/>
    <w:next w:val="1009"/>
    <w:link w:val="912"/>
    <w:pPr>
      <w:jc w:val="left"/>
      <w:spacing w:before="100" w:beforeAutospacing="1" w:after="100" w:afterAutospacing="1"/>
      <w:widowControl/>
    </w:pPr>
    <w:rPr>
      <w:rFonts w:hint="eastAsia" w:ascii="宋体" w:hAnsi="宋体" w:eastAsia="宋体" w:cs="Times New Roman"/>
      <w:sz w:val="28"/>
      <w:szCs w:val="28"/>
      <w:u w:val="single"/>
    </w:rPr>
  </w:style>
  <w:style w:type="paragraph" w:styleId="1010">
    <w:name w:val="xl25"/>
    <w:basedOn w:val="912"/>
    <w:next w:val="1010"/>
    <w:link w:val="9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12"/>
    <w:next w:val="912"/>
    <w:link w:val="91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2">
    <w:name w:val="标题3"/>
    <w:basedOn w:val="912"/>
    <w:next w:val="912"/>
    <w:link w:val="912"/>
    <w:pPr>
      <w:ind w:firstLine="624"/>
      <w:spacing w:line="590" w:lineRule="atLeast"/>
    </w:pPr>
    <w:rPr>
      <w:rFonts w:ascii="方正黑体_GBK" w:hAnsi="Times New Roman" w:eastAsia="方正黑体_GBK" w:cs="Times New Roman"/>
      <w:sz w:val="32"/>
      <w:szCs w:val="32"/>
    </w:rPr>
  </w:style>
  <w:style w:type="paragraph" w:styleId="1013">
    <w:name w:val="xl24"/>
    <w:basedOn w:val="912"/>
    <w:next w:val="1013"/>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name w:val="xl29"/>
    <w:basedOn w:val="912"/>
    <w:next w:val="1014"/>
    <w:link w:val="91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5">
    <w:name w:val="Char Char Char Char Char Char Char Char"/>
    <w:basedOn w:val="912"/>
    <w:next w:val="1015"/>
    <w:link w:val="912"/>
    <w:pPr>
      <w:jc w:val="left"/>
      <w:spacing w:after="160" w:line="240" w:lineRule="exact"/>
      <w:widowControl/>
    </w:pPr>
    <w:rPr>
      <w:rFonts w:ascii="Verdana" w:hAnsi="Verdana" w:eastAsia="宋体" w:cs="Times New Roman"/>
      <w:sz w:val="20"/>
      <w:szCs w:val="20"/>
      <w:lang w:eastAsia="en-US"/>
    </w:rPr>
  </w:style>
  <w:style w:type="paragraph" w:styleId="1016">
    <w:name w:val="xl28"/>
    <w:basedOn w:val="912"/>
    <w:next w:val="1016"/>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7">
    <w:name w:val=" Char Char Char Char Char Char Char Char"/>
    <w:basedOn w:val="912"/>
    <w:next w:val="1017"/>
    <w:link w:val="912"/>
    <w:pPr>
      <w:jc w:val="left"/>
      <w:spacing w:after="160" w:line="240" w:lineRule="exact"/>
      <w:widowControl/>
    </w:pPr>
    <w:rPr>
      <w:rFonts w:ascii="Verdana" w:hAnsi="Verdana" w:eastAsia="宋体" w:cs="Times New Roman"/>
      <w:sz w:val="20"/>
      <w:szCs w:val="20"/>
      <w:lang w:eastAsia="en-US"/>
    </w:rPr>
  </w:style>
  <w:style w:type="paragraph" w:styleId="1018">
    <w:name w:val="xl30"/>
    <w:basedOn w:val="912"/>
    <w:next w:val="1018"/>
    <w:link w:val="912"/>
    <w:pPr>
      <w:jc w:val="center"/>
      <w:spacing w:before="100" w:beforeAutospacing="1" w:after="100" w:afterAutospacing="1"/>
      <w:widowControl/>
    </w:pPr>
    <w:rPr>
      <w:rFonts w:ascii="宋体" w:hAnsi="宋体" w:eastAsia="宋体" w:cs="Times New Roman"/>
      <w:b/>
      <w:bCs/>
      <w:sz w:val="36"/>
      <w:szCs w:val="36"/>
    </w:rPr>
  </w:style>
  <w:style w:type="paragraph" w:styleId="1019">
    <w:name w:val="Char Char Char Char"/>
    <w:basedOn w:val="938"/>
    <w:next w:val="1019"/>
    <w:link w:val="912"/>
    <w:pPr>
      <w:spacing w:line="360" w:lineRule="auto"/>
    </w:pPr>
    <w:rPr>
      <w:rFonts w:ascii="Tahoma" w:hAnsi="Tahoma"/>
      <w:sz w:val="24"/>
      <w:szCs w:val="24"/>
    </w:rPr>
  </w:style>
  <w:style w:type="paragraph" w:styleId="1020">
    <w:name w:val="table_1stline"/>
    <w:basedOn w:val="912"/>
    <w:next w:val="1020"/>
    <w:link w:val="912"/>
    <w:pPr>
      <w:jc w:val="left"/>
      <w:spacing w:before="120"/>
      <w:widowControl/>
    </w:pPr>
    <w:rPr>
      <w:rFonts w:ascii="Times New Roman" w:hAnsi="Times New Roman" w:eastAsia="宋体" w:cs="Times New Roman"/>
      <w:bCs/>
      <w:sz w:val="20"/>
      <w:szCs w:val="20"/>
      <w:lang w:val="de-DE" w:eastAsia="de-DE"/>
    </w:rPr>
  </w:style>
  <w:style w:type="paragraph" w:styleId="1021">
    <w:name w:val="font5"/>
    <w:basedOn w:val="912"/>
    <w:next w:val="1021"/>
    <w:link w:val="912"/>
    <w:pPr>
      <w:jc w:val="left"/>
      <w:spacing w:before="100" w:beforeAutospacing="1" w:after="100" w:afterAutospacing="1"/>
      <w:widowControl/>
    </w:pPr>
    <w:rPr>
      <w:rFonts w:hint="eastAsia" w:ascii="宋体" w:hAnsi="宋体" w:eastAsia="宋体" w:cs="Times New Roman"/>
      <w:sz w:val="28"/>
      <w:szCs w:val="28"/>
    </w:rPr>
  </w:style>
  <w:style w:type="paragraph" w:styleId="1022">
    <w:name w:val="标题1"/>
    <w:basedOn w:val="912"/>
    <w:next w:val="912"/>
    <w:link w:val="91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3">
    <w:name w:val="修订"/>
    <w:next w:val="1023"/>
    <w:link w:val="912"/>
    <w:uiPriority w:val="99"/>
    <w:semiHidden/>
    <w:rPr>
      <w:rFonts w:ascii="Times New Roman" w:hAnsi="Times New Roman"/>
      <w:sz w:val="21"/>
      <w:szCs w:val="21"/>
      <w:lang w:val="en-US" w:eastAsia="zh-CN" w:bidi="ar-SA"/>
    </w:rPr>
  </w:style>
  <w:style w:type="paragraph" w:styleId="1024">
    <w:name w:val="无间隔"/>
    <w:next w:val="1024"/>
    <w:link w:val="912"/>
    <w:uiPriority w:val="99"/>
    <w:qFormat/>
    <w:pPr>
      <w:jc w:val="both"/>
      <w:widowControl w:val="off"/>
    </w:pPr>
    <w:rPr>
      <w:rFonts w:ascii="Times New Roman" w:hAnsi="Times New Roman"/>
      <w:sz w:val="21"/>
      <w:szCs w:val="21"/>
      <w:lang w:val="en-US" w:eastAsia="zh-CN" w:bidi="ar-SA"/>
    </w:rPr>
  </w:style>
  <w:style w:type="paragraph" w:styleId="1025">
    <w:name w:val="AONormal"/>
    <w:next w:val="1025"/>
    <w:link w:val="912"/>
    <w:qFormat/>
    <w:pPr>
      <w:ind w:firstLine="440"/>
      <w:spacing w:line="400" w:lineRule="exact"/>
    </w:pPr>
    <w:rPr>
      <w:rFonts w:ascii="华文楷体" w:hAnsi="华文楷体" w:eastAsia="华文楷体" w:cs="华文楷体"/>
      <w:sz w:val="22"/>
      <w:szCs w:val="21"/>
      <w:lang w:val="en-US" w:eastAsia="zh-CN" w:bidi="ar-SA"/>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6</cp:revision>
  <dcterms:created xsi:type="dcterms:W3CDTF">2023-03-27T07:28:00Z</dcterms:created>
  <dcterms:modified xsi:type="dcterms:W3CDTF">2026-08-31T08:58:04Z</dcterms:modified>
</cp:coreProperties>
</file>