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default" w:ascii="宋体" w:hAnsi="宋体" w:eastAsia="宋体"/>
          <w:b/>
          <w:color w:val="auto"/>
          <w:sz w:val="15"/>
          <w:szCs w:val="15"/>
          <w:highlight w:val="none"/>
          <w:lang w:val="en-US" w:eastAsia="zh-CN"/>
        </w:rPr>
      </w:pPr>
      <w:r/>
      <w:bookmarkStart w:id="20" w:name="_GoBack"/>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both"/>
        <w:spacing w:line="360" w:lineRule="auto"/>
        <w:rPr>
          <w:rFonts w:hint="eastAsia" w:ascii="宋体" w:hAnsi="宋体"/>
          <w:color w:val="auto"/>
          <w:highlight w:val="none"/>
        </w:rPr>
      </w:pPr>
      <w:r>
        <w:rPr>
          <w:rFonts w:hint="eastAsia" w:ascii="宋体" w:hAnsi="宋体"/>
          <w:color w:val="auto"/>
          <w:highlight w:val="none"/>
        </w:rPr>
      </w:r>
      <w:r/>
    </w:p>
    <w:p>
      <w:pPr>
        <w:spacing w:line="360" w:lineRule="auto"/>
        <w:tabs>
          <w:tab w:val="left" w:pos="3570" w:leader="none"/>
        </w:tabs>
        <w:rPr>
          <w:rFonts w:ascii="宋体" w:hAnsi="宋体"/>
          <w:color w:val="auto"/>
          <w:highlight w:val="none"/>
        </w:rPr>
      </w:pPr>
      <w:r>
        <w:rPr>
          <w:rFonts w:ascii="宋体" w:hAnsi="宋体"/>
          <w:color w:val="auto"/>
          <w:highlight w:val="none"/>
        </w:rPr>
      </w:r>
      <w:r/>
    </w:p>
    <w:p>
      <w:pPr>
        <w:pStyle w:val="953"/>
        <w:ind w:left="0" w:firstLine="0"/>
        <w:rPr>
          <w:rFonts w:hint="eastAsia"/>
          <w:color w:val="auto"/>
          <w:highlight w:val="none"/>
        </w:rPr>
      </w:pPr>
      <w:r>
        <w:rPr>
          <w:rFonts w:hint="eastAsia"/>
          <w:color w:val="auto"/>
          <w:highlight w:val="none"/>
        </w:rPr>
      </w:r>
      <w:r/>
    </w:p>
    <w:p>
      <w:pPr>
        <w:jc w:val="both"/>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606"/>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：JSZC-320585-ZFXM-G2026-0009</w:t>
      </w:r>
      <w:r/>
    </w:p>
    <w:p>
      <w:pPr>
        <w:ind w:firstLine="1606"/>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：2026年警务通通讯服务</w:t>
      </w:r>
      <w:r/>
    </w:p>
    <w:p>
      <w:pPr>
        <w:ind w:firstLine="1606"/>
        <w:spacing w:line="360" w:lineRule="auto"/>
        <w:rPr>
          <w:rFonts w:hint="eastAsia" w:ascii="宋体" w:hAnsi="宋体" w:eastAsia="宋体" w:cs="Times New Roman"/>
          <w:b/>
          <w:color w:val="auto"/>
          <w:sz w:val="32"/>
          <w:szCs w:val="32"/>
          <w:highlight w:val="none"/>
          <w:lang w:eastAsia="zh-CN"/>
        </w:rPr>
      </w:pPr>
      <w:r>
        <w:rPr>
          <w:rFonts w:hint="eastAsia" w:ascii="宋体" w:hAnsi="宋体"/>
          <w:b/>
          <w:color w:val="auto"/>
          <w:sz w:val="32"/>
          <w:szCs w:val="32"/>
          <w:highlight w:val="none"/>
        </w:rPr>
        <w:t xml:space="preserve">采购单</w:t>
      </w:r>
      <w:r>
        <w:rPr>
          <w:rFonts w:hint="eastAsia" w:ascii="宋体" w:hAnsi="宋体" w:eastAsia="宋体" w:cs="Times New Roman"/>
          <w:b/>
          <w:color w:val="auto"/>
          <w:sz w:val="32"/>
          <w:szCs w:val="32"/>
          <w:highlight w:val="none"/>
          <w:lang w:eastAsia="zh-CN"/>
        </w:rPr>
        <w:t xml:space="preserve">位</w:t>
      </w:r>
      <w:r>
        <w:rPr>
          <w:rFonts w:hint="eastAsia" w:ascii="宋体" w:hAnsi="宋体"/>
          <w:b/>
          <w:color w:val="auto"/>
          <w:sz w:val="32"/>
          <w:szCs w:val="32"/>
          <w:highlight w:val="none"/>
          <w:lang w:eastAsia="zh-CN"/>
        </w:rPr>
        <w:t xml:space="preserve">：</w:t>
      </w:r>
      <w:r>
        <w:rPr>
          <w:rFonts w:hint="eastAsia" w:ascii="宋体" w:hAnsi="宋体" w:eastAsia="宋体" w:cs="Times New Roman"/>
          <w:b/>
          <w:color w:val="auto"/>
          <w:sz w:val="32"/>
          <w:szCs w:val="32"/>
          <w:highlight w:val="none"/>
          <w:lang w:eastAsia="zh-CN"/>
        </w:rPr>
        <w:t xml:space="preserve">太仓市公安局</w:t>
      </w:r>
      <w:r/>
    </w:p>
    <w:p>
      <w:pPr>
        <w:ind w:firstLine="1606"/>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w:t>
      </w:r>
      <w:r>
        <w:rPr>
          <w:rFonts w:hint="eastAsia" w:ascii="宋体" w:hAnsi="宋体"/>
          <w:b/>
          <w:color w:val="auto"/>
          <w:sz w:val="32"/>
          <w:szCs w:val="32"/>
          <w:highlight w:val="none"/>
          <w:lang w:eastAsia="zh-CN"/>
        </w:rPr>
        <w:t xml:space="preserve">服务</w:t>
      </w:r>
      <w:r>
        <w:rPr>
          <w:rFonts w:hint="eastAsia" w:ascii="宋体" w:hAnsi="宋体"/>
          <w:b/>
          <w:color w:val="auto"/>
          <w:sz w:val="32"/>
          <w:szCs w:val="32"/>
          <w:highlight w:val="none"/>
        </w:rPr>
        <w:t xml:space="preserve">类</w:t>
      </w:r>
      <w:r/>
    </w:p>
    <w:p>
      <w:pPr>
        <w:ind w:firstLine="1606"/>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标的所属行业：</w:t>
      </w:r>
      <w:r>
        <w:rPr>
          <w:rFonts w:hint="eastAsia" w:ascii="宋体" w:hAnsi="宋体" w:cs="Times New Roman"/>
          <w:b/>
          <w:color w:val="auto"/>
          <w:sz w:val="32"/>
          <w:szCs w:val="32"/>
          <w:highlight w:val="none"/>
          <w:lang w:eastAsia="zh-CN"/>
        </w:rPr>
        <w:t xml:space="preserve">（十二）软件和信息技术服务业</w:t>
      </w:r>
      <w:r>
        <w:rPr>
          <w:rFonts w:hint="eastAsia" w:ascii="宋体" w:hAnsi="宋体"/>
          <w:b/>
          <w:color w:val="auto"/>
          <w:sz w:val="32"/>
          <w:szCs w:val="32"/>
          <w:highlight w:val="none"/>
        </w:rPr>
        <w:t xml:space="preserve"> </w:t>
      </w:r>
      <w:r/>
    </w:p>
    <w:p>
      <w:pPr>
        <w:spacing w:line="360" w:lineRule="auto"/>
        <w:rPr>
          <w:rFonts w:hint="eastAsia" w:ascii="宋体" w:hAnsi="宋体" w:eastAsia="宋体" w:cs="Times New Roman"/>
          <w:b/>
          <w:color w:val="auto"/>
          <w:sz w:val="36"/>
          <w:szCs w:val="36"/>
          <w:highlight w:val="none"/>
          <w:lang w:eastAsia="zh-CN"/>
        </w:rPr>
      </w:pPr>
      <w:r>
        <w:rPr>
          <w:rFonts w:hint="eastAsia" w:ascii="宋体" w:hAnsi="宋体" w:eastAsia="宋体" w:cs="Times New Roman"/>
          <w:b/>
          <w:color w:val="auto"/>
          <w:sz w:val="36"/>
          <w:szCs w:val="36"/>
          <w:highlight w:val="none"/>
          <w:lang w:eastAsia="zh-CN"/>
        </w:rPr>
      </w:r>
      <w:r/>
    </w:p>
    <w:p>
      <w:pPr>
        <w:pStyle w:val="918"/>
        <w:rPr>
          <w:rFonts w:hint="eastAsia" w:ascii="宋体" w:hAnsi="宋体"/>
          <w:color w:val="auto"/>
          <w:highlight w:val="none"/>
        </w:rPr>
      </w:pPr>
      <w:r>
        <w:rPr>
          <w:rFonts w:hint="eastAsia" w:ascii="宋体" w:hAnsi="宋体"/>
          <w:color w:val="auto"/>
          <w:highlight w:val="none"/>
        </w:rPr>
      </w:r>
      <w:r/>
    </w:p>
    <w:p>
      <w:pPr>
        <w:pStyle w:val="914"/>
        <w:rPr>
          <w:rFonts w:hint="eastAsia"/>
          <w:color w:val="auto"/>
          <w:highlight w:val="none"/>
        </w:rPr>
      </w:pPr>
      <w:r>
        <w:rPr>
          <w:rFonts w:hint="eastAsia"/>
          <w:color w:val="auto"/>
          <w:highlight w:val="none"/>
        </w:rPr>
      </w:r>
      <w:r/>
    </w:p>
    <w:p>
      <w:pPr>
        <w:jc w:val="center"/>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eastAsia="zh-CN"/>
        </w:rPr>
        <w:t xml:space="preserve">江苏兆丰项目管理有限公司</w:t>
      </w:r>
      <w:r/>
    </w:p>
    <w:p>
      <w:pPr>
        <w:jc w:val="center"/>
        <w:spacing w:line="360" w:lineRule="auto"/>
        <w:rPr>
          <w:rFonts w:hint="eastAsia" w:ascii="宋体" w:hAnsi="宋体"/>
          <w:b/>
          <w:color w:val="auto"/>
          <w:sz w:val="30"/>
          <w:szCs w:val="30"/>
          <w:highlight w:val="none"/>
        </w:rPr>
      </w:pPr>
      <w:r>
        <w:rPr>
          <w:rFonts w:hint="eastAsia" w:ascii="宋体" w:hAnsi="宋体"/>
          <w:b/>
          <w:color w:val="auto"/>
          <w:sz w:val="32"/>
          <w:szCs w:val="32"/>
          <w:highlight w:val="none"/>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月</w:t>
      </w:r>
      <w:r>
        <w:rPr>
          <w:rFonts w:hint="eastAsia" w:ascii="宋体" w:hAnsi="宋体"/>
          <w:b/>
          <w:color w:val="auto"/>
          <w:sz w:val="30"/>
          <w:szCs w:val="30"/>
          <w:highlight w:val="none"/>
        </w:rPr>
        <w:br w:type="page" w:clear="all"/>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第一部分：招标公告</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第二部分：投标人须知</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第三部分：项目需求</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第四部分：投标文件格式</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第五部分：评标方法与评标标准</w:t>
      </w:r>
      <w:r/>
    </w:p>
    <w:p>
      <w:pPr>
        <w:rPr>
          <w:rFonts w:hint="eastAsia" w:ascii="宋体"/>
          <w:color w:val="auto"/>
          <w:sz w:val="30"/>
          <w:szCs w:val="30"/>
          <w:highlight w:val="none"/>
        </w:rPr>
      </w:pPr>
      <w:r>
        <w:rPr>
          <w:rFonts w:hint="eastAsia" w:ascii="宋体"/>
          <w:color w:val="auto"/>
          <w:sz w:val="30"/>
          <w:szCs w:val="30"/>
          <w:highlight w:val="none"/>
        </w:rPr>
        <w:t xml:space="preserve">第六部分：合同主要条款</w:t>
      </w:r>
      <w:r/>
    </w:p>
    <w:p>
      <w:pPr>
        <w:jc w:val="center"/>
        <w:rPr>
          <w:rFonts w:hint="eastAsia" w:hAnsi="宋体" w:eastAsia="宋体"/>
          <w:b/>
          <w:color w:val="auto"/>
          <w:sz w:val="32"/>
          <w:szCs w:val="32"/>
          <w:highlight w:val="none"/>
        </w:rPr>
      </w:pPr>
      <w:r>
        <w:rPr>
          <w:rFonts w:hint="eastAsia" w:ascii="宋体"/>
          <w:color w:val="auto"/>
          <w:sz w:val="30"/>
          <w:szCs w:val="30"/>
          <w:highlight w:val="none"/>
        </w:rPr>
        <w:br w:type="page" w:clear="all"/>
      </w:r>
      <w:bookmarkStart w:id="1" w:name="_Toc315868049"/>
      <w:r/>
      <w:bookmarkStart w:id="2" w:name="_Toc467507028"/>
      <w:r/>
      <w:bookmarkStart w:id="3" w:name="_Toc315875312"/>
      <w:r>
        <w:rPr>
          <w:rFonts w:hint="eastAsia" w:ascii="宋体" w:hAnsi="宋体" w:eastAsia="宋体"/>
          <w:b/>
          <w:color w:val="auto"/>
          <w:sz w:val="32"/>
          <w:szCs w:val="32"/>
          <w:highlight w:val="none"/>
          <w:lang w:val="en-US" w:eastAsia="zh-CN" w:bidi="ar-SA"/>
        </w:rPr>
        <w:t xml:space="preserve">第一部分 </w:t>
      </w:r>
      <w:r>
        <w:rPr>
          <w:rFonts w:hAnsi="宋体" w:eastAsia="宋体"/>
          <w:b/>
          <w:color w:val="auto"/>
          <w:sz w:val="32"/>
          <w:szCs w:val="32"/>
          <w:highlight w:val="none"/>
        </w:rPr>
        <w:t xml:space="preserve"> </w:t>
      </w:r>
      <w:r>
        <w:rPr>
          <w:rFonts w:hint="eastAsia" w:hAnsi="宋体" w:eastAsia="宋体"/>
          <w:b/>
          <w:color w:val="auto"/>
          <w:sz w:val="32"/>
          <w:szCs w:val="32"/>
          <w:highlight w:val="none"/>
        </w:rPr>
        <w:t xml:space="preserve">招标公告</w:t>
      </w:r>
      <w:bookmarkEnd w:id="0"/>
      <w:r/>
      <w:bookmarkEnd w:id="1"/>
      <w:r/>
      <w:bookmarkEnd w:id="2"/>
      <w:r/>
      <w:bookmarkEnd w:id="3"/>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bookmarkStart w:id="4" w:name="_Toc158691767"/>
      <w:r/>
      <w:bookmarkStart w:id="5" w:name="_Toc315868051"/>
      <w:r/>
      <w:bookmarkStart w:id="6" w:name="_Toc315875314"/>
      <w:r/>
      <w:bookmarkStart w:id="7" w:name="_Toc467507030"/>
      <w:r>
        <w:rPr>
          <w:rFonts w:hint="eastAsia" w:ascii="宋体" w:hAnsi="宋体" w:cs="宋体"/>
          <w:color w:val="auto"/>
          <w:sz w:val="21"/>
          <w:szCs w:val="21"/>
          <w:highlight w:val="none"/>
          <w:u w:val="single"/>
          <w:lang w:eastAsia="zh-CN"/>
        </w:rPr>
        <w:t xml:space="preserve">2026年警务通通讯服务</w:t>
      </w:r>
      <w:r>
        <w:rPr>
          <w:rFonts w:hint="eastAsia" w:ascii="宋体" w:hAnsi="宋体" w:cs="宋体"/>
          <w:color w:val="auto"/>
          <w:sz w:val="21"/>
          <w:szCs w:val="21"/>
          <w:highlight w:val="none"/>
          <w:u w:val="single"/>
          <w:lang w:val="en-US" w:eastAsia="zh-CN"/>
        </w:rPr>
        <w:t xml:space="preserve">JSZC-320585-ZFXM-G2026-0009</w:t>
      </w:r>
      <w:r>
        <w:rPr>
          <w:rFonts w:hint="eastAsia" w:ascii="宋体" w:hAnsi="宋体" w:eastAsia="宋体" w:cs="宋体"/>
          <w:color w:val="auto"/>
          <w:sz w:val="21"/>
          <w:szCs w:val="21"/>
          <w:highlight w:val="none"/>
          <w:u w:val="single"/>
          <w:lang w:val="en-US" w:eastAsia="zh-CN"/>
        </w:rPr>
        <w:t xml:space="preserve">招标项目</w:t>
      </w:r>
      <w:r>
        <w:rPr>
          <w:rFonts w:hint="eastAsia" w:ascii="宋体" w:hAnsi="宋体" w:eastAsia="宋体" w:cs="宋体"/>
          <w:color w:val="auto"/>
          <w:sz w:val="21"/>
          <w:szCs w:val="21"/>
          <w:highlight w:val="none"/>
        </w:rPr>
        <w:t xml:space="preserve">的潜在投标人应在苏采云政府采购一体化平台获取招标文件，并于</w:t>
      </w:r>
      <w:r>
        <w:rPr>
          <w:rFonts w:hint="eastAsia" w:ascii="宋体" w:hAnsi="宋体" w:eastAsia="宋体" w:cs="宋体"/>
          <w:b/>
          <w:bCs/>
          <w:color w:val="auto"/>
          <w:sz w:val="21"/>
          <w:szCs w:val="21"/>
          <w:highlight w:val="none"/>
          <w:u w:val="single"/>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rPr>
        <w:t xml:space="preserve">年</w:t>
      </w:r>
      <w:r>
        <w:rPr>
          <w:rFonts w:hint="eastAsia" w:ascii="宋体" w:hAnsi="宋体" w:cs="宋体"/>
          <w:b/>
          <w:bCs/>
          <w:color w:val="auto"/>
          <w:sz w:val="21"/>
          <w:szCs w:val="21"/>
          <w:highlight w:val="none"/>
          <w:u w:val="single"/>
          <w:lang w:val="en-US" w:eastAsia="zh-CN"/>
        </w:rPr>
        <w:t xml:space="preserve">9月17日09:30</w:t>
      </w:r>
      <w:r>
        <w:rPr>
          <w:rFonts w:hint="eastAsia" w:ascii="宋体" w:hAnsi="宋体" w:eastAsia="宋体" w:cs="宋体"/>
          <w:color w:val="auto"/>
          <w:sz w:val="21"/>
          <w:szCs w:val="21"/>
          <w:highlight w:val="none"/>
        </w:rPr>
        <w:t xml:space="preserve">（北京时间）前</w:t>
      </w:r>
      <w:r>
        <w:rPr>
          <w:rFonts w:hint="eastAsia" w:ascii="宋体" w:hAnsi="宋体" w:eastAsia="宋体" w:cs="宋体"/>
          <w:color w:val="auto"/>
          <w:sz w:val="21"/>
          <w:szCs w:val="21"/>
          <w:highlight w:val="none"/>
          <w:lang w:val="en-US" w:eastAsia="zh-CN"/>
        </w:rPr>
        <w:t xml:space="preserve">递交投标文件</w:t>
      </w:r>
      <w:r>
        <w:rPr>
          <w:rFonts w:hint="eastAsia" w:ascii="宋体" w:hAnsi="宋体" w:eastAsia="宋体" w:cs="宋体"/>
          <w:color w:val="auto"/>
          <w:sz w:val="21"/>
          <w:szCs w:val="21"/>
          <w:highlight w:val="none"/>
        </w:rPr>
        <w:t xml:space="preserve">。</w:t>
      </w:r>
      <w:r/>
    </w:p>
    <w:p>
      <w:pPr>
        <w:pStyle w:val="898"/>
        <w:ind w:firstLine="422"/>
        <w:jc w:val="both"/>
        <w:keepLines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一、项目基本情况</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JSZC-320585-ZFXM-G2026-0009</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2026年警务通通讯服务</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eastAsia="zh-CN"/>
        </w:rPr>
        <w:t xml:space="preserve">236.700000</w:t>
      </w:r>
      <w:r>
        <w:rPr>
          <w:rFonts w:hint="eastAsia" w:ascii="宋体" w:hAnsi="宋体" w:eastAsia="宋体" w:cs="宋体"/>
          <w:color w:val="auto"/>
          <w:sz w:val="21"/>
          <w:szCs w:val="21"/>
          <w:highlight w:val="none"/>
          <w:lang w:eastAsia="zh-CN"/>
        </w:rPr>
        <w:t xml:space="preserve">万元，（采购包1：</w:t>
      </w:r>
      <w:r>
        <w:rPr>
          <w:rFonts w:hint="eastAsia" w:ascii="宋体" w:hAnsi="宋体" w:cs="宋体"/>
          <w:color w:val="auto"/>
          <w:sz w:val="21"/>
          <w:szCs w:val="21"/>
          <w:highlight w:val="none"/>
          <w:lang w:eastAsia="zh-CN"/>
        </w:rPr>
        <w:t xml:space="preserve">182.500000</w:t>
      </w:r>
      <w:r>
        <w:rPr>
          <w:rFonts w:hint="eastAsia" w:ascii="宋体" w:hAnsi="宋体" w:eastAsia="宋体" w:cs="宋体"/>
          <w:color w:val="auto"/>
          <w:sz w:val="21"/>
          <w:szCs w:val="21"/>
          <w:highlight w:val="none"/>
          <w:lang w:eastAsia="zh-CN"/>
        </w:rPr>
        <w:t xml:space="preserve">万元；采购包2：</w:t>
      </w:r>
      <w:r>
        <w:rPr>
          <w:rFonts w:hint="eastAsia" w:ascii="宋体" w:hAnsi="宋体" w:cs="宋体"/>
          <w:color w:val="auto"/>
          <w:sz w:val="21"/>
          <w:szCs w:val="21"/>
          <w:highlight w:val="none"/>
          <w:lang w:eastAsia="zh-CN"/>
        </w:rPr>
        <w:t xml:space="preserve">54.2</w:t>
      </w:r>
      <w:r>
        <w:rPr>
          <w:rFonts w:hint="eastAsia" w:ascii="宋体" w:hAnsi="宋体" w:eastAsia="宋体" w:cs="宋体"/>
          <w:color w:val="auto"/>
          <w:sz w:val="21"/>
          <w:szCs w:val="21"/>
          <w:highlight w:val="none"/>
          <w:lang w:eastAsia="zh-CN"/>
        </w:rPr>
        <w:t xml:space="preserve">00000万元）</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不得超过</w:t>
      </w:r>
      <w:r>
        <w:rPr>
          <w:rFonts w:hint="eastAsia" w:ascii="宋体" w:hAnsi="宋体" w:eastAsia="宋体" w:cs="宋体"/>
          <w:color w:val="auto"/>
          <w:sz w:val="21"/>
          <w:szCs w:val="21"/>
          <w:highlight w:val="none"/>
          <w:lang w:val="en-US" w:eastAsia="zh-CN"/>
        </w:rPr>
        <w:t xml:space="preserve">单价最高限价</w:t>
      </w:r>
      <w:r>
        <w:rPr>
          <w:rFonts w:hint="eastAsia" w:ascii="宋体" w:hAnsi="宋体" w:cs="宋体"/>
          <w:color w:val="auto"/>
          <w:sz w:val="21"/>
          <w:szCs w:val="21"/>
          <w:highlight w:val="none"/>
          <w:lang w:val="en-US" w:eastAsia="zh-CN"/>
        </w:rPr>
        <w:t xml:space="preserve">，详见采购需求</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采购方式：公开招标 </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r>
        <w:rPr>
          <w:rFonts w:hint="eastAsia" w:ascii="宋体" w:hAnsi="宋体" w:cs="宋体"/>
          <w:color w:val="auto"/>
          <w:sz w:val="21"/>
          <w:szCs w:val="21"/>
          <w:highlight w:val="none"/>
          <w:lang w:val="en-US" w:eastAsia="zh-CN"/>
        </w:rPr>
        <w:t xml:space="preserve">太仓市公安局2026</w:t>
      </w:r>
      <w:r>
        <w:rPr>
          <w:rFonts w:hint="eastAsia" w:ascii="宋体" w:hAnsi="宋体" w:eastAsia="宋体" w:cs="宋体"/>
          <w:color w:val="auto"/>
          <w:sz w:val="21"/>
          <w:szCs w:val="21"/>
          <w:highlight w:val="none"/>
          <w:lang w:eastAsia="zh-CN"/>
        </w:rPr>
        <w:t xml:space="preserve">年警务通通讯服</w:t>
      </w:r>
      <w:r>
        <w:rPr>
          <w:rFonts w:hint="eastAsia" w:ascii="宋体" w:hAnsi="宋体" w:cs="宋体"/>
          <w:color w:val="auto"/>
          <w:sz w:val="21"/>
          <w:szCs w:val="21"/>
          <w:highlight w:val="none"/>
          <w:lang w:val="en-US" w:eastAsia="zh-CN"/>
        </w:rPr>
        <w:t xml:space="preserve">务</w:t>
      </w:r>
      <w:r>
        <w:rPr>
          <w:rFonts w:hint="eastAsia" w:ascii="宋体" w:hAnsi="宋体" w:eastAsia="宋体" w:cs="宋体"/>
          <w:color w:val="auto"/>
          <w:sz w:val="21"/>
          <w:szCs w:val="21"/>
          <w:highlight w:val="none"/>
          <w:lang w:eastAsia="zh-CN"/>
        </w:rPr>
        <w:t xml:space="preserve">。本项目共分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个采购包，各采购包划分情况见下表：</w:t>
      </w:r>
      <w:r/>
    </w:p>
    <w:p>
      <w:pPr>
        <w:ind w:firstLine="422"/>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采购包1</w:t>
      </w:r>
      <w:r>
        <w:rPr>
          <w:rFonts w:hint="eastAsia" w:ascii="宋体" w:hAnsi="宋体" w:eastAsia="宋体" w:cs="Times New Roman"/>
          <w:b/>
          <w:color w:val="auto"/>
          <w:sz w:val="21"/>
          <w:szCs w:val="21"/>
          <w:highlight w:val="none"/>
        </w:rPr>
        <w:t xml:space="preserve">：</w:t>
      </w:r>
      <w:r/>
    </w:p>
    <w:tbl>
      <w:tblPr>
        <w:tblStyle w:val="907"/>
        <w:tblW w:w="8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365"/>
        <w:gridCol w:w="4269"/>
        <w:gridCol w:w="1100"/>
        <w:gridCol w:w="1293"/>
      </w:tblGrid>
      <w:tr>
        <w:trPr>
          <w:jc w:val="center"/>
          <w:trHeight w:val="437"/>
        </w:trPr>
        <w:tc>
          <w:tcPr>
            <w:tcW w:w="685"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序号</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名称</w:t>
            </w:r>
            <w:r/>
          </w:p>
        </w:tc>
        <w:tc>
          <w:tcPr>
            <w:tcW w:w="426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规格、要求</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rPr>
              <w:t xml:space="preserve">单价</w:t>
            </w:r>
            <w:r>
              <w:rPr>
                <w:rFonts w:hint="eastAsia" w:ascii="宋体" w:hAnsi="宋体" w:eastAsia="宋体" w:cs="Times New Roman"/>
                <w:bCs/>
                <w:color w:val="auto"/>
                <w:sz w:val="21"/>
                <w:szCs w:val="21"/>
                <w:highlight w:val="none"/>
                <w:lang w:val="en-US" w:eastAsia="zh-CN"/>
              </w:rPr>
              <w:t xml:space="preserve">限价</w:t>
            </w:r>
            <w:r/>
          </w:p>
        </w:tc>
        <w:tc>
          <w:tcPr>
            <w:tcW w:w="129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备注</w:t>
            </w:r>
            <w:r/>
          </w:p>
        </w:tc>
      </w:tr>
      <w:tr>
        <w:trPr>
          <w:jc w:val="center"/>
          <w:trHeight w:val="1720"/>
        </w:trPr>
        <w:tc>
          <w:tcPr>
            <w:tcW w:w="6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bCs/>
                <w:color w:val="auto"/>
                <w:sz w:val="21"/>
                <w:szCs w:val="21"/>
                <w:highlight w:val="none"/>
              </w:rPr>
              <w:suppressLineNumbers w:val="0"/>
            </w:pPr>
            <w:r>
              <w:rPr>
                <w:rFonts w:hint="default" w:ascii="宋体" w:hAnsi="宋体" w:eastAsia="宋体" w:cs="Times New Roman"/>
                <w:color w:val="auto"/>
                <w:sz w:val="21"/>
                <w:szCs w:val="21"/>
                <w:highlight w:val="none"/>
              </w:rPr>
              <w:t xml:space="preserve">民警警务通通讯服务</w:t>
            </w:r>
            <w:r/>
          </w:p>
        </w:tc>
        <w:tc>
          <w:tcPr>
            <w:tcW w:w="4269"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1000</w:t>
            </w:r>
            <w:r>
              <w:rPr>
                <w:rFonts w:hint="eastAsia" w:ascii="宋体" w:hAnsi="宋体" w:eastAsia="宋体" w:cs="Times New Roman"/>
                <w:color w:val="auto"/>
                <w:sz w:val="21"/>
                <w:szCs w:val="21"/>
                <w:highlight w:val="none"/>
              </w:rPr>
              <w:t xml:space="preserve">分钟国内主叫通话，叠加</w:t>
            </w:r>
            <w:r>
              <w:rPr>
                <w:rFonts w:hint="default" w:ascii="宋体" w:hAnsi="宋体" w:eastAsia="宋体" w:cs="Times New Roman"/>
                <w:color w:val="auto"/>
                <w:sz w:val="21"/>
                <w:szCs w:val="21"/>
                <w:highlight w:val="none"/>
              </w:rPr>
              <w:t xml:space="preserve">2000</w:t>
            </w:r>
            <w:r>
              <w:rPr>
                <w:rFonts w:hint="eastAsia" w:ascii="宋体" w:hAnsi="宋体" w:eastAsia="宋体" w:cs="Times New Roman"/>
                <w:color w:val="auto"/>
                <w:sz w:val="21"/>
                <w:szCs w:val="21"/>
                <w:highlight w:val="none"/>
              </w:rPr>
              <w:t xml:space="preserve">分钟语音通话</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lang w:eastAsia="zh-CN"/>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2500分钟公安集团网通话</w:t>
            </w:r>
            <w:r/>
          </w:p>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）全国通用流量</w:t>
            </w:r>
            <w:r>
              <w:rPr>
                <w:rFonts w:hint="eastAsia" w:ascii="宋体" w:hAnsi="宋体" w:eastAsia="宋体" w:cs="Times New Roman"/>
                <w:color w:val="auto"/>
                <w:sz w:val="21"/>
                <w:szCs w:val="21"/>
                <w:highlight w:val="none"/>
                <w:lang w:val="en-US" w:eastAsia="zh-CN"/>
              </w:rPr>
              <w:t xml:space="preserve">100</w:t>
            </w:r>
            <w:r>
              <w:rPr>
                <w:rFonts w:hint="default" w:ascii="宋体" w:hAnsi="宋体" w:eastAsia="宋体" w:cs="Times New Roman"/>
                <w:color w:val="auto"/>
                <w:sz w:val="21"/>
                <w:szCs w:val="21"/>
                <w:highlight w:val="none"/>
              </w:rPr>
              <w:t xml:space="preserve">G</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60</w:t>
            </w:r>
            <w:r>
              <w:rPr>
                <w:rFonts w:hint="default" w:ascii="宋体" w:hAnsi="宋体" w:eastAsia="宋体" w:cs="Times New Roman"/>
                <w:color w:val="auto"/>
                <w:sz w:val="21"/>
                <w:szCs w:val="21"/>
                <w:highlight w:val="none"/>
              </w:rPr>
              <w:t xml:space="preserve">G</w:t>
            </w:r>
            <w:r>
              <w:rPr>
                <w:rFonts w:hint="eastAsia" w:ascii="宋体" w:hAnsi="宋体" w:eastAsia="宋体" w:cs="Times New Roman"/>
                <w:color w:val="auto"/>
                <w:sz w:val="21"/>
                <w:szCs w:val="21"/>
                <w:highlight w:val="none"/>
              </w:rPr>
              <w:t xml:space="preserve">区域流量</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lang w:val="en-US" w:eastAsia="zh-CN"/>
              </w:rPr>
              <w:t xml:space="preserve">100</w:t>
            </w:r>
            <w:r>
              <w:rPr>
                <w:rFonts w:hint="eastAsia" w:ascii="宋体" w:hAnsi="宋体" w:eastAsia="宋体" w:cs="Times New Roman"/>
                <w:color w:val="auto"/>
                <w:sz w:val="21"/>
                <w:szCs w:val="21"/>
                <w:highlight w:val="none"/>
              </w:rPr>
              <w:t xml:space="preserve">元/户/月</w:t>
            </w:r>
            <w:r/>
          </w:p>
        </w:tc>
        <w:tc>
          <w:tcPr>
            <w:tcW w:w="129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color w:val="auto"/>
                <w:sz w:val="21"/>
                <w:szCs w:val="21"/>
                <w:highlight w:val="none"/>
                <w:lang w:val="en-US" w:eastAsia="zh-CN"/>
              </w:rPr>
              <w:suppressLineNumbers w:val="0"/>
            </w:pPr>
            <w:r>
              <w:rPr>
                <w:rFonts w:hint="eastAsia" w:ascii="宋体" w:hAnsi="宋体" w:eastAsia="宋体" w:cs="Times New Roman"/>
                <w:color w:val="auto"/>
                <w:sz w:val="21"/>
                <w:szCs w:val="21"/>
                <w:highlight w:val="none"/>
                <w:lang w:eastAsia="zh-CN"/>
              </w:rPr>
              <w:t xml:space="preserve">以单价报价（元/户/月）</w:t>
            </w:r>
            <w:r>
              <w:rPr>
                <w:rFonts w:hint="eastAsia" w:ascii="宋体" w:hAnsi="宋体" w:eastAsia="宋体" w:cs="Times New Roman"/>
                <w:color w:val="auto"/>
                <w:sz w:val="21"/>
                <w:szCs w:val="21"/>
                <w:highlight w:val="none"/>
              </w:rPr>
              <w:t xml:space="preserve">，按实结算。</w:t>
            </w:r>
            <w:r/>
          </w:p>
        </w:tc>
      </w:tr>
      <w:tr>
        <w:trPr>
          <w:jc w:val="center"/>
          <w:trHeight w:val="873"/>
        </w:trPr>
        <w:tc>
          <w:tcPr>
            <w:tcW w:w="6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2</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bCs/>
                <w:color w:val="auto"/>
                <w:sz w:val="21"/>
                <w:szCs w:val="21"/>
                <w:highlight w:val="none"/>
              </w:rPr>
              <w:t xml:space="preserve">辅警警务通通讯服务</w:t>
            </w:r>
            <w:r/>
          </w:p>
        </w:tc>
        <w:tc>
          <w:tcPr>
            <w:tcW w:w="4269"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200</w:t>
            </w:r>
            <w:r>
              <w:rPr>
                <w:rFonts w:hint="eastAsia" w:ascii="宋体" w:hAnsi="宋体" w:eastAsia="宋体" w:cs="Times New Roman"/>
                <w:color w:val="auto"/>
                <w:sz w:val="21"/>
                <w:szCs w:val="21"/>
                <w:highlight w:val="none"/>
              </w:rPr>
              <w:t xml:space="preserve">分钟国内主叫通话，叠加</w:t>
            </w:r>
            <w:r>
              <w:rPr>
                <w:rFonts w:hint="default" w:ascii="宋体" w:hAnsi="宋体" w:eastAsia="宋体" w:cs="Times New Roman"/>
                <w:color w:val="auto"/>
                <w:sz w:val="21"/>
                <w:szCs w:val="21"/>
                <w:highlight w:val="none"/>
              </w:rPr>
              <w:t xml:space="preserve">2000</w:t>
            </w:r>
            <w:r>
              <w:rPr>
                <w:rFonts w:hint="eastAsia" w:ascii="宋体" w:hAnsi="宋体" w:eastAsia="宋体" w:cs="Times New Roman"/>
                <w:color w:val="auto"/>
                <w:sz w:val="21"/>
                <w:szCs w:val="21"/>
                <w:highlight w:val="none"/>
              </w:rPr>
              <w:t xml:space="preserve">分钟语音通话</w:t>
            </w:r>
            <w:r/>
          </w:p>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）全国通用流量</w:t>
            </w:r>
            <w:r>
              <w:rPr>
                <w:rFonts w:hint="default" w:ascii="宋体" w:hAnsi="宋体" w:eastAsia="宋体" w:cs="Times New Roman"/>
                <w:color w:val="auto"/>
                <w:sz w:val="21"/>
                <w:szCs w:val="21"/>
                <w:highlight w:val="none"/>
              </w:rPr>
              <w:t xml:space="preserve">30G  </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50</w:t>
            </w:r>
            <w:r>
              <w:rPr>
                <w:rFonts w:hint="default" w:ascii="宋体" w:hAnsi="宋体" w:eastAsia="宋体" w:cs="Times New Roman"/>
                <w:color w:val="auto"/>
                <w:sz w:val="21"/>
                <w:szCs w:val="21"/>
                <w:highlight w:val="none"/>
              </w:rPr>
              <w:t xml:space="preserve">G</w:t>
            </w:r>
            <w:r>
              <w:rPr>
                <w:rFonts w:hint="eastAsia" w:ascii="宋体" w:hAnsi="宋体" w:eastAsia="宋体" w:cs="Times New Roman"/>
                <w:color w:val="auto"/>
                <w:sz w:val="21"/>
                <w:szCs w:val="21"/>
                <w:highlight w:val="none"/>
              </w:rPr>
              <w:t xml:space="preserve">区域流量</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5</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元/户/月</w:t>
            </w:r>
            <w:r/>
          </w:p>
        </w:tc>
        <w:tc>
          <w:tcPr>
            <w:tcW w:w="1293"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tc>
      </w:tr>
    </w:tbl>
    <w:p>
      <w:pPr>
        <w:ind w:firstLine="422"/>
        <w:jc w:val="left"/>
        <w:spacing w:line="360" w:lineRule="auto"/>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采购包2</w:t>
      </w:r>
      <w:r>
        <w:rPr>
          <w:rFonts w:hint="eastAsia" w:ascii="宋体" w:hAnsi="宋体" w:eastAsia="宋体" w:cs="Times New Roman"/>
          <w:b/>
          <w:color w:val="auto"/>
          <w:sz w:val="21"/>
          <w:szCs w:val="21"/>
          <w:highlight w:val="none"/>
        </w:rPr>
        <w:t xml:space="preserve">：</w:t>
      </w:r>
      <w:r/>
    </w:p>
    <w:tbl>
      <w:tblPr>
        <w:tblStyle w:val="907"/>
        <w:tblW w:w="8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665"/>
        <w:gridCol w:w="3945"/>
        <w:gridCol w:w="1245"/>
        <w:gridCol w:w="1214"/>
      </w:tblGrid>
      <w:tr>
        <w:trPr>
          <w:jc w:val="center"/>
          <w:trHeight w:val="492"/>
        </w:trPr>
        <w:tc>
          <w:tcPr>
            <w:tcW w:w="6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序号</w:t>
            </w:r>
            <w:r/>
          </w:p>
        </w:tc>
        <w:tc>
          <w:tcPr>
            <w:tcW w:w="16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标段内容</w:t>
            </w:r>
            <w:r/>
          </w:p>
        </w:tc>
        <w:tc>
          <w:tcPr>
            <w:tcW w:w="394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服务要求</w:t>
            </w:r>
            <w:r/>
          </w:p>
        </w:tc>
        <w:tc>
          <w:tcPr>
            <w:tcW w:w="124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单价限价</w:t>
            </w:r>
            <w:r/>
          </w:p>
        </w:tc>
        <w:tc>
          <w:tcPr>
            <w:tcW w:w="12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备注</w:t>
            </w:r>
            <w:r/>
          </w:p>
        </w:tc>
      </w:tr>
      <w:tr>
        <w:trPr>
          <w:jc w:val="center"/>
          <w:trHeight w:val="1465"/>
        </w:trPr>
        <w:tc>
          <w:tcPr>
            <w:tcW w:w="6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w:t>
            </w:r>
            <w:r/>
          </w:p>
        </w:tc>
        <w:tc>
          <w:tcPr>
            <w:tcW w:w="16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执法仪等其他警务智能终端通讯服务</w:t>
            </w:r>
            <w:r/>
          </w:p>
        </w:tc>
        <w:tc>
          <w:tcPr>
            <w:tcW w:w="394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（1）500分钟国内主叫通话</w:t>
            </w:r>
            <w:r/>
          </w:p>
          <w:p>
            <w:pPr>
              <w:ind w:left="0" w:right="0"/>
              <w:jc w:val="left"/>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（2）全国通用流量50G</w:t>
            </w:r>
            <w:r/>
          </w:p>
        </w:tc>
        <w:tc>
          <w:tcPr>
            <w:tcW w:w="124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50元/户/月</w:t>
            </w:r>
            <w:r/>
          </w:p>
        </w:tc>
        <w:tc>
          <w:tcPr>
            <w:tcW w:w="12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lang w:eastAsia="zh-CN"/>
              </w:rPr>
              <w:t xml:space="preserve">以单价报价（元/户/月）</w:t>
            </w:r>
            <w:r>
              <w:rPr>
                <w:rFonts w:hint="eastAsia" w:ascii="宋体" w:hAnsi="宋体" w:eastAsia="宋体" w:cs="Times New Roman"/>
                <w:color w:val="auto"/>
                <w:sz w:val="21"/>
                <w:szCs w:val="21"/>
                <w:highlight w:val="none"/>
              </w:rPr>
              <w:t xml:space="preserve">，按实结算。</w:t>
            </w:r>
            <w:r/>
          </w:p>
        </w:tc>
      </w:tr>
    </w:tbl>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数量及方法：</w:t>
      </w:r>
      <w:r/>
    </w:p>
    <w:p>
      <w:pPr>
        <w:ind w:firstLine="420"/>
        <w:keepLines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本项目共分为2个采购包，每个采购包确定</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 家中标供应商。每家供应商自行选择采购包报名，可同时参与多个采购包投标，但只允许中标一个采购包。各采购包按照投标人评标总得分从高至低排序，确定对应采购包中标候选人排名，排名第一的为该采购包中标供应商。</w:t>
      </w:r>
      <w:r>
        <w:rPr>
          <w:rFonts w:hint="eastAsia" w:ascii="宋体" w:hAnsi="宋体" w:cs="宋体"/>
          <w:color w:val="auto"/>
          <w:sz w:val="21"/>
          <w:szCs w:val="21"/>
          <w:highlight w:val="none"/>
          <w:lang w:eastAsia="zh-CN"/>
        </w:rPr>
        <w:t xml:space="preserve">项目定标按照采购包一、采购包二的先后顺序依次确定中标供应商，已在靠前采购包中中标的供应商，自动丧失后续所有采购包的中标候选资格，后续采购包由剩余具备投标资格、评标总得分最高的投标人顺延成为中标供应商。</w:t>
      </w:r>
      <w:r/>
    </w:p>
    <w:p>
      <w:pPr>
        <w:ind w:firstLine="420"/>
        <w:keepLines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若任一采购包因有效投标单位不足、实质性响应不足等情形发生废标并启动重新招标的，其他采购包已确定的中标结果保持不变，已中标供应商可继续参与该废标采购包的重新招标。若已中标供应商因质疑投诉、自身履约能力不足、违规违约或其他自身原因被取消中标资格、无法签订合同、无法正常履约的，由此产生的全部风险、损失及不利后果均由该供应商自行承担，不会对其他采购包已产生的中标结果造成任何影响，也不触发其他采购包的结果变更或重新评审。</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一年。</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本项目（是/否）接受联合体投标：否</w:t>
      </w:r>
      <w:r/>
    </w:p>
    <w:p>
      <w:pPr>
        <w:ind w:firstLine="422"/>
        <w:keepLines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1、具有独立承担民事责任的能力</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2、具有良好的商业信誉和健全的财务会计制度</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6、法律、行政法规规定的其他条件</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w:t>
      </w:r>
      <w:r>
        <w:rPr>
          <w:rFonts w:hint="eastAsia" w:ascii="宋体" w:hAnsi="宋体" w:eastAsia="宋体" w:cs="宋体"/>
          <w:b w:val="0"/>
          <w:bCs w:val="0"/>
          <w:color w:val="auto"/>
          <w:sz w:val="21"/>
          <w:szCs w:val="21"/>
          <w:highlight w:val="none"/>
        </w:rPr>
        <w:t xml:space="preserve">要求：</w:t>
      </w:r>
      <w:r>
        <w:rPr>
          <w:rStyle w:val="955"/>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无</w:t>
      </w:r>
      <w:r>
        <w:rPr>
          <w:rStyle w:val="955"/>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ind w:firstLine="401"/>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基础电信业务经营许可证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（须包含蜂窝移动通信业务）或经相关行政主管部门批准的授权其经营相关项目的证明文件</w:t>
      </w:r>
      <w:r>
        <w:rPr>
          <w:rFonts w:hint="eastAsia" w:ascii="宋体" w:hAnsi="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（四）拒绝下述供应商参加本次采购活动：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3、法人的分支机构不得参加投标（除银行、保险、石油石化、电力、电信等行业特殊情况外）</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18"/>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时间：自招标文件公告发布之日起5个工作日</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地点：苏采云政府采购一体化平台</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方式：网上下载电子采购文件</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售价：0.00元</w:t>
      </w:r>
      <w:r/>
    </w:p>
    <w:p>
      <w:pPr>
        <w:pStyle w:val="918"/>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w:t>
      </w:r>
      <w:r>
        <w:rPr>
          <w:rFonts w:hint="eastAsia" w:ascii="宋体" w:hAnsi="宋体" w:eastAsia="宋体" w:cs="宋体"/>
          <w:b/>
          <w:color w:val="auto"/>
          <w:sz w:val="21"/>
          <w:szCs w:val="21"/>
          <w:highlight w:val="none"/>
        </w:rPr>
        <w:t xml:space="preserve">投标文件截止时间、开标时间和地点</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lang w:val="en-US" w:eastAsia="zh-CN"/>
        </w:rPr>
        <w:t xml:space="preserve">9月17日09:30</w:t>
      </w:r>
      <w:r>
        <w:rPr>
          <w:rFonts w:hint="eastAsia" w:ascii="宋体" w:hAnsi="宋体" w:eastAsia="宋体" w:cs="宋体"/>
          <w:color w:val="auto"/>
          <w:sz w:val="21"/>
          <w:szCs w:val="21"/>
          <w:highlight w:val="none"/>
        </w:rPr>
        <w:t xml:space="preserve">（北京时间）</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地点：苏采云政府采购一体化平台</w:t>
      </w:r>
      <w:r/>
    </w:p>
    <w:p>
      <w:pPr>
        <w:pStyle w:val="918"/>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五、公告期限</w:t>
      </w:r>
      <w:r>
        <w:rPr>
          <w:rFonts w:hint="eastAsia" w:ascii="宋体" w:hAnsi="宋体" w:eastAsia="宋体" w:cs="宋体"/>
          <w:color w:val="auto"/>
          <w:sz w:val="21"/>
          <w:szCs w:val="21"/>
          <w:highlight w:val="none"/>
        </w:rPr>
        <w:t xml:space="preserve">：</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918"/>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1、本项目需要使用CA数字证书制作、上传电子投标文件完成电子投标，请供应商在参加投标活动前办理好CA数字证书申领及电子签章等操作。</w:t>
      </w:r>
      <w:r/>
    </w:p>
    <w:p>
      <w:pPr>
        <w:pStyle w:val="918"/>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8"/>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、本项目采用不见面开标，采取网上开标大厅解密电子投标文件，投标人远程解密要求如下：</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2）投标人登录苏采云系统，点击开标大厅，选择开标项目，完成不见面开标流程。</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3）投标截止时间后根据系统提示解密电子投标文件。</w:t>
      </w:r>
      <w:r>
        <w:rPr>
          <w:rFonts w:hint="eastAsia" w:ascii="宋体" w:hAnsi="宋体" w:eastAsia="宋体" w:cs="宋体"/>
          <w:b/>
          <w:color w:val="auto"/>
          <w:sz w:val="21"/>
          <w:szCs w:val="21"/>
          <w:highlight w:val="none"/>
        </w:rPr>
        <w:t xml:space="preserve">解密时间为 15 分钟，</w:t>
      </w:r>
      <w:r>
        <w:rPr>
          <w:rFonts w:hint="eastAsia" w:ascii="宋体" w:hAnsi="宋体" w:eastAsia="宋体" w:cs="宋体"/>
          <w:color w:val="auto"/>
          <w:sz w:val="21"/>
          <w:szCs w:val="21"/>
          <w:highlight w:val="none"/>
        </w:rPr>
        <w:t xml:space="preserve">未在规定时间内完成解密，其投标文件将被拒绝，不参与后续投标流程。</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8"/>
        <w:ind w:firstLine="420"/>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bCs/>
          <w:color w:val="auto"/>
          <w:sz w:val="21"/>
          <w:szCs w:val="21"/>
          <w:highlight w:val="none"/>
        </w:rPr>
        <w:t xml:space="preserve">有关苏采云系统驱动安装</w:t>
      </w:r>
      <w:r>
        <w:rPr>
          <w:rFonts w:hint="eastAsia" w:ascii="宋体" w:hAnsi="宋体" w:eastAsia="宋体" w:cs="宋体"/>
          <w:color w:val="auto"/>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auto"/>
          <w:sz w:val="21"/>
          <w:szCs w:val="21"/>
          <w:highlight w:val="none"/>
        </w:rPr>
        <w:t xml:space="preserve">“政务CA、方正签章控件驱动安装包及安装说明”</w:t>
      </w:r>
      <w:r>
        <w:rPr>
          <w:rFonts w:hint="eastAsia" w:ascii="宋体" w:hAnsi="宋体" w:eastAsia="宋体" w:cs="宋体"/>
          <w:color w:val="auto"/>
          <w:sz w:val="21"/>
          <w:szCs w:val="21"/>
          <w:highlight w:val="none"/>
        </w:rPr>
        <w:t xml:space="preserve">文件，按要求安装驱动。</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有关供应商注册、报名、下载电子招标文件、制作上传电子投标文件</w:t>
      </w:r>
      <w:r>
        <w:rPr>
          <w:rFonts w:hint="eastAsia" w:ascii="宋体" w:hAnsi="宋体" w:eastAsia="宋体" w:cs="宋体"/>
          <w:color w:val="auto"/>
          <w:sz w:val="21"/>
          <w:szCs w:val="21"/>
          <w:highlight w:val="none"/>
        </w:rPr>
        <w:t xml:space="preserve">、不见面开标及其他注意事项登录苏州政府采购网，在“下载中心”栏目下载</w:t>
      </w:r>
      <w:r>
        <w:rPr>
          <w:rFonts w:hint="eastAsia" w:ascii="宋体" w:hAnsi="宋体" w:eastAsia="宋体" w:cs="宋体"/>
          <w:b/>
          <w:bCs/>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查阅。</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有关办理CA数字申领及电子签章事项</w:t>
      </w:r>
      <w:r>
        <w:rPr>
          <w:rFonts w:hint="eastAsia" w:ascii="宋体" w:hAnsi="宋体" w:eastAsia="宋体" w:cs="宋体"/>
          <w:color w:val="auto"/>
          <w:sz w:val="21"/>
          <w:szCs w:val="21"/>
          <w:highlight w:val="none"/>
        </w:rPr>
        <w:t xml:space="preserve">，登录苏州政府采购网，点击页面底部苏采云图标，进入苏采云政府采购一体化平台，下载“新CA办理指南”文件查阅。</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有关电子投标制作技术疑问，请咨询苏采云软件公司客服：18261002950、0512-69820854、0519-86722802</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、本次招标投标保证金：本项目无须缴纳投标保证金。</w:t>
      </w:r>
      <w:r/>
    </w:p>
    <w:p>
      <w:pPr>
        <w:pStyle w:val="918"/>
        <w:ind w:firstLine="420"/>
        <w:keepLines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9、中标服务费：本项目中标服务费由采购人支付。</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pStyle w:val="918"/>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、政府采购信用融资政策：中标供应商可凭政府采购合同办理融资贷款，详情请见江苏政府采购网“政采贷”专栏。</w:t>
      </w:r>
      <w:r/>
    </w:p>
    <w:p>
      <w:pPr>
        <w:pStyle w:val="918"/>
        <w:ind w:firstLine="420"/>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auto"/>
          <w:sz w:val="21"/>
          <w:szCs w:val="21"/>
          <w:highlight w:val="none"/>
          <w:lang w:eastAsia="zh-CN"/>
        </w:rPr>
        <w:t xml:space="preserve">。</w:t>
      </w:r>
      <w:r/>
    </w:p>
    <w:p>
      <w:pPr>
        <w:pStyle w:val="918"/>
        <w:ind w:firstLine="422"/>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、对本次招标提出询问，请按以下方式联系</w:t>
      </w:r>
      <w:r>
        <w:rPr>
          <w:rFonts w:hint="eastAsia" w:ascii="宋体" w:hAnsi="宋体" w:eastAsia="宋体" w:cs="宋体"/>
          <w:b/>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采购人信息：</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采购包1、采购包2</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太仓市公安局</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eastAsia="zh-CN"/>
        </w:rPr>
        <w:t xml:space="preserve">地址：太仓市上海东路58号 </w:t>
      </w:r>
      <w:r/>
    </w:p>
    <w:p>
      <w:pPr>
        <w:ind w:firstLine="420"/>
        <w:keepLines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eastAsia="zh-CN"/>
        </w:rPr>
        <w:t xml:space="preserve">人：</w:t>
      </w:r>
      <w:r>
        <w:rPr>
          <w:rFonts w:hint="eastAsia" w:ascii="宋体" w:hAnsi="宋体" w:cs="宋体"/>
          <w:color w:val="auto"/>
          <w:sz w:val="21"/>
          <w:szCs w:val="21"/>
          <w:highlight w:val="none"/>
          <w:lang w:val="en-US" w:eastAsia="zh-CN"/>
        </w:rPr>
        <w:t xml:space="preserve">葛彬</w:t>
      </w:r>
      <w:r/>
    </w:p>
    <w:p>
      <w:pPr>
        <w:ind w:firstLine="420"/>
        <w:keepLines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13913760527</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采购代理机构信息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江苏兆丰项目管理有限公司</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太仓市常胜北路16号3楼</w:t>
      </w:r>
      <w:r/>
    </w:p>
    <w:p>
      <w:pPr>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联系人：陈天慧</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电话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18501522989</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项目联系方式</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陈天慧</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18501522989</w:t>
      </w:r>
      <w:r/>
    </w:p>
    <w:p>
      <w:pPr>
        <w:jc w:val="center"/>
        <w:keepLines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cs="宋体"/>
          <w:color w:val="auto"/>
          <w:sz w:val="24"/>
          <w:szCs w:val="22"/>
          <w:highlight w:val="none"/>
        </w:rPr>
        <w:br w:type="page" w:clear="all"/>
      </w:r>
      <w:r>
        <w:rPr>
          <w:rFonts w:hint="eastAsia" w:ascii="宋体" w:hAnsi="宋体" w:eastAsia="宋体" w:cs="Times New Roman"/>
          <w:b/>
          <w:color w:val="auto"/>
          <w:sz w:val="32"/>
          <w:szCs w:val="32"/>
          <w:highlight w:val="none"/>
          <w:lang w:val="en-US" w:eastAsia="zh-CN" w:bidi="ar-SA"/>
        </w:rPr>
        <w:t xml:space="preserve">第二部分  投标人须知</w:t>
      </w:r>
      <w:bookmarkEnd w:id="4"/>
      <w:r/>
      <w:bookmarkEnd w:id="5"/>
      <w:r/>
      <w:bookmarkEnd w:id="6"/>
      <w:r/>
      <w:bookmarkEnd w:id="7"/>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一、说明和释义</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 说明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组织的招标活动。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 词语释义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2.3投标人：指响应招标、参加投标竞争的法人、其他组织或自然人。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2.4投标：投标人根据采购人或采购代理机构发布的招标文件，编制投标文件并按规定投标的行为。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2.6甲方（采购人）：指招标文件中载明的，依法进行政府采购的国家机关、事业单位、团体组织。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2.7乙方（中标单位）：合同中规定的向采购人提供货物和服务的法人或其他组织和自然人。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2.8天：日历日。</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2.9时间：除特别说明，均指北京时间。</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2.10知识产权:指专利权、商标权、著作权等无形财产专有权的统称。</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2.12合同价款:根据合同规定,乙方在正确地履行合同义务后甲方应支付乙方的价款。</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2.15实质性投标：满足有关本次采购标的、数量、质量、价款或者报酬、履行期限、履行地点和方式、违约责任和解决争议方法等要求。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2.16进口产品：指通过中国海关报关验放进入中国境内且产自境外的产品。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2.17书面形式：指书面文字、合同书、信件和传真等可以有形地表现所载内容的形式。</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 投标人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合格投标人的基本条件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满足《中华人民共和国政府采购法》第二十二条规定：</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具有独立承担民事责任的能力；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具有良好的商业信誉和健全的财务会计制度；</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具有履行合同所必需的设备和专业技术能力；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有依法缴纳税收和社会保障资金的良好记录；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参加政府采购活动前三年内，在经营活动中没有重大违法记录；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法律、行政法规规定的其他条件。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4．合格投标人的特定条件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按招标公告规定。</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投标人代表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5.1指全权代表投标人参加投标活动并签署投标文件的人，如果投标人代表不是法人代表，须持有《法人代表授权委托书》（详见统一格式）。</w:t>
      </w:r>
      <w:r/>
    </w:p>
    <w:p>
      <w:pPr>
        <w:ind w:firstLine="315"/>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5.2招标文件中如明确要求允许法人的分支机构参加投标的，招标文件中所述法定代表人均指该投标人的负责人。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联合投标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6.1本次招标不接受联合体投标。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投标费用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7.1投标人应自行承担所有准备及参加投标的相关费用。不论投标结果如何，采购代理机构在任何情况下均无义务也无责任承担这些费用。</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三、招标文件说明</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招标文件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ind w:firstLine="315"/>
        <w:spacing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bidi="ar"/>
        </w:rPr>
        <w:t xml:space="preserve">招标文件及其补充通知（包括更正公告）不是直接从政府采购信息发布媒体上下载获得的，采购人或采购代理机构对招标文件及其补遗的真实性、完整性不承担任何责任。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招标文件的澄清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color w:val="auto"/>
          <w:sz w:val="21"/>
          <w:szCs w:val="21"/>
          <w:highlight w:val="none"/>
          <w:lang w:bidi="ar"/>
        </w:rPr>
        <w:t xml:space="preserve">投标人在获取招标文件后，若有疑问，应于网上投标截止时间之前，在网上业务系统向采购代理机构提出，采购代理机构将在业务系统上予以解答。</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rPr>
          <w:rFonts w:hint="eastAsia" w:ascii="宋体" w:hAnsi="宋体" w:eastAsia="宋体" w:cs="宋体"/>
          <w:color w:val="auto"/>
          <w:sz w:val="21"/>
          <w:szCs w:val="21"/>
          <w:highlight w:val="none"/>
          <w:lang w:bidi="ar"/>
        </w:rPr>
        <w:t xml:space="preserve">如有必要，问题答复将以“变更公告”形式由采购代理机构按照本须知第10条的规定发出。</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10.招标文件的修改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10.1采购代理机构无论出于自己的考虑，还是出于对投标人提问的澄清，均可对已发出的招标文件用</w:t>
      </w:r>
      <w:r>
        <w:rPr>
          <w:rFonts w:hint="eastAsia" w:ascii="宋体" w:hAnsi="宋体" w:eastAsia="宋体" w:cs="宋体"/>
          <w:color w:val="auto"/>
          <w:sz w:val="21"/>
          <w:szCs w:val="21"/>
          <w:highlight w:val="none"/>
          <w:lang w:val="zh-CN"/>
        </w:rPr>
        <w:t xml:space="preserve">补充文件的方式</w:t>
      </w:r>
      <w:r>
        <w:rPr>
          <w:rFonts w:hint="eastAsia" w:ascii="宋体" w:hAnsi="宋体" w:eastAsia="宋体" w:cs="宋体"/>
          <w:color w:val="auto"/>
          <w:sz w:val="21"/>
          <w:szCs w:val="21"/>
          <w:highlight w:val="none"/>
        </w:rPr>
        <w:t xml:space="preserve">进行必要澄清或者修改。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10.4</w:t>
      </w:r>
      <w:r>
        <w:rPr>
          <w:rFonts w:hint="eastAsia" w:ascii="宋体" w:hAnsi="宋体" w:eastAsia="宋体" w:cs="宋体"/>
          <w:color w:val="auto"/>
          <w:sz w:val="21"/>
          <w:szCs w:val="21"/>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rPr>
        <w:t xml:space="preserve">10.5招标文件若有</w:t>
      </w:r>
      <w:r>
        <w:rPr>
          <w:rFonts w:hint="eastAsia" w:ascii="宋体" w:hAnsi="宋体" w:eastAsia="宋体" w:cs="宋体"/>
          <w:b/>
          <w:color w:val="auto"/>
          <w:sz w:val="21"/>
          <w:szCs w:val="21"/>
          <w:highlight w:val="none"/>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11.质疑</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11.3上述应知其权益受到损害之日是指：</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11.3.2对采购过程提出质疑的，自采购程序环节结束之日起计算；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11.3.3对中标结果提出质疑的，自中标结果公告期限届满之日起计算。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供应商提出质疑应当提交质疑函和必要的证明材料。质疑函应当包括下列内容：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 供应商的姓名或者名称、地址、邮编、联系人及联系电话；</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 质疑项目的名称、编号；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 具体、明确的质疑事项和与质疑事项相关的请求；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11.4.4 事实依据；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11.4.5 必要的法律依据；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11.4.6 提出质疑的日期。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11.5质疑函的格式和内容应当符合财政部《政府采购供应商质疑函范本》 </w:t>
      </w:r>
      <w:bookmarkStart w:id="8" w:name="baidusnap5"/>
      <w:r/>
      <w:bookmarkEnd w:id="8"/>
      <w:r>
        <w:rPr>
          <w:rFonts w:hint="eastAsia" w:ascii="宋体" w:hAnsi="宋体" w:eastAsia="宋体" w:cs="宋体"/>
          <w:color w:val="auto"/>
          <w:sz w:val="21"/>
          <w:szCs w:val="21"/>
          <w:highlight w:val="none"/>
        </w:rPr>
        <w:t xml:space="preserve">要求，质疑函范本在财政部官网上提供下载。</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提交质疑函同时应当附如下证明材料：</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11.6.1对采购文件提出质疑的供应商提供参加本项目的“投标供应商确认函”；</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11.6.2质疑供应商的营业执照复印件加盖单位公章；</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11.6.3质疑供应商法定代表人身份证复印件加盖单位公章；</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 供应商对招标项目技术、商务及其他要求，以及评审细则、标准提出询问或质疑的，应向采购人提出；供应商对采购过程及中标结果提出询问或质疑的，应向</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代理</w:t>
      </w:r>
      <w:r>
        <w:rPr>
          <w:rFonts w:hint="eastAsia" w:ascii="宋体" w:hAnsi="宋体" w:cs="宋体"/>
          <w:color w:val="auto"/>
          <w:sz w:val="21"/>
          <w:szCs w:val="21"/>
          <w:highlight w:val="none"/>
          <w:lang w:eastAsia="zh-CN"/>
        </w:rPr>
        <w:t xml:space="preserve">机构</w:t>
      </w:r>
      <w:r>
        <w:rPr>
          <w:rFonts w:hint="eastAsia" w:ascii="宋体" w:hAnsi="宋体" w:eastAsia="宋体" w:cs="宋体"/>
          <w:color w:val="auto"/>
          <w:sz w:val="21"/>
          <w:szCs w:val="21"/>
          <w:highlight w:val="none"/>
        </w:rPr>
        <w:t xml:space="preserve">提出；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 供应商如对本项目提出质疑须在法定质疑期内一次性提出针对同一采购程序环节的质疑，否则不予受理重复质疑。</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 接受质疑函联系方式见采购公告联系事项。</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 投标文件说明</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12、提示与要求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rPr>
          <w:rFonts w:hint="eastAsia" w:ascii="宋体" w:hAnsi="宋体" w:eastAsia="宋体" w:cs="宋体"/>
          <w:color w:val="auto"/>
          <w:sz w:val="21"/>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12.2无论是否递交投标文件，投标人都应将招标文件及以后的所有通知、文件等视为保密文件。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投标文件计量单位和使用文字</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知识产权</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投标文件的组成和顺序</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.1封面</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.2开标一览表（具体按照“苏采云”系统填报）</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.3投标分项报价（详见投标文件格式）</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.4资格审查文件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.4.1关于资格文件的声明函（详见投标文件格式）；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.4.2投标人基本情况表（详见投标文件格式）；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.4.3法定代表人身份证复印件；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.4.4法定代表人授权委托书（如有授权，详见投标文件格式）；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.4.5授权代理人身份证复印件（如有授权，详见投标文件格式）；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.4.6合格投标人资格证明材料：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具有独立承担民事责任的能力（提供法人或者其他组织的营业执照等证明文件，自然人的身份证明）；</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具有良好的商业信誉和健全的财务会计制度（提供最近一期的财务状况报告，其他组织、自然人提供银行出具的资信证明）；</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具有履行合同所必需的设备和专业技术能力（提供履行合同所必需的设备和专业技术能力的证明材料）；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依法缴纳税收和社会保障资金的良好记录（提供参加本次政府采购活动前半年（至少一个月）依法缴纳税收和社会保障资金的证明材料，如相关主管部门证明或银行代扣证明。依法免税或不需要缴纳社会保障资金的，提供相关主管部门出具的证明文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参加政府采购活动前三年内，在经营活动中没有重大违法记录（提供参加本次政府采购活动前3年内在经营活动中没有重大违法记录的书面声明）；</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.4.7特定资格条件，投标人证明其符合招标文件规定的投标人特定资格条件的证书、证明和文件材料（如有）；</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.4.8其它有关资格证明文件（如有）。</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.5符合性审查文件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.5.1投标函（详见投标文件格式）；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《服务要求偏离表》（详见投标文件格式）；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《商务条款偏离表》（详见投标文件格式）；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其他有关符合性证明的文件（如有）；</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.6综合评审文件（具体模块以系统生成为准） </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.6.1</w:t>
      </w:r>
      <w:r>
        <w:rPr>
          <w:rFonts w:hint="eastAsia" w:ascii="宋体" w:hAnsi="宋体" w:eastAsia="宋体" w:cs="宋体"/>
          <w:b w:val="0"/>
          <w:bCs/>
          <w:color w:val="auto"/>
          <w:sz w:val="21"/>
          <w:szCs w:val="21"/>
          <w:highlight w:val="none"/>
          <w:lang w:val="en-US" w:eastAsia="zh-CN"/>
        </w:rPr>
        <w:t xml:space="preserve">针对本项目的</w:t>
      </w:r>
      <w:r>
        <w:rPr>
          <w:rFonts w:hint="eastAsia" w:ascii="宋体" w:hAnsi="宋体" w:eastAsia="宋体" w:cs="宋体"/>
          <w:b w:val="0"/>
          <w:bCs/>
          <w:color w:val="auto"/>
          <w:sz w:val="21"/>
          <w:szCs w:val="21"/>
          <w:highlight w:val="none"/>
        </w:rPr>
        <w:t xml:space="preserve">服务方案</w:t>
      </w:r>
      <w:r>
        <w:rPr>
          <w:rFonts w:hint="eastAsia" w:ascii="宋体" w:hAnsi="宋体" w:eastAsia="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.6.2项目人员配置表及证明材料；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15.6.3</w:t>
      </w:r>
      <w:r>
        <w:rPr>
          <w:rFonts w:hint="eastAsia" w:ascii="宋体" w:hAnsi="宋体" w:eastAsia="宋体" w:cs="宋体"/>
          <w:b w:val="0"/>
          <w:bCs/>
          <w:color w:val="auto"/>
          <w:sz w:val="21"/>
          <w:szCs w:val="21"/>
          <w:highlight w:val="none"/>
        </w:rPr>
        <w:t xml:space="preserve">类似项目业绩一览表及证明资料；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招标文件及评分标准中要求提供的其他相关材料；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其他需投标人对本次投标的详细说明（投标人视各自的情况自行编制）。</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注：（1）以上1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.4.1-1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（2）以上1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.5.1-1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.5.</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为符合性审查须提供的资料，投标人必须提供并加盖电子公章。否则，投标文件将被认定为未实质性响应。</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（3）投标人所提交的资料的完整与否，将直接影响投标人的评分。</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（4）制作电子投标文件时必须与投标文件制作软件目录一一对应，将相关资料上传至相应模块。</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16. 投标文件编制要求   </w:t>
      </w:r>
      <w:r>
        <w:rPr>
          <w:rFonts w:hint="eastAsia" w:ascii="宋体" w:hAnsi="宋体" w:eastAsia="宋体" w:cs="宋体"/>
          <w:color w:val="auto"/>
          <w:sz w:val="21"/>
          <w:szCs w:val="21"/>
          <w:highlight w:val="none"/>
        </w:rPr>
        <w:t xml:space="preserve"> </w:t>
      </w:r>
      <w:r/>
    </w:p>
    <w:p>
      <w:pPr>
        <w:ind w:firstLine="371"/>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
          <w:color w:val="auto"/>
          <w:sz w:val="21"/>
          <w:szCs w:val="21"/>
          <w:highlight w:val="none"/>
        </w:rPr>
        <w:t xml:space="preserve">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投标报价（编制）要求的说明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17.1除非合同中另有规定，投标人对《开标一览表》中的全部货物和服务的报价应包括完成该项工作所需的人工费（包括人员工资、保险等）、</w:t>
      </w:r>
      <w:r>
        <w:rPr>
          <w:rFonts w:hint="eastAsia" w:ascii="宋体" w:hAnsi="宋体" w:eastAsia="宋体" w:cs="宋体"/>
          <w:color w:val="auto"/>
          <w:sz w:val="21"/>
          <w:szCs w:val="21"/>
          <w:highlight w:val="none"/>
          <w:lang w:val="en-US" w:eastAsia="zh-CN"/>
        </w:rPr>
        <w:t xml:space="preserve">养护费、</w:t>
      </w:r>
      <w:r>
        <w:rPr>
          <w:rFonts w:hint="eastAsia" w:ascii="宋体" w:hAnsi="宋体" w:eastAsia="宋体" w:cs="宋体"/>
          <w:color w:val="auto"/>
          <w:sz w:val="21"/>
          <w:szCs w:val="21"/>
          <w:highlight w:val="none"/>
        </w:rPr>
        <w:t xml:space="preserve">高密树枝修剪专项费、公众责任保险费、</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rPr>
        <w:t xml:space="preserve">工具和车辆等相关机械设备使用费、耗材、劳保、预留金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各种税费以及投标人企业利润和政策性文件规定及合同包含的所有风险、责任等各项应有费用以及投标人认为应纳入的其它一切费用。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应对招标文件内所要采购的全部内容进行报价，只投其中部分内容者，其标书将被拒绝。但如果招标文件要求分采购包投标的，则投标人可以按招标文件要求有选择地只投其中一个或几个采购包，也可以投全部采购包，但各采购包应分别计算填写</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一项投标内容只允许一个报价，</w:t>
      </w:r>
      <w:r>
        <w:rPr>
          <w:rFonts w:hint="eastAsia" w:ascii="宋体" w:hAnsi="宋体" w:eastAsia="宋体" w:cs="宋体"/>
          <w:color w:val="auto"/>
          <w:sz w:val="21"/>
          <w:szCs w:val="21"/>
          <w:highlight w:val="none"/>
          <w:lang w:val="en-US" w:eastAsia="zh-CN"/>
        </w:rPr>
        <w:t xml:space="preserve">采购人或</w:t>
      </w:r>
      <w:r>
        <w:rPr>
          <w:rFonts w:hint="eastAsia" w:ascii="宋体" w:hAnsi="宋体" w:eastAsia="宋体" w:cs="宋体"/>
          <w:color w:val="auto"/>
          <w:sz w:val="21"/>
          <w:szCs w:val="21"/>
          <w:highlight w:val="none"/>
        </w:rPr>
        <w:t xml:space="preserve">采购代理机构不接受任何有选择性的投标报价。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17.4投标文件报价中的单价和总价全部采用人民币表示，除非合同的特殊条款另有规定。</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17.5最低的投标报价或最高的折扣比例是中标的重要条件，但不是中标的唯一条件。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 投标保证金</w:t>
      </w:r>
      <w:r/>
    </w:p>
    <w:p>
      <w:pPr>
        <w:ind w:firstLine="315"/>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w:t>
      </w:r>
      <w:r>
        <w:rPr>
          <w:rFonts w:hint="eastAsia" w:ascii="宋体"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rPr>
          <w:rFonts w:hint="eastAsia" w:ascii="宋体" w:hAnsi="宋体" w:eastAsia="宋体" w:cs="宋体"/>
          <w:color w:val="auto"/>
          <w:sz w:val="21"/>
          <w:szCs w:val="21"/>
          <w:highlight w:val="none"/>
          <w:lang w:eastAsia="zh-CN"/>
        </w:rPr>
        <w:t xml:space="preserve">。</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 投标文件的有效期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19.1在本招标文件规定的开标之日起九十（90）天内，投标人所提交的投标文件应保持有效。</w:t>
      </w:r>
      <w:r>
        <w:rPr>
          <w:rFonts w:hint="eastAsia" w:ascii="宋体" w:hAnsi="宋体" w:eastAsia="宋体" w:cs="宋体"/>
          <w:b/>
          <w:color w:val="auto"/>
          <w:sz w:val="21"/>
          <w:szCs w:val="21"/>
          <w:highlight w:val="none"/>
        </w:rPr>
        <w:t xml:space="preserve">有效期短于这个规定期限的投标文件，将被认定为未实质性响应招标文件要求。</w:t>
      </w:r>
      <w:r/>
    </w:p>
    <w:p>
      <w:pPr>
        <w:ind w:firstLine="315"/>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19.2在特殊情况下，采购代理机构可与投标人协商延长投标书的有效期。这种要求和答复都应以书面形式进行。同意延长有效期的投标人不能修改投标文件。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 投标文件的提交、</w:t>
      </w:r>
      <w:r>
        <w:rPr>
          <w:rFonts w:hint="eastAsia" w:ascii="宋体" w:hAnsi="宋体" w:eastAsia="宋体" w:cs="宋体"/>
          <w:b/>
          <w:color w:val="auto"/>
          <w:sz w:val="21"/>
          <w:szCs w:val="21"/>
          <w:highlight w:val="none"/>
          <w:lang w:val="en-US" w:eastAsia="zh-CN"/>
        </w:rPr>
        <w:t xml:space="preserve">补充、</w:t>
      </w:r>
      <w:r>
        <w:rPr>
          <w:rFonts w:hint="eastAsia" w:ascii="宋体" w:hAnsi="宋体" w:eastAsia="宋体" w:cs="宋体"/>
          <w:b/>
          <w:color w:val="auto"/>
          <w:sz w:val="21"/>
          <w:szCs w:val="21"/>
          <w:highlight w:val="none"/>
        </w:rPr>
        <w:t xml:space="preserve">撤回和修改</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投标文件的上传、提交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20.1</w:t>
      </w:r>
      <w:r>
        <w:rPr>
          <w:rFonts w:hint="eastAsia" w:ascii="宋体" w:hAnsi="宋体" w:eastAsia="宋体" w:cs="宋体"/>
          <w:b/>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b w:val="0"/>
          <w:bCs/>
          <w:color w:val="auto"/>
          <w:sz w:val="21"/>
          <w:szCs w:val="21"/>
          <w:highlight w:val="none"/>
        </w:rPr>
        <w:t xml:space="preserve">投标人提交投标文件的时间以系统收到上传的电子投标文件时间为准，投标人应充分考虑到网络环境</w:t>
      </w:r>
      <w:r>
        <w:rPr>
          <w:rFonts w:hint="eastAsia" w:ascii="宋体" w:hAnsi="宋体" w:eastAsia="宋体" w:cs="宋体"/>
          <w:color w:val="auto"/>
          <w:sz w:val="21"/>
          <w:szCs w:val="21"/>
          <w:highlight w:val="none"/>
        </w:rPr>
        <w:t xml:space="preserve">、网络带宽等风险因素，如因投标人自身原因造成的电子投标文件上传不成功由投标人自行承担全部责任。</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20.2投标人通过</w:t>
      </w:r>
      <w:r>
        <w:rPr>
          <w:rFonts w:hint="eastAsia" w:ascii="宋体" w:hAnsi="宋体" w:eastAsia="宋体" w:cs="宋体"/>
          <w:b/>
          <w:bCs/>
          <w:color w:val="auto"/>
          <w:sz w:val="21"/>
          <w:szCs w:val="21"/>
          <w:highlight w:val="none"/>
          <w:lang w:val="en-US" w:eastAsia="zh-CN"/>
        </w:rPr>
        <w:t xml:space="preserve">“苏采云”系统不见面开标大厅在线参与开标活动。（具体操作详见《苏采云系统供应商操作手册》，网址链接https://czju.suzhou.gov.cn/zfcg/html/content/20231220161910031.shtml）</w:t>
      </w:r>
      <w:r/>
    </w:p>
    <w:p>
      <w:pPr>
        <w:numPr>
          <w:ilvl w:val="0"/>
          <w:numId w:val="8"/>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投标截止时间</w:t>
      </w:r>
      <w:r/>
    </w:p>
    <w:p>
      <w:pPr>
        <w:numPr>
          <w:ilvl w:val="0"/>
          <w:numId w:val="0"/>
        </w:numPr>
        <w:ind w:firstLine="21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
          <w:color w:val="auto"/>
          <w:sz w:val="21"/>
          <w:szCs w:val="21"/>
          <w:highlight w:val="none"/>
        </w:rPr>
        <w:t xml:space="preserve">电子投标文件必须按招标公告中规定的网上投标截止时间前提交</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否则投标无效</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21.2采购代理机构推迟投标截止时间时，应以更正公告的形式，通知所有投标人。在这种情况下，采购代理机构和投标人的权利和义务将受到新的截止期的约束。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21.3在投标截止时间止，采购代理机构于本项目（或采购包）收到的电子投标文件</w:t>
      </w:r>
      <w:r>
        <w:rPr>
          <w:rFonts w:hint="eastAsia" w:ascii="宋体" w:hAnsi="宋体" w:eastAsia="宋体" w:cs="宋体"/>
          <w:b/>
          <w:color w:val="auto"/>
          <w:sz w:val="21"/>
          <w:szCs w:val="21"/>
          <w:highlight w:val="none"/>
        </w:rPr>
        <w:t xml:space="preserve">少于三份</w:t>
      </w:r>
      <w:r>
        <w:rPr>
          <w:rFonts w:hint="eastAsia" w:ascii="宋体" w:hAnsi="宋体" w:eastAsia="宋体" w:cs="宋体"/>
          <w:color w:val="auto"/>
          <w:sz w:val="21"/>
          <w:szCs w:val="21"/>
          <w:highlight w:val="none"/>
        </w:rPr>
        <w:t xml:space="preserve">的，采购代理机构有权宣布本项目（或</w:t>
      </w: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）招标失败。</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投标文件的修改和撤回</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22.1投标人在提交投标文件截止时间前，可对其投标文件进行撤回或修改。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23.2开标后投标人不得撤回投标。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 开标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23.1采购代理机构按采购公告规定的时间、地点主持不见面开标活动。开标仪式由采购代理机构、采购人等主持。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rPr>
          <w:rFonts w:hint="eastAsia" w:ascii="宋体" w:hAnsi="宋体" w:eastAsia="宋体" w:cs="宋体"/>
          <w:b/>
          <w:color w:val="auto"/>
          <w:sz w:val="21"/>
          <w:szCs w:val="21"/>
          <w:highlight w:val="none"/>
        </w:rPr>
        <w:t xml:space="preserve">参加开标的投标法定代表人或授权代理人须在项目开标前登录不见面开标系统，进入网上开标大厅，做好相关准备工作。</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b/>
          <w:color w:val="auto"/>
          <w:sz w:val="21"/>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23.4采购代理机构在开标仪式上，将公布投标人的名称、投标价格，并将作唱标记录。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rPr>
          <w:rFonts w:hint="eastAsia" w:ascii="宋体" w:hAnsi="宋体" w:eastAsia="宋体" w:cs="宋体"/>
          <w:color w:val="auto"/>
          <w:sz w:val="21"/>
          <w:szCs w:val="21"/>
          <w:highlight w:val="none"/>
        </w:rPr>
        <w:t xml:space="preserve">投标人代表对开标过程和开标记录有疑义，以及认为采购人、采购代理机构相关工作人员有需要回避的情形的，</w:t>
      </w:r>
      <w:r>
        <w:rPr>
          <w:rFonts w:hint="eastAsia" w:ascii="宋体" w:hAnsi="宋体" w:eastAsia="宋体" w:cs="宋体"/>
          <w:b/>
          <w:color w:val="auto"/>
          <w:sz w:val="21"/>
          <w:szCs w:val="21"/>
          <w:highlight w:val="none"/>
        </w:rPr>
        <w:t xml:space="preserve">应通过不见面开标大厅提出</w:t>
      </w:r>
      <w:r>
        <w:rPr>
          <w:rFonts w:hint="eastAsia" w:ascii="宋体" w:hAnsi="宋体" w:eastAsia="宋体" w:cs="宋体"/>
          <w:color w:val="auto"/>
          <w:sz w:val="21"/>
          <w:szCs w:val="21"/>
          <w:highlight w:val="none"/>
        </w:rPr>
        <w:t xml:space="preserve">询问或者回避申请。采购人、采购代理机构对投标人代表提出的询问或者回避申请应当及时处理。</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 评标委员会</w:t>
      </w:r>
      <w:r>
        <w:rPr>
          <w:rFonts w:hint="eastAsia" w:ascii="宋体" w:hAnsi="宋体" w:eastAsia="宋体" w:cs="宋体"/>
          <w:b/>
          <w:color w:val="auto"/>
          <w:sz w:val="21"/>
          <w:szCs w:val="21"/>
          <w:highlight w:val="none"/>
        </w:rPr>
        <w:tab/>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24.1评标委员会由采购人或委托采购代理机构依法组建，负责本项目的评标事务。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24.2评标委员会独立履行下列职责：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24.2.1审查投标文件是否符合招标文件的商务、技术等实质性要求，并作出评价；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24.2.2可以要求投标供应商对投标文件有关事项作出解释或澄清；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24.2.3推荐中标候选供应商名单，或者受采购人委托按照事先确定的办法直接确定中标供应商；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采购代理机构或者有关部门报告非法干预评标工作的行为；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24.3评标委员会成员应当履行下列义务：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24.3.1遵纪守法，客观、公正、廉洁地履行职责；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24.3.2按照招标文件规定的评标办法和评标标准进行评标，对评审意见承担个人责任；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24.3.3对评标过程和结果，以及投标人的商业秘密保密；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24.3.4参与评标报告的起草；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24.3.5配合</w:t>
      </w:r>
      <w:r>
        <w:rPr>
          <w:rFonts w:hint="eastAsia" w:ascii="宋体" w:hAnsi="宋体" w:eastAsia="宋体" w:cs="宋体"/>
          <w:color w:val="auto"/>
          <w:sz w:val="21"/>
          <w:szCs w:val="21"/>
          <w:highlight w:val="none"/>
          <w:lang w:val="en-US" w:eastAsia="zh-CN"/>
        </w:rPr>
        <w:t xml:space="preserve">采购人和</w:t>
      </w:r>
      <w:r>
        <w:rPr>
          <w:rFonts w:hint="eastAsia" w:ascii="宋体" w:hAnsi="宋体" w:eastAsia="宋体" w:cs="宋体"/>
          <w:color w:val="auto"/>
          <w:sz w:val="21"/>
          <w:szCs w:val="21"/>
          <w:highlight w:val="none"/>
        </w:rPr>
        <w:t xml:space="preserve">采购代理机构答复投标供应商提出的质疑；</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24.3.6配合相关部门的投诉处理工作；</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 评标内容的保密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 在投标文件的审查、澄清、评价和比较以及授予合同的过程中，投标人对采购代理机构和评标委员会成员施加影响的任何行为，都将取消其投标资格。</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26.1投标文件初审分为资格性检查和符合性检查。</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26.1.1资格性检查。依据法律法规和招标文件的规定，由采购人</w:t>
      </w:r>
      <w:r>
        <w:rPr>
          <w:rFonts w:hint="eastAsia" w:ascii="宋体" w:hAnsi="宋体" w:eastAsia="宋体" w:cs="宋体"/>
          <w:color w:val="auto"/>
          <w:sz w:val="21"/>
          <w:szCs w:val="21"/>
          <w:highlight w:val="none"/>
          <w:lang w:val="en-US" w:eastAsia="zh-CN"/>
        </w:rPr>
        <w:t xml:space="preserve">或采购人委托采购代理机构</w:t>
      </w:r>
      <w:r>
        <w:rPr>
          <w:rFonts w:hint="eastAsia" w:ascii="宋体" w:hAnsi="宋体" w:eastAsia="宋体" w:cs="宋体"/>
          <w:color w:val="auto"/>
          <w:sz w:val="21"/>
          <w:szCs w:val="21"/>
          <w:highlight w:val="none"/>
        </w:rPr>
        <w:t xml:space="preserve">对投标文件中的资格证明文件进行审查，未通过资格审查的视为无效投标。</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 </w:t>
      </w:r>
      <w:r>
        <w:rPr>
          <w:rFonts w:hint="eastAsia" w:ascii="宋体" w:hAnsi="宋体" w:eastAsia="宋体" w:cs="宋体"/>
          <w:color w:val="auto"/>
          <w:sz w:val="21"/>
          <w:szCs w:val="21"/>
          <w:highlight w:val="none"/>
          <w:lang w:val="zh-CN"/>
        </w:rPr>
        <w:t xml:space="preserve">关于信用记录查询：</w:t>
      </w:r>
      <w:r/>
    </w:p>
    <w:p>
      <w:pPr>
        <w:ind w:firstLine="50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26.1.2.3供应商若在经营活动中受到罚款的，请携带相关地方、部门对较大数额认定标准的证明材料，与投标文件一并提交。若无法提供，则可能承担响应无效等相应不利后果。</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26.1.2.4对存在失信信息的供应商，由失信供应商进行确认。同时，采购代理机构工作人员应根据评审小组确认的失信信息，</w:t>
      </w:r>
      <w:r>
        <w:rPr>
          <w:rFonts w:hint="eastAsia" w:ascii="宋体" w:hAnsi="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相关来源网站页面进行复核并打印，作为证据留存。</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26.1.3符合性检查。依据招标文件的规定，由评委会从投标文件的有效性、完整性和对招标文件的响应程度进行审查，以确定是否对招标文件的实质性要求作出响应。</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 不同投标人的投标文件由同一单位或者个人编制；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26.2.2不同投</w:t>
      </w:r>
      <w:r>
        <w:rPr>
          <w:rFonts w:hint="eastAsia" w:ascii="宋体" w:hAnsi="宋体" w:eastAsia="宋体" w:cs="宋体"/>
          <w:color w:val="auto"/>
          <w:sz w:val="21"/>
          <w:szCs w:val="21"/>
          <w:highlight w:val="none"/>
        </w:rPr>
        <w:t xml:space="preserve">标人委托同一单位或者个人办理投标事宜；</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26.2.3不同投标人的投标文件载明的项目管理成员或者联系人员为同一人；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26.2.4不同投标人的投标文件异常一致或者投标报价呈规律性差异；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26.2.5不同投标人的投标文件相互混装；</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26.3在详细评标之前，</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26.5</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将对确定为实质性响应的投标进行进一步审核，确定其是否有计算上或累加上的算术错误，修正错误的原则如下：</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26.6.1投标文件中开标一览表内容与投标文件中相应内容不一致的，以开标一览表为准；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26.6.2大写金额和小写金额不一致的，以大写金额为准；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26.6.3单价金额小数点或者百分比有明显错位的，以开标一览表的总价为准，并修改单价；</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26.6.4总价金额与按单价汇总金额不一致的，以单价金额计算结果为准。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26.7投标人在开、评标全过程中应保持通讯畅通，及时登录苏采云系统查阅、答复相关信息。</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根据财库〔2026〕2号文件规定，评审过程中出现下列情形之一的，评审委员会应当启动异常低价投标（响应）审查程序: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（3）投标（响应）报价低于采购项目最高限价45%的，即投标（响应）报价&lt;采购项目最高限价×45%；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（4）评审委员会基于专业判断，认为供应商报价过低，有可能影响产品质量或者不能诚信履约的其他情形。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.2、投标（响应）供应商不提供书面说明、证明材料，或者提供的书面说明、证明材料不能证明其报价合理性的，评审委员会应当将其作为无效投标（响应）处理。审查相关情况应当在评审报告中进行记录。</w:t>
      </w:r>
      <w:r/>
    </w:p>
    <w:p>
      <w:pPr>
        <w:ind w:firstLine="316"/>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.3、异常低价审查有关要求，均以财库〔2026〕2号为准。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对投标文件的判定，只依据投标内容本身，不依靠开标后的任何外来证明。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将拒绝被确定为非实质性响应的投标，投标人不能通过修正或撤销不符之处而使其投标成为实质性响应的投标。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根据苏州市财政局《关于贯彻执行绿色采购、促进残疾人就业和支持监狱企业发展有关政策的通知》（苏财购</w:t>
      </w:r>
      <w:r>
        <w:rPr>
          <w:rFonts w:hint="eastAsia" w:ascii="宋体" w:hAnsi="宋体" w:cs="宋体"/>
          <w:color w:val="auto"/>
          <w:sz w:val="21"/>
          <w:szCs w:val="21"/>
          <w:highlight w:val="none"/>
          <w:lang w:eastAsia="zh-CN"/>
        </w:rPr>
        <w:t xml:space="preserve">〔2019〕10号</w:t>
      </w:r>
      <w:r>
        <w:rPr>
          <w:rFonts w:hint="eastAsia" w:ascii="宋体" w:hAnsi="宋体" w:eastAsia="宋体" w:cs="宋体"/>
          <w:color w:val="auto"/>
          <w:sz w:val="21"/>
          <w:szCs w:val="21"/>
          <w:highlight w:val="none"/>
        </w:rPr>
        <w:t xml:space="preserve">）文件规定（不涉及可忽略此条）：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.2投标人可到中国政府采购网（www.ccgp.gov.cn）查询由国家确定的认证机构出具的、处于有效期之内的节能产品、环境标志产品认证证书和提供有效截图。”</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对于</w:t>
      </w:r>
      <w:r>
        <w:rPr>
          <w:rFonts w:hint="eastAsia" w:ascii="宋体" w:hAnsi="宋体" w:eastAsia="宋体" w:cs="宋体"/>
          <w:color w:val="auto"/>
          <w:sz w:val="21"/>
          <w:szCs w:val="21"/>
          <w:highlight w:val="none"/>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color w:val="auto"/>
          <w:sz w:val="21"/>
          <w:szCs w:val="21"/>
          <w:highlight w:val="none"/>
          <w:lang w:val="en-US" w:eastAsia="zh-CN"/>
        </w:rPr>
        <w:t xml:space="preserve">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投标人的澄清、说明或者补正应当采用书面（或电子件）形式，并加盖其单位电子公章。投标人的澄清、说明或者补正不得超出投标文件的范围或者改变投标文件的实质性内容。</w:t>
      </w:r>
      <w:r/>
    </w:p>
    <w:p>
      <w:pPr>
        <w:ind w:firstLine="316"/>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本项目投标人的澄清、说明或者补正采用线上澄清</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28.无效投标和废标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28.1无效投标的具体情形有：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投标文件未按招标文件要求签署、盖章或电子签章的；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不具备招标文件中规定的资格要求的；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报价超过招标文件中规定的预算金额或者最高限价的；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投标文件含有采购人不能接受的附加条件的；</w:t>
      </w:r>
      <w:r/>
    </w:p>
    <w:p>
      <w:pPr>
        <w:ind w:firstLine="315"/>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机器码检查中，出现不同投标人投标文件机器码一致情形的；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法律、法规和招标文件规定的其他无效情形。</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28.2有下列情形之一的，视为投标人串通投标，其投标无效：</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28.2.1不同投标人的投标文件由同一单位或者个人编制；</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28.2.2不同投标人委托同一单位或者个人办理投标事宜；</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28.2.3不同投标人的投标文件载明的项目管理成员或者联系人员为同一人；</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28.2.4不同投标人的投标文件异常一致或者投标报价呈规律性差异；</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28.2.5不同投标人的投标文件相互混装。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在招标采购中，出现下列情形之一的，应予废标：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.1符合专业条件的供应商或者对招标文件作实质响应的供应商不足三家的；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.2出现影响采购公正的违法、违规行为的；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.3投标人的报价均超过了采购预算，采购人不能支付的；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.4因重大变故，采购任务取消的。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废标后，采购人和采购代理机构将把废标的理由通知所有投标人。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 投标文件的评价和比较</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29.2.1服务的质量保证（保障）内容；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29.2.2服务配备的人员；</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29.2.3投标者的资信情况和履约能力；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29.2.4投标者提供的其他优惠条件；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29.2.5参与本项目政府采购工作的态度及信誉；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29.2.6最低的投标报价或最高的折扣比例是中标的重要条件，但不是唯一条件。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七、授予合同</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中标供应商的确认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30.1评标委员会按招标文件规定的评标方法和标准进行详细评审后，按采购人的委托向采购人推荐中标候选</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或根据采购人授权直接确定中标供应商。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30.2经评标委员会评审并确定中标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后，采购人或授权采购代理机构将在规定的时间内将中标结果在相关媒体上予以公告。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30.4质疑函递交地点及联系方式详见公告内容</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合同授予标准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31.1采购人将把合同授予其投标文件在实质上响应招标文件要求和按本须知规定评选出的投标人。确定为中标的投标人必须具有实施本合同的能力和资源。</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中标通知书</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33.1确定出中标人后，采购代理机构在法定时间内向中标人发出中标通知书。</w:t>
      </w:r>
      <w:r>
        <w:rPr>
          <w:rFonts w:hint="eastAsia" w:ascii="宋体" w:hAnsi="宋体" w:eastAsia="宋体" w:cs="宋体"/>
          <w:b/>
          <w:bCs/>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33.2中标通知书将成为合同的组成部分，对采购人和中标人具有同等法律效力。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33.3中标通知书发出后，采购人不得违法改变中标结果，中标人无正当理由不得放弃中标。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33.4采购代理机构对未中标供应商不承担解释未中标原因的义务。</w:t>
      </w:r>
      <w:r/>
    </w:p>
    <w:p>
      <w:pPr>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33.履约保证金</w:t>
      </w:r>
      <w:r/>
    </w:p>
    <w:p>
      <w:pPr>
        <w:ind w:firstLine="315"/>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33.1</w:t>
      </w:r>
      <w:r>
        <w:rPr>
          <w:rFonts w:hint="eastAsia" w:ascii="宋体" w:hAnsi="宋体" w:eastAsia="宋体" w:cs="宋体"/>
          <w:color w:val="auto"/>
          <w:sz w:val="21"/>
          <w:szCs w:val="21"/>
          <w:highlight w:val="none"/>
          <w:lang w:val="en-US" w:eastAsia="zh-CN"/>
        </w:rPr>
        <w:t xml:space="preserve">本项目不涉及。</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 合同的签订</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 采购人与中标人原则上应当在中标通知书发出之日起三十日内，按照招标文件及投标文件确定的事项签订政府采购合同。</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34.2中标供应商应按中标通知书中规定，由法定代表人或授权代理人与采购人代表签订合同，否则按放弃中标权处理。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34.3签订合同及合同条款应以招标文件和中标供应商的投标文件及其澄清文件为依据。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p>
    <w:p>
      <w:pPr>
        <w:ind w:firstLine="211"/>
        <w:spacing w:line="440" w:lineRule="exact"/>
        <w:rPr>
          <w:rFonts w:hint="eastAsia" w:ascii="宋体" w:hAnsi="宋体" w:eastAsia="宋体" w:cs="宋体"/>
          <w:b/>
          <w:color w:val="auto"/>
          <w:sz w:val="21"/>
          <w:szCs w:val="21"/>
          <w:highlight w:val="none"/>
        </w:rPr>
      </w:pPr>
      <w:r/>
      <w:bookmarkStart w:id="9" w:name="_Toc467507043"/>
      <w:r/>
      <w:bookmarkStart w:id="10" w:name="_Toc315875321"/>
      <w:r/>
      <w:bookmarkStart w:id="11" w:name="_Toc158691774"/>
      <w:r/>
      <w:bookmarkStart w:id="12" w:name="_Toc467507037"/>
      <w:r/>
      <w:bookmarkStart w:id="13" w:name="_Toc315868058"/>
      <w:r>
        <w:rPr>
          <w:rFonts w:hint="eastAsia" w:ascii="宋体" w:hAnsi="宋体" w:eastAsia="宋体" w:cs="宋体"/>
          <w:b/>
          <w:color w:val="auto"/>
          <w:sz w:val="21"/>
          <w:szCs w:val="21"/>
          <w:highlight w:val="none"/>
        </w:rPr>
        <w:t xml:space="preserve">八、政府采购相关政策</w:t>
      </w:r>
      <w:r/>
    </w:p>
    <w:p>
      <w:pPr>
        <w:ind w:firstLine="422"/>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35.</w:t>
      </w:r>
      <w:r>
        <w:rPr>
          <w:rFonts w:hint="eastAsia" w:ascii="宋体" w:hAnsi="宋体" w:eastAsia="宋体" w:cs="宋体"/>
          <w:b/>
          <w:color w:val="auto"/>
          <w:sz w:val="21"/>
          <w:szCs w:val="21"/>
          <w:highlight w:val="none"/>
        </w:rPr>
        <w:t xml:space="preserve">采购本国货物、服务和工程</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政府采购应当采购本国货物、工程和服务。但有《中华人民共和国政府采购法》第十条规定情形的除外。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.1本项目如接受非本国货物、工程、服务参与投标，则具体要求见《项目需求》。若《项目需求》中不接受采购进口产品，投标人所投产品为进口产品的将被认定为投标无效。</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.5对本国产品的支持政策的相关要求：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36.</w:t>
      </w:r>
      <w:r>
        <w:rPr>
          <w:rFonts w:hint="eastAsia" w:ascii="宋体" w:hAnsi="宋体" w:eastAsia="宋体" w:cs="宋体"/>
          <w:b/>
          <w:color w:val="auto"/>
          <w:sz w:val="21"/>
          <w:szCs w:val="21"/>
          <w:highlight w:val="none"/>
        </w:rPr>
        <w:t xml:space="preserve">支持中小企业发展</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.2在政府采购活动中，供应商提供的服务符合下列情形的，享受中小企业扶持政策：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（1）服务由中小企业承接，即提供服务的人员为中小企业依照《中华人民共和国劳动合同法》订立劳动合同的从业人员。</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（2）以联合体形式参加政府采购活动，联合体各方均为中小企业的，联合体视同中小企业。其中，联合体各方均为小微企业的，联合体视同小微企业。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.3根据《财政部 司法部关于政府采购支持监狱企业发展有关问题的通知》（财库〔2014〕68 号），监狱企业视同小型、微型企业。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.4在政府采购活动中，满足《财政部 民政部 中国残疾人联合会关于促进残疾人就业政府采购政策的通知》（财库〔2017〕141 号）所列条件的残疾人福利性单位视同小型、微型企业。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5中小企业供应商参加政府采购活动，应当出具标准格式的《中小企业声明函》、监狱企业应当提供省级以上监狱管理局、戒毒管理局（含新疆生产建设兵团）出具的属于监狱企业的证明文件、残疾人福利性单位应当提供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.6实施预留采购份额扶持政策的相关要求：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（1）对于将采购项目整体或者设置采购包专门面向中小企业的采购项目，投标人应提供标准格式的《中小企业声明函》或监狱企业证明文件或《残疾人福利性单位声明函》。</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（2）对于要求供应商以联合体形式参加采购活动，</w:t>
      </w:r>
      <w:r>
        <w:rPr>
          <w:rFonts w:hint="eastAsia" w:ascii="宋体" w:hAnsi="宋体" w:eastAsia="宋体" w:cs="宋体"/>
          <w:b w:val="0"/>
          <w:bCs/>
          <w:color w:val="auto"/>
          <w:sz w:val="21"/>
          <w:szCs w:val="21"/>
          <w:highlight w:val="none"/>
        </w:rPr>
        <w:t xml:space="preserve">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（3）对小微企业不再执行价格评审优惠。</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.7实施价格评审优惠扶持政策的相关要求：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（2）接受大中型企业与小微企业组成联合体或者允许大中型企业向一家或者多家小</w:t>
      </w:r>
      <w:r>
        <w:rPr>
          <w:rFonts w:hint="eastAsia" w:ascii="宋体" w:hAnsi="宋体" w:eastAsia="宋体" w:cs="宋体"/>
          <w:b w:val="0"/>
          <w:bCs/>
          <w:color w:val="auto"/>
          <w:sz w:val="21"/>
          <w:szCs w:val="21"/>
          <w:highlight w:val="none"/>
        </w:rPr>
        <w:t xml:space="preserve">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（3）价格扣除比例对小型企业和微型企业同等对待，不作区分。</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.8本项目是否专门面向中小企业预留采购份额的资格要求：见《招标公告》。</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.9本项目小微企业价格评审优惠的价格扣除比例调整：见《评标办法及</w:t>
      </w:r>
      <w:r>
        <w:rPr>
          <w:rFonts w:hint="eastAsia" w:ascii="宋体" w:hAnsi="宋体" w:eastAsia="宋体" w:cs="宋体"/>
          <w:b w:val="0"/>
          <w:bCs/>
          <w:color w:val="auto"/>
          <w:sz w:val="21"/>
          <w:szCs w:val="21"/>
          <w:highlight w:val="none"/>
          <w:lang w:val="en-US" w:eastAsia="zh-CN"/>
        </w:rPr>
        <w:t xml:space="preserve">评标</w:t>
      </w:r>
      <w:r>
        <w:rPr>
          <w:rFonts w:hint="eastAsia" w:ascii="宋体" w:hAnsi="宋体" w:eastAsia="宋体" w:cs="宋体"/>
          <w:b w:val="0"/>
          <w:bCs/>
          <w:color w:val="auto"/>
          <w:sz w:val="21"/>
          <w:szCs w:val="21"/>
          <w:highlight w:val="none"/>
        </w:rPr>
        <w:t xml:space="preserve">标准》。</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.10采购标的对应的所属行业中小企业划分标准：见《工信部联企业〔2011〕300号通知》。</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37.</w:t>
      </w:r>
      <w:r>
        <w:rPr>
          <w:rFonts w:hint="eastAsia" w:ascii="宋体" w:hAnsi="宋体" w:eastAsia="宋体" w:cs="宋体"/>
          <w:b/>
          <w:color w:val="auto"/>
          <w:sz w:val="21"/>
          <w:szCs w:val="21"/>
          <w:highlight w:val="none"/>
        </w:rPr>
        <w:t xml:space="preserve">支持绿色采购</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.1根据《财政部 </w:t>
      </w:r>
      <w:r>
        <w:rPr>
          <w:rFonts w:hint="eastAsia" w:ascii="宋体" w:hAnsi="宋体" w:eastAsia="宋体" w:cs="宋体"/>
          <w:b w:val="0"/>
          <w:bCs/>
          <w:color w:val="auto"/>
          <w:sz w:val="21"/>
          <w:szCs w:val="21"/>
          <w:highlight w:val="none"/>
        </w:rPr>
        <w:t xml:space="preserve">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2在《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评标办法及</w:t>
      </w:r>
      <w:r>
        <w:rPr>
          <w:rFonts w:hint="eastAsia" w:ascii="宋体" w:hAnsi="宋体" w:eastAsia="宋体" w:cs="宋体"/>
          <w:b w:val="0"/>
          <w:bCs/>
          <w:color w:val="auto"/>
          <w:sz w:val="21"/>
          <w:szCs w:val="21"/>
          <w:highlight w:val="none"/>
          <w:lang w:val="en-US" w:eastAsia="zh-CN"/>
        </w:rPr>
        <w:t xml:space="preserve">评标</w:t>
      </w:r>
      <w:r>
        <w:rPr>
          <w:rFonts w:hint="eastAsia" w:ascii="宋体" w:hAnsi="宋体" w:eastAsia="宋体" w:cs="宋体"/>
          <w:b w:val="0"/>
          <w:bCs/>
          <w:color w:val="auto"/>
          <w:sz w:val="21"/>
          <w:szCs w:val="21"/>
          <w:highlight w:val="none"/>
        </w:rPr>
        <w:t xml:space="preserve">标准》（如涉及）。</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.3纳入政府采购管理的修缮、装修类项目采购建材的，鼓励采购单位将绿色建材性能、指标等作为实质性条件纳入采购文件和合同，具体性能指标要求参考相关绿色建材政府采购需求标准。</w:t>
      </w:r>
      <w:r/>
    </w:p>
    <w:p>
      <w:pPr>
        <w:ind w:firstLine="420"/>
        <w:spacing w:line="5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九、其他事项</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.代理服务费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.1本项目的采购代理服务费和评委费由采购人承担。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.2本项目采购代理服务费及专家评审费由</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支付，代理服务费按预算金额100万元以内1.5%、100～500万元1.1%、500～1000万元0.8%、1000～5000万元0.5%按差额定率累进法计算，单个项目代理服务费最低收费标准为3500元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本项目代理服务费为30037元</w:t>
      </w:r>
      <w:r>
        <w:rPr>
          <w:rFonts w:hint="eastAsia" w:ascii="宋体" w:hAnsi="宋体" w:eastAsia="宋体" w:cs="宋体"/>
          <w:color w:val="auto"/>
          <w:sz w:val="21"/>
          <w:szCs w:val="21"/>
          <w:highlight w:val="none"/>
        </w:rPr>
        <w:t xml:space="preserve">；专家评审费按实际发生金额计算。</w:t>
      </w:r>
      <w:r/>
    </w:p>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监督</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39.1政府有关监督部门将对招投标全过程进行监督。</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.未尽事宜</w:t>
      </w:r>
      <w:r/>
    </w:p>
    <w:p>
      <w:pPr>
        <w:ind w:firstLine="315"/>
        <w:spacing w:line="440" w:lineRule="exact"/>
        <w:rPr>
          <w:rFonts w:hint="eastAsia" w:ascii="宋体" w:hAnsi="宋体"/>
          <w:color w:val="auto"/>
          <w:sz w:val="24"/>
          <w:szCs w:val="24"/>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.1按《中华人民共和国政府采购法》及其他有关法律法规的规定执行。</w:t>
      </w:r>
      <w:r/>
    </w:p>
    <w:p>
      <w:pPr>
        <w:jc w:val="center"/>
        <w:keepLines w:val="0"/>
        <w:pageBreakBefore w:val="0"/>
        <w:spacing w:line="400" w:lineRule="exact"/>
        <w:widowControl w:val="off"/>
        <w:rPr>
          <w:rFonts w:hint="eastAsia" w:ascii="宋体" w:hAnsi="宋体" w:cs="宋体"/>
          <w:b/>
          <w:color w:val="auto"/>
          <w:sz w:val="44"/>
          <w:szCs w:val="44"/>
          <w:highlight w:val="none"/>
        </w:rPr>
      </w:pPr>
      <w:r>
        <w:rPr>
          <w:rFonts w:hint="eastAsia" w:ascii="宋体" w:hAnsi="宋体"/>
          <w:color w:val="auto"/>
          <w:sz w:val="24"/>
          <w:szCs w:val="24"/>
          <w:highlight w:val="none"/>
        </w:rPr>
        <w:br w:type="page" w:clear="all"/>
      </w:r>
      <w:r>
        <w:rPr>
          <w:rFonts w:hint="eastAsia" w:ascii="宋体" w:hAnsi="宋体" w:eastAsia="宋体" w:cs="Times New Roman"/>
          <w:b/>
          <w:color w:val="auto"/>
          <w:sz w:val="32"/>
          <w:szCs w:val="32"/>
          <w:highlight w:val="none"/>
          <w:lang w:val="en-US" w:eastAsia="zh-CN" w:bidi="ar-SA"/>
        </w:rPr>
        <w:t xml:space="preserve">第三部分  项目需求</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一、项目信息：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1、采购单位：</w:t>
      </w:r>
      <w:r>
        <w:rPr>
          <w:rFonts w:hint="eastAsia" w:ascii="宋体" w:hAnsi="宋体" w:eastAsia="宋体" w:cs="宋体"/>
          <w:color w:val="auto"/>
          <w:sz w:val="21"/>
          <w:szCs w:val="21"/>
          <w:highlight w:val="none"/>
          <w:lang w:eastAsia="zh-CN"/>
        </w:rPr>
        <w:t xml:space="preserve">太仓市公安局</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2026年警务通通讯服务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3、项目编号：</w:t>
      </w:r>
      <w:r>
        <w:rPr>
          <w:rFonts w:hint="eastAsia" w:ascii="宋体" w:hAnsi="宋体" w:cs="宋体"/>
          <w:color w:val="auto"/>
          <w:sz w:val="21"/>
          <w:szCs w:val="21"/>
          <w:highlight w:val="none"/>
          <w:lang w:eastAsia="zh-CN"/>
        </w:rPr>
        <w:t xml:space="preserve">JSZC-320585-ZFXM-G2026-0009</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eastAsia="zh-CN"/>
        </w:rPr>
        <w:t xml:space="preserve">236.700000</w:t>
      </w:r>
      <w:r>
        <w:rPr>
          <w:rFonts w:hint="eastAsia" w:ascii="宋体" w:hAnsi="宋体" w:eastAsia="宋体" w:cs="宋体"/>
          <w:color w:val="auto"/>
          <w:sz w:val="21"/>
          <w:szCs w:val="21"/>
          <w:highlight w:val="none"/>
          <w:lang w:eastAsia="zh-CN"/>
        </w:rPr>
        <w:t xml:space="preserve">万元，（采购包1：</w:t>
      </w:r>
      <w:r>
        <w:rPr>
          <w:rFonts w:hint="eastAsia" w:ascii="宋体" w:hAnsi="宋体" w:cs="宋体"/>
          <w:color w:val="auto"/>
          <w:sz w:val="21"/>
          <w:szCs w:val="21"/>
          <w:highlight w:val="none"/>
          <w:lang w:eastAsia="zh-CN"/>
        </w:rPr>
        <w:t xml:space="preserve">182.500000</w:t>
      </w:r>
      <w:r>
        <w:rPr>
          <w:rFonts w:hint="eastAsia" w:ascii="宋体" w:hAnsi="宋体" w:eastAsia="宋体" w:cs="宋体"/>
          <w:color w:val="auto"/>
          <w:sz w:val="21"/>
          <w:szCs w:val="21"/>
          <w:highlight w:val="none"/>
          <w:lang w:eastAsia="zh-CN"/>
        </w:rPr>
        <w:t xml:space="preserve">万元；采购包2：</w:t>
      </w:r>
      <w:r>
        <w:rPr>
          <w:rFonts w:hint="eastAsia" w:ascii="宋体" w:hAnsi="宋体" w:cs="宋体"/>
          <w:color w:val="auto"/>
          <w:sz w:val="21"/>
          <w:szCs w:val="21"/>
          <w:highlight w:val="none"/>
          <w:lang w:eastAsia="zh-CN"/>
        </w:rPr>
        <w:t xml:space="preserve">54.2</w:t>
      </w:r>
      <w:r>
        <w:rPr>
          <w:rFonts w:hint="eastAsia" w:ascii="宋体" w:hAnsi="宋体" w:eastAsia="宋体" w:cs="宋体"/>
          <w:color w:val="auto"/>
          <w:sz w:val="21"/>
          <w:szCs w:val="21"/>
          <w:highlight w:val="none"/>
          <w:lang w:eastAsia="zh-CN"/>
        </w:rPr>
        <w:t xml:space="preserve">00000万元）</w:t>
      </w:r>
      <w:r/>
    </w:p>
    <w:p>
      <w:pPr>
        <w:ind w:firstLine="63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不得超过</w:t>
      </w:r>
      <w:r>
        <w:rPr>
          <w:rFonts w:hint="eastAsia" w:ascii="宋体" w:hAnsi="宋体" w:eastAsia="宋体" w:cs="宋体"/>
          <w:color w:val="auto"/>
          <w:sz w:val="21"/>
          <w:szCs w:val="21"/>
          <w:highlight w:val="none"/>
          <w:lang w:val="en-US" w:eastAsia="zh-CN"/>
        </w:rPr>
        <w:t xml:space="preserve">单价最高限价</w:t>
      </w:r>
      <w:r>
        <w:rPr>
          <w:rFonts w:hint="eastAsia" w:ascii="宋体" w:hAnsi="宋体" w:cs="宋体"/>
          <w:color w:val="auto"/>
          <w:sz w:val="21"/>
          <w:szCs w:val="21"/>
          <w:highlight w:val="none"/>
          <w:lang w:val="en-US" w:eastAsia="zh-CN"/>
        </w:rPr>
        <w:t xml:space="preserve">，详见采购需求</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5、合同履行期限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一年</w:t>
      </w:r>
      <w:r/>
    </w:p>
    <w:p>
      <w:pPr>
        <w:numPr>
          <w:ilvl w:val="0"/>
          <w:numId w:val="0"/>
        </w:num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6、服务地点：采购方指定</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w:t>
      </w:r>
      <w:r>
        <w:rPr>
          <w:rFonts w:hint="eastAsia" w:ascii="宋体" w:hAnsi="宋体" w:cs="宋体"/>
          <w:b/>
          <w:bCs/>
          <w:color w:val="auto"/>
          <w:sz w:val="21"/>
          <w:szCs w:val="21"/>
          <w:highlight w:val="none"/>
          <w:lang w:val="en-US" w:eastAsia="zh-CN"/>
        </w:rPr>
        <w:t xml:space="preserve">需求</w:t>
      </w:r>
      <w:r>
        <w:rPr>
          <w:rFonts w:hint="eastAsia" w:ascii="宋体" w:hAnsi="宋体" w:eastAsia="宋体" w:cs="宋体"/>
          <w:b/>
          <w:bCs/>
          <w:color w:val="auto"/>
          <w:sz w:val="21"/>
          <w:szCs w:val="21"/>
          <w:highlight w:val="none"/>
        </w:rPr>
        <w:t xml:space="preserve">:</w:t>
      </w:r>
      <w:r/>
    </w:p>
    <w:p>
      <w:pPr>
        <w:ind w:firstLine="422"/>
        <w:jc w:val="left"/>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（一）服务内容</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本项目共分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个采购包，各采购包划分情况见下表：</w:t>
      </w:r>
      <w:r/>
    </w:p>
    <w:p>
      <w:pPr>
        <w:ind w:firstLine="422"/>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采购包1</w:t>
      </w:r>
      <w:r>
        <w:rPr>
          <w:rFonts w:hint="eastAsia" w:ascii="宋体" w:hAnsi="宋体" w:eastAsia="宋体" w:cs="Times New Roman"/>
          <w:b/>
          <w:color w:val="auto"/>
          <w:sz w:val="21"/>
          <w:szCs w:val="21"/>
          <w:highlight w:val="none"/>
        </w:rPr>
        <w:t xml:space="preserve">：</w:t>
      </w:r>
      <w:r/>
    </w:p>
    <w:tbl>
      <w:tblPr>
        <w:tblStyle w:val="907"/>
        <w:tblW w:w="8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365"/>
        <w:gridCol w:w="4269"/>
        <w:gridCol w:w="1100"/>
        <w:gridCol w:w="1293"/>
      </w:tblGrid>
      <w:tr>
        <w:trPr>
          <w:jc w:val="center"/>
          <w:trHeight w:val="437"/>
        </w:trPr>
        <w:tc>
          <w:tcPr>
            <w:tcW w:w="685"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序号</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名称</w:t>
            </w:r>
            <w:r/>
          </w:p>
        </w:tc>
        <w:tc>
          <w:tcPr>
            <w:tcW w:w="426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规格、要求</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rPr>
              <w:t xml:space="preserve">单价</w:t>
            </w:r>
            <w:r>
              <w:rPr>
                <w:rFonts w:hint="eastAsia" w:ascii="宋体" w:hAnsi="宋体" w:eastAsia="宋体" w:cs="Times New Roman"/>
                <w:bCs/>
                <w:color w:val="auto"/>
                <w:sz w:val="21"/>
                <w:szCs w:val="21"/>
                <w:highlight w:val="none"/>
                <w:lang w:val="en-US" w:eastAsia="zh-CN"/>
              </w:rPr>
              <w:t xml:space="preserve">限价</w:t>
            </w:r>
            <w:r/>
          </w:p>
        </w:tc>
        <w:tc>
          <w:tcPr>
            <w:tcW w:w="129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备注</w:t>
            </w:r>
            <w:r/>
          </w:p>
        </w:tc>
      </w:tr>
      <w:tr>
        <w:trPr>
          <w:jc w:val="center"/>
          <w:trHeight w:val="1720"/>
        </w:trPr>
        <w:tc>
          <w:tcPr>
            <w:tcW w:w="6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bCs/>
                <w:color w:val="auto"/>
                <w:sz w:val="21"/>
                <w:szCs w:val="21"/>
                <w:highlight w:val="none"/>
              </w:rPr>
              <w:suppressLineNumbers w:val="0"/>
            </w:pPr>
            <w:r>
              <w:rPr>
                <w:rFonts w:hint="default" w:ascii="宋体" w:hAnsi="宋体" w:eastAsia="宋体" w:cs="Times New Roman"/>
                <w:color w:val="auto"/>
                <w:sz w:val="21"/>
                <w:szCs w:val="21"/>
                <w:highlight w:val="none"/>
              </w:rPr>
              <w:t xml:space="preserve">民警警务通通讯服务</w:t>
            </w:r>
            <w:r/>
          </w:p>
        </w:tc>
        <w:tc>
          <w:tcPr>
            <w:tcW w:w="4269"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1000</w:t>
            </w:r>
            <w:r>
              <w:rPr>
                <w:rFonts w:hint="eastAsia" w:ascii="宋体" w:hAnsi="宋体" w:eastAsia="宋体" w:cs="Times New Roman"/>
                <w:color w:val="auto"/>
                <w:sz w:val="21"/>
                <w:szCs w:val="21"/>
                <w:highlight w:val="none"/>
              </w:rPr>
              <w:t xml:space="preserve">分钟国内主叫通话，叠加</w:t>
            </w:r>
            <w:r>
              <w:rPr>
                <w:rFonts w:hint="default" w:ascii="宋体" w:hAnsi="宋体" w:eastAsia="宋体" w:cs="Times New Roman"/>
                <w:color w:val="auto"/>
                <w:sz w:val="21"/>
                <w:szCs w:val="21"/>
                <w:highlight w:val="none"/>
              </w:rPr>
              <w:t xml:space="preserve">2000</w:t>
            </w:r>
            <w:r>
              <w:rPr>
                <w:rFonts w:hint="eastAsia" w:ascii="宋体" w:hAnsi="宋体" w:eastAsia="宋体" w:cs="Times New Roman"/>
                <w:color w:val="auto"/>
                <w:sz w:val="21"/>
                <w:szCs w:val="21"/>
                <w:highlight w:val="none"/>
              </w:rPr>
              <w:t xml:space="preserve">分钟语音通话</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lang w:eastAsia="zh-CN"/>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2500分钟公安集团网通话</w:t>
            </w:r>
            <w:r/>
          </w:p>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）全国通用流量</w:t>
            </w:r>
            <w:r>
              <w:rPr>
                <w:rFonts w:hint="eastAsia" w:ascii="宋体" w:hAnsi="宋体" w:eastAsia="宋体" w:cs="Times New Roman"/>
                <w:color w:val="auto"/>
                <w:sz w:val="21"/>
                <w:szCs w:val="21"/>
                <w:highlight w:val="none"/>
                <w:lang w:val="en-US" w:eastAsia="zh-CN"/>
              </w:rPr>
              <w:t xml:space="preserve">100</w:t>
            </w:r>
            <w:r>
              <w:rPr>
                <w:rFonts w:hint="default" w:ascii="宋体" w:hAnsi="宋体" w:eastAsia="宋体" w:cs="Times New Roman"/>
                <w:color w:val="auto"/>
                <w:sz w:val="21"/>
                <w:szCs w:val="21"/>
                <w:highlight w:val="none"/>
              </w:rPr>
              <w:t xml:space="preserve">G</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60</w:t>
            </w:r>
            <w:r>
              <w:rPr>
                <w:rFonts w:hint="default" w:ascii="宋体" w:hAnsi="宋体" w:eastAsia="宋体" w:cs="Times New Roman"/>
                <w:color w:val="auto"/>
                <w:sz w:val="21"/>
                <w:szCs w:val="21"/>
                <w:highlight w:val="none"/>
              </w:rPr>
              <w:t xml:space="preserve">G</w:t>
            </w:r>
            <w:r>
              <w:rPr>
                <w:rFonts w:hint="eastAsia" w:ascii="宋体" w:hAnsi="宋体" w:eastAsia="宋体" w:cs="Times New Roman"/>
                <w:color w:val="auto"/>
                <w:sz w:val="21"/>
                <w:szCs w:val="21"/>
                <w:highlight w:val="none"/>
              </w:rPr>
              <w:t xml:space="preserve">区域流量</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lang w:val="en-US" w:eastAsia="zh-CN"/>
              </w:rPr>
              <w:t xml:space="preserve">100</w:t>
            </w:r>
            <w:r>
              <w:rPr>
                <w:rFonts w:hint="eastAsia" w:ascii="宋体" w:hAnsi="宋体" w:eastAsia="宋体" w:cs="Times New Roman"/>
                <w:color w:val="auto"/>
                <w:sz w:val="21"/>
                <w:szCs w:val="21"/>
                <w:highlight w:val="none"/>
              </w:rPr>
              <w:t xml:space="preserve">元/户/月</w:t>
            </w:r>
            <w:r/>
          </w:p>
        </w:tc>
        <w:tc>
          <w:tcPr>
            <w:tcW w:w="129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color w:val="auto"/>
                <w:sz w:val="21"/>
                <w:szCs w:val="21"/>
                <w:highlight w:val="none"/>
                <w:lang w:val="en-US" w:eastAsia="zh-CN"/>
              </w:rPr>
              <w:suppressLineNumbers w:val="0"/>
            </w:pPr>
            <w:r>
              <w:rPr>
                <w:rFonts w:hint="eastAsia" w:ascii="宋体" w:hAnsi="宋体" w:eastAsia="宋体" w:cs="Times New Roman"/>
                <w:color w:val="auto"/>
                <w:sz w:val="21"/>
                <w:szCs w:val="21"/>
                <w:highlight w:val="none"/>
                <w:lang w:eastAsia="zh-CN"/>
              </w:rPr>
              <w:t xml:space="preserve">以单价报价（元/户/月）</w:t>
            </w:r>
            <w:r>
              <w:rPr>
                <w:rFonts w:hint="eastAsia" w:ascii="宋体" w:hAnsi="宋体" w:eastAsia="宋体" w:cs="Times New Roman"/>
                <w:color w:val="auto"/>
                <w:sz w:val="21"/>
                <w:szCs w:val="21"/>
                <w:highlight w:val="none"/>
              </w:rPr>
              <w:t xml:space="preserve">，按实结算。</w:t>
            </w:r>
            <w:r/>
          </w:p>
        </w:tc>
      </w:tr>
      <w:tr>
        <w:trPr>
          <w:jc w:val="center"/>
          <w:trHeight w:val="873"/>
        </w:trPr>
        <w:tc>
          <w:tcPr>
            <w:tcW w:w="68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2</w:t>
            </w:r>
            <w:r/>
          </w:p>
        </w:tc>
        <w:tc>
          <w:tcPr>
            <w:tcW w:w="13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bCs/>
                <w:color w:val="auto"/>
                <w:sz w:val="21"/>
                <w:szCs w:val="21"/>
                <w:highlight w:val="none"/>
              </w:rPr>
              <w:t xml:space="preserve">辅警警务通通讯服务</w:t>
            </w:r>
            <w:r/>
          </w:p>
        </w:tc>
        <w:tc>
          <w:tcPr>
            <w:tcW w:w="4269" w:type="dxa"/>
            <w:vAlign w:val="center"/>
            <w:textDirection w:val="lrTb"/>
            <w:noWrap w:val="false"/>
          </w:tcPr>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200</w:t>
            </w:r>
            <w:r>
              <w:rPr>
                <w:rFonts w:hint="eastAsia" w:ascii="宋体" w:hAnsi="宋体" w:eastAsia="宋体" w:cs="Times New Roman"/>
                <w:color w:val="auto"/>
                <w:sz w:val="21"/>
                <w:szCs w:val="21"/>
                <w:highlight w:val="none"/>
              </w:rPr>
              <w:t xml:space="preserve">分钟国内主叫通话，叠加</w:t>
            </w:r>
            <w:r>
              <w:rPr>
                <w:rFonts w:hint="default" w:ascii="宋体" w:hAnsi="宋体" w:eastAsia="宋体" w:cs="Times New Roman"/>
                <w:color w:val="auto"/>
                <w:sz w:val="21"/>
                <w:szCs w:val="21"/>
                <w:highlight w:val="none"/>
              </w:rPr>
              <w:t xml:space="preserve">2000</w:t>
            </w:r>
            <w:r>
              <w:rPr>
                <w:rFonts w:hint="eastAsia" w:ascii="宋体" w:hAnsi="宋体" w:eastAsia="宋体" w:cs="Times New Roman"/>
                <w:color w:val="auto"/>
                <w:sz w:val="21"/>
                <w:szCs w:val="21"/>
                <w:highlight w:val="none"/>
              </w:rPr>
              <w:t xml:space="preserve">分钟语音通话</w:t>
            </w:r>
            <w:r/>
          </w:p>
          <w:p>
            <w:pPr>
              <w:ind w:left="0" w:right="0"/>
              <w:jc w:val="left"/>
              <w:keepLines w:val="0"/>
              <w:keepNext w:val="0"/>
              <w:spacing w:before="0" w:beforeAutospacing="0" w:after="0" w:afterAutospacing="0" w:line="400" w:lineRule="exact"/>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）全国通用流量</w:t>
            </w:r>
            <w:r>
              <w:rPr>
                <w:rFonts w:hint="default" w:ascii="宋体" w:hAnsi="宋体" w:eastAsia="宋体" w:cs="Times New Roman"/>
                <w:color w:val="auto"/>
                <w:sz w:val="21"/>
                <w:szCs w:val="21"/>
                <w:highlight w:val="none"/>
              </w:rPr>
              <w:t xml:space="preserve">30G  </w:t>
            </w:r>
            <w:r/>
          </w:p>
          <w:p>
            <w:pPr>
              <w:ind w:left="0" w:right="0"/>
              <w:jc w:val="left"/>
              <w:keepLines w:val="0"/>
              <w:keepNext w:val="0"/>
              <w:spacing w:before="0" w:beforeAutospacing="0" w:after="0" w:afterAutospacing="0" w:line="400" w:lineRule="exact"/>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50</w:t>
            </w:r>
            <w:r>
              <w:rPr>
                <w:rFonts w:hint="default" w:ascii="宋体" w:hAnsi="宋体" w:eastAsia="宋体" w:cs="Times New Roman"/>
                <w:color w:val="auto"/>
                <w:sz w:val="21"/>
                <w:szCs w:val="21"/>
                <w:highlight w:val="none"/>
              </w:rPr>
              <w:t xml:space="preserve">G</w:t>
            </w:r>
            <w:r>
              <w:rPr>
                <w:rFonts w:hint="eastAsia" w:ascii="宋体" w:hAnsi="宋体" w:eastAsia="宋体" w:cs="Times New Roman"/>
                <w:color w:val="auto"/>
                <w:sz w:val="21"/>
                <w:szCs w:val="21"/>
                <w:highlight w:val="none"/>
              </w:rPr>
              <w:t xml:space="preserve">区域流量</w:t>
            </w:r>
            <w:r/>
          </w:p>
        </w:tc>
        <w:tc>
          <w:tcPr>
            <w:tcW w:w="1100"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5</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元/户/月</w:t>
            </w:r>
            <w:r/>
          </w:p>
        </w:tc>
        <w:tc>
          <w:tcPr>
            <w:tcW w:w="1293" w:type="dxa"/>
            <w:vAlign w:val="center"/>
            <w:vMerge w:val="continue"/>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tc>
      </w:tr>
    </w:tbl>
    <w:p>
      <w:pPr>
        <w:ind w:firstLine="422"/>
        <w:jc w:val="left"/>
        <w:spacing w:line="360" w:lineRule="auto"/>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采购包2</w:t>
      </w:r>
      <w:r>
        <w:rPr>
          <w:rFonts w:hint="eastAsia" w:ascii="宋体" w:hAnsi="宋体" w:eastAsia="宋体" w:cs="Times New Roman"/>
          <w:b/>
          <w:color w:val="auto"/>
          <w:sz w:val="21"/>
          <w:szCs w:val="21"/>
          <w:highlight w:val="none"/>
        </w:rPr>
        <w:t xml:space="preserve">：</w:t>
      </w:r>
      <w:r/>
    </w:p>
    <w:tbl>
      <w:tblPr>
        <w:tblStyle w:val="907"/>
        <w:tblW w:w="8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665"/>
        <w:gridCol w:w="3945"/>
        <w:gridCol w:w="1245"/>
        <w:gridCol w:w="1214"/>
      </w:tblGrid>
      <w:tr>
        <w:trPr>
          <w:jc w:val="center"/>
          <w:trHeight w:val="492"/>
        </w:trPr>
        <w:tc>
          <w:tcPr>
            <w:tcW w:w="6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序号</w:t>
            </w:r>
            <w:r/>
          </w:p>
        </w:tc>
        <w:tc>
          <w:tcPr>
            <w:tcW w:w="16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标段内容</w:t>
            </w:r>
            <w:r/>
          </w:p>
        </w:tc>
        <w:tc>
          <w:tcPr>
            <w:tcW w:w="394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服务要求</w:t>
            </w:r>
            <w:r/>
          </w:p>
        </w:tc>
        <w:tc>
          <w:tcPr>
            <w:tcW w:w="124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单价限价</w:t>
            </w:r>
            <w:r/>
          </w:p>
        </w:tc>
        <w:tc>
          <w:tcPr>
            <w:tcW w:w="12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备注</w:t>
            </w:r>
            <w:r/>
          </w:p>
        </w:tc>
      </w:tr>
      <w:tr>
        <w:trPr>
          <w:jc w:val="center"/>
          <w:trHeight w:val="1465"/>
        </w:trPr>
        <w:tc>
          <w:tcPr>
            <w:tcW w:w="6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w:t>
            </w:r>
            <w:r/>
          </w:p>
        </w:tc>
        <w:tc>
          <w:tcPr>
            <w:tcW w:w="16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执法仪等其他警务智能终端通讯服务</w:t>
            </w:r>
            <w:r/>
          </w:p>
        </w:tc>
        <w:tc>
          <w:tcPr>
            <w:tcW w:w="394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（1）500分钟国内主叫通话</w:t>
            </w:r>
            <w:r/>
          </w:p>
          <w:p>
            <w:pPr>
              <w:ind w:left="0" w:right="0"/>
              <w:jc w:val="left"/>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（2）全国通用流量50G</w:t>
            </w:r>
            <w:r/>
          </w:p>
        </w:tc>
        <w:tc>
          <w:tcPr>
            <w:tcW w:w="124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50元/户/月</w:t>
            </w:r>
            <w:r/>
          </w:p>
        </w:tc>
        <w:tc>
          <w:tcPr>
            <w:tcW w:w="121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lang w:eastAsia="zh-CN"/>
              </w:rPr>
              <w:t xml:space="preserve">以单价报价（元/户/月）</w:t>
            </w:r>
            <w:r>
              <w:rPr>
                <w:rFonts w:hint="eastAsia" w:ascii="宋体" w:hAnsi="宋体" w:eastAsia="宋体" w:cs="Times New Roman"/>
                <w:color w:val="auto"/>
                <w:sz w:val="21"/>
                <w:szCs w:val="21"/>
                <w:highlight w:val="none"/>
              </w:rPr>
              <w:t xml:space="preserve">，按实结算。</w:t>
            </w:r>
            <w:r/>
          </w:p>
        </w:tc>
      </w:tr>
    </w:tbl>
    <w:p>
      <w:pPr>
        <w:ind w:firstLine="42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（二）服务要求</w:t>
      </w:r>
      <w:r/>
    </w:p>
    <w:p>
      <w:pPr>
        <w:ind w:firstLine="420"/>
        <w:jc w:val="both"/>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1、服务期限：1年</w:t>
      </w:r>
      <w:r>
        <w:rPr>
          <w:rFonts w:hint="eastAsia" w:ascii="宋体" w:hAnsi="宋体" w:eastAsia="宋体" w:cs="宋体"/>
          <w:bCs/>
          <w:color w:val="auto"/>
          <w:sz w:val="21"/>
          <w:szCs w:val="21"/>
          <w:highlight w:val="none"/>
          <w:lang w:eastAsia="zh-CN"/>
        </w:rPr>
        <w:t xml:space="preserve">。</w:t>
      </w:r>
      <w:r/>
    </w:p>
    <w:p>
      <w:pPr>
        <w:ind w:firstLine="420"/>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、服务地点：采购</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指定地点。</w:t>
      </w:r>
      <w:r/>
    </w:p>
    <w:p>
      <w:pPr>
        <w:ind w:firstLine="420"/>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、使用网络须为国际主流5G技术网络，基于无线通信网络，通信质量稳定，信息传递成功率应不低于99.9%。</w:t>
      </w:r>
      <w:r/>
    </w:p>
    <w:p>
      <w:pPr>
        <w:ind w:firstLine="420"/>
        <w:jc w:val="both"/>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4、对后期用户变更、新号入网及清理套餐用户，中标人应明确简化手续，提供相关便利办理，以保障采购人工作正常进行。</w:t>
      </w:r>
      <w:r/>
    </w:p>
    <w:p>
      <w:pPr>
        <w:ind w:firstLine="420"/>
        <w:jc w:val="both"/>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5、中标供应商签订合同后不得以服务费用未到账中断提供相关服务。</w:t>
      </w:r>
      <w:r/>
    </w:p>
    <w:p>
      <w:pPr>
        <w:ind w:firstLine="420"/>
        <w:jc w:val="both"/>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6、售后服务要求：中标供应商应及时提供上门服务，合同签订后30天内完成原有网络的更换升级、套餐变更等服务,并提供7*24小时免费技术咨询服务。</w:t>
      </w:r>
      <w:r/>
    </w:p>
    <w:p>
      <w:pPr>
        <w:ind w:firstLine="420"/>
        <w:jc w:val="both"/>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rPr>
        <w:t xml:space="preserve">）人员要求</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各采购包投标文件中拟投入的人员至少满足以下要求）</w:t>
      </w:r>
      <w:r/>
    </w:p>
    <w:tbl>
      <w:tblPr>
        <w:tblStyle w:val="907"/>
        <w:tblW w:w="88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1"/>
        <w:gridCol w:w="1170"/>
        <w:gridCol w:w="1047"/>
        <w:gridCol w:w="6077"/>
      </w:tblGrid>
      <w:tr>
        <w:trPr>
          <w:jc w:val="center"/>
          <w:trHeight w:val="561"/>
        </w:trPr>
        <w:tc>
          <w:tcPr>
            <w:tcW w:w="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1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人数下限</w:t>
            </w:r>
            <w:r/>
          </w:p>
        </w:tc>
        <w:tc>
          <w:tcPr>
            <w:tcW w:w="60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基本要求</w:t>
            </w:r>
            <w:r/>
          </w:p>
        </w:tc>
      </w:tr>
      <w:tr>
        <w:trPr>
          <w:jc w:val="center"/>
          <w:trHeight w:val="1877"/>
        </w:trPr>
        <w:tc>
          <w:tcPr>
            <w:tcW w:w="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1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项目负责人</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607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具有与本项目服务内容相关的</w:t>
            </w:r>
            <w:r>
              <w:rPr>
                <w:rFonts w:hint="eastAsia" w:ascii="宋体" w:hAnsi="宋体" w:eastAsia="宋体" w:cs="宋体"/>
                <w:color w:val="auto"/>
                <w:sz w:val="21"/>
                <w:szCs w:val="21"/>
                <w:highlight w:val="none"/>
                <w:lang w:val="en-US" w:eastAsia="zh-CN"/>
              </w:rPr>
              <w:t xml:space="preserve">通信方面</w:t>
            </w:r>
            <w:r>
              <w:rPr>
                <w:rFonts w:hint="eastAsia" w:ascii="宋体" w:hAnsi="宋体" w:eastAsia="宋体" w:cs="宋体"/>
                <w:color w:val="auto"/>
                <w:sz w:val="21"/>
                <w:szCs w:val="21"/>
                <w:highlight w:val="none"/>
              </w:rPr>
              <w:t xml:space="preserve">专业基础理论知识和专业技术知识，具有解决项目实施过程或综合管理中本专业领域重要技术问题的能力。有丰富的技术管理工作实践经验，能够保证</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质量。</w:t>
            </w:r>
            <w:r/>
          </w:p>
        </w:tc>
      </w:tr>
      <w:tr>
        <w:trPr>
          <w:jc w:val="center"/>
          <w:trHeight w:val="592"/>
        </w:trPr>
        <w:tc>
          <w:tcPr>
            <w:tcW w:w="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1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技术专员</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607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精通网络通讯方面的专业知识，能够根据业务需求和技术要求解决复杂的网络通讯安全问题。同时具有广泛的实践经验及解决各类问题的能力。</w:t>
            </w:r>
            <w:r/>
          </w:p>
        </w:tc>
      </w:tr>
    </w:tbl>
    <w:p>
      <w:pPr>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验收要求</w:t>
      </w:r>
      <w:r>
        <w:rPr>
          <w:rFonts w:hint="eastAsia" w:ascii="宋体" w:hAnsi="宋体" w:eastAsia="宋体" w:cs="宋体"/>
          <w:b/>
          <w:bCs/>
          <w:color w:val="auto"/>
          <w:sz w:val="21"/>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1、验收标准：根据招标文件、</w:t>
      </w: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的投标文件、双方签订的合同文件及其附件；由采购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及相关部门进行验收通过。</w:t>
      </w:r>
      <w:r/>
    </w:p>
    <w:p>
      <w:pPr>
        <w:ind w:firstLine="420"/>
        <w:jc w:val="left"/>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采购人向供应商发出《政府采购履约验收通知单》（</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附件1），验收完成后形成《政府采购履约验收书》（</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附件2）。</w:t>
      </w:r>
      <w:r/>
    </w:p>
    <w:p>
      <w:pPr>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、服务方案要求</w:t>
      </w:r>
      <w:r>
        <w:rPr>
          <w:rFonts w:hint="eastAsia" w:ascii="宋体" w:hAnsi="宋体" w:eastAsia="宋体" w:cs="宋体"/>
          <w:b/>
          <w:bCs/>
          <w:color w:val="auto"/>
          <w:sz w:val="21"/>
          <w:szCs w:val="21"/>
          <w:highlight w:val="none"/>
          <w:lang w:eastAsia="zh-CN"/>
        </w:rPr>
        <w:t xml:space="preserve">：</w:t>
      </w:r>
      <w:r/>
    </w:p>
    <w:p>
      <w:pPr>
        <w:ind w:firstLine="48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投标单位需根据本项目工作内容，需制定各项服务方案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确保系统稳定，项目顺利实施。</w:t>
      </w:r>
      <w:r>
        <w:rPr>
          <w:rFonts w:hint="eastAsia" w:ascii="宋体" w:hAnsi="宋体" w:eastAsia="宋体" w:cs="宋体"/>
          <w:color w:val="auto"/>
          <w:sz w:val="21"/>
          <w:szCs w:val="21"/>
          <w:highlight w:val="none"/>
          <w:lang w:val="en-US" w:eastAsia="zh-CN"/>
        </w:rPr>
        <w:t xml:space="preserve">具体要求如下：</w:t>
      </w:r>
      <w:r/>
    </w:p>
    <w:p>
      <w:pPr>
        <w:ind w:firstLine="420"/>
        <w:jc w:val="both"/>
        <w:spacing w:line="360" w:lineRule="auto"/>
        <w:rPr>
          <w:rFonts w:hint="default" w:ascii="宋体" w:hAnsi="宋体" w:eastAsia="宋体" w:cs="宋体"/>
          <w:color w:val="auto"/>
          <w:sz w:val="21"/>
          <w:szCs w:val="21"/>
          <w:highlight w:val="none"/>
          <w:lang w:val="en-US"/>
        </w:rPr>
        <w:outlineLvl w:val="1"/>
      </w:pPr>
      <w:r>
        <w:rPr>
          <w:rFonts w:hint="eastAsia" w:ascii="宋体" w:hAnsi="宋体" w:eastAsia="宋体" w:cs="宋体"/>
          <w:color w:val="auto"/>
          <w:sz w:val="21"/>
          <w:szCs w:val="21"/>
          <w:highlight w:val="none"/>
        </w:rPr>
        <w:t xml:space="preserve">1、针对本项目的实施方案。方案内容至少包括①服务范围、②服务承诺、③服务内容、④通讯套餐受理方案等</w:t>
      </w:r>
      <w:r>
        <w:rPr>
          <w:rFonts w:hint="eastAsia" w:ascii="宋体" w:hAnsi="宋体" w:eastAsia="宋体" w:cs="宋体"/>
          <w:color w:val="auto"/>
          <w:sz w:val="21"/>
          <w:szCs w:val="21"/>
          <w:highlight w:val="none"/>
          <w:lang w:val="en-US" w:eastAsia="zh-CN"/>
        </w:rPr>
        <w:t xml:space="preserve">方面。包含项目基本情况、相关政策解读，明确服务范围、服务承诺、服务内容、通讯套餐受理方案等各项措施，以确保项目顺利实施。</w:t>
      </w:r>
      <w:r/>
    </w:p>
    <w:p>
      <w:pPr>
        <w:ind w:firstLine="420"/>
        <w:jc w:val="both"/>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2、针对本项目的安全保障措施。方案内容至少包括①网络安全备份、②网络调试、③通信安全保障措施等</w:t>
      </w:r>
      <w:r>
        <w:rPr>
          <w:rFonts w:hint="eastAsia" w:ascii="宋体" w:hAnsi="宋体" w:eastAsia="宋体" w:cs="宋体"/>
          <w:color w:val="auto"/>
          <w:sz w:val="21"/>
          <w:szCs w:val="21"/>
          <w:highlight w:val="none"/>
          <w:lang w:val="en-US" w:eastAsia="zh-CN"/>
        </w:rPr>
        <w:t xml:space="preserve">。明确网络安全备份、网络调试、通信安全保障</w:t>
      </w:r>
      <w:r>
        <w:rPr>
          <w:rFonts w:hint="eastAsia" w:ascii="宋体" w:hAnsi="宋体" w:cs="宋体"/>
          <w:color w:val="auto"/>
          <w:sz w:val="21"/>
          <w:szCs w:val="21"/>
          <w:highlight w:val="none"/>
          <w:lang w:val="en-US" w:eastAsia="zh-CN"/>
        </w:rPr>
        <w:t xml:space="preserve">措施</w:t>
      </w:r>
      <w:r>
        <w:rPr>
          <w:rFonts w:hint="eastAsia" w:ascii="宋体" w:hAnsi="宋体" w:eastAsia="宋体" w:cs="宋体"/>
          <w:color w:val="auto"/>
          <w:sz w:val="21"/>
          <w:szCs w:val="21"/>
          <w:highlight w:val="none"/>
          <w:lang w:val="en-US" w:eastAsia="zh-CN"/>
        </w:rPr>
        <w:t xml:space="preserve">的细则，构建风险防控体系，确保通信服务的机密性、完整性和可用性，以确保通信安全。</w:t>
      </w:r>
      <w:r/>
    </w:p>
    <w:p>
      <w:pPr>
        <w:ind w:firstLine="420"/>
        <w:jc w:val="both"/>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3、针对本项目的网络保障措施方案。内容至少包括①网络保障流程、②人员调度方案、③网络系统保障措施等。</w:t>
      </w:r>
      <w:r>
        <w:rPr>
          <w:rFonts w:hint="eastAsia" w:ascii="宋体" w:hAnsi="宋体" w:eastAsia="宋体" w:cs="宋体"/>
          <w:color w:val="auto"/>
          <w:sz w:val="21"/>
          <w:szCs w:val="21"/>
          <w:highlight w:val="none"/>
          <w:lang w:val="en-US" w:eastAsia="zh-CN"/>
        </w:rPr>
        <w:t xml:space="preserve">明确网络故障处理流程，人员调度方案及专业化分工，建立完善的网络保障系统，明确关键技术指标。以实现通信网络的稳定性及优化修复能力。</w:t>
      </w:r>
      <w:r/>
    </w:p>
    <w:p>
      <w:pPr>
        <w:ind w:firstLine="420"/>
        <w:jc w:val="both"/>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4、针对本项目的巡检方案。方案内容至少包括①定期巡检服务内容、②巡检台账、③巡检故障方案等。</w:t>
      </w:r>
      <w:r>
        <w:rPr>
          <w:rFonts w:hint="eastAsia" w:ascii="宋体" w:hAnsi="宋体" w:eastAsia="宋体" w:cs="宋体"/>
          <w:color w:val="auto"/>
          <w:sz w:val="21"/>
          <w:szCs w:val="21"/>
          <w:highlight w:val="none"/>
          <w:lang w:val="en-US" w:eastAsia="zh-CN"/>
        </w:rPr>
        <w:t xml:space="preserve">明确巡检服务内容及要求，确保巡检台账合规、可溯源，针对可能出现的不同巡检故障制定应对的制度和措施方案，以确保通信系统在实际运行中的可靠性和稳定性。</w:t>
      </w:r>
      <w:r/>
    </w:p>
    <w:p>
      <w:pPr>
        <w:ind w:firstLine="420"/>
        <w:jc w:val="both"/>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5、针对本项目的故障响应服务。内容至少包括①团队人员保障、②综合调度服务系统③故障响应服务流程等。</w:t>
      </w:r>
      <w:r>
        <w:rPr>
          <w:rFonts w:hint="eastAsia" w:ascii="宋体" w:hAnsi="宋体" w:eastAsia="宋体" w:cs="宋体"/>
          <w:color w:val="auto"/>
          <w:sz w:val="21"/>
          <w:szCs w:val="21"/>
          <w:highlight w:val="none"/>
          <w:lang w:val="en-US" w:eastAsia="zh-CN"/>
        </w:rPr>
        <w:t xml:space="preserve">明确服务团队组成、综合</w:t>
      </w:r>
      <w:r>
        <w:rPr>
          <w:rFonts w:hint="eastAsia" w:ascii="宋体" w:hAnsi="宋体" w:cs="宋体"/>
          <w:color w:val="auto"/>
          <w:sz w:val="21"/>
          <w:szCs w:val="21"/>
          <w:highlight w:val="none"/>
          <w:lang w:val="en-US" w:eastAsia="zh-CN"/>
        </w:rPr>
        <w:t xml:space="preserve">调度</w:t>
      </w:r>
      <w:r>
        <w:rPr>
          <w:rFonts w:hint="eastAsia" w:ascii="宋体" w:hAnsi="宋体" w:eastAsia="宋体" w:cs="宋体"/>
          <w:color w:val="auto"/>
          <w:sz w:val="21"/>
          <w:szCs w:val="21"/>
          <w:highlight w:val="none"/>
          <w:lang w:val="en-US" w:eastAsia="zh-CN"/>
        </w:rPr>
        <w:t xml:space="preserve">服务系统的运行系统，故障响应的分级及处置方法，确保在故障出现时及时应对，并制定合理的预案，确保项目顺利实施，保障通讯正常。</w:t>
      </w:r>
      <w:r/>
    </w:p>
    <w:p>
      <w:pPr>
        <w:ind w:firstLine="420"/>
        <w:jc w:val="both"/>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rPr>
        <w:t xml:space="preserve">6、针对本项目的售后服务方案。内容至少包括①售后服务支持渠道、售后服务响应时效性，②客户投诉与争议解决、客户回访与满意度调查等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③通话信号稳定度以及售后服务质量承诺。</w:t>
      </w:r>
      <w:r>
        <w:rPr>
          <w:rFonts w:hint="eastAsia" w:ascii="宋体" w:hAnsi="宋体" w:cs="宋体"/>
          <w:color w:val="auto"/>
          <w:sz w:val="21"/>
          <w:szCs w:val="21"/>
          <w:highlight w:val="none"/>
          <w:lang w:eastAsia="zh-CN"/>
        </w:rPr>
        <w:t xml:space="preserve">明确</w:t>
      </w:r>
      <w:r>
        <w:rPr>
          <w:rFonts w:hint="eastAsia" w:ascii="宋体" w:hAnsi="宋体" w:eastAsia="宋体" w:cs="宋体"/>
          <w:color w:val="auto"/>
          <w:sz w:val="21"/>
          <w:szCs w:val="21"/>
          <w:highlight w:val="none"/>
        </w:rPr>
        <w:t xml:space="preserve">售后服务支持渠道、售后服务响应时效性，客户投诉与争议解决、客户回访与满意度调查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及时提供上门服务，完成原有网络的更换升级、套餐变更等服务</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并提供7*24小时免费技术咨询服务。保障用户通话稳定性，体现售后服务的响应时效性，包括售后服务地址，人员安排等，做好售后服务质量承诺，以确保本项目顺利实施。</w:t>
      </w:r>
      <w:r/>
    </w:p>
    <w:p>
      <w:pPr>
        <w:jc w:val="both"/>
        <w:spacing w:line="360" w:lineRule="auto"/>
        <w:rPr>
          <w:rFonts w:hint="default"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、综合说明及其他要求：</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lang w:val="zh-CN"/>
        </w:rPr>
        <w:t xml:space="preserve">1、报价要求：人民币报价。全费用综合单价，以单价（元/户/月）进行报价。本项目签约合同价为各标段预算金额，按实结算。单价包括完成该服务所需的通讯、辅助费用、管理、维护、保险、利润、税金、政策性文件规定及合同包含的所有风险、责任等各项应有费用。除合同另有约定外，中标人不得另行增加其他费用。</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lang w:val="zh-CN"/>
        </w:rPr>
        <w:t xml:space="preserve">2、报价内容：投标人应对所投标段的全部内容进行报价，只投其中部分内容者，其标书将被拒绝。</w:t>
      </w:r>
      <w:r/>
    </w:p>
    <w:p>
      <w:pPr>
        <w:ind w:firstLine="48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投标人所投服务内容应能够至少达到或优于以上服务要求，同时明确服务内容、人员配备等</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。投标人必须承诺招标文件中提出的服务与要求。如果以其中某些条款不响应时，应在文件中逐条列出，未列出的视同响应。</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、中标人在合同履行过程中应对本项目的安全生产负全责，项目实施过程中发生的任何安全生产事故均由中标人负责，采购人不承担任何法律和经济上的责任。</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、因中标人原因，给采购人及第三人造成的一切后果及损失，由中标人承担，后果严重的采购方有权解除合同。</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、中标人在合同履行期间应严格遵守国家相关法律法规和项目所在地的相关规定，所有产生的一切纠纷由中标人承担，采购人不承担任何责任。</w:t>
      </w:r>
      <w:r/>
    </w:p>
    <w:p>
      <w:pPr>
        <w:ind w:firstLine="480"/>
        <w:jc w:val="both"/>
        <w:spacing w:line="360" w:lineRule="auto"/>
        <w:rPr>
          <w:rFonts w:hint="default" w:ascii="宋体" w:hAnsi="宋体" w:eastAsia="宋体" w:cs="宋体"/>
          <w:color w:val="auto"/>
          <w:sz w:val="21"/>
          <w:szCs w:val="21"/>
          <w:highlight w:val="none"/>
          <w:lang w:val="zh-TW"/>
        </w:rPr>
        <w:outlineLvl w:val="1"/>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TW"/>
        </w:rPr>
        <w:t xml:space="preserve">、中标人对服务缺陷不予更正，采购人有权另请其他单位更正，所发生的费用在</w:t>
      </w:r>
      <w:r>
        <w:rPr>
          <w:rFonts w:hint="eastAsia" w:ascii="宋体" w:hAnsi="宋体" w:eastAsia="宋体" w:cs="宋体"/>
          <w:color w:val="auto"/>
          <w:sz w:val="21"/>
          <w:szCs w:val="21"/>
          <w:highlight w:val="none"/>
        </w:rPr>
        <w:t xml:space="preserve">服务费</w:t>
      </w:r>
      <w:r>
        <w:rPr>
          <w:rFonts w:hint="eastAsia" w:ascii="宋体" w:hAnsi="宋体" w:eastAsia="宋体" w:cs="宋体"/>
          <w:color w:val="auto"/>
          <w:sz w:val="21"/>
          <w:szCs w:val="21"/>
          <w:highlight w:val="none"/>
          <w:lang w:val="zh-TW"/>
        </w:rPr>
        <w:t xml:space="preserve">中扣除。</w:t>
      </w:r>
      <w:r/>
    </w:p>
    <w:p>
      <w:pPr>
        <w:ind w:firstLine="480"/>
        <w:jc w:val="both"/>
        <w:spacing w:line="360" w:lineRule="auto"/>
        <w:rPr>
          <w:rFonts w:hint="default" w:ascii="宋体" w:hAnsi="宋体" w:eastAsia="宋体" w:cs="宋体"/>
          <w:color w:val="auto"/>
          <w:sz w:val="21"/>
          <w:szCs w:val="21"/>
          <w:highlight w:val="none"/>
          <w:lang w:val="zh-CN"/>
        </w:rPr>
        <w:outlineLvl w:val="1"/>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480"/>
        <w:jc w:val="both"/>
        <w:spacing w:line="360" w:lineRule="auto"/>
        <w:rPr>
          <w:rFonts w:hint="default"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TW"/>
        </w:rPr>
        <w:t xml:space="preserve">凡涉及招标文件的补充说明和修改，均以江苏省政府采购网、苏州市政府采购网最后发布的内容为准。</w:t>
      </w:r>
      <w:r/>
      <w:r>
        <w:rPr>
          <w:rFonts w:hint="eastAsia" w:ascii="宋体" w:hAnsi="宋体" w:eastAsia="宋体" w:cs="Times New Roman"/>
          <w:b/>
          <w:color w:val="auto"/>
          <w:sz w:val="32"/>
          <w:szCs w:val="32"/>
          <w:highlight w:val="none"/>
          <w:lang w:val="en-US" w:eastAsia="zh-CN" w:bidi="ar-SA"/>
        </w:rPr>
        <w:br w:type="page" w:clear="all"/>
      </w:r>
      <w:r/>
      <w:r>
        <w:rPr>
          <w:rFonts w:hint="default" w:ascii="宋体" w:hAnsi="宋体" w:eastAsia="宋体" w:cs="宋体"/>
          <w:color w:val="auto"/>
          <w:sz w:val="21"/>
          <w:szCs w:val="21"/>
          <w:highlight w:val="none"/>
        </w:rPr>
      </w:r>
    </w:p>
    <w:p>
      <w:pPr>
        <w:jc w:val="center"/>
        <w:keepLines w:val="0"/>
        <w:pageBreakBefore w:val="0"/>
        <w:spacing w:line="400" w:lineRule="exact"/>
        <w:widowControl w:val="off"/>
        <w:rPr>
          <w:rFonts w:hint="eastAsia" w:ascii="宋体" w:hAnsi="宋体" w:eastAsia="宋体" w:cs="Times New Roman"/>
          <w:b/>
          <w:color w:val="auto"/>
          <w:sz w:val="32"/>
          <w:szCs w:val="32"/>
          <w:highlight w:val="none"/>
          <w:lang w:val="en-US" w:eastAsia="zh-CN" w:bidi="ar-SA"/>
        </w:rPr>
      </w:pPr>
      <w:r>
        <w:rPr>
          <w:rFonts w:hint="eastAsia" w:ascii="宋体" w:hAnsi="宋体" w:eastAsia="宋体" w:cs="Times New Roman"/>
          <w:b/>
          <w:color w:val="auto"/>
          <w:sz w:val="32"/>
          <w:szCs w:val="32"/>
          <w:highlight w:val="none"/>
          <w:lang w:val="en-US" w:eastAsia="zh-CN" w:bidi="ar-SA"/>
        </w:rPr>
        <w:t xml:space="preserve">第四部分  投标文件格式</w:t>
      </w:r>
      <w:r/>
    </w:p>
    <w:p>
      <w:pPr>
        <w:jc w:val="both"/>
        <w:spacing w:line="380" w:lineRule="exact"/>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对本章所有的投标书格式，投标方可根据自身情况进行补充和修改，但补充和修改不得造成与本格式内容有实质性的违背。</w:t>
      </w:r>
      <w:bookmarkEnd w:id="9"/>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封面：</w:t>
      </w:r>
      <w:r/>
    </w:p>
    <w:p>
      <w:pPr>
        <w:jc w:val="both"/>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投   标   文   件</w:t>
      </w:r>
      <w:r/>
    </w:p>
    <w:p>
      <w:pPr>
        <w:pStyle w:val="1071"/>
        <w:ind w:left="0" w:firstLine="0"/>
        <w:rPr>
          <w:rFonts w:hint="eastAsia" w:cs="宋体"/>
          <w:b/>
          <w:color w:val="auto"/>
          <w:sz w:val="72"/>
          <w:szCs w:val="72"/>
          <w:highlight w:val="none"/>
        </w:rPr>
      </w:pPr>
      <w:r>
        <w:rPr>
          <w:rFonts w:hint="eastAsia" w:cs="宋体"/>
          <w:b/>
          <w:color w:val="auto"/>
          <w:sz w:val="72"/>
          <w:szCs w:val="72"/>
          <w:highlight w:val="none"/>
        </w:rPr>
      </w:r>
      <w:r/>
    </w:p>
    <w:p>
      <w:pPr>
        <w:pStyle w:val="1071"/>
        <w:ind w:left="0" w:firstLine="0"/>
        <w:rPr>
          <w:rFonts w:hint="eastAsia"/>
          <w:color w:val="auto"/>
          <w:highlight w:val="none"/>
        </w:rPr>
      </w:pPr>
      <w:r>
        <w:rPr>
          <w:rFonts w:hint="eastAsia"/>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1265"/>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采购单位：</w:t>
      </w:r>
      <w:r>
        <w:rPr>
          <w:rFonts w:hint="eastAsia" w:ascii="宋体" w:hAnsi="宋体" w:cs="宋体"/>
          <w:b/>
          <w:color w:val="auto"/>
          <w:sz w:val="36"/>
          <w:szCs w:val="36"/>
          <w:highlight w:val="none"/>
          <w:lang w:eastAsia="zh-CN"/>
        </w:rPr>
        <w:t xml:space="preserve">太仓市公安局</w:t>
      </w:r>
      <w:r/>
    </w:p>
    <w:p>
      <w:pPr>
        <w:ind w:left="2344" w:hanging="1084"/>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b/>
          <w:color w:val="auto"/>
          <w:sz w:val="36"/>
          <w:szCs w:val="36"/>
          <w:highlight w:val="none"/>
          <w:lang w:eastAsia="zh-CN"/>
        </w:rPr>
        <w:t xml:space="preserve">2026年警务通通讯服务</w:t>
      </w:r>
      <w:r/>
    </w:p>
    <w:p>
      <w:pPr>
        <w:ind w:firstLine="1265"/>
        <w:rPr>
          <w:rFonts w:hint="eastAsia" w:ascii="宋体" w:hAnsi="宋体" w:cs="宋体"/>
          <w:b/>
          <w:color w:val="auto"/>
          <w:sz w:val="36"/>
          <w:szCs w:val="36"/>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JSZC-320585-ZFXM-G2026-0009</w:t>
      </w:r>
      <w:r/>
    </w:p>
    <w:p>
      <w:pPr>
        <w:ind w:firstLine="1265"/>
        <w:rPr>
          <w:rFonts w:hint="default" w:ascii="宋体" w:hAnsi="宋体" w:cs="宋体"/>
          <w:b/>
          <w:color w:val="auto"/>
          <w:sz w:val="36"/>
          <w:szCs w:val="36"/>
          <w:highlight w:val="none"/>
          <w:u w:val="single"/>
          <w:lang w:val="en-US"/>
        </w:rPr>
      </w:pPr>
      <w:r>
        <w:rPr>
          <w:rFonts w:hint="eastAsia" w:ascii="宋体" w:hAnsi="宋体" w:cs="宋体"/>
          <w:b/>
          <w:color w:val="auto"/>
          <w:sz w:val="36"/>
          <w:szCs w:val="36"/>
          <w:highlight w:val="none"/>
          <w:lang w:val="en-US" w:eastAsia="zh-CN"/>
        </w:rPr>
        <w:t xml:space="preserve">采购包号</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u w:val="single"/>
          <w:lang w:val="en-US" w:eastAsia="zh-CN"/>
        </w:rPr>
        <w:t xml:space="preserve">    </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953"/>
        <w:ind w:left="0" w:firstLine="0"/>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542"/>
        <w:rPr>
          <w:rFonts w:hint="eastAsia" w:ascii="宋体" w:hAnsi="宋体" w:cs="宋体"/>
          <w:color w:val="auto"/>
          <w:sz w:val="32"/>
          <w:highlight w:val="none"/>
          <w:u w:val="single"/>
        </w:rPr>
      </w:pPr>
      <w:r>
        <w:rPr>
          <w:rFonts w:hint="eastAsia" w:ascii="宋体" w:hAnsi="宋体" w:cs="宋体"/>
          <w:b/>
          <w:color w:val="auto"/>
          <w:sz w:val="36"/>
          <w:szCs w:val="36"/>
          <w:highlight w:val="none"/>
        </w:rPr>
        <w:t xml:space="preserve">投 标 人(盖章)：</w:t>
      </w:r>
      <w:r>
        <w:rPr>
          <w:rFonts w:hint="eastAsia" w:ascii="宋体" w:hAnsi="宋体" w:cs="宋体"/>
          <w:color w:val="auto"/>
          <w:sz w:val="32"/>
          <w:highlight w:val="none"/>
          <w:u w:val="single"/>
        </w:rPr>
        <w:t xml:space="preserve">                                      </w:t>
      </w:r>
      <w:r/>
    </w:p>
    <w:p>
      <w:pPr>
        <w:ind w:left="540"/>
        <w:spacing w:line="720" w:lineRule="auto"/>
        <w:rPr>
          <w:rFonts w:hint="eastAsia" w:ascii="宋体" w:hAnsi="宋体" w:cs="宋体"/>
          <w:color w:val="auto"/>
          <w:sz w:val="32"/>
          <w:highlight w:val="none"/>
          <w:u w:val="single"/>
        </w:rPr>
      </w:pPr>
      <w:r>
        <w:rPr>
          <w:rFonts w:hint="eastAsia" w:ascii="宋体" w:hAnsi="宋体" w:cs="宋体"/>
          <w:b/>
          <w:color w:val="auto"/>
          <w:sz w:val="36"/>
          <w:szCs w:val="36"/>
          <w:highlight w:val="none"/>
        </w:rPr>
        <w:t xml:space="preserve">法定代表人或其委托代理人：</w:t>
      </w:r>
      <w:r>
        <w:rPr>
          <w:rFonts w:hint="eastAsia" w:ascii="宋体" w:hAnsi="宋体" w:cs="宋体"/>
          <w:color w:val="auto"/>
          <w:sz w:val="32"/>
          <w:highlight w:val="none"/>
          <w:u w:val="single"/>
        </w:rPr>
        <w:t xml:space="preserve">      （签字或盖章）</w:t>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071"/>
        <w:ind w:left="0" w:firstLine="0"/>
        <w:rPr>
          <w:rFonts w:hint="eastAsia"/>
          <w:color w:val="auto"/>
          <w:highlight w:val="none"/>
        </w:rPr>
      </w:pPr>
      <w:r>
        <w:rPr>
          <w:rFonts w:hint="eastAsia"/>
          <w:color w:val="auto"/>
          <w:highlight w:val="none"/>
        </w:rPr>
      </w:r>
      <w:r/>
    </w:p>
    <w:p>
      <w:pPr>
        <w:ind w:firstLine="542"/>
        <w:jc w:val="center"/>
        <w:spacing w:line="440" w:lineRule="exact"/>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日期：二〇二</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年   月</w:t>
      </w:r>
      <w:r>
        <w:rPr>
          <w:rFonts w:hint="eastAsia" w:ascii="宋体" w:hAnsi="宋体" w:cs="宋体"/>
          <w:b/>
          <w:color w:val="auto"/>
          <w:sz w:val="36"/>
          <w:szCs w:val="36"/>
          <w:highlight w:val="none"/>
          <w:lang w:val="en-US" w:eastAsia="zh-CN"/>
        </w:rPr>
        <w:t xml:space="preserve">   日</w:t>
      </w:r>
      <w:r/>
    </w:p>
    <w:p>
      <w:pPr>
        <w:pStyle w:val="911"/>
        <w:ind w:firstLine="0"/>
        <w:spacing w:line="360" w:lineRule="auto"/>
        <w:rPr>
          <w:rFonts w:hint="eastAsia" w:ascii="宋体" w:hAnsi="宋体" w:eastAsia="宋体" w:cs="宋体"/>
          <w:color w:val="auto"/>
          <w:sz w:val="30"/>
          <w:szCs w:val="30"/>
          <w:highlight w:val="none"/>
        </w:rPr>
      </w:pPr>
      <w:r>
        <w:rPr>
          <w:rFonts w:hint="eastAsia" w:ascii="宋体" w:hAnsi="宋体" w:cs="宋体"/>
          <w:b/>
          <w:color w:val="auto"/>
          <w:sz w:val="36"/>
          <w:szCs w:val="36"/>
          <w:highlight w:val="none"/>
        </w:rPr>
        <w:br w:type="page" w:clear="all"/>
      </w:r>
      <w:bookmarkStart w:id="14" w:name="_Toc430265233"/>
      <w:r/>
      <w:bookmarkStart w:id="15" w:name="_Toc405288080"/>
      <w:r/>
      <w:bookmarkStart w:id="16" w:name="_Toc467507044"/>
      <w:r/>
      <w:bookmarkStart w:id="17" w:name="_Toc322442932"/>
      <w:r/>
      <w:bookmarkStart w:id="18" w:name="_Toc467507054"/>
      <w:r>
        <w:rPr>
          <w:rFonts w:hint="eastAsia" w:ascii="宋体" w:hAnsi="宋体" w:eastAsia="宋体" w:cs="宋体"/>
          <w:b/>
          <w:color w:val="auto"/>
          <w:sz w:val="30"/>
          <w:szCs w:val="30"/>
          <w:highlight w:val="none"/>
        </w:rPr>
        <w:t xml:space="preserve">1、关于资格文件的声明函</w:t>
      </w:r>
      <w:r/>
    </w:p>
    <w:p>
      <w:pPr>
        <w:pStyle w:val="911"/>
        <w:ind w:left="1260" w:firstLine="1777"/>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关于资格文件的声明函</w:t>
      </w:r>
      <w:r/>
    </w:p>
    <w:p>
      <w:pPr>
        <w:pStyle w:val="911"/>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rPr>
        <w:t xml:space="preserve">：</w:t>
      </w:r>
      <w:r/>
    </w:p>
    <w:p>
      <w:pPr>
        <w:pStyle w:val="911"/>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cs="宋体"/>
          <w:b/>
          <w:color w:val="auto"/>
          <w:sz w:val="21"/>
          <w:szCs w:val="21"/>
          <w:highlight w:val="none"/>
          <w:u w:val="single"/>
          <w:lang w:eastAsia="zh-CN"/>
        </w:rPr>
        <w:t xml:space="preserve">JSZC-320585-ZFXM-G2026-0009</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11"/>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本公司已知晓招标文件要求并认真审核自身情况，在此郑重声明，本公司遵守如下条款的规定：</w:t>
      </w:r>
      <w:r/>
    </w:p>
    <w:p>
      <w:pPr>
        <w:pStyle w:val="911"/>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供应商单位负责人为同一人或者存在直接控股、管理关系的不同供应商，不得参加同一合同项下的政府采购活动。</w:t>
      </w:r>
      <w:r/>
    </w:p>
    <w:p>
      <w:pPr>
        <w:pStyle w:val="911"/>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凡为采购项目提供整体设计、规范编制或者项目管理、</w:t>
      </w:r>
      <w:r>
        <w:rPr>
          <w:rFonts w:hint="eastAsia" w:ascii="宋体" w:hAnsi="宋体" w:eastAsia="宋体" w:cs="宋体"/>
          <w:color w:val="auto"/>
          <w:sz w:val="21"/>
          <w:szCs w:val="21"/>
          <w:highlight w:val="none"/>
          <w:lang w:val="en-US" w:eastAsia="zh-CN"/>
        </w:rPr>
        <w:t xml:space="preserve">监理</w:t>
      </w:r>
      <w:r>
        <w:rPr>
          <w:rFonts w:hint="eastAsia" w:ascii="宋体" w:hAnsi="宋体" w:eastAsia="宋体" w:cs="宋体"/>
          <w:color w:val="auto"/>
          <w:sz w:val="21"/>
          <w:szCs w:val="21"/>
          <w:highlight w:val="none"/>
        </w:rPr>
        <w:t xml:space="preserve">、检测等服务的供应商，不得再参加本项目的采购活动。</w:t>
      </w:r>
      <w:r/>
    </w:p>
    <w:p>
      <w:pPr>
        <w:pStyle w:val="911"/>
        <w:numPr>
          <w:ilvl w:val="0"/>
          <w:numId w:val="0"/>
        </w:numPr>
        <w:ind w:left="283" w:right="445" w:firstLine="472"/>
        <w:jc w:val="left"/>
        <w:spacing w:line="48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本声明如有虚假或不实之处，本公司将失去合格供应商资格。</w:t>
      </w:r>
      <w:r/>
    </w:p>
    <w:p>
      <w:pPr>
        <w:ind w:firstLine="210"/>
        <w:jc w:val="center"/>
        <w:spacing w:line="48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投标人与其他单位存在控股、管理关系情况表</w:t>
      </w:r>
      <w:r/>
    </w:p>
    <w:tbl>
      <w:tblPr>
        <w:tblStyle w:val="907"/>
        <w:tblW w:w="4408" w:type="pct"/>
        <w:tblInd w:w="5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4288"/>
      </w:tblGrid>
      <w:tr>
        <w:trPr>
          <w:trHeight w:val="368"/>
        </w:trPr>
        <w:tc>
          <w:tcPr>
            <w:tcW w:w="3901" w:type="dxa"/>
            <w:vAlign w:val="top"/>
            <w:textDirection w:val="lrTb"/>
            <w:noWrap w:val="false"/>
          </w:tcPr>
          <w:p>
            <w:pPr>
              <w:pStyle w:val="1090"/>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zh-CN" w:eastAsia="zh-CN" w:bidi="ar-SA"/>
              </w:rPr>
              <w:t xml:space="preserve">与投标人存在控股、管理关系的单位名称</w:t>
            </w:r>
            <w:r/>
          </w:p>
        </w:tc>
        <w:tc>
          <w:tcPr>
            <w:tcW w:w="4289" w:type="dxa"/>
            <w:vAlign w:val="top"/>
            <w:textDirection w:val="lrTb"/>
            <w:noWrap w:val="false"/>
          </w:tcPr>
          <w:p>
            <w:pPr>
              <w:pStyle w:val="1090"/>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zh-CN" w:eastAsia="zh-CN" w:bidi="ar-SA"/>
              </w:rPr>
              <w:t xml:space="preserve">控股、管理关系情况说明</w:t>
            </w:r>
            <w:r/>
          </w:p>
        </w:tc>
      </w:tr>
      <w:tr>
        <w:trPr>
          <w:trHeight w:val="398"/>
        </w:trPr>
        <w:tc>
          <w:tcPr>
            <w:tcW w:w="3901"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368"/>
        </w:trPr>
        <w:tc>
          <w:tcPr>
            <w:tcW w:w="3901"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383"/>
        </w:trPr>
        <w:tc>
          <w:tcPr>
            <w:tcW w:w="3901"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448"/>
        </w:trPr>
        <w:tc>
          <w:tcPr>
            <w:tcW w:w="3901"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1090"/>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bl>
    <w:p>
      <w:pPr>
        <w:pStyle w:val="911"/>
        <w:numPr>
          <w:ilvl w:val="0"/>
          <w:numId w:val="0"/>
        </w:numPr>
        <w:ind w:right="445"/>
        <w:jc w:val="left"/>
        <w:spacing w:line="5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注：投标人须如实填写所有与之有控股管理关系的情况。</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953"/>
        <w:ind w:left="0" w:firstLine="0"/>
        <w:rPr>
          <w:rFonts w:hint="eastAsia" w:ascii="宋体" w:hAnsi="宋体" w:cs="宋体"/>
          <w:b/>
          <w:color w:val="auto"/>
          <w:sz w:val="30"/>
          <w:szCs w:val="30"/>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0"/>
          <w:szCs w:val="30"/>
          <w:highlight w:val="none"/>
        </w:rPr>
        <w:t xml:space="preserve">2、投标函</w:t>
      </w:r>
      <w:r/>
    </w:p>
    <w:p>
      <w:pPr>
        <w:jc w:val="center"/>
        <w:spacing w:line="36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投标函</w:t>
      </w:r>
      <w:r/>
    </w:p>
    <w:p>
      <w:pPr>
        <w:ind w:firstLine="21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cs="宋体"/>
          <w:b/>
          <w:color w:val="auto"/>
          <w:sz w:val="21"/>
          <w:szCs w:val="21"/>
          <w:highlight w:val="none"/>
          <w:u w:val="single"/>
          <w:lang w:eastAsia="zh-CN"/>
        </w:rPr>
        <w:t xml:space="preserve">2026年警务通通讯服务</w:t>
      </w:r>
      <w:r>
        <w:rPr>
          <w:rFonts w:hint="eastAsia" w:ascii="宋体" w:hAnsi="宋体" w:eastAsia="宋体" w:cs="宋体"/>
          <w:color w:val="auto"/>
          <w:sz w:val="21"/>
          <w:szCs w:val="21"/>
          <w:highlight w:val="none"/>
        </w:rPr>
        <w:t xml:space="preserve">招标文件（项目编号：</w:t>
      </w:r>
      <w:r>
        <w:rPr>
          <w:rFonts w:hint="eastAsia" w:ascii="宋体" w:hAnsi="宋体" w:cs="宋体"/>
          <w:b/>
          <w:color w:val="auto"/>
          <w:sz w:val="21"/>
          <w:szCs w:val="21"/>
          <w:highlight w:val="none"/>
          <w:u w:val="single"/>
          <w:lang w:eastAsia="zh-CN"/>
        </w:rPr>
        <w:t xml:space="preserve">JSZC-320585-ZFXM-G2026-0009</w:t>
      </w:r>
      <w:r>
        <w:rPr>
          <w:rFonts w:hint="eastAsia" w:ascii="宋体" w:hAnsi="宋体" w:eastAsia="宋体" w:cs="宋体"/>
          <w:color w:val="auto"/>
          <w:sz w:val="21"/>
          <w:szCs w:val="21"/>
          <w:highlight w:val="none"/>
        </w:rPr>
        <w:t xml:space="preserve"> ），经仔细阅读和研究，我们决定参加投标。</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1、我们愿意按照招标文件的一切要求，提供包括完成该项目所需的全部内容，</w:t>
      </w:r>
      <w:r>
        <w:rPr>
          <w:rFonts w:hint="eastAsia" w:ascii="宋体" w:hAnsi="宋体" w:eastAsia="宋体" w:cs="宋体"/>
          <w:color w:val="auto"/>
          <w:sz w:val="21"/>
          <w:szCs w:val="21"/>
          <w:highlight w:val="none"/>
          <w:lang w:val="en-US" w:eastAsia="zh-CN"/>
        </w:rPr>
        <w:t xml:space="preserve">我们的投标报价</w:t>
      </w:r>
      <w:r>
        <w:rPr>
          <w:rFonts w:hint="eastAsia" w:ascii="宋体" w:hAnsi="宋体" w:eastAsia="宋体" w:cs="宋体"/>
          <w:color w:val="auto"/>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被接受，我们将严格履行招标文件中规定的每一项要求，按期、按质、按量履行合同的义务。</w:t>
      </w:r>
      <w:r/>
    </w:p>
    <w:p>
      <w:pPr>
        <w:ind w:firstLine="21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3、我们已详细审查全部招标文件，包括更正公告（如果有）。我们完全理解并同意放弃对这方面有不明及误解的权力。</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、我们同意按招标文件中的规定，本投标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的有效期限为投标截止之日起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、我们认为你们有权决定中标者，还认为你们有权接受或拒绝所有的投标者。</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、我们完全理解贵方不一定要接受最低报价的投标或收到的任何投标。</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、我们承诺该项投标在开标后的全过程中保持有效，不作任何更改和变动。我们同意中标后若不履行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文件的内容要求和各项承诺及义务的即被视为违约，其中标资格将被取消，并接受相应的处罚。</w:t>
      </w:r>
      <w:r/>
    </w:p>
    <w:p>
      <w:pPr>
        <w:ind w:firstLine="210"/>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、如果我们中标，我们愿意按招标文件的规定支付代理服务费，逾期按中国人民银行公布的同期人民币贷款最高利率计付利息</w:t>
      </w:r>
      <w:r>
        <w:rPr>
          <w:rFonts w:hint="eastAsia" w:ascii="宋体" w:hAnsi="宋体" w:eastAsia="宋体" w:cs="宋体"/>
          <w:color w:val="auto"/>
          <w:sz w:val="21"/>
          <w:szCs w:val="21"/>
          <w:highlight w:val="none"/>
          <w:lang w:eastAsia="zh-CN"/>
        </w:rPr>
        <w:t xml:space="preserve">。</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rPr>
        <w:t xml:space="preserve">如果中标，我们同意并知晓中标通知书发出方式及发出时间，遵守招标文件和中标通知书规定，在指定时间和地点和采购人签订合同。</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3、参加政府采购活动前三年内，在经营活动中没有重大违法记录声明</w:t>
      </w:r>
      <w:r/>
    </w:p>
    <w:p>
      <w:pPr>
        <w:ind w:left="-210" w:right="-21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参加政府采购活动前三年内，在经营活动中没有重大违法记录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 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color w:val="auto"/>
          <w:sz w:val="21"/>
          <w:szCs w:val="21"/>
          <w:highlight w:val="none"/>
          <w:lang w:val="en-US" w:eastAsia="zh-CN"/>
        </w:rPr>
        <w:t xml:space="preserve">切</w:t>
      </w:r>
      <w:r>
        <w:rPr>
          <w:rFonts w:hint="eastAsia" w:ascii="宋体" w:hAnsi="宋体" w:eastAsia="宋体" w:cs="宋体"/>
          <w:color w:val="auto"/>
          <w:sz w:val="21"/>
          <w:szCs w:val="21"/>
          <w:highlight w:val="none"/>
        </w:rPr>
        <w:t xml:space="preserve">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911"/>
        <w:ind w:firstLine="0"/>
        <w:spacing w:line="400" w:lineRule="exact"/>
        <w:rPr>
          <w:rFonts w:hint="eastAsia" w:ascii="宋体" w:hAnsi="宋体" w:eastAsia="宋体" w:cs="宋体"/>
          <w:b/>
          <w:bCs w:val="0"/>
          <w:color w:val="auto"/>
          <w:sz w:val="32"/>
          <w:szCs w:val="32"/>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val="0"/>
          <w:color w:val="auto"/>
          <w:sz w:val="32"/>
          <w:szCs w:val="32"/>
          <w:highlight w:val="none"/>
        </w:rPr>
        <w:t xml:space="preserve">4、投标单位情况表</w:t>
      </w:r>
      <w:r/>
    </w:p>
    <w:p>
      <w:pPr>
        <w:pStyle w:val="911"/>
        <w:ind w:left="1260" w:firstLine="2329"/>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投标单位情况表</w:t>
      </w:r>
      <w:r/>
    </w:p>
    <w:tbl>
      <w:tblPr>
        <w:tblStyle w:val="907"/>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w:t>
            </w:r>
            <w:r/>
          </w:p>
        </w:tc>
        <w:tc>
          <w:tcPr>
            <w:tcW w:w="1980"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61"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成立日期</w:t>
            </w:r>
            <w:r/>
          </w:p>
        </w:tc>
        <w:tc>
          <w:tcPr>
            <w:gridSpan w:val="2"/>
            <w:tcW w:w="3138"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企业地址</w:t>
            </w:r>
            <w:r/>
          </w:p>
        </w:tc>
        <w:tc>
          <w:tcPr>
            <w:tcW w:w="1980"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61"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注册资本</w:t>
            </w:r>
            <w:r/>
          </w:p>
        </w:tc>
        <w:tc>
          <w:tcPr>
            <w:gridSpan w:val="2"/>
            <w:tcW w:w="3138"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万元</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经营范围</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职工人数</w:t>
            </w:r>
            <w:r/>
          </w:p>
        </w:tc>
        <w:tc>
          <w:tcPr>
            <w:tcW w:w="1980"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3517"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其中：有中高级以上职称的人数</w:t>
            </w:r>
            <w:r/>
          </w:p>
        </w:tc>
        <w:tc>
          <w:tcPr>
            <w:tcW w:w="1082"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资产总计</w:t>
            </w:r>
            <w:r/>
          </w:p>
        </w:tc>
        <w:tc>
          <w:tcPr>
            <w:tcW w:w="1980" w:type="dxa"/>
            <w:vAlign w:val="center"/>
            <w:textDirection w:val="lrTb"/>
            <w:noWrap w:val="false"/>
          </w:tcPr>
          <w:p>
            <w:pPr>
              <w:pStyle w:val="911"/>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1461" w:type="dxa"/>
            <w:vAlign w:val="center"/>
            <w:textDirection w:val="lrTb"/>
            <w:noWrap w:val="false"/>
          </w:tcPr>
          <w:p>
            <w:pPr>
              <w:pStyle w:val="911"/>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净资产</w:t>
            </w:r>
            <w:r/>
          </w:p>
        </w:tc>
        <w:tc>
          <w:tcPr>
            <w:gridSpan w:val="2"/>
            <w:tcW w:w="3138" w:type="dxa"/>
            <w:vAlign w:val="center"/>
            <w:textDirection w:val="lrTb"/>
            <w:noWrap w:val="false"/>
          </w:tcPr>
          <w:p>
            <w:pPr>
              <w:pStyle w:val="911"/>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万元</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股东权益</w:t>
            </w:r>
            <w:r/>
          </w:p>
        </w:tc>
        <w:tc>
          <w:tcPr>
            <w:tcW w:w="1980" w:type="dxa"/>
            <w:vAlign w:val="center"/>
            <w:textDirection w:val="lrTb"/>
            <w:noWrap w:val="false"/>
          </w:tcPr>
          <w:p>
            <w:pPr>
              <w:pStyle w:val="911"/>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1461" w:type="dxa"/>
            <w:vAlign w:val="center"/>
            <w:textDirection w:val="lrTb"/>
            <w:noWrap w:val="false"/>
          </w:tcPr>
          <w:p>
            <w:pPr>
              <w:pStyle w:val="911"/>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销售收入</w:t>
            </w:r>
            <w:r/>
          </w:p>
        </w:tc>
        <w:tc>
          <w:tcPr>
            <w:gridSpan w:val="2"/>
            <w:tcW w:w="3138" w:type="dxa"/>
            <w:vAlign w:val="center"/>
            <w:textDirection w:val="lrTb"/>
            <w:noWrap w:val="false"/>
          </w:tcPr>
          <w:p>
            <w:pPr>
              <w:pStyle w:val="911"/>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          万元</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实现利润</w:t>
            </w:r>
            <w:r/>
          </w:p>
        </w:tc>
        <w:tc>
          <w:tcPr>
            <w:tcW w:w="1980"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     万元</w:t>
            </w:r>
            <w:r/>
          </w:p>
        </w:tc>
        <w:tc>
          <w:tcPr>
            <w:tcW w:w="1461"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3138"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营业面积（含厂房面积）</w:t>
            </w:r>
            <w:r/>
          </w:p>
        </w:tc>
        <w:tc>
          <w:tcPr>
            <w:tcW w:w="1980" w:type="dxa"/>
            <w:vAlign w:val="center"/>
            <w:textDirection w:val="lrTb"/>
            <w:noWrap w:val="false"/>
          </w:tcPr>
          <w:p>
            <w:pPr>
              <w:pStyle w:val="911"/>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平方米</w:t>
            </w:r>
            <w:r/>
          </w:p>
        </w:tc>
        <w:tc>
          <w:tcPr>
            <w:tcW w:w="1461"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w:t>
            </w:r>
            <w:r/>
          </w:p>
        </w:tc>
        <w:tc>
          <w:tcPr>
            <w:gridSpan w:val="2"/>
            <w:tcW w:w="3138"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自有面积         平方米</w:t>
            </w:r>
            <w:r/>
          </w:p>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承租面积         平方米</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单位简历及内设机构情况</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单位优势及特长</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近三年来完成或正在履行的重大合同情况</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（包括解决方式和结果）</w:t>
            </w:r>
            <w:r/>
          </w:p>
        </w:tc>
      </w:tr>
      <w:tr>
        <w:trPr>
          <w:cantSplit/>
          <w:jc w:val="center"/>
          <w:trHeight w:val="57"/>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1218"/>
        </w:trPr>
        <w:tc>
          <w:tcPr>
            <w:tcW w:w="3060" w:type="dxa"/>
            <w:vAlign w:val="center"/>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其他需要说明的情况</w:t>
            </w:r>
            <w:r/>
          </w:p>
        </w:tc>
        <w:tc>
          <w:tcPr>
            <w:gridSpan w:val="4"/>
            <w:tcW w:w="6579" w:type="dxa"/>
            <w:vAlign w:val="top"/>
            <w:textDirection w:val="lrTb"/>
            <w:noWrap w:val="false"/>
          </w:tcPr>
          <w:p>
            <w:pPr>
              <w:pStyle w:val="911"/>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911"/>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b/>
          <w:bCs w:val="0"/>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eastAsia="宋体" w:cs="宋体"/>
          <w:b/>
          <w:bCs w:val="0"/>
          <w:color w:val="auto"/>
          <w:sz w:val="32"/>
          <w:szCs w:val="32"/>
          <w:highlight w:val="none"/>
        </w:rPr>
        <w:t xml:space="preserve">5、法定代表人授权委托书</w:t>
      </w:r>
      <w:r/>
    </w:p>
    <w:p>
      <w:pPr>
        <w:ind w:firstLine="42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组织实施的编号为</w:t>
      </w:r>
      <w:r>
        <w:rPr>
          <w:rFonts w:hint="eastAsia" w:ascii="宋体" w:hAnsi="宋体" w:cs="宋体"/>
          <w:b/>
          <w:color w:val="auto"/>
          <w:sz w:val="21"/>
          <w:szCs w:val="21"/>
          <w:highlight w:val="none"/>
          <w:u w:val="single"/>
          <w:lang w:eastAsia="zh-CN"/>
        </w:rPr>
        <w:t xml:space="preserve">JSZC-320585-ZFXM-G2026-0009</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1071"/>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注：1、投标代理人为法人的无需提供授权委托书，但需提供本人身份证复印件。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2、投标代理人不是法人的需提供授权委托书，并附</w:t>
      </w:r>
      <w:r>
        <w:rPr>
          <w:rFonts w:hint="eastAsia" w:ascii="宋体" w:hAnsi="宋体" w:eastAsia="宋体" w:cs="宋体"/>
          <w:color w:val="auto"/>
          <w:sz w:val="21"/>
          <w:szCs w:val="21"/>
          <w:highlight w:val="none"/>
          <w:lang w:val="en-US" w:eastAsia="zh-CN"/>
        </w:rPr>
        <w:t xml:space="preserve">代理人</w:t>
      </w:r>
      <w:r>
        <w:rPr>
          <w:rFonts w:hint="eastAsia" w:ascii="宋体" w:hAnsi="宋体" w:eastAsia="宋体" w:cs="宋体"/>
          <w:color w:val="auto"/>
          <w:sz w:val="21"/>
          <w:szCs w:val="21"/>
          <w:highlight w:val="none"/>
        </w:rPr>
        <w:t xml:space="preserve">身份证复印件、法人身份证复印件。</w:t>
      </w:r>
      <w:r/>
    </w:p>
    <w:p>
      <w:pPr>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6、开标一览表（具体按照“苏采云”系统填报）</w:t>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开标一览表</w:t>
      </w:r>
      <w:r/>
    </w:p>
    <w:p>
      <w:pPr>
        <w:ind w:firstLine="420"/>
        <w:spacing w:line="460" w:lineRule="exact"/>
        <w:rPr>
          <w:rFonts w:hint="default" w:ascii="宋体" w:hAnsi="宋体" w:eastAsia="宋体" w:cs="宋体"/>
          <w:color w:val="auto"/>
          <w:spacing w:val="2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编号：</w:t>
      </w:r>
      <w:r>
        <w:rPr>
          <w:rFonts w:hint="eastAsia" w:ascii="宋体" w:hAnsi="宋体" w:cs="宋体"/>
          <w:b w:val="0"/>
          <w:bCs w:val="0"/>
          <w:color w:val="auto"/>
          <w:sz w:val="21"/>
          <w:szCs w:val="21"/>
          <w:highlight w:val="none"/>
          <w:lang w:eastAsia="zh-CN"/>
        </w:rPr>
        <w:t xml:space="preserve">JSZC-320585-ZFXM-G2026-0009</w:t>
      </w:r>
      <w:r>
        <w:rPr>
          <w:rFonts w:hint="eastAsia" w:ascii="宋体" w:hAnsi="宋体" w:eastAsia="宋体" w:cs="宋体"/>
          <w:b w:val="0"/>
          <w:bCs w:val="0"/>
          <w:color w:val="auto"/>
          <w:sz w:val="21"/>
          <w:szCs w:val="21"/>
          <w:highlight w:val="none"/>
          <w:lang w:eastAsia="zh-CN"/>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color w:val="auto"/>
          <w:spacing w:val="20"/>
          <w:sz w:val="21"/>
          <w:szCs w:val="21"/>
          <w:highlight w:val="none"/>
          <w:lang w:val="en-US" w:eastAsia="zh-CN"/>
        </w:rPr>
        <w:t xml:space="preserve">  </w:t>
      </w:r>
      <w:r/>
    </w:p>
    <w:tbl>
      <w:tblPr>
        <w:tblStyle w:val="907"/>
        <w:tblW w:w="499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80"/>
        <w:gridCol w:w="4030"/>
        <w:gridCol w:w="2877"/>
      </w:tblGrid>
      <w:tr>
        <w:trPr>
          <w:cantSplit/>
          <w:jc w:val="center"/>
          <w:trHeight w:val="984"/>
        </w:trPr>
        <w:tc>
          <w:tcPr>
            <w:tcBorders>
              <w:top w:val="single" w:color="auto" w:sz="6" w:space="0"/>
              <w:left w:val="single" w:color="auto" w:sz="6" w:space="0"/>
              <w:bottom w:val="single" w:color="auto" w:sz="6" w:space="0"/>
              <w:right w:val="single" w:color="auto" w:sz="6" w:space="0"/>
            </w:tcBorders>
            <w:tcW w:w="1281" w:type="pct"/>
            <w:vAlign w:val="center"/>
            <w:textDirection w:val="lrTb"/>
            <w:noWrap w:val="false"/>
          </w:tcPr>
          <w:p>
            <w:pPr>
              <w:pStyle w:val="948"/>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分包</w:t>
            </w:r>
            <w:r>
              <w:rPr>
                <w:rFonts w:hint="eastAsia" w:ascii="宋体" w:hAnsi="宋体" w:eastAsia="宋体" w:cs="宋体"/>
                <w:color w:val="auto"/>
                <w:sz w:val="21"/>
                <w:szCs w:val="21"/>
                <w:highlight w:val="none"/>
                <w:lang w:eastAsia="zh-CN"/>
              </w:rPr>
              <w:t xml:space="preserve">号</w:t>
            </w:r>
            <w:r/>
          </w:p>
        </w:tc>
        <w:tc>
          <w:tcPr>
            <w:tcBorders>
              <w:top w:val="single" w:color="auto" w:sz="6" w:space="0"/>
              <w:left w:val="single" w:color="auto" w:sz="6" w:space="0"/>
              <w:bottom w:val="single" w:color="auto" w:sz="6" w:space="0"/>
              <w:right w:val="single" w:color="auto" w:sz="4" w:space="0"/>
            </w:tcBorders>
            <w:tcW w:w="2169" w:type="pct"/>
            <w:vAlign w:val="center"/>
            <w:textDirection w:val="lrTb"/>
            <w:noWrap w:val="false"/>
          </w:tcPr>
          <w:p>
            <w:pPr>
              <w:pStyle w:val="948"/>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项目</w:t>
            </w:r>
            <w:r>
              <w:rPr>
                <w:rFonts w:hint="eastAsia" w:eastAsia="宋体" w:cs="宋体"/>
                <w:color w:val="auto"/>
                <w:sz w:val="21"/>
                <w:szCs w:val="21"/>
                <w:highlight w:val="none"/>
                <w:lang w:val="en-US" w:eastAsia="zh-CN"/>
              </w:rPr>
              <w:t xml:space="preserve">名称</w:t>
            </w:r>
            <w:r/>
          </w:p>
        </w:tc>
        <w:tc>
          <w:tcPr>
            <w:tcBorders>
              <w:top w:val="single" w:color="auto" w:sz="6" w:space="0"/>
              <w:left w:val="single" w:color="auto" w:sz="6" w:space="0"/>
              <w:bottom w:val="single" w:color="auto" w:sz="6" w:space="0"/>
              <w:right w:val="single" w:color="auto" w:sz="4" w:space="0"/>
            </w:tcBorders>
            <w:tcW w:w="1548" w:type="pct"/>
            <w:vAlign w:val="center"/>
            <w:textDirection w:val="lrTb"/>
            <w:noWrap w:val="false"/>
          </w:tcPr>
          <w:p>
            <w:pPr>
              <w:pStyle w:val="948"/>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w:t>
            </w:r>
            <w:r>
              <w:rPr>
                <w:rFonts w:hint="eastAsia"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w:t>
            </w:r>
            <w:r/>
          </w:p>
        </w:tc>
      </w:tr>
      <w:tr>
        <w:trPr>
          <w:cantSplit/>
          <w:jc w:val="center"/>
          <w:trHeight w:val="1305"/>
        </w:trPr>
        <w:tc>
          <w:tcPr>
            <w:tcBorders>
              <w:top w:val="single" w:color="auto" w:sz="6" w:space="0"/>
              <w:left w:val="single" w:color="auto" w:sz="6" w:space="0"/>
              <w:bottom w:val="single" w:color="auto" w:sz="6" w:space="0"/>
              <w:right w:val="single" w:color="auto" w:sz="6" w:space="0"/>
            </w:tcBorders>
            <w:tcW w:w="1281" w:type="pct"/>
            <w:vAlign w:val="center"/>
            <w:textDirection w:val="lrTb"/>
            <w:noWrap w:val="false"/>
          </w:tcPr>
          <w:p>
            <w:pPr>
              <w:pStyle w:val="948"/>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采购包（  ）</w:t>
            </w:r>
            <w:r/>
          </w:p>
        </w:tc>
        <w:tc>
          <w:tcPr>
            <w:tcBorders>
              <w:top w:val="single" w:color="auto" w:sz="6" w:space="0"/>
              <w:left w:val="single" w:color="auto" w:sz="6" w:space="0"/>
              <w:right w:val="single" w:color="auto" w:sz="4" w:space="0"/>
            </w:tcBorders>
            <w:tcW w:w="2169" w:type="pct"/>
            <w:vAlign w:val="center"/>
            <w:textDirection w:val="lrTb"/>
            <w:noWrap w:val="false"/>
          </w:tcPr>
          <w:p>
            <w:pPr>
              <w:pStyle w:val="948"/>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eastAsia="宋体" w:cs="宋体"/>
                <w:color w:val="auto"/>
                <w:sz w:val="21"/>
                <w:szCs w:val="21"/>
                <w:highlight w:val="none"/>
                <w:lang w:eastAsia="zh-CN"/>
              </w:rPr>
              <w:t xml:space="preserve">2026年警务通通讯服务</w:t>
            </w:r>
            <w:r/>
          </w:p>
        </w:tc>
        <w:tc>
          <w:tcPr>
            <w:tcBorders>
              <w:top w:val="single" w:color="auto" w:sz="6" w:space="0"/>
              <w:left w:val="single" w:color="auto" w:sz="6" w:space="0"/>
              <w:bottom w:val="single" w:color="auto" w:sz="6" w:space="0"/>
              <w:right w:val="single" w:color="auto" w:sz="4" w:space="0"/>
            </w:tcBorders>
            <w:tcW w:w="1548" w:type="pct"/>
            <w:vAlign w:val="center"/>
            <w:textDirection w:val="lrTb"/>
            <w:noWrap w:val="false"/>
          </w:tcPr>
          <w:p>
            <w:pPr>
              <w:pStyle w:val="948"/>
              <w:ind w:left="0" w:right="0"/>
              <w:jc w:val="both"/>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924"/>
        <w:ind w:right="12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注：1、苏采云系统中开标一览表填报的投标报价为平均单价。（平均单价为各</w:t>
      </w:r>
      <w:r>
        <w:rPr>
          <w:rFonts w:hint="eastAsia" w:ascii="宋体" w:hAnsi="宋体" w:cs="宋体"/>
          <w:b/>
          <w:bCs/>
          <w:color w:val="auto"/>
          <w:sz w:val="21"/>
          <w:szCs w:val="21"/>
          <w:highlight w:val="none"/>
          <w:lang w:val="en-US" w:eastAsia="zh-CN"/>
        </w:rPr>
        <w:t xml:space="preserve">采购包</w:t>
      </w:r>
      <w:r>
        <w:rPr>
          <w:rFonts w:hint="eastAsia" w:ascii="宋体" w:hAnsi="宋体" w:eastAsia="宋体" w:cs="宋体"/>
          <w:b/>
          <w:bCs/>
          <w:color w:val="auto"/>
          <w:sz w:val="21"/>
          <w:szCs w:val="21"/>
          <w:highlight w:val="none"/>
        </w:rPr>
        <w:t xml:space="preserve">服务内容单价的算术平均值，该价格仅作为评标时使用）</w:t>
      </w:r>
      <w:r>
        <w:rPr>
          <w:rFonts w:hint="eastAsia" w:ascii="宋体" w:hAnsi="宋体" w:eastAsia="宋体" w:cs="宋体"/>
          <w:color w:val="auto"/>
          <w:sz w:val="21"/>
          <w:szCs w:val="21"/>
          <w:highlight w:val="none"/>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服务内容单价不得超过单价最高限价。</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3、投标报价一次报定，包括上述服务管理、人员、培训、管理、维护、保险、利润、税金、调试达到正常可使用状态、政策性文件规定及合同包含的所有风险、责任等各项应有费用。</w:t>
      </w:r>
      <w:r/>
    </w:p>
    <w:p>
      <w:pPr>
        <w:pStyle w:val="91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tabs>
          <w:tab w:val="left" w:pos="71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spacing w:line="460" w:lineRule="exact"/>
        <w:tabs>
          <w:tab w:val="left" w:pos="7167" w:leader="none"/>
        </w:tabs>
        <w:rPr>
          <w:rFonts w:hint="eastAsia" w:ascii="宋体" w:hAnsi="宋体" w:cs="宋体"/>
          <w:color w:val="auto"/>
          <w:sz w:val="24"/>
          <w:szCs w:val="24"/>
          <w:highlight w:val="none"/>
        </w:rPr>
      </w:pPr>
      <w:r>
        <w:rPr>
          <w:rFonts w:hint="eastAsia" w:ascii="宋体" w:hAnsi="宋体" w:eastAsia="宋体" w:cs="宋体"/>
          <w:color w:val="auto"/>
          <w:sz w:val="21"/>
          <w:szCs w:val="21"/>
          <w:highlight w:val="none"/>
        </w:rPr>
        <w:t xml:space="preserve">日期：      年     月     日</w:t>
      </w:r>
      <w:r/>
    </w:p>
    <w:p>
      <w:pPr>
        <w:pStyle w:val="953"/>
        <w:ind w:left="0" w:firstLine="0"/>
        <w:rPr>
          <w:rFonts w:hint="eastAsia" w:ascii="宋体" w:hAnsi="宋体" w:cs="宋体"/>
          <w:b/>
          <w:color w:val="auto"/>
          <w:sz w:val="24"/>
          <w:szCs w:val="24"/>
          <w:highlight w:val="none"/>
        </w:rPr>
      </w:pPr>
      <w:r>
        <w:rPr>
          <w:rFonts w:hint="eastAsia"/>
          <w:color w:val="auto"/>
          <w:highlight w:val="none"/>
        </w:rPr>
        <w:br w:type="page" w:clear="all"/>
      </w:r>
      <w:r>
        <w:rPr>
          <w:rFonts w:hint="eastAsia" w:ascii="宋体" w:hAnsi="宋体" w:cs="宋体"/>
          <w:b/>
          <w:color w:val="auto"/>
          <w:sz w:val="32"/>
          <w:szCs w:val="32"/>
          <w:highlight w:val="none"/>
        </w:rPr>
        <w:t xml:space="preserve">7、投标报价分项明细表</w:t>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一）</w:t>
      </w:r>
      <w:r>
        <w:rPr>
          <w:rFonts w:ascii="宋体" w:hAnsi="宋体"/>
          <w:b/>
          <w:color w:val="auto"/>
          <w:sz w:val="30"/>
          <w:szCs w:val="30"/>
          <w:highlight w:val="none"/>
        </w:rPr>
        <w:t xml:space="preserve">投标分项报价表</w:t>
      </w:r>
      <w:r/>
    </w:p>
    <w:p>
      <w:pPr>
        <w:ind w:firstLine="420"/>
        <w:spacing w:line="4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lang w:eastAsia="zh-CN"/>
        </w:rPr>
        <w:t xml:space="preserve">编号：</w:t>
      </w:r>
      <w:r>
        <w:rPr>
          <w:rFonts w:hint="eastAsia" w:ascii="宋体" w:hAnsi="宋体" w:cs="宋体"/>
          <w:b w:val="0"/>
          <w:bCs w:val="0"/>
          <w:color w:val="auto"/>
          <w:sz w:val="21"/>
          <w:szCs w:val="21"/>
          <w:highlight w:val="none"/>
          <w:lang w:eastAsia="zh-CN"/>
        </w:rPr>
        <w:t xml:space="preserve">JSZC-320585-ZFXM-G2026-0009</w:t>
      </w:r>
      <w:r>
        <w:rPr>
          <w:rFonts w:hint="eastAsia" w:ascii="宋体" w:hAnsi="宋体" w:eastAsia="宋体" w:cs="宋体"/>
          <w:b w:val="0"/>
          <w:bCs w:val="0"/>
          <w:color w:val="auto"/>
          <w:sz w:val="21"/>
          <w:szCs w:val="21"/>
          <w:highlight w:val="none"/>
          <w:lang w:eastAsia="zh-CN"/>
        </w:rPr>
        <w:t xml:space="preserve"> </w:t>
      </w:r>
      <w:r/>
    </w:p>
    <w:p>
      <w:pPr>
        <w:ind w:firstLine="420"/>
        <w:spacing w:line="460" w:lineRule="exact"/>
        <w:rPr>
          <w:rFonts w:hint="eastAsia" w:ascii="宋体" w:hAnsi="宋体" w:eastAsia="宋体" w:cs="宋体"/>
          <w:color w:val="auto"/>
          <w:spacing w:val="20"/>
          <w:sz w:val="21"/>
          <w:szCs w:val="21"/>
          <w:highlight w:val="none"/>
          <w:u w:val="single"/>
          <w:lang w:val="en-US" w:eastAsia="zh-CN"/>
        </w:rPr>
      </w:pPr>
      <w:r>
        <w:rPr>
          <w:rFonts w:hint="eastAsia" w:ascii="宋体" w:hAnsi="宋体" w:eastAsia="宋体" w:cs="宋体"/>
          <w:b w:val="0"/>
          <w:bCs w:val="0"/>
          <w:color w:val="auto"/>
          <w:sz w:val="21"/>
          <w:szCs w:val="21"/>
          <w:highlight w:val="none"/>
          <w:lang w:val="en-US" w:eastAsia="zh-CN"/>
        </w:rPr>
        <w:t xml:space="preserve">采购包号：采购包（）</w:t>
      </w:r>
      <w:r>
        <w:rPr>
          <w:rFonts w:hint="eastAsia" w:ascii="宋体" w:hAnsi="宋体" w:eastAsia="宋体" w:cs="宋体"/>
          <w:color w:val="auto"/>
          <w:spacing w:val="20"/>
          <w:sz w:val="21"/>
          <w:szCs w:val="21"/>
          <w:highlight w:val="none"/>
          <w:u w:val="single"/>
          <w:lang w:val="en-US" w:eastAsia="zh-CN"/>
        </w:rPr>
        <w:t xml:space="preserve">  </w:t>
      </w:r>
      <w:r/>
    </w:p>
    <w:tbl>
      <w:tblPr>
        <w:tblStyle w:val="907"/>
        <w:tblW w:w="908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765"/>
        <w:gridCol w:w="3175"/>
        <w:gridCol w:w="1361"/>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投标报价</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元/户/月</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元/户/月</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平均价（1+2）/2</w:t>
            </w:r>
            <w:r/>
          </w:p>
        </w:tc>
        <w:tc>
          <w:tcPr>
            <w:tcBorders>
              <w:top w:val="single" w:color="auto" w:sz="6" w:space="0"/>
              <w:left w:val="single" w:color="auto" w:sz="6" w:space="0"/>
              <w:right w:val="single" w:color="auto" w:sz="4" w:space="0"/>
            </w:tcBorders>
            <w:tcW w:w="3175"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元/户/月</w:t>
            </w:r>
            <w:r/>
          </w:p>
        </w:tc>
        <w:tc>
          <w:tcPr>
            <w:tcBorders>
              <w:top w:val="single" w:color="auto" w:sz="6" w:space="0"/>
              <w:left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bl>
    <w:p>
      <w:pPr>
        <w:pStyle w:val="908"/>
        <w:rPr>
          <w:rFonts w:hint="eastAsia" w:ascii="宋体" w:hAnsi="宋体" w:eastAsia="宋体" w:cs="宋体"/>
          <w:color w:val="auto"/>
          <w:spacing w:val="20"/>
          <w:sz w:val="21"/>
          <w:szCs w:val="21"/>
          <w:highlight w:val="none"/>
          <w:u w:val="single"/>
          <w:lang w:val="en-US" w:eastAsia="zh-CN"/>
        </w:rPr>
      </w:pPr>
      <w:r>
        <w:rPr>
          <w:rFonts w:hint="eastAsia" w:ascii="宋体" w:hAnsi="宋体" w:eastAsia="宋体" w:cs="宋体"/>
          <w:color w:val="auto"/>
          <w:spacing w:val="20"/>
          <w:sz w:val="21"/>
          <w:szCs w:val="21"/>
          <w:highlight w:val="none"/>
          <w:u w:val="single"/>
          <w:lang w:val="en-US" w:eastAsia="zh-CN"/>
        </w:rPr>
      </w:r>
      <w:r/>
    </w:p>
    <w:p>
      <w:pPr>
        <w:ind w:firstLine="210"/>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bidi="ar-SA"/>
        </w:rPr>
        <w:t xml:space="preserve"> 1、本表由投标人自行填写，但本表中平均单价应与开标一览表中的一致，否则以开标一览表为准。平均单价为各服务内容单价的算术平均值，该价格仅作为评标时使用。</w:t>
      </w:r>
      <w:r/>
    </w:p>
    <w:p>
      <w:pPr>
        <w:ind w:firstLine="210"/>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2、每采购包投标报价不得高于最高限价，否则为无效投标报价。无效投标报价的响应文件不进行评审，也不得标。</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注：异常低价审查有关要求，均以财库〔2026〕2号为准</w:t>
      </w:r>
      <w:r>
        <w:rPr>
          <w:rFonts w:hint="eastAsia" w:ascii="宋体" w:hAnsi="宋体" w:eastAsia="宋体" w:cs="宋体"/>
          <w:b/>
          <w:color w:val="auto"/>
          <w:sz w:val="21"/>
          <w:szCs w:val="21"/>
          <w:highlight w:val="none"/>
          <w:lang w:eastAsia="zh-CN"/>
        </w:rPr>
        <w:t xml:space="preserve">。</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500" w:lineRule="exact"/>
        <w:rPr>
          <w:rFonts w:hint="eastAsia" w:ascii="宋体" w:hAnsi="宋体" w:eastAsia="宋体" w:cs="宋体"/>
          <w:b/>
          <w:bCs/>
          <w:color w:val="auto"/>
          <w:sz w:val="32"/>
          <w:szCs w:val="32"/>
          <w:highlight w:val="none"/>
        </w:rPr>
      </w:pPr>
      <w:r>
        <w:rPr>
          <w:rFonts w:hint="eastAsia" w:ascii="宋体" w:hAnsi="宋体" w:eastAsia="宋体" w:cs="Times New Roman"/>
          <w:color w:val="auto"/>
          <w:sz w:val="24"/>
          <w:highlight w:val="none"/>
        </w:rPr>
        <w:br w:type="page" w:clear="all"/>
      </w:r>
      <w:r>
        <w:rPr>
          <w:rFonts w:hint="eastAsia" w:ascii="宋体" w:hAnsi="宋体" w:eastAsia="宋体" w:cs="宋体"/>
          <w:b/>
          <w:bCs/>
          <w:color w:val="auto"/>
          <w:sz w:val="32"/>
          <w:szCs w:val="32"/>
          <w:highlight w:val="none"/>
        </w:rPr>
        <w:t xml:space="preserve">8、</w:t>
      </w:r>
      <w:r>
        <w:rPr>
          <w:rFonts w:hint="eastAsia" w:ascii="宋体" w:hAnsi="宋体" w:eastAsia="宋体" w:cs="宋体"/>
          <w:b/>
          <w:bCs/>
          <w:color w:val="auto"/>
          <w:sz w:val="32"/>
          <w:szCs w:val="32"/>
          <w:highlight w:val="none"/>
          <w:lang w:eastAsia="zh-CN"/>
        </w:rPr>
        <w:t xml:space="preserve">服务</w:t>
      </w:r>
      <w:r>
        <w:rPr>
          <w:rFonts w:hint="eastAsia" w:ascii="宋体" w:hAnsi="宋体" w:eastAsia="宋体" w:cs="宋体"/>
          <w:b/>
          <w:bCs/>
          <w:color w:val="auto"/>
          <w:sz w:val="32"/>
          <w:szCs w:val="32"/>
          <w:highlight w:val="none"/>
        </w:rPr>
        <w:t xml:space="preserve">要求偏离表</w:t>
      </w:r>
      <w:r/>
    </w:p>
    <w:p>
      <w:pPr>
        <w:jc w:val="center"/>
        <w:spacing w:line="360" w:lineRule="auto"/>
        <w:rPr>
          <w:rFonts w:ascii="宋体" w:hAnsi="宋体"/>
          <w:color w:val="auto"/>
          <w:sz w:val="24"/>
          <w:highlight w:val="none"/>
        </w:rPr>
      </w:pPr>
      <w:r>
        <w:rPr>
          <w:rFonts w:hint="eastAsia" w:ascii="宋体" w:hAnsi="宋体" w:eastAsia="宋体" w:cs="宋体"/>
          <w:b/>
          <w:color w:val="auto"/>
          <w:sz w:val="32"/>
          <w:szCs w:val="32"/>
          <w:highlight w:val="none"/>
          <w:lang w:eastAsia="zh-CN"/>
        </w:rPr>
        <w:t xml:space="preserve">服务</w:t>
      </w:r>
      <w:r>
        <w:rPr>
          <w:rFonts w:hint="eastAsia" w:ascii="宋体" w:hAnsi="宋体" w:eastAsia="宋体" w:cs="宋体"/>
          <w:b/>
          <w:color w:val="auto"/>
          <w:sz w:val="32"/>
          <w:szCs w:val="32"/>
          <w:highlight w:val="none"/>
        </w:rPr>
        <w:t xml:space="preserve">要求偏离表</w:t>
      </w:r>
      <w:r/>
    </w:p>
    <w:tbl>
      <w:tblPr>
        <w:tblStyle w:val="90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85"/>
        <w:gridCol w:w="1919"/>
        <w:gridCol w:w="1681"/>
        <w:gridCol w:w="1663"/>
        <w:gridCol w:w="1385"/>
      </w:tblGrid>
      <w:tr>
        <w:trPr>
          <w:trHeight w:val="992"/>
        </w:trPr>
        <w:tc>
          <w:tcPr>
            <w:tcW w:w="457"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961"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内容</w:t>
            </w:r>
            <w:r/>
          </w:p>
        </w:tc>
        <w:tc>
          <w:tcPr>
            <w:tcW w:w="1033"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招标文件</w:t>
            </w:r>
            <w:r/>
          </w:p>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要求</w:t>
            </w:r>
            <w:r/>
          </w:p>
        </w:tc>
        <w:tc>
          <w:tcPr>
            <w:tcW w:w="90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投标文件</w:t>
            </w:r>
            <w:r/>
          </w:p>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响应要求</w:t>
            </w:r>
            <w:r/>
          </w:p>
        </w:tc>
        <w:tc>
          <w:tcPr>
            <w:tcW w:w="89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此项请填写“偏离”或“完全响应”</w:t>
            </w:r>
            <w:r/>
          </w:p>
        </w:tc>
        <w:tc>
          <w:tcPr>
            <w:tcW w:w="74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偏离说明（如有）</w:t>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r>
      <w:r/>
    </w:p>
    <w:p>
      <w:pPr>
        <w:ind w:firstLine="422"/>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lang w:val="zh-CN"/>
        </w:rPr>
        <w:t xml:space="preserve">应对照采购文件中</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要求等，所投标的物与采购文件的规定有偏离的，应在此表中申明与</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要求条文的偏差和例外。</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2、未在上表中说明的，将被认为完全响应采购文件的规定。但该表不作为供应商对所投标的物关于</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要求等详细描述和说明的替代。</w:t>
      </w:r>
      <w:r/>
    </w:p>
    <w:p>
      <w:pPr>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：（公章）</w:t>
      </w:r>
      <w:r/>
    </w:p>
    <w:p>
      <w:pPr>
        <w:jc w:val="left"/>
        <w:spacing w:line="4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spacing w:line="460" w:lineRule="exact"/>
        <w:rPr>
          <w:rFonts w:hint="eastAsia" w:hAnsi="宋体" w:cs="宋体"/>
          <w:b/>
          <w:bCs/>
          <w:color w:val="auto"/>
          <w:sz w:val="32"/>
          <w:szCs w:val="32"/>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pStyle w:val="998"/>
        <w:jc w:val="both"/>
        <w:spacing w:line="360" w:lineRule="auto"/>
        <w:rPr>
          <w:rFonts w:hint="eastAsia" w:ascii="宋体" w:hAnsi="宋体" w:eastAsia="宋体" w:cs="宋体"/>
          <w:color w:val="auto"/>
          <w:sz w:val="32"/>
          <w:szCs w:val="32"/>
          <w:highlight w:val="none"/>
        </w:rPr>
      </w:pPr>
      <w:r>
        <w:rPr>
          <w:rFonts w:hint="eastAsia" w:hAnsi="宋体" w:eastAsia="宋体"/>
          <w:b/>
          <w:color w:val="auto"/>
          <w:sz w:val="32"/>
          <w:szCs w:val="32"/>
          <w:highlight w:val="none"/>
        </w:rPr>
        <w:br w:type="page" w:clear="all"/>
      </w:r>
      <w:r>
        <w:rPr>
          <w:rFonts w:hint="eastAsia" w:ascii="宋体" w:hAnsi="宋体" w:eastAsia="宋体" w:cs="宋体"/>
          <w:b/>
          <w:bCs/>
          <w:color w:val="auto"/>
          <w:sz w:val="32"/>
          <w:szCs w:val="32"/>
          <w:highlight w:val="none"/>
          <w:lang w:val="en-US" w:eastAsia="zh-CN" w:bidi="ar-SA"/>
        </w:rPr>
        <w:t xml:space="preserve">9、商务条款偏离表</w:t>
      </w:r>
      <w:r/>
    </w:p>
    <w:p>
      <w:pPr>
        <w:ind w:firstLine="560"/>
        <w:jc w:val="center"/>
        <w:rPr>
          <w:rFonts w:hint="eastAsia" w:ascii="宋体" w:hAnsi="宋体"/>
          <w:color w:val="auto"/>
          <w:highlight w:val="none"/>
        </w:rPr>
      </w:pPr>
      <w:r>
        <w:rPr>
          <w:rFonts w:hint="eastAsia" w:ascii="宋体" w:hAnsi="宋体" w:eastAsia="宋体" w:cs="宋体"/>
          <w:b/>
          <w:bCs/>
          <w:color w:val="auto"/>
          <w:sz w:val="32"/>
          <w:szCs w:val="32"/>
          <w:highlight w:val="none"/>
          <w:lang w:val="en-US" w:eastAsia="zh-CN" w:bidi="ar-SA"/>
        </w:rPr>
        <w:t xml:space="preserve">商务条款偏离表</w:t>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jc w:val="center"/>
        </w:trPr>
        <w:tc>
          <w:tcPr>
            <w:tcW w:w="828"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序号</w:t>
            </w:r>
            <w:r/>
          </w:p>
        </w:tc>
        <w:tc>
          <w:tcPr>
            <w:tcW w:w="1800"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商务内容</w:t>
            </w:r>
            <w:r/>
          </w:p>
        </w:tc>
        <w:tc>
          <w:tcPr>
            <w:tcW w:w="1620"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招标要求</w:t>
            </w:r>
            <w:r/>
          </w:p>
        </w:tc>
        <w:tc>
          <w:tcPr>
            <w:tcW w:w="1749"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投标</w:t>
            </w:r>
            <w:r>
              <w:rPr>
                <w:rFonts w:hint="eastAsia" w:hAnsi="宋体" w:eastAsia="宋体" w:cs="宋体"/>
                <w:b/>
                <w:color w:val="auto"/>
                <w:sz w:val="21"/>
                <w:szCs w:val="21"/>
                <w:highlight w:val="none"/>
                <w:lang w:val="en-US" w:eastAsia="zh-CN"/>
              </w:rPr>
              <w:t xml:space="preserve">内容</w:t>
            </w:r>
            <w:r/>
          </w:p>
        </w:tc>
        <w:tc>
          <w:tcPr>
            <w:tcW w:w="1390"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此项请填写“偏离”或“完全响应”</w:t>
            </w:r>
            <w:r/>
          </w:p>
        </w:tc>
        <w:tc>
          <w:tcPr>
            <w:tcW w:w="1757" w:type="dxa"/>
            <w:vAlign w:val="center"/>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偏离说明（如有）</w:t>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合同履行期限</w:t>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地点</w:t>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Height w:val="796"/>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zh-CN"/>
              </w:rPr>
              <w:t xml:space="preserve">付款方式</w:t>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zh-CN"/>
              </w:rPr>
              <w:t xml:space="preserve">其他商务要求</w:t>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w:t>
            </w:r>
            <w:r/>
          </w:p>
        </w:tc>
        <w:tc>
          <w:tcPr>
            <w:tcW w:w="180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998"/>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bl>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注：投标人的投标文件（除</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要求部分）与招标文件规定的有偏离的，应在此表中说明。未在上表中说明的，将被认为完全响应招标文件的规定。但该表不作为投标人对所投标的物关于商务条款等详细描述和说明的替代。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       年    月    日</w:t>
      </w:r>
      <w:r/>
    </w:p>
    <w:p>
      <w:pPr>
        <w:pStyle w:val="911"/>
        <w:ind w:firstLine="0"/>
        <w:spacing w:line="360" w:lineRule="auto"/>
        <w:rPr>
          <w:rFonts w:hint="eastAsia" w:ascii="宋体" w:hAnsi="宋体" w:eastAsia="宋体" w:cs="宋体"/>
          <w:b/>
          <w:bCs/>
          <w:color w:val="auto"/>
          <w:sz w:val="32"/>
          <w:szCs w:val="32"/>
          <w:highlight w:val="none"/>
        </w:rPr>
      </w:pPr>
      <w:r>
        <w:rPr>
          <w:rFonts w:hint="eastAsia" w:ascii="宋体" w:hAnsi="宋体" w:eastAsia="宋体" w:cs="Times New Roman"/>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10、项目人员安排一览表</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项目人员安排一览表</w:t>
      </w:r>
      <w:r/>
    </w:p>
    <w:tbl>
      <w:tblPr>
        <w:tblStyle w:val="907"/>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559"/>
        <w:gridCol w:w="851"/>
        <w:gridCol w:w="1559"/>
        <w:gridCol w:w="1417"/>
        <w:gridCol w:w="1380"/>
      </w:tblGrid>
      <w:tr>
        <w:trPr>
          <w:trHeight w:val="412"/>
        </w:trPr>
        <w:tc>
          <w:tcPr>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序号</w:t>
            </w:r>
            <w:r/>
          </w:p>
        </w:tc>
        <w:tc>
          <w:tcPr>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姓名</w:t>
            </w:r>
            <w:r/>
          </w:p>
        </w:tc>
        <w:tc>
          <w:tcP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性别</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专业技术职称</w:t>
            </w:r>
            <w:r/>
          </w:p>
        </w:tc>
        <w:tc>
          <w:tcPr>
            <w:tcW w:w="14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学历</w:t>
            </w:r>
            <w:r/>
          </w:p>
        </w:tc>
        <w:tc>
          <w:tcPr>
            <w:tcW w:w="13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备注</w:t>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7"/>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12"/>
        </w:trPr>
        <w:tc>
          <w:tcPr>
            <w:tcW w:w="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380"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pStyle w:val="911"/>
        <w:ind w:firstLine="211"/>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注：本表后附招标文件及评分标准中要求提供的证明材料。</w:t>
      </w:r>
      <w:r/>
    </w:p>
    <w:p>
      <w:pPr>
        <w:pStyle w:val="911"/>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11"/>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500" w:lineRule="exact"/>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ind w:firstLine="422"/>
        <w:jc w:val="left"/>
        <w:spacing w:line="400" w:lineRule="exact"/>
        <w:widowControl/>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11、相关证书一览表</w:t>
      </w:r>
      <w:r/>
    </w:p>
    <w:p>
      <w:pPr>
        <w:ind w:firstLine="422"/>
        <w:jc w:val="left"/>
        <w:spacing w:line="400" w:lineRule="exact"/>
        <w:widowControl/>
        <w:rPr>
          <w:rFonts w:hint="default" w:ascii="宋体" w:hAnsi="宋体" w:eastAsia="宋体" w:cs="宋体"/>
          <w:b/>
          <w:bCs/>
          <w:color w:val="auto"/>
          <w:sz w:val="32"/>
          <w:szCs w:val="32"/>
          <w:highlight w:val="none"/>
          <w:lang w:val="en-US" w:eastAsia="zh-CN" w:bidi="ar-SA"/>
        </w:rPr>
      </w:pPr>
      <w:r>
        <w:rPr>
          <w:rFonts w:hint="default" w:ascii="宋体" w:hAnsi="宋体" w:eastAsia="宋体" w:cs="宋体"/>
          <w:b/>
          <w:bCs/>
          <w:color w:val="auto"/>
          <w:sz w:val="32"/>
          <w:szCs w:val="32"/>
          <w:highlight w:val="none"/>
          <w:lang w:val="en-US" w:eastAsia="zh-CN" w:bidi="ar-SA"/>
        </w:rPr>
      </w:r>
      <w:r/>
    </w:p>
    <w:p>
      <w:pPr>
        <w:ind w:firstLine="422"/>
        <w:jc w:val="center"/>
        <w:spacing w:line="400" w:lineRule="exact"/>
        <w:widowControl/>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证书一览表</w:t>
      </w:r>
      <w:r/>
    </w:p>
    <w:tbl>
      <w:tblPr>
        <w:tblStyle w:val="90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05"/>
        <w:gridCol w:w="2719"/>
        <w:gridCol w:w="1800"/>
        <w:gridCol w:w="1765"/>
        <w:gridCol w:w="1823"/>
      </w:tblGrid>
      <w:tr>
        <w:trPr>
          <w:cantSplit/>
          <w:jc w:val="center"/>
          <w:trHeight w:val="740"/>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序号</w:t>
            </w:r>
            <w:r/>
          </w:p>
        </w:tc>
        <w:tc>
          <w:tcPr>
            <w:tcW w:w="271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证书名称</w:t>
            </w:r>
            <w:r/>
          </w:p>
        </w:tc>
        <w:tc>
          <w:tcPr>
            <w:tcW w:w="18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证书级别</w:t>
            </w:r>
            <w:r/>
          </w:p>
        </w:tc>
        <w:tc>
          <w:tcPr>
            <w:tcW w:w="1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jc w:val="left"/>
        <w:spacing w:line="36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注：本表后附招标文件及评分标准中要求提供的证明材料。</w:t>
      </w:r>
      <w:r/>
    </w:p>
    <w:p>
      <w:pPr>
        <w:pStyle w:val="911"/>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11"/>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pStyle w:val="911"/>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pStyle w:val="911"/>
        <w:ind w:left="0" w:firstLine="0"/>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rPr>
          <w:rFonts w:hint="eastAsia" w:ascii="宋体" w:hAnsi="宋体" w:eastAsia="宋体" w:cs="Times New Roman"/>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12、类似业绩证明材料</w:t>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类似业绩证明材料</w:t>
      </w:r>
      <w:r/>
    </w:p>
    <w:tbl>
      <w:tblPr>
        <w:tblStyle w:val="907"/>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序号</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签订时间</w:t>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合同金额</w:t>
            </w:r>
            <w:r/>
          </w:p>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（人民币）</w:t>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业主单位</w:t>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备注</w:t>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5</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6</w:t>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53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6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4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216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bl>
    <w:p>
      <w:pPr>
        <w:pStyle w:val="90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注：本表后附招标文件及评分标准中要求提供的证明材料。</w:t>
      </w:r>
      <w:r/>
    </w:p>
    <w:p>
      <w:pPr>
        <w:jc w:val="both"/>
        <w:rPr>
          <w:color w:val="auto"/>
          <w:highlight w:val="none"/>
        </w:rPr>
      </w:pPr>
      <w:r>
        <w:rPr>
          <w:color w:val="auto"/>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500" w:lineRule="exact"/>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3</w:t>
      </w:r>
      <w:r>
        <w:rPr>
          <w:rFonts w:hint="eastAsia" w:ascii="宋体" w:hAnsi="宋体"/>
          <w:b/>
          <w:bCs/>
          <w:color w:val="auto"/>
          <w:sz w:val="32"/>
          <w:szCs w:val="32"/>
          <w:highlight w:val="none"/>
        </w:rPr>
        <w:t xml:space="preserve">、项目服务方案</w:t>
      </w:r>
      <w:r/>
    </w:p>
    <w:p>
      <w:pPr>
        <w:rPr>
          <w:rFonts w:ascii="宋体" w:hAnsi="宋体" w:cs="Arial"/>
          <w:color w:val="auto"/>
          <w:sz w:val="24"/>
          <w:szCs w:val="21"/>
          <w:highlight w:val="none"/>
        </w:rPr>
      </w:pPr>
      <w:r>
        <w:rPr>
          <w:rFonts w:ascii="宋体" w:hAnsi="宋体" w:cs="Arial"/>
          <w:color w:val="auto"/>
          <w:sz w:val="24"/>
          <w:szCs w:val="21"/>
          <w:highlight w:val="none"/>
        </w:rPr>
      </w:r>
      <w:r/>
    </w:p>
    <w:p>
      <w:pPr>
        <w:ind w:firstLine="420"/>
        <w:rPr>
          <w:rFonts w:hint="eastAsia" w:ascii="宋体" w:hAnsi="宋体" w:eastAsia="宋体"/>
          <w:b/>
          <w:bCs/>
          <w:color w:val="auto"/>
          <w:sz w:val="21"/>
          <w:szCs w:val="21"/>
          <w:highlight w:val="none"/>
          <w:lang w:eastAsia="zh-CN"/>
        </w:rPr>
      </w:pPr>
      <w:r>
        <w:rPr>
          <w:rFonts w:hint="eastAsia" w:ascii="宋体" w:hAnsi="宋体" w:cs="Arial"/>
          <w:color w:val="auto"/>
          <w:sz w:val="21"/>
          <w:szCs w:val="21"/>
          <w:highlight w:val="none"/>
        </w:rPr>
        <w:t xml:space="preserve">投标人根据项目需求</w:t>
      </w:r>
      <w:r>
        <w:rPr>
          <w:rFonts w:hint="eastAsia" w:ascii="宋体" w:hAnsi="宋体" w:cs="Arial"/>
          <w:color w:val="auto"/>
          <w:sz w:val="21"/>
          <w:szCs w:val="21"/>
          <w:highlight w:val="none"/>
          <w:lang w:val="en-US" w:eastAsia="zh-CN"/>
        </w:rPr>
        <w:t xml:space="preserve">及评分标准</w:t>
      </w:r>
      <w:r>
        <w:rPr>
          <w:rFonts w:hint="eastAsia" w:ascii="宋体" w:hAnsi="宋体" w:cs="Arial"/>
          <w:color w:val="auto"/>
          <w:sz w:val="21"/>
          <w:szCs w:val="21"/>
          <w:highlight w:val="none"/>
        </w:rPr>
        <w:t xml:space="preserve">编写针对本项目的服务方案</w:t>
      </w:r>
      <w:r>
        <w:rPr>
          <w:rFonts w:hint="eastAsia" w:ascii="宋体" w:hAnsi="宋体" w:cs="Arial"/>
          <w:color w:val="auto"/>
          <w:sz w:val="21"/>
          <w:szCs w:val="21"/>
          <w:highlight w:val="none"/>
          <w:lang w:val="en-US" w:eastAsia="zh-CN"/>
        </w:rPr>
        <w:t xml:space="preserve">等</w:t>
      </w:r>
      <w:r>
        <w:rPr>
          <w:rFonts w:hint="eastAsia" w:ascii="宋体" w:hAnsi="宋体" w:cs="Arial"/>
          <w:color w:val="auto"/>
          <w:sz w:val="21"/>
          <w:szCs w:val="21"/>
          <w:highlight w:val="none"/>
          <w:lang w:eastAsia="zh-CN"/>
        </w:rPr>
        <w:t xml:space="preserve">，</w:t>
      </w:r>
      <w:r>
        <w:rPr>
          <w:rFonts w:hint="eastAsia" w:ascii="宋体" w:hAnsi="宋体" w:cs="Arial"/>
          <w:color w:val="auto"/>
          <w:sz w:val="21"/>
          <w:szCs w:val="21"/>
          <w:highlight w:val="none"/>
          <w:lang w:val="en-US" w:eastAsia="zh-CN"/>
        </w:rPr>
        <w:t xml:space="preserve">格式自拟</w:t>
      </w:r>
      <w:r>
        <w:rPr>
          <w:rFonts w:hint="eastAsia" w:ascii="宋体" w:hAnsi="宋体" w:cs="Arial"/>
          <w:color w:val="auto"/>
          <w:sz w:val="21"/>
          <w:szCs w:val="21"/>
          <w:highlight w:val="none"/>
          <w:lang w:eastAsia="zh-CN"/>
        </w:rPr>
        <w:t xml:space="preserve">。</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1071"/>
        <w:ind w:left="0" w:firstLine="0"/>
        <w:rPr>
          <w:rFonts w:hint="eastAsia"/>
          <w:color w:val="auto"/>
          <w:highlight w:val="none"/>
        </w:rPr>
      </w:pPr>
      <w:r>
        <w:rPr>
          <w:rFonts w:hint="eastAsia"/>
          <w:color w:val="auto"/>
          <w:highlight w:val="none"/>
        </w:rPr>
      </w:r>
      <w:r/>
    </w:p>
    <w:p>
      <w:pP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br w:type="page" w:clear="all"/>
      </w:r>
      <w:r>
        <w:rPr>
          <w:rFonts w:hint="eastAsia" w:ascii="宋体" w:hAnsi="宋体" w:eastAsia="宋体" w:cs="Times New Roman"/>
          <w:b/>
          <w:bCs/>
          <w:color w:val="auto"/>
          <w:sz w:val="32"/>
          <w:szCs w:val="32"/>
          <w:highlight w:val="none"/>
        </w:rPr>
        <w:t xml:space="preserve">1</w:t>
      </w:r>
      <w:r>
        <w:rPr>
          <w:rFonts w:hint="eastAsia" w:ascii="宋体" w:hAnsi="宋体" w:eastAsia="宋体" w:cs="Times New Roman"/>
          <w:b/>
          <w:bCs/>
          <w:color w:val="auto"/>
          <w:sz w:val="32"/>
          <w:szCs w:val="32"/>
          <w:highlight w:val="none"/>
          <w:lang w:val="en-US" w:eastAsia="zh-CN"/>
        </w:rPr>
        <w:t xml:space="preserve">4</w:t>
      </w:r>
      <w:r>
        <w:rPr>
          <w:rFonts w:hint="eastAsia" w:ascii="宋体" w:hAnsi="宋体" w:eastAsia="宋体" w:cs="Times New Roman"/>
          <w:b/>
          <w:bCs/>
          <w:color w:val="auto"/>
          <w:sz w:val="32"/>
          <w:szCs w:val="32"/>
          <w:highlight w:val="none"/>
        </w:rPr>
        <w:t xml:space="preserve">、中小企业声明函（如有）</w:t>
      </w:r>
      <w:r/>
    </w:p>
    <w:p>
      <w:pPr>
        <w:jc w:val="cente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中小企业声明函（</w:t>
      </w:r>
      <w:r>
        <w:rPr>
          <w:rFonts w:hint="eastAsia" w:ascii="宋体" w:hAnsi="宋体" w:eastAsia="宋体" w:cs="Times New Roman"/>
          <w:b/>
          <w:bCs/>
          <w:color w:val="auto"/>
          <w:sz w:val="32"/>
          <w:szCs w:val="32"/>
          <w:highlight w:val="none"/>
          <w:lang w:eastAsia="zh-CN"/>
        </w:rPr>
        <w:t xml:space="preserve">服务</w:t>
      </w:r>
      <w:r>
        <w:rPr>
          <w:rFonts w:hint="eastAsia" w:ascii="宋体" w:hAnsi="宋体" w:eastAsia="宋体" w:cs="Times New Roman"/>
          <w:b/>
          <w:bCs/>
          <w:color w:val="auto"/>
          <w:sz w:val="32"/>
          <w:szCs w:val="32"/>
          <w:highlight w:val="none"/>
        </w:rPr>
        <w:t xml:space="preserve">）</w:t>
      </w:r>
      <w:r/>
    </w:p>
    <w:p>
      <w:pPr>
        <w:ind w:right="355" w:firstLine="412"/>
        <w:jc w:val="both"/>
        <w:spacing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本公司</w:t>
      </w:r>
      <w:r>
        <w:rPr>
          <w:rFonts w:hint="eastAsia" w:ascii="宋体" w:hAnsi="宋体" w:eastAsia="宋体" w:cs="宋体"/>
          <w:color w:val="auto"/>
          <w:sz w:val="21"/>
          <w:szCs w:val="21"/>
          <w:highlight w:val="none"/>
          <w:lang w:val="en-US" w:eastAsia="zh-CN" w:bidi="ar-SA"/>
        </w:rPr>
        <w:t xml:space="preserve">（联合体）</w:t>
      </w:r>
      <w:r>
        <w:rPr>
          <w:rFonts w:hint="eastAsia" w:ascii="宋体" w:hAnsi="宋体" w:eastAsia="宋体" w:cs="宋体"/>
          <w:color w:val="auto"/>
          <w:spacing w:val="-2"/>
          <w:sz w:val="21"/>
          <w:szCs w:val="21"/>
          <w:highlight w:val="none"/>
          <w:lang w:val="en-US" w:eastAsia="zh-CN" w:bidi="ar-SA"/>
        </w:rPr>
        <w:t xml:space="preserve">郑重声明，根据《政府采购促进中小</w:t>
      </w:r>
      <w:r>
        <w:rPr>
          <w:rFonts w:hint="eastAsia" w:ascii="宋体" w:hAnsi="宋体" w:eastAsia="宋体" w:cs="宋体"/>
          <w:color w:val="auto"/>
          <w:spacing w:val="-18"/>
          <w:sz w:val="21"/>
          <w:szCs w:val="21"/>
          <w:highlight w:val="none"/>
          <w:lang w:val="en-US" w:eastAsia="zh-CN" w:bidi="ar-SA"/>
        </w:rPr>
        <w:t xml:space="preserve">企业发展管理办法》</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pacing w:val="5"/>
          <w:sz w:val="21"/>
          <w:szCs w:val="21"/>
          <w:highlight w:val="none"/>
          <w:lang w:val="en-US" w:eastAsia="zh-CN" w:bidi="ar-SA"/>
        </w:rPr>
        <w:t xml:space="preserve">财库</w:t>
      </w:r>
      <w:r>
        <w:rPr>
          <w:rFonts w:hint="eastAsia" w:ascii="宋体" w:hAnsi="宋体" w:eastAsia="宋体" w:cs="宋体"/>
          <w:color w:val="auto"/>
          <w:sz w:val="21"/>
          <w:szCs w:val="21"/>
          <w:highlight w:val="none"/>
          <w:lang w:val="en-US" w:eastAsia="zh-CN" w:bidi="ar-SA"/>
        </w:rPr>
        <w:t xml:space="preserve">﹝2020﹞46</w:t>
      </w:r>
      <w:r>
        <w:rPr>
          <w:rFonts w:hint="eastAsia" w:ascii="宋体" w:hAnsi="宋体" w:eastAsia="宋体" w:cs="宋体"/>
          <w:color w:val="auto"/>
          <w:spacing w:val="-38"/>
          <w:sz w:val="21"/>
          <w:szCs w:val="21"/>
          <w:highlight w:val="none"/>
          <w:lang w:val="en-US" w:eastAsia="zh-CN" w:bidi="ar-SA"/>
        </w:rPr>
        <w:t xml:space="preserve"> 号</w:t>
      </w:r>
      <w:r>
        <w:rPr>
          <w:rFonts w:hint="eastAsia" w:ascii="宋体" w:hAnsi="宋体" w:eastAsia="宋体" w:cs="宋体"/>
          <w:color w:val="auto"/>
          <w:spacing w:val="5"/>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的规定，本公司（联合体）</w:t>
      </w:r>
      <w:r>
        <w:rPr>
          <w:rFonts w:hint="eastAsia" w:ascii="宋体" w:hAnsi="宋体" w:eastAsia="宋体" w:cs="宋体"/>
          <w:color w:val="auto"/>
          <w:spacing w:val="-8"/>
          <w:sz w:val="21"/>
          <w:szCs w:val="21"/>
          <w:highlight w:val="none"/>
          <w:lang w:val="en-US" w:eastAsia="zh-CN" w:bidi="ar-SA"/>
        </w:rPr>
        <w:t xml:space="preserve">参加</w:t>
      </w:r>
      <w:r>
        <w:rPr>
          <w:rFonts w:hint="eastAsia" w:ascii="宋体" w:hAnsi="宋体" w:eastAsia="宋体" w:cs="宋体"/>
          <w:color w:val="auto"/>
          <w:spacing w:val="-8"/>
          <w:sz w:val="21"/>
          <w:szCs w:val="21"/>
          <w:highlight w:val="none"/>
          <w:u w:val="single"/>
          <w:lang w:val="en-US" w:eastAsia="zh-CN" w:bidi="ar-SA"/>
        </w:rPr>
        <w:t xml:space="preserve">招标单位</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w:t>
      </w:r>
      <w:r>
        <w:rPr>
          <w:rFonts w:hint="eastAsia" w:ascii="宋体" w:hAnsi="宋体" w:eastAsia="宋体" w:cs="宋体"/>
          <w:color w:val="auto"/>
          <w:spacing w:val="-1"/>
          <w:sz w:val="21"/>
          <w:szCs w:val="21"/>
          <w:highlight w:val="none"/>
          <w:lang w:val="en-US" w:eastAsia="zh-CN" w:bidi="ar-SA"/>
        </w:rPr>
        <w:t xml:space="preserve">购活动，</w:t>
      </w:r>
      <w:r>
        <w:rPr>
          <w:rFonts w:hint="eastAsia" w:ascii="宋体" w:hAnsi="宋体" w:eastAsia="宋体" w:cs="宋体"/>
          <w:color w:val="auto"/>
          <w:spacing w:val="-2"/>
          <w:sz w:val="21"/>
          <w:szCs w:val="21"/>
          <w:highlight w:val="none"/>
          <w:lang w:val="en-US" w:eastAsia="zh-CN" w:bidi="ar-SA"/>
        </w:rPr>
        <w:t xml:space="preserve">服务全部由符合政策要求的中小企业承接。相关企业（含联合体中的中小企业、签订分包意向协议的中小企业）</w:t>
      </w:r>
      <w:r>
        <w:rPr>
          <w:rFonts w:hint="eastAsia" w:ascii="宋体" w:hAnsi="宋体" w:eastAsia="宋体" w:cs="宋体"/>
          <w:color w:val="auto"/>
          <w:sz w:val="21"/>
          <w:szCs w:val="21"/>
          <w:highlight w:val="none"/>
          <w:lang w:val="en-US" w:eastAsia="zh-CN" w:bidi="ar-SA"/>
        </w:rPr>
        <w:t xml:space="preserve">的具体情况如下：</w:t>
      </w:r>
      <w:r/>
    </w:p>
    <w:p>
      <w:pPr>
        <w:numPr>
          <w:ilvl w:val="0"/>
          <w:numId w:val="9"/>
        </w:numPr>
        <w:ind w:firstLine="420"/>
        <w:jc w:val="both"/>
        <w:spacing w:line="360" w:lineRule="auto"/>
        <w:widowControl w:val="off"/>
        <w:tabs>
          <w:tab w:val="left" w:pos="1243" w:leader="none"/>
        </w:tabs>
        <w:rPr>
          <w:rFonts w:hint="default"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numPr>
          <w:ilvl w:val="0"/>
          <w:numId w:val="9"/>
        </w:numPr>
        <w:ind w:firstLine="420"/>
        <w:jc w:val="both"/>
        <w:spacing w:line="360" w:lineRule="auto"/>
        <w:widowControl w:val="off"/>
        <w:tabs>
          <w:tab w:val="left" w:pos="1243" w:leader="none"/>
        </w:tabs>
        <w:rPr>
          <w:rFonts w:hint="default"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cs="宋体"/>
          <w:color w:val="auto"/>
          <w:spacing w:val="-2"/>
          <w:sz w:val="21"/>
          <w:szCs w:val="21"/>
          <w:highlight w:val="none"/>
          <w:lang w:val="en-US" w:eastAsia="zh-CN" w:bidi="zh-CN"/>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ind w:left="860"/>
        <w:jc w:val="left"/>
        <w:spacing w:before="11"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ind w:firstLine="420"/>
        <w:jc w:val="left"/>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以上企业，不属于大企业的分支机构，不存在控股股东为大企业的情形，也不存在与大企业的负责人为同一人的情形。</w:t>
      </w:r>
      <w:r/>
    </w:p>
    <w:p>
      <w:pPr>
        <w:ind w:firstLine="420"/>
        <w:jc w:val="left"/>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本企业对上述声明内容的真实性负责。如有虚假，将依法承担相应责任。</w:t>
      </w:r>
      <w:r/>
    </w:p>
    <w:p>
      <w:pPr>
        <w:ind w:firstLine="420"/>
        <w:jc w:val="left"/>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420"/>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企业名称（盖章）：</w:t>
      </w:r>
      <w:r/>
    </w:p>
    <w:p>
      <w:pPr>
        <w:ind w:firstLine="420"/>
        <w:jc w:val="center"/>
        <w:spacing w:line="400" w:lineRule="exact"/>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日期：</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、若供应商中标（成交），供应商提供的“中小企业声明函” 将在中标（成交）公告中公示。</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从业人员、营业收入、资产总额填报上一年度数据，无上一年度数据的新成立企业可不填报。</w:t>
      </w:r>
      <w:r/>
    </w:p>
    <w:p>
      <w:pPr>
        <w:ind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8"/>
        <w:spacing w:before="0" w:beforeAutospacing="0" w:after="0" w:afterAutospacing="0" w:line="480" w:lineRule="atLeast"/>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rPr>
        <w:br w:type="page" w:clear="all"/>
      </w:r>
      <w:r>
        <w:rPr>
          <w:rFonts w:hint="eastAsia" w:ascii="宋体" w:hAnsi="宋体" w:eastAsia="宋体" w:cs="宋体"/>
          <w:b/>
          <w:bCs w:val="0"/>
          <w:color w:val="auto"/>
          <w:sz w:val="32"/>
          <w:szCs w:val="32"/>
          <w:highlight w:val="none"/>
        </w:rPr>
        <w:t xml:space="preserve">1</w:t>
      </w:r>
      <w:r>
        <w:rPr>
          <w:rFonts w:hint="eastAsia" w:ascii="宋体" w:hAnsi="宋体" w:eastAsia="宋体" w:cs="宋体"/>
          <w:b/>
          <w:bCs w:val="0"/>
          <w:color w:val="auto"/>
          <w:sz w:val="32"/>
          <w:szCs w:val="32"/>
          <w:highlight w:val="none"/>
          <w:lang w:val="en-US" w:eastAsia="zh-CN"/>
        </w:rPr>
        <w:t xml:space="preserve">5</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rPr>
        <w:t xml:space="preserve">残疾人福利性单位声明函</w:t>
      </w:r>
      <w:r>
        <w:rPr>
          <w:rFonts w:hint="eastAsia" w:eastAsia="宋体" w:cs="宋体"/>
          <w:b/>
          <w:bCs w:val="0"/>
          <w:color w:val="auto"/>
          <w:sz w:val="32"/>
          <w:szCs w:val="32"/>
          <w:highlight w:val="none"/>
          <w:lang w:eastAsia="zh-CN"/>
        </w:rPr>
        <w:t xml:space="preserve">（</w:t>
      </w:r>
      <w:r>
        <w:rPr>
          <w:rFonts w:hint="eastAsia" w:eastAsia="宋体" w:cs="宋体"/>
          <w:b/>
          <w:bCs w:val="0"/>
          <w:color w:val="auto"/>
          <w:sz w:val="32"/>
          <w:szCs w:val="32"/>
          <w:highlight w:val="none"/>
          <w:lang w:val="en-US" w:eastAsia="zh-CN"/>
        </w:rPr>
        <w:t xml:space="preserve">如有</w:t>
      </w:r>
      <w:r>
        <w:rPr>
          <w:rFonts w:hint="eastAsia" w:eastAsia="宋体" w:cs="宋体"/>
          <w:b/>
          <w:bCs w:val="0"/>
          <w:color w:val="auto"/>
          <w:sz w:val="32"/>
          <w:szCs w:val="32"/>
          <w:highlight w:val="none"/>
          <w:lang w:eastAsia="zh-CN"/>
        </w:rPr>
        <w:t xml:space="preserve">）</w:t>
      </w:r>
      <w:r/>
    </w:p>
    <w:p>
      <w:pPr>
        <w:ind w:firstLine="2570"/>
        <w:jc w:val="left"/>
        <w:spacing w:line="480" w:lineRule="atLeast"/>
        <w:widowControl/>
        <w:rPr>
          <w:rFonts w:ascii="宋体" w:hAnsi="宋体"/>
          <w:b/>
          <w:color w:val="auto"/>
          <w:sz w:val="32"/>
          <w:szCs w:val="32"/>
          <w:highlight w:val="none"/>
        </w:rPr>
      </w:pPr>
      <w:r>
        <w:rPr>
          <w:rFonts w:hint="eastAsia" w:ascii="宋体" w:hAnsi="宋体" w:eastAsia="宋体" w:cs="宋体"/>
          <w:b/>
          <w:bCs w:val="0"/>
          <w:color w:val="auto"/>
          <w:sz w:val="32"/>
          <w:szCs w:val="32"/>
          <w:highlight w:val="none"/>
        </w:rPr>
        <w:t xml:space="preserve">残疾人福利性单位声明函</w:t>
      </w:r>
      <w:r/>
    </w:p>
    <w:p>
      <w:pPr>
        <w:ind w:firstLine="420"/>
        <w:jc w:val="left"/>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30"/>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400" w:firstLine="425"/>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left="3825"/>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负责人</w:t>
      </w:r>
      <w:r>
        <w:rPr>
          <w:rFonts w:hint="eastAsia" w:ascii="宋体" w:hAnsi="宋体" w:eastAsia="宋体" w:cs="Times New Roman"/>
          <w:color w:val="auto"/>
          <w:sz w:val="21"/>
          <w:szCs w:val="21"/>
          <w:highlight w:val="none"/>
          <w:lang w:val="zh-CN"/>
        </w:rPr>
        <w:t xml:space="preserve">）</w:t>
      </w:r>
      <w:r>
        <w:rPr>
          <w:rFonts w:hint="eastAsia" w:ascii="宋体" w:hAnsi="宋体" w:eastAsia="宋体" w:cs="宋体"/>
          <w:color w:val="auto"/>
          <w:sz w:val="21"/>
          <w:szCs w:val="21"/>
          <w:highlight w:val="none"/>
          <w:lang w:val="en-US" w:eastAsia="zh-CN" w:bidi="ar-SA"/>
        </w:rPr>
        <w:t xml:space="preserve">或其委托代理人：（盖章或签字）</w:t>
      </w:r>
      <w:r/>
    </w:p>
    <w:p>
      <w:pPr>
        <w:ind w:firstLine="5250"/>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right="1560" w:firstLine="420"/>
        <w:jc w:val="center"/>
        <w:spacing w:line="588" w:lineRule="exact"/>
        <w:widowControl/>
        <w:tabs>
          <w:tab w:val="left" w:pos="4860" w:leader="none"/>
        </w:tabs>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before="0" w:beforeAutospacing="0" w:after="0" w:afterAutospacing="0" w:line="360" w:lineRule="auto"/>
        <w:widowControl/>
        <w:rPr>
          <w:rFonts w:hint="default" w:ascii="宋体" w:hAnsi="宋体" w:eastAsia="宋体" w:cs="宋体"/>
          <w:color w:val="auto"/>
          <w:sz w:val="21"/>
          <w:szCs w:val="21"/>
          <w:highlight w:val="none"/>
          <w:lang w:val="en-US" w:eastAsia="zh-CN" w:bidi="ar-SA"/>
        </w:rPr>
      </w:pPr>
      <w:r/>
      <w:bookmarkStart w:id="19" w:name="_Toc5165"/>
      <w:r>
        <w:rPr>
          <w:rFonts w:hint="eastAsia" w:ascii="宋体" w:hAnsi="宋体" w:eastAsia="宋体" w:cs="宋体"/>
          <w:color w:val="auto"/>
          <w:sz w:val="21"/>
          <w:szCs w:val="21"/>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19"/>
      <w:r/>
      <w:bookmarkEnd w:id="14"/>
      <w:r/>
      <w:bookmarkEnd w:id="15"/>
      <w:r/>
      <w:bookmarkEnd w:id="16"/>
      <w:r/>
      <w:bookmarkEnd w:id="17"/>
      <w:r/>
      <w:bookmarkEnd w:id="18"/>
      <w:r/>
      <w:r/>
    </w:p>
    <w:p>
      <w:pPr>
        <w:jc w:val="center"/>
        <w:keepLines w:val="0"/>
        <w:pageBreakBefore w:val="0"/>
        <w:spacing w:line="480" w:lineRule="auto"/>
        <w:widowControl w:val="off"/>
        <w:rPr>
          <w:rFonts w:hint="eastAsia" w:ascii="宋体" w:hAnsi="宋体" w:cs="宋体"/>
          <w:b/>
          <w:color w:val="auto"/>
          <w:sz w:val="32"/>
          <w:szCs w:val="32"/>
          <w:highlight w:val="none"/>
        </w:rPr>
      </w:pPr>
      <w:r>
        <w:rPr>
          <w:rFonts w:hint="eastAsia" w:ascii="宋体" w:hAnsi="宋体" w:cs="宋体"/>
          <w:b/>
          <w:color w:val="auto"/>
          <w:sz w:val="44"/>
          <w:szCs w:val="44"/>
          <w:highlight w:val="none"/>
        </w:rPr>
        <w:br w:type="page" w:clear="all"/>
      </w:r>
      <w:r>
        <w:rPr>
          <w:rFonts w:hint="eastAsia" w:ascii="宋体" w:hAnsi="宋体" w:eastAsia="宋体" w:cs="Times New Roman"/>
          <w:b/>
          <w:color w:val="auto"/>
          <w:sz w:val="32"/>
          <w:szCs w:val="32"/>
          <w:highlight w:val="none"/>
          <w:lang w:val="en-US" w:eastAsia="zh-CN" w:bidi="ar-SA"/>
        </w:rPr>
        <w:t xml:space="preserve">第五部分 评标方法与评标标准</w:t>
      </w:r>
      <w:r/>
    </w:p>
    <w:p>
      <w:pPr>
        <w:ind w:firstLine="211"/>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评标方法</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w:t>
      </w:r>
      <w:r>
        <w:rPr>
          <w:rFonts w:hint="eastAsia" w:ascii="宋体" w:hAnsi="宋体" w:cs="宋体"/>
          <w:bCs/>
          <w:color w:val="auto"/>
          <w:sz w:val="21"/>
          <w:szCs w:val="21"/>
          <w:highlight w:val="none"/>
          <w:lang w:eastAsia="zh-CN"/>
        </w:rPr>
        <w:t xml:space="preserve">采用</w:t>
      </w:r>
      <w:r>
        <w:rPr>
          <w:rFonts w:hint="eastAsia" w:ascii="宋体" w:hAnsi="宋体" w:eastAsia="宋体" w:cs="宋体"/>
          <w:bCs/>
          <w:color w:val="auto"/>
          <w:sz w:val="21"/>
          <w:szCs w:val="21"/>
          <w:highlight w:val="none"/>
        </w:rPr>
        <w:t xml:space="preserve">综合评分法，即在满足招标文件实质性要求前提下，按照招标文件中规定的评分标准和各项因素进行综合评审，以评标总得分最高的投标人作为中标候选人。</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3、评标时，评标委员会各成员应当按照招标文件规定的评分标准独立对每个投标人的投标文件进行评价，并汇总每个投标人的得分。对评委的评分</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除价格分外</w:t>
      </w:r>
      <w:r>
        <w:rPr>
          <w:rFonts w:hint="eastAsia" w:ascii="宋体" w:hAnsi="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进行统计汇总，直接算术平均，计算出每个投标人的得分，加上价格得分即为每个投标人的综合得分。</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20"/>
        <w:keepLines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本项目共分为2个采购包，每个采购包确定</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 家中标供应商。每家供应商自行选择采购包报名，可同时参与多个采购包投标，但只允许中标一个采购包。各采购包按照投标人评标总得分从高至低排序，确定对应采购包中标候选人排名，排名第一的为该采购包中标供应商。</w:t>
      </w:r>
      <w:r>
        <w:rPr>
          <w:rFonts w:hint="eastAsia" w:ascii="宋体" w:hAnsi="宋体" w:cs="宋体"/>
          <w:color w:val="auto"/>
          <w:sz w:val="21"/>
          <w:szCs w:val="21"/>
          <w:highlight w:val="none"/>
          <w:lang w:eastAsia="zh-CN"/>
        </w:rPr>
        <w:t xml:space="preserve">项目定标按照采购包一、采购包二的先后顺序依次确定中标供应商，已在靠前采购包中中标的供应商，自动丧失后续所有采购包的中标候选资格，后续采购包由剩余具备投标资格、评标总得分最高的投标人顺延成为中标供应商。</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cs="宋体"/>
          <w:color w:val="auto"/>
          <w:sz w:val="21"/>
          <w:szCs w:val="21"/>
          <w:highlight w:val="none"/>
          <w:lang w:eastAsia="zh-CN"/>
        </w:rPr>
        <w:t xml:space="preserve">若任一采购包因有效投标单位不足、实质性响应不足等情形发生废标并启动重新招标的，其他采购包已确定的中标结果保持不变，已中标供应商可继续参与该废标采购包的重新招标。若已中标供应商因质疑投诉、自身履约能力不足、违规违约或其他自身原因被取消中标资格、无法签订合同、无法正常履约的，由此产生的全部风险、损失及不利后果均由该供应商自行承担，不会对其他采购包已产生的中标结果造成任何影响，也不触发其他采购包的结果变更或重新评审</w:t>
      </w:r>
      <w:r>
        <w:rPr>
          <w:rFonts w:hint="eastAsia" w:ascii="宋体" w:hAnsi="宋体" w:eastAsia="宋体" w:cs="宋体"/>
          <w:b w:val="0"/>
          <w:bCs w:val="0"/>
          <w:color w:val="auto"/>
          <w:sz w:val="21"/>
          <w:szCs w:val="21"/>
          <w:highlight w:val="none"/>
        </w:rPr>
        <w:t xml:space="preserve">。</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政府采购政策的价格扣除</w:t>
      </w:r>
      <w:r/>
    </w:p>
    <w:p>
      <w:pPr>
        <w:ind w:firstLine="420"/>
        <w:jc w:val="left"/>
        <w:spacing w:line="360" w:lineRule="auto"/>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本项目专门面向中小企业采购的项目，不再执行价格评审优惠的扶持政策。</w:t>
      </w:r>
      <w:r/>
    </w:p>
    <w:p>
      <w:pPr>
        <w:ind w:firstLine="420"/>
        <w:jc w:val="left"/>
        <w:spacing w:line="360" w:lineRule="auto"/>
        <w:rPr>
          <w:rFonts w:hint="eastAsia" w:ascii="宋体" w:hAnsi="宋体" w:eastAsia="宋体" w:cs="宋体"/>
          <w:color w:val="auto"/>
          <w:sz w:val="21"/>
          <w:szCs w:val="21"/>
          <w:highlight w:val="none"/>
        </w:rPr>
      </w:pPr>
      <w:r>
        <w:rPr>
          <w:rFonts w:ascii="Wingdings 2" w:hAnsi="Wingdings 2" w:eastAsia="Wingdings 2" w:cs="Wingdings 2"/>
          <w:b/>
          <w:color w:val="auto"/>
          <w:sz w:val="21"/>
          <w:szCs w:val="21"/>
          <w:highlight w:val="none"/>
        </w:rPr>
        <w:t xml:space="preserve">R</w:t>
      </w:r>
      <w:r>
        <w:rPr>
          <w:rFonts w:hint="eastAsia" w:ascii="宋体" w:hAnsi="宋体" w:eastAsia="宋体" w:cs="宋体"/>
          <w:color w:val="auto"/>
          <w:sz w:val="21"/>
          <w:szCs w:val="21"/>
          <w:highlight w:val="none"/>
        </w:rPr>
        <w:t xml:space="preserve">未预留份额专门面向中小企业采购的采购项目，以及预留份额项目中的非预留部分采购包，对符合规定的小微企业（监狱企业、残疾人福利性单位）报价按照下表中的规定扣除，用扣除后的价格参加评审。</w:t>
      </w:r>
      <w:r/>
    </w:p>
    <w:tbl>
      <w:tblPr>
        <w:tblStyle w:val="109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9"/>
        <w:gridCol w:w="1554"/>
        <w:gridCol w:w="1134"/>
        <w:gridCol w:w="1510"/>
        <w:gridCol w:w="4677"/>
      </w:tblGrid>
      <w:tr>
        <w:trPr>
          <w:jc w:val="center"/>
        </w:trPr>
        <w:tc>
          <w:tcPr>
            <w:shd w:val="clear" w:color="auto" w:fill="e7e6e6"/>
            <w:tcW w:w="759"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sz w:val="21"/>
                <w:szCs w:val="21"/>
                <w:highlight w:val="none"/>
                <w:lang w:eastAsia="en-US"/>
              </w:rPr>
              <w:t xml:space="preserve">序号</w:t>
            </w:r>
            <w:r/>
          </w:p>
        </w:tc>
        <w:tc>
          <w:tcPr>
            <w:shd w:val="clear" w:color="auto" w:fill="e7e6e6"/>
            <w:tcW w:w="1554"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情形</w:t>
            </w:r>
            <w:r/>
          </w:p>
        </w:tc>
        <w:tc>
          <w:tcPr>
            <w:shd w:val="clear" w:color="auto" w:fill="e7e6e6"/>
            <w:tcW w:w="1134"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适用对象</w:t>
            </w:r>
            <w:r/>
          </w:p>
        </w:tc>
        <w:tc>
          <w:tcPr>
            <w:shd w:val="clear" w:color="auto" w:fill="e7e6e6"/>
            <w:tcW w:w="1510"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价格扣除</w:t>
            </w:r>
            <w:r>
              <w:rPr>
                <w:rFonts w:hint="eastAsia" w:ascii="宋体" w:hAnsi="宋体" w:eastAsia="宋体" w:cs="宋体"/>
                <w:color w:val="auto"/>
                <w:spacing w:val="-6"/>
                <w:sz w:val="21"/>
                <w:szCs w:val="21"/>
                <w:highlight w:val="none"/>
                <w:lang w:eastAsia="en-US"/>
              </w:rPr>
              <w:t xml:space="preserve">比例（C1）</w:t>
            </w:r>
            <w:r/>
          </w:p>
        </w:tc>
        <w:tc>
          <w:tcPr>
            <w:shd w:val="clear" w:color="auto" w:fill="e7e6e6"/>
            <w:tcW w:w="4677"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计算公式</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W w:w="1554" w:type="dxa"/>
            <w:vAlign w:val="center"/>
            <w:textDirection w:val="lrTb"/>
            <w:noWrap w:val="false"/>
          </w:tcPr>
          <w:p>
            <w:pPr>
              <w:ind w:left="13"/>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 xml:space="preserve">小型、微型企业，监狱企业，残疾人福利性单位、</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非联合体</w:t>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20%</w:t>
            </w:r>
            <w:r/>
          </w:p>
        </w:tc>
        <w:tc>
          <w:tcPr>
            <w:tcW w:w="4677" w:type="dxa"/>
            <w:vAlign w:val="center"/>
            <w:textDirection w:val="lrTb"/>
            <w:noWrap w:val="false"/>
          </w:tcPr>
          <w:p>
            <w:pPr>
              <w:ind w:left="13" w:right="3"/>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lang w:eastAsia="zh-CN"/>
              </w:rPr>
              <w:t xml:space="preserve">承接本项目的投标人或联合体成员均为小型、微</w:t>
            </w:r>
            <w:r>
              <w:rPr>
                <w:rFonts w:hint="eastAsia" w:ascii="宋体" w:hAnsi="宋体" w:eastAsia="宋体" w:cs="宋体"/>
                <w:color w:val="auto"/>
                <w:spacing w:val="-3"/>
                <w:sz w:val="21"/>
                <w:szCs w:val="21"/>
                <w:highlight w:val="none"/>
                <w:lang w:eastAsia="zh-CN"/>
              </w:rPr>
              <w:t xml:space="preserve">型企业时，给予 </w:t>
            </w:r>
            <w:r>
              <w:rPr>
                <w:rFonts w:hint="eastAsia" w:ascii="宋体" w:hAnsi="宋体" w:eastAsia="宋体" w:cs="宋体"/>
                <w:color w:val="auto"/>
                <w:sz w:val="21"/>
                <w:szCs w:val="21"/>
                <w:highlight w:val="none"/>
                <w:lang w:eastAsia="zh-CN"/>
              </w:rPr>
              <w:t xml:space="preserve">C1</w:t>
            </w:r>
            <w:r>
              <w:rPr>
                <w:rFonts w:hint="eastAsia" w:ascii="宋体" w:hAnsi="宋体" w:eastAsia="宋体" w:cs="宋体"/>
                <w:color w:val="auto"/>
                <w:spacing w:val="-5"/>
                <w:sz w:val="21"/>
                <w:szCs w:val="21"/>
                <w:highlight w:val="none"/>
                <w:lang w:eastAsia="zh-CN"/>
              </w:rPr>
              <w:t xml:space="preserve"> 的价格扣除，即：评标价=</w:t>
            </w:r>
            <w:r>
              <w:rPr>
                <w:rFonts w:hint="eastAsia" w:ascii="宋体" w:hAnsi="宋体" w:eastAsia="宋体" w:cs="宋体"/>
                <w:color w:val="auto"/>
                <w:spacing w:val="-6"/>
                <w:sz w:val="21"/>
                <w:szCs w:val="21"/>
                <w:highlight w:val="none"/>
                <w:lang w:eastAsia="zh-CN"/>
              </w:rPr>
              <w:t xml:space="preserve">核实价×（1-C1）；监狱企业与残疾人福利性单位视同小型、微型企业，享受同等价格扣除，当</w:t>
            </w:r>
            <w:r>
              <w:rPr>
                <w:rFonts w:hint="eastAsia" w:ascii="宋体" w:hAnsi="宋体" w:eastAsia="宋体" w:cs="宋体"/>
                <w:color w:val="auto"/>
                <w:spacing w:val="-2"/>
                <w:sz w:val="21"/>
                <w:szCs w:val="21"/>
                <w:highlight w:val="none"/>
                <w:lang w:eastAsia="zh-CN"/>
              </w:rPr>
              <w:t xml:space="preserve">企业属性重复时，不重复价格扣除。</w:t>
            </w:r>
            <w:r/>
          </w:p>
        </w:tc>
      </w:tr>
    </w:tbl>
    <w:p>
      <w:pPr>
        <w:ind w:firstLine="422"/>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211"/>
        <w:spacing w:line="46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评分标准</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适用于采购包1及采购包2）</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（一）投标报价（</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0分）</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第一步：投标报价低于或等于财政预算价格的，为有效投标报价。超财政预算的投标报价为无效投标报价。无效投标报价的投标文件不进行评审，也不得标。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投标报价得分＝（评标基准价/投标报价）×30％×100，小数点后保留两位。</w:t>
      </w:r>
      <w:r/>
    </w:p>
    <w:p>
      <w:pPr>
        <w:ind w:firstLine="422"/>
        <w:jc w:val="left"/>
        <w:keepLines w:val="0"/>
        <w:keepNext w:val="0"/>
        <w:pageBreakBefore w:val="0"/>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方案（</w:t>
      </w:r>
      <w:r>
        <w:rPr>
          <w:rFonts w:hint="eastAsia" w:ascii="宋体"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1、针对本项目的实施方案（1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分）。方案内容至少包括①服务范围、②服务承诺、③服务内容、④通讯套餐受理方案等。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cs="宋体"/>
          <w:b w:val="0"/>
          <w:bCs w:val="0"/>
          <w:color w:val="auto"/>
          <w:sz w:val="21"/>
          <w:szCs w:val="21"/>
          <w:highlight w:val="none"/>
          <w:lang w:val="en-US" w:eastAsia="zh-CN" w:bidi="ar-SA"/>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2、针对本项目的安全保障措施（6分）。方案内容至少包括①网络安全备份、②网络调试、③通信安全保障措施等。</w:t>
      </w:r>
      <w:r>
        <w:rPr>
          <w:rFonts w:hint="eastAsia" w:ascii="宋体" w:hAnsi="宋体" w:cs="宋体"/>
          <w:color w:val="auto"/>
          <w:sz w:val="21"/>
          <w:szCs w:val="21"/>
          <w:highlight w:val="none"/>
          <w:lang w:eastAsia="zh-CN"/>
        </w:rPr>
        <w:t xml:space="preserve">方</w:t>
      </w:r>
      <w:r>
        <w:rPr>
          <w:rFonts w:hint="eastAsia" w:ascii="宋体" w:hAnsi="宋体" w:eastAsia="宋体" w:cs="宋体"/>
          <w:b w:val="0"/>
          <w:bCs w:val="0"/>
          <w:color w:val="auto"/>
          <w:sz w:val="21"/>
          <w:szCs w:val="21"/>
          <w:highlight w:val="none"/>
          <w:lang w:val="en-US" w:eastAsia="zh-CN" w:bidi="ar-SA"/>
        </w:rPr>
        <w:t xml:space="preserve">案内容针对本项目且符合本项目实际需求的，每满足1项得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ascii="宋体" w:hAnsi="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3、针对本项目的网络保障措施方案（6分）。内容至少包括①网络保障流程、②人员调度方案、③网络系统保障措施等。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ascii="宋体" w:hAnsi="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4、针对本项目的巡检方案（6分）。方案内容至少包括①定期巡检服务内容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②巡检台账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③巡检故障方案等。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ascii="宋体" w:hAnsi="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5、针对本项目的故障响应服务</w:t>
      </w:r>
      <w:r>
        <w:rPr>
          <w:rFonts w:hint="eastAsia" w:ascii="宋体" w:hAnsi="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（6分）。内容至少包括①团队人员保障、②综合调度服务系统③故障响应服务流程等。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ascii="宋体" w:hAnsi="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6、针对本项目的售后服务方案（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分）。内容至少包括①售后服务支持渠道、售后服务响应时效性，②客户投诉与争议解决、客户回访与满意度调查等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③通话信号稳定度以及售后服务质量承诺。</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ascii="宋体" w:hAnsi="宋体" w:cs="宋体"/>
          <w:b w:val="0"/>
          <w:bCs w:val="0"/>
          <w:color w:val="auto"/>
          <w:sz w:val="21"/>
          <w:szCs w:val="21"/>
          <w:highlight w:val="none"/>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（三）人员配备（</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项目负责人具备</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（通信相关专业）</w:t>
      </w:r>
      <w:r>
        <w:rPr>
          <w:rFonts w:hint="eastAsia" w:ascii="宋体" w:hAnsi="宋体" w:eastAsia="宋体" w:cs="宋体"/>
          <w:color w:val="auto"/>
          <w:sz w:val="21"/>
          <w:szCs w:val="21"/>
          <w:highlight w:val="none"/>
          <w:lang w:val="en-US" w:eastAsia="zh-CN"/>
        </w:rPr>
        <w:t xml:space="preserve">职称证书的得2分，具备</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（通信相关专业）</w:t>
      </w:r>
      <w:r>
        <w:rPr>
          <w:rFonts w:hint="eastAsia" w:ascii="宋体" w:hAnsi="宋体" w:eastAsia="宋体" w:cs="宋体"/>
          <w:color w:val="auto"/>
          <w:sz w:val="21"/>
          <w:szCs w:val="21"/>
          <w:highlight w:val="none"/>
          <w:lang w:val="en-US" w:eastAsia="zh-CN"/>
        </w:rPr>
        <w:t xml:space="preserve">职称证书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r>
      <w:r/>
    </w:p>
    <w:p>
      <w:pPr>
        <w:ind w:firstLine="422"/>
        <w:jc w:val="left"/>
        <w:keepLines w:val="0"/>
        <w:keepNext w:val="0"/>
        <w:pageBreakBefore w:val="0"/>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（四）类似业绩（</w:t>
      </w:r>
      <w:r>
        <w:rPr>
          <w:rFonts w:hint="eastAsia" w:ascii="宋体" w:hAnsi="宋体"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月1日以来类似业绩（以合同签订日期为准），每提供一个得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分。（需提供合同扫描件，否则不得分）</w:t>
      </w:r>
      <w:r/>
    </w:p>
    <w:p>
      <w:pP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注：1、报价要求、付款步骤、合同履行期限如有负偏离的不得中标。</w:t>
      </w:r>
      <w:r/>
    </w:p>
    <w:p>
      <w:pPr>
        <w:ind w:firstLine="422"/>
        <w:jc w:val="left"/>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jc w:val="left"/>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jc w:val="left"/>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4、防止虚假应标，招标单位保留调查的权利，并由此引发的一切调查与诉讼费用由投标方承担。</w:t>
      </w:r>
      <w:r/>
    </w:p>
    <w:p>
      <w:pPr>
        <w:ind w:firstLine="422"/>
        <w:jc w:val="left"/>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211"/>
        <w:spacing w:line="4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keepLines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b/>
          <w:color w:val="auto"/>
          <w:sz w:val="30"/>
          <w:szCs w:val="30"/>
          <w:highlight w:val="none"/>
          <w:lang w:val="en-US" w:eastAsia="zh-CN" w:bidi="ar-SA"/>
        </w:rPr>
        <w:br w:type="page" w:clear="all"/>
      </w:r>
      <w:r>
        <w:rPr>
          <w:rFonts w:hint="eastAsia" w:ascii="宋体" w:hAnsi="宋体" w:eastAsia="宋体" w:cs="Times New Roman"/>
          <w:b/>
          <w:color w:val="auto"/>
          <w:sz w:val="30"/>
          <w:szCs w:val="30"/>
          <w:highlight w:val="none"/>
          <w:lang w:val="en-US" w:eastAsia="zh-CN" w:bidi="ar-SA"/>
        </w:rPr>
        <w:t xml:space="preserve">第六部分  </w:t>
      </w:r>
      <w:bookmarkEnd w:id="10"/>
      <w:r/>
      <w:bookmarkEnd w:id="11"/>
      <w:r/>
      <w:bookmarkEnd w:id="12"/>
      <w:r/>
      <w:bookmarkEnd w:id="13"/>
      <w:r>
        <w:rPr>
          <w:rFonts w:hint="eastAsia" w:ascii="宋体" w:hAnsi="宋体" w:cs="宋体"/>
          <w:b/>
          <w:bCs/>
          <w:color w:val="auto"/>
          <w:sz w:val="32"/>
          <w:szCs w:val="32"/>
          <w:highlight w:val="none"/>
        </w:rPr>
        <w:t xml:space="preserve">合同主要条款</w:t>
      </w:r>
      <w:r/>
    </w:p>
    <w:p>
      <w:pPr>
        <w:jc w:val="left"/>
        <w:keepLines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32"/>
        <w:rPr>
          <w:rFonts w:hint="default" w:ascii="黑体" w:hAnsi="Times New Roman" w:eastAsia="宋体" w:cs="Times New Roman"/>
          <w:color w:val="auto"/>
          <w:sz w:val="20"/>
          <w:szCs w:val="21"/>
          <w:highlight w:val="none"/>
        </w:rPr>
      </w:pPr>
      <w:r>
        <w:rPr>
          <w:rFonts w:hint="eastAsia" w:ascii="黑体" w:hAnsi="Times New Roman" w:eastAsia="黑体" w:cs="宋体"/>
          <w:color w:val="auto"/>
          <w:spacing w:val="-2"/>
          <w:sz w:val="84"/>
          <w:szCs w:val="22"/>
          <w:highlight w:val="none"/>
          <w:lang w:val="en-US" w:eastAsia="zh-CN"/>
        </w:rPr>
        <w:t xml:space="preserve">政府采购</w:t>
      </w:r>
      <w:r>
        <w:rPr>
          <w:rFonts w:hint="default" w:ascii="黑体" w:hAnsi="Times New Roman" w:eastAsia="黑体" w:cs="宋体"/>
          <w:color w:val="auto"/>
          <w:spacing w:val="-2"/>
          <w:sz w:val="84"/>
          <w:szCs w:val="22"/>
          <w:highlight w:val="none"/>
        </w:rPr>
        <w:t xml:space="preserve">合同</w:t>
      </w:r>
      <w:r/>
    </w:p>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367"/>
        <w:jc w:val="left"/>
        <w:spacing w:before="2" w:after="1"/>
        <w:rPr>
          <w:rFonts w:hint="default" w:ascii="黑体" w:hAnsi="Times New Roman" w:eastAsia="宋体" w:cs="Times New Roman"/>
          <w:color w:val="auto"/>
          <w:sz w:val="19"/>
          <w:szCs w:val="21"/>
          <w:highlight w:val="none"/>
        </w:rPr>
      </w:pPr>
      <w:r>
        <w:rPr>
          <w:rFonts w:hint="default" w:ascii="黑体" w:hAnsi="Times New Roman" w:eastAsia="宋体" w:cs="Times New Roman"/>
          <w:color w:val="auto"/>
          <w:sz w:val="19"/>
          <w:szCs w:val="21"/>
          <w:highlight w:val="none"/>
        </w:rPr>
      </w:r>
      <w:r/>
    </w:p>
    <w:tbl>
      <w:tblPr>
        <w:tblStyle w:val="1092"/>
        <w:tblW w:w="0" w:type="auto"/>
        <w:tblInd w:w="1678" w:type="dxa"/>
        <w:tblLayout w:type="fixed"/>
        <w:tblCellMar>
          <w:left w:w="0" w:type="dxa"/>
          <w:top w:w="0" w:type="dxa"/>
          <w:right w:w="0" w:type="dxa"/>
          <w:bottom w:w="0" w:type="dxa"/>
        </w:tblCellMar>
        <w:tblLook w:val="04A0" w:firstRow="1" w:lastRow="0" w:firstColumn="1" w:lastColumn="0" w:noHBand="0" w:noVBand="1"/>
      </w:tblPr>
      <w:tblGrid>
        <w:gridCol w:w="2150"/>
        <w:gridCol w:w="4544"/>
      </w:tblGrid>
      <w:tr>
        <w:trPr>
          <w:trHeight w:val="367"/>
        </w:trPr>
        <w:tc>
          <w:tcPr>
            <w:tcW w:w="2150" w:type="dxa"/>
            <w:textDirection w:val="lrTb"/>
            <w:noWrap w:val="false"/>
          </w:tcPr>
          <w:p>
            <w:pPr>
              <w:ind w:left="45" w:right="52"/>
              <w:jc w:val="center"/>
              <w:spacing w:before="111" w:line="348" w:lineRule="exact"/>
              <w:rPr>
                <w:rFonts w:hint="default" w:ascii="宋体" w:hAnsi="Calibri" w:eastAsia="宋体" w:cs="宋体"/>
                <w:color w:val="auto"/>
                <w:sz w:val="32"/>
                <w:szCs w:val="24"/>
                <w:highlight w:val="none"/>
                <w:lang w:eastAsia="en-US"/>
              </w:rPr>
            </w:pPr>
            <w:r>
              <w:rPr>
                <w:rFonts w:hint="default" w:ascii="宋体" w:hAnsi="Calibri" w:eastAsia="宋体" w:cs="宋体"/>
                <w:color w:val="auto"/>
                <w:spacing w:val="43"/>
                <w:sz w:val="32"/>
                <w:szCs w:val="24"/>
                <w:highlight w:val="none"/>
                <w:lang w:eastAsia="en-US"/>
              </w:rPr>
              <w:t xml:space="preserve">合同编号</w:t>
            </w:r>
            <w:r>
              <w:rPr>
                <w:rFonts w:hint="default" w:ascii="宋体" w:hAnsi="Calibri" w:eastAsia="宋体" w:cs="宋体"/>
                <w:color w:val="auto"/>
                <w:spacing w:val="-10"/>
                <w:sz w:val="32"/>
                <w:szCs w:val="24"/>
                <w:highlight w:val="none"/>
                <w:lang w:eastAsia="en-US"/>
              </w:rPr>
              <w:t xml:space="preserve">： </w:t>
            </w:r>
            <w:r/>
          </w:p>
        </w:tc>
        <w:tc>
          <w:tcPr>
            <w:tcBorders>
              <w:bottom w:val="single" w:color="000000" w:sz="4" w:space="0"/>
            </w:tcBorders>
            <w:tcW w:w="4544" w:type="dxa"/>
            <w:textDirection w:val="lrTb"/>
            <w:noWrap w:val="false"/>
          </w:tcPr>
          <w:p>
            <w:pPr>
              <w:jc w:val="center"/>
              <w:spacing w:before="111"/>
              <w:rPr>
                <w:rFonts w:hint="default" w:ascii="Times New Roman" w:hAnsi="Calibri" w:eastAsia="宋体" w:cs="宋体"/>
                <w:color w:val="auto"/>
                <w:sz w:val="28"/>
                <w:szCs w:val="24"/>
                <w:highlight w:val="none"/>
                <w:lang w:eastAsia="en-US"/>
              </w:rPr>
            </w:pPr>
            <w:r>
              <w:rPr>
                <w:rFonts w:hint="default" w:ascii="Times New Roman" w:hAnsi="Calibri" w:eastAsia="宋体" w:cs="宋体"/>
                <w:color w:val="auto"/>
                <w:sz w:val="28"/>
                <w:szCs w:val="24"/>
                <w:highlight w:val="none"/>
                <w:lang w:eastAsia="en-US"/>
              </w:rPr>
            </w:r>
            <w:r/>
          </w:p>
        </w:tc>
      </w:tr>
      <w:tr>
        <w:trPr>
          <w:trHeight w:val="566"/>
        </w:trPr>
        <w:tc>
          <w:tcPr>
            <w:tcW w:w="2150" w:type="dxa"/>
            <w:textDirection w:val="lrTb"/>
            <w:noWrap w:val="false"/>
          </w:tcPr>
          <w:p>
            <w:pPr>
              <w:ind w:left="45" w:right="52"/>
              <w:jc w:val="center"/>
              <w:spacing w:before="152" w:line="393" w:lineRule="exact"/>
              <w:rPr>
                <w:rFonts w:hint="default" w:ascii="宋体" w:hAnsi="Calibri" w:eastAsia="宋体" w:cs="宋体"/>
                <w:color w:val="auto"/>
                <w:sz w:val="32"/>
                <w:szCs w:val="24"/>
                <w:highlight w:val="none"/>
                <w:lang w:eastAsia="en-US"/>
              </w:rPr>
            </w:pPr>
            <w:r>
              <w:rPr>
                <w:rFonts w:hint="default" w:ascii="宋体" w:hAnsi="Calibri" w:eastAsia="宋体" w:cs="宋体"/>
                <w:color w:val="auto"/>
                <w:spacing w:val="43"/>
                <w:sz w:val="32"/>
                <w:szCs w:val="24"/>
                <w:highlight w:val="none"/>
                <w:lang w:eastAsia="en-US"/>
              </w:rPr>
              <w:t xml:space="preserve">项目名称</w:t>
            </w:r>
            <w:r>
              <w:rPr>
                <w:rFonts w:hint="default" w:ascii="宋体" w:hAnsi="Calibri" w:eastAsia="宋体" w:cs="宋体"/>
                <w:color w:val="auto"/>
                <w:spacing w:val="-10"/>
                <w:sz w:val="32"/>
                <w:szCs w:val="24"/>
                <w:highlight w:val="none"/>
                <w:lang w:eastAsia="en-US"/>
              </w:rPr>
              <w:t xml:space="preserve">： </w:t>
            </w:r>
            <w:r/>
          </w:p>
        </w:tc>
        <w:tc>
          <w:tcPr>
            <w:tcBorders>
              <w:top w:val="single" w:color="000000" w:sz="4" w:space="0"/>
              <w:bottom w:val="single" w:color="000000" w:sz="4" w:space="0"/>
            </w:tcBorders>
            <w:tcW w:w="4544" w:type="dxa"/>
            <w:textDirection w:val="lrTb"/>
            <w:noWrap w:val="false"/>
          </w:tcPr>
          <w:p>
            <w:pPr>
              <w:jc w:val="center"/>
              <w:spacing w:before="111"/>
              <w:rPr>
                <w:rFonts w:hint="default" w:ascii="Times New Roman" w:hAnsi="Calibri" w:eastAsia="宋体" w:cs="宋体"/>
                <w:color w:val="auto"/>
                <w:sz w:val="30"/>
                <w:szCs w:val="24"/>
                <w:highlight w:val="none"/>
                <w:lang w:eastAsia="en-US"/>
              </w:rPr>
            </w:pPr>
            <w:r>
              <w:rPr>
                <w:rFonts w:hint="default" w:ascii="Times New Roman" w:hAnsi="Calibri" w:eastAsia="宋体" w:cs="宋体"/>
                <w:color w:val="auto"/>
                <w:sz w:val="30"/>
                <w:szCs w:val="24"/>
                <w:highlight w:val="none"/>
                <w:lang w:eastAsia="en-US"/>
              </w:rPr>
            </w:r>
            <w:r/>
          </w:p>
        </w:tc>
      </w:tr>
      <w:tr>
        <w:trPr>
          <w:trHeight w:val="566"/>
        </w:trPr>
        <w:tc>
          <w:tcPr>
            <w:tcW w:w="2150" w:type="dxa"/>
            <w:textDirection w:val="lrTb"/>
            <w:noWrap w:val="false"/>
          </w:tcPr>
          <w:p>
            <w:pPr>
              <w:ind w:left="45" w:right="96"/>
              <w:jc w:val="center"/>
              <w:spacing w:before="153" w:line="393" w:lineRule="exact"/>
              <w:rPr>
                <w:rFonts w:hint="default" w:ascii="宋体" w:hAnsi="Calibri" w:eastAsia="宋体" w:cs="宋体"/>
                <w:color w:val="auto"/>
                <w:sz w:val="32"/>
                <w:szCs w:val="24"/>
                <w:highlight w:val="none"/>
                <w:lang w:eastAsia="en-US"/>
              </w:rPr>
            </w:pPr>
            <w:r>
              <w:rPr>
                <w:rFonts w:hint="default" w:ascii="宋体" w:hAnsi="Calibri" w:eastAsia="宋体" w:cs="宋体"/>
                <w:color w:val="auto"/>
                <w:spacing w:val="-3"/>
                <w:sz w:val="32"/>
                <w:szCs w:val="24"/>
                <w:highlight w:val="none"/>
                <w:lang w:eastAsia="en-US"/>
              </w:rPr>
              <w:t xml:space="preserve">采 购 人 ：</w:t>
            </w:r>
            <w:r/>
          </w:p>
        </w:tc>
        <w:tc>
          <w:tcPr>
            <w:tcBorders>
              <w:top w:val="single" w:color="000000" w:sz="4" w:space="0"/>
              <w:bottom w:val="single" w:color="000000" w:sz="4" w:space="0"/>
            </w:tcBorders>
            <w:tcW w:w="4544" w:type="dxa"/>
            <w:textDirection w:val="lrTb"/>
            <w:noWrap w:val="false"/>
          </w:tcPr>
          <w:p>
            <w:pPr>
              <w:jc w:val="center"/>
              <w:spacing w:before="111"/>
              <w:rPr>
                <w:rFonts w:hint="default" w:ascii="Times New Roman" w:hAnsi="Calibri" w:eastAsia="宋体" w:cs="宋体"/>
                <w:color w:val="auto"/>
                <w:sz w:val="30"/>
                <w:szCs w:val="24"/>
                <w:highlight w:val="none"/>
                <w:lang w:eastAsia="en-US"/>
              </w:rPr>
            </w:pPr>
            <w:r>
              <w:rPr>
                <w:rFonts w:hint="default" w:ascii="Times New Roman" w:hAnsi="Calibri" w:eastAsia="宋体" w:cs="宋体"/>
                <w:color w:val="auto"/>
                <w:sz w:val="30"/>
                <w:szCs w:val="24"/>
                <w:highlight w:val="none"/>
                <w:lang w:eastAsia="en-US"/>
              </w:rPr>
            </w:r>
            <w:r/>
          </w:p>
        </w:tc>
      </w:tr>
      <w:tr>
        <w:trPr>
          <w:trHeight w:val="568"/>
        </w:trPr>
        <w:tc>
          <w:tcPr>
            <w:tcW w:w="2150" w:type="dxa"/>
            <w:textDirection w:val="lrTb"/>
            <w:noWrap w:val="false"/>
          </w:tcPr>
          <w:p>
            <w:pPr>
              <w:ind w:left="45" w:right="96"/>
              <w:jc w:val="center"/>
              <w:spacing w:before="155" w:line="393" w:lineRule="exact"/>
              <w:rPr>
                <w:rFonts w:hint="default" w:ascii="宋体" w:hAnsi="Calibri" w:eastAsia="宋体" w:cs="宋体"/>
                <w:color w:val="auto"/>
                <w:sz w:val="32"/>
                <w:szCs w:val="24"/>
                <w:highlight w:val="none"/>
                <w:lang w:eastAsia="en-US"/>
              </w:rPr>
            </w:pPr>
            <w:r>
              <w:rPr>
                <w:rFonts w:hint="default" w:ascii="宋体" w:hAnsi="Calibri" w:eastAsia="宋体" w:cs="宋体"/>
                <w:color w:val="auto"/>
                <w:spacing w:val="-3"/>
                <w:sz w:val="32"/>
                <w:szCs w:val="24"/>
                <w:highlight w:val="none"/>
                <w:lang w:eastAsia="en-US"/>
              </w:rPr>
              <w:t xml:space="preserve">供 应 商 ：</w:t>
            </w:r>
            <w:r/>
          </w:p>
        </w:tc>
        <w:tc>
          <w:tcPr>
            <w:tcBorders>
              <w:top w:val="single" w:color="000000" w:sz="4" w:space="0"/>
              <w:bottom w:val="single" w:color="000000" w:sz="4" w:space="0"/>
            </w:tcBorders>
            <w:tcW w:w="4544" w:type="dxa"/>
            <w:textDirection w:val="lrTb"/>
            <w:noWrap w:val="false"/>
          </w:tcPr>
          <w:p>
            <w:pPr>
              <w:jc w:val="center"/>
              <w:spacing w:before="111"/>
              <w:rPr>
                <w:rFonts w:hint="default" w:ascii="Times New Roman" w:hAnsi="Calibri" w:eastAsia="宋体" w:cs="宋体"/>
                <w:color w:val="auto"/>
                <w:sz w:val="30"/>
                <w:szCs w:val="24"/>
                <w:highlight w:val="none"/>
                <w:lang w:eastAsia="en-US"/>
              </w:rPr>
            </w:pPr>
            <w:r>
              <w:rPr>
                <w:rFonts w:hint="default" w:ascii="Times New Roman" w:hAnsi="Calibri" w:eastAsia="宋体" w:cs="宋体"/>
                <w:color w:val="auto"/>
                <w:sz w:val="30"/>
                <w:szCs w:val="24"/>
                <w:highlight w:val="none"/>
                <w:lang w:eastAsia="en-US"/>
              </w:rPr>
            </w:r>
            <w:r/>
          </w:p>
        </w:tc>
      </w:tr>
      <w:tr>
        <w:trPr>
          <w:trHeight w:val="568"/>
        </w:trPr>
        <w:tc>
          <w:tcPr>
            <w:tcW w:w="2150" w:type="dxa"/>
            <w:textDirection w:val="lrTb"/>
            <w:noWrap w:val="false"/>
          </w:tcPr>
          <w:p>
            <w:pPr>
              <w:ind w:left="45" w:right="96"/>
              <w:jc w:val="center"/>
              <w:spacing w:before="155" w:line="393" w:lineRule="exact"/>
              <w:rPr>
                <w:rFonts w:hint="default" w:ascii="宋体" w:hAnsi="Calibri" w:eastAsia="宋体" w:cs="宋体"/>
                <w:color w:val="auto"/>
                <w:spacing w:val="-3"/>
                <w:sz w:val="32"/>
                <w:szCs w:val="24"/>
                <w:highlight w:val="none"/>
                <w:lang w:val="en-US" w:eastAsia="zh-CN"/>
              </w:rPr>
            </w:pPr>
            <w:r>
              <w:rPr>
                <w:rFonts w:hint="eastAsia" w:ascii="宋体" w:hAnsi="Calibri" w:eastAsia="宋体" w:cs="宋体"/>
                <w:color w:val="auto"/>
                <w:spacing w:val="43"/>
                <w:sz w:val="32"/>
                <w:szCs w:val="24"/>
                <w:highlight w:val="none"/>
                <w:lang w:val="en-US" w:eastAsia="zh-CN"/>
              </w:rPr>
              <w:t xml:space="preserve">标段</w:t>
            </w:r>
            <w:r>
              <w:rPr>
                <w:rFonts w:hint="default" w:ascii="宋体" w:hAnsi="Calibri" w:eastAsia="宋体" w:cs="宋体"/>
                <w:color w:val="auto"/>
                <w:spacing w:val="43"/>
                <w:sz w:val="32"/>
                <w:szCs w:val="24"/>
                <w:highlight w:val="none"/>
                <w:lang w:eastAsia="en-US"/>
              </w:rPr>
              <w:t xml:space="preserve">编号</w:t>
            </w:r>
            <w:r>
              <w:rPr>
                <w:rFonts w:hint="default" w:ascii="宋体" w:hAnsi="Calibri" w:eastAsia="宋体" w:cs="宋体"/>
                <w:color w:val="auto"/>
                <w:spacing w:val="-10"/>
                <w:sz w:val="32"/>
                <w:szCs w:val="24"/>
                <w:highlight w:val="none"/>
                <w:lang w:eastAsia="en-US"/>
              </w:rPr>
              <w:t xml:space="preserve">：</w:t>
            </w:r>
            <w:r/>
          </w:p>
        </w:tc>
        <w:tc>
          <w:tcPr>
            <w:tcBorders>
              <w:top w:val="single" w:color="000000" w:sz="4" w:space="0"/>
              <w:bottom w:val="single" w:color="000000" w:sz="4" w:space="0"/>
            </w:tcBorders>
            <w:tcW w:w="4544" w:type="dxa"/>
            <w:textDirection w:val="lrTb"/>
            <w:noWrap w:val="false"/>
          </w:tcPr>
          <w:p>
            <w:pPr>
              <w:jc w:val="center"/>
              <w:spacing w:before="111"/>
              <w:rPr>
                <w:rFonts w:hint="default" w:ascii="Times New Roman" w:hAnsi="Calibri" w:eastAsia="宋体" w:cs="宋体"/>
                <w:color w:val="auto"/>
                <w:sz w:val="30"/>
                <w:szCs w:val="24"/>
                <w:highlight w:val="none"/>
                <w:lang w:eastAsia="en-US"/>
              </w:rPr>
            </w:pPr>
            <w:r>
              <w:rPr>
                <w:rFonts w:hint="default" w:ascii="Times New Roman" w:hAnsi="Calibri" w:eastAsia="宋体" w:cs="宋体"/>
                <w:color w:val="auto"/>
                <w:sz w:val="30"/>
                <w:szCs w:val="24"/>
                <w:highlight w:val="none"/>
                <w:lang w:eastAsia="en-US"/>
              </w:rPr>
            </w:r>
            <w:r/>
          </w:p>
        </w:tc>
      </w:tr>
    </w:tbl>
    <w:p>
      <w:pPr>
        <w:ind w:left="367"/>
        <w:jc w:val="left"/>
        <w:spacing w:before="132"/>
        <w:rPr>
          <w:rFonts w:hint="default" w:ascii="黑体" w:hAnsi="Times New Roman" w:eastAsia="宋体" w:cs="Times New Roman"/>
          <w:color w:val="auto"/>
          <w:sz w:val="20"/>
          <w:szCs w:val="21"/>
          <w:highlight w:val="none"/>
        </w:rPr>
      </w:pPr>
      <w:r>
        <w:rPr>
          <w:rFonts w:hint="default" w:ascii="黑体" w:hAnsi="Times New Roman" w:eastAsia="宋体" w:cs="Times New Roman"/>
          <w:color w:val="auto"/>
          <w:sz w:val="20"/>
          <w:szCs w:val="21"/>
          <w:highlight w:val="none"/>
        </w:rPr>
      </w:r>
      <w:r/>
    </w:p>
    <w:p>
      <w:pPr>
        <w:ind w:left="470" w:right="748"/>
        <w:jc w:val="center"/>
        <w:spacing w:before="210"/>
        <w:rPr>
          <w:rFonts w:hint="default" w:ascii="宋体" w:hAnsi="Times New Roman" w:eastAsia="宋体" w:cs="宋体"/>
          <w:color w:val="auto"/>
          <w:sz w:val="32"/>
          <w:szCs w:val="22"/>
          <w:highlight w:val="none"/>
        </w:rPr>
      </w:pPr>
      <w:r>
        <w:rPr>
          <w:rFonts w:hint="default" w:ascii="宋体" w:hAnsi="Times New Roman" w:eastAsia="宋体" w:cs="宋体"/>
          <w:color w:val="auto"/>
          <w:sz w:val="32"/>
          <w:szCs w:val="22"/>
          <w:highlight w:val="none"/>
        </w:rPr>
        <w:t xml:space="preserve">二</w:t>
      </w:r>
      <w:r>
        <w:rPr>
          <w:rFonts w:hint="eastAsia" w:ascii="宋体" w:hAnsi="Times New Roman" w:eastAsia="宋体" w:cs="宋体"/>
          <w:color w:val="auto"/>
          <w:sz w:val="32"/>
          <w:szCs w:val="22"/>
          <w:highlight w:val="none"/>
        </w:rPr>
        <w:t xml:space="preserve">〇</w:t>
      </w:r>
      <w:r>
        <w:rPr>
          <w:rFonts w:hint="default" w:ascii="宋体" w:hAnsi="Times New Roman" w:eastAsia="宋体" w:cs="宋体"/>
          <w:color w:val="auto"/>
          <w:sz w:val="32"/>
          <w:szCs w:val="22"/>
          <w:highlight w:val="none"/>
        </w:rPr>
        <w:t xml:space="preserve">二</w:t>
      </w:r>
      <w:r>
        <w:rPr>
          <w:rFonts w:hint="eastAsia" w:ascii="宋体" w:hAnsi="Times New Roman" w:eastAsia="宋体" w:cs="宋体"/>
          <w:color w:val="auto"/>
          <w:sz w:val="32"/>
          <w:szCs w:val="22"/>
          <w:highlight w:val="none"/>
          <w:lang w:val="en-US" w:eastAsia="zh-CN"/>
        </w:rPr>
        <w:t xml:space="preserve">六</w:t>
      </w:r>
      <w:r>
        <w:rPr>
          <w:rFonts w:hint="default" w:ascii="宋体" w:hAnsi="Times New Roman" w:eastAsia="宋体" w:cs="宋体"/>
          <w:color w:val="auto"/>
          <w:spacing w:val="-7"/>
          <w:sz w:val="32"/>
          <w:szCs w:val="22"/>
          <w:highlight w:val="none"/>
        </w:rPr>
        <w:t xml:space="preserve">年 月</w:t>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r/>
    </w:p>
    <w:p>
      <w:pPr>
        <w:ind w:firstLine="420"/>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甲方：太仓市公安局</w:t>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0"/>
        <w:jc w:val="left"/>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rPr>
        <w:t xml:space="preserve">采购编号</w:t>
      </w:r>
      <w:r>
        <w:rPr>
          <w:rFonts w:hint="eastAsia" w:ascii="宋体" w:hAnsi="宋体" w:eastAsia="宋体" w:cs="宋体"/>
          <w:color w:val="auto"/>
          <w:sz w:val="21"/>
          <w:szCs w:val="21"/>
          <w:highlight w:val="none"/>
          <w:u w:val="single"/>
          <w:lang w:eastAsia="zh-CN"/>
        </w:rPr>
        <w:t xml:space="preserve">JSZC-320585-ZFXM-G2026-0009</w:t>
      </w:r>
      <w:r>
        <w:rPr>
          <w:rFonts w:hint="eastAsia" w:ascii="宋体" w:hAnsi="宋体" w:eastAsia="宋体" w:cs="宋体"/>
          <w:color w:val="auto"/>
          <w:sz w:val="21"/>
          <w:szCs w:val="21"/>
          <w:highlight w:val="none"/>
        </w:rPr>
        <w:t xml:space="preserve">号政府采购文件及中标单位的投标文件和中标通知书，甲乙双方就此次中标的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2026年警务通通讯服务</w:t>
      </w:r>
      <w:r>
        <w:rPr>
          <w:rFonts w:hint="eastAsia" w:ascii="宋体" w:hAnsi="宋体" w:eastAsia="宋体" w:cs="宋体"/>
          <w:color w:val="auto"/>
          <w:sz w:val="21"/>
          <w:szCs w:val="21"/>
          <w:highlight w:val="none"/>
          <w:u w:val="single"/>
          <w:lang w:val="en-US" w:eastAsia="zh-CN"/>
        </w:rPr>
        <w:t xml:space="preserve">项目（采购包 *  ）</w:t>
      </w:r>
      <w:r>
        <w:rPr>
          <w:rFonts w:hint="eastAsia" w:ascii="宋体" w:hAnsi="宋体" w:eastAsia="宋体" w:cs="宋体"/>
          <w:color w:val="auto"/>
          <w:sz w:val="21"/>
          <w:szCs w:val="21"/>
          <w:highlight w:val="none"/>
        </w:rPr>
        <w:t xml:space="preserve">项目事宜，签订本合同书。</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一、下列文件为本合同不可分割部分：</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2、招标文件；</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3、乙方中标的投标文件；</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4、乙方在招投标过程中所作的其它承诺、声明、书面澄清等。</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二、合同内容：</w:t>
      </w:r>
      <w:r/>
    </w:p>
    <w:tbl>
      <w:tblPr>
        <w:tblStyle w:val="907"/>
        <w:tblW w:w="8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693"/>
        <w:gridCol w:w="4400"/>
        <w:gridCol w:w="1732"/>
      </w:tblGrid>
      <w:tr>
        <w:trPr>
          <w:jc w:val="center"/>
          <w:trHeight w:val="442"/>
        </w:trPr>
        <w:tc>
          <w:tcPr>
            <w:tcW w:w="784"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693"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W w:w="4400"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规格、要求</w:t>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单价</w:t>
            </w:r>
            <w:r/>
          </w:p>
        </w:tc>
      </w:tr>
      <w:tr>
        <w:trPr>
          <w:jc w:val="center"/>
          <w:trHeight w:val="1403"/>
        </w:trPr>
        <w:tc>
          <w:tcPr>
            <w:tcW w:w="784"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693"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00" w:type="dxa"/>
            <w:vAlign w:val="center"/>
            <w:textDirection w:val="lrTb"/>
            <w:noWrap w:val="false"/>
          </w:tcPr>
          <w:p>
            <w:pPr>
              <w:ind w:left="0" w:right="0"/>
              <w:jc w:val="both"/>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408"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三、服务要求</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中标单位应及时提供上门服务，对项目</w:t>
      </w:r>
      <w:r>
        <w:rPr>
          <w:rFonts w:hint="eastAsia" w:ascii="宋体" w:hAnsi="宋体" w:eastAsia="宋体" w:cs="宋体"/>
          <w:bCs/>
          <w:color w:val="auto"/>
          <w:sz w:val="21"/>
          <w:szCs w:val="21"/>
          <w:highlight w:val="none"/>
        </w:rPr>
        <w:t xml:space="preserve">配备</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名项目负责人及</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名技术专员</w:t>
      </w:r>
      <w:r>
        <w:rPr>
          <w:rFonts w:hint="eastAsia" w:ascii="宋体" w:hAnsi="宋体" w:eastAsia="宋体" w:cs="宋体"/>
          <w:color w:val="auto"/>
          <w:sz w:val="21"/>
          <w:szCs w:val="21"/>
          <w:highlight w:val="none"/>
        </w:rPr>
        <w:t xml:space="preserve">，合同签订后30天内完成原有网络的更换升级服务，并提供7*24小时免费技术咨询服务。</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对后期用户变更、新号入网及清理套餐用户，乙方应明确简化手续，提供相关便利办理。</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四、服务时间、地点、方式</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1、服务时间：</w:t>
      </w:r>
      <w:r>
        <w:rPr>
          <w:rFonts w:hint="eastAsia" w:ascii="宋体" w:hAnsi="宋体" w:eastAsia="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w:t>
      </w:r>
      <w:r>
        <w:rPr>
          <w:rFonts w:hint="eastAsia" w:ascii="宋体" w:hAnsi="宋体" w:eastAsia="宋体" w:cs="宋体"/>
          <w:color w:val="auto"/>
          <w:sz w:val="21"/>
          <w:szCs w:val="21"/>
          <w:highlight w:val="none"/>
          <w:lang w:val="en-US" w:eastAsia="zh-CN"/>
        </w:rPr>
        <w:t xml:space="preserve">2027</w:t>
      </w:r>
      <w:r>
        <w:rPr>
          <w:rFonts w:hint="eastAsia" w:ascii="宋体" w:hAnsi="宋体" w:eastAsia="宋体" w:cs="宋体"/>
          <w:color w:val="auto"/>
          <w:sz w:val="21"/>
          <w:szCs w:val="21"/>
          <w:highlight w:val="none"/>
        </w:rPr>
        <w:t xml:space="preserve">年 月 日止。</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2、服务地点：甲方指定。</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3、乙方应在项目启动前向甲方提供服务计划，经甲方书面审核确认后，乙方应当按服务计划提供后续的服务工作。</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五、验收标准</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1、验收标准：根据招标文件、中标单位的投标文件、双方签订的合同文件及其附件；由采购人及相关部门进行验收通过。</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2、采购人向供应商发出《政府采购履约验收通知单》，验收完成后形成《政府采购履约验收书》。</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六、价格与支付</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1、本项目签约合同价为人民币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万元整，合同单价为：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户/月，包括完成该服务所需的通讯、辅助费用、管理、维护、保险、利润、税金、政策性文件规定及合同包含的所有风险、责任等各项应有费用。自甲方验收合格并签署《验收报告》之当月起计算合同价款，不足月的，按实际天数计算。固定单价，按实结算。</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2、付款步骤：签订合同后，乙方提供发票等资料，甲方核实无误后服务费用。每次付款的具体时间及金额以财政资金下达情况为准。</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3、付款方式:以甲方财务通知为准。</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七、违约责任:</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1、乙方的违约责任</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未按合同规定的时间和质量要求提供服务（含未按约通过验收或未按约提供售后服务等任何违反合同义务的行为），每逾期一天，应按合同总金额的万分之四支付违约金。乙方未在本合同第三条约定期限内通过验收，逾期5日及以上或整改后仍未能通过验收的或两次及以上不能按约提供售后服务的，甲方有权单方解除合同，乙方应按合同总金额的20%支付违约金，造成甲方的直接损失时，甲方有权要求乙方赔偿。</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w:t>
      </w:r>
      <w:r>
        <w:rPr>
          <w:rFonts w:hint="eastAsia" w:ascii="宋体" w:hAnsi="宋体" w:cs="宋体"/>
          <w:color w:val="auto"/>
          <w:sz w:val="21"/>
          <w:szCs w:val="21"/>
          <w:highlight w:val="none"/>
          <w:lang w:eastAsia="zh-CN"/>
        </w:rPr>
        <w:t xml:space="preserve">违约责任</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乙方按合同履约，甲方逾期付款应向乙方偿付违约金，每逾期一天，按合同总金额的万分之四偿付违约金。</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八、争议解决</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本合同未尽事宜，签约双方应友好协商解决。甲乙双方因合同发生争议，应在甲方的主持下进行调解；协商不成，任何一方可以向甲方所在地人民法院起诉。</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九、保密条款</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乙方对本合同内容以及服务过程中获得的甲方数据负有保密义务。乙方出现违反保密义务的行为，甲方有权按照本合同第七条第一款的规定，追究乙方的违约责任。</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十、合同生效及其他</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1、本合同经双方法定（授权）代表人签字（或盖章）并盖章后生效。</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2、合同份数：本合同一式五份，</w:t>
      </w:r>
      <w:r>
        <w:rPr>
          <w:rFonts w:hint="eastAsia" w:ascii="宋体" w:hAnsi="宋体" w:cs="宋体"/>
          <w:color w:val="auto"/>
          <w:sz w:val="21"/>
          <w:szCs w:val="21"/>
          <w:highlight w:val="none"/>
          <w:lang w:eastAsia="zh-CN"/>
        </w:rPr>
        <w:t xml:space="preserve">甲乙双方各执两份</w:t>
      </w:r>
      <w:r>
        <w:rPr>
          <w:rFonts w:hint="eastAsia" w:ascii="宋体" w:hAnsi="宋体" w:eastAsia="宋体" w:cs="宋体"/>
          <w:color w:val="auto"/>
          <w:sz w:val="21"/>
          <w:szCs w:val="21"/>
          <w:highlight w:val="none"/>
        </w:rPr>
        <w:t xml:space="preserve">，招标代理机构一份。</w:t>
      </w:r>
      <w:r/>
    </w:p>
    <w:p>
      <w:pPr>
        <w:ind w:firstLine="420"/>
        <w:jc w:val="both"/>
        <w:keepLines w:val="0"/>
        <w:keepNext w:val="0"/>
        <w:pageBreakBefore w:val="0"/>
        <w:spacing w:line="40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3、合同在执行过程中出现的未尽事宜，双方在不违背本合同和采购文件的原则下协商解决，协商结果以书面形式盖章记录在案，作为本合同的附件，与本合同具有同等效力，但需向招标代理机构提交一份备存。</w:t>
      </w:r>
      <w:r/>
    </w:p>
    <w:p>
      <w:pPr>
        <w:ind w:firstLine="420"/>
        <w:jc w:val="both"/>
        <w:keepLines w:val="0"/>
        <w:keepNext w:val="0"/>
        <w:pageBreakBefore w:val="0"/>
        <w:spacing w:line="408"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bl>
      <w:tblPr>
        <w:tblStyle w:val="90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11"/>
        <w:gridCol w:w="4411"/>
      </w:tblGrid>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甲方（采购人）：（盖章）</w:t>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乙方（供应商）：（盖章）</w:t>
            </w:r>
            <w:r/>
          </w:p>
        </w:tc>
      </w:tr>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代表人：</w:t>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代表人：</w:t>
            </w:r>
            <w:r/>
          </w:p>
        </w:tc>
      </w:tr>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电话：</w:t>
            </w:r>
            <w:r/>
          </w:p>
        </w:tc>
      </w:tr>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开户银行：  </w:t>
            </w:r>
            <w:r/>
          </w:p>
        </w:tc>
      </w:tr>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 </w:t>
            </w:r>
            <w:r/>
          </w:p>
        </w:tc>
      </w:tr>
      <w:tr>
        <w:trPr/>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    年   月  日</w:t>
            </w:r>
            <w:r/>
          </w:p>
        </w:tc>
        <w:tc>
          <w:tcPr>
            <w:tcW w:w="4411" w:type="dxa"/>
            <w:vAlign w:val="top"/>
            <w:textDirection w:val="lrTb"/>
            <w:noWrap w:val="false"/>
          </w:tcPr>
          <w:p>
            <w:pPr>
              <w:ind w:left="0" w:right="0"/>
              <w:jc w:val="both"/>
              <w:keepLines w:val="0"/>
              <w:keepNext w:val="0"/>
              <w:pageBreakBefore w:val="0"/>
              <w:spacing w:before="0" w:beforeAutospacing="0" w:after="0" w:afterAutospacing="0" w:line="408" w:lineRule="auto"/>
              <w:widowControl w:val="off"/>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    年   月  日</w:t>
            </w:r>
            <w:r/>
          </w:p>
        </w:tc>
      </w:tr>
    </w:tbl>
    <w:p>
      <w:pPr>
        <w:ind w:firstLine="480"/>
        <w:jc w:val="left"/>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p>
      <w:pPr>
        <w:ind w:firstLine="480"/>
        <w:jc w:val="left"/>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招标文件附件1：</w:t>
      </w:r>
      <w:r/>
    </w:p>
    <w:p>
      <w:pPr>
        <w:jc w:val="center"/>
        <w:spacing w:before="104" w:line="185" w:lineRule="auto"/>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0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67"/>
        <w:gridCol w:w="2267"/>
        <w:gridCol w:w="2267"/>
        <w:gridCol w:w="2276"/>
      </w:tblGrid>
      <w:tr>
        <w:trPr>
          <w:trHeight w:val="562"/>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采购人</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项目名称</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合同名称</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合同编号</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合同金额</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4"/>
                <w:sz w:val="21"/>
                <w:szCs w:val="21"/>
                <w:highlight w:val="none"/>
              </w:rPr>
              <w:t xml:space="preserve">验收时间</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验收地点</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1"/>
                <w:sz w:val="21"/>
                <w:szCs w:val="21"/>
                <w:highlight w:val="none"/>
              </w:rPr>
              <w:t xml:space="preserve">联系人</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联系电话</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gridSpan w:val="4"/>
            <w:tcW w:w="500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7"/>
                <w:sz w:val="21"/>
                <w:szCs w:val="21"/>
                <w:highlight w:val="none"/>
              </w:rPr>
              <w:t xml:space="preserve">履约验收方案及工作要求</w:t>
            </w:r>
            <w:r/>
          </w:p>
        </w:tc>
      </w:tr>
      <w:tr>
        <w:trPr>
          <w:trHeight w:val="7104"/>
        </w:trPr>
        <w:tc>
          <w:tcPr>
            <w:gridSpan w:val="4"/>
            <w:tcW w:w="5000" w:type="pct"/>
            <w:vAlign w:val="top"/>
            <w:textDirection w:val="lrTb"/>
            <w:noWrap w:val="false"/>
          </w:tcPr>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2893"/>
              <w:jc w:val="right"/>
              <w:keepLines w:val="0"/>
              <w:keepNext w:val="0"/>
              <w:spacing w:before="75" w:beforeAutospacing="0" w:after="0" w:afterAutospacing="0" w:line="507" w:lineRule="auto"/>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单位公章</w:t>
            </w:r>
            <w:r/>
          </w:p>
          <w:p>
            <w:pPr>
              <w:ind w:left="0" w:right="2893" w:firstLine="4356"/>
              <w:jc w:val="right"/>
              <w:keepLines w:val="0"/>
              <w:keepNext w:val="0"/>
              <w:spacing w:before="75" w:beforeAutospacing="0" w:after="0" w:afterAutospacing="0" w:line="507"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spacing w:line="360" w:lineRule="auto"/>
        <w:rPr>
          <w:rFonts w:hint="eastAsia" w:ascii="宋体" w:hAnsi="宋体" w:eastAsia="宋体" w:cs="宋体"/>
          <w:b/>
          <w:bCs/>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招标文件附件2：</w:t>
      </w:r>
      <w:r/>
    </w:p>
    <w:p>
      <w:pPr>
        <w:jc w:val="center"/>
        <w:spacing w:line="560" w:lineRule="exact"/>
        <w:rPr>
          <w:rFonts w:hint="eastAsia" w:ascii="宋体" w:hAnsi="宋体" w:eastAsia="宋体" w:cs="Arial"/>
          <w:b/>
          <w:color w:val="auto"/>
          <w:spacing w:val="9"/>
          <w:sz w:val="28"/>
          <w:szCs w:val="28"/>
          <w:highlight w:val="none"/>
        </w:rPr>
      </w:pPr>
      <w:r>
        <w:rPr>
          <w:rFonts w:hint="eastAsia" w:ascii="宋体" w:hAnsi="宋体" w:eastAsia="宋体" w:cs="Arial"/>
          <w:b/>
          <w:color w:val="auto"/>
          <w:spacing w:val="9"/>
          <w:sz w:val="28"/>
          <w:szCs w:val="28"/>
          <w:highlight w:val="none"/>
        </w:rPr>
        <w:t xml:space="preserve">政府采购履约验收书</w:t>
      </w:r>
      <w:r>
        <w:rPr>
          <w:rFonts w:hint="eastAsia" w:ascii="宋体" w:hAnsi="宋体" w:eastAsia="宋体" w:cs="Arial"/>
          <w:b/>
          <w:color w:val="auto"/>
          <w:spacing w:val="9"/>
          <w:sz w:val="28"/>
          <w:szCs w:val="28"/>
          <w:highlight w:val="none"/>
          <w:lang w:eastAsia="zh-CN"/>
        </w:rPr>
        <w:t xml:space="preserve">（</w:t>
      </w:r>
      <w:r>
        <w:rPr>
          <w:rFonts w:hint="eastAsia" w:ascii="宋体" w:hAnsi="宋体" w:eastAsia="宋体" w:cs="Arial"/>
          <w:b/>
          <w:color w:val="auto"/>
          <w:spacing w:val="9"/>
          <w:sz w:val="28"/>
          <w:szCs w:val="28"/>
          <w:highlight w:val="none"/>
        </w:rPr>
        <w:t xml:space="preserve">服务类</w:t>
      </w:r>
      <w:r>
        <w:rPr>
          <w:rFonts w:hint="eastAsia" w:ascii="宋体" w:hAnsi="宋体" w:eastAsia="宋体" w:cs="Arial"/>
          <w:b/>
          <w:color w:val="auto"/>
          <w:spacing w:val="9"/>
          <w:sz w:val="28"/>
          <w:szCs w:val="28"/>
          <w:highlight w:val="none"/>
          <w:lang w:eastAsia="zh-CN"/>
        </w:rPr>
        <w:t xml:space="preserve">）</w:t>
      </w:r>
      <w:r/>
    </w:p>
    <w:tbl>
      <w:tblPr>
        <w:tblStyle w:val="907"/>
        <w:tblW w:w="507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1062"/>
        <w:gridCol w:w="1426"/>
        <w:gridCol w:w="1188"/>
        <w:gridCol w:w="1077"/>
        <w:gridCol w:w="1130"/>
        <w:gridCol w:w="2159"/>
      </w:tblGrid>
      <w:tr>
        <w:trPr>
          <w:jc w:val="center"/>
          <w:trHeight w:val="532"/>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采购人</w:t>
            </w:r>
            <w:r/>
          </w:p>
        </w:tc>
        <w:tc>
          <w:tcPr>
            <w:tcW w:w="56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75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项目名称</w:t>
            </w:r>
            <w:r/>
          </w:p>
        </w:tc>
        <w:tc>
          <w:tcPr>
            <w:tcW w:w="62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70"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合同名称</w:t>
            </w:r>
            <w:r/>
          </w:p>
        </w:tc>
        <w:tc>
          <w:tcPr>
            <w:tcW w:w="114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565"/>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供应商</w:t>
            </w:r>
            <w:r/>
          </w:p>
        </w:tc>
        <w:tc>
          <w:tcPr>
            <w:tcW w:w="56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75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项目及合</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同编号</w:t>
            </w:r>
            <w:r/>
          </w:p>
        </w:tc>
        <w:tc>
          <w:tcPr>
            <w:tcW w:w="62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70"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合同金额</w:t>
            </w:r>
            <w:r/>
          </w:p>
        </w:tc>
        <w:tc>
          <w:tcPr>
            <w:tcW w:w="114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410"/>
        </w:trPr>
        <w:tc>
          <w:tcPr>
            <w:tcW w:w="73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分期（段）验收</w:t>
            </w:r>
            <w:r/>
          </w:p>
        </w:tc>
        <w:tc>
          <w:tcPr>
            <w:tcW w:w="563"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是□否□</w:t>
            </w:r>
            <w:r/>
          </w:p>
        </w:tc>
        <w:tc>
          <w:tcPr>
            <w:tcW w:w="75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分期（段）情况</w:t>
            </w:r>
            <w:r/>
          </w:p>
        </w:tc>
        <w:tc>
          <w:tcPr>
            <w:gridSpan w:val="4"/>
            <w:tcW w:w="2941"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共分   期（段），此为第   期（段）验收</w:t>
            </w:r>
            <w:r/>
          </w:p>
        </w:tc>
      </w:tr>
      <w:tr>
        <w:trPr>
          <w:jc w:val="center"/>
          <w:trHeight w:val="889"/>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验收时间</w:t>
            </w:r>
            <w:r/>
          </w:p>
        </w:tc>
        <w:tc>
          <w:tcPr>
            <w:tcW w:w="56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75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验收地点</w:t>
            </w:r>
            <w:r/>
          </w:p>
        </w:tc>
        <w:tc>
          <w:tcPr>
            <w:tcW w:w="62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70"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验收组织形式</w:t>
            </w:r>
            <w:r/>
          </w:p>
        </w:tc>
        <w:tc>
          <w:tcPr>
            <w:tcW w:w="1143"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□自行简易验收</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□验收小组验收</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□采购代理机构验收</w:t>
            </w:r>
            <w:r/>
          </w:p>
        </w:tc>
      </w:tr>
      <w:tr>
        <w:trPr>
          <w:jc w:val="center"/>
          <w:trHeight w:val="395"/>
        </w:trPr>
        <w:tc>
          <w:tcPr>
            <w:tcW w:w="737"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验收内容</w:t>
            </w:r>
            <w:r/>
          </w:p>
        </w:tc>
        <w:tc>
          <w:tcPr>
            <w:tcW w:w="563"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服务质量</w:t>
            </w:r>
            <w:r/>
          </w:p>
        </w:tc>
        <w:tc>
          <w:tcPr>
            <w:tcW w:w="75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服务进度</w:t>
            </w:r>
            <w:r/>
          </w:p>
        </w:tc>
        <w:tc>
          <w:tcPr>
            <w:tcW w:w="627"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人员、设备 配备情况</w:t>
            </w:r>
            <w:r/>
          </w:p>
        </w:tc>
        <w:tc>
          <w:tcPr>
            <w:tcW w:w="57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行业、安全标准</w:t>
            </w:r>
            <w:r/>
          </w:p>
        </w:tc>
        <w:tc>
          <w:tcPr>
            <w:tcW w:w="59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项目需求、服务承诺</w:t>
            </w:r>
            <w:r/>
          </w:p>
        </w:tc>
        <w:tc>
          <w:tcPr>
            <w:tcW w:w="114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合同履约时间、 地点、方式</w:t>
            </w:r>
            <w:r/>
          </w:p>
        </w:tc>
      </w:tr>
      <w:tr>
        <w:trPr>
          <w:jc w:val="center"/>
          <w:trHeight w:val="828"/>
        </w:trPr>
        <w:tc>
          <w:tcPr>
            <w:tcW w:w="737"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563"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756"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 时□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不按时□</w:t>
            </w:r>
            <w:r/>
          </w:p>
        </w:tc>
        <w:tc>
          <w:tcPr>
            <w:tcW w:w="62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571"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598"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1143"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r>
      <w:tr>
        <w:trPr>
          <w:jc w:val="center"/>
          <w:trHeight w:val="565"/>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存在问题</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和改进意见</w:t>
            </w:r>
            <w:r/>
          </w:p>
        </w:tc>
        <w:tc>
          <w:tcPr>
            <w:gridSpan w:val="6"/>
            <w:tcW w:w="4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686"/>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最终结论</w:t>
            </w:r>
            <w:r/>
          </w:p>
        </w:tc>
        <w:tc>
          <w:tcPr>
            <w:gridSpan w:val="6"/>
            <w:tcW w:w="4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不合格□</w:t>
            </w:r>
            <w:r/>
          </w:p>
        </w:tc>
      </w:tr>
      <w:tr>
        <w:trPr>
          <w:jc w:val="center"/>
          <w:trHeight w:val="565"/>
        </w:trPr>
        <w:tc>
          <w:tcPr>
            <w:tcW w:w="73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验收小组成员签字</w:t>
            </w:r>
            <w:r/>
          </w:p>
        </w:tc>
        <w:tc>
          <w:tcPr>
            <w:gridSpan w:val="6"/>
            <w:tcW w:w="426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519"/>
        </w:trPr>
        <w:tc>
          <w:tcPr>
            <w:gridSpan w:val="4"/>
            <w:tcW w:w="268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采购代理机构意见</w:t>
            </w:r>
            <w:r/>
          </w:p>
        </w:tc>
        <w:tc>
          <w:tcPr>
            <w:gridSpan w:val="3"/>
            <w:tcW w:w="2313"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采购人意见</w:t>
            </w:r>
            <w:r/>
          </w:p>
        </w:tc>
      </w:tr>
      <w:tr>
        <w:trPr>
          <w:jc w:val="center"/>
        </w:trPr>
        <w:tc>
          <w:tcPr>
            <w:gridSpan w:val="4"/>
            <w:tcW w:w="2686" w:type="pct"/>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w:t>
            </w:r>
            <w:r/>
          </w:p>
          <w:p>
            <w:pPr>
              <w:ind w:left="0" w:right="0" w:firstLine="273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采购代理机构公章</w:t>
            </w:r>
            <w:r>
              <w:rPr>
                <w:rFonts w:hint="eastAsia" w:ascii="宋体" w:hAnsi="宋体" w:eastAsia="宋体" w:cs="宋体"/>
                <w:color w:val="auto"/>
                <w:sz w:val="21"/>
                <w:szCs w:val="21"/>
                <w:highlight w:val="none"/>
                <w:lang w:eastAsia="zh-CN" w:bidi="ar"/>
              </w:rPr>
              <w:t xml:space="preserve">）</w:t>
            </w:r>
            <w:r/>
          </w:p>
        </w:tc>
        <w:tc>
          <w:tcPr>
            <w:gridSpan w:val="3"/>
            <w:tcW w:w="2313" w:type="pct"/>
            <w:vAlign w:val="top"/>
            <w:textDirection w:val="lrTb"/>
            <w:noWrap w:val="false"/>
          </w:tcPr>
          <w:p>
            <w:pPr>
              <w:ind w:left="2940" w:right="0" w:hanging="294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（采购人公章）</w:t>
            </w:r>
            <w:r/>
          </w:p>
        </w:tc>
      </w:tr>
      <w:tr>
        <w:trPr>
          <w:jc w:val="center"/>
          <w:trHeight w:val="1455"/>
        </w:trPr>
        <w:tc>
          <w:tcPr>
            <w:gridSpan w:val="7"/>
            <w:tcW w:w="5000" w:type="pct"/>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供应商确认：</w:t>
            </w:r>
            <w:r/>
          </w:p>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（单位公章或授权代表签字）</w:t>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说明：1.该表为服务类项目履约验收的参考样表，采购人或采购代理机构可以根据工作实际进行调整。</w:t>
      </w:r>
      <w:r/>
    </w:p>
    <w:p>
      <w:pPr>
        <w:ind w:firstLine="63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2.未委托采购代理机构开展履约验收工作的，无需填写“采购代理机构意见”。</w:t>
      </w:r>
      <w:r/>
    </w:p>
    <w:p>
      <w:pPr>
        <w:pStyle w:val="953"/>
        <w:ind w:left="0" w:firstLine="0"/>
        <w:jc w:val="right"/>
        <w:rPr>
          <w:rFonts w:hint="eastAsia"/>
          <w:b/>
          <w:bCs/>
          <w:color w:val="auto"/>
          <w:sz w:val="24"/>
          <w:szCs w:val="24"/>
          <w:highlight w:val="none"/>
        </w:rPr>
      </w:pPr>
      <w:r>
        <w:rPr>
          <w:rFonts w:hint="eastAsia"/>
          <w:b/>
          <w:bCs/>
          <w:color w:val="auto"/>
          <w:sz w:val="24"/>
          <w:szCs w:val="24"/>
          <w:highlight w:val="none"/>
        </w:rPr>
      </w:r>
      <w:r/>
    </w:p>
    <w:p>
      <w:pPr>
        <w:pStyle w:val="953"/>
        <w:ind w:left="0" w:firstLine="0"/>
        <w:jc w:val="right"/>
        <w:rPr>
          <w:rFonts w:hint="eastAsia"/>
          <w:b/>
          <w:bCs/>
          <w:color w:val="auto"/>
          <w:sz w:val="24"/>
          <w:szCs w:val="24"/>
          <w:highlight w:val="none"/>
        </w:rPr>
      </w:pPr>
      <w:r>
        <w:rPr>
          <w:rFonts w:hint="eastAsia"/>
          <w:b/>
          <w:bCs/>
          <w:color w:val="auto"/>
          <w:sz w:val="24"/>
          <w:szCs w:val="24"/>
          <w:highlight w:val="none"/>
        </w:rPr>
        <w:t xml:space="preserve">（全文完）</w:t>
      </w:r>
      <w:bookmarkEnd w:id="20"/>
      <w:r/>
      <w:r/>
    </w:p>
    <w:sectPr>
      <w:headerReference w:type="default" r:id="rId9"/>
      <w:footerReference w:type="default" r:id="rId10"/>
      <w:footerReference w:type="first" r:id="rId11"/>
      <w:footnotePr/>
      <w:endnotePr/>
      <w:type w:val="nextPage"/>
      <w:pgSz w:w="11907" w:h="16840" w:orient="portrait"/>
      <w:pgMar w:top="1474" w:right="1417" w:bottom="1474" w:left="1417"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0"/>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hint="eastAsia" w:ascii="宋体" w:hAnsi="宋体" w:eastAsia="宋体"/>
        <w:color w:val="808080"/>
        <w:spacing w:val="6"/>
        <w:sz w:val="21"/>
        <w:lang w:eastAsia="zh-CN"/>
      </w:rPr>
      <w:pBdr>
        <w:bottom w:val="none" w:color="auto"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53"/>
      <w:isLgl w:val="false"/>
      <w:suff w:val="space"/>
      <w:lvlText w:val="第%1章"/>
      <w:lvlJc w:val="left"/>
      <w:pPr>
        <w:ind w:left="5807" w:hanging="420"/>
      </w:pPr>
      <w:rPr>
        <w:rFonts w:hint="eastAsia"/>
      </w:rPr>
    </w:lvl>
    <w:lvl w:ilvl="1">
      <w:start w:val="1"/>
      <w:numFmt w:val="decimal"/>
      <w:pStyle w:val="1033"/>
      <w:isLgl/>
      <w:suff w:val="space"/>
      <w:lvlText w:val="%1.%2"/>
      <w:lvlJc w:val="left"/>
      <w:pPr>
        <w:ind w:left="840" w:hanging="840"/>
      </w:pPr>
      <w:rPr>
        <w:rFonts w:hint="eastAsia"/>
      </w:rPr>
    </w:lvl>
    <w:lvl w:ilvl="2">
      <w:start w:val="1"/>
      <w:numFmt w:val="decimal"/>
      <w:pStyle w:val="1050"/>
      <w:isLgl/>
      <w:suff w:val="space"/>
      <w:lvlText w:val="%1.%2.%3"/>
      <w:lvlJc w:val="left"/>
      <w:pPr>
        <w:ind w:left="2948" w:hanging="680"/>
      </w:pPr>
      <w:rPr>
        <w:rFonts w:hint="default" w:ascii="宋体" w:hAnsi="宋体" w:eastAsia="宋体" w:cs="Times New Roman"/>
        <w:b w:val="0"/>
      </w:rPr>
    </w:lvl>
    <w:lvl w:ilvl="3">
      <w:start w:val="1"/>
      <w:numFmt w:val="decimal"/>
      <w:pStyle w:val="1034"/>
      <w:isLgl/>
      <w:suff w:val="space"/>
      <w:lvlText w:val="%1.%2.%3.%4"/>
      <w:lvlJc w:val="left"/>
      <w:pPr>
        <w:ind w:left="511" w:hanging="114"/>
      </w:pPr>
      <w:rPr>
        <w:rFonts w:hint="default"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67"/>
      <w:isLgl w:val="false"/>
      <w:suff w:val="tab"/>
      <w:lvlText w:val=""/>
      <w:lvlJc w:val="left"/>
      <w:pPr>
        <w:ind w:left="840" w:hanging="420"/>
        <w:tabs>
          <w:tab w:val="left" w:pos="840" w:leader="none"/>
        </w:tabs>
      </w:pPr>
      <w:rPr>
        <w:rFonts w:hint="default" w:ascii="Wingdings" w:hAnsi="Wingdings"/>
        <w:color w:val="000080"/>
        <w:sz w:val="15"/>
        <w:szCs w:val="15"/>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5">
    <w:multiLevelType w:val="hybridMultilevel"/>
    <w:lvl w:ilvl="0">
      <w:start w:val="1"/>
      <w:numFmt w:val="decimal"/>
      <w:pStyle w:val="105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pStyle w:val="106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bullet"/>
      <w:isLgl w:val="false"/>
      <w:suff w:val="tab"/>
      <w:lvlText w:val=""/>
      <w:lvlJc w:val="left"/>
      <w:pPr>
        <w:ind w:left="660" w:hanging="420"/>
      </w:pPr>
      <w:rPr>
        <w:rFonts w:hint="default" w:ascii="Wingdings" w:hAnsi="Wingdings"/>
      </w:rPr>
    </w:lvl>
    <w:lvl w:ilvl="1">
      <w:start w:val="1"/>
      <w:numFmt w:val="bullet"/>
      <w:isLgl w:val="false"/>
      <w:suff w:val="tab"/>
      <w:lvlText w:val=""/>
      <w:lvlJc w:val="left"/>
      <w:pPr>
        <w:ind w:left="1080" w:hanging="420"/>
      </w:pPr>
      <w:rPr>
        <w:rFonts w:hint="default" w:ascii="Wingdings" w:hAnsi="Wingdings"/>
      </w:rPr>
    </w:lvl>
    <w:lvl w:ilvl="2">
      <w:start w:val="1"/>
      <w:numFmt w:val="bullet"/>
      <w:isLgl w:val="false"/>
      <w:suff w:val="tab"/>
      <w:lvlText w:val=""/>
      <w:lvlJc w:val="left"/>
      <w:pPr>
        <w:ind w:left="1500" w:hanging="420"/>
      </w:pPr>
      <w:rPr>
        <w:rFonts w:hint="default" w:ascii="Wingdings" w:hAnsi="Wingdings"/>
      </w:rPr>
    </w:lvl>
    <w:lvl w:ilvl="3">
      <w:start w:val="1"/>
      <w:numFmt w:val="bullet"/>
      <w:isLgl w:val="false"/>
      <w:suff w:val="tab"/>
      <w:lvlText w:val=""/>
      <w:lvlJc w:val="left"/>
      <w:pPr>
        <w:ind w:left="1920" w:hanging="420"/>
      </w:pPr>
      <w:rPr>
        <w:rFonts w:hint="default" w:ascii="Wingdings" w:hAnsi="Wingdings"/>
      </w:rPr>
    </w:lvl>
    <w:lvl w:ilvl="4">
      <w:start w:val="1"/>
      <w:numFmt w:val="bullet"/>
      <w:isLgl w:val="false"/>
      <w:suff w:val="tab"/>
      <w:lvlText w:val=""/>
      <w:lvlJc w:val="left"/>
      <w:pPr>
        <w:ind w:left="2340" w:hanging="420"/>
      </w:pPr>
      <w:rPr>
        <w:rFonts w:hint="default" w:ascii="Wingdings" w:hAnsi="Wingdings"/>
      </w:rPr>
    </w:lvl>
    <w:lvl w:ilvl="5">
      <w:start w:val="1"/>
      <w:numFmt w:val="bullet"/>
      <w:pStyle w:val="902"/>
      <w:isLgl w:val="false"/>
      <w:suff w:val="tab"/>
      <w:lvlText w:val=""/>
      <w:lvlJc w:val="left"/>
      <w:pPr>
        <w:ind w:left="2760" w:hanging="420"/>
      </w:pPr>
      <w:rPr>
        <w:rFonts w:hint="default" w:ascii="Wingdings" w:hAnsi="Wingdings"/>
      </w:rPr>
    </w:lvl>
    <w:lvl w:ilvl="6">
      <w:start w:val="1"/>
      <w:numFmt w:val="bullet"/>
      <w:isLgl w:val="false"/>
      <w:suff w:val="tab"/>
      <w:lvlText w:val=""/>
      <w:lvlJc w:val="left"/>
      <w:pPr>
        <w:ind w:left="3180" w:hanging="420"/>
      </w:pPr>
      <w:rPr>
        <w:rFonts w:hint="default" w:ascii="Wingdings" w:hAnsi="Wingdings"/>
      </w:rPr>
    </w:lvl>
    <w:lvl w:ilvl="7">
      <w:start w:val="1"/>
      <w:numFmt w:val="bullet"/>
      <w:isLgl w:val="false"/>
      <w:suff w:val="tab"/>
      <w:lvlText w:val=""/>
      <w:lvlJc w:val="left"/>
      <w:pPr>
        <w:ind w:left="3600" w:hanging="420"/>
      </w:pPr>
      <w:rPr>
        <w:rFonts w:hint="default" w:ascii="Wingdings" w:hAnsi="Wingdings"/>
      </w:rPr>
    </w:lvl>
    <w:lvl w:ilvl="8">
      <w:start w:val="1"/>
      <w:numFmt w:val="bullet"/>
      <w:isLgl w:val="false"/>
      <w:suff w:val="tab"/>
      <w:lvlText w:val=""/>
      <w:lvlJc w:val="left"/>
      <w:pPr>
        <w:ind w:left="4020" w:hanging="420"/>
      </w:pPr>
      <w:rPr>
        <w:rFonts w:hint="default" w:ascii="Wingdings" w:hAnsi="Wingdings"/>
      </w:rPr>
    </w:lvl>
  </w:abstractNum>
  <w:num w:numId="1">
    <w:abstractNumId w:val="8"/>
  </w:num>
  <w:num w:numId="2">
    <w:abstractNumId w:val="1"/>
  </w:num>
  <w:num w:numId="3">
    <w:abstractNumId w:val="6"/>
  </w:num>
  <w:num w:numId="4">
    <w:abstractNumId w:val="5"/>
  </w:num>
  <w:num w:numId="5">
    <w:abstractNumId w:val="7"/>
  </w:num>
  <w:num w:numId="6">
    <w:abstractNumId w:val="4"/>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06"/>
    <w:link w:val="897"/>
    <w:uiPriority w:val="9"/>
    <w:rPr>
      <w:rFonts w:ascii="Arial" w:hAnsi="Arial" w:eastAsia="Arial" w:cs="Arial"/>
      <w:sz w:val="40"/>
      <w:szCs w:val="40"/>
    </w:rPr>
  </w:style>
  <w:style w:type="character" w:styleId="747">
    <w:name w:val="Heading 2 Char"/>
    <w:basedOn w:val="906"/>
    <w:link w:val="898"/>
    <w:uiPriority w:val="9"/>
    <w:rPr>
      <w:rFonts w:ascii="Arial" w:hAnsi="Arial" w:eastAsia="Arial" w:cs="Arial"/>
      <w:sz w:val="34"/>
    </w:rPr>
  </w:style>
  <w:style w:type="character" w:styleId="748">
    <w:name w:val="Heading 3 Char"/>
    <w:basedOn w:val="906"/>
    <w:link w:val="1045"/>
    <w:uiPriority w:val="9"/>
    <w:rPr>
      <w:rFonts w:ascii="Arial" w:hAnsi="Arial" w:eastAsia="Arial" w:cs="Arial"/>
      <w:sz w:val="30"/>
      <w:szCs w:val="30"/>
    </w:rPr>
  </w:style>
  <w:style w:type="character" w:styleId="749">
    <w:name w:val="Heading 4 Char"/>
    <w:basedOn w:val="906"/>
    <w:link w:val="900"/>
    <w:uiPriority w:val="9"/>
    <w:rPr>
      <w:rFonts w:ascii="Arial" w:hAnsi="Arial" w:eastAsia="Arial" w:cs="Arial"/>
      <w:b/>
      <w:bCs/>
      <w:sz w:val="26"/>
      <w:szCs w:val="26"/>
    </w:rPr>
  </w:style>
  <w:style w:type="character" w:styleId="750">
    <w:name w:val="Heading 5 Char"/>
    <w:basedOn w:val="906"/>
    <w:link w:val="901"/>
    <w:uiPriority w:val="9"/>
    <w:rPr>
      <w:rFonts w:ascii="Arial" w:hAnsi="Arial" w:eastAsia="Arial" w:cs="Arial"/>
      <w:b/>
      <w:bCs/>
      <w:sz w:val="24"/>
      <w:szCs w:val="24"/>
    </w:rPr>
  </w:style>
  <w:style w:type="character" w:styleId="751">
    <w:name w:val="Heading 6 Char"/>
    <w:basedOn w:val="906"/>
    <w:link w:val="902"/>
    <w:uiPriority w:val="9"/>
    <w:rPr>
      <w:rFonts w:ascii="Arial" w:hAnsi="Arial" w:eastAsia="Arial" w:cs="Arial"/>
      <w:b/>
      <w:bCs/>
      <w:sz w:val="22"/>
      <w:szCs w:val="22"/>
    </w:rPr>
  </w:style>
  <w:style w:type="character" w:styleId="752">
    <w:name w:val="Heading 7 Char"/>
    <w:basedOn w:val="906"/>
    <w:link w:val="903"/>
    <w:uiPriority w:val="9"/>
    <w:rPr>
      <w:rFonts w:ascii="Arial" w:hAnsi="Arial" w:eastAsia="Arial" w:cs="Arial"/>
      <w:b/>
      <w:bCs/>
      <w:i/>
      <w:iCs/>
      <w:sz w:val="22"/>
      <w:szCs w:val="22"/>
    </w:rPr>
  </w:style>
  <w:style w:type="character" w:styleId="753">
    <w:name w:val="Heading 8 Char"/>
    <w:basedOn w:val="906"/>
    <w:link w:val="904"/>
    <w:uiPriority w:val="9"/>
    <w:rPr>
      <w:rFonts w:ascii="Arial" w:hAnsi="Arial" w:eastAsia="Arial" w:cs="Arial"/>
      <w:i/>
      <w:iCs/>
      <w:sz w:val="22"/>
      <w:szCs w:val="22"/>
    </w:rPr>
  </w:style>
  <w:style w:type="character" w:styleId="754">
    <w:name w:val="Heading 9 Char"/>
    <w:basedOn w:val="906"/>
    <w:link w:val="905"/>
    <w:uiPriority w:val="9"/>
    <w:rPr>
      <w:rFonts w:ascii="Arial" w:hAnsi="Arial" w:eastAsia="Arial" w:cs="Arial"/>
      <w:i/>
      <w:iCs/>
      <w:sz w:val="21"/>
      <w:szCs w:val="21"/>
    </w:rPr>
  </w:style>
  <w:style w:type="character" w:styleId="755">
    <w:name w:val="Title Char"/>
    <w:basedOn w:val="906"/>
    <w:link w:val="950"/>
    <w:uiPriority w:val="10"/>
    <w:rPr>
      <w:sz w:val="48"/>
      <w:szCs w:val="48"/>
    </w:rPr>
  </w:style>
  <w:style w:type="character" w:styleId="756">
    <w:name w:val="Subtitle Char"/>
    <w:basedOn w:val="906"/>
    <w:link w:val="937"/>
    <w:uiPriority w:val="11"/>
    <w:rPr>
      <w:sz w:val="24"/>
      <w:szCs w:val="24"/>
    </w:rPr>
  </w:style>
  <w:style w:type="paragraph" w:styleId="757">
    <w:name w:val="Quote"/>
    <w:basedOn w:val="896"/>
    <w:next w:val="896"/>
    <w:link w:val="758"/>
    <w:uiPriority w:val="29"/>
    <w:qFormat/>
    <w:pPr>
      <w:ind w:left="720" w:right="720"/>
    </w:pPr>
    <w:rPr>
      <w:i/>
    </w:rPr>
  </w:style>
  <w:style w:type="character" w:styleId="758">
    <w:name w:val="Quote Char"/>
    <w:link w:val="757"/>
    <w:uiPriority w:val="29"/>
    <w:rPr>
      <w:i/>
    </w:rPr>
  </w:style>
  <w:style w:type="paragraph" w:styleId="759">
    <w:name w:val="Intense Quote"/>
    <w:basedOn w:val="896"/>
    <w:next w:val="896"/>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6"/>
    <w:link w:val="931"/>
    <w:uiPriority w:val="99"/>
  </w:style>
  <w:style w:type="character" w:styleId="762">
    <w:name w:val="Footer Char"/>
    <w:basedOn w:val="906"/>
    <w:link w:val="930"/>
    <w:uiPriority w:val="99"/>
  </w:style>
  <w:style w:type="character" w:styleId="763">
    <w:name w:val="Caption Char"/>
    <w:basedOn w:val="912"/>
    <w:link w:val="930"/>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eastAsia="宋体" w:cs="Times New Roman"/>
      <w:sz w:val="21"/>
      <w:lang w:val="en-US" w:eastAsia="zh-CN" w:bidi="ar-SA"/>
    </w:rPr>
  </w:style>
  <w:style w:type="paragraph" w:styleId="897">
    <w:name w:val="Heading 1"/>
    <w:basedOn w:val="896"/>
    <w:next w:val="896"/>
    <w:link w:val="962"/>
    <w:uiPriority w:val="9"/>
    <w:qFormat/>
    <w:pPr>
      <w:jc w:val="center"/>
      <w:keepNext/>
      <w:tabs>
        <w:tab w:val="left" w:pos="200" w:leader="none"/>
      </w:tabs>
      <w:outlineLvl w:val="0"/>
    </w:pPr>
    <w:rPr>
      <w:rFonts w:ascii="宋体" w:hAnsi="宋体"/>
      <w:b/>
      <w:sz w:val="36"/>
    </w:rPr>
  </w:style>
  <w:style w:type="paragraph" w:styleId="898">
    <w:name w:val="Heading 2"/>
    <w:basedOn w:val="896"/>
    <w:next w:val="896"/>
    <w:link w:val="963"/>
    <w:uiPriority w:val="9"/>
    <w:qFormat/>
    <w:pPr>
      <w:jc w:val="center"/>
      <w:keepNext/>
      <w:outlineLvl w:val="1"/>
    </w:pPr>
    <w:rPr>
      <w:rFonts w:ascii="宋体" w:hAnsi="宋体"/>
      <w:b/>
      <w:bCs/>
      <w:sz w:val="28"/>
      <w:szCs w:val="28"/>
    </w:rPr>
  </w:style>
  <w:style w:type="paragraph" w:styleId="899">
    <w:name w:val="Heading 3"/>
    <w:basedOn w:val="896"/>
    <w:next w:val="896"/>
    <w:link w:val="964"/>
    <w:uiPriority w:val="9"/>
    <w:qFormat/>
    <w:pPr>
      <w:jc w:val="center"/>
      <w:keepNext/>
      <w:outlineLvl w:val="2"/>
    </w:pPr>
    <w:rPr>
      <w:rFonts w:ascii="宋体" w:hAnsi="宋体"/>
      <w:sz w:val="28"/>
    </w:rPr>
  </w:style>
  <w:style w:type="paragraph" w:styleId="900">
    <w:name w:val="Heading 4"/>
    <w:basedOn w:val="896"/>
    <w:next w:val="896"/>
    <w:link w:val="965"/>
    <w:uiPriority w:val="0"/>
    <w:qFormat/>
    <w:pPr>
      <w:keepNext/>
      <w:outlineLvl w:val="3"/>
    </w:pPr>
    <w:rPr>
      <w:b/>
      <w:bCs/>
      <w:sz w:val="18"/>
    </w:rPr>
  </w:style>
  <w:style w:type="paragraph" w:styleId="901">
    <w:name w:val="Heading 5"/>
    <w:basedOn w:val="896"/>
    <w:next w:val="896"/>
    <w:link w:val="966"/>
    <w:uiPriority w:val="0"/>
    <w:qFormat/>
    <w:pPr>
      <w:jc w:val="center"/>
      <w:keepNext/>
      <w:outlineLvl w:val="4"/>
    </w:pPr>
    <w:rPr>
      <w:b/>
      <w:bCs/>
      <w:sz w:val="18"/>
    </w:rPr>
  </w:style>
  <w:style w:type="paragraph" w:styleId="902">
    <w:name w:val="Heading 6"/>
    <w:basedOn w:val="896"/>
    <w:next w:val="896"/>
    <w:link w:val="967"/>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03">
    <w:name w:val="Heading 7"/>
    <w:basedOn w:val="896"/>
    <w:next w:val="896"/>
    <w:link w:val="968"/>
    <w:uiPriority w:val="0"/>
    <w:qFormat/>
    <w:pPr>
      <w:keepNext/>
      <w:outlineLvl w:val="6"/>
    </w:pPr>
    <w:rPr>
      <w:rFonts w:ascii="Arial" w:hAnsi="Arial"/>
      <w:b/>
      <w:bCs/>
      <w:sz w:val="16"/>
      <w:szCs w:val="16"/>
    </w:rPr>
  </w:style>
  <w:style w:type="paragraph" w:styleId="904">
    <w:name w:val="Heading 8"/>
    <w:basedOn w:val="896"/>
    <w:next w:val="896"/>
    <w:link w:val="969"/>
    <w:uiPriority w:val="0"/>
    <w:qFormat/>
    <w:pPr>
      <w:keepNext/>
      <w:outlineLvl w:val="7"/>
    </w:pPr>
    <w:rPr>
      <w:b/>
      <w:bCs/>
      <w:sz w:val="24"/>
      <w:szCs w:val="24"/>
    </w:rPr>
  </w:style>
  <w:style w:type="paragraph" w:styleId="905">
    <w:name w:val="Heading 9"/>
    <w:basedOn w:val="896"/>
    <w:next w:val="896"/>
    <w:link w:val="970"/>
    <w:uiPriority w:val="0"/>
    <w:qFormat/>
    <w:pPr>
      <w:jc w:val="center"/>
      <w:keepNext/>
      <w:outlineLvl w:val="8"/>
    </w:pPr>
    <w:rPr>
      <w:b/>
      <w:bCs/>
      <w:szCs w:val="24"/>
    </w:rPr>
  </w:style>
  <w:style w:type="character" w:styleId="906" w:default="1">
    <w:name w:val="Default Paragraph Font"/>
    <w:uiPriority w:val="0"/>
    <w:semiHidden/>
    <w:qFormat/>
  </w:style>
  <w:style w:type="table" w:styleId="90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08">
    <w:name w:val="index 4"/>
    <w:basedOn w:val="896"/>
    <w:next w:val="896"/>
    <w:uiPriority w:val="0"/>
    <w:semiHidden/>
    <w:qFormat/>
    <w:pPr>
      <w:ind w:left="600"/>
    </w:pPr>
  </w:style>
  <w:style w:type="paragraph" w:styleId="909">
    <w:name w:val="toc 7"/>
    <w:basedOn w:val="896"/>
    <w:next w:val="896"/>
    <w:uiPriority w:val="39"/>
    <w:qFormat/>
    <w:pPr>
      <w:ind w:left="1260"/>
      <w:jc w:val="left"/>
    </w:pPr>
    <w:rPr>
      <w:szCs w:val="21"/>
    </w:rPr>
  </w:style>
  <w:style w:type="paragraph" w:styleId="910">
    <w:name w:val="index 8"/>
    <w:basedOn w:val="896"/>
    <w:next w:val="896"/>
    <w:uiPriority w:val="0"/>
    <w:semiHidden/>
    <w:qFormat/>
    <w:pPr>
      <w:ind w:left="1400"/>
    </w:pPr>
  </w:style>
  <w:style w:type="paragraph" w:styleId="911">
    <w:name w:val="Normal Indent"/>
    <w:basedOn w:val="896"/>
    <w:link w:val="971"/>
    <w:uiPriority w:val="0"/>
    <w:qFormat/>
    <w:pPr>
      <w:ind w:firstLine="420"/>
    </w:pPr>
  </w:style>
  <w:style w:type="paragraph" w:styleId="912">
    <w:name w:val="Caption"/>
    <w:basedOn w:val="896"/>
    <w:next w:val="896"/>
    <w:link w:val="972"/>
    <w:uiPriority w:val="0"/>
    <w:qFormat/>
    <w:rPr>
      <w:rFonts w:ascii="Arial" w:hAnsi="Arial" w:eastAsia="黑体"/>
      <w:sz w:val="20"/>
    </w:rPr>
  </w:style>
  <w:style w:type="paragraph" w:styleId="913">
    <w:name w:val="index 5"/>
    <w:basedOn w:val="896"/>
    <w:next w:val="896"/>
    <w:uiPriority w:val="0"/>
    <w:semiHidden/>
    <w:qFormat/>
    <w:pPr>
      <w:ind w:left="800"/>
    </w:pPr>
  </w:style>
  <w:style w:type="paragraph" w:styleId="914">
    <w:name w:val="Document Map"/>
    <w:basedOn w:val="896"/>
    <w:uiPriority w:val="0"/>
    <w:semiHidden/>
    <w:qFormat/>
    <w:pPr>
      <w:shd w:val="clear" w:color="auto" w:fill="auto"/>
    </w:pPr>
    <w:rPr>
      <w:rFonts w:ascii="Times New Roman" w:hAnsi="Times New Roman" w:eastAsia="宋体"/>
    </w:rPr>
  </w:style>
  <w:style w:type="paragraph" w:styleId="915">
    <w:name w:val="annotation text"/>
    <w:basedOn w:val="896"/>
    <w:link w:val="973"/>
    <w:uiPriority w:val="0"/>
    <w:qFormat/>
    <w:pPr>
      <w:jc w:val="left"/>
    </w:pPr>
    <w:rPr>
      <w:rFonts w:ascii="Calibri" w:hAnsi="Calibri"/>
      <w:szCs w:val="22"/>
    </w:rPr>
  </w:style>
  <w:style w:type="paragraph" w:styleId="916">
    <w:name w:val="index 6"/>
    <w:basedOn w:val="896"/>
    <w:next w:val="896"/>
    <w:uiPriority w:val="0"/>
    <w:semiHidden/>
    <w:qFormat/>
    <w:pPr>
      <w:ind w:left="1000"/>
    </w:pPr>
  </w:style>
  <w:style w:type="paragraph" w:styleId="917">
    <w:name w:val="Body Text 3"/>
    <w:basedOn w:val="896"/>
    <w:link w:val="974"/>
    <w:uiPriority w:val="99"/>
    <w:unhideWhenUsed/>
    <w:qFormat/>
    <w:pPr>
      <w:jc w:val="center"/>
    </w:pPr>
    <w:rPr>
      <w:rFonts w:ascii="宋体" w:hAnsi="宋体" w:eastAsia="楷体_GB2312"/>
      <w:sz w:val="26"/>
    </w:rPr>
  </w:style>
  <w:style w:type="paragraph" w:styleId="918">
    <w:name w:val="Body Text"/>
    <w:basedOn w:val="896"/>
    <w:link w:val="975"/>
    <w:uiPriority w:val="0"/>
    <w:qFormat/>
    <w:rPr>
      <w:rFonts w:ascii="楷体_GB2312" w:hAnsi="Arial" w:eastAsia="楷体_GB2312"/>
      <w:sz w:val="28"/>
    </w:rPr>
  </w:style>
  <w:style w:type="paragraph" w:styleId="919">
    <w:name w:val="Body Text Indent"/>
    <w:basedOn w:val="896"/>
    <w:next w:val="920"/>
    <w:link w:val="976"/>
    <w:uiPriority w:val="99"/>
    <w:qFormat/>
    <w:pPr>
      <w:ind w:firstLine="574"/>
      <w:spacing w:line="312" w:lineRule="atLeast"/>
    </w:pPr>
    <w:rPr>
      <w:rFonts w:ascii="宋体"/>
      <w:sz w:val="28"/>
    </w:rPr>
  </w:style>
  <w:style w:type="paragraph" w:styleId="920">
    <w:name w:val="envelope return"/>
    <w:basedOn w:val="896"/>
    <w:uiPriority w:val="0"/>
    <w:qFormat/>
    <w:rPr>
      <w:rFonts w:ascii="Arial" w:hAnsi="Arial" w:cs="Arial"/>
    </w:rPr>
  </w:style>
  <w:style w:type="paragraph" w:styleId="921">
    <w:name w:val="Block Text"/>
    <w:basedOn w:val="896"/>
    <w:uiPriority w:val="0"/>
    <w:qFormat/>
    <w:pPr>
      <w:ind w:left="1890" w:right="11" w:hanging="1409"/>
      <w:spacing w:before="89"/>
      <w:tabs>
        <w:tab w:val="left" w:pos="822" w:leader="none"/>
        <w:tab w:val="left" w:pos="2205" w:leader="none"/>
        <w:tab w:val="left" w:pos="9000" w:leader="none"/>
      </w:tabs>
    </w:pPr>
    <w:rPr>
      <w:sz w:val="24"/>
    </w:rPr>
  </w:style>
  <w:style w:type="paragraph" w:styleId="922">
    <w:name w:val="toc 5"/>
    <w:basedOn w:val="896"/>
    <w:next w:val="896"/>
    <w:uiPriority w:val="39"/>
    <w:qFormat/>
    <w:pPr>
      <w:ind w:left="840"/>
      <w:jc w:val="left"/>
    </w:pPr>
    <w:rPr>
      <w:szCs w:val="21"/>
    </w:rPr>
  </w:style>
  <w:style w:type="paragraph" w:styleId="923">
    <w:name w:val="toc 3"/>
    <w:basedOn w:val="896"/>
    <w:next w:val="896"/>
    <w:uiPriority w:val="39"/>
    <w:qFormat/>
    <w:pPr>
      <w:ind w:left="420"/>
      <w:jc w:val="left"/>
    </w:pPr>
    <w:rPr>
      <w:i/>
      <w:iCs/>
      <w:szCs w:val="24"/>
    </w:rPr>
  </w:style>
  <w:style w:type="paragraph" w:styleId="924">
    <w:name w:val="Plain Text"/>
    <w:basedOn w:val="896"/>
    <w:link w:val="977"/>
    <w:uiPriority w:val="0"/>
    <w:qFormat/>
    <w:rPr>
      <w:rFonts w:ascii="宋体" w:hAnsi="Courier New"/>
    </w:rPr>
  </w:style>
  <w:style w:type="paragraph" w:styleId="925">
    <w:name w:val="toc 8"/>
    <w:basedOn w:val="896"/>
    <w:next w:val="896"/>
    <w:uiPriority w:val="39"/>
    <w:qFormat/>
    <w:pPr>
      <w:ind w:left="1470"/>
      <w:jc w:val="left"/>
    </w:pPr>
    <w:rPr>
      <w:szCs w:val="21"/>
    </w:rPr>
  </w:style>
  <w:style w:type="paragraph" w:styleId="926">
    <w:name w:val="index 3"/>
    <w:basedOn w:val="896"/>
    <w:next w:val="896"/>
    <w:uiPriority w:val="0"/>
    <w:semiHidden/>
    <w:qFormat/>
    <w:pPr>
      <w:ind w:left="400"/>
    </w:pPr>
  </w:style>
  <w:style w:type="paragraph" w:styleId="927">
    <w:name w:val="Date"/>
    <w:basedOn w:val="896"/>
    <w:next w:val="896"/>
    <w:link w:val="978"/>
    <w:uiPriority w:val="0"/>
    <w:qFormat/>
    <w:pPr>
      <w:spacing w:line="312" w:lineRule="atLeast"/>
    </w:pPr>
    <w:rPr>
      <w:rFonts w:ascii="宋体"/>
      <w:sz w:val="28"/>
    </w:rPr>
  </w:style>
  <w:style w:type="paragraph" w:styleId="928">
    <w:name w:val="Body Text Indent 2"/>
    <w:basedOn w:val="896"/>
    <w:link w:val="979"/>
    <w:uiPriority w:val="99"/>
    <w:qFormat/>
    <w:pPr>
      <w:ind w:left="1890" w:hanging="1409"/>
      <w:tabs>
        <w:tab w:val="left" w:pos="1785" w:leader="none"/>
        <w:tab w:val="left" w:pos="1887" w:leader="none"/>
        <w:tab w:val="left" w:pos="2112" w:leader="none"/>
        <w:tab w:val="left" w:pos="9000" w:leader="none"/>
      </w:tabs>
    </w:pPr>
    <w:rPr>
      <w:sz w:val="24"/>
    </w:rPr>
  </w:style>
  <w:style w:type="paragraph" w:styleId="929">
    <w:name w:val="Balloon Text"/>
    <w:basedOn w:val="896"/>
    <w:link w:val="980"/>
    <w:uiPriority w:val="0"/>
    <w:unhideWhenUsed/>
    <w:qFormat/>
    <w:rPr>
      <w:rFonts w:ascii="Calibri" w:hAnsi="Calibri"/>
      <w:sz w:val="18"/>
      <w:szCs w:val="18"/>
    </w:rPr>
  </w:style>
  <w:style w:type="paragraph" w:styleId="930">
    <w:name w:val="Footer"/>
    <w:basedOn w:val="896"/>
    <w:link w:val="981"/>
    <w:uiPriority w:val="99"/>
    <w:qFormat/>
    <w:pPr>
      <w:jc w:val="left"/>
      <w:tabs>
        <w:tab w:val="center" w:pos="4153" w:leader="none"/>
        <w:tab w:val="right" w:pos="8306" w:leader="none"/>
      </w:tabs>
    </w:pPr>
    <w:rPr>
      <w:sz w:val="18"/>
    </w:rPr>
  </w:style>
  <w:style w:type="paragraph" w:styleId="931">
    <w:name w:val="Header"/>
    <w:basedOn w:val="896"/>
    <w:link w:val="982"/>
    <w:uiPriority w:val="99"/>
    <w:qFormat/>
    <w:pPr>
      <w:jc w:val="center"/>
      <w:tabs>
        <w:tab w:val="center" w:pos="4153" w:leader="none"/>
        <w:tab w:val="right" w:pos="8306" w:leader="none"/>
      </w:tabs>
      <w:pBdr>
        <w:bottom w:val="single" w:color="auto" w:sz="6" w:space="1"/>
      </w:pBdr>
    </w:pPr>
    <w:rPr>
      <w:sz w:val="18"/>
    </w:rPr>
  </w:style>
  <w:style w:type="paragraph" w:styleId="932">
    <w:name w:val="Signature"/>
    <w:basedOn w:val="896"/>
    <w:link w:val="983"/>
    <w:uiPriority w:val="0"/>
    <w:qFormat/>
    <w:pPr>
      <w:jc w:val="center"/>
      <w:spacing w:after="600" w:line="312" w:lineRule="atLeast"/>
    </w:pPr>
    <w:rPr>
      <w:rFonts w:eastAsia="仿宋_GB2312"/>
      <w:sz w:val="24"/>
    </w:rPr>
  </w:style>
  <w:style w:type="paragraph" w:styleId="933">
    <w:name w:val="toc 1"/>
    <w:basedOn w:val="896"/>
    <w:next w:val="896"/>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4">
    <w:name w:val="toc 4"/>
    <w:basedOn w:val="896"/>
    <w:next w:val="896"/>
    <w:uiPriority w:val="39"/>
    <w:qFormat/>
    <w:pPr>
      <w:ind w:left="630"/>
      <w:jc w:val="left"/>
    </w:pPr>
    <w:rPr>
      <w:szCs w:val="21"/>
    </w:rPr>
  </w:style>
  <w:style w:type="paragraph" w:styleId="935">
    <w:name w:val="index heading"/>
    <w:basedOn w:val="896"/>
    <w:next w:val="936"/>
    <w:uiPriority w:val="0"/>
    <w:semiHidden/>
    <w:qFormat/>
  </w:style>
  <w:style w:type="paragraph" w:styleId="936">
    <w:name w:val="index 1"/>
    <w:basedOn w:val="896"/>
    <w:next w:val="896"/>
    <w:uiPriority w:val="0"/>
    <w:semiHidden/>
    <w:qFormat/>
  </w:style>
  <w:style w:type="paragraph" w:styleId="937">
    <w:name w:val="Subtitle"/>
    <w:basedOn w:val="896"/>
    <w:next w:val="896"/>
    <w:link w:val="984"/>
    <w:uiPriority w:val="0"/>
    <w:qFormat/>
    <w:pPr>
      <w:jc w:val="center"/>
      <w:spacing w:before="240" w:after="60" w:line="312" w:lineRule="auto"/>
      <w:outlineLvl w:val="1"/>
    </w:pPr>
    <w:rPr>
      <w:rFonts w:ascii="Cambria" w:hAnsi="Cambria"/>
      <w:b/>
      <w:bCs/>
      <w:sz w:val="32"/>
      <w:szCs w:val="32"/>
    </w:rPr>
  </w:style>
  <w:style w:type="paragraph" w:styleId="938">
    <w:name w:val="List"/>
    <w:basedOn w:val="896"/>
    <w:uiPriority w:val="99"/>
    <w:qFormat/>
    <w:pPr>
      <w:ind w:left="200" w:hanging="200"/>
    </w:pPr>
    <w:rPr>
      <w:szCs w:val="24"/>
    </w:rPr>
  </w:style>
  <w:style w:type="paragraph" w:styleId="939">
    <w:name w:val="toc 6"/>
    <w:basedOn w:val="896"/>
    <w:next w:val="896"/>
    <w:uiPriority w:val="39"/>
    <w:qFormat/>
    <w:pPr>
      <w:ind w:left="1050"/>
      <w:jc w:val="left"/>
    </w:pPr>
    <w:rPr>
      <w:szCs w:val="21"/>
    </w:rPr>
  </w:style>
  <w:style w:type="paragraph" w:styleId="940">
    <w:name w:val="Body Text Indent 3"/>
    <w:basedOn w:val="896"/>
    <w:link w:val="985"/>
    <w:uiPriority w:val="0"/>
    <w:qFormat/>
    <w:pPr>
      <w:ind w:firstLine="555"/>
    </w:pPr>
    <w:rPr>
      <w:b/>
      <w:bCs/>
      <w:sz w:val="28"/>
      <w:u w:val="single"/>
    </w:rPr>
  </w:style>
  <w:style w:type="paragraph" w:styleId="941">
    <w:name w:val="index 7"/>
    <w:basedOn w:val="896"/>
    <w:next w:val="896"/>
    <w:uiPriority w:val="0"/>
    <w:semiHidden/>
    <w:qFormat/>
    <w:pPr>
      <w:ind w:left="1200"/>
    </w:pPr>
  </w:style>
  <w:style w:type="paragraph" w:styleId="942">
    <w:name w:val="index 9"/>
    <w:basedOn w:val="896"/>
    <w:next w:val="896"/>
    <w:uiPriority w:val="0"/>
    <w:semiHidden/>
    <w:qFormat/>
    <w:pPr>
      <w:ind w:left="1600"/>
    </w:pPr>
  </w:style>
  <w:style w:type="paragraph" w:styleId="943">
    <w:name w:val="table of figures"/>
    <w:basedOn w:val="896"/>
    <w:next w:val="896"/>
    <w:uiPriority w:val="0"/>
    <w:semiHidden/>
    <w:qFormat/>
    <w:pPr>
      <w:ind w:left="840" w:hanging="420"/>
    </w:pPr>
  </w:style>
  <w:style w:type="paragraph" w:styleId="944">
    <w:name w:val="toc 2"/>
    <w:basedOn w:val="896"/>
    <w:next w:val="896"/>
    <w:uiPriority w:val="39"/>
    <w:qFormat/>
    <w:pPr>
      <w:ind w:left="250"/>
      <w:jc w:val="left"/>
      <w:spacing w:line="400" w:lineRule="exact"/>
      <w:tabs>
        <w:tab w:val="right" w:pos="9450" w:leader="dot"/>
      </w:tabs>
    </w:pPr>
    <w:rPr>
      <w:bCs/>
      <w:smallCaps/>
      <w:sz w:val="24"/>
      <w:szCs w:val="24"/>
    </w:rPr>
  </w:style>
  <w:style w:type="paragraph" w:styleId="945">
    <w:name w:val="toc 9"/>
    <w:basedOn w:val="896"/>
    <w:next w:val="896"/>
    <w:uiPriority w:val="0"/>
    <w:qFormat/>
    <w:pPr>
      <w:ind w:left="1680"/>
      <w:jc w:val="left"/>
    </w:pPr>
    <w:rPr>
      <w:szCs w:val="21"/>
    </w:rPr>
  </w:style>
  <w:style w:type="paragraph" w:styleId="946">
    <w:name w:val="Body Text 2"/>
    <w:basedOn w:val="896"/>
    <w:link w:val="986"/>
    <w:uiPriority w:val="0"/>
    <w:qFormat/>
    <w:pPr>
      <w:spacing w:after="120" w:line="480" w:lineRule="auto"/>
    </w:pPr>
  </w:style>
  <w:style w:type="paragraph" w:styleId="947">
    <w:name w:val="HTML Preformatted"/>
    <w:basedOn w:val="896"/>
    <w:link w:val="9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948">
    <w:name w:val="Normal (Web)"/>
    <w:basedOn w:val="896"/>
    <w:uiPriority w:val="99"/>
    <w:unhideWhenUsed/>
    <w:qFormat/>
    <w:pPr>
      <w:jc w:val="left"/>
      <w:spacing w:before="100" w:beforeAutospacing="1" w:after="100" w:afterAutospacing="1"/>
      <w:widowControl/>
    </w:pPr>
    <w:rPr>
      <w:rFonts w:ascii="宋体" w:hAnsi="宋体" w:eastAsia="楷体_GB2312" w:cs="宋体"/>
      <w:sz w:val="24"/>
    </w:rPr>
  </w:style>
  <w:style w:type="paragraph" w:styleId="949">
    <w:name w:val="index 2"/>
    <w:basedOn w:val="896"/>
    <w:next w:val="896"/>
    <w:uiPriority w:val="0"/>
    <w:semiHidden/>
    <w:qFormat/>
    <w:pPr>
      <w:ind w:left="200"/>
    </w:pPr>
  </w:style>
  <w:style w:type="paragraph" w:styleId="950">
    <w:name w:val="Title"/>
    <w:basedOn w:val="896"/>
    <w:next w:val="896"/>
    <w:link w:val="988"/>
    <w:uiPriority w:val="0"/>
    <w:qFormat/>
    <w:pPr>
      <w:jc w:val="center"/>
      <w:spacing w:before="240" w:after="60"/>
      <w:outlineLvl w:val="0"/>
    </w:pPr>
    <w:rPr>
      <w:rFonts w:ascii="Cambria" w:hAnsi="Cambria"/>
      <w:b/>
      <w:bCs/>
      <w:sz w:val="32"/>
      <w:szCs w:val="32"/>
    </w:rPr>
  </w:style>
  <w:style w:type="paragraph" w:styleId="951">
    <w:name w:val="annotation subject"/>
    <w:basedOn w:val="915"/>
    <w:next w:val="915"/>
    <w:link w:val="989"/>
    <w:uiPriority w:val="0"/>
    <w:qFormat/>
    <w:rPr>
      <w:rFonts w:eastAsia="楷体_GB2312"/>
      <w:b/>
      <w:bCs/>
      <w:sz w:val="26"/>
    </w:rPr>
  </w:style>
  <w:style w:type="paragraph" w:styleId="952">
    <w:name w:val="Body Text First Indent"/>
    <w:basedOn w:val="918"/>
    <w:uiPriority w:val="99"/>
    <w:qFormat/>
    <w:pPr>
      <w:ind w:firstLine="420"/>
      <w:spacing w:line="312" w:lineRule="auto"/>
    </w:pPr>
  </w:style>
  <w:style w:type="paragraph" w:styleId="953">
    <w:name w:val="Body Text First Indent 2"/>
    <w:basedOn w:val="919"/>
    <w:uiPriority w:val="99"/>
    <w:unhideWhenUsed/>
    <w:qFormat/>
    <w:pPr>
      <w:ind w:left="0" w:firstLine="210"/>
      <w:jc w:val="both"/>
      <w:keepLines w:val="0"/>
      <w:keepNext w:val="0"/>
      <w:spacing w:after="120" w:afterAutospacing="0"/>
      <w:widowControl w:val="off"/>
      <w:suppressLineNumbers w:val="0"/>
    </w:pPr>
    <w:rPr>
      <w:rFonts w:hint="default" w:ascii="Calibri" w:hAnsi="Calibri" w:eastAsia="宋体" w:cs="Times New Roman"/>
      <w:sz w:val="21"/>
      <w:szCs w:val="21"/>
      <w:lang w:val="en-US" w:eastAsia="zh-CN" w:bidi="ar"/>
    </w:rPr>
  </w:style>
  <w:style w:type="table" w:styleId="954">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name w:val="Strong"/>
    <w:uiPriority w:val="0"/>
    <w:qFormat/>
    <w:rPr>
      <w:b/>
      <w:bCs/>
    </w:rPr>
  </w:style>
  <w:style w:type="character" w:styleId="956">
    <w:name w:val="page number"/>
    <w:basedOn w:val="906"/>
    <w:uiPriority w:val="99"/>
    <w:qFormat/>
  </w:style>
  <w:style w:type="character" w:styleId="957">
    <w:name w:val="FollowedHyperlink"/>
    <w:uiPriority w:val="99"/>
    <w:qFormat/>
    <w:rPr>
      <w:color w:val="333333"/>
      <w:u w:val="none"/>
    </w:rPr>
  </w:style>
  <w:style w:type="character" w:styleId="958">
    <w:name w:val="Emphasis"/>
    <w:uiPriority w:val="20"/>
    <w:qFormat/>
    <w:rPr>
      <w:i/>
      <w:iCs/>
    </w:rPr>
  </w:style>
  <w:style w:type="character" w:styleId="959">
    <w:name w:val="HTML Typewriter"/>
    <w:uiPriority w:val="0"/>
    <w:qFormat/>
    <w:rPr>
      <w:rFonts w:ascii="黑体" w:hAnsi="Courier New" w:eastAsia="黑体"/>
      <w:sz w:val="14"/>
    </w:rPr>
  </w:style>
  <w:style w:type="character" w:styleId="960">
    <w:name w:val="Hyperlink"/>
    <w:uiPriority w:val="99"/>
    <w:qFormat/>
    <w:rPr>
      <w:color w:val="333333"/>
      <w:u w:val="none"/>
    </w:rPr>
  </w:style>
  <w:style w:type="character" w:styleId="961">
    <w:name w:val="annotation reference"/>
    <w:uiPriority w:val="0"/>
    <w:qFormat/>
    <w:rPr>
      <w:sz w:val="21"/>
      <w:szCs w:val="21"/>
    </w:rPr>
  </w:style>
  <w:style w:type="character" w:styleId="962" w:customStyle="1">
    <w:name w:val="标题 1 Char"/>
    <w:link w:val="897"/>
    <w:uiPriority w:val="9"/>
    <w:qFormat/>
    <w:rPr>
      <w:rFonts w:ascii="宋体" w:hAnsi="宋体"/>
      <w:b/>
      <w:sz w:val="36"/>
    </w:rPr>
  </w:style>
  <w:style w:type="character" w:styleId="963" w:customStyle="1">
    <w:name w:val="标题 2 Char"/>
    <w:link w:val="898"/>
    <w:uiPriority w:val="9"/>
    <w:qFormat/>
    <w:rPr>
      <w:rFonts w:ascii="宋体" w:hAnsi="宋体"/>
      <w:b/>
      <w:bCs/>
      <w:sz w:val="28"/>
      <w:szCs w:val="28"/>
    </w:rPr>
  </w:style>
  <w:style w:type="character" w:styleId="964" w:customStyle="1">
    <w:name w:val="标题 3 Char"/>
    <w:link w:val="899"/>
    <w:uiPriority w:val="9"/>
    <w:qFormat/>
    <w:rPr>
      <w:rFonts w:ascii="宋体" w:hAnsi="宋体" w:eastAsia="宋体"/>
      <w:sz w:val="28"/>
      <w:lang w:val="en-US" w:eastAsia="zh-CN" w:bidi="ar-SA"/>
    </w:rPr>
  </w:style>
  <w:style w:type="character" w:styleId="965" w:customStyle="1">
    <w:name w:val="标题 4 Char"/>
    <w:link w:val="900"/>
    <w:uiPriority w:val="0"/>
    <w:qFormat/>
    <w:rPr>
      <w:b/>
      <w:bCs/>
      <w:sz w:val="18"/>
    </w:rPr>
  </w:style>
  <w:style w:type="character" w:styleId="966" w:customStyle="1">
    <w:name w:val="标题 5 Char"/>
    <w:link w:val="901"/>
    <w:uiPriority w:val="0"/>
    <w:qFormat/>
    <w:rPr>
      <w:rFonts w:eastAsia="宋体"/>
      <w:b/>
      <w:bCs/>
      <w:sz w:val="18"/>
      <w:lang w:val="en-US" w:eastAsia="zh-CN" w:bidi="ar-SA"/>
    </w:rPr>
  </w:style>
  <w:style w:type="character" w:styleId="967" w:customStyle="1">
    <w:name w:val="标题 6 Char"/>
    <w:link w:val="902"/>
    <w:uiPriority w:val="0"/>
    <w:qFormat/>
    <w:rPr>
      <w:rFonts w:ascii="Cambria" w:hAnsi="Cambria" w:eastAsia="黑体"/>
      <w:b/>
      <w:bCs/>
      <w:sz w:val="28"/>
      <w:szCs w:val="24"/>
    </w:rPr>
  </w:style>
  <w:style w:type="character" w:styleId="968" w:customStyle="1">
    <w:name w:val="标题 7 Char"/>
    <w:link w:val="903"/>
    <w:uiPriority w:val="0"/>
    <w:qFormat/>
    <w:rPr>
      <w:rFonts w:ascii="Arial" w:hAnsi="Arial" w:cs="Arial"/>
      <w:b/>
      <w:bCs/>
      <w:sz w:val="16"/>
      <w:szCs w:val="16"/>
    </w:rPr>
  </w:style>
  <w:style w:type="character" w:styleId="969" w:customStyle="1">
    <w:name w:val="标题 8 Char"/>
    <w:link w:val="904"/>
    <w:uiPriority w:val="0"/>
    <w:qFormat/>
    <w:rPr>
      <w:b/>
      <w:bCs/>
      <w:sz w:val="24"/>
      <w:szCs w:val="24"/>
    </w:rPr>
  </w:style>
  <w:style w:type="character" w:styleId="970" w:customStyle="1">
    <w:name w:val="标题 9 Char"/>
    <w:link w:val="905"/>
    <w:uiPriority w:val="0"/>
    <w:qFormat/>
    <w:rPr>
      <w:b/>
      <w:bCs/>
      <w:sz w:val="21"/>
      <w:szCs w:val="24"/>
    </w:rPr>
  </w:style>
  <w:style w:type="character" w:styleId="971" w:customStyle="1">
    <w:name w:val="正文缩进 Char"/>
    <w:link w:val="911"/>
    <w:uiPriority w:val="0"/>
    <w:qFormat/>
    <w:rPr>
      <w:sz w:val="21"/>
    </w:rPr>
  </w:style>
  <w:style w:type="character" w:styleId="972" w:customStyle="1">
    <w:name w:val="题注 Char"/>
    <w:link w:val="912"/>
    <w:uiPriority w:val="0"/>
    <w:qFormat/>
    <w:rPr>
      <w:rFonts w:ascii="Arial" w:hAnsi="Arial" w:eastAsia="黑体"/>
    </w:rPr>
  </w:style>
  <w:style w:type="character" w:styleId="973" w:customStyle="1">
    <w:name w:val="批注文字 Char"/>
    <w:link w:val="915"/>
    <w:uiPriority w:val="0"/>
    <w:qFormat/>
    <w:rPr>
      <w:rFonts w:ascii="Calibri" w:hAnsi="Calibri"/>
      <w:sz w:val="21"/>
      <w:szCs w:val="22"/>
    </w:rPr>
  </w:style>
  <w:style w:type="character" w:styleId="974" w:customStyle="1">
    <w:name w:val="正文文本 3 Char"/>
    <w:link w:val="917"/>
    <w:uiPriority w:val="99"/>
    <w:qFormat/>
    <w:rPr>
      <w:rFonts w:ascii="宋体" w:hAnsi="宋体" w:eastAsia="楷体_GB2312"/>
      <w:sz w:val="26"/>
    </w:rPr>
  </w:style>
  <w:style w:type="character" w:styleId="975" w:customStyle="1">
    <w:name w:val="正文文本 Char"/>
    <w:link w:val="918"/>
    <w:uiPriority w:val="0"/>
    <w:qFormat/>
    <w:rPr>
      <w:rFonts w:ascii="楷体_GB2312" w:hAnsi="Arial" w:eastAsia="楷体_GB2312"/>
      <w:sz w:val="28"/>
    </w:rPr>
  </w:style>
  <w:style w:type="character" w:styleId="976" w:customStyle="1">
    <w:name w:val="正文文本缩进 Char"/>
    <w:link w:val="919"/>
    <w:uiPriority w:val="99"/>
    <w:qFormat/>
    <w:rPr>
      <w:rFonts w:ascii="宋体" w:eastAsia="宋体"/>
      <w:sz w:val="28"/>
      <w:lang w:val="en-US" w:eastAsia="zh-CN" w:bidi="ar-SA"/>
    </w:rPr>
  </w:style>
  <w:style w:type="character" w:styleId="977" w:customStyle="1">
    <w:name w:val="纯文本 Char1"/>
    <w:link w:val="924"/>
    <w:uiPriority w:val="0"/>
    <w:qFormat/>
    <w:rPr>
      <w:rFonts w:ascii="宋体" w:hAnsi="Courier New" w:eastAsia="宋体"/>
      <w:sz w:val="21"/>
      <w:lang w:val="en-US" w:eastAsia="zh-CN" w:bidi="ar-SA"/>
    </w:rPr>
  </w:style>
  <w:style w:type="character" w:styleId="978" w:customStyle="1">
    <w:name w:val="日期 Char"/>
    <w:link w:val="927"/>
    <w:uiPriority w:val="0"/>
    <w:qFormat/>
    <w:rPr>
      <w:rFonts w:ascii="宋体"/>
      <w:sz w:val="28"/>
    </w:rPr>
  </w:style>
  <w:style w:type="character" w:styleId="979" w:customStyle="1">
    <w:name w:val="正文文本缩进 2 Char"/>
    <w:link w:val="928"/>
    <w:uiPriority w:val="99"/>
    <w:qFormat/>
    <w:rPr>
      <w:sz w:val="24"/>
    </w:rPr>
  </w:style>
  <w:style w:type="character" w:styleId="980" w:customStyle="1">
    <w:name w:val="批注框文本 Char"/>
    <w:link w:val="929"/>
    <w:uiPriority w:val="0"/>
    <w:qFormat/>
    <w:rPr>
      <w:rFonts w:ascii="Calibri" w:hAnsi="Calibri" w:eastAsia="宋体"/>
      <w:sz w:val="18"/>
      <w:szCs w:val="18"/>
      <w:lang w:val="en-US" w:eastAsia="zh-CN" w:bidi="ar-SA"/>
    </w:rPr>
  </w:style>
  <w:style w:type="character" w:styleId="981" w:customStyle="1">
    <w:name w:val="页脚 Char"/>
    <w:link w:val="930"/>
    <w:uiPriority w:val="99"/>
    <w:qFormat/>
    <w:rPr>
      <w:rFonts w:eastAsia="宋体"/>
      <w:sz w:val="18"/>
      <w:lang w:val="en-US" w:eastAsia="zh-CN" w:bidi="ar-SA"/>
    </w:rPr>
  </w:style>
  <w:style w:type="character" w:styleId="982" w:customStyle="1">
    <w:name w:val="页眉 Char"/>
    <w:link w:val="931"/>
    <w:uiPriority w:val="99"/>
    <w:qFormat/>
    <w:rPr>
      <w:rFonts w:eastAsia="宋体"/>
      <w:sz w:val="18"/>
      <w:lang w:val="en-US" w:eastAsia="zh-CN" w:bidi="ar-SA"/>
    </w:rPr>
  </w:style>
  <w:style w:type="character" w:styleId="983" w:customStyle="1">
    <w:name w:val="签名 Char"/>
    <w:link w:val="932"/>
    <w:uiPriority w:val="0"/>
    <w:qFormat/>
    <w:rPr>
      <w:rFonts w:eastAsia="仿宋_GB2312"/>
      <w:sz w:val="24"/>
    </w:rPr>
  </w:style>
  <w:style w:type="character" w:styleId="984" w:customStyle="1">
    <w:name w:val="副标题 Char"/>
    <w:link w:val="937"/>
    <w:uiPriority w:val="0"/>
    <w:qFormat/>
    <w:rPr>
      <w:rFonts w:ascii="Cambria" w:hAnsi="Cambria" w:eastAsia="宋体"/>
      <w:b/>
      <w:bCs/>
      <w:sz w:val="32"/>
      <w:szCs w:val="32"/>
      <w:lang w:val="en-US" w:eastAsia="zh-CN" w:bidi="ar-SA"/>
    </w:rPr>
  </w:style>
  <w:style w:type="character" w:styleId="985" w:customStyle="1">
    <w:name w:val="正文文本缩进 3 Char"/>
    <w:link w:val="940"/>
    <w:uiPriority w:val="0"/>
    <w:qFormat/>
    <w:rPr>
      <w:b/>
      <w:bCs/>
      <w:sz w:val="28"/>
      <w:u w:val="single"/>
    </w:rPr>
  </w:style>
  <w:style w:type="character" w:styleId="986" w:customStyle="1">
    <w:name w:val="正文文本 2 Char"/>
    <w:link w:val="946"/>
    <w:uiPriority w:val="0"/>
    <w:qFormat/>
    <w:rPr>
      <w:sz w:val="21"/>
    </w:rPr>
  </w:style>
  <w:style w:type="character" w:styleId="987" w:customStyle="1">
    <w:name w:val="HTML 预设格式 Char"/>
    <w:link w:val="947"/>
    <w:uiPriority w:val="0"/>
    <w:qFormat/>
    <w:rPr>
      <w:rFonts w:ascii="黑体" w:hAnsi="Courier New" w:eastAsia="黑体" w:cs="Times New Roman"/>
      <w:szCs w:val="24"/>
    </w:rPr>
  </w:style>
  <w:style w:type="character" w:styleId="988" w:customStyle="1">
    <w:name w:val="标题 Char"/>
    <w:link w:val="950"/>
    <w:uiPriority w:val="0"/>
    <w:qFormat/>
    <w:rPr>
      <w:rFonts w:ascii="Cambria" w:hAnsi="Cambria" w:eastAsia="宋体"/>
      <w:b/>
      <w:bCs/>
      <w:sz w:val="32"/>
      <w:szCs w:val="32"/>
      <w:lang w:val="en-US" w:eastAsia="zh-CN" w:bidi="ar-SA"/>
    </w:rPr>
  </w:style>
  <w:style w:type="character" w:styleId="989" w:customStyle="1">
    <w:name w:val="批注主题 Char"/>
    <w:link w:val="951"/>
    <w:uiPriority w:val="0"/>
    <w:qFormat/>
    <w:rPr>
      <w:rFonts w:ascii="Calibri" w:hAnsi="Calibri" w:eastAsia="楷体_GB2312"/>
      <w:b/>
      <w:bCs/>
      <w:sz w:val="26"/>
      <w:szCs w:val="22"/>
    </w:rPr>
  </w:style>
  <w:style w:type="paragraph" w:styleId="990" w:customStyle="1">
    <w:name w:val="段"/>
    <w:next w:val="89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91" w:customStyle="1">
    <w:name w:val="font01"/>
    <w:uiPriority w:val="0"/>
    <w:qFormat/>
    <w:rPr>
      <w:rFonts w:hint="eastAsia" w:ascii="宋体" w:hAnsi="宋体" w:eastAsia="宋体" w:cs="宋体"/>
      <w:color w:val="000000"/>
      <w:sz w:val="24"/>
      <w:szCs w:val="24"/>
      <w:u w:val="none"/>
    </w:rPr>
  </w:style>
  <w:style w:type="character" w:styleId="992" w:customStyle="1">
    <w:name w:val="font71"/>
    <w:basedOn w:val="906"/>
    <w:uiPriority w:val="0"/>
    <w:qFormat/>
    <w:rPr>
      <w:rFonts w:hint="eastAsia" w:ascii="宋体" w:hAnsi="宋体" w:eastAsia="宋体" w:cs="宋体"/>
      <w:color w:val="000000"/>
      <w:sz w:val="18"/>
      <w:szCs w:val="18"/>
      <w:u w:val="none"/>
    </w:rPr>
  </w:style>
  <w:style w:type="character" w:styleId="993" w:customStyle="1">
    <w:name w:val="列出段落 Char"/>
    <w:link w:val="994"/>
    <w:uiPriority w:val="34"/>
    <w:qFormat/>
    <w:rPr>
      <w:rFonts w:ascii="Calibri" w:hAnsi="Calibri"/>
      <w:sz w:val="24"/>
    </w:rPr>
  </w:style>
  <w:style w:type="paragraph" w:styleId="994">
    <w:name w:val="List Paragraph"/>
    <w:basedOn w:val="896"/>
    <w:link w:val="993"/>
    <w:uiPriority w:val="34"/>
    <w:qFormat/>
    <w:pPr>
      <w:ind w:firstLine="420"/>
      <w:spacing w:line="360" w:lineRule="auto"/>
    </w:pPr>
    <w:rPr>
      <w:rFonts w:ascii="Calibri" w:hAnsi="Calibri"/>
      <w:sz w:val="24"/>
    </w:rPr>
  </w:style>
  <w:style w:type="character" w:styleId="995" w:customStyle="1">
    <w:name w:val="zi61"/>
    <w:uiPriority w:val="0"/>
    <w:qFormat/>
    <w:rPr>
      <w:b/>
      <w:bCs/>
      <w:color w:val="ff0000"/>
      <w:sz w:val="24"/>
      <w:szCs w:val="24"/>
      <w:u w:val="none"/>
    </w:rPr>
  </w:style>
  <w:style w:type="character" w:styleId="996" w:customStyle="1">
    <w:name w:val="font12"/>
    <w:basedOn w:val="906"/>
    <w:uiPriority w:val="0"/>
    <w:qFormat/>
    <w:rPr>
      <w:rFonts w:hint="eastAsia" w:ascii="宋体" w:hAnsi="宋体" w:eastAsia="宋体" w:cs="宋体"/>
      <w:color w:val="000000"/>
      <w:sz w:val="20"/>
      <w:szCs w:val="20"/>
      <w:u w:val="none"/>
    </w:rPr>
  </w:style>
  <w:style w:type="character" w:styleId="997" w:customStyle="1">
    <w:name w:val="Plain Text Char Char"/>
    <w:link w:val="998"/>
    <w:uiPriority w:val="0"/>
    <w:qFormat/>
    <w:rPr>
      <w:rFonts w:ascii="宋体" w:hAnsi="Courier New" w:eastAsia="楷体_GB2312"/>
      <w:sz w:val="26"/>
    </w:rPr>
  </w:style>
  <w:style w:type="paragraph" w:styleId="998" w:customStyle="1">
    <w:name w:val="Plain Text"/>
    <w:basedOn w:val="896"/>
    <w:link w:val="997"/>
    <w:uiPriority w:val="0"/>
    <w:qFormat/>
    <w:rPr>
      <w:rFonts w:ascii="宋体" w:hAnsi="Courier New" w:eastAsia="楷体_GB2312"/>
      <w:sz w:val="26"/>
    </w:rPr>
  </w:style>
  <w:style w:type="character" w:styleId="999" w:customStyle="1">
    <w:name w:val="font11"/>
    <w:uiPriority w:val="0"/>
    <w:qFormat/>
    <w:rPr>
      <w:rFonts w:hint="eastAsia" w:ascii="宋体" w:hAnsi="宋体" w:eastAsia="宋体" w:cs="宋体"/>
      <w:color w:val="000000"/>
      <w:sz w:val="20"/>
      <w:szCs w:val="20"/>
      <w:u w:val="none"/>
    </w:rPr>
  </w:style>
  <w:style w:type="character" w:styleId="1000" w:customStyle="1">
    <w:name w:val="正文缩进 Char1"/>
    <w:uiPriority w:val="0"/>
    <w:qFormat/>
    <w:rPr>
      <w:rFonts w:eastAsia="楷体_GB2312"/>
      <w:sz w:val="24"/>
    </w:rPr>
  </w:style>
  <w:style w:type="character" w:styleId="1001" w:customStyle="1">
    <w:name w:val="纯文本 Char"/>
    <w:uiPriority w:val="0"/>
    <w:qFormat/>
    <w:rPr>
      <w:rFonts w:ascii="宋体" w:hAnsi="Courier New" w:eastAsia="楷体_GB2312"/>
      <w:sz w:val="28"/>
      <w:lang w:val="en-US" w:eastAsia="zh-CN" w:bidi="ar-SA"/>
    </w:rPr>
  </w:style>
  <w:style w:type="character" w:styleId="1002" w:customStyle="1">
    <w:name w:val="ih151"/>
    <w:uiPriority w:val="0"/>
    <w:qFormat/>
    <w:rPr>
      <w:color w:val="666666"/>
      <w:sz w:val="18"/>
      <w:szCs w:val="18"/>
      <w:u w:val="none"/>
    </w:rPr>
  </w:style>
  <w:style w:type="character" w:styleId="1003" w:customStyle="1">
    <w:name w:val="Plain Text Char"/>
    <w:uiPriority w:val="0"/>
    <w:qFormat/>
    <w:rPr>
      <w:rFonts w:ascii="宋体" w:hAnsi="Courier New" w:eastAsia="楷体_GB2312"/>
      <w:sz w:val="26"/>
    </w:rPr>
  </w:style>
  <w:style w:type="character" w:styleId="1004" w:customStyle="1">
    <w:name w:val="Body Text Char"/>
    <w:uiPriority w:val="0"/>
    <w:qFormat/>
    <w:rPr>
      <w:rFonts w:ascii="楷体_GB2312" w:hAnsi="Arial" w:eastAsia="楷体_GB2312" w:cs="Times New Roman"/>
      <w:sz w:val="28"/>
      <w:szCs w:val="20"/>
    </w:rPr>
  </w:style>
  <w:style w:type="character" w:styleId="1005" w:customStyle="1">
    <w:name w:val="fontstyle01"/>
    <w:basedOn w:val="906"/>
    <w:uiPriority w:val="0"/>
    <w:qFormat/>
    <w:rPr>
      <w:rFonts w:hint="eastAsia" w:ascii="宋体" w:hAnsi="宋体" w:eastAsia="宋体"/>
      <w:color w:val="333333"/>
      <w:sz w:val="24"/>
      <w:szCs w:val="24"/>
    </w:rPr>
  </w:style>
  <w:style w:type="character" w:styleId="1006" w:customStyle="1">
    <w:name w:val="font31"/>
    <w:basedOn w:val="906"/>
    <w:uiPriority w:val="0"/>
    <w:qFormat/>
    <w:rPr>
      <w:rFonts w:hint="eastAsia" w:ascii="黑体" w:eastAsia="黑体" w:cs="黑体"/>
      <w:color w:val="000000"/>
      <w:sz w:val="20"/>
      <w:szCs w:val="20"/>
      <w:u w:val="none"/>
    </w:rPr>
  </w:style>
  <w:style w:type="character" w:styleId="1007" w:customStyle="1">
    <w:name w:val="王兴华的论文正文 Char"/>
    <w:link w:val="1008"/>
    <w:uiPriority w:val="0"/>
    <w:qFormat/>
    <w:rPr>
      <w:rFonts w:eastAsia="宋体"/>
      <w:sz w:val="24"/>
      <w:szCs w:val="24"/>
      <w:lang w:val="en-US" w:eastAsia="zh-CN" w:bidi="ar-SA"/>
    </w:rPr>
  </w:style>
  <w:style w:type="paragraph" w:styleId="1008" w:customStyle="1">
    <w:name w:val="王兴华的论文正文"/>
    <w:basedOn w:val="911"/>
    <w:link w:val="1007"/>
    <w:uiPriority w:val="0"/>
    <w:qFormat/>
    <w:pPr>
      <w:ind w:firstLine="200"/>
      <w:spacing w:line="360" w:lineRule="auto"/>
    </w:pPr>
    <w:rPr>
      <w:sz w:val="24"/>
      <w:szCs w:val="24"/>
    </w:rPr>
  </w:style>
  <w:style w:type="character" w:styleId="1009" w:customStyle="1">
    <w:name w:val="font22"/>
    <w:basedOn w:val="906"/>
    <w:uiPriority w:val="0"/>
    <w:qFormat/>
    <w:rPr>
      <w:rFonts w:hint="eastAsia" w:ascii="宋体" w:hAnsi="宋体" w:eastAsia="宋体" w:cs="宋体"/>
      <w:color w:val="000000"/>
      <w:sz w:val="21"/>
      <w:szCs w:val="21"/>
      <w:u w:val="none"/>
    </w:rPr>
  </w:style>
  <w:style w:type="character" w:styleId="1010" w:customStyle="1">
    <w:name w:val="正文2 字符"/>
    <w:link w:val="1011"/>
    <w:uiPriority w:val="0"/>
    <w:qFormat/>
    <w:rPr>
      <w:sz w:val="24"/>
      <w:szCs w:val="24"/>
    </w:rPr>
  </w:style>
  <w:style w:type="paragraph" w:styleId="1011" w:customStyle="1">
    <w:name w:val="正文2"/>
    <w:basedOn w:val="896"/>
    <w:link w:val="1010"/>
    <w:uiPriority w:val="0"/>
    <w:qFormat/>
    <w:pPr>
      <w:ind w:firstLine="420"/>
      <w:spacing w:line="360" w:lineRule="auto"/>
    </w:pPr>
    <w:rPr>
      <w:sz w:val="24"/>
      <w:szCs w:val="24"/>
    </w:rPr>
  </w:style>
  <w:style w:type="character" w:styleId="1012" w:customStyle="1">
    <w:name w:val="方案正文 Char"/>
    <w:link w:val="1013"/>
    <w:uiPriority w:val="0"/>
    <w:qFormat/>
    <w:rPr>
      <w:sz w:val="24"/>
    </w:rPr>
  </w:style>
  <w:style w:type="paragraph" w:styleId="1013" w:customStyle="1">
    <w:name w:val="方案正文"/>
    <w:basedOn w:val="896"/>
    <w:link w:val="1012"/>
    <w:uiPriority w:val="0"/>
    <w:qFormat/>
    <w:pPr>
      <w:spacing w:line="440" w:lineRule="atLeast"/>
    </w:pPr>
    <w:rPr>
      <w:sz w:val="24"/>
    </w:rPr>
  </w:style>
  <w:style w:type="character" w:styleId="1014" w:customStyle="1">
    <w:name w:val="font21"/>
    <w:basedOn w:val="906"/>
    <w:uiPriority w:val="0"/>
    <w:qFormat/>
    <w:rPr>
      <w:rFonts w:hint="eastAsia" w:ascii="宋体" w:hAnsi="宋体" w:eastAsia="宋体" w:cs="宋体"/>
      <w:color w:val="000000"/>
      <w:sz w:val="21"/>
      <w:szCs w:val="21"/>
      <w:u w:val="none"/>
    </w:rPr>
  </w:style>
  <w:style w:type="character" w:styleId="1015" w:customStyle="1">
    <w:name w:val="*正文 Char"/>
    <w:link w:val="1016"/>
    <w:uiPriority w:val="0"/>
    <w:qFormat/>
    <w:rPr>
      <w:rFonts w:ascii="宋体" w:hAnsi="宋体" w:eastAsia="宋体" w:cs="Times New Roman"/>
      <w:sz w:val="24"/>
      <w:szCs w:val="24"/>
    </w:rPr>
  </w:style>
  <w:style w:type="paragraph" w:styleId="1016" w:customStyle="1">
    <w:name w:val="*正文"/>
    <w:basedOn w:val="896"/>
    <w:link w:val="1015"/>
    <w:uiPriority w:val="0"/>
    <w:qFormat/>
    <w:pPr>
      <w:ind w:firstLine="200"/>
      <w:spacing w:line="360" w:lineRule="auto"/>
    </w:pPr>
    <w:rPr>
      <w:rFonts w:ascii="宋体" w:hAnsi="宋体"/>
      <w:sz w:val="24"/>
      <w:szCs w:val="24"/>
    </w:rPr>
  </w:style>
  <w:style w:type="character" w:styleId="1017" w:customStyle="1">
    <w:name w:val="_标题3 Char"/>
    <w:link w:val="1018"/>
    <w:uiPriority w:val="0"/>
    <w:qFormat/>
    <w:rPr>
      <w:rFonts w:ascii="Calibri" w:hAnsi="Calibri" w:eastAsia="宋体" w:cs="Times New Roman"/>
      <w:b/>
      <w:sz w:val="28"/>
      <w:szCs w:val="21"/>
    </w:rPr>
  </w:style>
  <w:style w:type="paragraph" w:styleId="1018" w:customStyle="1">
    <w:name w:val="_标题3"/>
    <w:basedOn w:val="896"/>
    <w:next w:val="896"/>
    <w:link w:val="1017"/>
    <w:uiPriority w:val="0"/>
    <w:qFormat/>
    <w:pPr>
      <w:jc w:val="left"/>
      <w:keepNext/>
      <w:spacing w:line="360" w:lineRule="auto"/>
      <w:outlineLvl w:val="2"/>
    </w:pPr>
    <w:rPr>
      <w:rFonts w:ascii="Calibri" w:hAnsi="Calibri"/>
      <w:b/>
      <w:sz w:val="28"/>
      <w:szCs w:val="21"/>
    </w:rPr>
  </w:style>
  <w:style w:type="character" w:styleId="1019" w:customStyle="1">
    <w:name w:val="font122"/>
    <w:basedOn w:val="906"/>
    <w:uiPriority w:val="0"/>
    <w:qFormat/>
    <w:rPr>
      <w:rFonts w:ascii="Calibri" w:hAnsi="Calibri" w:cs="Calibri"/>
      <w:color w:val="000000"/>
      <w:sz w:val="18"/>
      <w:szCs w:val="18"/>
      <w:u w:val="none"/>
    </w:rPr>
  </w:style>
  <w:style w:type="character" w:styleId="1020" w:customStyle="1">
    <w:name w:val="不明显强调1"/>
    <w:uiPriority w:val="19"/>
    <w:qFormat/>
    <w:rPr>
      <w:i/>
      <w:iCs/>
      <w:color w:val="808080"/>
    </w:rPr>
  </w:style>
  <w:style w:type="character" w:styleId="1021" w:customStyle="1">
    <w:name w:val="apple-converted-space"/>
    <w:uiPriority w:val="0"/>
    <w:qFormat/>
  </w:style>
  <w:style w:type="character" w:styleId="1022" w:customStyle="1">
    <w:name w:val="无间隔 Char"/>
    <w:link w:val="1023"/>
    <w:uiPriority w:val="1"/>
    <w:qFormat/>
    <w:rPr>
      <w:sz w:val="22"/>
      <w:szCs w:val="22"/>
      <w:lang w:val="en-US" w:eastAsia="zh-CN" w:bidi="ar-SA"/>
    </w:rPr>
  </w:style>
  <w:style w:type="paragraph" w:styleId="1023" w:customStyle="1">
    <w:name w:val="无间隔1"/>
    <w:link w:val="1022"/>
    <w:uiPriority w:val="1"/>
    <w:qFormat/>
    <w:rPr>
      <w:rFonts w:ascii="Times New Roman" w:hAnsi="Times New Roman" w:eastAsia="宋体" w:cs="Times New Roman"/>
      <w:sz w:val="22"/>
      <w:szCs w:val="22"/>
      <w:lang w:val="en-US" w:eastAsia="zh-CN" w:bidi="ar-SA"/>
    </w:rPr>
  </w:style>
  <w:style w:type="character" w:styleId="1024" w:customStyle="1">
    <w:name w:val="font111"/>
    <w:basedOn w:val="906"/>
    <w:uiPriority w:val="0"/>
    <w:qFormat/>
    <w:rPr>
      <w:rFonts w:hint="eastAsia" w:ascii="宋体" w:hAnsi="宋体" w:eastAsia="宋体" w:cs="宋体"/>
      <w:color w:val="000000"/>
      <w:sz w:val="18"/>
      <w:szCs w:val="18"/>
      <w:u w:val="none"/>
    </w:rPr>
  </w:style>
  <w:style w:type="character" w:styleId="1025" w:customStyle="1">
    <w:name w:val="font161"/>
    <w:basedOn w:val="906"/>
    <w:uiPriority w:val="0"/>
    <w:qFormat/>
    <w:rPr>
      <w:rFonts w:hint="eastAsia" w:ascii="宋体" w:hAnsi="宋体" w:eastAsia="宋体" w:cs="宋体"/>
      <w:color w:val="000000"/>
      <w:sz w:val="20"/>
      <w:szCs w:val="20"/>
      <w:u w:val="none"/>
    </w:rPr>
  </w:style>
  <w:style w:type="character" w:styleId="1026" w:customStyle="1">
    <w:name w:val="fontstyle21"/>
    <w:basedOn w:val="906"/>
    <w:uiPriority w:val="0"/>
    <w:qFormat/>
    <w:rPr>
      <w:rFonts w:hint="default" w:ascii="Times New Roman" w:hAnsi="Times New Roman" w:cs="Times New Roman"/>
      <w:color w:val="333333"/>
      <w:sz w:val="24"/>
      <w:szCs w:val="24"/>
    </w:rPr>
  </w:style>
  <w:style w:type="character" w:styleId="1027" w:customStyle="1">
    <w:name w:val="列出段落 字符"/>
    <w:link w:val="1028"/>
    <w:uiPriority w:val="34"/>
    <w:qFormat/>
    <w:rPr>
      <w:sz w:val="21"/>
      <w:szCs w:val="24"/>
    </w:rPr>
  </w:style>
  <w:style w:type="paragraph" w:styleId="1028" w:customStyle="1">
    <w:name w:val="列出段落1"/>
    <w:basedOn w:val="896"/>
    <w:link w:val="1027"/>
    <w:uiPriority w:val="34"/>
    <w:qFormat/>
    <w:pPr>
      <w:ind w:firstLine="420"/>
    </w:pPr>
    <w:rPr>
      <w:szCs w:val="24"/>
    </w:rPr>
  </w:style>
  <w:style w:type="character" w:styleId="1029" w:customStyle="1">
    <w:name w:val="明显强调1"/>
    <w:uiPriority w:val="21"/>
    <w:qFormat/>
    <w:rPr>
      <w:b/>
      <w:bCs/>
      <w:i/>
      <w:iCs/>
      <w:color w:val="4f81bd"/>
    </w:rPr>
  </w:style>
  <w:style w:type="character" w:styleId="1030" w:customStyle="1">
    <w:name w:val="font81"/>
    <w:basedOn w:val="906"/>
    <w:uiPriority w:val="0"/>
    <w:qFormat/>
    <w:rPr>
      <w:rFonts w:hint="eastAsia" w:ascii="宋体" w:hAnsi="宋体" w:eastAsia="宋体" w:cs="宋体"/>
      <w:b/>
      <w:color w:val="000000"/>
      <w:sz w:val="18"/>
      <w:szCs w:val="18"/>
      <w:u w:val="none"/>
    </w:rPr>
  </w:style>
  <w:style w:type="paragraph" w:styleId="1031" w:customStyle="1">
    <w:name w:val="表格正文"/>
    <w:basedOn w:val="896"/>
    <w:uiPriority w:val="0"/>
    <w:qFormat/>
    <w:rPr>
      <w:rFonts w:ascii="等线" w:hAnsi="等线"/>
      <w:szCs w:val="21"/>
    </w:rPr>
  </w:style>
  <w:style w:type="paragraph" w:styleId="1032" w:customStyle="1">
    <w:name w:val="标题4"/>
    <w:basedOn w:val="896"/>
    <w:uiPriority w:val="0"/>
    <w:qFormat/>
    <w:pPr>
      <w:ind w:left="851" w:hanging="851"/>
      <w:spacing w:line="360" w:lineRule="auto"/>
      <w:outlineLvl w:val="3"/>
    </w:pPr>
    <w:rPr>
      <w:rFonts w:ascii="Times New Roman" w:hAnsi="Times New Roman" w:eastAsia="宋体" w:cs="Times New Roman"/>
      <w:sz w:val="24"/>
      <w:szCs w:val="24"/>
    </w:rPr>
  </w:style>
  <w:style w:type="paragraph" w:styleId="1033" w:customStyle="1">
    <w:name w:val="B"/>
    <w:basedOn w:val="896"/>
    <w:next w:val="1034"/>
    <w:uiPriority w:val="0"/>
    <w:qFormat/>
    <w:pPr>
      <w:numPr>
        <w:ilvl w:val="1"/>
        <w:numId w:val="2"/>
      </w:numPr>
      <w:jc w:val="left"/>
      <w:spacing w:line="360" w:lineRule="auto"/>
      <w:outlineLvl w:val="1"/>
    </w:pPr>
    <w:rPr>
      <w:rFonts w:eastAsia="黑体"/>
      <w:sz w:val="28"/>
    </w:rPr>
  </w:style>
  <w:style w:type="paragraph" w:styleId="1034" w:customStyle="1">
    <w:name w:val="D"/>
    <w:basedOn w:val="896"/>
    <w:uiPriority w:val="0"/>
    <w:qFormat/>
    <w:pPr>
      <w:numPr>
        <w:ilvl w:val="3"/>
        <w:numId w:val="2"/>
      </w:numPr>
      <w:jc w:val="left"/>
      <w:spacing w:line="360" w:lineRule="auto"/>
      <w:outlineLvl w:val="3"/>
    </w:pPr>
    <w:rPr>
      <w:rFonts w:eastAsia="宋体"/>
      <w:b/>
      <w:sz w:val="22"/>
    </w:rPr>
  </w:style>
  <w:style w:type="paragraph" w:styleId="1035" w:customStyle="1">
    <w:name w:val="A正文小四"/>
    <w:basedOn w:val="896"/>
    <w:uiPriority w:val="0"/>
    <w:qFormat/>
    <w:pPr>
      <w:ind w:firstLine="200"/>
      <w:spacing w:line="360" w:lineRule="auto"/>
    </w:pPr>
    <w:rPr>
      <w:rFonts w:cs="Times New Roman"/>
      <w:sz w:val="24"/>
    </w:rPr>
  </w:style>
  <w:style w:type="paragraph" w:styleId="1036" w:customStyle="1">
    <w:name w:val="正文文本缩进 21"/>
    <w:basedOn w:val="896"/>
    <w:uiPriority w:val="0"/>
    <w:qFormat/>
    <w:pPr>
      <w:ind w:left="-61" w:firstLine="458"/>
      <w:spacing w:line="360" w:lineRule="auto"/>
    </w:pPr>
    <w:rPr>
      <w:rFonts w:ascii="宋体" w:hAnsi="宋体"/>
      <w:sz w:val="20"/>
    </w:rPr>
  </w:style>
  <w:style w:type="paragraph" w:styleId="1037" w:customStyle="1">
    <w:name w:val="纯文本1"/>
    <w:basedOn w:val="896"/>
    <w:uiPriority w:val="0"/>
    <w:qFormat/>
    <w:rPr>
      <w:rFonts w:ascii="宋体" w:hAnsi="Courier New" w:eastAsia="楷体_GB2312"/>
      <w:sz w:val="26"/>
    </w:rPr>
  </w:style>
  <w:style w:type="paragraph" w:styleId="1038" w:customStyle="1">
    <w:name w:val="p0"/>
    <w:basedOn w:val="896"/>
    <w:uiPriority w:val="0"/>
    <w:qFormat/>
    <w:pPr>
      <w:jc w:val="left"/>
      <w:widowControl/>
    </w:pPr>
    <w:rPr>
      <w:rFonts w:eastAsia="宋体"/>
      <w:sz w:val="24"/>
      <w:szCs w:val="24"/>
    </w:rPr>
  </w:style>
  <w:style w:type="paragraph" w:styleId="1039" w:customStyle="1">
    <w:name w:val="样式1"/>
    <w:basedOn w:val="896"/>
    <w:uiPriority w:val="0"/>
    <w:qFormat/>
    <w:pPr>
      <w:numPr>
        <w:ilvl w:val="0"/>
        <w:numId w:val="3"/>
      </w:numPr>
    </w:pPr>
    <w:rPr>
      <w:rFonts w:ascii="宋体" w:hAnsi="宋体"/>
      <w:szCs w:val="21"/>
    </w:rPr>
  </w:style>
  <w:style w:type="paragraph" w:styleId="1040" w:customStyle="1">
    <w:name w:val="Char Char Char Char"/>
    <w:basedOn w:val="914"/>
    <w:uiPriority w:val="0"/>
    <w:qFormat/>
    <w:pPr>
      <w:spacing w:line="360" w:lineRule="auto"/>
    </w:pPr>
    <w:rPr>
      <w:rFonts w:ascii="Tahoma" w:hAnsi="Tahoma"/>
      <w:sz w:val="24"/>
      <w:szCs w:val="24"/>
    </w:rPr>
  </w:style>
  <w:style w:type="paragraph" w:styleId="1041" w:customStyle="1">
    <w:name w:val="样式 首行缩进:  0 字符"/>
    <w:basedOn w:val="896"/>
    <w:uiPriority w:val="0"/>
    <w:qFormat/>
    <w:pPr>
      <w:ind w:firstLine="200"/>
      <w:spacing w:line="360" w:lineRule="auto"/>
    </w:pPr>
    <w:rPr>
      <w:rFonts w:ascii="Arial" w:hAnsi="Arial" w:eastAsia="宋体" w:cs="宋体"/>
      <w:sz w:val="24"/>
      <w:szCs w:val="20"/>
    </w:rPr>
  </w:style>
  <w:style w:type="paragraph" w:styleId="1042"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043" w:customStyle="1">
    <w:name w:val="纯文本3"/>
    <w:basedOn w:val="896"/>
    <w:uiPriority w:val="0"/>
    <w:qFormat/>
    <w:rPr>
      <w:rFonts w:ascii="宋体" w:hAnsi="Courier New" w:eastAsia="楷体_GB2312"/>
      <w:sz w:val="26"/>
    </w:rPr>
  </w:style>
  <w:style w:type="paragraph" w:styleId="1044" w:customStyle="1">
    <w:name w:val="font0"/>
    <w:basedOn w:val="896"/>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45" w:customStyle="1">
    <w:name w:val="Heading 3"/>
    <w:basedOn w:val="896"/>
    <w:uiPriority w:val="1"/>
    <w:qFormat/>
    <w:pPr>
      <w:ind w:left="600"/>
      <w:jc w:val="left"/>
      <w:spacing w:before="1"/>
      <w:outlineLvl w:val="3"/>
    </w:pPr>
    <w:rPr>
      <w:rFonts w:ascii="仿宋" w:hAnsi="仿宋" w:eastAsia="仿宋" w:cs="仿宋"/>
      <w:b/>
      <w:bCs/>
      <w:sz w:val="24"/>
      <w:szCs w:val="24"/>
    </w:rPr>
  </w:style>
  <w:style w:type="paragraph" w:styleId="1046" w:customStyle="1">
    <w:name w:val="style1"/>
    <w:basedOn w:val="896"/>
    <w:uiPriority w:val="0"/>
    <w:qFormat/>
    <w:pPr>
      <w:jc w:val="left"/>
      <w:spacing w:before="100" w:beforeAutospacing="1" w:after="100" w:afterAutospacing="1"/>
      <w:widowControl/>
    </w:pPr>
    <w:rPr>
      <w:rFonts w:ascii="宋体" w:hAnsi="宋体" w:cs="宋体"/>
      <w:sz w:val="24"/>
      <w:szCs w:val="24"/>
    </w:rPr>
  </w:style>
  <w:style w:type="paragraph" w:styleId="1047" w:customStyle="1">
    <w:name w:val="正文首行缩进两字符"/>
    <w:basedOn w:val="896"/>
    <w:uiPriority w:val="0"/>
    <w:qFormat/>
    <w:pPr>
      <w:ind w:firstLine="200"/>
      <w:spacing w:line="360" w:lineRule="auto"/>
    </w:pPr>
    <w:rPr>
      <w:szCs w:val="24"/>
    </w:rPr>
  </w:style>
  <w:style w:type="paragraph" w:styleId="1048" w:customStyle="1">
    <w:name w:val="Char"/>
    <w:basedOn w:val="896"/>
    <w:uiPriority w:val="0"/>
    <w:qFormat/>
    <w:rPr>
      <w:rFonts w:ascii="Tahoma" w:hAnsi="Tahoma"/>
      <w:sz w:val="24"/>
    </w:rPr>
  </w:style>
  <w:style w:type="paragraph" w:styleId="1049" w:customStyle="1">
    <w:name w:val="正文序号 3"/>
    <w:basedOn w:val="896"/>
    <w:uiPriority w:val="0"/>
    <w:qFormat/>
    <w:pPr>
      <w:ind w:left="1259" w:hanging="420"/>
      <w:spacing w:before="60"/>
      <w:tabs>
        <w:tab w:val="left" w:pos="1259" w:leader="none"/>
      </w:tabs>
    </w:pPr>
    <w:rPr>
      <w:szCs w:val="24"/>
    </w:rPr>
  </w:style>
  <w:style w:type="paragraph" w:styleId="1050" w:customStyle="1">
    <w:name w:val="C"/>
    <w:basedOn w:val="896"/>
    <w:next w:val="896"/>
    <w:uiPriority w:val="0"/>
    <w:qFormat/>
    <w:pPr>
      <w:numPr>
        <w:ilvl w:val="2"/>
        <w:numId w:val="2"/>
      </w:numPr>
      <w:jc w:val="left"/>
      <w:spacing w:line="360" w:lineRule="auto"/>
      <w:outlineLvl w:val="2"/>
    </w:pPr>
    <w:rPr>
      <w:rFonts w:eastAsia="黑体"/>
      <w:color w:val="000000"/>
      <w:sz w:val="24"/>
    </w:rPr>
  </w:style>
  <w:style w:type="paragraph" w:styleId="1051" w:customStyle="1">
    <w:name w:val=" Char"/>
    <w:basedOn w:val="896"/>
    <w:uiPriority w:val="0"/>
    <w:qFormat/>
    <w:pPr>
      <w:numPr>
        <w:ilvl w:val="0"/>
        <w:numId w:val="4"/>
      </w:numPr>
    </w:pPr>
    <w:rPr>
      <w:sz w:val="24"/>
      <w:szCs w:val="24"/>
    </w:rPr>
  </w:style>
  <w:style w:type="paragraph" w:styleId="1052" w:customStyle="1">
    <w:name w:val="纯文本12"/>
    <w:basedOn w:val="896"/>
    <w:uiPriority w:val="0"/>
    <w:qFormat/>
    <w:rPr>
      <w:rFonts w:ascii="宋体" w:hAnsi="Courier New" w:eastAsia="楷体_GB2312"/>
      <w:sz w:val="26"/>
    </w:rPr>
  </w:style>
  <w:style w:type="paragraph" w:styleId="1053" w:customStyle="1">
    <w:name w:val="A"/>
    <w:basedOn w:val="896"/>
    <w:next w:val="1054"/>
    <w:uiPriority w:val="0"/>
    <w:qFormat/>
    <w:pPr>
      <w:numPr>
        <w:ilvl w:val="0"/>
        <w:numId w:val="2"/>
      </w:numPr>
      <w:jc w:val="center"/>
      <w:spacing w:line="360" w:lineRule="auto"/>
      <w:outlineLvl w:val="0"/>
    </w:pPr>
    <w:rPr>
      <w:rFonts w:eastAsia="黑体"/>
      <w:sz w:val="32"/>
    </w:rPr>
  </w:style>
  <w:style w:type="paragraph" w:styleId="1054" w:customStyle="1">
    <w:name w:val="E 正文"/>
    <w:basedOn w:val="896"/>
    <w:uiPriority w:val="0"/>
    <w:qFormat/>
    <w:pPr>
      <w:ind w:firstLine="200"/>
      <w:jc w:val="left"/>
      <w:spacing w:line="360" w:lineRule="auto"/>
    </w:pPr>
    <w:rPr>
      <w:rFonts w:eastAsia="宋体"/>
      <w:color w:val="000000"/>
      <w:sz w:val="24"/>
    </w:rPr>
  </w:style>
  <w:style w:type="paragraph" w:styleId="1055" w:customStyle="1">
    <w:name w:val="Char Char Char"/>
    <w:basedOn w:val="896"/>
    <w:uiPriority w:val="0"/>
    <w:qFormat/>
    <w:pPr>
      <w:ind w:left="375" w:hanging="375"/>
      <w:tabs>
        <w:tab w:val="left" w:pos="375" w:leader="none"/>
        <w:tab w:val="left" w:pos="1545" w:leader="none"/>
      </w:tabs>
    </w:pPr>
  </w:style>
  <w:style w:type="paragraph" w:styleId="1056"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_Style 161"/>
    <w:basedOn w:val="897"/>
    <w:next w:val="89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58" w:customStyle="1">
    <w:name w:val="列出段落2"/>
    <w:basedOn w:val="896"/>
    <w:uiPriority w:val="99"/>
    <w:qFormat/>
    <w:pPr>
      <w:ind w:firstLine="420"/>
    </w:pPr>
    <w:rPr>
      <w:rFonts w:ascii="Calibri" w:hAnsi="Calibri" w:eastAsia="宋体" w:cs="Times New Roman"/>
      <w:sz w:val="28"/>
      <w:szCs w:val="22"/>
    </w:rPr>
  </w:style>
  <w:style w:type="paragraph" w:styleId="1059" w:customStyle="1">
    <w:name w:val="纯文本4"/>
    <w:basedOn w:val="896"/>
    <w:uiPriority w:val="0"/>
    <w:qFormat/>
    <w:rPr>
      <w:rFonts w:ascii="宋体" w:hAnsi="Courier New" w:eastAsia="楷体_GB2312"/>
      <w:sz w:val="26"/>
    </w:rPr>
  </w:style>
  <w:style w:type="paragraph" w:styleId="1060">
    <w:name w:val="No Spacing"/>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1061" w:customStyle="1">
    <w:name w:val="Plain Text1"/>
    <w:basedOn w:val="896"/>
    <w:uiPriority w:val="0"/>
    <w:qFormat/>
    <w:rPr>
      <w:rFonts w:ascii="宋体" w:hAnsi="Courier New" w:eastAsia="楷体_GB2312"/>
      <w:sz w:val="28"/>
    </w:rPr>
  </w:style>
  <w:style w:type="paragraph" w:styleId="1062" w:customStyle="1">
    <w:name w:val="TOC 标题1"/>
    <w:basedOn w:val="897"/>
    <w:next w:val="89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063" w:customStyle="1">
    <w:name w:val="纯文本5"/>
    <w:basedOn w:val="896"/>
    <w:uiPriority w:val="0"/>
    <w:qFormat/>
    <w:rPr>
      <w:rFonts w:ascii="宋体" w:hAnsi="Courier New"/>
    </w:rPr>
  </w:style>
  <w:style w:type="paragraph" w:styleId="1064" w:customStyle="1">
    <w:name w:val="列表内容"/>
    <w:basedOn w:val="896"/>
    <w:next w:val="896"/>
    <w:uiPriority w:val="0"/>
    <w:qFormat/>
    <w:pPr>
      <w:numPr>
        <w:ilvl w:val="0"/>
        <w:numId w:val="5"/>
      </w:numPr>
      <w:jc w:val="left"/>
      <w:widowControl/>
    </w:pPr>
    <w:rPr>
      <w:sz w:val="18"/>
      <w:szCs w:val="24"/>
    </w:rPr>
  </w:style>
  <w:style w:type="paragraph" w:styleId="1065" w:customStyle="1">
    <w:name w:val="正文序号 2"/>
    <w:basedOn w:val="896"/>
    <w:uiPriority w:val="0"/>
    <w:qFormat/>
    <w:pPr>
      <w:ind w:left="1049" w:hanging="420"/>
      <w:spacing w:before="60"/>
      <w:tabs>
        <w:tab w:val="left" w:pos="1049" w:leader="none"/>
      </w:tabs>
    </w:pPr>
    <w:rPr>
      <w:szCs w:val="24"/>
    </w:rPr>
  </w:style>
  <w:style w:type="paragraph" w:styleId="1066" w:customStyle="1">
    <w:name w:val="纯文本2"/>
    <w:basedOn w:val="896"/>
    <w:uiPriority w:val="0"/>
    <w:qFormat/>
    <w:rPr>
      <w:rFonts w:ascii="宋体" w:hAnsi="Courier New" w:eastAsia="楷体_GB2312"/>
      <w:sz w:val="26"/>
    </w:rPr>
  </w:style>
  <w:style w:type="paragraph" w:styleId="1067" w:customStyle="1">
    <w:name w:val="Item List in Table"/>
    <w:basedOn w:val="896"/>
    <w:uiPriority w:val="0"/>
    <w:qFormat/>
    <w:pPr>
      <w:numPr>
        <w:ilvl w:val="0"/>
        <w:numId w:val="6"/>
      </w:numPr>
      <w:ind w:firstLine="0"/>
      <w:jc w:val="left"/>
    </w:pPr>
    <w:rPr>
      <w:rFonts w:ascii="Tahoma" w:hAnsi="Tahoma" w:eastAsia="宋体" w:cs="Times New Roman"/>
      <w:szCs w:val="21"/>
    </w:rPr>
  </w:style>
  <w:style w:type="paragraph" w:styleId="1068" w:customStyle="1">
    <w:name w:val="Default Paragraph Font Para Char"/>
    <w:basedOn w:val="896"/>
    <w:uiPriority w:val="0"/>
    <w:qFormat/>
    <w:pPr>
      <w:jc w:val="left"/>
      <w:spacing w:after="160" w:line="240" w:lineRule="exact"/>
      <w:widowControl/>
    </w:pPr>
  </w:style>
  <w:style w:type="paragraph" w:styleId="1069" w:customStyle="1">
    <w:name w:val=" Char Char1 Char Char Char Char Char Char Char"/>
    <w:basedOn w:val="896"/>
    <w:uiPriority w:val="0"/>
    <w:qFormat/>
    <w:rPr>
      <w:rFonts w:ascii="Tahoma" w:hAnsi="Tahoma"/>
      <w:sz w:val="24"/>
    </w:rPr>
  </w:style>
  <w:style w:type="paragraph" w:styleId="1070" w:customStyle="1">
    <w:name w:val="表1"/>
    <w:basedOn w:val="896"/>
    <w:uiPriority w:val="0"/>
    <w:qFormat/>
    <w:pPr>
      <w:jc w:val="center"/>
      <w:spacing w:line="360" w:lineRule="auto"/>
    </w:pPr>
    <w:rPr>
      <w:rFonts w:ascii="Arial" w:hAnsi="Arial" w:eastAsia="宋体" w:cs="宋体"/>
      <w:szCs w:val="20"/>
    </w:rPr>
  </w:style>
  <w:style w:type="paragraph" w:styleId="1071" w:customStyle="1">
    <w:name w:val="正文1"/>
    <w:basedOn w:val="896"/>
    <w:next w:val="896"/>
    <w:uiPriority w:val="0"/>
    <w:qFormat/>
    <w:pPr>
      <w:ind w:left="420" w:firstLine="527"/>
      <w:spacing w:before="120" w:line="360" w:lineRule="auto"/>
    </w:pPr>
    <w:rPr>
      <w:rFonts w:ascii="宋体" w:hAnsi="宋体"/>
    </w:rPr>
  </w:style>
  <w:style w:type="paragraph" w:styleId="1072" w:customStyle="1">
    <w:name w:val="_Style 4"/>
    <w:basedOn w:val="896"/>
    <w:uiPriority w:val="34"/>
    <w:qFormat/>
    <w:pPr>
      <w:ind w:firstLine="420"/>
    </w:pPr>
    <w:rPr>
      <w:rFonts w:ascii="Calibri" w:hAnsi="Calibri"/>
      <w:szCs w:val="22"/>
    </w:rPr>
  </w:style>
  <w:style w:type="paragraph" w:styleId="1073" w:customStyle="1">
    <w:name w:val="Char1 Char Char Char"/>
    <w:basedOn w:val="896"/>
    <w:uiPriority w:val="0"/>
    <w:qFormat/>
    <w:rPr>
      <w:rFonts w:ascii="Tahoma" w:hAnsi="Tahoma"/>
      <w:sz w:val="24"/>
    </w:rPr>
  </w:style>
  <w:style w:type="paragraph" w:styleId="1074" w:customStyle="1">
    <w:name w:val="表格形式1"/>
    <w:basedOn w:val="896"/>
    <w:uiPriority w:val="0"/>
    <w:qFormat/>
    <w:pPr>
      <w:jc w:val="left"/>
      <w:spacing w:line="360" w:lineRule="atLeast"/>
    </w:pPr>
    <w:rPr>
      <w:rFonts w:ascii="宋体" w:eastAsia="仿宋_GB2312"/>
      <w:sz w:val="24"/>
      <w:szCs w:val="24"/>
    </w:rPr>
  </w:style>
  <w:style w:type="paragraph" w:styleId="1075" w:customStyle="1">
    <w:name w:val="正文序号 1"/>
    <w:basedOn w:val="896"/>
    <w:uiPriority w:val="0"/>
    <w:qFormat/>
    <w:pPr>
      <w:ind w:left="839" w:hanging="419"/>
      <w:spacing w:before="60"/>
      <w:tabs>
        <w:tab w:val="left" w:pos="839" w:leader="none"/>
      </w:tabs>
    </w:pPr>
    <w:rPr>
      <w:szCs w:val="24"/>
    </w:rPr>
  </w:style>
  <w:style w:type="paragraph" w:styleId="1076" w:customStyle="1">
    <w:name w:val=" Char Char Char"/>
    <w:basedOn w:val="896"/>
    <w:uiPriority w:val="0"/>
    <w:qFormat/>
    <w:pPr>
      <w:numPr>
        <w:ilvl w:val="0"/>
        <w:numId w:val="7"/>
      </w:numPr>
      <w:tabs>
        <w:tab w:val="clear" w:pos="375" w:leader="none"/>
        <w:tab w:val="left" w:pos="1545" w:leader="none"/>
      </w:tabs>
    </w:pPr>
  </w:style>
  <w:style w:type="paragraph" w:styleId="1077" w:customStyle="1">
    <w:name w:val="正文 1.1.1"/>
    <w:basedOn w:val="896"/>
    <w:next w:val="896"/>
    <w:uiPriority w:val="0"/>
    <w:qFormat/>
    <w:pPr>
      <w:spacing w:line="360" w:lineRule="auto"/>
      <w:tabs>
        <w:tab w:val="left" w:pos="851" w:leader="none"/>
      </w:tabs>
      <w:outlineLvl w:val="2"/>
    </w:pPr>
    <w:rPr>
      <w:rFonts w:hint="eastAsia" w:ascii="宋体" w:hAnsi="宋体"/>
      <w:color w:val="ff0000"/>
      <w:sz w:val="28"/>
      <w:szCs w:val="21"/>
    </w:rPr>
  </w:style>
  <w:style w:type="paragraph" w:styleId="1078" w:customStyle="1">
    <w:name w:val="正文 1.1"/>
    <w:basedOn w:val="896"/>
    <w:next w:val="1077"/>
    <w:uiPriority w:val="0"/>
    <w:qFormat/>
    <w:pPr>
      <w:ind w:left="980" w:hanging="980"/>
      <w:spacing w:line="360" w:lineRule="auto"/>
      <w:outlineLvl w:val="1"/>
    </w:pPr>
    <w:rPr>
      <w:rFonts w:hint="eastAsia" w:ascii="仿宋" w:hAnsi="仿宋" w:eastAsia="仿宋"/>
      <w:b/>
      <w:sz w:val="28"/>
      <w:szCs w:val="21"/>
    </w:rPr>
  </w:style>
  <w:style w:type="paragraph" w:styleId="1079" w:customStyle="1">
    <w:name w:val="Plain Text2"/>
    <w:basedOn w:val="896"/>
    <w:uiPriority w:val="99"/>
    <w:qFormat/>
    <w:rPr>
      <w:rFonts w:ascii="宋体" w:hAnsi="Courier New" w:eastAsia="楷体_GB2312"/>
      <w:sz w:val="28"/>
    </w:rPr>
  </w:style>
  <w:style w:type="paragraph" w:styleId="1080" w:customStyle="1">
    <w:name w:val="纯文本7"/>
    <w:basedOn w:val="896"/>
    <w:uiPriority w:val="0"/>
    <w:qFormat/>
    <w:pPr>
      <w:jc w:val="both"/>
      <w:widowControl w:val="off"/>
    </w:pPr>
    <w:rPr>
      <w:rFonts w:ascii="宋体" w:hAnsi="Courier New" w:eastAsia="楷体_GB2312"/>
      <w:sz w:val="26"/>
      <w:szCs w:val="20"/>
    </w:rPr>
  </w:style>
  <w:style w:type="paragraph" w:styleId="1081" w:customStyle="1">
    <w:name w:val="首行缩进"/>
    <w:basedOn w:val="896"/>
    <w:uiPriority w:val="0"/>
    <w:qFormat/>
    <w:pPr>
      <w:ind w:firstLine="480"/>
      <w:jc w:val="left"/>
      <w:spacing w:line="360" w:lineRule="auto"/>
    </w:pPr>
    <w:rPr>
      <w:rFonts w:ascii="宋体" w:hAnsi="宋体" w:eastAsia="楷体_GB2312"/>
      <w:sz w:val="24"/>
      <w:szCs w:val="20"/>
    </w:rPr>
  </w:style>
  <w:style w:type="character" w:styleId="1082" w:customStyle="1">
    <w:name w:val="font41"/>
    <w:basedOn w:val="906"/>
    <w:uiPriority w:val="0"/>
    <w:qFormat/>
    <w:rPr>
      <w:rFonts w:hint="eastAsia" w:ascii="黑体" w:hAnsi="宋体" w:eastAsia="黑体" w:cs="黑体"/>
      <w:color w:val="000000"/>
      <w:sz w:val="20"/>
      <w:szCs w:val="20"/>
      <w:u w:val="none"/>
    </w:rPr>
  </w:style>
  <w:style w:type="paragraph" w:styleId="10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纯文本11"/>
    <w:basedOn w:val="896"/>
    <w:uiPriority w:val="0"/>
    <w:qFormat/>
    <w:pPr>
      <w:jc w:val="left"/>
      <w:widowControl/>
    </w:pPr>
    <w:rPr>
      <w:rFonts w:ascii="宋体" w:hAnsi="Courier New" w:eastAsia="楷体_GB2312"/>
      <w:sz w:val="26"/>
      <w:szCs w:val="24"/>
    </w:rPr>
  </w:style>
  <w:style w:type="paragraph" w:styleId="1085" w:customStyle="1">
    <w:name w:val="_Style 5"/>
    <w:basedOn w:val="897"/>
    <w:next w:val="896"/>
    <w:uiPriority w:val="0"/>
    <w:qFormat/>
    <w:pPr>
      <w:jc w:val="both"/>
      <w:spacing w:line="360" w:lineRule="auto"/>
      <w:outlineLvl w:val="9"/>
    </w:pPr>
    <w:rPr>
      <w:rFonts w:ascii="Calibri" w:hAnsi="Calibri"/>
      <w:sz w:val="36"/>
    </w:rPr>
  </w:style>
  <w:style w:type="character" w:styleId="1086" w:customStyle="1">
    <w:name w:val="font91"/>
    <w:basedOn w:val="906"/>
    <w:uiPriority w:val="0"/>
    <w:qFormat/>
    <w:rPr>
      <w:rFonts w:hint="default" w:ascii="Times New Roman" w:hAnsi="Times New Roman" w:cs="Times New Roman"/>
      <w:color w:val="000000"/>
      <w:sz w:val="20"/>
      <w:szCs w:val="20"/>
      <w:u w:val="none"/>
    </w:rPr>
  </w:style>
  <w:style w:type="character" w:styleId="1087" w:customStyle="1">
    <w:name w:val="font51"/>
    <w:basedOn w:val="906"/>
    <w:uiPriority w:val="0"/>
    <w:qFormat/>
    <w:rPr>
      <w:rFonts w:hint="eastAsia" w:ascii="黑体" w:hAnsi="宋体" w:eastAsia="黑体" w:cs="黑体"/>
      <w:color w:val="000000"/>
      <w:sz w:val="20"/>
      <w:szCs w:val="20"/>
      <w:u w:val="none"/>
    </w:rPr>
  </w:style>
  <w:style w:type="character" w:styleId="1088" w:customStyle="1">
    <w:name w:val="font61"/>
    <w:basedOn w:val="906"/>
    <w:uiPriority w:val="0"/>
    <w:qFormat/>
    <w:rPr>
      <w:rFonts w:hint="eastAsia" w:ascii="仿宋" w:hAnsi="仿宋" w:eastAsia="仿宋" w:cs="仿宋"/>
      <w:color w:val="000000"/>
      <w:sz w:val="24"/>
      <w:szCs w:val="24"/>
      <w:u w:val="none"/>
    </w:rPr>
  </w:style>
  <w:style w:type="paragraph" w:styleId="1089" w:customStyle="1">
    <w:name w:val="正文缩进111"/>
    <w:basedOn w:val="896"/>
    <w:next w:val="896"/>
    <w:uiPriority w:val="0"/>
    <w:qFormat/>
    <w:pPr>
      <w:ind w:firstLine="420"/>
      <w:jc w:val="left"/>
    </w:pPr>
    <w:rPr>
      <w:sz w:val="24"/>
    </w:rPr>
  </w:style>
  <w:style w:type="paragraph" w:styleId="1090" w:customStyle="1">
    <w:name w:val="正文文本缩进1"/>
    <w:basedOn w:val="896"/>
    <w:next w:val="896"/>
    <w:uiPriority w:val="99"/>
    <w:unhideWhenUsed/>
    <w:qFormat/>
    <w:pPr>
      <w:ind w:firstLine="570"/>
    </w:pPr>
    <w:rPr>
      <w:rFonts w:ascii="宋体" w:eastAsia="宋体"/>
      <w:sz w:val="28"/>
    </w:rPr>
  </w:style>
  <w:style w:type="table" w:styleId="1091" w:customStyle="1">
    <w:name w:val="Table Normal4"/>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92"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db320a80-7111-4a6f-ad77-bb02bd871ed9</errorID>
      <errorWord>：</errorWord>
      <group>L1_Format</group>
      <groupName>格式问题</groupName>
      <ability>L2_HalfPunc_CN</ability>
      <abilityName>全半角问题</abilityName>
      <candidateList>
        <item>:</item>
      </candidateList>
      <explain>文本全半角错误。</explain>
      <paraID>3EE821EF</paraID>
      <start>23</start>
      <end>24</end>
      <status>unmodified</status>
      <modifiedWord/>
      <trackRevisions>false</trackRevisions>
    </reviewItem>
    <reviewItem>
      <errorID>d66ced04-36e8-4c10-a563-80051bfe3a44</errorID>
      <errorWord>：</errorWord>
      <group>L1_Format</group>
      <groupName>格式问题</groupName>
      <ability>L2_HalfPunc_CN</ability>
      <abilityName>全半角问题</abilityName>
      <candidateList>
        <item>:</item>
      </candidateList>
      <explain>文本全半角错误。</explain>
      <paraID>3EE821EF</paraID>
      <start>41</start>
      <end>42</end>
      <status>unmodified</status>
      <modifiedWord/>
      <trackRevisions>false</trackRevisions>
    </reviewItem>
    <reviewItem>
      <errorID>a1f68c60-1fc3-4a2d-add6-f80d44c92ae6</errorID>
      <errorWord>）</errorWord>
      <group>L1_Word</group>
      <groupName>字词问题</groupName>
      <ability>L2_Typo</ability>
      <abilityName>字词错误</abilityName>
      <candidateList>
        <item>）和</item>
      </candidateList>
      <explain/>
      <paraID> 1283749</paraID>
      <start>70</start>
      <end>71</end>
      <status>unmodified</status>
      <modifiedWord/>
      <trackRevisions>false</trackRevisions>
    </reviewItem>
    <reviewItem>
      <errorID>15dd8a1c-bb91-451e-b554-e87513bb37b1</errorID>
      <errorWord>:</errorWord>
      <group>L1_Format</group>
      <groupName>格式问题</groupName>
      <ability>L2_HalfPunc_CN</ability>
      <abilityName>全半角问题</abilityName>
      <candidateList>
        <item>：</item>
      </candidateList>
      <explain>文本全半角错误。</explain>
      <paraID>16E4A26D</paraID>
      <start>8</start>
      <end>9</end>
      <status>unmodified</status>
      <modifiedWord/>
      <trackRevisions>false</trackRevisions>
    </reviewItem>
    <reviewItem>
      <errorID>cd30e113-9398-45f1-8ca3-157e7b6c0c6e</errorID>
      <errorWord>:</errorWord>
      <group>L1_Format</group>
      <groupName>格式问题</groupName>
      <ability>L2_HalfPunc_CN</ability>
      <abilityName>全半角问题</abilityName>
      <candidateList>
        <item>：</item>
      </candidateList>
      <explain>文本全半角错误。</explain>
      <paraID>497C3CCF</paraID>
      <start>8</start>
      <end>9</end>
      <status>unmodified</status>
      <modifiedWord/>
      <trackRevisions>false</trackRevisions>
    </reviewItem>
    <reviewItem>
      <errorID>4fd2bfe4-2f4f-4b30-a61c-454cf2379d59</errorID>
      <errorWord>:</errorWord>
      <group>L1_Format</group>
      <groupName>格式问题</groupName>
      <ability>L2_HalfPunc_CN</ability>
      <abilityName>全半角问题</abilityName>
      <candidateList>
        <item>：</item>
      </candidateList>
      <explain>文本全半角错误。</explain>
      <paraID>6BAB64FC</paraID>
      <start>8</start>
      <end>9</end>
      <status>unmodified</status>
      <modifiedWord/>
      <trackRevisions>false</trackRevisions>
    </reviewItem>
    <reviewItem>
      <errorID>60c8645b-a542-4df0-86a8-8c926bfb95bb</errorID>
      <errorWord>,</errorWord>
      <group>L1_Format</group>
      <groupName>格式问题</groupName>
      <ability>L2_HalfPunc_CN</ability>
      <abilityName>全半角问题</abilityName>
      <candidateList>
        <item>，</item>
      </candidateList>
      <explain>文本全半角错误。</explain>
      <paraID>6BAB64FC</paraID>
      <start>15</start>
      <end>16</end>
      <status>unmodified</status>
      <modifiedWord/>
      <trackRevisions>false</trackRevisions>
    </reviewItem>
    <reviewItem>
      <errorID>9beb263c-9610-405d-acbc-4f50cde19cac</errorID>
      <errorWord>复印件加盖</errorWord>
      <group>L1_Word</group>
      <groupName>字词问题</groupName>
      <ability>L2_Typo</ability>
      <abilityName>字词错误</abilityName>
      <candidateList>
        <item>复印件并加盖</item>
      </candidateList>
      <explain/>
      <paraID>248F6C16</paraID>
      <start>16</start>
      <end>21</end>
      <status>unmodified</status>
      <modifiedWord/>
      <trackRevisions>false</trackRevisions>
    </reviewItem>
    <reviewItem>
      <errorID>c5ad1cd9-c032-49f7-9b6d-b0c5c66c9d35</errorID>
      <errorWord>复印件加盖</errorWord>
      <group>L1_Word</group>
      <groupName>字词问题</groupName>
      <ability>L2_Typo</ability>
      <abilityName>字词错误</abilityName>
      <candidateList>
        <item>复印件并加盖</item>
      </candidateList>
      <explain/>
      <paraID>3121BFFF</paraID>
      <start>19</start>
      <end>24</end>
      <status>unmodified</status>
      <modifiedWord/>
      <trackRevisions>false</trackRevisions>
    </reviewItem>
    <reviewItem>
      <errorID>7d759a57-8917-4f75-9a7c-94385313d074</errorID>
      <errorWord>复印件加盖</errorWord>
      <group>L1_Word</group>
      <groupName>字词问题</groupName>
      <ability>L2_Typo</ability>
      <abilityName>字词错误</abilityName>
      <candidateList>
        <item>复印件并加盖</item>
      </candidateList>
      <explain/>
      <paraID>78F4FAE6</paraID>
      <start>39</start>
      <end>44</end>
      <status>unmodified</status>
      <modifiedWord/>
      <trackRevisions>false</trackRevisions>
    </reviewItem>
    <reviewItem>
      <errorID>b7270b20-d0cd-41c1-a258-3ce115d04a05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BD04F3B</paraID>
      <start>13</start>
      <end>17</end>
      <status>unmodified</status>
      <modifiedWord/>
      <trackRevisions>false</trackRevisions>
    </reviewItem>
    <reviewItem>
      <errorID>6616cf1f-0840-479d-a43c-cf763986601a</errorID>
      <errorWord>其它</errorWord>
      <group>L1_Word</group>
      <groupName>字词问题</groupName>
      <ability>L2_Alias</ability>
      <abilityName>也作/曾用词</abilityName>
      <candidateList>
        <item>其他</item>
      </candidateList>
      <explain>词汇[其它]为不规范表述或旧称，其规范书面表述为[其他]。</explain>
      <paraID>545F7E05</paraID>
      <start>53</start>
      <end>55</end>
      <status>unmodified</status>
      <modifiedWord/>
      <trackRevisions>false</trackRevisions>
    </reviewItem>
    <reviewItem>
      <errorID>52ff6ca7-a989-4b82-9d0e-0859eba756ee</errorID>
      <errorWord>其它</errorWord>
      <group>L1_Word</group>
      <groupName>字词问题</groupName>
      <ability>L2_Alias</ability>
      <abilityName>也作/曾用词</abilityName>
      <candidateList>
        <item>其他</item>
      </candidateList>
      <explain>词汇[其它]为不规范表述或旧称，其规范书面表述为[其他]。</explain>
      <paraID>545F7E05</paraID>
      <start>81</start>
      <end>83</end>
      <status>unmodified</status>
      <modifiedWord/>
      <trackRevisions>false</trackRevisions>
    </reviewItem>
    <reviewItem>
      <errorID>35f37e2a-b8b5-479c-bb6b-e824d6f76ac4</errorID>
      <errorWord>（</errorWord>
      <group>L1_Punc</group>
      <groupName>标点问题</groupName>
      <ability>L2_Punc_CN</ability>
      <abilityName>标点符号问题</abilityName>
      <candidateList/>
      <explain>同一形式括号套用。</explain>
      <paraID>1D0733D3</paraID>
      <start>38</start>
      <end>39</end>
      <status>unmodified</status>
      <modifiedWord/>
      <trackRevisions>false</trackRevisions>
    </reviewItem>
    <reviewItem>
      <errorID>48b3160b-7cbb-4d3d-a5ee-cff4cb77c873</errorID>
      <errorWord>）</errorWord>
      <group>L1_Punc</group>
      <groupName>标点问题</groupName>
      <ability>L2_Punc_CN</ability>
      <abilityName>标点符号问题</abilityName>
      <candidateList/>
      <explain>同一形式括号套用。</explain>
      <paraID>1D0733D3</paraID>
      <start>44</start>
      <end>45</end>
      <status>unmodified</status>
      <modifiedWord/>
      <trackRevisions>false</trackRevisions>
    </reviewItem>
    <reviewItem>
      <errorID>9667e3a1-64fc-404e-b634-7f8720aad1e6</errorID>
      <errorWord>.</errorWord>
      <group>L1_Format</group>
      <groupName>格式问题</groupName>
      <ability>L2_HalfPunc_CN</ability>
      <abilityName>全半角问题</abilityName>
      <candidateList>
        <item>。</item>
      </candidateList>
      <explain>文本全半角错误。</explain>
      <paraID> B4BF489</paraID>
      <start>109</start>
      <end>110</end>
      <status>unmodified</status>
      <modifiedWord/>
      <trackRevisions>false</trackRevisions>
    </reviewItem>
    <reviewItem>
      <errorID>f5e9ba95-8d5c-4bf7-82f2-60595474bdee</errorID>
      <errorWord>.</errorWord>
      <group>L1_Format</group>
      <groupName>格式问题</groupName>
      <ability>L2_HalfPunc_CN</ability>
      <abilityName>全半角问题</abilityName>
      <candidateList>
        <item>。</item>
      </candidateList>
      <explain>文本全半角错误。</explain>
      <paraID> B4BF489</paraID>
      <start>122</start>
      <end>123</end>
      <status>unmodified</status>
      <modifiedWord/>
      <trackRevisions>false</trackRevisions>
    </reviewItem>
    <reviewItem>
      <errorID>eec4c1dc-b102-47cf-b2bf-ac9500e54c48</errorID>
      <errorWord>.</errorWord>
      <group>L1_Format</group>
      <groupName>格式问题</groupName>
      <ability>L2_HalfPunc_CN</ability>
      <abilityName>全半角问题</abilityName>
      <candidateList>
        <item>。</item>
      </candidateList>
      <explain>文本全半角错误。</explain>
      <paraID> B4BF489</paraID>
      <start>140</start>
      <end>141</end>
      <status>unmodified</status>
      <modifiedWord/>
      <trackRevisions>false</trackRevisions>
    </reviewItem>
    <reviewItem>
      <errorID>76bf41f1-46dd-40b6-888d-0e70aa19a49b</errorID>
      <errorWord>）</errorWord>
      <group>L1_Word</group>
      <groupName>字词问题</groupName>
      <ability>L2_Typo</ability>
      <abilityName>字词错误</abilityName>
      <candidateList>
        <item>）和</item>
      </candidateList>
      <explain/>
      <paraID>193E3CAD</paraID>
      <start>68</start>
      <end>69</end>
      <status>unmodified</status>
      <modifiedWord/>
      <trackRevisions>false</trackRevisions>
    </reviewItem>
    <reviewItem>
      <errorID>94dd7e47-03f7-417c-a7ce-fbb55b09eed4</errorID>
      <errorWord>（</errorWord>
      <group>L1_Punc</group>
      <groupName>标点问题</groupName>
      <ability>L2_Punc_CN</ability>
      <abilityName>标点符号问题</abilityName>
      <candidateList/>
      <explain>同一形式括号套用。</explain>
      <paraID>193E3CAD</paraID>
      <start>103</start>
      <end>104</end>
      <status>unmodified</status>
      <modifiedWord/>
      <trackRevisions>false</trackRevisions>
    </reviewItem>
    <reviewItem>
      <errorID>dd68f539-09ee-44fb-868d-9d384bd9329d</errorID>
      <errorWord>）</errorWord>
      <group>L1_Punc</group>
      <groupName>标点问题</groupName>
      <ability>L2_Punc_CN</ability>
      <abilityName>标点符号问题</abilityName>
      <candidateList/>
      <explain>同一形式括号套用。</explain>
      <paraID>193E3CAD</paraID>
      <start>108</start>
      <end>109</end>
      <status>unmodified</status>
      <modifiedWord/>
      <trackRevisions>false</trackRevisions>
    </reviewItem>
    <reviewItem>
      <errorID>c0361a04-3749-45e1-9643-a2f2207ac927</errorID>
      <errorWord>,</errorWord>
      <group>L1_Word</group>
      <groupName>字词问题</groupName>
      <ability>L2_Typo</ability>
      <abilityName>字词错误</abilityName>
      <candidateList>
        <item>,将</item>
      </candidateList>
      <explain/>
      <paraID>193E3CAD</paraID>
      <start>177</start>
      <end>178</end>
      <status>unmodified</status>
      <modifiedWord/>
      <trackRevisions>false</trackRevisions>
    </reviewItem>
    <reviewItem>
      <errorID>6f898609-ffe9-49c5-80d0-54b29362a8f2</errorID>
      <errorWord>保持通讯畅通</errorWord>
      <group>L1_Word</group>
      <groupName>字词问题</groupName>
      <ability>L2_Typo</ability>
      <abilityName>字词错误</abilityName>
      <candidateList>
        <item>保持通信畅通</item>
      </candidateList>
      <explain/>
      <paraID>3DBC8AB5</paraID>
      <start>17</start>
      <end>23</end>
      <status>unmodified</status>
      <modifiedWord/>
      <trackRevisions>false</trackRevisions>
    </reviewItem>
    <reviewItem>
      <errorID>5783be99-ac7d-47f6-9f02-3de9ef0e7909</errorID>
      <errorWord>:</errorWord>
      <group>L1_Format</group>
      <groupName>格式问题</groupName>
      <ability>L2_HalfPunc_CN</ability>
      <abilityName>全半角问题</abilityName>
      <candidateList>
        <item>：</item>
      </candidateList>
      <explain>文本全半角错误。</explain>
      <paraID>1142617D</paraID>
      <start>59</start>
      <end>60</end>
      <status>unmodified</status>
      <modifiedWord/>
      <trackRevisions>false</trackRevisions>
    </reviewItem>
    <reviewItem>
      <errorID>ecdfe78e-8f9f-45c4-9965-b1024dd514a9</errorID>
      <errorWord>&lt;</errorWord>
      <group>L1_Format</group>
      <groupName>格式问题</groupName>
      <ability>L2_HalfPunc_CN</ability>
      <abilityName>全半角问题</abilityName>
      <candidateList>
        <item>〈</item>
      </candidateList>
      <explain>文本全半角错误。</explain>
      <paraID>12FB0689</paraID>
      <start>50</start>
      <end>51</end>
      <status>unmodified</status>
      <modifiedWord/>
      <trackRevisions>false</trackRevisions>
    </reviewItem>
    <reviewItem>
      <errorID>486541c4-ca2e-4762-ae32-867754a87485</errorID>
      <errorWord>&lt;</errorWord>
      <group>L1_Format</group>
      <groupName>格式问题</groupName>
      <ability>L2_HalfPunc_CN</ability>
      <abilityName>全半角问题</abilityName>
      <candidateList>
        <item>〈</item>
      </candidateList>
      <explain>文本全半角错误。</explain>
      <paraID>3C4EB158</paraID>
      <start>50</start>
      <end>51</end>
      <status>unmodified</status>
      <modifiedWord/>
      <trackRevisions>false</trackRevisions>
    </reviewItem>
    <reviewItem>
      <errorID>f357ef45-ba37-404f-98f6-28016baffeba</errorID>
      <errorWord>&lt;</errorWord>
      <group>L1_Format</group>
      <groupName>格式问题</groupName>
      <ability>L2_HalfPunc_CN</ability>
      <abilityName>全半角问题</abilityName>
      <candidateList>
        <item>〈</item>
      </candidateList>
      <explain>文本全半角错误。</explain>
      <paraID>7FEBDC64</paraID>
      <start>35</start>
      <end>36</end>
      <status>unmodified</status>
      <modifiedWord/>
      <trackRevisions>false</trackRevisions>
    </reviewItem>
    <reviewItem>
      <errorID>49e16008-93c9-4ac2-bbbb-facd8d891f9d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DCD8A</paraID>
      <start>83</start>
      <end>84</end>
      <status>unmodified</status>
      <modifiedWord/>
      <trackRevisions>false</trackRevisions>
    </reviewItem>
    <reviewItem>
      <errorID>2fecfd51-ee2e-4bb9-ac8f-6c3085d43a74</errorID>
      <errorWord>法律、法规</errorWord>
      <group>L1_Word</group>
      <groupName>字词问题</groupName>
      <ability>L2_Typo</ability>
      <abilityName>字词错误</abilityName>
      <candidateList>
        <item>法律法规</item>
      </candidateList>
      <explain/>
      <paraID>3AD0BE43</paraID>
      <start>6</start>
      <end>11</end>
      <status>unmodified</status>
      <modifiedWord/>
      <trackRevisions>false</trackRevisions>
    </reviewItem>
    <reviewItem>
      <errorID>0aa276ac-d990-45b1-9d2a-2372d2092f10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E21957B</paraID>
      <start>74</start>
      <end>77</end>
      <status>unmodified</status>
      <modifiedWord/>
      <trackRevisions>false</trackRevisions>
    </reviewItem>
    <reviewItem>
      <errorID>1aede8e2-1511-43f5-ac1e-2291dc672ff3</errorID>
      <errorWord>和</errorWord>
      <group>L1_Word</group>
      <groupName>字词问题</groupName>
      <ability>L2_Typo</ability>
      <abilityName>字词错误</abilityName>
      <candidateList>
        <item>和加</item>
      </candidateList>
      <explain/>
      <paraID> E21957B</paraID>
      <start>200</start>
      <end>201</end>
      <status>unmodified</status>
      <modifiedWord/>
      <trackRevisions>false</trackRevisions>
    </reviewItem>
    <reviewItem>
      <errorID>90fb1b87-7563-4145-8d5b-fb09b9041dd0</errorID>
      <errorWord>确定出</errorWord>
      <group>L1_Word</group>
      <groupName>字词问题</groupName>
      <ability>L2_Typo</ability>
      <abilityName>字词错误</abilityName>
      <candidateList>
        <item>确定</item>
      </candidateList>
      <explain/>
      <paraID>1D54D700</paraID>
      <start>4</start>
      <end>7</end>
      <status>unmodified</status>
      <modifiedWord/>
      <trackRevisions>false</trackRevisions>
    </reviewItem>
    <reviewItem>
      <errorID>404dc700-ecfa-4ca2-baf2-9641ef08fed3</errorID>
      <errorWord>,</errorWord>
      <group>L1_Format</group>
      <groupName>格式问题</groupName>
      <ability>L2_HalfPunc_CN</ability>
      <abilityName>全半角问题</abilityName>
      <candidateList>
        <item>，</item>
      </candidateList>
      <explain>文本全半角错误。</explain>
      <paraID>1D54D700</paraID>
      <start>56</start>
      <end>57</end>
      <status>unmodified</status>
      <modifiedWord/>
      <trackRevisions>false</trackRevisions>
    </reviewItem>
    <reviewItem>
      <errorID>ed6cb632-8cb6-4765-992e-aef6b088d4a5</errorID>
      <errorWord>,</errorWord>
      <group>L1_Format</group>
      <groupName>格式问题</groupName>
      <ability>L2_HalfPunc_CN</ability>
      <abilityName>全半角问题</abilityName>
      <candidateList>
        <item>，</item>
      </candidateList>
      <explain>文本全半角错误。</explain>
      <paraID>1D54D700</paraID>
      <start>131</start>
      <end>132</end>
      <status>unmodified</status>
      <modifiedWord/>
      <trackRevisions>false</trackRevisions>
    </reviewItem>
    <reviewItem>
      <errorID>ed5f5470-b1cf-463b-8c25-663a0673231d</errorID>
      <errorWord>式</errorWord>
      <group>L1_Word</group>
      <groupName>字词问题</groupName>
      <ability>L2_Typo</ability>
      <abilityName>字词错误</abilityName>
      <candidateList>
        <item>式的</item>
      </candidateList>
      <explain/>
      <paraID> 67D3F33</paraID>
      <start>103</start>
      <end>104</end>
      <status>unmodified</status>
      <modifiedWord/>
      <trackRevisions>false</trackRevisions>
    </reviewItem>
    <reviewItem>
      <errorID>93f98e83-0d1c-4765-a33c-b5a024afa495</errorID>
      <errorWord>，</errorWord>
      <group>L1_Word</group>
      <groupName>字词问题</groupName>
      <ability>L2_Typo</ability>
      <abilityName>字词错误</abilityName>
      <candidateList>
        <item>，在</item>
      </candidateList>
      <explain/>
      <paraID>3D66D6B8</paraID>
      <start>171</start>
      <end>172</end>
      <status>unmodified</status>
      <modifiedWord/>
      <trackRevisions>false</trackRevisions>
    </reviewItem>
    <reviewItem>
      <errorID>07f185cb-f78f-4f90-b11e-1cd9f86e9454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49</start>
      <end>57</end>
      <status>unmodified</status>
      <modifiedWord/>
      <trackRevisions>false</trackRevisions>
    </reviewItem>
    <reviewItem>
      <errorID>3bbb6f4e-292e-4d0f-bc46-38f4f9ebd1fe</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63</start>
      <end>72</end>
      <status>unmodified</status>
      <modifiedWord/>
      <trackRevisions>false</trackRevisions>
    </reviewItem>
    <reviewItem>
      <errorID>2ae5cec3-e1e3-44c6-9dd1-fe9ccefc1c25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78</start>
      <end>88</end>
      <status>unmodified</status>
      <modifiedWord/>
      <trackRevisions>false</trackRevisions>
    </reviewItem>
    <reviewItem>
      <errorID>1e74b79c-0dd4-423c-be2d-3236654f484f</errorID>
      <errorWord>：</errorWord>
      <group>L1_Format</group>
      <groupName>格式问题</groupName>
      <ability>L2_HalfPunc_CN</ability>
      <abilityName>全半角问题</abilityName>
      <candidateList>
        <item>:</item>
      </candidateList>
      <explain>文本全半角错误。</explain>
      <paraID>6C8DE98E</paraID>
      <start>25</start>
      <end>26</end>
      <status>unmodified</status>
      <modifiedWord/>
      <trackRevisions>false</trackRevisions>
    </reviewItem>
    <reviewItem>
      <errorID>e5e4c470-467e-4169-bc25-8de4a02a6e75</errorID>
      <errorWord>：</errorWord>
      <group>L1_Format</group>
      <groupName>格式问题</groupName>
      <ability>L2_HalfPunc_CN</ability>
      <abilityName>全半角问题</abilityName>
      <candidateList>
        <item>:</item>
      </candidateList>
      <explain>文本全半角错误。</explain>
      <paraID>6C8DE98E</paraID>
      <start>43</start>
      <end>44</end>
      <status>unmodified</status>
      <modifiedWord/>
      <trackRevisions>false</trackRevisions>
    </reviewItem>
    <reviewItem>
      <errorID>e3bfe8a5-5bea-4a67-a859-da217801be79</errorID>
      <errorWord>:</errorWord>
      <group>L1_Format</group>
      <groupName>格式问题</groupName>
      <ability>L2_HalfPunc_CN</ability>
      <abilityName>全半角问题</abilityName>
      <candidateList>
        <item>：</item>
      </candidateList>
      <explain>文本全半角错误。</explain>
      <paraID>5AA5BA48</paraID>
      <start>6</start>
      <end>7</end>
      <status>unmodified</status>
      <modifiedWord/>
      <trackRevisions>false</trackRevisions>
    </reviewItem>
    <reviewItem>
      <errorID>6f0597b0-785b-4cf6-96b3-c729c971d978</errorID>
      <errorWord>，</errorWord>
      <group>L1_Word</group>
      <groupName>字词问题</groupName>
      <ability>L2_Typo</ability>
      <abilityName>字词错误</abilityName>
      <candidateList>
        <item>，在</item>
      </candidateList>
      <explain/>
      <paraID>3308B3A5</paraID>
      <start>23</start>
      <end>24</end>
      <status>unmodified</status>
      <modifiedWord/>
      <trackRevisions>false</trackRevisions>
    </reviewItem>
    <reviewItem>
      <errorID>86203c8a-1084-4dab-9776-58959d4ed137</errorID>
      <errorWord>,</errorWord>
      <group>L1_Format</group>
      <groupName>格式问题</groupName>
      <ability>L2_HalfPunc_CN</ability>
      <abilityName>全半角问题</abilityName>
      <candidateList>
        <item>，</item>
      </candidateList>
      <explain>文本全半角错误。</explain>
      <paraID>3308B3A5</paraID>
      <start>52</start>
      <end>53</end>
      <status>unmodified</status>
      <modifiedWord/>
      <trackRevisions>false</trackRevisions>
    </reviewItem>
    <reviewItem>
      <errorID>98089caa-c3d7-4496-9e34-c093cd0d96e5</errorID>
      <errorWord>，需</errorWord>
      <group>L1_Word</group>
      <groupName>字词问题</groupName>
      <ability>L2_Typo</ability>
      <abilityName>字词错误</abilityName>
      <candidateList>
        <item>，</item>
      </candidateList>
      <explain/>
      <paraID>22791F1F</paraID>
      <start>14</start>
      <end>16</end>
      <status>unmodified</status>
      <modifiedWord/>
      <trackRevisions>false</trackRevisions>
    </reviewItem>
    <reviewItem>
      <errorID>641286c9-e827-4a2f-ad7a-e2ff9452f74b</errorID>
      <errorWord>至少达到或优于以上</errorWord>
      <group>L1_Grammar</group>
      <groupName>语法问题</groupName>
      <ability>L2_Grammar</ability>
      <abilityName>语法错误</abilityName>
      <candidateList>
        <item>至少达到或优于</item>
      </candidateList>
      <explain>该表达中的“至少达到或优于以上”存在语义重复。</explain>
      <paraID>7D8B161B</paraID>
      <start>14</start>
      <end>23</end>
      <status>unmodified</status>
      <modifiedWord/>
      <trackRevisions>false</trackRevisions>
    </reviewItem>
    <reviewItem>
      <errorID>24434c0c-fa11-405c-a9dd-008899668c10</errorID>
      <errorWord>如果以</errorWord>
      <group>L1_Word</group>
      <groupName>字词问题</groupName>
      <ability>L2_Typo</ability>
      <abilityName>字词错误</abilityName>
      <candidateList>
        <item>如果</item>
      </candidateList>
      <explain/>
      <paraID>7D8B161B</paraID>
      <start>66</start>
      <end>69</end>
      <status>unmodified</status>
      <modifiedWord/>
      <trackRevisions>false</trackRevisions>
    </reviewItem>
    <reviewItem>
      <errorID>fd94cd0e-e504-4470-89e7-87f637bc4327</errorID>
      <errorWord>安全生产负</errorWord>
      <group>L1_Word</group>
      <groupName>字词问题</groupName>
      <ability>L2_Typo</ability>
      <abilityName>字词错误</abilityName>
      <candidateList>
        <item>安全生产负有</item>
      </candidateList>
      <explain/>
      <paraID>28133131</paraID>
      <start>19</start>
      <end>24</end>
      <status>unmodified</status>
      <modifiedWord/>
      <trackRevisions>false</trackRevisions>
    </reviewItem>
    <reviewItem>
      <errorID>cd3b2061-e2b4-45c1-a065-f17c076fb5a1</errorID>
      <errorWord>(</errorWord>
      <group>L1_Format</group>
      <groupName>格式问题</groupName>
      <ability>L2_HalfPunc_CN</ability>
      <abilityName>全半角问题</abilityName>
      <candidateList>
        <item>（</item>
      </candidateList>
      <explain>文本全半角错误。</explain>
      <paraID>21A162F0</paraID>
      <start>5</start>
      <end>6</end>
      <status>unmodified</status>
      <modifiedWord/>
      <trackRevisions>false</trackRevisions>
    </reviewItem>
    <reviewItem>
      <errorID>d9a670fa-e258-4f37-b3c3-989bd816100a</errorID>
      <errorWord>)</errorWord>
      <group>L1_Format</group>
      <groupName>格式问题</groupName>
      <ability>L2_HalfPunc_CN</ability>
      <abilityName>全半角问题</abilityName>
      <candidateList>
        <item>）</item>
      </candidateList>
      <explain>文本全半角错误。</explain>
      <paraID>21A162F0</paraID>
      <start>8</start>
      <end>9</end>
      <status>unmodified</status>
      <modifiedWord/>
      <trackRevisions>false</trackRevisions>
    </reviewItem>
    <reviewItem>
      <errorID>86736542-8a26-4ab6-a3a1-35462b0ee874</errorID>
      <errorWord>......</errorWord>
      <group>L1_Punc</group>
      <groupName>标点问题</groupName>
      <ability>L2_Punc_CN</ability>
      <abilityName>标点符号问题</abilityName>
      <candidateList>
        <item>……</item>
      </candidateList>
      <explain/>
      <paraID>4D09B333</paraID>
      <start>0</start>
      <end>6</end>
      <status>unmodified</status>
      <modifiedWord/>
      <trackRevisions>false</trackRevisions>
    </reviewItem>
    <reviewItem>
      <errorID>8f4fa66d-d112-4982-8303-48bc2eb89470</errorID>
      <errorWord>作必要</errorWord>
      <group>L1_Word</group>
      <groupName>字词问题</groupName>
      <ability>L2_Typo</ability>
      <abilityName>字词错误</abilityName>
      <candidateList>
        <item>做必要</item>
      </candidateList>
      <explain/>
      <paraID>5D8B102B</paraID>
      <start>53</start>
      <end>56</end>
      <status>unmodified</status>
      <modifiedWord/>
      <trackRevisions>false</trackRevisions>
    </reviewItem>
    <reviewItem>
      <errorID>7b658b51-1051-48e2-9f73-39f92f556e87</errorID>
      <errorWord>其它</errorWord>
      <group>L1_Word</group>
      <groupName>字词问题</groupName>
      <ability>L2_Alias</ability>
      <abilityName>也作/曾用词</abilityName>
      <candidateList>
        <item>其他</item>
      </candidateList>
      <explain>词汇[其它]为不规范表述或旧称，其规范书面表述为[其他]。</explain>
      <paraID>236F0D4E</paraID>
      <start>14</start>
      <end>16</end>
      <status>unmodified</status>
      <modifiedWord/>
      <trackRevisions>false</trackRevisions>
    </reviewItem>
    <reviewItem>
      <errorID>fbfc708f-dc9a-4617-bac7-337ce78517cd</errorID>
      <errorWord>，</errorWord>
      <group>L1_Word</group>
      <groupName>字词问题</groupName>
      <ability>L2_Typo</ability>
      <abilityName>字词错误</abilityName>
      <candidateList>
        <item>，在</item>
      </candidateList>
      <explain/>
      <paraID>7C762EEF</paraID>
      <start>37</start>
      <end>38</end>
      <status>unmodified</status>
      <modifiedWord/>
      <trackRevisions>false</trackRevisions>
    </reviewItem>
    <reviewItem>
      <errorID>9708e5c6-aa2c-4c85-b2d6-52f1bf475fb4</errorID>
      <errorWord>:</errorWord>
      <group>L1_Format</group>
      <groupName>格式问题</groupName>
      <ability>L2_HalfPunc_CN</ability>
      <abilityName>全半角问题</abilityName>
      <candidateList>
        <item>：</item>
      </candidateList>
      <explain>文本全半角错误。</explain>
      <paraID>263D104E</paraID>
      <start>6</start>
      <end>7</end>
      <status>unmodified</status>
      <modifiedWord/>
      <trackRevisions>false</trackRevisions>
    </reviewItem>
    <reviewItem>
      <errorID>cbe21ecd-cd12-4cfe-b752-e37d00919b7a</errorID>
      <errorWord>:</errorWord>
      <group>L1_Format</group>
      <groupName>格式问题</groupName>
      <ability>L2_HalfPunc_CN</ability>
      <abilityName>全半角问题</abilityName>
      <candidateList>
        <item>：</item>
      </candidateList>
      <explain>文本全半角错误。</explain>
      <paraID>278F75DE</paraID>
      <start>6</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8B99E02-5096-49D2-945F-0D820145B9A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陈天慧</cp:lastModifiedBy>
  <cp:revision>3</cp:revision>
  <dcterms:created xsi:type="dcterms:W3CDTF">2019-08-09T19:13:00Z</dcterms:created>
  <dcterms:modified xsi:type="dcterms:W3CDTF">2026-08-25T06:24:20Z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19272EAA81034768BC96875C19F9C82F</vt:lpwstr>
  </property>
  <property fmtid="{D5CDD505-2E9C-101B-9397-08002B2CF9AE}" pid="4" name="KSOTemplateDocerSaveRecord">
    <vt:lpwstr>eyJoZGlkIjoiNGEwMTFkZmQ5OTkwOThmZDY4ZmZhYTRjMGVlZWM1ZjgiLCJ1c2VySWQiOiI0NDI4MzcyMTYifQ==</vt:lpwstr>
  </property>
</Properties>
</file>