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4"/>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南京市科利华紫金中学电梯加装</w:t>
      </w:r>
      <w:r>
        <w:rPr>
          <w:rFonts w:eastAsia="宋体" w:cs="Times New Roman"/>
          <w:b/>
          <w:color w:val="000000"/>
          <w:sz w:val="30"/>
          <w:szCs w:val="30"/>
          <w:u w:val="single"/>
          <w:lang w:val="en-US" w:eastAsia="zh-CN"/>
        </w:rPr>
      </w:r>
      <w:r/>
    </w:p>
    <w:p>
      <w:pPr>
        <w:pStyle w:val="875"/>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0233</w:t>
      </w:r>
      <w:r>
        <w:rPr>
          <w:rFonts w:eastAsia="宋体" w:cs="Times New Roman"/>
          <w:b/>
          <w:color w:val="000000"/>
          <w:sz w:val="30"/>
          <w:szCs w:val="30"/>
          <w:lang w:val="en-US"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rPr>
          <w:rFonts w:hint="eastAsia"/>
        </w:rPr>
      </w:pPr>
      <w:r>
        <w:rPr>
          <w:rFonts w:hint="eastAsia"/>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5"/>
        <w:ind w:firstLine="480"/>
        <w:pageBreakBefore w:val="0"/>
        <w:spacing w:line="252" w:lineRule="auto"/>
        <w:widowControl w:val="off"/>
        <w:rPr>
          <w:rFonts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eastAsia="宋体" w:cs="Times New Roman"/>
          <w:b w:val="0"/>
          <w:bCs w:val="0"/>
          <w:color w:val="000000"/>
          <w:sz w:val="24"/>
          <w:szCs w:val="24"/>
          <w:lang w:eastAsia="zh-CN"/>
        </w:rPr>
        <w:t xml:space="preserve">受南京市科利华紫金中学委托，南京市公共资源交易中心（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）就南京市科利华紫金中学电梯加装进行公开招标采购，欢</w:t>
      </w:r>
      <w:r>
        <w:rPr>
          <w:rFonts w:hint="eastAsia" w:ascii="宋体" w:hAnsi="宋体"/>
          <w:sz w:val="24"/>
          <w:szCs w:val="24"/>
        </w:rPr>
        <w:t xml:space="preserve">迎符合条件的供应商投标。</w:t>
      </w:r>
      <w:r>
        <w:rPr>
          <w:rFonts w:ascii="宋体" w:hAnsi="宋体"/>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0233</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2.项目名称：南京市科利华紫金中学电梯加装</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26</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lang w:eastAsia="zh-CN"/>
        </w:rPr>
      </w:r>
      <w:r/>
    </w:p>
    <w:p>
      <w:pPr>
        <w:pStyle w:val="875"/>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s="Courier New"/>
          <w:color w:val="000000"/>
          <w:sz w:val="24"/>
          <w:szCs w:val="24"/>
          <w:lang w:val="zh-CN"/>
        </w:rPr>
        <w:t xml:space="preserve">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60天</w:t>
      </w:r>
      <w:r>
        <w:rPr>
          <w:rFonts w:hint="eastAsia" w:ascii="宋体" w:hAnsi="宋体" w:eastAsia="宋体"/>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w:t>
      </w:r>
      <w:r>
        <w:rPr>
          <w:rFonts w:hint="eastAsia" w:ascii="宋体" w:hAnsi="宋体" w:eastAsia="宋体" w:cs="Times New Roman"/>
          <w:sz w:val="24"/>
          <w:szCs w:val="24"/>
          <w:lang w:val="en-US" w:eastAsia="zh-CN"/>
        </w:rPr>
        <w:t xml:space="preserve">产品投标。</w:t>
      </w:r>
      <w:r>
        <w:rPr>
          <w:rFonts w:hint="eastAsia"/>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5"/>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（1）供应商如为设备制造商，则须具有有效期内的《中华人民共和国特种设备生产许可证》许可项目电梯制造(含安装、修理、改造)（提供证书或证明文件扫描件）；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20</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5"/>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w:t>
      </w:r>
      <w:r>
        <w:rPr>
          <w:rFonts w:hint="eastAsia" w:ascii="宋体" w:hAnsi="宋体" w:eastAsia="宋体" w:cs="宋体"/>
          <w:sz w:val="24"/>
          <w:szCs w:val="24"/>
          <w:highlight w:val="none"/>
          <w:lang w:val="en-US" w:eastAsia="zh-CN"/>
        </w:rPr>
        <w:t xml:space="preserve">指南-资料下载”）。</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5"/>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ascii="宋体" w:hAnsi="宋体"/>
          <w:color w:val="000000"/>
          <w:sz w:val="24"/>
          <w:szCs w:val="24"/>
        </w:rPr>
        <w:t xml:space="preserve">卢老师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cs="宋体"/>
          <w:color w:val="000000"/>
          <w:sz w:val="24"/>
          <w:szCs w:val="24"/>
        </w:rPr>
        <w:t xml:space="preserve">南京市玄武区顾家营路59-7号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szCs w:val="24"/>
        </w:rPr>
        <w:t xml:space="preserve">13851553041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5"/>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eastAsia="宋体" w:cs="Times New Roman"/>
          <w:b w:val="0"/>
          <w:bCs w:val="0"/>
          <w:color w:val="000000"/>
          <w:sz w:val="24"/>
          <w:szCs w:val="24"/>
          <w:lang w:eastAsia="zh-CN"/>
        </w:rPr>
        <w:t xml:space="preserve">南京市科利华紫金中学</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南京市玄武区顾家营路59-7号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ascii="宋体" w:hAnsi="宋体"/>
          <w:color w:val="000000"/>
          <w:sz w:val="24"/>
          <w:szCs w:val="24"/>
        </w:rPr>
        <w:t xml:space="preserve">卢老师</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13851553041</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7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5"/>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513029242"/>
      <w:r/>
      <w:bookmarkStart w:id="52" w:name="_Toc479757207"/>
      <w:r/>
      <w:bookmarkStart w:id="53" w:name="_Toc20823314"/>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20823285"/>
      <w:r/>
      <w:bookmarkStart w:id="88" w:name="_Toc513029213"/>
      <w:r/>
      <w:bookmarkStart w:id="89" w:name="_Toc462564072"/>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670486"/>
      <w:r/>
      <w:bookmarkEnd w:id="114"/>
      <w:r/>
      <w:bookmarkStart w:id="115" w:name="_Hlt26954848"/>
      <w:r/>
      <w:bookmarkEnd w:id="115"/>
      <w:r/>
      <w:bookmarkStart w:id="116" w:name="_Hlt26954844"/>
      <w:r/>
      <w:bookmarkEnd w:id="116"/>
      <w:r/>
      <w:bookmarkStart w:id="117" w:name="_Hlt26668983"/>
      <w:r/>
      <w:bookmarkEnd w:id="117"/>
      <w:r/>
      <w:bookmarkStart w:id="118" w:name="_Hlt26670482"/>
      <w:r/>
      <w:bookmarkEnd w:id="118"/>
      <w:r/>
      <w:bookmarkStart w:id="119" w:name="_Hlt26954846"/>
      <w:r/>
      <w:bookmarkEnd w:id="119"/>
      <w:r/>
      <w:bookmarkStart w:id="120" w:name="_Hlt26670425"/>
      <w:r/>
      <w:bookmarkEnd w:id="120"/>
      <w:r/>
      <w:bookmarkStart w:id="121" w:name="_Hlt26954842"/>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513029224"/>
      <w:r/>
      <w:bookmarkStart w:id="131" w:name="_Toc16938540"/>
      <w:r/>
      <w:bookmarkStart w:id="132" w:name="_Toc20823296"/>
      <w:r/>
      <w:bookmarkStart w:id="133" w:name="_Toc120614217"/>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w:t>
      </w:r>
      <w:r>
        <w:rPr>
          <w:rFonts w:hint="eastAsia" w:ascii="宋体" w:hAnsi="宋体" w:eastAsia="宋体" w:cs="Times New Roman"/>
          <w:color w:val="000000"/>
          <w:sz w:val="24"/>
          <w:szCs w:val="22"/>
          <w:lang w:val="zh-CN"/>
        </w:rPr>
        <w:t xml:space="preserve">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Toc479757211"/>
      <w:r/>
      <w:bookmarkStart w:id="188" w:name="_Hlt16619350"/>
      <w:r/>
      <w:bookmarkStart w:id="189" w:name="_Toc16938590"/>
      <w:r/>
      <w:bookmarkStart w:id="190" w:name="_Toc120614244"/>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w:t>
      </w:r>
      <w:r>
        <w:rPr>
          <w:rFonts w:hint="eastAsia" w:ascii="宋体" w:hAnsi="宋体" w:cs="Courier New"/>
          <w:color w:val="000000"/>
          <w:sz w:val="24"/>
          <w:szCs w:val="24"/>
          <w:u w:val="single"/>
          <w:lang w:val="en-US" w:eastAsia="zh-CN"/>
        </w:rPr>
        <w:t xml:space="preserve">三十</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5"/>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s="Courier New"/>
          <w:color w:val="000000"/>
          <w:sz w:val="24"/>
          <w:szCs w:val="24"/>
          <w:lang w:val="zh-CN"/>
        </w:rPr>
        <w:t xml:space="preserve">本项目计划在南京市科利华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zh-CN"/>
        </w:rPr>
        <w:t xml:space="preserve">，</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eastAsia="宋体" w:cs="Times New Roman"/>
          <w:color w:val="0000ff"/>
          <w:sz w:val="24"/>
          <w:szCs w:val="24"/>
          <w:lang w:val="en-US"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（二）项目建设遵循标准</w:t>
      </w:r>
      <w:r>
        <w:rPr>
          <w:rFonts w:hint="eastAsia" w:ascii="宋体" w:hAnsi="宋体" w:eastAsia="宋体" w:cs="Courier New"/>
          <w:color w:val="000000"/>
          <w:sz w:val="24"/>
          <w:szCs w:val="24"/>
          <w:lang w:val="zh-CN"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所投产品满足招标文件产品标准和规范要求及《特种设备安全监察条例》、《电梯检验规则》最新的要求，同时应达到下列标准和规范最新版本的要求：</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（1）GB/T7588《电梯制造与安装安全规范》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（2）GB/T10058《电梯技术条件》</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（3）GB/T10059《电梯试验方法》</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（4）GB/T10060《电梯安装验收规范》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（5）其他与电梯相关的国家、行业和地方的法律法规、规范规程、标准、图集。</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rPr>
        <w:t xml:space="preserve">上述规范及技术条件并非全部，未列入而又相关的仍应采用。招标文件涉及标准中未标年号的一律采用最新的标准；随着标准的修订，以修订后的最新标准为依据。</w:t>
      </w:r>
      <w:r>
        <w:rPr>
          <w:rFonts w:hint="eastAsia" w:ascii="宋体" w:hAnsi="宋体" w:eastAsia="宋体" w:cs="Courier New"/>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1"/>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470"/>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5"/>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5"/>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无机房客梯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zh-CN" w:eastAsia="zh-CN"/>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260000</w:t>
            </w:r>
            <w:r>
              <w:rPr>
                <w:rFonts w:ascii="宋体" w:hAnsi="宋体" w:eastAsia="宋体" w:cs="宋体"/>
                <w:bCs/>
                <w:sz w:val="24"/>
                <w:szCs w:val="24"/>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zh-CN" w:eastAsia="zh-CN"/>
              </w:rPr>
              <w:t xml:space="preserve">核心产品</w:t>
            </w:r>
            <w:r>
              <w:rPr>
                <w:rFonts w:hint="eastAsia" w:ascii="宋体" w:hAnsi="宋体" w:eastAsia="宋体" w:cs="宋体"/>
                <w:bCs/>
                <w:sz w:val="24"/>
                <w:szCs w:val="24"/>
                <w:lang w:val="en-US" w:eastAsia="zh-CN"/>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工业</w:t>
            </w:r>
            <w:r>
              <w:rPr>
                <w:rFonts w:hint="eastAsia" w:ascii="宋体" w:hAnsi="宋体" w:eastAsia="宋体" w:cs="宋体"/>
                <w:bCs/>
                <w:sz w:val="24"/>
                <w:szCs w:val="24"/>
                <w:lang w:val="en-US" w:eastAsia="zh-CN"/>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货物</w:t>
            </w:r>
            <w:r>
              <w:rPr>
                <w:rFonts w:hint="eastAsia" w:ascii="宋体" w:hAnsi="宋体" w:eastAsia="宋体" w:cs="宋体"/>
                <w:bCs/>
                <w:sz w:val="24"/>
                <w:szCs w:val="24"/>
                <w:lang w:val="zh-CN" w:eastAsia="zh-CN"/>
              </w:rPr>
            </w:r>
            <w:r/>
          </w:p>
        </w:tc>
        <w:tc>
          <w:tcPr>
            <w:tcW w:w="65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否</w:t>
            </w:r>
            <w:r>
              <w:rPr>
                <w:rFonts w:hint="eastAsia" w:ascii="宋体" w:hAnsi="宋体" w:eastAsia="宋体" w:cs="宋体"/>
                <w:bCs/>
                <w:sz w:val="24"/>
                <w:szCs w:val="24"/>
                <w:lang w:val="en-US" w:eastAsia="zh-CN"/>
              </w:rPr>
            </w:r>
            <w:r/>
          </w:p>
        </w:tc>
      </w:tr>
    </w:tbl>
    <w:p>
      <w:pPr>
        <w:pStyle w:val="875"/>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产品名称</w:t>
            </w: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技术品目号</w:t>
            </w: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color w:val="000000"/>
                <w:sz w:val="22"/>
                <w:szCs w:val="24"/>
                <w:lang w:val="zh-CN"/>
              </w:rPr>
            </w:r>
            <w:r/>
          </w:p>
        </w:tc>
      </w:tr>
      <w:tr>
        <w:trPr>
          <w:trHeight w:val="1"/>
        </w:trPr>
        <w:tc>
          <w:tcPr>
            <w:shd w:val="clear" w:color="000000" w:fill="ffffff"/>
            <w:tcW w:w="1172" w:type="dxa"/>
            <w:vAlign w:val="center"/>
            <w:vMerge w:val="restart"/>
            <w:textDirection w:val="lrTb"/>
            <w:noWrap w:val="false"/>
          </w:tcPr>
          <w:p>
            <w:pPr>
              <w:pStyle w:val="875"/>
              <w:jc w:val="center"/>
              <w:rPr>
                <w:rFonts w:ascii="宋体" w:hAnsi="宋体"/>
                <w:color w:val="000000"/>
                <w:sz w:val="22"/>
                <w:szCs w:val="24"/>
                <w:lang w:val="en-US"/>
              </w:rPr>
            </w:pPr>
            <w:r>
              <w:rPr>
                <w:rFonts w:hint="eastAsia" w:ascii="宋体" w:hAnsi="宋体"/>
                <w:color w:val="000000"/>
                <w:szCs w:val="24"/>
                <w:lang w:val="en-US" w:eastAsia="zh-CN"/>
              </w:rPr>
              <w:t xml:space="preserve">无机房客梯</w:t>
            </w:r>
            <w:r>
              <w:rPr>
                <w:rFonts w:ascii="宋体" w:hAnsi="宋体"/>
                <w:color w:val="000000"/>
                <w:sz w:val="22"/>
                <w:szCs w:val="24"/>
                <w:lang w:val="en-US"/>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井道尺寸（宽*深mm）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s="宋体"/>
                <w:color w:val="000000"/>
                <w:szCs w:val="21"/>
                <w:lang w:bidi="ar"/>
              </w:rPr>
              <w:t xml:space="preserve">2200*2250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厅门尺寸（宽*高mm）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900*2100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轿厢尺寸（宽*深*高mm）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5</w:t>
            </w:r>
            <w:r>
              <w:rPr>
                <w:rFonts w:hint="eastAsia" w:ascii="宋体" w:hAnsi="宋体"/>
                <w:color w:val="000000"/>
                <w:szCs w:val="24"/>
                <w:lang w:val="zh-CN"/>
              </w:rPr>
              <w:t xml:space="preserve">00*1</w:t>
            </w:r>
            <w:r>
              <w:rPr>
                <w:rFonts w:hint="eastAsia" w:ascii="宋体" w:hAnsi="宋体"/>
                <w:color w:val="000000"/>
                <w:szCs w:val="24"/>
              </w:rPr>
              <w:t xml:space="preserve">6</w:t>
            </w:r>
            <w:r>
              <w:rPr>
                <w:rFonts w:hint="eastAsia" w:ascii="宋体" w:hAnsi="宋体"/>
                <w:color w:val="000000"/>
                <w:szCs w:val="24"/>
                <w:lang w:val="zh-CN"/>
              </w:rPr>
              <w:t xml:space="preserve">00*2400</w:t>
            </w:r>
            <w:r>
              <w:rPr>
                <w:rFonts w:hint="eastAsia" w:ascii="宋体" w:hAnsi="宋体"/>
                <w:color w:val="000000"/>
                <w:sz w:val="22"/>
                <w:szCs w:val="24"/>
                <w:lang w:val="zh-CN"/>
              </w:rPr>
            </w:r>
            <w:r/>
          </w:p>
        </w:tc>
      </w:tr>
      <w:tr>
        <w:trPr>
          <w:trHeight w:val="24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顶层高度（mm）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rPr>
                <w:rFonts w:hint="eastAsia" w:ascii="宋体" w:hAnsi="宋体"/>
                <w:color w:val="000000"/>
                <w:sz w:val="22"/>
                <w:szCs w:val="24"/>
              </w:rPr>
            </w:pPr>
            <w:r>
              <w:rPr>
                <w:rFonts w:hint="eastAsia" w:ascii="宋体" w:hAnsi="宋体"/>
                <w:color w:val="000000"/>
                <w:szCs w:val="24"/>
                <w:lang w:val="zh-CN"/>
              </w:rPr>
              <w:t xml:space="preserve">4</w:t>
            </w:r>
            <w:r>
              <w:rPr>
                <w:rFonts w:hint="eastAsia" w:ascii="宋体" w:hAnsi="宋体"/>
                <w:color w:val="000000"/>
                <w:szCs w:val="24"/>
              </w:rPr>
              <w:t xml:space="preserve">850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底坑深度（mm）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6</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trHeight w:val="36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提升高度（m）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 w:val="22"/>
                <w:szCs w:val="24"/>
              </w:rPr>
              <w:t xml:space="preserve">12</w:t>
            </w:r>
            <w:r>
              <w:rPr>
                <w:rFonts w:hint="eastAsia" w:ascii="宋体" w:hAnsi="宋体"/>
                <w:color w:val="000000"/>
                <w:sz w:val="22"/>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★配置要求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载重（kg）</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Cs w:val="24"/>
              </w:rPr>
              <w:t xml:space="preserve">1000</w:t>
            </w:r>
            <w:r>
              <w:rPr>
                <w:rFonts w:hint="eastAsia" w:ascii="宋体" w:hAnsi="宋体"/>
                <w:color w:val="000000"/>
                <w:sz w:val="22"/>
                <w:szCs w:val="24"/>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速度（m/s）</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层站门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rPr>
              <w:t xml:space="preserve">4</w:t>
            </w:r>
            <w:r>
              <w:rPr>
                <w:rFonts w:hint="eastAsia" w:ascii="宋体" w:hAnsi="宋体"/>
                <w:color w:val="000000"/>
                <w:szCs w:val="24"/>
                <w:lang w:val="zh-CN"/>
              </w:rPr>
              <w:t xml:space="preserve">/</w:t>
            </w:r>
            <w:r>
              <w:rPr>
                <w:rFonts w:hint="eastAsia" w:ascii="宋体" w:hAnsi="宋体"/>
                <w:color w:val="000000"/>
                <w:szCs w:val="24"/>
              </w:rPr>
              <w:t xml:space="preserve">4/4</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变频驱动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传动方式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永磁同步无齿轮曳引机</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门机系统</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rPr>
              <w:t xml:space="preserve">变频变压调速（VVVF）,要求调速平滑，运行可靠</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双扇自动中分门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门保护装置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光幕，不小于128束</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电源适应</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拖动电源：交流三相五线380V</w:t>
            </w:r>
            <w:r>
              <w:rPr>
                <w:rFonts w:hint="eastAsia" w:ascii="宋体" w:hAnsi="宋体"/>
                <w:color w:val="000000"/>
                <w:szCs w:val="24"/>
              </w:rPr>
              <w:t xml:space="preserve">±7%、50Hz；照明电源：交流单相220V±7%、50Hz</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性能要求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额定速度允许误差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平层准确度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噪声</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36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内外装饰要求</w:t>
            </w: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轿厢顶</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tabs>
                <w:tab w:val="left" w:pos="736" w:leader="none"/>
              </w:tabs>
              <w:rPr>
                <w:rFonts w:hint="eastAsia" w:ascii="宋体" w:hAnsi="宋体"/>
                <w:color w:val="000000"/>
                <w:sz w:val="22"/>
                <w:szCs w:val="24"/>
                <w:lang w:val="zh-CN"/>
              </w:rPr>
            </w:pPr>
            <w:r>
              <w:rPr>
                <w:rFonts w:hint="eastAsia" w:ascii="宋体" w:hAnsi="宋体"/>
                <w:color w:val="000000"/>
                <w:szCs w:val="24"/>
                <w:lang w:val="zh-CN"/>
              </w:rPr>
              <w:t xml:space="preserve">发纹不锈钢，LED照明，简洁大气</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★轿厢壁</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★轿厢门</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34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轿厢地面</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PVC地板</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操作盘</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显示器显示内容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液晶显示电梯运行状态</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操作功能</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标示要求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品牌商标，禁烟标记，速度，载重量</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按钮要求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圆型不锈钢按钮</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厅门及门套</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小门套</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楼层召唤</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液晶显示，显示楼层及运行方向，驻停，检修</w:t>
            </w:r>
            <w:r>
              <w:rPr>
                <w:rFonts w:hint="eastAsia" w:ascii="宋体" w:hAnsi="宋体"/>
                <w:color w:val="000000"/>
                <w:sz w:val="22"/>
                <w:szCs w:val="24"/>
                <w:lang w:val="zh-CN"/>
              </w:rPr>
            </w:r>
            <w:r/>
          </w:p>
        </w:tc>
      </w:tr>
      <w:tr>
        <w:trPr>
          <w:trHeight w:val="33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地坎</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硬质铝合金</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rPr>
                <w:rFonts w:hint="eastAsia" w:ascii="宋体" w:hAnsi="宋体"/>
                <w:color w:val="000000"/>
                <w:szCs w:val="24"/>
                <w:lang w:val="zh-CN"/>
              </w:rPr>
            </w:pPr>
            <w:r>
              <w:rPr>
                <w:rFonts w:hint="eastAsia" w:ascii="宋体" w:hAnsi="宋体" w:cs="宋体"/>
                <w:color w:val="000000"/>
                <w:szCs w:val="21"/>
                <w:lang w:val="zh-CN" w:bidi="ar"/>
              </w:rPr>
              <w:t xml:space="preserve">▲</w:t>
            </w:r>
            <w:r>
              <w:rPr>
                <w:rFonts w:hint="eastAsia" w:ascii="宋体" w:hAnsi="宋体"/>
                <w:color w:val="000000"/>
                <w:szCs w:val="24"/>
                <w:lang w:val="zh-CN"/>
              </w:rPr>
              <w:t xml:space="preserve">刷卡功能</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有（</w:t>
            </w:r>
            <w:r>
              <w:rPr>
                <w:rFonts w:hint="eastAsia" w:ascii="宋体" w:hAnsi="宋体"/>
                <w:color w:val="000000"/>
                <w:szCs w:val="24"/>
              </w:rPr>
              <w:t xml:space="preserve">人脸识别</w:t>
            </w:r>
            <w:r>
              <w:rPr>
                <w:rFonts w:hint="eastAsia" w:ascii="宋体" w:hAnsi="宋体"/>
                <w:color w:val="000000"/>
                <w:szCs w:val="24"/>
                <w:lang w:val="zh-CN"/>
              </w:rPr>
              <w:t xml:space="preserve">）</w:t>
            </w:r>
            <w:r>
              <w:rPr>
                <w:rFonts w:hint="eastAsia" w:ascii="宋体" w:hAnsi="宋体"/>
                <w:color w:val="000000"/>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其他要求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1、厅门耐火完整性2小时</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2、轿厢单冷空调</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配置轿顶排风扇2个</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hint="eastAsia" w:ascii="宋体" w:hAnsi="宋体"/>
                <w:color w:val="000000"/>
                <w:szCs w:val="24"/>
              </w:rPr>
              <w:t xml:space="preserve">4、</w:t>
            </w:r>
            <w:r>
              <w:rPr>
                <w:rFonts w:ascii="宋体" w:hAnsi="宋体"/>
                <w:color w:val="000000"/>
                <w:szCs w:val="24"/>
              </w:rPr>
              <w:t xml:space="preserve">轿厢视频监控电缆预留</w:t>
            </w:r>
            <w:r>
              <w:rPr>
                <w:rFonts w:hint="eastAsia" w:ascii="宋体" w:hAnsi="宋体"/>
                <w:color w:val="000000"/>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功能要求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集选控制</w:t>
            </w:r>
            <w:r>
              <w:rPr>
                <w:rFonts w:hint="eastAsia" w:ascii="宋体" w:hAnsi="宋体"/>
                <w:color w:val="000000"/>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自动返基站</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满载直驶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反向指令自动消除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重新初始化运行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故障自诊断</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井道楼层间距自学习</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端站保护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超载保护</w:t>
            </w:r>
            <w:r>
              <w:rPr>
                <w:rFonts w:hint="eastAsia" w:ascii="宋体" w:hAnsi="宋体"/>
                <w:color w:val="000000"/>
                <w:sz w:val="22"/>
                <w:szCs w:val="24"/>
                <w:lang w:val="zh-CN"/>
              </w:rPr>
            </w:r>
            <w:r/>
          </w:p>
        </w:tc>
      </w:tr>
      <w:tr>
        <w:trPr>
          <w:trHeight w:val="2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驱动设备过热保护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电网异常检测功能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接触器异常检测功能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抱闸异常检测功能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轿顶检修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紧急电动运行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自动泊梯</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锁梯开关</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自动返回</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开关门按钮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关门力矩保护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轿厢开门保护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厅外重开门</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轿厢关门延时保护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内部通话装置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轿厢到站钟</w:t>
            </w:r>
            <w:r>
              <w:rPr>
                <w:rFonts w:hint="eastAsia" w:ascii="宋体" w:hAnsi="宋体"/>
                <w:color w:val="000000"/>
                <w:sz w:val="22"/>
                <w:szCs w:val="24"/>
                <w:lang w:val="zh-CN"/>
              </w:rPr>
            </w:r>
            <w:r/>
          </w:p>
        </w:tc>
      </w:tr>
      <w:tr>
        <w:trPr>
          <w:trHeight w:val="29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轿厢警铃</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轿厢内应急照明</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轿内照明风扇自动控制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司机操作</w:t>
            </w:r>
            <w:r>
              <w:rPr>
                <w:rFonts w:hint="eastAsia" w:ascii="宋体" w:hAnsi="宋体"/>
                <w:color w:val="000000"/>
                <w:sz w:val="22"/>
                <w:szCs w:val="24"/>
                <w:lang w:val="zh-CN"/>
              </w:rPr>
            </w:r>
            <w:r/>
          </w:p>
        </w:tc>
      </w:tr>
      <w:tr>
        <w:trPr>
          <w:trHeight w:val="32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独立操作</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防捣乱保护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消防紧急迫降功能</w:t>
            </w:r>
            <w:r>
              <w:rPr>
                <w:rFonts w:hint="eastAsia" w:ascii="宋体" w:hAnsi="宋体"/>
                <w:color w:val="000000"/>
                <w:sz w:val="22"/>
                <w:szCs w:val="24"/>
                <w:lang w:val="zh-CN"/>
              </w:rPr>
            </w:r>
            <w:r/>
          </w:p>
        </w:tc>
      </w:tr>
      <w:tr>
        <w:trPr>
          <w:trHeight w:val="689"/>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zh-CN"/>
              </w:rPr>
            </w:pPr>
            <w:r>
              <w:rPr>
                <w:rFonts w:hint="eastAsia" w:ascii="宋体" w:hAnsi="宋体" w:eastAsia="宋体" w:cs="Times New Roman"/>
                <w:color w:val="000000"/>
                <w:szCs w:val="24"/>
                <w:lang w:val="zh-CN"/>
              </w:rPr>
              <w:t xml:space="preserve">▲控制柜抗雷击浪涌电压</w:t>
            </w:r>
            <w:bookmarkStart w:id="196" w:name="OLE_LINK20"/>
            <w:r/>
            <w:bookmarkStart w:id="197" w:name="OLE_LINK24"/>
            <w:r>
              <w:rPr>
                <w:rFonts w:hint="eastAsia" w:ascii="宋体" w:hAnsi="宋体" w:eastAsia="宋体" w:cs="Times New Roman"/>
                <w:color w:val="000000"/>
                <w:szCs w:val="24"/>
                <w:lang w:val="zh-CN"/>
              </w:rPr>
              <w:t xml:space="preserve">达到25kv</w:t>
            </w:r>
            <w:bookmarkEnd w:id="196"/>
            <w:r/>
            <w:bookmarkEnd w:id="197"/>
            <w:r>
              <w:rPr>
                <w:rFonts w:hint="eastAsia" w:ascii="宋体" w:hAnsi="宋体" w:eastAsia="宋体" w:cs="Times New Roman"/>
                <w:color w:val="000000"/>
                <w:szCs w:val="24"/>
                <w:lang w:val="zh-CN"/>
              </w:rPr>
              <w:t xml:space="preserve">及以上。</w:t>
            </w:r>
            <w:bookmarkStart w:id="198" w:name="OLE_LINK25"/>
            <w:r>
              <w:rPr>
                <w:rFonts w:hint="eastAsia" w:ascii="宋体" w:hAnsi="宋体" w:eastAsia="宋体" w:cs="Times New Roman"/>
                <w:color w:val="000000"/>
                <w:szCs w:val="24"/>
                <w:lang w:val="zh-CN"/>
              </w:rPr>
              <w:t xml:space="preserve">（签订合同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bookmarkEnd w:id="198"/>
            <w:r>
              <w:rPr>
                <w:rFonts w:hint="eastAsia" w:ascii="宋体" w:hAnsi="宋体" w:eastAsia="宋体" w:cs="Times New Roman"/>
                <w:color w:val="000000"/>
                <w:szCs w:val="24"/>
                <w:lang w:val="zh-CN"/>
              </w:rPr>
            </w:r>
            <w:r/>
          </w:p>
        </w:tc>
      </w:tr>
      <w:tr>
        <w:trPr>
          <w:trHeight w:val="57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▲按钮使用次数达到2000万次使用寿命。（签订合同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r>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▲门机使用次数达2000万次，防护等级IP68（签订合同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bl>
    <w:p>
      <w:pPr>
        <w:pStyle w:val="875"/>
        <w:widowControl/>
        <w:rPr>
          <w:rFonts w:hint="eastAsia" w:ascii="宋体" w:hAnsi="宋体" w:eastAsia="宋体" w:cs="宋体"/>
          <w:bCs/>
          <w:color w:val="000000"/>
          <w:sz w:val="24"/>
          <w:szCs w:val="24"/>
        </w:rPr>
      </w:pPr>
      <w:r>
        <w:rPr>
          <w:rFonts w:hint="eastAsia" w:ascii="宋体" w:hAnsi="宋体"/>
          <w:b/>
          <w:bCs/>
          <w:color w:val="000000"/>
          <w:sz w:val="24"/>
        </w:rPr>
        <w:t xml:space="preserve"> </w:t>
      </w: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w:t>
      </w:r>
      <w:r>
        <w:rPr>
          <w:rFonts w:hint="eastAsia" w:ascii="宋体" w:hAnsi="宋体" w:eastAsia="宋体" w:cs="宋体"/>
          <w:bCs w:val="0"/>
          <w:color w:val="000000"/>
          <w:sz w:val="24"/>
          <w:szCs w:val="24"/>
          <w:lang w:val="en-US" w:eastAsia="zh-CN"/>
        </w:rPr>
        <w:t xml:space="preserve">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（1）电梯安装要求：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供应商接到中标通知后一周内提交详细的施工图等。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3）安全保证措施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电梯安装现场必须有技术、安全人员监护；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电梯安装区域设置警戒线，有明显标志，并要有专人监护，安装期间现场严禁闲杂人员进出；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电梯安装前工作人员应对工具、附件等仔细检查，不合格者立即更换，确保正常使用；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⑤电梯安装过程中须有专人照看电源；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⑦电梯安装过程中严禁由高空向下抛投物品；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⑫电梯安装过程中吊笼载荷不允许超过额定安装载重量。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⑭电梯安装期间绝对不允许非安装人员使用施工升降机；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⑮安装期间严禁饮酒、打闹；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4）质量保证措施</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5）其它要求及说明：</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电梯的电源总柜内，应有安装电源电缆的足够空间与配套紧固件。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6）其它注意事项和要求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以现场勘查采购人确认的数据实际为准。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如果建筑物现有共用总接地点接地电阻值不能满足响应电梯安装要求，由供应商自行解决。</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7）施工具体要求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搭建临时安全通道，保证人员的正常出行。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对关键施工技术、工艺及工程项目的重点、难点提出合理解决方案。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明确现场服务人员组织架构、人员数量及年龄架构。至少包含项目负责人与安全员。（签订合同时提供相关人员信息，包含姓名、证书原件及复印件）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安装调试人员应注意保护电梯邻近的设备、管线等，如造成损坏，中标供应商应负责修复及承担一切相关费用。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应及时清理在修理及安装调试期间产生的垃圾。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①供应商保证货物是全新、未使用过的原装合格正品。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③供应商提供的货物符合国家有关质量技术标准及相关法律、法规规定的要求。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①验收标准：供应商提供的设备必须符合我国最新颁布的与之相关的技术规范与标准。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⑥产品配置符合投标文件承诺。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（3）质保（维保）、售后及培训要求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rPr>
      </w:pPr>
      <w:r>
        <w:rPr>
          <w:rFonts w:hint="eastAsia" w:ascii="宋体" w:hAnsi="宋体" w:eastAsia="宋体" w:cs="宋体"/>
          <w:bCs w:val="0"/>
          <w:color w:val="000000"/>
          <w:sz w:val="24"/>
          <w:szCs w:val="24"/>
          <w:lang w:val="en-US" w:eastAsia="zh-CN"/>
        </w:rPr>
        <w:t xml:space="preserve">1）</w:t>
      </w:r>
      <w:r>
        <w:rPr>
          <w:rFonts w:ascii="Arial" w:hAnsi="Arial" w:eastAsia="Arial" w:cs="Arial"/>
          <w:color w:val="000000"/>
          <w:sz w:val="24"/>
          <w:szCs w:val="24"/>
          <w:highlight w:val="white"/>
        </w:rPr>
        <w:t xml:space="preserve">质保要求:供应商须提供电梯质保（维保）（签订合同时提供加盖供应商公章的质量与售后服务承诺书），本项目整体质保2年，质保期自经政府部门验收合格、并取得南京市质监部门出具的验收报告和颁发的安全验收合格运行许可证之日起算。（质保期内供应商负责电梯年检，费用包含在投标报价中;供应商不得转包本项目，未经采购人书面同意不得分包项目主体及关键维保工作。）</w:t>
      </w:r>
      <w:r>
        <w:rPr>
          <w:rFonts w:hint="eastAsia" w:ascii="宋体" w:hAnsi="宋体" w:eastAsia="宋体" w:cs="宋体"/>
          <w:bCs w:val="0"/>
          <w:color w:val="000000"/>
          <w:sz w:val="24"/>
          <w:szCs w:val="24"/>
          <w:lang w:val="en-US" w:eastAsia="zh-CN"/>
        </w:rPr>
      </w:r>
      <w:r>
        <w:rPr>
          <w:sz w:val="24"/>
          <w:szCs w:val="24"/>
        </w:rP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2）售后服务要求：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（4）培训要求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cs="宋体"/>
          <w:bCs/>
          <w:sz w:val="24"/>
          <w:szCs w:val="24"/>
          <w:highlight w:val="none"/>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0" w:name="_Toc120614281"/>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5"/>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5"/>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20"/>
        <w:keepLines w:val="0"/>
        <w:keepNext w:val="0"/>
        <w:pageBreakBefore w:val="0"/>
        <w:spacing w:line="240" w:lineRule="auto"/>
        <w:widowControl/>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产品技术参数全部满足招标要求的得满分，打★指标为必须满足项，如有负偏离将作为无效投标，打▲指标（共7项）为重要指标，有1项负偏离扣1分，其余指标有1项负偏离扣0.155分。</w:t>
            </w:r>
            <w:r>
              <w:rPr>
                <w:rFonts w:hint="eastAsia" w:ascii="宋体" w:hAnsi="宋体" w:eastAsia="宋体" w:cs="宋体"/>
                <w:color w:val="000000"/>
                <w:szCs w:val="21"/>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曳引媒介的耐用性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根据所投电梯曳引媒介（钢丝绳或钢带）疲劳测试折弯次数进行打分，测试次数≥2500万次的得3分，2500万次＞测试次数≥2000万次的得2分，2000万次＞测试次数≥1500万次的得1分，其他不得分。</w:t>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（提供符合国家及行业相关管理规范要求的第三方检测机构出具的试验报告，需反映以上参数。未提供或提供不符合要求的不得分）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安全部件稳定性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90"/>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5"/>
              <w:rPr>
                <w:rFonts w:ascii="宋体" w:hAnsi="宋体" w:cs="宋体"/>
                <w:color w:val="000000"/>
                <w:sz w:val="21"/>
                <w:szCs w:val="21"/>
                <w:lang w:val="en-US" w:eastAsia="zh-CN" w:bidi="ar-SA"/>
              </w:rPr>
            </w:pPr>
            <w:r>
              <w:rPr>
                <w:rFonts w:hint="eastAsia" w:ascii="宋体" w:hAnsi="宋体" w:cs="宋体"/>
                <w:color w:val="000000"/>
              </w:rPr>
              <w:t xml:space="preserve">制动器稳定性</w:t>
            </w:r>
            <w:r>
              <w:rPr>
                <w:rFonts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hint="eastAsia" w:ascii="宋体" w:hAnsi="宋体" w:cs="宋体"/>
                <w:color w:val="000000"/>
                <w:szCs w:val="21"/>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1"/>
                <w:lang w:val="en-US"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5"/>
              <w:rPr>
                <w:rFonts w:hint="eastAsia" w:ascii="宋体" w:hAnsi="宋体" w:cs="宋体"/>
                <w:color w:val="000000"/>
                <w:sz w:val="21"/>
                <w:szCs w:val="22"/>
                <w:lang w:val="en-US" w:eastAsia="zh-CN" w:bidi="ar-SA"/>
              </w:rPr>
            </w:pPr>
            <w:r>
              <w:rPr>
                <w:rFonts w:hint="eastAsia" w:ascii="宋体" w:hAnsi="宋体" w:cs="宋体"/>
                <w:color w:val="000000"/>
              </w:rPr>
              <w:t xml:space="preserve">电梯光幕的安全性</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5"/>
              <w:rPr>
                <w:rFonts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lang w:val="en-US" w:eastAsia="zh-CN"/>
              </w:rPr>
              <w:t xml:space="preserve">安全性评分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rPr>
                <w:rFonts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ind w:left="0" w:firstLine="0"/>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hint="eastAsia" w:ascii="宋体" w:hAnsi="宋体" w:cs="宋体"/>
                <w:color w:val="000000"/>
                <w:lang w:val="zh-CN"/>
              </w:rPr>
            </w:r>
            <w:r/>
          </w:p>
          <w:p>
            <w:pPr>
              <w:pStyle w:val="875"/>
              <w:rPr>
                <w:rFonts w:ascii="宋体" w:hAnsi="宋体" w:cs="宋体"/>
                <w:color w:val="000000"/>
              </w:rPr>
            </w:pPr>
            <w:r>
              <w:rPr>
                <w:rFonts w:ascii="宋体" w:hAnsi="宋体" w:cs="宋体"/>
                <w:color w:val="000000"/>
              </w:rPr>
              <w:t xml:space="preserve">注：</w:t>
            </w:r>
            <w:r>
              <w:rPr>
                <w:rFonts w:ascii="宋体" w:hAnsi="宋体" w:cs="宋体"/>
                <w:color w:val="000000"/>
              </w:rPr>
            </w:r>
            <w:r/>
          </w:p>
          <w:p>
            <w:pPr>
              <w:pStyle w:val="875"/>
              <w:rPr>
                <w:rFonts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ascii="宋体" w:hAnsi="宋体" w:cs="宋体"/>
                <w:color w:val="000000"/>
              </w:rPr>
              <w:t xml:space="preserve">以上</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ascii="宋体" w:hAnsi="宋体" w:cs="宋体"/>
                <w:color w:val="000000"/>
              </w:rPr>
              <w:t xml:space="preserve">；</w:t>
            </w:r>
            <w:r>
              <w:rPr>
                <w:rFonts w:ascii="宋体" w:hAnsi="宋体" w:cs="宋体"/>
                <w:color w:val="000000"/>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2"/>
                <w:lang w:val="zh-CN"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2"/>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10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75"/>
              <w:rPr>
                <w:rFonts w:ascii="宋体" w:hAnsi="宋体" w:eastAsia="宋体" w:cs="宋体"/>
                <w:color w:val="000000"/>
                <w:lang w:val="en-US" w:eastAsia="zh-CN"/>
              </w:rPr>
            </w:pPr>
            <w:r>
              <w:rPr>
                <w:rFonts w:hint="eastAsia" w:ascii="宋体" w:hAnsi="宋体" w:cs="宋体"/>
                <w:color w:val="000000"/>
                <w:lang w:val="en-US" w:eastAsia="zh-CN"/>
              </w:rPr>
              <w:t xml:space="preserve">产品兼容</w:t>
            </w:r>
            <w:r>
              <w:rPr>
                <w:rFonts w:ascii="宋体" w:hAnsi="宋体" w:eastAsia="宋体" w:cs="宋体"/>
                <w:color w:val="000000"/>
                <w:lang w:val="en-US" w:eastAsia="zh-CN"/>
              </w:rPr>
            </w:r>
            <w:r/>
          </w:p>
        </w:tc>
        <w:tc>
          <w:tcPr>
            <w:tcW w:w="6330" w:type="dxa"/>
            <w:vAlign w:val="center"/>
            <w:textDirection w:val="lrTb"/>
            <w:noWrap w:val="false"/>
          </w:tcPr>
          <w:p>
            <w:pPr>
              <w:pStyle w:val="875"/>
              <w:rPr>
                <w:rFonts w:ascii="宋体" w:hAnsi="宋体" w:eastAsia="宋体" w:cs="宋体"/>
                <w:color w:val="000000"/>
                <w:lang w:val="en-US" w:eastAsia="zh-CN"/>
              </w:rPr>
            </w:pPr>
            <w:r>
              <w:rPr>
                <w:rFonts w:ascii="宋体" w:hAnsi="宋体" w:cs="宋体"/>
                <w:color w:val="000000"/>
                <w:lang w:val="zh-CN"/>
              </w:rPr>
              <w:t xml:space="preserve">所投电梯光幕与所投电梯为同一品牌</w:t>
            </w:r>
            <w:r>
              <w:rPr>
                <w:rFonts w:hint="eastAsia" w:ascii="宋体" w:hAnsi="宋体" w:cs="宋体"/>
                <w:color w:val="000000"/>
                <w:lang w:val="zh-CN"/>
              </w:rPr>
              <w:t xml:space="preserve">，</w:t>
            </w:r>
            <w:r>
              <w:rPr>
                <w:rFonts w:hint="eastAsia" w:ascii="宋体" w:hAnsi="宋体" w:cs="宋体"/>
                <w:color w:val="000000"/>
                <w:lang w:val="en-US" w:eastAsia="zh-CN"/>
              </w:rPr>
              <w:t xml:space="preserve">得1分（提供承诺或相关证明材料，承诺书格式自拟）。</w:t>
            </w:r>
            <w:r>
              <w:rPr>
                <w:rFonts w:ascii="宋体" w:hAnsi="宋体" w:eastAsia="宋体" w:cs="宋体"/>
                <w:color w:val="000000"/>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ascii="宋体" w:hAnsi="宋体" w:eastAsia="宋体" w:cs="宋体"/>
                <w:szCs w:val="21"/>
                <w:lang w:val="en-US" w:eastAsia="zh-CN"/>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安装方案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5"/>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cs="宋体"/>
                <w:color w:val="000000"/>
                <w:lang w:val="zh-CN"/>
              </w:rPr>
              <w:t xml:space="preserve">1.安装人员的配置；2安装计划流程；3.安装的进度保证措施；4.安装现场安全措施；5.安装调试和验收等内容。</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5"/>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5"/>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；2.售后</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（含专业人员保障）。以上每项内容逐条阐述。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rPr>
                <w:rFonts w:ascii="Times New Roman" w:hAnsi="Times New Roman" w:eastAsia="宋体" w:cs="Times New Roman"/>
                <w:color w:val="000000"/>
                <w:lang w:val="en-US"/>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5"/>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spacing w:line="264" w:lineRule="auto"/>
              <w:widowControl/>
              <w:rPr>
                <w:rFonts w:hint="eastAsia"/>
                <w:color w:val="000000"/>
                <w:sz w:val="21"/>
                <w:szCs w:val="21"/>
                <w:lang w:val="en-US" w:eastAsia="zh-CN" w:bidi="ar-SA"/>
              </w:rPr>
            </w:pPr>
            <w:r>
              <w:rPr>
                <w:color w:val="000000"/>
                <w:szCs w:val="21"/>
              </w:rPr>
              <w:t xml:space="preserve">故障处理及应急措施方案</w:t>
            </w:r>
            <w:r>
              <w:rPr>
                <w:rFonts w:hint="eastAsia"/>
                <w:color w:val="000000"/>
                <w:sz w:val="21"/>
                <w:szCs w:val="21"/>
                <w:lang w:val="en-US" w:eastAsia="zh-CN" w:bidi="ar-SA"/>
              </w:rPr>
            </w:r>
            <w:r/>
          </w:p>
        </w:tc>
        <w:tc>
          <w:tcPr>
            <w:tcW w:w="6330" w:type="dxa"/>
            <w:vAlign w:val="center"/>
            <w:textDirection w:val="lrTb"/>
            <w:noWrap w:val="false"/>
          </w:tcPr>
          <w:p>
            <w:pPr>
              <w:pStyle w:val="875"/>
              <w:jc w:val="left"/>
              <w:spacing w:line="264" w:lineRule="auto"/>
              <w:widowControl/>
              <w:rPr>
                <w:rFonts w:hint="eastAsia"/>
                <w:color w:val="000000"/>
                <w:szCs w:val="21"/>
              </w:rPr>
            </w:pPr>
            <w:r>
              <w:rPr>
                <w:rFonts w:hint="eastAsia"/>
                <w:color w:val="000000"/>
                <w:szCs w:val="21"/>
              </w:rPr>
              <w:t xml:space="preserve">根据本项目采购需求</w:t>
            </w:r>
            <w:r>
              <w:rPr>
                <w:rFonts w:hint="eastAsia"/>
                <w:color w:val="000000"/>
                <w:sz w:val="21"/>
                <w:szCs w:val="21"/>
                <w:lang w:val="en-US" w:eastAsia="zh-CN" w:bidi="ar-SA"/>
              </w:rPr>
              <w:t xml:space="preserve">及相关要求</w:t>
            </w:r>
            <w:r>
              <w:rPr>
                <w:rFonts w:hint="eastAsia"/>
                <w:color w:val="000000"/>
                <w:szCs w:val="21"/>
              </w:rPr>
              <w:t xml:space="preserve">编制方案，内容包含：1.组织指挥体系及职责；2.故障处理措施计划；3.应急措施计划。</w:t>
            </w:r>
            <w:r>
              <w:rPr>
                <w:rFonts w:hint="eastAsia" w:ascii="Times New Roman" w:hAnsi="Times New Roman" w:eastAsia="宋体" w:cs="Times New Roman"/>
                <w:color w:val="000000"/>
                <w:sz w:val="21"/>
                <w:szCs w:val="21"/>
                <w:lang w:val="en-US" w:eastAsia="zh-CN" w:bidi="ar-SA"/>
              </w:rPr>
              <w:t xml:space="preserve">以上每项内容逐条阐述。</w:t>
            </w:r>
            <w:r>
              <w:rPr>
                <w:rFonts w:hint="eastAsia"/>
                <w:color w:val="000000"/>
                <w:szCs w:val="21"/>
              </w:rPr>
            </w:r>
            <w:r/>
          </w:p>
          <w:p>
            <w:pPr>
              <w:pStyle w:val="875"/>
              <w:jc w:val="left"/>
              <w:spacing w:line="264" w:lineRule="auto"/>
              <w:widowControl/>
              <w:rPr>
                <w:rFonts w:hint="eastAsia"/>
                <w:color w:val="000000"/>
                <w:szCs w:val="21"/>
              </w:rPr>
            </w:pPr>
            <w:r>
              <w:rPr>
                <w:rFonts w:hint="eastAsia"/>
                <w:color w:val="000000"/>
                <w:szCs w:val="21"/>
              </w:rPr>
              <w:t xml:space="preserve">方案内容质量标准高、时间计划、工作流程具体、</w:t>
            </w:r>
            <w:r>
              <w:rPr>
                <w:rFonts w:hint="eastAsia"/>
                <w:color w:val="000000"/>
                <w:szCs w:val="21"/>
                <w:lang w:val="en-US" w:eastAsia="zh-CN"/>
              </w:rPr>
              <w:t xml:space="preserve">具有</w:t>
            </w:r>
            <w:r>
              <w:rPr>
                <w:rFonts w:hint="eastAsia"/>
                <w:color w:val="000000"/>
                <w:szCs w:val="21"/>
              </w:rPr>
              <w:t xml:space="preserve">可操作性，且专门针对本项目，符合采购需求和实际情况视为符合；方案内容属于通用类，非专门针对本项目，部分符合实际情况视为部分符合；</w:t>
            </w:r>
            <w:r>
              <w:rPr>
                <w:rFonts w:hint="eastAsia" w:ascii="Times New Roman" w:hAnsi="Times New Roman" w:eastAsia="宋体" w:cs="Times New Roman"/>
                <w:color w:val="000000"/>
                <w:sz w:val="21"/>
                <w:szCs w:val="21"/>
                <w:lang w:val="en-US" w:eastAsia="zh-CN" w:bidi="ar-SA"/>
              </w:rPr>
              <w:t xml:space="preserve">方案内容非专门针对本项目，脱离采购需求视为不符合。</w:t>
            </w:r>
            <w:r>
              <w:rPr>
                <w:rFonts w:hint="eastAsia"/>
                <w:color w:val="000000"/>
                <w:szCs w:val="21"/>
              </w:rPr>
            </w:r>
            <w:r/>
          </w:p>
          <w:p>
            <w:pPr>
              <w:pStyle w:val="875"/>
              <w:jc w:val="left"/>
              <w:spacing w:line="264" w:lineRule="auto"/>
              <w:widowControl/>
              <w:rPr>
                <w:rFonts w:hint="eastAsia"/>
                <w:color w:val="000000"/>
                <w:sz w:val="21"/>
                <w:szCs w:val="21"/>
                <w:lang w:val="en-US" w:eastAsia="zh-CN" w:bidi="ar-SA"/>
              </w:rPr>
            </w:pPr>
            <w:r>
              <w:rPr>
                <w:rFonts w:hint="eastAsia"/>
                <w:color w:val="000000"/>
                <w:szCs w:val="21"/>
              </w:rPr>
              <w:t xml:space="preserve">上述每项内容符合得</w:t>
            </w:r>
            <w:r>
              <w:rPr>
                <w:rFonts w:hint="eastAsia"/>
                <w:color w:val="000000"/>
                <w:szCs w:val="21"/>
                <w:lang w:val="en-US" w:eastAsia="zh-CN"/>
              </w:rPr>
              <w:t xml:space="preserve">2</w:t>
            </w:r>
            <w:r>
              <w:rPr>
                <w:rFonts w:hint="eastAsia"/>
                <w:color w:val="000000"/>
                <w:szCs w:val="21"/>
              </w:rPr>
              <w:t xml:space="preserve">分；部分符合得</w:t>
            </w:r>
            <w:r>
              <w:rPr>
                <w:rFonts w:hint="eastAsia"/>
                <w:color w:val="000000"/>
                <w:szCs w:val="21"/>
                <w:lang w:val="en-US" w:eastAsia="zh-CN"/>
              </w:rPr>
              <w:t xml:space="preserve">1</w:t>
            </w:r>
            <w:r>
              <w:rPr>
                <w:rFonts w:hint="eastAsia"/>
                <w:color w:val="000000"/>
                <w:szCs w:val="21"/>
              </w:rPr>
              <w:t xml:space="preserve">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5"/>
              <w:jc w:val="center"/>
              <w:spacing w:before="68" w:line="264" w:lineRule="auto"/>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：1.培训内容及</w:t>
            </w:r>
            <w:r>
              <w:rPr>
                <w:rFonts w:hint="eastAsia" w:ascii="Times New Roman" w:hAnsi="Times New Roman" w:eastAsia="宋体" w:cs="Times New Roman"/>
                <w:color w:val="000000"/>
                <w:sz w:val="21"/>
                <w:szCs w:val="21"/>
                <w:lang w:val="en-US" w:eastAsia="zh-CN" w:bidi="ar-SA"/>
              </w:rPr>
              <w:t xml:space="preserve">培训时长</w:t>
            </w:r>
            <w:r>
              <w:rPr>
                <w:rFonts w:hint="eastAsia" w:ascii="Times New Roman" w:hAnsi="Times New Roman" w:eastAsia="宋体" w:cs="Times New Roman"/>
                <w:color w:val="000000"/>
                <w:sz w:val="21"/>
                <w:szCs w:val="21"/>
                <w:lang w:val="en-US" w:eastAsia="zh-CN" w:bidi="ar-SA"/>
              </w:rPr>
              <w:t xml:space="preserve">；2.培训日程安排；3.培训</w:t>
            </w:r>
            <w:r>
              <w:rPr>
                <w:rFonts w:hint="eastAsia" w:ascii="Times New Roman" w:hAnsi="Times New Roman" w:eastAsia="宋体" w:cs="Times New Roman"/>
                <w:color w:val="000000"/>
                <w:sz w:val="21"/>
                <w:szCs w:val="21"/>
                <w:lang w:val="en-US" w:eastAsia="zh-CN" w:bidi="ar-SA"/>
              </w:rPr>
              <w:t xml:space="preserve">质量</w:t>
            </w:r>
            <w:r>
              <w:rPr>
                <w:rFonts w:hint="eastAsia" w:ascii="Times New Roman" w:hAnsi="Times New Roman" w:eastAsia="宋体" w:cs="Times New Roman"/>
                <w:color w:val="000000"/>
                <w:sz w:val="21"/>
                <w:szCs w:val="21"/>
                <w:lang w:val="en-US" w:eastAsia="zh-CN" w:bidi="ar-SA"/>
              </w:rPr>
              <w:t xml:space="preserve">保</w:t>
            </w:r>
            <w:r>
              <w:rPr>
                <w:rFonts w:hint="eastAsia" w:ascii="Times New Roman" w:hAnsi="Times New Roman" w:eastAsia="宋体" w:cs="Times New Roman"/>
                <w:color w:val="000000"/>
                <w:sz w:val="21"/>
                <w:szCs w:val="21"/>
                <w:lang w:val="en-US" w:eastAsia="zh-CN" w:bidi="ar-SA"/>
              </w:rPr>
              <w:t xml:space="preserve">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5"/>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lang w:val="zh-CN"/>
              </w:rPr>
              <w:t xml:space="preserve">承担过所投同品牌电梯项目业绩</w:t>
            </w:r>
            <w:r>
              <w:rPr>
                <w:rFonts w:hint="eastAsia" w:ascii="宋体" w:hAnsi="宋体" w:eastAsia="宋体" w:cs="宋体"/>
                <w:color w:val="000000"/>
                <w:sz w:val="21"/>
                <w:szCs w:val="21"/>
                <w:lang w:val="en-US" w:eastAsia="zh-CN" w:bidi="ar-SA"/>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lang w:val="en-US" w:eastAsia="zh-CN"/>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lang w:val="en-US" w:eastAsia="zh-CN"/>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lang w:val="en-US" w:eastAsia="zh-CN"/>
              </w:rPr>
              <w:t xml:space="preserve">证明材料缺项或未提供不得分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5"/>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cs="宋体"/>
                <w:color w:val="000000"/>
                <w:lang w:val="zh-CN"/>
              </w:rPr>
              <w:t xml:space="preserve">提供购买的有效期内的《公众责任保险》，累计赔偿金额≥1.4亿元得3分；1亿元≤累计赔偿金额＜1.4亿元得1.5分；其他不得分</w:t>
            </w:r>
            <w:r>
              <w:rPr>
                <w:rFonts w:hint="eastAsia"/>
                <w:color w:val="000000"/>
                <w:lang w:val="en-US" w:eastAsia="zh-CN"/>
              </w:rPr>
              <w:t xml:space="preserve">（</w:t>
            </w:r>
            <w:r>
              <w:rPr>
                <w:rFonts w:hint="eastAsia" w:ascii="宋体" w:hAnsi="宋体" w:eastAsia="宋体" w:cs="宋体"/>
                <w:color w:val="000000"/>
                <w:sz w:val="21"/>
                <w:szCs w:val="21"/>
                <w:lang w:val="en-US" w:eastAsia="zh-CN" w:bidi="ar-SA"/>
              </w:rPr>
              <w:t xml:space="preserve">提供在有效期限内保险凭证或承诺函，承诺函格式自拟）</w:t>
            </w:r>
            <w:r>
              <w:rPr>
                <w:rFonts w:hint="eastAsia" w:ascii="宋体" w:hAnsi="宋体" w:cs="宋体"/>
                <w:color w:val="000000"/>
                <w:lang w:val="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七、投标分项报价表（本项目无需提供）</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szCs w:val="24"/>
        </w:rPr>
      </w:pPr>
      <w:r>
        <w:rPr>
          <w:rFonts w:ascii="宋体" w:hAnsi="宋体"/>
          <w:sz w:val="24"/>
        </w:rPr>
      </w:r>
      <w:r>
        <w:rPr>
          <w:rFonts w:ascii="宋体" w:hAnsi="宋体"/>
          <w:sz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671380"/>
      <w:r/>
      <w:bookmarkEnd w:id="207"/>
      <w:r/>
      <w:bookmarkStart w:id="208" w:name="_格式3__银行出具的资信证明"/>
      <w:r/>
      <w:bookmarkEnd w:id="208"/>
      <w:r/>
      <w:bookmarkStart w:id="209" w:name="_Hlt26955070"/>
      <w:r/>
      <w:bookmarkEnd w:id="209"/>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4"/>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5"/>
        <w:ind w:firstLine="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36"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4"/>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5"/>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0"/>
          <w:rFonts w:hint="eastAsia"/>
          <w:i w:val="0"/>
          <w:u w:val="single"/>
          <w:shd w:val="clear" w:color="auto" w:fill="ffffff"/>
        </w:rPr>
        <w:t xml:space="preserve">（产品名称1）</w:t>
      </w:r>
      <w:r>
        <w:rPr>
          <w:rStyle w:val="95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0"/>
          <w:rFonts w:hint="eastAsia"/>
          <w:i w:val="0"/>
          <w:u w:val="single"/>
          <w:shd w:val="clear" w:color="auto" w:fill="ffffff"/>
        </w:rPr>
        <w:t xml:space="preserve">（厂名）</w:t>
      </w:r>
      <w:r>
        <w:rPr>
          <w:rStyle w:val="950"/>
          <w:rFonts w:hint="eastAsia"/>
          <w:i w:val="0"/>
          <w:shd w:val="clear" w:color="auto" w:fill="ffffff"/>
          <w:vertAlign w:val="superscript"/>
        </w:rPr>
        <w:t xml:space="preserve">2</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Style w:val="950"/>
          <w:rFonts w:hint="eastAsia"/>
          <w:i w:val="0"/>
          <w:shd w:val="clear" w:color="auto" w:fill="ffffff"/>
          <w:vertAlign w:val="superscript"/>
        </w:rPr>
        <w:t xml:space="preserve">3</w:t>
      </w:r>
      <w:r>
        <w:rPr>
          <w:rFonts w:hint="eastAsia"/>
          <w:strike w:val="0"/>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Style w:val="95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Style w:val="950"/>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0"/>
          <w:rFonts w:hint="eastAsia"/>
          <w:i w:val="0"/>
          <w:u w:val="single"/>
          <w:shd w:val="clear" w:color="auto" w:fill="ffffff"/>
        </w:rPr>
        <w:t xml:space="preserve">（产品名称2）</w:t>
      </w:r>
      <w:r>
        <w:rPr>
          <w:rFonts w:hint="eastAsia"/>
          <w:shd w:val="clear" w:color="auto" w:fill="ffffff"/>
        </w:rPr>
        <w:t xml:space="preserve">，生产厂为</w:t>
      </w:r>
      <w:r>
        <w:rPr>
          <w:rStyle w:val="950"/>
          <w:rFonts w:hint="eastAsia"/>
          <w:i w:val="0"/>
          <w:u w:val="single"/>
          <w:shd w:val="clear" w:color="auto" w:fill="ffffff"/>
        </w:rPr>
        <w:t xml:space="preserve">（厂名）</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Fonts w:hint="eastAsia"/>
          <w:strike w:val="0"/>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8"/>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5"/>
        <w:jc w:val="center"/>
        <w:rPr>
          <w:rFonts w:hint="eastAsia" w:ascii="方正小标宋简体" w:hAnsi="方正小标宋简体" w:eastAsia="方正小标宋简体" w:cs="方正小标宋简体"/>
          <w:b w:val="0"/>
          <w:bCs w:val="0"/>
          <w:sz w:val="32"/>
          <w:szCs w:val="32"/>
        </w:rPr>
      </w:pPr>
      <w:r>
        <w:br w:type="page" w:clear="all"/>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3"/>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name w:val="批注文字 Char"/>
    <w:basedOn w:val="885"/>
    <w:next w:val="903"/>
    <w:link w:val="902"/>
    <w:uiPriority w:val="99"/>
    <w:semiHidden/>
  </w:style>
  <w:style w:type="paragraph" w:styleId="904">
    <w:name w:val="正文文本 3"/>
    <w:basedOn w:val="875"/>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10"/>
    <w:link w:val="909"/>
    <w:unhideWhenUsed/>
    <w:pPr>
      <w:ind w:left="420"/>
      <w:spacing w:after="120"/>
    </w:pPr>
  </w:style>
  <w:style w:type="character" w:styleId="909">
    <w:name w:val="正文文本缩进 Char"/>
    <w:basedOn w:val="885"/>
    <w:next w:val="909"/>
    <w:link w:val="908"/>
    <w:uiPriority w:val="99"/>
    <w:semiHidden/>
  </w:style>
  <w:style w:type="paragraph" w:styleId="910">
    <w:name w:val="寄信人地址"/>
    <w:basedOn w:val="875"/>
    <w:next w:val="910"/>
    <w:link w:val="875"/>
    <w:qFormat/>
    <w:rPr>
      <w:rFonts w:ascii="Arial" w:hAnsi="Arial" w:eastAsia="宋体" w:cs="宋体"/>
    </w:rPr>
  </w:style>
  <w:style w:type="paragraph" w:styleId="911">
    <w:name w:val="列表 2"/>
    <w:basedOn w:val="875"/>
    <w:next w:val="911"/>
    <w:link w:val="875"/>
    <w:pPr>
      <w:ind w:left="100" w:hanging="200"/>
    </w:pPr>
    <w:rPr>
      <w:rFonts w:ascii="Times New Roman" w:hAnsi="Times New Roman" w:eastAsia="宋体" w:cs="Times New Roman"/>
      <w:szCs w:val="21"/>
    </w:rPr>
  </w:style>
  <w:style w:type="paragraph" w:styleId="912">
    <w:name w:val="目录 5"/>
    <w:basedOn w:val="875"/>
    <w:next w:val="875"/>
    <w:link w:val="875"/>
    <w:semiHidden/>
    <w:pPr>
      <w:ind w:left="840"/>
      <w:jc w:val="left"/>
    </w:pPr>
    <w:rPr>
      <w:rFonts w:ascii="Times New Roman" w:hAnsi="Times New Roman" w:eastAsia="宋体" w:cs="Times New Roman"/>
      <w:szCs w:val="21"/>
    </w:rPr>
  </w:style>
  <w:style w:type="paragraph" w:styleId="913">
    <w:name w:val="目录 3"/>
    <w:basedOn w:val="875"/>
    <w:next w:val="875"/>
    <w:link w:val="875"/>
    <w:semiHidden/>
    <w:pPr>
      <w:ind w:left="420"/>
      <w:jc w:val="left"/>
    </w:pPr>
    <w:rPr>
      <w:rFonts w:ascii="Times New Roman" w:hAnsi="Times New Roman" w:eastAsia="宋体" w:cs="Times New Roman"/>
      <w:i/>
      <w:iCs/>
      <w:szCs w:val="24"/>
    </w:rPr>
  </w:style>
  <w:style w:type="paragraph" w:styleId="914">
    <w:name w:val="纯文本"/>
    <w:basedOn w:val="875"/>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rPr>
      <w:rFonts w:ascii="Times New Roman" w:hAnsi="Times New Roman" w:eastAsia="宋体" w:cs="Times New Roman"/>
      <w:szCs w:val="21"/>
    </w:rPr>
  </w:style>
  <w:style w:type="paragraph" w:styleId="917">
    <w:name w:val="日期"/>
    <w:basedOn w:val="875"/>
    <w:next w:val="875"/>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5"/>
    <w:next w:val="875"/>
    <w:link w:val="875"/>
    <w:semiHidden/>
    <w:pPr>
      <w:ind w:left="630"/>
      <w:jc w:val="left"/>
    </w:pPr>
    <w:rPr>
      <w:rFonts w:ascii="Times New Roman" w:hAnsi="Times New Roman" w:eastAsia="宋体" w:cs="Times New Roman"/>
      <w:szCs w:val="21"/>
    </w:rPr>
  </w:style>
  <w:style w:type="paragraph" w:styleId="929">
    <w:name w:val="列表"/>
    <w:basedOn w:val="875"/>
    <w:next w:val="929"/>
    <w:link w:val="875"/>
    <w:pPr>
      <w:ind w:left="200" w:hanging="200"/>
    </w:pPr>
    <w:rPr>
      <w:rFonts w:ascii="Times New Roman" w:hAnsi="Times New Roman" w:eastAsia="宋体" w:cs="Times New Roman"/>
      <w:szCs w:val="21"/>
    </w:rPr>
  </w:style>
  <w:style w:type="paragraph" w:styleId="930">
    <w:name w:val="目录 6"/>
    <w:basedOn w:val="875"/>
    <w:next w:val="875"/>
    <w:link w:val="875"/>
    <w:semiHidden/>
    <w:pPr>
      <w:ind w:left="1050"/>
      <w:jc w:val="left"/>
    </w:pPr>
    <w:rPr>
      <w:rFonts w:ascii="Times New Roman" w:hAnsi="Times New Roman" w:eastAsia="宋体" w:cs="Times New Roman"/>
      <w:szCs w:val="21"/>
    </w:rPr>
  </w:style>
  <w:style w:type="paragraph" w:styleId="931">
    <w:name w:val="正文文本缩进 3"/>
    <w:basedOn w:val="875"/>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rPr>
      <w:rFonts w:ascii="Times New Roman" w:hAnsi="Times New Roman" w:eastAsia="宋体" w:cs="Times New Roman"/>
      <w:szCs w:val="21"/>
    </w:rPr>
  </w:style>
  <w:style w:type="paragraph" w:styleId="934">
    <w:name w:val="目录 2"/>
    <w:basedOn w:val="875"/>
    <w:next w:val="875"/>
    <w:link w:val="875"/>
    <w:semiHidden/>
    <w:pPr>
      <w:ind w:left="210"/>
      <w:jc w:val="left"/>
    </w:pPr>
    <w:rPr>
      <w:rFonts w:ascii="Times New Roman" w:hAnsi="Times New Roman" w:eastAsia="宋体" w:cs="Times New Roman"/>
      <w:smallCaps/>
      <w:szCs w:val="24"/>
    </w:rPr>
  </w:style>
  <w:style w:type="paragraph" w:styleId="935">
    <w:name w:val="目录 9"/>
    <w:basedOn w:val="875"/>
    <w:next w:val="875"/>
    <w:link w:val="875"/>
    <w:semiHidden/>
    <w:pPr>
      <w:ind w:left="1680"/>
      <w:jc w:val="left"/>
    </w:pPr>
    <w:rPr>
      <w:rFonts w:ascii="Times New Roman" w:hAnsi="Times New Roman" w:eastAsia="宋体" w:cs="Times New Roman"/>
      <w:szCs w:val="21"/>
    </w:rPr>
  </w:style>
  <w:style w:type="paragraph" w:styleId="936">
    <w:name w:val="正文文本 2"/>
    <w:basedOn w:val="875"/>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5"/>
    <w:next w:val="875"/>
    <w:link w:val="875"/>
    <w:semiHidden/>
    <w:pPr>
      <w:spacing w:line="240" w:lineRule="atLeast"/>
    </w:pPr>
    <w:rPr>
      <w:rFonts w:ascii="Times New Roman" w:hAnsi="Times New Roman" w:eastAsia="宋体" w:cs="Times New Roman"/>
      <w:b/>
      <w:bCs/>
      <w:szCs w:val="21"/>
    </w:rPr>
  </w:style>
  <w:style w:type="paragraph" w:styleId="940">
    <w:name w:val="批注主题"/>
    <w:basedOn w:val="902"/>
    <w:next w:val="902"/>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8"/>
    <w:next w:val="875"/>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basedOn w:val="885"/>
    <w:next w:val="951"/>
    <w:link w:val="875"/>
    <w:rPr>
      <w:color w:val="0000ff"/>
      <w:u w:val="single"/>
    </w:rPr>
  </w:style>
  <w:style w:type="character" w:styleId="952">
    <w:name w:val="批注引用"/>
    <w:next w:val="952"/>
    <w:link w:val="875"/>
    <w:semiHidden/>
    <w:rPr>
      <w:sz w:val="21"/>
      <w:szCs w:val="21"/>
    </w:rPr>
  </w:style>
  <w:style w:type="character" w:styleId="953">
    <w:name w:val="批注文字 字符"/>
    <w:basedOn w:val="885"/>
    <w:next w:val="953"/>
    <w:link w:val="902"/>
    <w:rPr>
      <w:rFonts w:ascii="Calibri" w:hAnsi="Calibri" w:eastAsia="宋体" w:cs="Times New Roman"/>
      <w:sz w:val="21"/>
      <w:szCs w:val="24"/>
    </w:rPr>
  </w:style>
  <w:style w:type="paragraph" w:styleId="954">
    <w:name w:val="索引 41"/>
    <w:basedOn w:val="875"/>
    <w:next w:val="875"/>
    <w:link w:val="875"/>
    <w:semiHidden/>
    <w:qFormat/>
    <w:pPr>
      <w:ind w:left="1260"/>
    </w:pPr>
    <w:rPr>
      <w:rFonts w:ascii="Calibri" w:hAnsi="Calibri" w:eastAsia="Calibri" w:cs="宋体"/>
      <w:sz w:val="20"/>
      <w:lang w:val="zh-CN"/>
    </w:rPr>
  </w:style>
  <w:style w:type="character" w:styleId="955">
    <w:name w:val="font5 Char"/>
    <w:next w:val="955"/>
    <w:link w:val="875"/>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5"/>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5"/>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5"/>
    <w:next w:val="906"/>
    <w:link w:val="875"/>
    <w:pPr>
      <w:spacing w:after="120"/>
    </w:pPr>
    <w:rPr>
      <w:rFonts w:ascii="宋体" w:hAnsi="Arial" w:eastAsia="宋体" w:cs="Times New Roman"/>
      <w:bCs/>
      <w:iCs/>
      <w:szCs w:val="24"/>
    </w:rPr>
  </w:style>
  <w:style w:type="paragraph" w:styleId="961">
    <w:name w:val="xl27"/>
    <w:basedOn w:val="875"/>
    <w:next w:val="96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5"/>
    <w:next w:val="962"/>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5"/>
    <w:next w:val="963"/>
    <w:link w:val="875"/>
    <w:pPr>
      <w:ind w:firstLine="200"/>
      <w:tabs>
        <w:tab w:val="left" w:pos="360" w:leader="none"/>
      </w:tabs>
    </w:pPr>
    <w:rPr>
      <w:rFonts w:ascii="Times New Roman" w:hAnsi="Times New Roman" w:eastAsia="宋体" w:cs="Times New Roman"/>
      <w:sz w:val="28"/>
      <w:szCs w:val="30"/>
    </w:rPr>
  </w:style>
  <w:style w:type="paragraph" w:styleId="964">
    <w:name w:val=" Char"/>
    <w:basedOn w:val="900"/>
    <w:next w:val="964"/>
    <w:link w:val="875"/>
    <w:rPr>
      <w:rFonts w:ascii="Tahoma" w:hAnsi="Tahoma"/>
      <w:sz w:val="24"/>
      <w:szCs w:val="24"/>
    </w:rPr>
  </w:style>
  <w:style w:type="paragraph" w:styleId="965">
    <w:name w:val="普通正文"/>
    <w:basedOn w:val="875"/>
    <w:next w:val="965"/>
    <w:link w:val="875"/>
    <w:pPr>
      <w:ind w:firstLine="480"/>
      <w:jc w:val="left"/>
      <w:spacing w:before="120" w:after="120" w:line="360" w:lineRule="auto"/>
    </w:pPr>
    <w:rPr>
      <w:rFonts w:ascii="Arial" w:hAnsi="Arial" w:eastAsia="宋体" w:cs="Times New Roman"/>
      <w:sz w:val="24"/>
      <w:szCs w:val="24"/>
    </w:rPr>
  </w:style>
  <w:style w:type="paragraph" w:styleId="966">
    <w:name w:val="table_lines"/>
    <w:basedOn w:val="875"/>
    <w:next w:val="966"/>
    <w:link w:val="875"/>
    <w:pPr>
      <w:jc w:val="left"/>
      <w:widowControl/>
    </w:pPr>
    <w:rPr>
      <w:rFonts w:ascii="Times New Roman" w:hAnsi="Times New Roman" w:eastAsia="宋体" w:cs="Times New Roman"/>
      <w:sz w:val="20"/>
      <w:szCs w:val="20"/>
      <w:lang w:val="de-DE" w:eastAsia="de-DE"/>
    </w:rPr>
  </w:style>
  <w:style w:type="paragraph" w:styleId="967">
    <w:name w:val="附录1"/>
    <w:next w:val="967"/>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5"/>
    <w:next w:val="968"/>
    <w:link w:val="875"/>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0"/>
    <w:next w:val="969"/>
    <w:link w:val="875"/>
    <w:pPr>
      <w:spacing w:line="360" w:lineRule="auto"/>
    </w:pPr>
    <w:rPr>
      <w:rFonts w:ascii="Tahoma" w:hAnsi="Tahoma"/>
      <w:sz w:val="24"/>
      <w:szCs w:val="24"/>
    </w:rPr>
  </w:style>
  <w:style w:type="paragraph" w:styleId="970">
    <w:name w:val="列出段落"/>
    <w:basedOn w:val="875"/>
    <w:next w:val="970"/>
    <w:link w:val="875"/>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5"/>
    <w:next w:val="931"/>
    <w:link w:val="875"/>
    <w:pPr>
      <w:ind w:firstLine="420"/>
      <w:spacing w:line="360" w:lineRule="auto"/>
    </w:pPr>
    <w:rPr>
      <w:rFonts w:ascii="Times New Roman" w:hAnsi="Times New Roman" w:eastAsia="宋体" w:cs="Times New Roman"/>
      <w:color w:val="ff0000"/>
      <w:sz w:val="24"/>
      <w:szCs w:val="24"/>
    </w:rPr>
  </w:style>
  <w:style w:type="paragraph" w:styleId="972">
    <w:name w:val="普通 (Web)"/>
    <w:basedOn w:val="875"/>
    <w:next w:val="972"/>
    <w:link w:val="875"/>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5"/>
    <w:next w:val="973"/>
    <w:link w:val="875"/>
    <w:pPr>
      <w:spacing w:line="360" w:lineRule="auto"/>
    </w:pPr>
    <w:rPr>
      <w:rFonts w:ascii="Times New Roman" w:hAnsi="Times New Roman" w:eastAsia="宋体" w:cs="Times New Roman"/>
      <w:sz w:val="24"/>
      <w:szCs w:val="20"/>
    </w:rPr>
  </w:style>
  <w:style w:type="paragraph" w:styleId="974">
    <w:name w:val="样式1"/>
    <w:basedOn w:val="875"/>
    <w:next w:val="974"/>
    <w:link w:val="875"/>
    <w:pPr>
      <w:numPr>
        <w:ilvl w:val="0"/>
        <w:numId w:val="3"/>
      </w:numPr>
      <w:tabs>
        <w:tab w:val="left" w:pos="709" w:leader="none"/>
      </w:tabs>
    </w:pPr>
    <w:rPr>
      <w:rFonts w:ascii="宋体" w:hAnsi="宋体" w:eastAsia="宋体" w:cs="Times New Roman"/>
      <w:szCs w:val="21"/>
    </w:rPr>
  </w:style>
  <w:style w:type="paragraph" w:styleId="975">
    <w:name w:val="font6"/>
    <w:basedOn w:val="875"/>
    <w:next w:val="975"/>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5"/>
    <w:next w:val="976"/>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9">
    <w:name w:val="xl24"/>
    <w:basedOn w:val="875"/>
    <w:next w:val="97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5"/>
    <w:next w:val="980"/>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5"/>
    <w:next w:val="981"/>
    <w:link w:val="875"/>
    <w:pPr>
      <w:jc w:val="left"/>
      <w:spacing w:after="160" w:line="240" w:lineRule="exact"/>
      <w:widowControl/>
    </w:pPr>
    <w:rPr>
      <w:rFonts w:ascii="Verdana" w:hAnsi="Verdana" w:eastAsia="宋体" w:cs="Times New Roman"/>
      <w:sz w:val="20"/>
      <w:szCs w:val="20"/>
      <w:lang w:eastAsia="en-US"/>
    </w:rPr>
  </w:style>
  <w:style w:type="paragraph" w:styleId="982">
    <w:name w:val="xl28"/>
    <w:basedOn w:val="875"/>
    <w:next w:val="982"/>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5"/>
    <w:next w:val="983"/>
    <w:link w:val="875"/>
    <w:pPr>
      <w:jc w:val="left"/>
      <w:spacing w:after="160" w:line="240" w:lineRule="exact"/>
      <w:widowControl/>
    </w:pPr>
    <w:rPr>
      <w:rFonts w:ascii="Verdana" w:hAnsi="Verdana" w:eastAsia="宋体" w:cs="Times New Roman"/>
      <w:sz w:val="20"/>
      <w:szCs w:val="20"/>
      <w:lang w:eastAsia="en-US"/>
    </w:rPr>
  </w:style>
  <w:style w:type="paragraph" w:styleId="984">
    <w:name w:val="xl30"/>
    <w:basedOn w:val="875"/>
    <w:next w:val="984"/>
    <w:link w:val="875"/>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0"/>
    <w:next w:val="985"/>
    <w:link w:val="875"/>
    <w:pPr>
      <w:spacing w:line="360" w:lineRule="auto"/>
    </w:pPr>
    <w:rPr>
      <w:rFonts w:ascii="Tahoma" w:hAnsi="Tahoma"/>
      <w:sz w:val="24"/>
      <w:szCs w:val="24"/>
    </w:rPr>
  </w:style>
  <w:style w:type="paragraph" w:styleId="986">
    <w:name w:val="table_1stline"/>
    <w:basedOn w:val="875"/>
    <w:next w:val="986"/>
    <w:link w:val="875"/>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5"/>
    <w:next w:val="987"/>
    <w:link w:val="875"/>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5"/>
    <w:uiPriority w:val="99"/>
    <w:semiHidden/>
    <w:rPr>
      <w:rFonts w:ascii="Times New Roman" w:hAnsi="Times New Roman"/>
      <w:sz w:val="21"/>
      <w:szCs w:val="21"/>
      <w:lang w:val="en-US" w:eastAsia="zh-CN" w:bidi="ar-SA"/>
    </w:rPr>
  </w:style>
  <w:style w:type="paragraph" w:styleId="990">
    <w:name w:val="无间隔"/>
    <w:next w:val="990"/>
    <w:link w:val="875"/>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5"/>
    <w:qFormat/>
    <w:tblPr/>
  </w:style>
  <w:style w:type="paragraph" w:styleId="992">
    <w:name w:val="正文文本12"/>
    <w:basedOn w:val="875"/>
    <w:next w:val="992"/>
    <w:link w:val="875"/>
    <w:uiPriority w:val="1"/>
    <w:qFormat/>
    <w:pPr>
      <w:ind w:left="120"/>
    </w:pPr>
    <w:rPr>
      <w:rFonts w:ascii="宋体" w:hAnsi="宋体" w:eastAsia="宋体" w:cs="宋体"/>
      <w:sz w:val="21"/>
      <w:szCs w:val="21"/>
      <w:lang w:val="zh-CN" w:eastAsia="zh-CN" w:bidi="zh-CN"/>
    </w:rPr>
  </w:style>
  <w:style w:type="paragraph" w:styleId="993">
    <w:name w:val="正文文本 211"/>
    <w:basedOn w:val="875"/>
    <w:next w:val="993"/>
    <w:link w:val="875"/>
    <w:uiPriority w:val="99"/>
    <w:qFormat/>
    <w:pPr>
      <w:jc w:val="center"/>
    </w:pPr>
    <w:rPr>
      <w:b/>
      <w:bCs/>
      <w:sz w:val="20"/>
      <w:szCs w:val="20"/>
    </w:r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paragraph" w:styleId="1001">
    <w:name w:val="正文首行缩进 211"/>
    <w:basedOn w:val="1002"/>
    <w:next w:val="875"/>
    <w:link w:val="875"/>
    <w:qFormat/>
    <w:pPr>
      <w:ind w:left="0" w:firstLine="420"/>
      <w:spacing w:after="0" w:line="360" w:lineRule="auto"/>
    </w:pPr>
    <w:rPr>
      <w:rFonts w:ascii="宋体" w:hAnsi="宋体" w:eastAsia="宋体" w:cs="Times New Roman"/>
      <w:szCs w:val="20"/>
    </w:rPr>
  </w:style>
  <w:style w:type="paragraph" w:styleId="1002">
    <w:name w:val="正文文本缩进11"/>
    <w:basedOn w:val="875"/>
    <w:next w:val="1003"/>
    <w:link w:val="875"/>
    <w:unhideWhenUsed/>
    <w:qFormat/>
    <w:pPr>
      <w:ind w:left="420"/>
      <w:spacing w:after="120"/>
    </w:pPr>
  </w:style>
  <w:style w:type="paragraph" w:styleId="1003">
    <w:name w:val="寄信人地址1"/>
    <w:basedOn w:val="875"/>
    <w:next w:val="1003"/>
    <w:link w:val="875"/>
    <w:qFormat/>
    <w:rPr>
      <w:rFonts w:ascii="Arial" w:hAnsi="Arial" w:eastAsia="宋体" w:cs="宋体"/>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8</cp:revision>
  <dcterms:created xsi:type="dcterms:W3CDTF">2023-03-16T02:13:00Z</dcterms:created>
  <dcterms:modified xsi:type="dcterms:W3CDTF">2026-08-14T07:58:51Z</dcterms:modified>
</cp:coreProperties>
</file>