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761CB">
      <w:pPr>
        <w:spacing w:line="360" w:lineRule="auto"/>
        <w:jc w:val="center"/>
        <w:rPr>
          <w:rFonts w:hint="eastAsia" w:ascii="宋体" w:hAnsi="宋体" w:eastAsia="宋体" w:cs="宋体"/>
          <w:b/>
          <w:sz w:val="32"/>
          <w:lang w:eastAsia="zh-CN"/>
        </w:rPr>
      </w:pPr>
      <w:r>
        <w:rPr>
          <w:rFonts w:hint="eastAsia" w:ascii="宋体" w:hAnsi="宋体" w:eastAsia="宋体" w:cs="宋体"/>
          <w:b/>
          <w:sz w:val="32"/>
          <w:lang w:eastAsia="zh-CN"/>
        </w:rPr>
        <w:t>丰县2026年全民健身设施配建项目</w:t>
      </w:r>
    </w:p>
    <w:p w14:paraId="45C93946">
      <w:pPr>
        <w:spacing w:line="360" w:lineRule="auto"/>
        <w:jc w:val="center"/>
        <w:rPr>
          <w:rFonts w:hint="eastAsia" w:ascii="宋体" w:hAnsi="宋体" w:eastAsia="宋体" w:cs="宋体"/>
          <w:b/>
          <w:sz w:val="32"/>
          <w:lang w:eastAsia="zh-CN"/>
        </w:rPr>
      </w:pPr>
      <w:r>
        <w:rPr>
          <w:rFonts w:hint="eastAsia" w:ascii="宋体" w:hAnsi="宋体" w:eastAsia="宋体" w:cs="宋体"/>
          <w:b/>
          <w:sz w:val="32"/>
          <w:lang w:eastAsia="zh-CN"/>
        </w:rPr>
        <w:t>更正（澄清）内容（</w:t>
      </w:r>
      <w:r>
        <w:rPr>
          <w:rFonts w:hint="eastAsia" w:ascii="宋体" w:hAnsi="宋体" w:eastAsia="宋体" w:cs="宋体"/>
          <w:b/>
          <w:sz w:val="32"/>
          <w:lang w:val="en-US" w:eastAsia="zh-CN"/>
        </w:rPr>
        <w:t>一</w:t>
      </w:r>
      <w:r>
        <w:rPr>
          <w:rFonts w:hint="eastAsia" w:ascii="宋体" w:hAnsi="宋体" w:eastAsia="宋体" w:cs="宋体"/>
          <w:b/>
          <w:sz w:val="32"/>
          <w:lang w:eastAsia="zh-CN"/>
        </w:rPr>
        <w:t>）</w:t>
      </w:r>
    </w:p>
    <w:p w14:paraId="3C365BAD">
      <w:pPr>
        <w:pStyle w:val="5"/>
        <w:keepNext w:val="0"/>
        <w:keepLines w:val="0"/>
        <w:pageBreakBefore w:val="0"/>
        <w:widowControl/>
        <w:kinsoku/>
        <w:wordWrap/>
        <w:overflowPunct/>
        <w:topLinePunct w:val="0"/>
        <w:autoSpaceDE/>
        <w:autoSpaceDN/>
        <w:bidi w:val="0"/>
        <w:adjustRightInd/>
        <w:snapToGrid/>
        <w:spacing w:beforeAutospacing="0" w:afterAutospacing="0" w:line="480" w:lineRule="exact"/>
        <w:jc w:val="both"/>
        <w:textAlignment w:val="auto"/>
        <w:outlineLvl w:val="9"/>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一、以下为澄清或者修改的内容</w:t>
      </w:r>
    </w:p>
    <w:p w14:paraId="7FAD96CA">
      <w:pPr>
        <w:pBdr>
          <w:top w:val="none" w:color="000000" w:sz="0" w:space="0"/>
          <w:left w:val="none" w:color="000000" w:sz="0" w:space="0"/>
          <w:bottom w:val="none" w:color="000000" w:sz="0" w:space="0"/>
          <w:right w:val="none" w:color="000000" w:sz="0" w:space="0"/>
        </w:pBdr>
        <w:spacing w:before="240" w:after="240" w:line="85" w:lineRule="atLeast"/>
        <w:ind w:firstLine="560"/>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1、原招标文件</w:t>
      </w:r>
      <w:bookmarkStart w:id="0" w:name="_Toc3227"/>
      <w:bookmarkStart w:id="1" w:name="_Toc25159"/>
      <w:r>
        <w:rPr>
          <w:rFonts w:hint="eastAsia" w:ascii="宋体" w:hAnsi="宋体" w:eastAsia="宋体" w:cs="宋体"/>
          <w:b/>
          <w:bCs w:val="0"/>
          <w:kern w:val="0"/>
          <w:sz w:val="24"/>
          <w:szCs w:val="24"/>
          <w:lang w:val="en-US" w:eastAsia="zh-CN" w:bidi="ar-SA"/>
        </w:rPr>
        <w:t>第六章</w:t>
      </w:r>
      <w:bookmarkEnd w:id="0"/>
      <w:bookmarkEnd w:id="1"/>
      <w:r>
        <w:rPr>
          <w:rFonts w:hint="eastAsia" w:ascii="宋体" w:hAnsi="宋体" w:eastAsia="宋体" w:cs="宋体"/>
          <w:b/>
          <w:bCs w:val="0"/>
          <w:kern w:val="0"/>
          <w:sz w:val="24"/>
          <w:szCs w:val="24"/>
          <w:lang w:val="en-US" w:eastAsia="zh-CN" w:bidi="ar-SA"/>
        </w:rPr>
        <w:t xml:space="preserve"> 采购需求</w:t>
      </w:r>
    </w:p>
    <w:p w14:paraId="011EA072">
      <w:pPr>
        <w:pBdr>
          <w:top w:val="none" w:color="000000" w:sz="0" w:space="0"/>
          <w:left w:val="none" w:color="000000" w:sz="0" w:space="0"/>
          <w:bottom w:val="none" w:color="000000" w:sz="0" w:space="0"/>
          <w:right w:val="none" w:color="000000" w:sz="0" w:space="0"/>
        </w:pBdr>
        <w:spacing w:before="240" w:after="240" w:line="85" w:lineRule="atLeast"/>
        <w:ind w:firstLine="560"/>
        <w:rPr>
          <w:rFonts w:hint="eastAsia" w:ascii="宋体" w:hAnsi="宋体" w:eastAsia="宋体" w:cs="宋体"/>
          <w:b w:val="0"/>
          <w:bCs/>
          <w:kern w:val="0"/>
          <w:sz w:val="24"/>
          <w:szCs w:val="24"/>
          <w:lang w:val="en-US" w:eastAsia="zh-CN" w:bidi="ar-SA"/>
        </w:rPr>
      </w:pPr>
      <w:r>
        <w:rPr>
          <w:rFonts w:hint="eastAsia" w:ascii="宋体" w:hAnsi="宋体" w:eastAsia="宋体" w:cs="宋体"/>
          <w:b w:val="0"/>
          <w:bCs/>
          <w:kern w:val="0"/>
          <w:sz w:val="24"/>
          <w:szCs w:val="24"/>
          <w:lang w:val="en-US" w:eastAsia="zh-CN" w:bidi="ar-SA"/>
        </w:rPr>
        <w:t>三、技术参数要求</w:t>
      </w:r>
    </w:p>
    <w:p w14:paraId="24C16C99">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第11条 高低杠：</w:t>
      </w:r>
    </w:p>
    <w:p w14:paraId="57F76C59">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1、主要承载立柱采用不小于 Φ114mm×3.0mm；</w:t>
      </w:r>
    </w:p>
    <w:p w14:paraId="53C7D590">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2、主要承载横梁钢管不小于 Φ48×3mm；</w:t>
      </w:r>
    </w:p>
    <w:p w14:paraId="2075FBC0">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3、安装方式：直埋式；</w:t>
      </w:r>
    </w:p>
    <w:p w14:paraId="1B04516C">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4、覆盖件高于安装面部分应为类球形，覆盖件的直径与高度比值应＞3，且覆盖面直径≥50mm。嵌入式紧固件 (含突出物)，应被永久覆盖；</w:t>
      </w:r>
    </w:p>
    <w:p w14:paraId="6D0D8232">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5、人体易接触区域，不应存在剪切、挤压、卡夹、缠绕结构，强制运动不应存在钩挂结构；器材不应存在向上的小于 60° 的 V 形开口；器材的开口结构，不应对头、颈造成卡夹；</w:t>
      </w:r>
    </w:p>
    <w:p w14:paraId="3A424F36">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6、使用者在器材下面的，其活动部件刚性底部距地面间的距离≥1850mm；</w:t>
      </w:r>
    </w:p>
    <w:p w14:paraId="46157AF1">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7、杠体握持部位截面任一方向尺寸在 16mm~45mm 之间；杠体表面做防滑打磨防锈处理，无毛刺凸起；单根杠体不含主架连接件质量不大于 600g；</w:t>
      </w:r>
    </w:p>
    <w:p w14:paraId="54228795">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8、活动部件和固定部件不应存在刚性碰撞；</w:t>
      </w:r>
    </w:p>
    <w:p w14:paraId="47CFA1ED">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9、设置一高一低两根平行单杠，高低杠间距、高度符合室外健身使用规范，杠体与立柱焊接牢固无松动，杠体两端做圆弧封盖处理，防止勾挂衣物划伤人体；</w:t>
      </w:r>
    </w:p>
    <w:p w14:paraId="24655E95">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★10、符合 GB19272-2024《室外健身器材的安全通用要求》，并在投标文件中提供有效期内带有 CMA 或 CNAS 标识的检测报告扫描件；</w:t>
      </w:r>
    </w:p>
    <w:p w14:paraId="35F7818E">
      <w:pPr>
        <w:keepNext w:val="0"/>
        <w:keepLines w:val="0"/>
        <w:pageBreakBefore w:val="0"/>
        <w:widowControl w:val="0"/>
        <w:spacing w:line="360" w:lineRule="auto"/>
        <w:ind w:firstLine="480"/>
        <w:jc w:val="both"/>
        <w:rPr>
          <w:rFonts w:hint="default"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★11、通过经国家批准的体育器材质量认证机构的产品质量认证，并在投标文件中提供有效期内的认证证书及确认函扫描件。</w:t>
      </w:r>
    </w:p>
    <w:p w14:paraId="65C4734A">
      <w:pPr>
        <w:pBdr>
          <w:top w:val="none" w:color="000000" w:sz="0" w:space="0"/>
          <w:left w:val="none" w:color="000000" w:sz="0" w:space="0"/>
          <w:bottom w:val="none" w:color="000000" w:sz="0" w:space="0"/>
          <w:right w:val="none" w:color="000000" w:sz="0" w:space="0"/>
        </w:pBdr>
        <w:spacing w:before="240" w:after="240" w:line="85" w:lineRule="atLeast"/>
        <w:ind w:firstLine="560"/>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现更正为：</w:t>
      </w:r>
    </w:p>
    <w:p w14:paraId="355E5E49">
      <w:pPr>
        <w:pBdr>
          <w:top w:val="none" w:color="000000" w:sz="0" w:space="0"/>
          <w:left w:val="none" w:color="000000" w:sz="0" w:space="0"/>
          <w:bottom w:val="none" w:color="000000" w:sz="0" w:space="0"/>
          <w:right w:val="none" w:color="000000" w:sz="0" w:space="0"/>
        </w:pBdr>
        <w:spacing w:before="240" w:after="240" w:line="85" w:lineRule="atLeast"/>
        <w:ind w:firstLine="560"/>
        <w:rPr>
          <w:rFonts w:hint="eastAsia" w:ascii="宋体" w:hAnsi="宋体" w:eastAsia="宋体" w:cs="宋体"/>
          <w:b w:val="0"/>
          <w:bCs/>
          <w:kern w:val="0"/>
          <w:sz w:val="24"/>
          <w:szCs w:val="24"/>
          <w:lang w:val="en-US" w:eastAsia="zh-CN" w:bidi="ar-SA"/>
        </w:rPr>
      </w:pPr>
      <w:r>
        <w:rPr>
          <w:rFonts w:hint="eastAsia" w:ascii="宋体" w:hAnsi="宋体" w:eastAsia="宋体" w:cs="宋体"/>
          <w:b w:val="0"/>
          <w:bCs/>
          <w:kern w:val="0"/>
          <w:sz w:val="24"/>
          <w:szCs w:val="24"/>
          <w:lang w:val="en-US" w:eastAsia="zh-CN" w:bidi="ar-SA"/>
        </w:rPr>
        <w:t>三、技术参数要求</w:t>
      </w:r>
    </w:p>
    <w:p w14:paraId="1E6DB18D">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第11条 高低杠：</w:t>
      </w:r>
    </w:p>
    <w:p w14:paraId="68116141">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1、主要承载立柱采用不小于 Φ114mm×3.0mm；</w:t>
      </w:r>
    </w:p>
    <w:p w14:paraId="654CD04B">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2、横杠（杠体）外径不小于 Φ28mm，壁厚不小于 3mm；</w:t>
      </w:r>
    </w:p>
    <w:p w14:paraId="150B4416">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3、安装方式：直埋式；</w:t>
      </w:r>
    </w:p>
    <w:p w14:paraId="1F67CE3A">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4、覆盖件高于安装面部分应为类球形，覆盖件的直径与高度比值应＞3，且覆盖面直径≥50mm。嵌入式紧固件（含突出物），应被永久覆盖；</w:t>
      </w:r>
    </w:p>
    <w:p w14:paraId="1AE388A0">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5、人体易接触区域，不应存在剪切、挤压、卡夹、缠绕结构，强制运动不应存在钩挂结构；器材不应存在向上的小于 60° 的‑V・形开口；器材的开口结构，不应对头、颈造成卡夹；</w:t>
      </w:r>
    </w:p>
    <w:p w14:paraId="0E950ACA">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6、使用者在器材下面的，其活动部件刚性底部距地面间的距离≥1850mm；</w:t>
      </w:r>
    </w:p>
    <w:p w14:paraId="084E4923">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7、杠体握持部位截面任一方向尺寸在 16mm‑45mm 之间；杠体表面做防滑打磨防锈处理，无毛刺凸起；单根杠体不含主架连接件质量不大于 600g；</w:t>
      </w:r>
    </w:p>
    <w:p w14:paraId="15259B16">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8、活动部件和固定部件不应存在刚性碰撞；</w:t>
      </w:r>
    </w:p>
    <w:p w14:paraId="77CA7126">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9、设置一高一低两根平行单杠，高低杠间距、高度符合室外健身使用规范，杠体与立柱焊接牢固无松动，杠体两端做圆弧封盖处理，防止勾挂衣物伤人；</w:t>
      </w:r>
    </w:p>
    <w:p w14:paraId="23D298C0">
      <w:pPr>
        <w:keepNext w:val="0"/>
        <w:keepLines w:val="0"/>
        <w:pageBreakBefore w:val="0"/>
        <w:widowControl w:val="0"/>
        <w:spacing w:line="360" w:lineRule="auto"/>
        <w:ind w:firstLine="48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★10、符合 GB19272‑2024《室外健身器材的安全通用要求》，并在投标文件中提供有效期内带有 CMA 或 CNAS 标识的检测报告扫描件；</w:t>
      </w:r>
    </w:p>
    <w:p w14:paraId="2F1081AA">
      <w:pPr>
        <w:keepNext w:val="0"/>
        <w:keepLines w:val="0"/>
        <w:pageBreakBefore w:val="0"/>
        <w:widowControl w:val="0"/>
        <w:spacing w:line="360" w:lineRule="auto"/>
        <w:ind w:firstLine="480"/>
        <w:jc w:val="both"/>
        <w:rPr>
          <w:rFonts w:hint="eastAsia" w:ascii="宋体" w:hAnsi="宋体" w:eastAsia="宋体" w:cs="宋体"/>
          <w:b w:val="0"/>
          <w:bCs/>
          <w:color w:val="000000"/>
          <w:kern w:val="0"/>
          <w:sz w:val="24"/>
          <w:szCs w:val="24"/>
          <w:highlight w:val="none"/>
          <w:lang w:val="en-US" w:eastAsia="zh-CN"/>
        </w:rPr>
      </w:pPr>
      <w:r>
        <w:rPr>
          <w:rFonts w:hint="eastAsia" w:ascii="宋体" w:hAnsi="宋体" w:eastAsia="宋体" w:cs="宋体"/>
          <w:b w:val="0"/>
          <w:bCs/>
          <w:color w:val="auto"/>
          <w:kern w:val="0"/>
          <w:sz w:val="24"/>
          <w:szCs w:val="24"/>
          <w:highlight w:val="none"/>
          <w:lang w:val="en-US" w:eastAsia="zh-CN"/>
        </w:rPr>
        <w:t>★11、通过经国家批准的体育器材质量认证机构的产品质量认证，并在投标文件中提供有效期内的认证证书及确认函扫描件。</w:t>
      </w:r>
    </w:p>
    <w:p w14:paraId="44A7EEDD">
      <w:pPr>
        <w:pBdr>
          <w:top w:val="none" w:color="000000" w:sz="0" w:space="0"/>
          <w:left w:val="none" w:color="000000" w:sz="0" w:space="0"/>
          <w:bottom w:val="none" w:color="000000" w:sz="0" w:space="0"/>
          <w:right w:val="none" w:color="000000" w:sz="0" w:space="0"/>
        </w:pBdr>
        <w:spacing w:before="240" w:after="240" w:line="85" w:lineRule="atLeast"/>
        <w:ind w:firstLine="560"/>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2、原招标文件第六章 采购需求</w:t>
      </w:r>
    </w:p>
    <w:p w14:paraId="1EA0CEB6">
      <w:pPr>
        <w:pBdr>
          <w:top w:val="none" w:color="000000" w:sz="0" w:space="0"/>
          <w:left w:val="none" w:color="000000" w:sz="0" w:space="0"/>
          <w:bottom w:val="none" w:color="000000" w:sz="0" w:space="0"/>
          <w:right w:val="none" w:color="000000" w:sz="0" w:space="0"/>
        </w:pBdr>
        <w:spacing w:before="240" w:after="240" w:line="85" w:lineRule="atLeast"/>
        <w:ind w:firstLine="560"/>
        <w:rPr>
          <w:rFonts w:hint="eastAsia" w:ascii="宋体" w:hAnsi="宋体" w:eastAsia="宋体" w:cs="宋体"/>
          <w:b w:val="0"/>
          <w:bCs/>
          <w:kern w:val="0"/>
          <w:sz w:val="24"/>
          <w:szCs w:val="24"/>
          <w:lang w:val="en-US" w:eastAsia="zh-CN" w:bidi="ar-SA"/>
        </w:rPr>
      </w:pPr>
      <w:r>
        <w:rPr>
          <w:rFonts w:hint="eastAsia" w:ascii="宋体" w:hAnsi="宋体" w:eastAsia="宋体" w:cs="宋体"/>
          <w:b w:val="0"/>
          <w:bCs/>
          <w:kern w:val="0"/>
          <w:sz w:val="24"/>
          <w:szCs w:val="24"/>
          <w:lang w:val="en-US" w:eastAsia="zh-CN" w:bidi="ar-SA"/>
        </w:rPr>
        <w:t>三、技术参数要求</w:t>
      </w:r>
    </w:p>
    <w:p w14:paraId="1DEF9D0A">
      <w:pPr>
        <w:keepNext w:val="0"/>
        <w:keepLines w:val="0"/>
        <w:pageBreakBefore w:val="0"/>
        <w:widowControl/>
        <w:pBdr>
          <w:top w:val="none" w:color="000000" w:sz="0" w:space="0"/>
          <w:left w:val="none" w:color="000000" w:sz="0" w:space="0"/>
          <w:bottom w:val="none" w:color="000000" w:sz="0" w:space="0"/>
          <w:right w:val="none" w:color="000000" w:sz="0" w:space="0"/>
        </w:pBdr>
        <w:tabs>
          <w:tab w:val="left" w:pos="1440"/>
          <w:tab w:val="left" w:pos="8296"/>
        </w:tabs>
        <w:spacing w:before="0" w:after="0" w:line="360" w:lineRule="auto"/>
        <w:ind w:left="0" w:right="0" w:firstLine="480"/>
        <w:jc w:val="both"/>
        <w:rPr>
          <w:rFonts w:hint="eastAsia" w:ascii="宋体" w:hAnsi="宋体" w:eastAsia="宋体" w:cs="宋体"/>
          <w:color w:val="000000"/>
          <w:kern w:val="0"/>
          <w:sz w:val="24"/>
          <w:szCs w:val="24"/>
          <w:highlight w:val="none"/>
        </w:rPr>
      </w:pPr>
      <w:r>
        <w:rPr>
          <w:rFonts w:hint="eastAsia" w:ascii="宋体" w:hAnsi="宋体" w:eastAsia="宋体" w:cs="宋体"/>
          <w:b w:val="0"/>
          <w:bCs/>
          <w:color w:val="auto"/>
          <w:kern w:val="0"/>
          <w:sz w:val="24"/>
          <w:szCs w:val="24"/>
          <w:highlight w:val="none"/>
          <w:lang w:val="en-US" w:eastAsia="zh-CN"/>
        </w:rPr>
        <w:t>第19条 室内乒乓球桌：</w:t>
      </w:r>
    </w:p>
    <w:p w14:paraId="35788787">
      <w:pPr>
        <w:keepNext w:val="0"/>
        <w:keepLines w:val="0"/>
        <w:pageBreakBefore w:val="0"/>
        <w:widowControl w:val="0"/>
        <w:spacing w:line="360" w:lineRule="auto"/>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1、主要承载立柱尺寸不小于φ60×3.0mm；</w:t>
      </w:r>
    </w:p>
    <w:p w14:paraId="7DD509EA">
      <w:pPr>
        <w:keepNext w:val="0"/>
        <w:keepLines w:val="0"/>
        <w:pageBreakBefore w:val="0"/>
        <w:widowControl w:val="0"/>
        <w:spacing w:line="360" w:lineRule="auto"/>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2、主要承载横梁尺寸不小于φ20×30×2.0mm；</w:t>
      </w:r>
    </w:p>
    <w:p w14:paraId="5111E575">
      <w:pPr>
        <w:keepNext w:val="0"/>
        <w:keepLines w:val="0"/>
        <w:pageBreakBefore w:val="0"/>
        <w:widowControl w:val="0"/>
        <w:spacing w:line="360" w:lineRule="auto"/>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3、球台长度2740mm，球台宽度1500mm，球台高度760mm。球台台面采用SMC材料；</w:t>
      </w:r>
    </w:p>
    <w:p w14:paraId="5A46B70F">
      <w:pPr>
        <w:keepNext w:val="0"/>
        <w:keepLines w:val="0"/>
        <w:pageBreakBefore w:val="0"/>
        <w:widowControl w:val="0"/>
        <w:spacing w:line="360" w:lineRule="auto"/>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4、采用彩虹腿设计结构，台腿使用Φ60×3mm优质钢管，撑管采用30×20mm×2.0mm的优质方管，台腿外边距两端台边200mm，任何撑档离地300mm，保证使用者的运动安全；</w:t>
      </w:r>
    </w:p>
    <w:p w14:paraId="03EBE081">
      <w:pPr>
        <w:keepNext w:val="0"/>
        <w:keepLines w:val="0"/>
        <w:pageBreakBefore w:val="0"/>
        <w:widowControl w:val="0"/>
        <w:spacing w:line="360" w:lineRule="auto"/>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5、尺寸不小于2740×1500×760mm；</w:t>
      </w:r>
    </w:p>
    <w:p w14:paraId="5FB42FEA">
      <w:pPr>
        <w:keepNext w:val="0"/>
        <w:keepLines w:val="0"/>
        <w:pageBreakBefore w:val="0"/>
        <w:widowControl w:val="0"/>
        <w:spacing w:line="360" w:lineRule="auto"/>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★6、符合GB19272-2024《室外健身器材的安全通用要求》，并在投标文件中提供有效期内带有CMA或CNAS标识的检测报告扫描件；</w:t>
      </w:r>
    </w:p>
    <w:p w14:paraId="381DF042">
      <w:pPr>
        <w:keepNext w:val="0"/>
        <w:keepLines w:val="0"/>
        <w:pageBreakBefore w:val="0"/>
        <w:widowControl w:val="0"/>
        <w:spacing w:line="360" w:lineRule="auto"/>
        <w:ind w:firstLine="480"/>
        <w:jc w:val="left"/>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rPr>
        <w:t>★7、通过经国家批准的体育器材质量认证机构的产品质量认证，并在投标文件中提供有效期内的认证证书及确认函扫描件。</w:t>
      </w:r>
    </w:p>
    <w:p w14:paraId="12AFCD4E">
      <w:pPr>
        <w:pBdr>
          <w:top w:val="none" w:color="000000" w:sz="0" w:space="0"/>
          <w:left w:val="none" w:color="000000" w:sz="0" w:space="0"/>
          <w:bottom w:val="none" w:color="000000" w:sz="0" w:space="0"/>
          <w:right w:val="none" w:color="000000" w:sz="0" w:space="0"/>
        </w:pBdr>
        <w:spacing w:before="240" w:after="240" w:line="85" w:lineRule="atLeast"/>
        <w:ind w:firstLine="560"/>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现更正为：</w:t>
      </w:r>
    </w:p>
    <w:p w14:paraId="4EA08383">
      <w:pPr>
        <w:keepNext w:val="0"/>
        <w:keepLines w:val="0"/>
        <w:pageBreakBefore w:val="0"/>
        <w:widowControl/>
        <w:numPr>
          <w:ilvl w:val="0"/>
          <w:numId w:val="0"/>
        </w:numPr>
        <w:pBdr>
          <w:top w:val="none" w:color="000000" w:sz="0" w:space="0"/>
          <w:left w:val="none" w:color="000000" w:sz="0" w:space="0"/>
          <w:bottom w:val="none" w:color="000000" w:sz="0" w:space="0"/>
          <w:right w:val="none" w:color="000000" w:sz="0" w:space="0"/>
        </w:pBdr>
        <w:tabs>
          <w:tab w:val="left" w:pos="1440"/>
          <w:tab w:val="left" w:pos="8296"/>
        </w:tabs>
        <w:spacing w:before="0" w:after="0" w:line="360" w:lineRule="auto"/>
        <w:ind w:left="0" w:leftChars="0" w:right="0" w:rightChars="0" w:firstLine="480" w:firstLineChars="0"/>
        <w:jc w:val="both"/>
        <w:rPr>
          <w:rFonts w:hint="eastAsia" w:ascii="宋体" w:hAnsi="宋体" w:eastAsia="宋体" w:cs="宋体"/>
          <w:b w:val="0"/>
          <w:bCs/>
          <w:color w:val="auto"/>
          <w:kern w:val="0"/>
          <w:sz w:val="24"/>
          <w:szCs w:val="24"/>
          <w:highlight w:val="none"/>
          <w:lang w:val="en-US" w:eastAsia="zh-CN"/>
        </w:rPr>
      </w:pPr>
      <w:r>
        <w:rPr>
          <w:rFonts w:hint="eastAsia" w:ascii="宋体" w:hAnsi="宋体" w:eastAsia="宋体" w:cs="宋体"/>
          <w:b w:val="0"/>
          <w:bCs/>
          <w:color w:val="auto"/>
          <w:kern w:val="0"/>
          <w:sz w:val="24"/>
          <w:szCs w:val="24"/>
          <w:lang w:val="en-US" w:eastAsia="zh-CN" w:bidi="ar-SA"/>
        </w:rPr>
        <w:t>三、</w:t>
      </w:r>
      <w:r>
        <w:rPr>
          <w:rFonts w:hint="eastAsia" w:ascii="宋体" w:hAnsi="宋体" w:eastAsia="宋体" w:cs="宋体"/>
          <w:b w:val="0"/>
          <w:bCs/>
          <w:color w:val="auto"/>
          <w:kern w:val="0"/>
          <w:sz w:val="24"/>
          <w:szCs w:val="24"/>
          <w:highlight w:val="none"/>
          <w:lang w:val="en-US" w:eastAsia="zh-CN"/>
        </w:rPr>
        <w:t>技术参数要求</w:t>
      </w:r>
    </w:p>
    <w:p w14:paraId="104D5E4C">
      <w:pPr>
        <w:keepNext w:val="0"/>
        <w:keepLines w:val="0"/>
        <w:pageBreakBefore w:val="0"/>
        <w:widowControl/>
        <w:numPr>
          <w:ilvl w:val="0"/>
          <w:numId w:val="0"/>
        </w:numPr>
        <w:pBdr>
          <w:top w:val="none" w:color="000000" w:sz="0" w:space="0"/>
          <w:left w:val="none" w:color="000000" w:sz="0" w:space="0"/>
          <w:bottom w:val="none" w:color="000000" w:sz="0" w:space="0"/>
          <w:right w:val="none" w:color="000000" w:sz="0" w:space="0"/>
        </w:pBdr>
        <w:tabs>
          <w:tab w:val="left" w:pos="1440"/>
          <w:tab w:val="left" w:pos="8296"/>
        </w:tabs>
        <w:spacing w:before="0" w:after="0" w:line="360" w:lineRule="auto"/>
        <w:ind w:left="0" w:leftChars="0" w:right="0" w:rightChars="0" w:firstLine="480" w:firstLineChars="0"/>
        <w:jc w:val="both"/>
        <w:rPr>
          <w:rFonts w:hint="eastAsia" w:ascii="宋体" w:hAnsi="宋体" w:eastAsia="宋体" w:cs="宋体"/>
          <w:color w:val="000000"/>
          <w:kern w:val="0"/>
          <w:sz w:val="24"/>
          <w:szCs w:val="24"/>
          <w:highlight w:val="none"/>
        </w:rPr>
      </w:pPr>
      <w:r>
        <w:rPr>
          <w:rFonts w:hint="eastAsia" w:ascii="宋体" w:hAnsi="宋体" w:eastAsia="宋体" w:cs="宋体"/>
          <w:b w:val="0"/>
          <w:bCs/>
          <w:color w:val="auto"/>
          <w:kern w:val="0"/>
          <w:sz w:val="24"/>
          <w:szCs w:val="24"/>
          <w:highlight w:val="none"/>
          <w:lang w:val="en-US" w:eastAsia="zh-CN"/>
        </w:rPr>
        <w:t>第19条 室内乒乓球桌：</w:t>
      </w:r>
    </w:p>
    <w:p w14:paraId="21BE9E5A">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0" w:firstLineChars="200"/>
        <w:textAlignment w:val="auto"/>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1、主要承载立柱尺寸不小于 Φ60mm×3.0mm；</w:t>
      </w:r>
    </w:p>
    <w:p w14:paraId="5417722A">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0" w:firstLineChars="200"/>
        <w:textAlignment w:val="auto"/>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2、主要承载横梁尺寸不小于 30×20mm×2.0mm；</w:t>
      </w:r>
    </w:p>
    <w:p w14:paraId="41AFCA45">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0" w:firstLineChars="200"/>
        <w:textAlignment w:val="auto"/>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3、球台台面外轮廓尺寸：长度 2740mm，宽度 1500mm，球台高度 760mm；台面采用高密度纤维板，台面厚度≥18mm，台面哑光处理，无反光，弹性均匀；</w:t>
      </w:r>
    </w:p>
    <w:p w14:paraId="6CB73312">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0" w:firstLineChars="200"/>
        <w:textAlignment w:val="auto"/>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4、采用彩虹腿设计结构，台腿使用 Φ60mm×3mm 优质钢管，撑管采用 30×20mm×2.0mm 优质方管；台腿外边距两端台边 200mm，任何撑档离地高度≥300mm，防止使用者磕碰受伤；</w:t>
      </w:r>
    </w:p>
    <w:p w14:paraId="7BB3D346">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0" w:firstLineChars="200"/>
        <w:textAlignment w:val="auto"/>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5、成品外形尺寸不小于 2740mm×1500mm×760mm；</w:t>
      </w:r>
    </w:p>
    <w:p w14:paraId="5343A3ED">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0" w:firstLineChars="200"/>
        <w:textAlignment w:val="auto"/>
        <w:outlineLvl w:val="9"/>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、通过经国家批准的体育器材质量认证机构的产品质量认证，并在投标文件中提供有效期内的认证证书及确认函扫描件。</w:t>
      </w:r>
    </w:p>
    <w:p w14:paraId="003F2A8C">
      <w:pPr>
        <w:pBdr>
          <w:top w:val="none" w:color="000000" w:sz="0" w:space="0"/>
          <w:left w:val="none" w:color="000000" w:sz="0" w:space="0"/>
          <w:bottom w:val="none" w:color="000000" w:sz="0" w:space="0"/>
          <w:right w:val="none" w:color="000000" w:sz="0" w:space="0"/>
        </w:pBdr>
        <w:spacing w:before="240" w:after="240" w:line="85" w:lineRule="atLeast"/>
        <w:ind w:firstLine="560"/>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3、原招标文件第六章 采购需求</w:t>
      </w:r>
    </w:p>
    <w:p w14:paraId="14965888">
      <w:pPr>
        <w:pBdr>
          <w:top w:val="none" w:color="000000" w:sz="0" w:space="0"/>
          <w:left w:val="none" w:color="000000" w:sz="0" w:space="0"/>
          <w:bottom w:val="none" w:color="000000" w:sz="0" w:space="0"/>
          <w:right w:val="none" w:color="000000" w:sz="0" w:space="0"/>
        </w:pBdr>
        <w:spacing w:before="240" w:after="240" w:line="85" w:lineRule="atLeast"/>
        <w:ind w:firstLine="560"/>
        <w:rPr>
          <w:rFonts w:hint="default" w:ascii="宋体" w:hAnsi="宋体" w:eastAsia="宋体" w:cs="宋体"/>
          <w:color w:val="000000"/>
          <w:kern w:val="0"/>
          <w:sz w:val="24"/>
          <w:szCs w:val="24"/>
          <w:highlight w:val="none"/>
          <w:lang w:val="en-US"/>
        </w:rPr>
      </w:pPr>
      <w:r>
        <w:rPr>
          <w:rFonts w:hint="eastAsia" w:ascii="宋体" w:hAnsi="宋体" w:eastAsia="宋体" w:cs="宋体"/>
          <w:b w:val="0"/>
          <w:bCs/>
          <w:kern w:val="0"/>
          <w:sz w:val="24"/>
          <w:szCs w:val="24"/>
          <w:lang w:val="en-US" w:eastAsia="zh-CN" w:bidi="ar-SA"/>
        </w:rPr>
        <w:t>四、项目实施要求</w:t>
      </w:r>
      <w:r>
        <w:rPr>
          <w:rFonts w:hint="eastAsia" w:ascii="宋体" w:hAnsi="宋体" w:eastAsia="宋体" w:cs="宋体"/>
          <w:b w:val="0"/>
          <w:bCs/>
          <w:color w:val="auto"/>
          <w:kern w:val="0"/>
          <w:sz w:val="24"/>
          <w:szCs w:val="24"/>
          <w:highlight w:val="none"/>
          <w:lang w:val="en-US" w:eastAsia="zh-CN"/>
        </w:rPr>
        <w:t>（二）项目具体实施安装要求</w:t>
      </w:r>
    </w:p>
    <w:p w14:paraId="689576F9">
      <w:pPr>
        <w:keepNext w:val="0"/>
        <w:keepLines w:val="0"/>
        <w:pageBreakBefore w:val="0"/>
        <w:widowControl w:val="0"/>
        <w:spacing w:line="360" w:lineRule="auto"/>
        <w:ind w:firstLine="480"/>
        <w:jc w:val="left"/>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6、双联单杠、天梯安装时杠面高度不得超过2300mm；其他参数应符合GB 19272-2011中5.12.1中的有关要求（如有）。</w:t>
      </w:r>
    </w:p>
    <w:p w14:paraId="40386C19">
      <w:pPr>
        <w:keepNext w:val="0"/>
        <w:keepLines w:val="0"/>
        <w:pageBreakBefore w:val="0"/>
        <w:widowControl w:val="0"/>
        <w:spacing w:line="360" w:lineRule="auto"/>
        <w:ind w:firstLine="480"/>
        <w:jc w:val="left"/>
        <w:rPr>
          <w:rFonts w:hint="eastAsia" w:ascii="宋体" w:hAnsi="宋体" w:eastAsia="宋体" w:cs="宋体"/>
          <w:color w:val="000000"/>
          <w:kern w:val="0"/>
          <w:sz w:val="24"/>
          <w:szCs w:val="24"/>
          <w:highlight w:val="none"/>
          <w:lang w:eastAsia="zh-CN"/>
        </w:rPr>
      </w:pPr>
      <w:r>
        <w:rPr>
          <w:rFonts w:hint="eastAsia" w:ascii="宋体" w:hAnsi="宋体" w:eastAsia="宋体" w:cs="宋体"/>
          <w:color w:val="000000"/>
          <w:kern w:val="0"/>
          <w:sz w:val="24"/>
          <w:szCs w:val="24"/>
          <w:highlight w:val="none"/>
        </w:rPr>
        <w:t>7、地埋式器材地埋深度应符合GB19272-2011《室外健身器材的安全通用要求》的要求，且在地基没有完全凝固前，应有专人监护，器材地基及其周围的硬化表面不应高于安装器材周围地面。并接受器材安装地点所属单位对安装过程的监管。</w:t>
      </w:r>
    </w:p>
    <w:p w14:paraId="3BC06168">
      <w:pPr>
        <w:pBdr>
          <w:top w:val="none" w:color="000000" w:sz="0" w:space="0"/>
          <w:left w:val="none" w:color="000000" w:sz="0" w:space="0"/>
          <w:bottom w:val="none" w:color="000000" w:sz="0" w:space="0"/>
          <w:right w:val="none" w:color="000000" w:sz="0" w:space="0"/>
        </w:pBdr>
        <w:spacing w:before="240" w:after="240" w:line="85" w:lineRule="atLeast"/>
        <w:ind w:firstLine="560"/>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现更正为：</w:t>
      </w:r>
    </w:p>
    <w:p w14:paraId="68F2AE3C">
      <w:pPr>
        <w:keepNext w:val="0"/>
        <w:keepLines w:val="0"/>
        <w:pageBreakBefore w:val="0"/>
        <w:widowControl/>
        <w:pBdr>
          <w:top w:val="none" w:color="000000" w:sz="0" w:space="0"/>
          <w:left w:val="none" w:color="000000" w:sz="0" w:space="0"/>
          <w:bottom w:val="none" w:color="000000" w:sz="0" w:space="0"/>
          <w:right w:val="none" w:color="000000" w:sz="0" w:space="0"/>
        </w:pBdr>
        <w:tabs>
          <w:tab w:val="left" w:pos="1440"/>
          <w:tab w:val="left" w:pos="8296"/>
        </w:tabs>
        <w:spacing w:before="0" w:after="0" w:line="360" w:lineRule="auto"/>
        <w:ind w:left="0" w:right="0" w:firstLine="480"/>
        <w:jc w:val="both"/>
        <w:rPr>
          <w:rFonts w:hint="eastAsia" w:ascii="宋体" w:hAnsi="宋体" w:eastAsia="宋体" w:cs="宋体"/>
          <w:color w:val="000000"/>
          <w:kern w:val="0"/>
          <w:sz w:val="24"/>
          <w:szCs w:val="24"/>
          <w:highlight w:val="none"/>
        </w:rPr>
      </w:pPr>
      <w:r>
        <w:rPr>
          <w:rFonts w:hint="eastAsia" w:ascii="宋体" w:hAnsi="宋体" w:eastAsia="宋体" w:cs="宋体"/>
          <w:b w:val="0"/>
          <w:bCs/>
          <w:kern w:val="0"/>
          <w:sz w:val="24"/>
          <w:szCs w:val="24"/>
          <w:lang w:val="en-US" w:eastAsia="zh-CN" w:bidi="ar-SA"/>
        </w:rPr>
        <w:t>四、项目实施要求</w:t>
      </w:r>
      <w:r>
        <w:rPr>
          <w:rFonts w:hint="eastAsia" w:ascii="宋体" w:hAnsi="宋体" w:eastAsia="宋体" w:cs="宋体"/>
          <w:b w:val="0"/>
          <w:bCs/>
          <w:color w:val="auto"/>
          <w:kern w:val="0"/>
          <w:sz w:val="24"/>
          <w:szCs w:val="24"/>
          <w:highlight w:val="none"/>
          <w:lang w:val="en-US" w:eastAsia="zh-CN"/>
        </w:rPr>
        <w:t>（二）项目具体实施安装要求</w:t>
      </w:r>
    </w:p>
    <w:p w14:paraId="36FBC312">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0" w:firstLineChars="200"/>
        <w:textAlignment w:val="auto"/>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6、双联单杠、天梯安装时杠面高度不得超过2300mm；其他参数应符合GB 19272-2024中5.12.1中的有关要求（如有）。</w:t>
      </w:r>
    </w:p>
    <w:p w14:paraId="68101DDF">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0" w:firstLineChars="200"/>
        <w:textAlignment w:val="auto"/>
        <w:outlineLvl w:val="9"/>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地埋式器材地埋深度应符合GB19272-2024《室外健身器材的安全通用要求》的要求，且在地基没有完全凝固前，应有专人监护，器材地基及其周围的硬化表面不应高于安装器材周围地面。并接受器材安装地点所属单位对安装过程的监管。</w:t>
      </w:r>
    </w:p>
    <w:p w14:paraId="3ABB14AA">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2" w:firstLineChars="200"/>
        <w:textAlignment w:val="auto"/>
        <w:outlineLvl w:val="9"/>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4、原招标文件第四章 评标标准</w:t>
      </w:r>
    </w:p>
    <w:p w14:paraId="5308B9E2">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2" w:firstLineChars="200"/>
        <w:textAlignment w:val="auto"/>
        <w:outlineLvl w:val="9"/>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（1）</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617"/>
        <w:gridCol w:w="8341"/>
      </w:tblGrid>
      <w:tr w14:paraId="7F7921F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16" w:hRule="atLeast"/>
          <w:jc w:val="center"/>
        </w:trPr>
        <w:tc>
          <w:tcPr>
            <w:tcW w:w="812" w:type="pct"/>
            <w:shd w:val="clear" w:color="auto" w:fill="auto"/>
            <w:noWrap w:val="0"/>
            <w:vAlign w:val="center"/>
          </w:tcPr>
          <w:p w14:paraId="3C9E0FCF">
            <w:pPr>
              <w:pBdr>
                <w:top w:val="none" w:color="000000" w:sz="0" w:space="0"/>
                <w:left w:val="none" w:color="000000" w:sz="0" w:space="0"/>
                <w:bottom w:val="none" w:color="000000" w:sz="0" w:space="0"/>
                <w:right w:val="none" w:color="000000" w:sz="0" w:space="0"/>
              </w:pBdr>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技术参数</w:t>
            </w:r>
          </w:p>
          <w:p w14:paraId="29C4E091">
            <w:pPr>
              <w:pBdr>
                <w:top w:val="none" w:color="000000" w:sz="0" w:space="0"/>
                <w:left w:val="none" w:color="000000" w:sz="0" w:space="0"/>
                <w:bottom w:val="none" w:color="000000" w:sz="0" w:space="0"/>
                <w:right w:val="none" w:color="000000" w:sz="0" w:space="0"/>
              </w:pBdr>
              <w:spacing w:line="24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响应（</w:t>
            </w:r>
            <w:r>
              <w:rPr>
                <w:rFonts w:hint="eastAsia" w:ascii="宋体" w:hAnsi="宋体" w:eastAsia="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分）</w:t>
            </w:r>
          </w:p>
        </w:tc>
        <w:tc>
          <w:tcPr>
            <w:tcW w:w="4187" w:type="pct"/>
            <w:shd w:val="clear" w:color="auto" w:fill="auto"/>
            <w:noWrap w:val="0"/>
            <w:vAlign w:val="center"/>
          </w:tcPr>
          <w:p w14:paraId="6B964051">
            <w:pPr>
              <w:widowControl w:val="0"/>
              <w:tabs>
                <w:tab w:val="center" w:pos="4153"/>
                <w:tab w:val="right" w:pos="8306"/>
              </w:tabs>
              <w:spacing w:line="240" w:lineRule="auto"/>
              <w:jc w:val="both"/>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完全符合招标文件第六章《采购需求》中“三、技术参数要求”的，得基本分26分；本项目共13种品类，每种品类完全满足的得2分；加“★”的指标为实质性响应指标，实质性响应指标任意1项指标不满足或负偏离按无效投标处理，其他为一般响应指标，每品类一般响应指标任意1项指标不满足或负偏离的，此品类不得分。</w:t>
            </w:r>
          </w:p>
          <w:p w14:paraId="3880BCB2">
            <w:pPr>
              <w:widowControl w:val="0"/>
              <w:tabs>
                <w:tab w:val="center" w:pos="4153"/>
                <w:tab w:val="right" w:pos="8306"/>
              </w:tabs>
              <w:spacing w:line="240" w:lineRule="auto"/>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本项最高得26分，最低得0分。</w:t>
            </w:r>
          </w:p>
          <w:p w14:paraId="60C59FBA">
            <w:pPr>
              <w:widowControl w:val="0"/>
              <w:tabs>
                <w:tab w:val="center" w:pos="4153"/>
                <w:tab w:val="right" w:pos="8306"/>
              </w:tabs>
              <w:spacing w:line="240" w:lineRule="auto"/>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注：未按照招标文件提供证明材料的视为不满足。投标人须如实填写所投产品参数，验收时发现交付产品与本次招标及中标参数不符做违约处理并弥补采购人损失。</w:t>
            </w:r>
          </w:p>
        </w:tc>
      </w:tr>
    </w:tbl>
    <w:p w14:paraId="61E1266F">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2" w:firstLineChars="200"/>
        <w:textAlignment w:val="auto"/>
        <w:outlineLvl w:val="9"/>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现更正为：</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617"/>
        <w:gridCol w:w="8341"/>
      </w:tblGrid>
      <w:tr w14:paraId="51E770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116" w:hRule="atLeast"/>
          <w:jc w:val="center"/>
        </w:trPr>
        <w:tc>
          <w:tcPr>
            <w:tcW w:w="812" w:type="pct"/>
            <w:shd w:val="clear" w:color="auto" w:fill="auto"/>
            <w:noWrap w:val="0"/>
            <w:vAlign w:val="center"/>
          </w:tcPr>
          <w:p w14:paraId="4FAADB95">
            <w:pPr>
              <w:pBdr>
                <w:top w:val="none" w:color="000000" w:sz="0" w:space="0"/>
                <w:left w:val="none" w:color="000000" w:sz="0" w:space="0"/>
                <w:bottom w:val="none" w:color="000000" w:sz="0" w:space="0"/>
                <w:right w:val="none" w:color="000000" w:sz="0" w:space="0"/>
              </w:pBdr>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技术参数</w:t>
            </w:r>
          </w:p>
          <w:p w14:paraId="6BDD3ACE">
            <w:pPr>
              <w:pBdr>
                <w:top w:val="none" w:color="000000" w:sz="0" w:space="0"/>
                <w:left w:val="none" w:color="000000" w:sz="0" w:space="0"/>
                <w:bottom w:val="none" w:color="000000" w:sz="0" w:space="0"/>
                <w:right w:val="none" w:color="000000" w:sz="0" w:space="0"/>
              </w:pBdr>
              <w:spacing w:line="24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响应（</w:t>
            </w:r>
            <w:r>
              <w:rPr>
                <w:rFonts w:hint="eastAsia" w:ascii="宋体" w:hAnsi="宋体" w:eastAsia="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分）</w:t>
            </w:r>
          </w:p>
        </w:tc>
        <w:tc>
          <w:tcPr>
            <w:tcW w:w="4187" w:type="pct"/>
            <w:shd w:val="clear" w:color="auto" w:fill="auto"/>
            <w:noWrap w:val="0"/>
            <w:vAlign w:val="center"/>
          </w:tcPr>
          <w:p w14:paraId="02D08D9A">
            <w:pPr>
              <w:widowControl w:val="0"/>
              <w:tabs>
                <w:tab w:val="center" w:pos="4153"/>
                <w:tab w:val="right" w:pos="8306"/>
              </w:tabs>
              <w:spacing w:line="240" w:lineRule="auto"/>
              <w:jc w:val="both"/>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完全符合招标文件第六章《采购需求》中“三、技术参数要求”的，得基本分19分；本项目共19种品类，每种品类完全满足的得1分；加“★”的指标为实质性响应指标，实质性响应指标任意1项指标不满足或负偏离按无效投标处理，其他为一般响应指标，每品类一般响应指标任意1项指标不满足或负偏离的，此品类不得分。</w:t>
            </w:r>
          </w:p>
          <w:p w14:paraId="3B3B6366">
            <w:pPr>
              <w:widowControl w:val="0"/>
              <w:tabs>
                <w:tab w:val="center" w:pos="4153"/>
                <w:tab w:val="right" w:pos="8306"/>
              </w:tabs>
              <w:spacing w:line="240" w:lineRule="auto"/>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本项最高得19分，最低得0分。</w:t>
            </w:r>
          </w:p>
          <w:p w14:paraId="41D49C38">
            <w:pPr>
              <w:widowControl w:val="0"/>
              <w:tabs>
                <w:tab w:val="center" w:pos="4153"/>
                <w:tab w:val="right" w:pos="8306"/>
              </w:tabs>
              <w:spacing w:line="240" w:lineRule="auto"/>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注：未按照招标文件提供证明材料的视为不满足。投标人须如实填写所投产品参数，验收时发现交付产品与本次招标及中标参数不符做违约处理并弥补采购人损失。</w:t>
            </w:r>
          </w:p>
        </w:tc>
      </w:tr>
    </w:tbl>
    <w:p w14:paraId="2C689A57">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2" w:firstLineChars="200"/>
        <w:textAlignment w:val="auto"/>
        <w:outlineLvl w:val="9"/>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（2）</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617"/>
        <w:gridCol w:w="8341"/>
      </w:tblGrid>
      <w:tr w14:paraId="7B6224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48" w:hRule="atLeast"/>
          <w:jc w:val="center"/>
        </w:trPr>
        <w:tc>
          <w:tcPr>
            <w:tcW w:w="812" w:type="pct"/>
            <w:shd w:val="clear" w:color="auto" w:fill="auto"/>
            <w:noWrap w:val="0"/>
            <w:vAlign w:val="center"/>
          </w:tcPr>
          <w:p w14:paraId="653A6B1A">
            <w:pPr>
              <w:pBdr>
                <w:top w:val="none" w:color="000000" w:sz="0" w:space="0"/>
                <w:left w:val="none" w:color="000000" w:sz="0" w:space="0"/>
                <w:bottom w:val="none" w:color="000000" w:sz="0" w:space="0"/>
                <w:right w:val="none" w:color="000000" w:sz="0" w:space="0"/>
              </w:pBdr>
              <w:spacing w:line="24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售后服务方案（15分）</w:t>
            </w:r>
          </w:p>
        </w:tc>
        <w:tc>
          <w:tcPr>
            <w:tcW w:w="4187" w:type="pct"/>
            <w:shd w:val="clear" w:color="auto" w:fill="auto"/>
            <w:noWrap w:val="0"/>
            <w:vAlign w:val="center"/>
          </w:tcPr>
          <w:p w14:paraId="0A51FC49">
            <w:pPr>
              <w:widowControl/>
              <w:spacing w:line="240" w:lineRule="auto"/>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根据投标人投标文件中提供的售后服务方案，内容包含但不限于：①质保期；②质保期满内的服务方式及响应时间；③质保期满内的人员配置、故障处理及维修服务；④质保期满后的服务方式、响应时间故障处理及维修服务；⑤零配件方案。对内容的全面性、针对性、可行性进行评价。</w:t>
            </w:r>
          </w:p>
          <w:p w14:paraId="3C5DB1CB">
            <w:pPr>
              <w:keepNext w:val="0"/>
              <w:keepLines w:val="0"/>
              <w:pageBreakBefore w:val="0"/>
              <w:widowControl/>
              <w:pBdr>
                <w:top w:val="none" w:color="000000" w:sz="0" w:space="0"/>
                <w:left w:val="none" w:color="000000" w:sz="0" w:space="0"/>
                <w:bottom w:val="none" w:color="000000" w:sz="0" w:space="0"/>
                <w:right w:val="none" w:color="000000" w:sz="0" w:space="0"/>
              </w:pBdr>
              <w:spacing w:before="0" w:beforeAutospacing="0" w:after="0" w:afterAutospacing="0" w:line="240" w:lineRule="auto"/>
              <w:ind w:left="0" w:right="0" w:firstLine="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全面性（5分）：全面具体详实得5分；较全面详实得3分；全面性一般得2分；不全面得1分。</w:t>
            </w:r>
          </w:p>
          <w:p w14:paraId="5D14455D">
            <w:pPr>
              <w:keepNext w:val="0"/>
              <w:keepLines w:val="0"/>
              <w:pageBreakBefore w:val="0"/>
              <w:widowControl/>
              <w:pBdr>
                <w:top w:val="none" w:color="000000" w:sz="0" w:space="0"/>
                <w:left w:val="none" w:color="000000" w:sz="0" w:space="0"/>
                <w:bottom w:val="none" w:color="000000" w:sz="0" w:space="0"/>
                <w:right w:val="none" w:color="000000" w:sz="0" w:space="0"/>
              </w:pBdr>
              <w:spacing w:before="0" w:beforeAutospacing="0" w:after="0" w:afterAutospacing="0" w:line="240" w:lineRule="auto"/>
              <w:ind w:left="0" w:right="0" w:firstLine="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针对性（5分）：针对性强得5分；针对性一般得3分；针对性不强得1分。</w:t>
            </w:r>
          </w:p>
          <w:p w14:paraId="00CB230A">
            <w:pPr>
              <w:keepNext w:val="0"/>
              <w:keepLines w:val="0"/>
              <w:pageBreakBefore w:val="0"/>
              <w:widowControl/>
              <w:pBdr>
                <w:top w:val="none" w:color="000000" w:sz="0" w:space="0"/>
                <w:left w:val="none" w:color="000000" w:sz="0" w:space="0"/>
                <w:bottom w:val="none" w:color="000000" w:sz="0" w:space="0"/>
                <w:right w:val="none" w:color="000000" w:sz="0" w:space="0"/>
              </w:pBdr>
              <w:spacing w:before="0" w:beforeAutospacing="0" w:after="0" w:afterAutospacing="0" w:line="240" w:lineRule="auto"/>
              <w:ind w:left="0" w:right="0" w:firstLine="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可行性（5分）：符合实际切实可行得5分；可行性一般得3分；可行性欠缺得1分。</w:t>
            </w:r>
          </w:p>
          <w:p w14:paraId="0D1B12E4">
            <w:pPr>
              <w:keepNext w:val="0"/>
              <w:keepLines w:val="0"/>
              <w:pageBreakBefore w:val="0"/>
              <w:widowControl/>
              <w:pBdr>
                <w:top w:val="none" w:color="000000" w:sz="0" w:space="0"/>
                <w:left w:val="none" w:color="000000" w:sz="0" w:space="0"/>
                <w:bottom w:val="none" w:color="000000" w:sz="0" w:space="0"/>
                <w:right w:val="none" w:color="000000" w:sz="0" w:space="0"/>
              </w:pBdr>
              <w:spacing w:before="0" w:beforeAutospacing="0" w:after="0" w:afterAutospacing="0" w:line="240" w:lineRule="auto"/>
              <w:ind w:left="0" w:right="0" w:firstLine="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未提供得0分，本项最高得15分，最低得0分。</w:t>
            </w:r>
          </w:p>
        </w:tc>
      </w:tr>
    </w:tbl>
    <w:p w14:paraId="62DFD0CB">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2" w:firstLineChars="200"/>
        <w:textAlignment w:val="auto"/>
        <w:outlineLvl w:val="9"/>
        <w:rPr>
          <w:rFonts w:hint="eastAsia"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现更正为：</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617"/>
        <w:gridCol w:w="8341"/>
      </w:tblGrid>
      <w:tr w14:paraId="6D41D9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48" w:hRule="atLeast"/>
          <w:jc w:val="center"/>
        </w:trPr>
        <w:tc>
          <w:tcPr>
            <w:tcW w:w="812" w:type="pct"/>
            <w:shd w:val="clear" w:color="auto" w:fill="auto"/>
            <w:noWrap w:val="0"/>
            <w:vAlign w:val="center"/>
          </w:tcPr>
          <w:p w14:paraId="37E70C33">
            <w:pPr>
              <w:pBdr>
                <w:top w:val="none" w:color="000000" w:sz="0" w:space="0"/>
                <w:left w:val="none" w:color="000000" w:sz="0" w:space="0"/>
                <w:bottom w:val="none" w:color="000000" w:sz="0" w:space="0"/>
                <w:right w:val="none" w:color="000000" w:sz="0" w:space="0"/>
              </w:pBdr>
              <w:spacing w:line="240"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售后服务方案（22分）</w:t>
            </w:r>
          </w:p>
        </w:tc>
        <w:tc>
          <w:tcPr>
            <w:tcW w:w="4187" w:type="pct"/>
            <w:shd w:val="clear" w:color="auto" w:fill="auto"/>
            <w:noWrap w:val="0"/>
            <w:vAlign w:val="center"/>
          </w:tcPr>
          <w:p w14:paraId="1305F87C">
            <w:pPr>
              <w:widowControl/>
              <w:spacing w:line="240" w:lineRule="auto"/>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根据投标人投标文件中提供的售后服务方案，内容包含但不限于：①质保期；②质保期满内的服务方式及响应时间；③质保期满内的人员配置、故障处理及维修服务；④质保期满后的服务方式、响应时间故障处理及维修服务；⑤零配件方案。对内容的全面性、针对性、可行性进行评价。</w:t>
            </w:r>
          </w:p>
          <w:p w14:paraId="1EACF731">
            <w:pPr>
              <w:keepNext w:val="0"/>
              <w:keepLines w:val="0"/>
              <w:pageBreakBefore w:val="0"/>
              <w:widowControl/>
              <w:pBdr>
                <w:top w:val="none" w:color="000000" w:sz="0" w:space="0"/>
                <w:left w:val="none" w:color="000000" w:sz="0" w:space="0"/>
                <w:bottom w:val="none" w:color="000000" w:sz="0" w:space="0"/>
                <w:right w:val="none" w:color="000000" w:sz="0" w:space="0"/>
              </w:pBdr>
              <w:spacing w:before="0" w:beforeAutospacing="0" w:after="0" w:afterAutospacing="0" w:line="240" w:lineRule="auto"/>
              <w:ind w:left="0" w:right="0" w:firstLine="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全面性（8分）：全面具体详实得8分；较全面详实得6分；全面性一般得4分；不全面得2分。</w:t>
            </w:r>
          </w:p>
          <w:p w14:paraId="77D27FC5">
            <w:pPr>
              <w:keepNext w:val="0"/>
              <w:keepLines w:val="0"/>
              <w:pageBreakBefore w:val="0"/>
              <w:widowControl/>
              <w:pBdr>
                <w:top w:val="none" w:color="000000" w:sz="0" w:space="0"/>
                <w:left w:val="none" w:color="000000" w:sz="0" w:space="0"/>
                <w:bottom w:val="none" w:color="000000" w:sz="0" w:space="0"/>
                <w:right w:val="none" w:color="000000" w:sz="0" w:space="0"/>
              </w:pBdr>
              <w:spacing w:before="0" w:beforeAutospacing="0" w:after="0" w:afterAutospacing="0" w:line="240" w:lineRule="auto"/>
              <w:ind w:left="0" w:right="0" w:firstLine="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针对性（8分）：针对性强得8分；针对性较强得6分；针对性一般得4分；针对性不强得2分。</w:t>
            </w:r>
          </w:p>
          <w:p w14:paraId="58A3D88C">
            <w:pPr>
              <w:keepNext w:val="0"/>
              <w:keepLines w:val="0"/>
              <w:pageBreakBefore w:val="0"/>
              <w:widowControl/>
              <w:pBdr>
                <w:top w:val="none" w:color="000000" w:sz="0" w:space="0"/>
                <w:left w:val="none" w:color="000000" w:sz="0" w:space="0"/>
                <w:bottom w:val="none" w:color="000000" w:sz="0" w:space="0"/>
                <w:right w:val="none" w:color="000000" w:sz="0" w:space="0"/>
              </w:pBdr>
              <w:spacing w:before="0" w:beforeAutospacing="0" w:after="0" w:afterAutospacing="0" w:line="240" w:lineRule="auto"/>
              <w:ind w:left="0" w:right="0" w:firstLine="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可行性（6分）：符合实际切实可行得6分；可行性一般得3分；可行性欠缺得1分。</w:t>
            </w:r>
          </w:p>
          <w:p w14:paraId="7E4F31C3">
            <w:pPr>
              <w:keepNext w:val="0"/>
              <w:keepLines w:val="0"/>
              <w:pageBreakBefore w:val="0"/>
              <w:widowControl/>
              <w:pBdr>
                <w:top w:val="none" w:color="000000" w:sz="0" w:space="0"/>
                <w:left w:val="none" w:color="000000" w:sz="0" w:space="0"/>
                <w:bottom w:val="none" w:color="000000" w:sz="0" w:space="0"/>
                <w:right w:val="none" w:color="000000" w:sz="0" w:space="0"/>
              </w:pBdr>
              <w:spacing w:before="0" w:beforeAutospacing="0" w:after="0" w:afterAutospacing="0" w:line="240" w:lineRule="auto"/>
              <w:ind w:left="0" w:right="0" w:firstLine="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未提供得0分，本项最高得22分，最低得0分。</w:t>
            </w:r>
          </w:p>
        </w:tc>
      </w:tr>
    </w:tbl>
    <w:p w14:paraId="328E0CEA">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482" w:firstLineChars="200"/>
        <w:textAlignment w:val="auto"/>
        <w:outlineLvl w:val="9"/>
        <w:rPr>
          <w:rFonts w:hint="default" w:ascii="宋体" w:hAnsi="宋体" w:eastAsia="宋体" w:cs="宋体"/>
          <w:b/>
          <w:bCs w:val="0"/>
          <w:kern w:val="0"/>
          <w:sz w:val="24"/>
          <w:szCs w:val="24"/>
          <w:lang w:val="en-US" w:eastAsia="zh-CN" w:bidi="ar-SA"/>
        </w:rPr>
      </w:pPr>
      <w:r>
        <w:rPr>
          <w:rFonts w:hint="eastAsia" w:ascii="宋体" w:hAnsi="宋体" w:eastAsia="宋体" w:cs="宋体"/>
          <w:b/>
          <w:bCs w:val="0"/>
          <w:kern w:val="0"/>
          <w:sz w:val="24"/>
          <w:szCs w:val="24"/>
          <w:lang w:val="en-US" w:eastAsia="zh-CN" w:bidi="ar-SA"/>
        </w:rPr>
        <w:t>5、因招标文件内采购需求有所调整，开标日期由2026年9月10日09时30分延期为2026年9月17日09时30分</w:t>
      </w:r>
    </w:p>
    <w:p w14:paraId="06049DF6">
      <w:pPr>
        <w:pStyle w:val="9"/>
        <w:keepNext w:val="0"/>
        <w:keepLines w:val="0"/>
        <w:pageBreakBefore w:val="0"/>
        <w:kinsoku/>
        <w:wordWrap/>
        <w:overflowPunct/>
        <w:topLinePunct w:val="0"/>
        <w:autoSpaceDE/>
        <w:autoSpaceDN/>
        <w:bidi w:val="0"/>
        <w:adjustRightInd/>
        <w:snapToGrid/>
        <w:spacing w:after="0" w:line="480" w:lineRule="exact"/>
        <w:ind w:left="0" w:right="0" w:rightChars="0" w:firstLine="562" w:firstLineChars="200"/>
        <w:textAlignment w:val="auto"/>
        <w:outlineLvl w:val="9"/>
        <w:rPr>
          <w:rFonts w:hint="eastAsia" w:ascii="宋体" w:hAnsi="宋体" w:eastAsia="宋体" w:cs="宋体"/>
          <w:b/>
          <w:bCs/>
          <w:sz w:val="28"/>
          <w:szCs w:val="28"/>
        </w:rPr>
      </w:pPr>
      <w:r>
        <w:rPr>
          <w:rFonts w:hint="eastAsia" w:ascii="宋体" w:hAnsi="宋体" w:eastAsia="宋体" w:cs="宋体"/>
          <w:b/>
          <w:bCs/>
          <w:sz w:val="28"/>
          <w:szCs w:val="28"/>
        </w:rPr>
        <w:t>二、其他内容不变。</w:t>
      </w:r>
      <w:r>
        <w:rPr>
          <w:rFonts w:hint="eastAsia" w:ascii="宋体" w:hAnsi="宋体" w:eastAsia="宋体" w:cs="宋体"/>
          <w:b/>
          <w:bCs/>
          <w:sz w:val="28"/>
          <w:szCs w:val="28"/>
          <w:lang w:eastAsia="zh-CN"/>
        </w:rPr>
        <w:t>为不影响制作电子</w:t>
      </w:r>
      <w:r>
        <w:rPr>
          <w:rFonts w:hint="eastAsia" w:ascii="宋体" w:hAnsi="宋体" w:eastAsia="宋体" w:cs="宋体"/>
          <w:b/>
          <w:bCs/>
          <w:sz w:val="28"/>
          <w:szCs w:val="28"/>
          <w:lang w:val="en-US" w:eastAsia="zh-CN"/>
        </w:rPr>
        <w:t>响应</w:t>
      </w:r>
      <w:r>
        <w:rPr>
          <w:rFonts w:hint="eastAsia" w:ascii="宋体" w:hAnsi="宋体" w:eastAsia="宋体" w:cs="宋体"/>
          <w:b/>
          <w:bCs/>
          <w:sz w:val="28"/>
          <w:szCs w:val="28"/>
          <w:lang w:eastAsia="zh-CN"/>
        </w:rPr>
        <w:t>文件，请各</w:t>
      </w:r>
      <w:r>
        <w:rPr>
          <w:rFonts w:hint="eastAsia" w:ascii="宋体" w:hAnsi="宋体" w:eastAsia="宋体" w:cs="宋体"/>
          <w:b/>
          <w:bCs/>
          <w:sz w:val="28"/>
          <w:szCs w:val="28"/>
          <w:lang w:val="en-US" w:eastAsia="zh-CN"/>
        </w:rPr>
        <w:t>供应商</w:t>
      </w:r>
      <w:r>
        <w:rPr>
          <w:rFonts w:hint="eastAsia" w:ascii="宋体" w:hAnsi="宋体" w:eastAsia="宋体" w:cs="宋体"/>
          <w:b/>
          <w:bCs/>
          <w:sz w:val="28"/>
          <w:szCs w:val="28"/>
          <w:lang w:eastAsia="zh-CN"/>
        </w:rPr>
        <w:t>按更正公告及</w:t>
      </w:r>
      <w:r>
        <w:rPr>
          <w:rFonts w:hint="eastAsia" w:ascii="宋体" w:hAnsi="宋体" w:eastAsia="宋体" w:cs="宋体"/>
          <w:b/>
          <w:bCs/>
          <w:sz w:val="28"/>
          <w:szCs w:val="28"/>
          <w:lang w:val="en-US" w:eastAsia="zh-CN"/>
        </w:rPr>
        <w:t>招标文件（更正版）</w:t>
      </w:r>
      <w:r>
        <w:rPr>
          <w:rFonts w:hint="eastAsia" w:ascii="宋体" w:hAnsi="宋体" w:eastAsia="宋体" w:cs="宋体"/>
          <w:b/>
          <w:bCs/>
          <w:sz w:val="28"/>
          <w:szCs w:val="28"/>
          <w:lang w:eastAsia="zh-CN"/>
        </w:rPr>
        <w:t>制作</w:t>
      </w:r>
      <w:r>
        <w:rPr>
          <w:rFonts w:hint="eastAsia" w:ascii="宋体" w:hAnsi="宋体" w:eastAsia="宋体" w:cs="宋体"/>
          <w:b/>
          <w:bCs/>
          <w:sz w:val="28"/>
          <w:szCs w:val="28"/>
          <w:lang w:val="en-US" w:eastAsia="zh-CN"/>
        </w:rPr>
        <w:t>投标</w:t>
      </w:r>
      <w:r>
        <w:rPr>
          <w:rFonts w:hint="eastAsia" w:ascii="宋体" w:hAnsi="宋体" w:eastAsia="宋体" w:cs="宋体"/>
          <w:b/>
          <w:bCs/>
          <w:sz w:val="28"/>
          <w:szCs w:val="28"/>
          <w:lang w:eastAsia="zh-CN"/>
        </w:rPr>
        <w:t>文件。</w:t>
      </w:r>
    </w:p>
    <w:p w14:paraId="41355988">
      <w:pPr>
        <w:jc w:val="right"/>
        <w:rPr>
          <w:rFonts w:hint="eastAsia" w:ascii="宋体" w:hAnsi="宋体" w:eastAsia="宋体" w:cs="宋体"/>
          <w:b/>
          <w:bCs/>
          <w:kern w:val="2"/>
          <w:sz w:val="28"/>
          <w:szCs w:val="28"/>
          <w:lang w:val="en-US" w:eastAsia="zh-CN" w:bidi="ar-SA"/>
        </w:rPr>
      </w:pPr>
    </w:p>
    <w:p w14:paraId="1EBAFB64">
      <w:pPr>
        <w:jc w:val="right"/>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徐州易合工程管理有限公司</w:t>
      </w:r>
    </w:p>
    <w:p w14:paraId="113D4850">
      <w:pPr>
        <w:jc w:val="right"/>
        <w:rPr>
          <w:rFonts w:hint="eastAsia" w:ascii="宋体" w:hAnsi="宋体" w:eastAsia="宋体" w:cs="宋体"/>
          <w:sz w:val="28"/>
          <w:szCs w:val="28"/>
        </w:rPr>
      </w:pPr>
      <w:r>
        <w:rPr>
          <w:rFonts w:hint="eastAsia" w:ascii="宋体" w:hAnsi="宋体" w:eastAsia="宋体" w:cs="宋体"/>
          <w:b/>
          <w:bCs/>
          <w:sz w:val="28"/>
          <w:szCs w:val="28"/>
        </w:rPr>
        <w:t>202</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年</w:t>
      </w:r>
      <w:r>
        <w:rPr>
          <w:rFonts w:hint="eastAsia" w:ascii="宋体" w:hAnsi="宋体" w:eastAsia="宋体" w:cs="宋体"/>
          <w:b/>
          <w:bCs/>
          <w:sz w:val="28"/>
          <w:szCs w:val="28"/>
          <w:lang w:val="en-US" w:eastAsia="zh-CN"/>
        </w:rPr>
        <w:t>0</w:t>
      </w:r>
      <w:bookmarkStart w:id="2" w:name="_GoBack"/>
      <w:bookmarkEnd w:id="2"/>
      <w:r>
        <w:rPr>
          <w:rFonts w:hint="eastAsia" w:ascii="宋体" w:hAnsi="宋体" w:eastAsia="宋体" w:cs="宋体"/>
          <w:b/>
          <w:bCs/>
          <w:sz w:val="28"/>
          <w:szCs w:val="28"/>
          <w:lang w:val="en-US" w:eastAsia="zh-CN"/>
        </w:rPr>
        <w:t>8</w:t>
      </w:r>
      <w:r>
        <w:rPr>
          <w:rFonts w:hint="eastAsia" w:ascii="宋体" w:hAnsi="宋体" w:eastAsia="宋体" w:cs="宋体"/>
          <w:b/>
          <w:bCs/>
          <w:sz w:val="28"/>
          <w:szCs w:val="28"/>
        </w:rPr>
        <w:t>月</w:t>
      </w:r>
      <w:r>
        <w:rPr>
          <w:rFonts w:hint="eastAsia" w:ascii="宋体" w:hAnsi="宋体" w:eastAsia="宋体" w:cs="宋体"/>
          <w:b/>
          <w:bCs/>
          <w:sz w:val="28"/>
          <w:szCs w:val="28"/>
          <w:lang w:val="en-US" w:eastAsia="zh-CN"/>
        </w:rPr>
        <w:t>31</w:t>
      </w:r>
      <w:r>
        <w:rPr>
          <w:rFonts w:hint="eastAsia" w:ascii="宋体" w:hAnsi="宋体" w:eastAsia="宋体" w:cs="宋体"/>
          <w:b/>
          <w:bCs/>
          <w:sz w:val="28"/>
          <w:szCs w:val="28"/>
        </w:rPr>
        <w:t>日</w:t>
      </w:r>
    </w:p>
    <w:p w14:paraId="57578A85"/>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PGothic">
    <w:panose1 w:val="020B0600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DA3A3">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a:effectLst/>
                    </wps:spPr>
                    <wps:txbx>
                      <w:txbxContent>
                        <w:p w14:paraId="60B2694A">
                          <w:pPr>
                            <w:pStyle w:val="3"/>
                          </w:pPr>
                          <w:r>
                            <w:fldChar w:fldCharType="begin"/>
                          </w:r>
                          <w:r>
                            <w:instrText xml:space="preserve"> PAGE  \* MERGEFORMAT </w:instrText>
                          </w:r>
                          <w:r>
                            <w:fldChar w:fldCharType="separate"/>
                          </w:r>
                          <w:r>
                            <w:t>52</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OqXm5zwAAAAUBAAAPAAAAAAAAAAEAIAAAACIA&#10;AABkcnMvZG93bnJldi54bWxQSwECFAAUAAAACACHTuJAJVOiT9kBAAC1AwAADgAAAAAAAAABACAA&#10;AAAeAQAAZHJzL2Uyb0RvYy54bWxQSwUGAAAAAAYABgBZAQAAaQUAAAAA&#10;">
              <v:fill on="f" focussize="0,0"/>
              <v:stroke on="f"/>
              <v:imagedata o:title=""/>
              <o:lock v:ext="edit" aspectratio="f"/>
              <v:textbox inset="0mm,0mm,0mm,0mm" style="mso-fit-shape-to-text:t;">
                <w:txbxContent>
                  <w:p w14:paraId="60B2694A">
                    <w:pPr>
                      <w:pStyle w:val="3"/>
                    </w:pPr>
                    <w:r>
                      <w:fldChar w:fldCharType="begin"/>
                    </w:r>
                    <w:r>
                      <w:instrText xml:space="preserve"> PAGE  \* MERGEFORMAT </w:instrText>
                    </w:r>
                    <w:r>
                      <w:fldChar w:fldCharType="separate"/>
                    </w:r>
                    <w:r>
                      <w:t>52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402D7">
    <w:pPr>
      <w:pBdr>
        <w:bottom w:val="none" w:color="auto" w:sz="0" w:space="0"/>
      </w:pBdr>
      <w:jc w:val="right"/>
      <w:rPr>
        <w:i/>
        <w:iCs/>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650AFE"/>
    <w:rsid w:val="071574C9"/>
    <w:rsid w:val="08FA7E97"/>
    <w:rsid w:val="0A724054"/>
    <w:rsid w:val="127D6438"/>
    <w:rsid w:val="1C0069D0"/>
    <w:rsid w:val="23835C68"/>
    <w:rsid w:val="24CE535D"/>
    <w:rsid w:val="37352C17"/>
    <w:rsid w:val="463351B6"/>
    <w:rsid w:val="46584C1D"/>
    <w:rsid w:val="468B5DEB"/>
    <w:rsid w:val="4C942727"/>
    <w:rsid w:val="4F966B16"/>
    <w:rsid w:val="523E14CC"/>
    <w:rsid w:val="69C652BF"/>
    <w:rsid w:val="7ADB6A6E"/>
    <w:rsid w:val="7D4E52A2"/>
    <w:rsid w:val="7D545437"/>
    <w:rsid w:val="7DEB3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unhideWhenUsed/>
    <w:qFormat/>
    <w:uiPriority w:val="0"/>
    <w:pPr>
      <w:widowControl w:val="0"/>
      <w:spacing w:line="360" w:lineRule="auto"/>
      <w:ind w:left="0" w:right="0"/>
      <w:jc w:val="left"/>
      <w:outlineLvl w:val="1"/>
    </w:pPr>
    <w:rPr>
      <w:rFonts w:hint="eastAsia" w:ascii="宋体" w:hAnsi="宋体" w:eastAsia="宋体" w:cstheme="minorBidi"/>
      <w:b/>
      <w:kern w:val="2"/>
      <w:sz w:val="28"/>
      <w:szCs w:val="24"/>
      <w:lang w:val="zh-CN"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qFormat/>
    <w:uiPriority w:val="0"/>
    <w:pPr>
      <w:widowControl w:val="0"/>
      <w:tabs>
        <w:tab w:val="center" w:pos="4153"/>
        <w:tab w:val="right" w:pos="8306"/>
      </w:tabs>
      <w:snapToGrid w:val="0"/>
      <w:jc w:val="left"/>
    </w:pPr>
    <w:rPr>
      <w:rFonts w:asciiTheme="minorHAnsi" w:hAnsiTheme="minorHAnsi" w:eastAsiaTheme="minorEastAsia" w:cstheme="minorBidi"/>
      <w:kern w:val="2"/>
      <w:sz w:val="18"/>
      <w:szCs w:val="18"/>
      <w:lang w:val="en-US" w:eastAsia="zh-CN" w:bidi="ar-SA"/>
    </w:rPr>
  </w:style>
  <w:style w:type="paragraph" w:styleId="4">
    <w:name w:val="toc 1"/>
    <w:next w:val="1"/>
    <w:qFormat/>
    <w:uiPriority w:val="39"/>
    <w:pPr>
      <w:widowControl w:val="0"/>
      <w:jc w:val="both"/>
    </w:pPr>
    <w:rPr>
      <w:rFonts w:asciiTheme="minorHAnsi" w:hAnsiTheme="minorHAnsi" w:eastAsiaTheme="minorEastAsia" w:cstheme="minorBidi"/>
      <w:kern w:val="2"/>
      <w:sz w:val="21"/>
      <w:szCs w:val="24"/>
      <w:lang w:val="en-US" w:eastAsia="zh-CN" w:bidi="ar-SA"/>
    </w:rPr>
  </w:style>
  <w:style w:type="paragraph" w:styleId="5">
    <w:name w:val="Normal (Web)"/>
    <w:qFormat/>
    <w:uiPriority w:val="0"/>
    <w:pPr>
      <w:widowControl w:val="0"/>
      <w:spacing w:beforeAutospacing="1" w:afterAutospacing="1"/>
      <w:jc w:val="left"/>
    </w:pPr>
    <w:rPr>
      <w:rFonts w:cs="Times New Roman" w:asciiTheme="minorHAnsi" w:hAnsiTheme="minorHAnsi" w:eastAsiaTheme="minorEastAsia"/>
      <w:kern w:val="0"/>
      <w:sz w:val="24"/>
      <w:szCs w:val="24"/>
      <w:lang w:val="en-US" w:eastAsia="zh-CN" w:bidi="ar-SA"/>
    </w:rPr>
  </w:style>
  <w:style w:type="character" w:styleId="8">
    <w:name w:val="Strong"/>
    <w:qFormat/>
    <w:uiPriority w:val="0"/>
    <w:rPr>
      <w:b/>
    </w:rPr>
  </w:style>
  <w:style w:type="paragraph" w:customStyle="1" w:styleId="9">
    <w:name w:val="文本块11"/>
    <w:unhideWhenUsed/>
    <w:qFormat/>
    <w:uiPriority w:val="6"/>
    <w:pPr>
      <w:widowControl w:val="0"/>
      <w:spacing w:after="120"/>
      <w:ind w:left="1440" w:right="1440"/>
      <w:jc w:val="both"/>
    </w:pPr>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3071</Words>
  <Characters>3401</Characters>
  <Lines>0</Lines>
  <Paragraphs>0</Paragraphs>
  <TotalTime>44</TotalTime>
  <ScaleCrop>false</ScaleCrop>
  <LinksUpToDate>false</LinksUpToDate>
  <CharactersWithSpaces>3450</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2023-06-07T02:29:00Z</dcterms:created>
  <dc:creator>ASUS</dc:creator>
  <cp:lastModifiedBy>斯嘉</cp:lastModifiedBy>
  <dcterms:modified xsi:type="dcterms:W3CDTF">2026-08-31T09:15:38Z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6A27FDA755CF4F8593DB0113C4AD51CC_13</vt:lpwstr>
  </property>
  <property fmtid="{D5CDD505-2E9C-101B-9397-08002B2CF9AE}" pid="4" name="KSOTemplateDocerSaveRecord">
    <vt:lpwstr>eyJoZGlkIjoiMzEwNTM5NzYwMDRjMzkwZTVkZjY2ODkwMGIxNGU0OTUiLCJ1c2VySWQiOiIxMTM1NDU4MTc1In0=</vt:lpwstr>
  </property>
</Properties>
</file>