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4"/>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4"/>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94"/>
        <w:rPr>
          <w:rFonts w:hint="eastAsia" w:ascii="宋体" w:hAnsi="宋体" w:cs="宋体"/>
          <w:color w:val="auto"/>
          <w:highlight w:val="none"/>
        </w:rPr>
      </w:pPr>
      <w:r>
        <w:rPr>
          <w:rFonts w:hint="eastAsia" w:ascii="宋体" w:hAnsi="宋体" w:cs="宋体"/>
          <w:color w:val="auto"/>
          <w:highlight w:val="none"/>
        </w:rPr>
      </w:r>
      <w:r/>
    </w:p>
    <w:p>
      <w:pPr>
        <w:pStyle w:val="1294"/>
        <w:ind w:left="0"/>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项目编号：JSZC-320300-HWZX-C2026-0472  </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徐州生物工程职业技术学院动物工程学院教学实训中心改造工程项目</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人：徐州生物工程职业技术学院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94"/>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2032635</wp:posOffset>
                </wp:positionH>
                <wp:positionV relativeFrom="paragraph">
                  <wp:posOffset>278130</wp:posOffset>
                </wp:positionV>
                <wp:extent cx="1137920" cy="458470"/>
                <wp:effectExtent l="0" t="0" r="5080" b="17780"/>
                <wp:wrapSquare wrapText="bothSides"/>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1"/>
                        <a:stretch/>
                      </pic:blipFill>
                      <pic:spPr bwMode="auto">
                        <a:xfrm>
                          <a:off x="0" y="0"/>
                          <a:ext cx="113792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160.0pt;mso-position-horizontal:absolute;mso-position-vertical-relative:text;margin-top:21.9pt;mso-position-vertical:absolute;width:89.6pt;height:36.1pt;mso-wrap-distance-left:9.0pt;mso-wrap-distance-top:0.0pt;mso-wrap-distance-right:9.0pt;mso-wrap-distance-bottom:0.0pt;" stroked="f">
                <v:path textboxrect="0,0,0,0"/>
                <w10:wrap type="square"/>
                <v:imagedata r:id="rId21"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八</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rPr>
        <w:t xml:space="preserve">JSZC-320300-HWZX-C2026-0472</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一、采购人：徐州生物工程职业技术学院。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徐州生物工程职业技术学院动物工程学院教学实训中心改造工程项目</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val="en-US" w:eastAsia="zh-CN"/>
        </w:rPr>
        <w:t xml:space="preserve"> JSZC-320300-HWZX-C2026-0472</w:t>
      </w:r>
      <w:bookmarkStart w:id="17" w:name="_GoBack"/>
      <w:r/>
      <w:bookmarkEnd w:id="17"/>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31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19"/>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31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1119"/>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31 </w:t>
      </w:r>
      <w:r>
        <w:rPr>
          <w:rFonts w:hint="eastAsia" w:ascii="宋体" w:hAnsi="宋体" w:cs="宋体"/>
          <w:b/>
          <w:bCs/>
          <w:color w:val="auto"/>
          <w:sz w:val="24"/>
          <w:highlight w:val="none"/>
        </w:rPr>
        <w:t xml:space="preserve">日上午09：30。</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19"/>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119"/>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1、供应商合法有效的法人的营业执照扫描件或法人证书扫描件；</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2、供应商具有良好的商业信誉和健全的财务会计制度，</w:t>
      </w:r>
      <w:r>
        <w:rPr>
          <w:rFonts w:hint="eastAsia" w:ascii="宋体" w:hAnsi="宋体" w:cs="宋体"/>
          <w:b/>
          <w:color w:val="auto"/>
          <w:sz w:val="24"/>
          <w:highlight w:val="none"/>
        </w:rPr>
        <w:t xml:space="preserve">提供距</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文件递交截止当月）前六个月内任何时间的资产负债表、利润表扫描件各一份，或其银行出具的资信证书（扫描件）（在</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文件递交截止时间前六个月内，不含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文件递交截止当月），或其2025年度经审计的财务报告扫描件加盖电子签章；</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3、供应商有依法缴纳税收的良好记录，</w:t>
      </w:r>
      <w:r>
        <w:rPr>
          <w:rFonts w:hint="eastAsia" w:ascii="宋体" w:hAnsi="宋体" w:cs="宋体"/>
          <w:b/>
          <w:color w:val="auto"/>
          <w:sz w:val="24"/>
          <w:highlight w:val="none"/>
        </w:rPr>
        <w:t xml:space="preserve">提供距</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文件递交截止当月）前六个月内任意一个月份的纳税凭据扫描件加盖电子签章（依法免税的应提供相应文件说明）；</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4、有依法缴纳社会保障资金的良好记录</w:t>
      </w:r>
      <w:r>
        <w:rPr>
          <w:rFonts w:hint="eastAsia" w:ascii="宋体" w:hAnsi="宋体" w:cs="宋体"/>
          <w:b/>
          <w:color w:val="auto"/>
          <w:sz w:val="24"/>
          <w:highlight w:val="none"/>
        </w:rPr>
        <w:t xml:space="preserve">，提供距</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文件递交截止当月）前六个月内任意一个月份的依法缴纳社会保障资金的凭据扫描件加盖电子签章；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5、具备履行合同所必需的设备和专业技术能力的证明材料，即响应文件中提供《具备履行合同所必需的设备和专业技术能力的书面声明》（附证明材料，加盖电子签章，格式见《磋商文件》附件）：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 提供供应商有效的建筑工程施工总承包叁级（含）以上资质证书扫描件；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②提供供应商拟选派项目负责人（注册建造师）具备有效的建筑工程专业贰级（含）以上建造师资格证书；</w:t>
      </w:r>
      <w:r>
        <w:rPr>
          <w:rFonts w:hint="eastAsia" w:ascii="宋体" w:hAnsi="宋体" w:cs="宋体"/>
          <w:b/>
          <w:color w:val="auto"/>
          <w:sz w:val="24"/>
          <w:highlight w:val="none"/>
        </w:rPr>
        <w:t xml:space="preserve">并取得</w:t>
      </w:r>
      <w:r>
        <w:rPr>
          <w:rFonts w:hint="eastAsia" w:ascii="宋体" w:hAnsi="宋体" w:cs="宋体"/>
          <w:bCs/>
          <w:color w:val="auto"/>
          <w:sz w:val="24"/>
          <w:highlight w:val="none"/>
        </w:rPr>
        <w:t xml:space="preserve">有效的《建筑施工企业项目负责人安全生产考核合格证书》（B证）且无在建工程，响应文件中提供证书扫描件；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③供应商具备安全生产条件，取得有效的《安全生产许可证》，响应文件中提供证书扫描件；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④供应商拟选派项目负责人（注册建造师）无在建工程，响应文件中提供证明材料或承诺书（格式自拟）。</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6、供应商参加采购活动前3年内在经营活动中没有重大违法记录的书面声明(加盖电子签章，格式见《磋商文件》附件)；</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本项目属于专门面向中小微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2、《磋商报价表》（政府采购客户端工具输入报价自动生成）；</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6、主要材料（设备）一览表（加盖电子签章，格式见《磋商文件》附件）；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7、磋商文件或相关法律法规规定的其他响应无效的情形。</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1、偏离表、现场踏勘委托书（要求见《磋商文件》附件1、《评分细则》）；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2、所投主要材料性能与质量评价（要求见《磋商文件》附件1、《评分细则》及附件：2、《项目要求（采购需求）》）；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3、施工组织设计（要求见《磋商文件》附件1、《评分细则》及附件：2、《项目要求（采购需求）》）；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4、售后服务方案（要求见《磋商文件》附件1、《评分细则》及附件：2、《项目要求（采购需求）》）；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2、评分细则中评分得分需提供的相关证明文件或供应商认为需要提供的其他资料。</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119"/>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119"/>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2"/>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62"/>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119"/>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11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19"/>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19"/>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1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19"/>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1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19"/>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19"/>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联系人：孙逊        联系电话：0516-83999055</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名称：徐州生物工程职业技术学院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地址：徐州市西三环路297号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联系方式：杜雷 0516-83628918</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联系方式：孙逊、张晴    0516-83999206</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二十六、履约担保（履约保证金）：成交金额的5%，合同签订前向采购人交纳。</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二十七、附件：附后。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10、《现场踏勘委托书》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12、《中小企业声明函》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16、《预付款保函支付条款模板》</w:t>
      </w:r>
      <w:r/>
    </w:p>
    <w:p>
      <w:pPr>
        <w:numPr>
          <w:ilvl w:val="0"/>
          <w:numId w:val="3"/>
        </w:numPr>
        <w:jc w:val="center"/>
        <w:spacing w:line="0" w:lineRule="atLeast"/>
        <w:rPr>
          <w:rFonts w:hint="eastAsia" w:ascii="宋体" w:hAnsi="宋体" w:cs="宋体"/>
          <w:b/>
          <w:color w:val="auto"/>
          <w:sz w:val="36"/>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06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7049"/>
      </w:tblGrid>
      <w:tr>
        <w:trPr>
          <w:jc w:val="center"/>
          <w:trHeight w:val="397"/>
        </w:trPr>
        <w:tc>
          <w:tcPr>
            <w:tcW w:w="866" w:type="pct"/>
            <w:vAlign w:val="center"/>
            <w:textDirection w:val="lrTb"/>
            <w:noWrap w:val="false"/>
          </w:tcPr>
          <w:p>
            <w:pPr>
              <w:pStyle w:val="1297"/>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33" w:type="pct"/>
            <w:vAlign w:val="center"/>
            <w:textDirection w:val="lrTb"/>
            <w:noWrap w:val="false"/>
          </w:tcPr>
          <w:p>
            <w:pPr>
              <w:pStyle w:val="1297"/>
              <w:ind w:firstLine="482"/>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341"/>
        </w:trPr>
        <w:tc>
          <w:tcPr>
            <w:tcW w:w="866" w:type="pct"/>
            <w:vAlign w:val="center"/>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(60分)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cs="宋体"/>
                <w:color w:val="auto"/>
                <w:sz w:val="24"/>
                <w:highlight w:val="none"/>
              </w:rPr>
            </w:pPr>
            <w:r>
              <w:rPr>
                <w:rFonts w:hint="eastAsia" w:ascii="宋体" w:hAnsi="宋体" w:cs="宋体"/>
                <w:color w:val="auto"/>
                <w:sz w:val="24"/>
                <w:highlight w:val="none"/>
              </w:rPr>
              <w:t xml:space="preserve">磋商报价得分=（磋商基准价/最后磋商报价）×60</w:t>
            </w:r>
            <w:r/>
          </w:p>
        </w:tc>
      </w:tr>
      <w:tr>
        <w:trPr>
          <w:cantSplit/>
          <w:jc w:val="center"/>
          <w:trHeight w:val="1441"/>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4133" w:type="pct"/>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供应商自2023年1月1日（含，以合同签订时间为准）以来承担过相同或类似工程的，响应文件中须同时提供合同扫描件和竣工验收证明材料作为业绩证明材料，每份得2分，最高得4分。 </w:t>
            </w:r>
            <w:r>
              <w:rPr>
                <w:rFonts w:hint="eastAsia" w:ascii="宋体" w:hAnsi="宋体" w:cs="宋体"/>
                <w:b/>
                <w:bCs/>
                <w:color w:val="auto"/>
                <w:sz w:val="24"/>
                <w:highlight w:val="none"/>
              </w:rPr>
              <w:t xml:space="preserve"> </w:t>
            </w:r>
            <w:r/>
          </w:p>
          <w:p>
            <w:pPr>
              <w:pStyle w:val="1062"/>
              <w:spacing w:after="0"/>
              <w:rPr>
                <w:color w:val="auto"/>
                <w:highlight w:val="none"/>
              </w:rPr>
            </w:pPr>
            <w:r>
              <w:rPr>
                <w:rFonts w:hint="eastAsia" w:ascii="宋体" w:hAnsi="宋体" w:cs="宋体"/>
                <w:b/>
                <w:bCs/>
                <w:color w:val="auto"/>
                <w:sz w:val="24"/>
                <w:highlight w:val="none"/>
              </w:rPr>
              <w:t xml:space="preserve">响应文件中提供上述证明材料扫描件并加盖供应商电子签章方为有效，未提供或提供不全视为不满足。</w:t>
            </w:r>
            <w:r/>
          </w:p>
        </w:tc>
      </w:tr>
      <w:tr>
        <w:trPr>
          <w:cantSplit/>
          <w:jc w:val="center"/>
          <w:trHeight w:val="1134"/>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技术及服务响应（3分）</w:t>
            </w:r>
            <w:r/>
          </w:p>
        </w:tc>
        <w:tc>
          <w:tcPr>
            <w:tcW w:w="4133" w:type="pct"/>
            <w:vAlign w:val="center"/>
            <w:textDirection w:val="lrTb"/>
            <w:noWrap w:val="false"/>
          </w:tcPr>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依据响应文件中偏离表、现场踏勘委托书等内容对竞争性磋商文件《2、项目要求（采购需求）》满足程度进行评价。</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完全满足的得3分，任意一项响应指标不满足或负偏离的，本项不得分。</w:t>
            </w:r>
            <w:r/>
          </w:p>
        </w:tc>
      </w:tr>
      <w:tr>
        <w:trPr>
          <w:cantSplit/>
          <w:jc w:val="center"/>
          <w:trHeight w:val="1277"/>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所投主要材料性能与质量评价（6分）</w:t>
            </w:r>
            <w:r/>
          </w:p>
        </w:tc>
        <w:tc>
          <w:tcPr>
            <w:tcW w:w="4133" w:type="pct"/>
            <w:vAlign w:val="center"/>
            <w:textDirection w:val="lrTb"/>
            <w:noWrap w:val="false"/>
          </w:tcPr>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根据供应商响应文件所投入设备及所投主要材料的说明、检测报告、实样照片、产品品质（品牌）、质量等，从性能稳定性、质量可靠性等方面进行评价。</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性能稳定性（3分）：性能稳定性高的得3分，性能稳定性较高的得2分，性能稳定性较差的得0.5分；</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质量可靠性（3分）：质量可靠性高、配置合理的得3分，产品质量可靠性较高、配置较合理的得2分，质量可靠性程度较差、配置较差的得1分；</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未提供不得分。本项最高得6分，最低不得分。</w:t>
            </w:r>
            <w:r/>
          </w:p>
        </w:tc>
      </w:tr>
      <w:tr>
        <w:trPr>
          <w:cantSplit/>
          <w:jc w:val="center"/>
          <w:trHeight w:val="2044"/>
        </w:trPr>
        <w:tc>
          <w:tcPr>
            <w:tcW w:w="866" w:type="pct"/>
            <w:vAlign w:val="center"/>
            <w:vMerge w:val="restart"/>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施工组织设计（22分）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未提供的不得分。最高得5分，最低不得分。</w:t>
            </w:r>
            <w:r/>
          </w:p>
        </w:tc>
      </w:tr>
      <w:tr>
        <w:trPr>
          <w:cantSplit/>
          <w:jc w:val="center"/>
          <w:trHeight w:val="593"/>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445"/>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3、依据响应文件中的安全文明施工及环境保护措施以及质量保证措施等进行评价。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639"/>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4、依据响应文件中的项目管理班子的人员配备、素质及管理经验、机械设备、材料投入保证措施等进行评价。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639"/>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5、依据响应文件中的关键施工技术、工艺及工程项目实施的重点、难点和解决方案进行评价。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未提供的不得分。最高得5分，最低不得分。</w:t>
            </w:r>
            <w:r/>
          </w:p>
        </w:tc>
      </w:tr>
      <w:tr>
        <w:trPr>
          <w:cantSplit/>
          <w:jc w:val="center"/>
          <w:trHeight w:val="639"/>
        </w:trPr>
        <w:tc>
          <w:tcPr>
            <w:tcW w:w="866" w:type="pct"/>
            <w:vAlign w:val="center"/>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售后服务（5分）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依据响应文件中的售后服务方案，包含缺陷责任期内和缺陷责任期满后的服务方案进行评价。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未提供的不得分。本项最高得5分，最低不得分。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sz w:val="24"/>
          <w:highlight w:val="none"/>
        </w:rPr>
        <w:t xml:space="preserve">一、</w:t>
      </w:r>
      <w:bookmarkStart w:id="0" w:name="OLE_LINK1"/>
      <w:r>
        <w:rPr>
          <w:rFonts w:hint="eastAsia" w:ascii="宋体" w:hAnsi="宋体" w:cs="宋体"/>
          <w:b/>
          <w:bCs/>
          <w:color w:val="auto"/>
          <w:sz w:val="24"/>
          <w:highlight w:val="none"/>
        </w:rPr>
        <w:t xml:space="preserve">本项目不接受超过人民币2</w:t>
      </w:r>
      <w:r>
        <w:rPr>
          <w:rFonts w:hint="eastAsia" w:ascii="宋体" w:hAnsi="宋体" w:cs="宋体"/>
          <w:b/>
          <w:bCs/>
          <w:color w:val="auto"/>
          <w:sz w:val="24"/>
          <w:highlight w:val="none"/>
          <w:lang w:val="en-US" w:eastAsia="zh-CN"/>
        </w:rPr>
        <w:t xml:space="preserve">00.00</w:t>
      </w:r>
      <w:r>
        <w:rPr>
          <w:rFonts w:hint="eastAsia" w:ascii="宋体" w:hAnsi="宋体" w:cs="宋体"/>
          <w:b/>
          <w:bCs/>
          <w:color w:val="auto"/>
          <w:sz w:val="24"/>
          <w:highlight w:val="none"/>
        </w:rPr>
        <w:t xml:space="preserve">万</w:t>
      </w:r>
      <w:bookmarkEnd w:id="0"/>
      <w:r>
        <w:rPr>
          <w:rFonts w:hint="eastAsia" w:ascii="宋体" w:hAnsi="宋体" w:cs="宋体"/>
          <w:b/>
          <w:bCs/>
          <w:color w:val="auto"/>
          <w:sz w:val="24"/>
          <w:highlight w:val="none"/>
        </w:rPr>
        <w:t xml:space="preserve">元（项目最高限价）的响应报价（首次报价和最终报价）。</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二、项目说明：</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徐州生物工程职业技术学院动物工程学院教学实训中心改造工程项目</w:t>
      </w:r>
      <w:r>
        <w:rPr>
          <w:rFonts w:hint="eastAsia"/>
          <w:b/>
          <w:bCs/>
          <w:color w:val="auto"/>
          <w:highlight w:val="none"/>
        </w:rPr>
        <w:t xml:space="preserve">。</w:t>
      </w:r>
      <w:r/>
    </w:p>
    <w:p>
      <w:pPr>
        <w:pStyle w:val="1298"/>
        <w:spacing w:before="0" w:beforeAutospacing="0" w:after="0" w:afterAutospacing="0" w:line="360" w:lineRule="auto"/>
        <w:rPr>
          <w:rFonts w:hint="eastAsia"/>
          <w:color w:val="auto"/>
          <w:highlight w:val="none"/>
        </w:rPr>
      </w:pPr>
      <w:r>
        <w:rPr>
          <w:rFonts w:hint="eastAsia"/>
          <w:b/>
          <w:bCs/>
          <w:color w:val="auto"/>
          <w:highlight w:val="none"/>
        </w:rPr>
        <w:t xml:space="preserve">2、项目地址（建设地点）：徐州生物工程职业技术学院院内。</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3、工期：</w:t>
      </w:r>
      <w:r>
        <w:rPr>
          <w:rFonts w:hint="eastAsia"/>
          <w:b/>
          <w:bCs/>
          <w:color w:val="auto"/>
          <w:highlight w:val="none"/>
          <w:lang w:val="en-US" w:eastAsia="zh-CN"/>
        </w:rPr>
        <w:t xml:space="preserve">6</w:t>
      </w:r>
      <w:r>
        <w:rPr>
          <w:rFonts w:hint="eastAsia"/>
          <w:b/>
          <w:bCs/>
          <w:color w:val="auto"/>
          <w:highlight w:val="none"/>
        </w:rPr>
        <w:t xml:space="preserve">0日历天内完成。</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4、工程质量：合格，质保期不少于2年（防水工程质保期不低于5年）。</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298"/>
        <w:spacing w:before="0" w:beforeAutospacing="0" w:after="0" w:afterAutospacing="0" w:line="360" w:lineRule="auto"/>
        <w:rPr>
          <w:rFonts w:hint="eastAsia"/>
          <w:b/>
          <w:bCs/>
          <w:color w:val="auto"/>
          <w:highlight w:val="none"/>
        </w:rPr>
      </w:pPr>
      <w:r>
        <w:rPr>
          <w:rFonts w:hint="eastAsia"/>
          <w:color w:val="auto"/>
          <w:highlight w:val="none"/>
          <w:lang w:eastAsia="zh-CN"/>
        </w:rPr>
        <w:t xml:space="preserve">徐州生物工程职业技术学院动物工程学院教学实训中心改造工程项目</w:t>
      </w:r>
      <w:r>
        <w:rPr>
          <w:rFonts w:hint="eastAsia"/>
          <w:color w:val="auto"/>
          <w:highlight w:val="none"/>
        </w:rPr>
        <w:t xml:space="preserve">，包含土建修缮、室内装修及安装、室外附属等全部工作，详见施工图纸</w:t>
      </w:r>
      <w:r>
        <w:rPr>
          <w:rFonts w:hint="eastAsia"/>
          <w:color w:val="auto"/>
          <w:highlight w:val="none"/>
          <w:lang w:eastAsia="zh-CN"/>
        </w:rPr>
        <w:t xml:space="preserve">、</w:t>
      </w:r>
      <w:r>
        <w:rPr>
          <w:rFonts w:hint="eastAsia"/>
          <w:color w:val="auto"/>
          <w:highlight w:val="none"/>
        </w:rPr>
        <w:t xml:space="preserve">招标工程量清单</w:t>
      </w:r>
      <w:r>
        <w:rPr>
          <w:rFonts w:hint="eastAsia"/>
          <w:color w:val="auto"/>
          <w:highlight w:val="none"/>
          <w:lang w:val="en-US" w:eastAsia="zh-CN"/>
        </w:rPr>
        <w:t xml:space="preserve">及编制说明</w:t>
      </w:r>
      <w:r>
        <w:rPr>
          <w:rFonts w:hint="eastAsia"/>
          <w:color w:val="auto"/>
          <w:highlight w:val="none"/>
        </w:rPr>
        <w:t xml:space="preserve">所含全部内容</w:t>
      </w:r>
      <w:r>
        <w:rPr>
          <w:rFonts w:hint="eastAsia"/>
          <w:b/>
          <w:bCs/>
          <w:color w:val="auto"/>
          <w:highlight w:val="none"/>
        </w:rPr>
        <w:t xml:space="preserve">。</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6、承包方式：包工包料（产生的建筑垃圾、渣土负责清运）。</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8、现场踏勘：集中踏勘现场。</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8.1 集中踏勘现场签到时间：2026年</w:t>
      </w:r>
      <w:r>
        <w:rPr>
          <w:rFonts w:hint="eastAsia"/>
          <w:color w:val="auto"/>
          <w:highlight w:val="none"/>
          <w:lang w:val="en-US" w:eastAsia="zh-CN"/>
        </w:rPr>
        <w:t xml:space="preserve">8</w:t>
      </w:r>
      <w:r>
        <w:rPr>
          <w:rFonts w:hint="eastAsia"/>
          <w:color w:val="auto"/>
          <w:highlight w:val="none"/>
        </w:rPr>
        <w:t xml:space="preserve">月</w:t>
      </w:r>
      <w:r>
        <w:rPr>
          <w:rFonts w:hint="eastAsia"/>
          <w:color w:val="auto"/>
          <w:highlight w:val="none"/>
          <w:lang w:val="en-US" w:eastAsia="zh-CN"/>
        </w:rPr>
        <w:t xml:space="preserve">26</w:t>
      </w:r>
      <w:r>
        <w:rPr>
          <w:rFonts w:hint="eastAsia"/>
          <w:color w:val="auto"/>
          <w:highlight w:val="none"/>
        </w:rPr>
        <w:t xml:space="preserve">日上午09：30。</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本项目现场踏勘的人员须携带供应商为现场踏勘的人员出具的《现场踏勘委托书》（含授权代表的身份证复印件，格式详见竞争性磋商文件附件）（不接受迟到的供应商踏勘现场），供应商须将采购单位回执后的《现场踏勘委托书》的扫描件上传至响应文件中，否则视为未按照竞争性磋商文件要求踏勘现场。</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8.2 集中踏勘地址：徐州生物工程职业技术学院校内，</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联系人：罗华生，联系方式：15950660763 </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说明：</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9、本工程采用的技术规范：执行现行技术规范：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10、工程建设地点的现场条件：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 现场自然条件：供应商自行踏勘现场获取。（包括：现场环境、地形、地貌、地质、水文、地震烈度及气温、雨雪量、风向、风力等）。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 现场施工条件：供应商踏勘现场获取。</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1.1本工程量清单是依据现行国家标准《建设工程工程量清单计价规范》(GB50500-2013)及其9本计算规范(以下简称“计价规范”)、地方规定以及磋商文件中包括的图纸等编制。</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2、响应报价编制要求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2.1报价应根据磋商文件中的有关计价要求，并按照下列依据自主报价，但不得低于成本。</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本工程</w:t>
      </w:r>
      <w:r>
        <w:rPr>
          <w:rFonts w:hint="eastAsia" w:ascii="宋体" w:hAnsi="宋体" w:cs="宋体"/>
          <w:color w:val="auto"/>
          <w:sz w:val="24"/>
          <w:highlight w:val="none"/>
        </w:rPr>
        <w:t xml:space="preserve">执行现行国家标准《建设工程工程量清单计价规范》（GB50500－2013）、《通用安装工程工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号]文件等有关文件规定及采购人提供的工程量清单、施工蓝图、本文件及其补充通知和答疑纪要。</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3.4.2 措施项目清单中的安全文明施工费应按国家、省级或行业建设主管部门的规定计价，不得作为竞争性费用。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3.4.4 “总价措施项目清单与计价表”中所填写的报价金额，应全面涵盖磋商文件约定的供应商中标后施工、竣工、交付本工程并维修其任何缺陷所需要履行的责任和义务的全部费用。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3.5.1 暂列金额按“暂列金额明细表”中列出的金额报价。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3.5.2计日工按“计日工表”中列出的项目和估算数量，自主确定综合单价并计算计日工金额。</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 规费和税金应按“规费、税金项目计价表”所列项目并根据国家、省级或行业建设主管部门的有关规定列项和计算，不得作为竞争性费用。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3.12 有关报价的其他要求： 执行《省住房城乡建设厅关于调整建设工程按质论价等费用计取方法的公告》（江苏省住房和城乡建设厅〔2018〕第24号）规定。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rPr>
          <w:rFonts w:hint="eastAsia" w:ascii="宋体" w:hAnsi="宋体" w:cs="宋体"/>
          <w:color w:val="auto"/>
          <w:spacing w:val="10"/>
          <w:sz w:val="24"/>
          <w:highlight w:val="none"/>
        </w:rPr>
      </w:pPr>
      <w:r>
        <w:rPr>
          <w:rFonts w:hint="eastAsia" w:ascii="宋体" w:hAnsi="宋体" w:cs="宋体"/>
          <w:color w:val="auto"/>
          <w:sz w:val="24"/>
          <w:highlight w:val="none"/>
        </w:rPr>
        <w:t xml:space="preserve">3.14 响应报价时含各专业施工过程中线管及相关井道开洞及封堵等费用。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本工程材料风险约定：招标范围内所有材料价格结算时均不再调整。对于法律、法规、规章或有关政策出台导致工程税金、规费发生变化的，按有关规定执行。</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5、工程价款调整：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6、相关取费要求：详见工程量清单。</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7、其他说明</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7.1词语和定义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7.1.1 同义词语</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工程量差异调整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 建筑安装工程造价的组成</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7.5.2 通用项目（供应商可自主报价，结算不调整）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（1）夜间施工。</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（2）二次搬运。</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（3）冬雨季施工。</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（4）大型机械设备进出场及安拆。</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（5）施工排水。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（6）施工降水。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（7）地上、地下设施，建筑物的临时保护设施。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（8）已完工程及设备保护。</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（9）临时设施。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（10）材料与设备检验试验。</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（11）赶工措施。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（12）工程按质论价。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（13）特殊条件下施工增加。</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（14）垂直运输及超增加费。</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7.5.3 其他项目费：按照工程量清单载明的标准计价。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7.5.4 措施项目费、规费、税金的取费率按照工程量清单载明的标准计价。</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8、项目相关要求：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 供应商报价时需考虑完成本项目内容所涉及的人工费、材料费、机械费、税费、验收等相关的一切费用。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 供应商应根据本项目实际情况，合理配置人员，除项目经理外，安全员、质检员、施工员、预算员、材料员等人员应经验丰富，确保项目顺利实施。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供应商在参与竞争性磋商采购活动时需提供中档及以上档次品牌产品进行报价。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 供应商采购本项目设备材料前应向监理及招标人报审同意后方可采购，采购人保留对设备材料厂家考察及变更材料品牌的权利。</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9.4 供应商采购的设备、材料，均应提供完整有效的质保资料，否则不得使用。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9.5 设备材料进场报验要求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（1）设备材料选定应严格按照磋商文件、图纸、响应文件等的要求且供货商无违法行为及不良记录。</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9.7 采购人保留更换品牌的权力，供应商须按市场主流产品的优等产品进行采购，采购前报采购人确认后方可采购。上述其他要求不变。</w:t>
      </w:r>
      <w:r/>
    </w:p>
    <w:p>
      <w:pPr>
        <w:pStyle w:val="1062"/>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9.8供应商须严格按照此采购管理要求进行本项目设备材料的采购和管理工作，否则由此产生的一切后果由供应商承担。</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在施工期间企业必须为每个项目安排不少于1名的固定技术人员。项目负责人或现场主要技术人员须善于协调，能够按照采购单位要求在规定的工期和时间内及时完成任务。</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13、项目验收前，成交供应商委托经采购人认可的有资质的第三方检测机构对空气质量进行检测，并提供检测报告。检测费用包含在供应商报价中，采购人不承担相关费用。</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1、自验收合格之日起质保期不少于2年（防水工程质保期不低于5年）。</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2、接到故障通知后2小时响应到达现场服务以及故障应急处理方案，12小时完成故障处理。</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6、与磋商文件规定的暂列金额及甲供材料价格不一致的；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062"/>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六、图纸</w:t>
      </w:r>
      <w:r/>
    </w:p>
    <w:p>
      <w:pPr>
        <w:pStyle w:val="1062"/>
        <w:spacing w:after="0" w:line="360" w:lineRule="auto"/>
        <w:rPr>
          <w:rFonts w:hint="eastAsia" w:ascii="宋体" w:hAnsi="宋体" w:cs="宋体"/>
          <w:b/>
          <w:bCs/>
          <w:color w:val="auto"/>
          <w:sz w:val="24"/>
          <w:highlight w:val="none"/>
        </w:rPr>
      </w:pPr>
      <w:r>
        <w:rPr>
          <w:rFonts w:ascii="宋体" w:hAnsi="宋体" w:cs="宋体"/>
          <w:b/>
          <w:color w:val="auto"/>
          <w:sz w:val="24"/>
          <w:highlight w:val="none"/>
        </w:rPr>
        <w:t xml:space="preserve">1、因系统原因，电子版图纸</w:t>
      </w:r>
      <w:r>
        <w:rPr>
          <w:rFonts w:hint="eastAsia" w:ascii="宋体" w:hAnsi="宋体" w:cs="宋体"/>
          <w:b/>
          <w:color w:val="auto"/>
          <w:sz w:val="24"/>
          <w:highlight w:val="none"/>
          <w:lang w:val="en-US" w:eastAsia="zh-CN"/>
        </w:rPr>
        <w:t xml:space="preserve">及</w:t>
      </w:r>
      <w:r>
        <w:rPr>
          <w:rFonts w:hint="eastAsia" w:ascii="宋体" w:hAnsi="宋体" w:cs="宋体"/>
          <w:b/>
          <w:color w:val="auto"/>
          <w:sz w:val="24"/>
          <w:highlight w:val="none"/>
          <w:lang w:val="en-US" w:eastAsia="zh-CN"/>
        </w:rPr>
        <w:t xml:space="preserve">相关</w:t>
      </w:r>
      <w:r>
        <w:rPr>
          <w:rFonts w:hint="eastAsia" w:ascii="宋体" w:hAnsi="宋体" w:cs="宋体"/>
          <w:b/>
          <w:color w:val="auto"/>
          <w:sz w:val="24"/>
          <w:highlight w:val="none"/>
          <w:lang w:val="en-US" w:eastAsia="zh-CN"/>
        </w:rPr>
        <w:t xml:space="preserve">资料</w:t>
      </w:r>
      <w:r>
        <w:rPr>
          <w:rFonts w:ascii="宋体" w:hAnsi="宋体" w:cs="宋体"/>
          <w:b/>
          <w:color w:val="auto"/>
          <w:sz w:val="24"/>
          <w:highlight w:val="none"/>
        </w:rPr>
        <w:t xml:space="preserve">无法上传到“徐州政府采购网”。电子版图纸</w:t>
      </w:r>
      <w:r>
        <w:rPr>
          <w:rFonts w:ascii="宋体" w:hAnsi="宋体" w:cs="宋体"/>
          <w:b/>
          <w:color w:val="auto"/>
          <w:sz w:val="24"/>
          <w:highlight w:val="none"/>
        </w:rPr>
        <w:t xml:space="preserve">、</w:t>
      </w:r>
      <w:r>
        <w:rPr>
          <w:rFonts w:ascii="宋体" w:hAnsi="宋体" w:cs="宋体"/>
          <w:b/>
          <w:color w:val="auto"/>
          <w:sz w:val="24"/>
          <w:highlight w:val="none"/>
        </w:rPr>
        <w:t xml:space="preserve">工程量</w:t>
      </w:r>
      <w:r>
        <w:rPr>
          <w:rFonts w:ascii="宋体" w:hAnsi="宋体" w:cs="宋体"/>
          <w:b/>
          <w:color w:val="auto"/>
          <w:sz w:val="24"/>
          <w:highlight w:val="none"/>
        </w:rPr>
        <w:t xml:space="preserve">清单</w:t>
      </w:r>
      <w:r>
        <w:rPr>
          <w:rFonts w:ascii="宋体" w:hAnsi="宋体" w:cs="宋体"/>
          <w:b/>
          <w:color w:val="auto"/>
          <w:sz w:val="24"/>
          <w:highlight w:val="none"/>
        </w:rPr>
        <w:t xml:space="preserve">等资料领取方法：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none"/>
        </w:rPr>
        <w:t xml:space="preserve">“</w:t>
      </w:r>
      <w:r>
        <w:rPr>
          <w:rFonts w:ascii="SimSun" w:hAnsi="SimSun" w:eastAsia="SimSun" w:cs="SimSun"/>
          <w:color w:val="000000"/>
          <w:sz w:val="24"/>
        </w:rPr>
        <w:t xml:space="preserve">通过网盘分享的文件：图纸及资料--徐州生物工程职业技术学院动物工程学院教学实训中心改造工程项目</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链接: https://pan.baidu.com/s/1tY3eH4i5ojpUO248t7e5Qw 提取码: g1hf</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2、如在下载过程中出现异常情况，请及时联系：</w:t>
      </w:r>
      <w:r>
        <w:rPr>
          <w:rFonts w:hint="eastAsia" w:ascii="宋体" w:hAnsi="宋体" w:cs="宋体"/>
          <w:b/>
          <w:color w:val="auto"/>
          <w:sz w:val="24"/>
          <w:highlight w:val="none"/>
        </w:rPr>
        <w:t xml:space="preserve">张晴</w:t>
      </w:r>
      <w:r>
        <w:rPr>
          <w:rFonts w:ascii="宋体" w:hAnsi="宋体" w:cs="宋体"/>
          <w:b/>
          <w:color w:val="auto"/>
          <w:sz w:val="24"/>
          <w:highlight w:val="none"/>
        </w:rPr>
        <w:t xml:space="preserve">，联系电话：0516-83999206。</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062"/>
        <w:spacing w:after="0" w:line="360" w:lineRule="auto"/>
        <w:rPr>
          <w:rFonts w:hint="eastAsia" w:ascii="宋体" w:hAnsi="宋体" w:cs="宋体"/>
          <w:color w:val="auto"/>
          <w:highlight w:val="none"/>
        </w:rPr>
      </w:pPr>
      <w:r>
        <w:rPr>
          <w:rFonts w:hint="eastAsia" w:ascii="宋体" w:hAnsi="宋体" w:cs="宋体"/>
          <w:b/>
          <w:bCs/>
          <w:color w:val="auto"/>
          <w:sz w:val="24"/>
          <w:highlight w:val="none"/>
        </w:rPr>
        <w:t xml:space="preserve">1、见《磋商文件》附件：6、《拟签订的合同文本》、《工程量清单》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编制说明</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及《图纸》。</w:t>
      </w:r>
      <w:r/>
    </w:p>
    <w:p>
      <w:pPr>
        <w:jc w:val="center"/>
        <w:keepLines w:val="0"/>
        <w:keepNext w:val="0"/>
        <w:pageBreakBefore/>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06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徐州生物工程职业技术学院动物工程学院教学实训中心改造工程项目</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19"/>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按工程量清单报价（电子版，另附），</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88"/>
        <w:rPr>
          <w:rFonts w:hint="eastAsia" w:ascii="宋体" w:hAnsi="宋体" w:cs="宋体"/>
          <w:color w:val="auto"/>
          <w:sz w:val="24"/>
          <w:highlight w:val="none"/>
        </w:rPr>
      </w:pPr>
      <w:r>
        <w:rPr>
          <w:rFonts w:hint="eastAsia" w:ascii="宋体" w:hAnsi="宋体" w:cs="宋体"/>
          <w:color w:val="auto"/>
          <w:sz w:val="24"/>
          <w:highlight w:val="none"/>
        </w:rPr>
      </w:r>
      <w:r/>
    </w:p>
    <w:p>
      <w:pPr>
        <w:pStyle w:val="1088"/>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61"/>
        <w:tblW w:w="5118"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928"/>
        <w:gridCol w:w="2316"/>
        <w:gridCol w:w="1089"/>
        <w:gridCol w:w="1375"/>
        <w:gridCol w:w="1971"/>
        <w:gridCol w:w="1052"/>
        <w:gridCol w:w="877"/>
      </w:tblGrid>
      <w:tr>
        <w:trPr>
          <w:jc w:val="center"/>
          <w:trHeight w:val="692" w:hRule="exact"/>
        </w:trPr>
        <w:tc>
          <w:tcPr>
            <w:tcMar>
              <w:left w:w="15" w:type="dxa"/>
              <w:top w:w="15" w:type="dxa"/>
              <w:right w:w="15" w:type="dxa"/>
              <w:bottom w:w="0" w:type="dxa"/>
            </w:tcMar>
            <w:tcW w:w="483"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Mar>
              <w:left w:w="15" w:type="dxa"/>
              <w:top w:w="15" w:type="dxa"/>
              <w:right w:w="15" w:type="dxa"/>
              <w:bottom w:w="0" w:type="dxa"/>
            </w:tcMar>
            <w:tcW w:w="120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产品生产厂家名称</w:t>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混凝土、水泥</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4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地砖（含过门石）、墙砖</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石材块料面板（含过门石）</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PVC地板（卷材）</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玻璃</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涂料</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木质门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成品门五金件</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9</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钢质门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10</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铝型材</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11</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12</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抗震支架</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13</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消防栓</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14</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消防镀锌钢管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15</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灯具</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16</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配电箱、柜</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17</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电气</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18</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电缆、电线</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19</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开关、插座面板</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20</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断路器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21</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阀门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22</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金属电线管(jdg)</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23</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管材(落水管）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24</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PVC线管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18"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25</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水管及管件（给水管）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470"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26</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给水器材、水龙头、洁具（台式洗脸盆、淋浴器、蹲式陶瓷大便器）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27</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地漏</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28</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空调</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29</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防水材料</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30" w:hRule="exact"/>
        </w:trPr>
        <w:tc>
          <w:tcPr>
            <w:tcMar>
              <w:left w:w="15" w:type="dxa"/>
              <w:top w:w="15" w:type="dxa"/>
              <w:right w:w="15" w:type="dxa"/>
              <w:bottom w:w="0" w:type="dxa"/>
            </w:tcMar>
            <w:tcW w:w="483"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30</w:t>
            </w:r>
            <w:r/>
          </w:p>
        </w:tc>
        <w:tc>
          <w:tcPr>
            <w:tcMar>
              <w:left w:w="15" w:type="dxa"/>
              <w:top w:w="15" w:type="dxa"/>
              <w:right w:w="15" w:type="dxa"/>
              <w:bottom w:w="0" w:type="dxa"/>
            </w:tcMar>
            <w:tcW w:w="120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供应商可自行添加</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520" w:lineRule="exact"/>
        <w:rPr>
          <w:rFonts w:hint="eastAsia"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1、如果不提供《主要材料（设备）一览表》将视为未实质性响应磋商文件，按无效响应文件处理。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6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713"/>
        <w:gridCol w:w="1671"/>
        <w:gridCol w:w="1629"/>
        <w:gridCol w:w="1451"/>
      </w:tblGrid>
      <w:tr>
        <w:trPr>
          <w:jc w:val="center"/>
          <w:trHeight w:val="1213"/>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71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67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629"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4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71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67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629"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9"/>
        <w:jc w:val="center"/>
        <w:spacing w:after="312" w:line="520" w:lineRule="exact"/>
        <w:rPr>
          <w:rFonts w:hint="eastAsia"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30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30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徐州生物工程职业技术学院动物工程学院教学实训中心改造工程项目</w:t>
      </w:r>
      <w:r>
        <w:rPr>
          <w:rFonts w:hint="eastAsia" w:ascii="宋体" w:hAnsi="宋体" w:cs="宋体"/>
          <w:b/>
          <w:color w:val="auto"/>
          <w:sz w:val="44"/>
          <w:szCs w:val="44"/>
          <w:highlight w:val="none"/>
        </w:rPr>
        <w:t xml:space="preserve">施工合同</w:t>
      </w:r>
      <w:r/>
    </w:p>
    <w:p>
      <w:pPr>
        <w:pStyle w:val="1300"/>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项目编号：  </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徐州生物工程职业技术学院动物工程学院教学实训中心改造工程项目</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甲    方：徐州生物工程职业技术学院</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300"/>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30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友情提醒：采购人与成交供应商应当在成交通知书发出之日起三十日内，按照采购文件确定的事项签订政府采购合同。</w:t>
      </w:r>
      <w:r/>
    </w:p>
    <w:p>
      <w:pPr>
        <w:pStyle w:val="1300"/>
        <w:ind w:firstLine="562"/>
        <w:rPr>
          <w:rFonts w:hint="eastAsia"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highlight w:val="none"/>
        </w:rPr>
      </w:pPr>
      <w:r>
        <w:rPr>
          <w:rFonts w:hint="eastAsia" w:ascii="宋体" w:hAnsi="宋体" w:cs="宋体"/>
          <w:b/>
          <w:color w:val="auto"/>
          <w:sz w:val="24"/>
          <w:highlight w:val="none"/>
        </w:rPr>
        <w:t xml:space="preserve">　　</w:t>
      </w:r>
      <w:r/>
    </w:p>
    <w:p>
      <w:pPr>
        <w:ind w:firstLine="32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301"/>
        <w:spacing w:before="120" w:after="120"/>
        <w:rPr>
          <w:rFonts w:hint="eastAsia" w:ascii="宋体" w:hAnsi="宋体" w:cs="宋体"/>
          <w:color w:val="auto"/>
          <w:sz w:val="28"/>
          <w:szCs w:val="28"/>
          <w:highlight w:val="none"/>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28"/>
          <w:szCs w:val="28"/>
          <w:highlight w:val="none"/>
        </w:rPr>
      </w:r>
      <w:r/>
    </w:p>
    <w:p>
      <w:pPr>
        <w:pStyle w:val="1303"/>
        <w:jc w:val="center"/>
        <w:spacing w:line="360" w:lineRule="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rPr>
        <w:t xml:space="preserve">及有关事项协商一致，共同达成如下协议：</w:t>
      </w:r>
      <w:r/>
    </w:p>
    <w:p>
      <w:pPr>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bookmarkStart w:id="1" w:name="_Toc351203481"/>
      <w:r>
        <w:rPr>
          <w:rFonts w:hint="eastAsia" w:ascii="宋体" w:hAnsi="宋体" w:cs="宋体"/>
          <w:b/>
          <w:color w:val="auto"/>
          <w:sz w:val="24"/>
          <w:highlight w:val="none"/>
        </w:rPr>
        <w:t xml:space="preserve">一、工程概况</w:t>
      </w:r>
      <w:bookmarkEnd w:id="1"/>
      <w:r/>
      <w:r/>
    </w:p>
    <w:p>
      <w:pPr>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1.工程名称：</w:t>
      </w:r>
      <w:r>
        <w:rPr>
          <w:rFonts w:hint="eastAsia" w:ascii="宋体" w:hAnsi="宋体" w:cs="宋体"/>
          <w:color w:val="auto"/>
          <w:sz w:val="24"/>
          <w:highlight w:val="none"/>
          <w:u w:val="single"/>
          <w:lang w:eastAsia="zh-CN"/>
        </w:rPr>
        <w:t xml:space="preserve">徐州生物工程职业技术学院动物工程学院教学实训中心改造工程项目</w:t>
      </w:r>
      <w:r/>
    </w:p>
    <w:p>
      <w:pPr>
        <w:jc w:val="left"/>
        <w:spacing w:line="440" w:lineRule="exact"/>
        <w:rPr>
          <w:rFonts w:hint="eastAsia" w:ascii="宋体" w:hAnsi="宋体" w:cs="宋体"/>
          <w:color w:val="auto"/>
          <w:sz w:val="24"/>
          <w:szCs w:val="22"/>
          <w:highlight w:val="none"/>
          <w:u w:val="single"/>
        </w:rPr>
      </w:pPr>
      <w:r>
        <w:rPr>
          <w:rFonts w:hint="eastAsia" w:ascii="宋体" w:hAnsi="宋体" w:cs="宋体"/>
          <w:color w:val="auto"/>
          <w:sz w:val="24"/>
          <w:highlight w:val="none"/>
        </w:rPr>
        <w:t xml:space="preserve">2.工程地点：</w:t>
      </w:r>
      <w:r>
        <w:rPr>
          <w:rFonts w:hint="eastAsia" w:ascii="宋体" w:hAnsi="宋体" w:cs="宋体"/>
          <w:color w:val="auto"/>
          <w:sz w:val="24"/>
          <w:highlight w:val="none"/>
          <w:u w:val="single"/>
        </w:rPr>
        <w:t xml:space="preserve">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3.工程立项批准文号：</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4.资金来源：</w:t>
      </w:r>
      <w:r>
        <w:rPr>
          <w:rFonts w:hint="eastAsia" w:ascii="宋体" w:hAnsi="宋体" w:cs="宋体"/>
          <w:color w:val="auto"/>
          <w:sz w:val="24"/>
          <w:highlight w:val="none"/>
          <w:u w:val="single"/>
        </w:rPr>
        <w:t xml:space="preserve"> 财政资金，已落实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5.工程内容：</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6.工程承包范围：</w:t>
      </w:r>
      <w:r>
        <w:rPr>
          <w:rFonts w:hint="eastAsia" w:ascii="宋体" w:hAnsi="宋体" w:cs="宋体"/>
          <w:bCs/>
          <w:color w:val="auto"/>
          <w:sz w:val="24"/>
          <w:highlight w:val="none"/>
          <w:u w:val="single"/>
          <w:lang w:eastAsia="zh-CN"/>
        </w:rPr>
        <w:t xml:space="preserve">徐州生物工程职业技术学院动物工程学院教学实训中心改造工程项目</w:t>
      </w:r>
      <w:r>
        <w:rPr>
          <w:rFonts w:hint="eastAsia" w:ascii="宋体" w:hAnsi="宋体" w:cs="宋体"/>
          <w:bCs/>
          <w:color w:val="auto"/>
          <w:sz w:val="24"/>
          <w:highlight w:val="none"/>
          <w:u w:val="single"/>
        </w:rPr>
        <w:t xml:space="preserve">。具体详见工程量清单、图纸所含全部内容</w:t>
      </w:r>
      <w:r/>
    </w:p>
    <w:p>
      <w:pPr>
        <w:pStyle w:val="1304"/>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b/>
          <w:bCs/>
          <w:color w:val="auto"/>
          <w:sz w:val="24"/>
          <w:highlight w:val="none"/>
          <w:u w:val="single"/>
        </w:rPr>
        <w:t xml:space="preserve">   日历天</w:t>
      </w:r>
      <w:r>
        <w:rPr>
          <w:rFonts w:hint="eastAsia" w:ascii="宋体" w:hAnsi="宋体" w:cs="宋体"/>
          <w:color w:val="auto"/>
          <w:sz w:val="24"/>
          <w:highlight w:val="none"/>
        </w:rPr>
        <w:t xml:space="preserve">。工期总日历天数与根据前述计划开竣工日期计算的工期天数不一致的，以工期总日历天数为准</w:t>
      </w:r>
      <w:r>
        <w:rPr>
          <w:rFonts w:hint="eastAsia" w:ascii="宋体" w:hAnsi="宋体" w:cs="宋体"/>
          <w:b/>
          <w:color w:val="auto"/>
          <w:sz w:val="24"/>
          <w:highlight w:val="none"/>
        </w:rPr>
        <w:t xml:space="preserve">。</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5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合格   </w:t>
      </w:r>
      <w:r>
        <w:rPr>
          <w:rFonts w:hint="eastAsia" w:ascii="宋体" w:hAnsi="宋体" w:cs="宋体"/>
          <w:color w:val="auto"/>
          <w:sz w:val="24"/>
          <w:highlight w:val="none"/>
        </w:rPr>
        <w:t xml:space="preserve">标准。</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1.签约合同价为：</w:t>
      </w:r>
      <w:r/>
    </w:p>
    <w:p>
      <w:pPr>
        <w:ind w:firstLine="60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其中：（1）安全文明施工费：</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（2）暂列金额：</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元)。</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color w:val="auto"/>
          <w:sz w:val="24"/>
          <w:highlight w:val="none"/>
          <w:u w:val="single"/>
        </w:rPr>
        <w:t xml:space="preserve">  固定单价合同 </w:t>
      </w:r>
      <w:r>
        <w:rPr>
          <w:rFonts w:hint="eastAsia" w:ascii="宋体" w:hAnsi="宋体" w:cs="宋体"/>
          <w:color w:val="auto"/>
          <w:sz w:val="24"/>
          <w:highlight w:val="none"/>
        </w:rPr>
        <w:t xml:space="preserve">。</w:t>
      </w:r>
      <w:r/>
    </w:p>
    <w:p>
      <w:pPr>
        <w:pStyle w:val="1304"/>
        <w:spacing w:before="120" w:after="120" w:line="440" w:lineRule="exact"/>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本协议书与下列文件一起构成合同文件：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（1）合同协议书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（2）中标（成交）通知书；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（4）磋商文件(包括补充、修改、澄清的文件、答疑纪要)(如果有)；</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（5）供应商响应文件及其附件；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（6）通用合同条款；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（7）图纸；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（8）已标价工程量清单或预算书；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（9）双方约定的其他合同文件。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304"/>
        <w:spacing w:before="120" w:after="120" w:line="44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3.发包人和承包人通过招响应形式签订合同的，双方理解并承诺不再就同一工程另行签订与合同实质性内容相背离的协议。</w:t>
      </w:r>
      <w:r/>
    </w:p>
    <w:p>
      <w:pPr>
        <w:spacing w:line="440" w:lineRule="exact"/>
        <w:rPr>
          <w:rFonts w:hint="eastAsia" w:ascii="宋体" w:hAnsi="宋体" w:cs="宋体"/>
          <w:bCs/>
          <w:color w:val="auto"/>
          <w:sz w:val="24"/>
          <w:highlight w:val="none"/>
        </w:rPr>
      </w:pPr>
      <w:r/>
      <w:bookmarkStart w:id="8" w:name="_Toc351203488"/>
      <w:r>
        <w:rPr>
          <w:rFonts w:hint="eastAsia" w:ascii="宋体" w:hAnsi="宋体" w:cs="宋体"/>
          <w:b/>
          <w:color w:val="auto"/>
          <w:sz w:val="24"/>
          <w:highlight w:val="none"/>
        </w:rPr>
        <w:t xml:space="preserve">    八、词语含义</w:t>
      </w:r>
      <w:bookmarkEnd w:id="8"/>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89"/>
      <w:r>
        <w:rPr>
          <w:rFonts w:hint="eastAsia" w:ascii="宋体" w:hAnsi="宋体" w:cs="宋体"/>
          <w:bCs w:val="0"/>
          <w:color w:val="auto"/>
          <w:sz w:val="24"/>
          <w:szCs w:val="24"/>
          <w:highlight w:val="none"/>
        </w:rPr>
        <w:t xml:space="preserve">九、签订时间</w:t>
      </w:r>
      <w:bookmarkEnd w:id="9"/>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本合同于</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日签订。</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0"/>
      <w:r>
        <w:rPr>
          <w:rFonts w:hint="eastAsia" w:ascii="宋体" w:hAnsi="宋体" w:cs="宋体"/>
          <w:bCs w:val="0"/>
          <w:color w:val="auto"/>
          <w:sz w:val="24"/>
          <w:szCs w:val="24"/>
          <w:highlight w:val="none"/>
        </w:rPr>
        <w:t xml:space="preserve">十、签订地点</w:t>
      </w:r>
      <w:bookmarkEnd w:id="10"/>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本合同在</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签订。</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1"/>
      <w:r>
        <w:rPr>
          <w:rFonts w:hint="eastAsia" w:ascii="宋体" w:hAnsi="宋体" w:cs="宋体"/>
          <w:b w:val="0"/>
          <w:color w:val="auto"/>
          <w:sz w:val="24"/>
          <w:szCs w:val="24"/>
          <w:highlight w:val="none"/>
        </w:rPr>
        <w:t xml:space="preserve">十一、补充协议</w:t>
      </w:r>
      <w:bookmarkEnd w:id="11"/>
      <w:r/>
      <w:r/>
    </w:p>
    <w:p>
      <w:pPr>
        <w:ind w:firstLine="480"/>
        <w:spacing w:line="44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2"/>
      <w:r>
        <w:rPr>
          <w:rFonts w:hint="eastAsia" w:ascii="宋体" w:hAnsi="宋体" w:cs="宋体"/>
          <w:b w:val="0"/>
          <w:color w:val="auto"/>
          <w:sz w:val="24"/>
          <w:szCs w:val="24"/>
          <w:highlight w:val="none"/>
        </w:rPr>
        <w:t xml:space="preserve">十二、合同生效</w:t>
      </w:r>
      <w:bookmarkEnd w:id="12"/>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w:t>
      </w:r>
      <w:r>
        <w:rPr>
          <w:rFonts w:hint="eastAsia" w:ascii="宋体" w:hAnsi="宋体"/>
          <w:b/>
          <w:bCs/>
          <w:color w:val="auto"/>
          <w:sz w:val="24"/>
          <w:highlight w:val="none"/>
          <w:u w:val="single"/>
        </w:rPr>
        <w:t xml:space="preserve">双方签字并盖章后     </w:t>
      </w:r>
      <w:r>
        <w:rPr>
          <w:rFonts w:hint="eastAsia" w:ascii="宋体" w:hAnsi="宋体" w:cs="宋体"/>
          <w:bCs/>
          <w:color w:val="auto"/>
          <w:sz w:val="24"/>
          <w:highlight w:val="none"/>
        </w:rPr>
        <w:t xml:space="preserve">生效。</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3" w:name="_Toc351203493"/>
      <w:r>
        <w:rPr>
          <w:rFonts w:hint="eastAsia" w:ascii="宋体" w:hAnsi="宋体" w:cs="宋体"/>
          <w:b w:val="0"/>
          <w:color w:val="auto"/>
          <w:sz w:val="24"/>
          <w:szCs w:val="24"/>
          <w:highlight w:val="none"/>
        </w:rPr>
        <w:t xml:space="preserve">十三、合同份数</w:t>
      </w:r>
      <w:bookmarkEnd w:id="13"/>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 定 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 定代表人：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 托 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委 托代理人：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子  信 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子 信 箱：</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 户 银  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 户 银 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pStyle w:val="1303"/>
        <w:jc w:val="center"/>
        <w:spacing w:line="360" w:lineRule="auto"/>
        <w:rPr>
          <w:rFonts w:hint="eastAsia"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hint="eastAsia"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303"/>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pStyle w:val="1303"/>
        <w:jc w:val="center"/>
        <w:spacing w:line="440" w:lineRule="exact"/>
        <w:rPr>
          <w:rFonts w:hint="eastAsia" w:ascii="宋体" w:hAnsi="宋体" w:cs="宋体"/>
          <w:color w:val="auto"/>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highlight w:val="none"/>
        </w:rPr>
      </w:r>
      <w:r/>
    </w:p>
    <w:p>
      <w:pPr>
        <w:pStyle w:val="1303"/>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第三部分 专用合同条款</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 一般约定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  合同履行过程中经双方共同签字认可的对合同有影响的会议纪要、签证、及设计变更等相关书面资料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1.1.2.2设计人：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现场临时办公及施工场地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1.1.3.9 永久占地包括：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1.1.3.10 临时占地包括：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ind w:firstLine="578"/>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  </w:t>
      </w:r>
      <w:r>
        <w:rPr>
          <w:rFonts w:hint="eastAsia" w:ascii="宋体" w:hAnsi="宋体" w:cs="宋体"/>
          <w:color w:val="auto"/>
          <w:sz w:val="24"/>
          <w:highlight w:val="none"/>
        </w:rPr>
        <w:t xml:space="preserve">。</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 合同文件的优先顺序：</w:t>
      </w:r>
      <w:r>
        <w:rPr>
          <w:rFonts w:hint="eastAsia" w:ascii="宋体" w:hAnsi="宋体" w:cs="宋体"/>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上述各项合同文件包括合同当事人就该项合同文件所作出的补充和修改，属于同一类的文件，应以最新签署的为准。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发包人对图纸的保密要求：</w:t>
      </w:r>
      <w:r>
        <w:rPr>
          <w:rFonts w:hint="eastAsia" w:ascii="宋体" w:hAnsi="宋体" w:cs="宋体"/>
          <w:color w:val="auto"/>
          <w:sz w:val="24"/>
          <w:highlight w:val="none"/>
          <w:u w:val="single"/>
        </w:rPr>
        <w:t xml:space="preserve">      /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1.6.4 承包人文件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需要由承包人提供的文件，包括但不限于：</w:t>
      </w:r>
      <w:r>
        <w:rPr>
          <w:rFonts w:hint="eastAsia" w:ascii="宋体" w:hAnsi="宋体" w:cs="宋体"/>
          <w:color w:val="auto"/>
          <w:sz w:val="24"/>
          <w:highlight w:val="none"/>
          <w:u w:val="single"/>
        </w:rPr>
        <w:t xml:space="preserve">施工组织设计、施工方案等与工程施工有关的文件</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   开工前7天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     4套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   加盖承包人鲜章（公章）的书面文件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  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1.6.5 现场图纸准备</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发包人指定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承包人指定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1.10 交通运输</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1.10.1 出入现场的权利</w:t>
      </w:r>
      <w:r>
        <w:rPr>
          <w:rFonts w:hint="eastAsia" w:ascii="宋体" w:hAnsi="宋体" w:cs="宋体"/>
          <w:color w:val="auto"/>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1.10.3 场内交通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firstLine="3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1.13工程量清单错误的修正</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工程量清单中工程量偏差超过15%的允许调整合同价格,工程量偏差不超过15%时其综合单价不予调整。</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 发包人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 发包人代表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项目负责人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 施工现场、施工条件和基础资料的提供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olor w:val="auto"/>
          <w:sz w:val="24"/>
          <w:highlight w:val="none"/>
          <w:u w:val="single"/>
        </w:rPr>
        <w:t xml:space="preserve">开工前</w:t>
      </w:r>
      <w:r>
        <w:rPr>
          <w:rFonts w:ascii="宋体" w:hAnsi="宋体"/>
          <w:color w:val="auto"/>
          <w:sz w:val="24"/>
          <w:highlight w:val="none"/>
          <w:u w:val="single"/>
        </w:rPr>
        <w:t xml:space="preserve">3</w:t>
      </w:r>
      <w:r>
        <w:rPr>
          <w:rFonts w:hint="eastAsia" w:ascii="宋体" w:hAnsi="宋体"/>
          <w:color w:val="auto"/>
          <w:sz w:val="24"/>
          <w:highlight w:val="none"/>
          <w:u w:val="single"/>
        </w:rPr>
        <w:t xml:space="preserve">天</w:t>
      </w:r>
      <w:r>
        <w:rPr>
          <w:rFonts w:hint="eastAsia" w:ascii="宋体" w:hAnsi="宋体" w:cs="宋体"/>
          <w:color w:val="auto"/>
          <w:sz w:val="24"/>
          <w:highlight w:val="none"/>
          <w:u w:val="single"/>
        </w:rPr>
        <w:t xml:space="preserve">。 </w:t>
      </w:r>
      <w:r/>
    </w:p>
    <w:p>
      <w:pPr>
        <w:numPr>
          <w:ilvl w:val="2"/>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提供施工条件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2.5资金来源证明及支付担保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 承包人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（9）承包人提交的竣工资料的内容：</w:t>
      </w:r>
      <w:r>
        <w:rPr>
          <w:rFonts w:hint="eastAsia" w:ascii="宋体" w:hAnsi="宋体" w:cs="宋体"/>
          <w:color w:val="auto"/>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4套。</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由承包人自行承担 。</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承包人提交的竣工资料移交时间： </w:t>
      </w:r>
      <w:r>
        <w:rPr>
          <w:rFonts w:hint="eastAsia" w:ascii="宋体" w:hAnsi="宋体" w:cs="宋体"/>
          <w:color w:val="auto"/>
          <w:sz w:val="24"/>
          <w:highlight w:val="none"/>
          <w:u w:val="single"/>
        </w:rPr>
        <w:t xml:space="preserve"> 工程竣工后两个月内。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（10）承包人应履行的其他义务：</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 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 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pStyle w:val="1062"/>
        <w:ind w:firstLine="720"/>
        <w:jc w:val="left"/>
        <w:spacing w:after="0" w:line="440" w:lineRule="exact"/>
        <w:rPr>
          <w:color w:val="auto"/>
          <w:highlight w:val="none"/>
        </w:rPr>
      </w:pPr>
      <w:r>
        <w:rPr>
          <w:rFonts w:hint="eastAsia" w:ascii="宋体" w:hAnsi="宋体" w:cs="宋体"/>
          <w:color w:val="auto"/>
          <w:sz w:val="24"/>
          <w:highlight w:val="none"/>
          <w:u w:val="single"/>
        </w:rPr>
        <w:t xml:space="preserve">④ 承包人必须履行总承包管理协调职能，对于由发包人单独分包的专业工程，本工程承包人不得以任何借口向专业工程施工单位收取管理配合费、安全管理押金、文明施工押金及其他一切费用。</w:t>
      </w:r>
      <w:r/>
    </w:p>
    <w:p>
      <w:pPr>
        <w:ind w:firstLine="602"/>
        <w:jc w:val="left"/>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3.2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由承包人自行承担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color w:val="auto"/>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  合同签订后，开工前7日内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s="宋体"/>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提前报请监理人、发包人同意后方可离场 。</w:t>
      </w:r>
      <w:r/>
    </w:p>
    <w:p>
      <w:pPr>
        <w:ind w:firstLine="54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每查实一次支付违约金3000元/人次，费用从当期应付工程款中直接扣除。如有特殊情况离开现场，应提前报请监理人、发包人同意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禁止分包的工程包括：</w:t>
      </w:r>
      <w:r>
        <w:rPr>
          <w:rFonts w:hint="eastAsia" w:ascii="宋体" w:hAnsi="宋体" w:cs="宋体"/>
          <w:color w:val="auto"/>
          <w:sz w:val="24"/>
          <w:highlight w:val="none"/>
          <w:u w:val="single"/>
        </w:rPr>
        <w:t xml:space="preserve">承包人承包范围内全部工程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不得分包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3.5.4 分包合同价款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 工程照管与成品、半成品保护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执行通用条款</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3.7 履约担保（ 履约保证金）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 履约保证金）：</w:t>
      </w:r>
      <w:r>
        <w:rPr>
          <w:rFonts w:hint="eastAsia" w:ascii="宋体" w:hAnsi="宋体" w:cs="宋体"/>
          <w:color w:val="auto"/>
          <w:sz w:val="24"/>
          <w:highlight w:val="none"/>
          <w:u w:val="single"/>
        </w:rPr>
        <w:t xml:space="preserve"> 提供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成交金额的5%，合同签订前向发包人交纳。履约担保（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4. 监理人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监理人需根据与发包人签订的委托监理合同约定履行职责、行使权力</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 发布开工令、暂时停工或复工令；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 审查技术规范（规定）或设计的变更，经发包人同意后批准实施；</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 审核索赔额与现场签证，并上报发包人；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(4) 本工程中所有涉及改变技术类、经济类的文件。   </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        由承包人提供并承担费用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s="MingLiU_HKSCS"/>
          <w:color w:val="auto"/>
          <w:sz w:val="24"/>
          <w:highlight w:val="none"/>
          <w:u w:val="single"/>
        </w:rPr>
        <w:t xml:space="preserve">总监理工程师</w:t>
      </w:r>
      <w:r>
        <w:rPr>
          <w:rFonts w:ascii="宋体" w:hAnsi="宋体" w:cs="MingLiU_HKS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工程质量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5.3 隐蔽工程检查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5.3.2承包人提前通知监理人隐蔽工程检查的期限的约定：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安全文明施工与环境保护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6.1.5 文明施工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  首笔费用的支付已包含在预付款内，不再另行支付，其余部分与进度款同期支付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7. 工期和进度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（1）施工方案；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（2）施工现场平面布置图；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（3）施工进度计划和保证措施；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（4）劳动力及材料供应计划；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（5）施工机械设备的选用；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（6）质量保证体系及措施；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（7）安全生产、文明施工措施；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（8）环境保护、成本控制措施；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（9）合同当事人约定的其他内容。</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7.2 施工进度计划</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7.3 开工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关于承包人提交工程开工报审表的期限：</w:t>
      </w:r>
      <w:r>
        <w:rPr>
          <w:rFonts w:hint="eastAsia" w:ascii="宋体" w:hAnsi="宋体" w:cs="宋体"/>
          <w:color w:val="auto"/>
          <w:sz w:val="24"/>
          <w:highlight w:val="none"/>
          <w:u w:val="single"/>
        </w:rPr>
        <w:t xml:space="preserve"> 执行通用条款。</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关于发包人应完成的其他开工准备工作及期限：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执行通用条款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7.4 测量放线</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rPr>
          <w:rFonts w:hint="eastAsia" w:ascii="宋体" w:hAnsi="宋体" w:cs="宋体"/>
          <w:color w:val="auto"/>
          <w:sz w:val="24"/>
          <w:highlight w:val="none"/>
          <w:u w:val="single"/>
        </w:rPr>
        <w:t xml:space="preserve">每逾期1天，每天按10000元计算违约金，且发包人有权采取任何补救措施来弥补该延误，由此增加的费用由承包人承担。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7.9.2提前竣工的奖励：</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8. 材料与设备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8.4材料与工程设备的保管与使用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8.4.1发包人供应的材料设备的保管费用的承担：</w:t>
      </w:r>
      <w:r>
        <w:rPr>
          <w:rFonts w:hint="eastAsia" w:ascii="宋体" w:hAnsi="宋体"/>
          <w:color w:val="auto"/>
          <w:sz w:val="24"/>
          <w:highlight w:val="none"/>
          <w:u w:val="single"/>
        </w:rPr>
        <w:t xml:space="preserve">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 样品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firstLine="24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  按照发包人要求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 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     </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9. 试验与检验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9.1试验设备与试验人员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9.1.2 试验设备</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施工现场需要配置的试验场所：</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变更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ind w:firstLine="480"/>
        <w:spacing w:line="44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bCs/>
          <w:color w:val="auto"/>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 变更估价</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10.4.1 变更估价原则</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关于变更估价的约定: </w:t>
      </w:r>
      <w:r/>
    </w:p>
    <w:p>
      <w:pPr>
        <w:ind w:firstLine="480"/>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执行通用条款。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10.5承包人的合理化建议</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监理人审查承包人合理化建议的期限：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发包人审批承包人合理化建议的期限：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承包人提出的合理化建议降低了合同价格或者提高了工程经济效益的奖励的方法和金额为：</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11. 价格调整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关于各可调因子、定值和变值权重，以及基本价格指数及其来源的约定：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%时，或材料单价跌幅以已标价工程量清单或预算书中载明材料单价为基础超过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%时，其超过部分据实调整。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%时，材料单价涨幅以已标价工程量清单或预算书中载明材料单价为基础超过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第3种方式：其他价格调整方式：</w:t>
      </w:r>
      <w:r>
        <w:rPr>
          <w:rFonts w:hint="eastAsia" w:ascii="宋体" w:hAnsi="宋体" w:cs="宋体"/>
          <w:color w:val="auto"/>
          <w:sz w:val="24"/>
          <w:highlight w:val="none"/>
          <w:u w:val="singl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合同价格、计量与支付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a人工费按照</w:t>
      </w:r>
      <w:r>
        <w:rPr>
          <w:rFonts w:hint="eastAsia" w:ascii="宋体" w:hAnsi="宋体"/>
          <w:color w:val="auto"/>
          <w:sz w:val="24"/>
          <w:highlight w:val="none"/>
          <w:u w:val="single"/>
        </w:rPr>
        <w:t xml:space="preserve">苏建函价〔2025〕</w:t>
      </w:r>
      <w:r>
        <w:rPr>
          <w:rFonts w:hint="eastAsia" w:ascii="宋体" w:hAnsi="宋体"/>
          <w:color w:val="auto"/>
          <w:sz w:val="24"/>
          <w:highlight w:val="none"/>
          <w:u w:val="single"/>
          <w:lang w:eastAsia="zh-CN"/>
        </w:rPr>
        <w:t xml:space="preserve">273</w:t>
      </w:r>
      <w:r>
        <w:rPr>
          <w:rFonts w:hint="eastAsia" w:ascii="宋体" w:hAnsi="宋体"/>
          <w:color w:val="auto"/>
          <w:sz w:val="24"/>
          <w:highlight w:val="none"/>
          <w:u w:val="single"/>
        </w:rPr>
        <w:t xml:space="preserve">号</w:t>
      </w:r>
      <w:r>
        <w:rPr>
          <w:rFonts w:hint="eastAsia" w:ascii="宋体" w:hAnsi="宋体" w:cs="宋体"/>
          <w:color w:val="auto"/>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风险费用已包含在合同价中</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风险范围以外合同价格的调整方法：</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12.2.1 预付款的支付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签约合同价的10%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合同签订且材料进场后15日内</w:t>
      </w:r>
      <w:r>
        <w:rPr>
          <w:rFonts w:hint="eastAsia" w:ascii="宋体" w:hAnsi="宋体" w:cs="宋体"/>
          <w:b/>
          <w:color w:val="auto"/>
          <w:sz w:val="24"/>
          <w:highlight w:val="none"/>
          <w:u w:val="single"/>
        </w:rPr>
        <w:t xml:space="preserve">。</w:t>
      </w:r>
      <w:r/>
    </w:p>
    <w:p>
      <w:pPr>
        <w:ind w:firstLine="480"/>
        <w:spacing w:line="440" w:lineRule="exact"/>
        <w:rPr>
          <w:rFonts w:hint="eastAsia" w:ascii="宋体" w:hAnsi="宋体" w:cs="宋体"/>
          <w:b/>
          <w:color w:val="auto"/>
          <w:sz w:val="24"/>
          <w:highlight w:val="none"/>
          <w:u w:val="single"/>
        </w:rPr>
        <w:outlineLvl w:val="0"/>
      </w:pPr>
      <w:r>
        <w:rPr>
          <w:rFonts w:hint="eastAsia" w:ascii="宋体" w:hAnsi="宋体" w:cs="宋体"/>
          <w:color w:val="auto"/>
          <w:sz w:val="24"/>
          <w:highlight w:val="none"/>
        </w:rPr>
        <w:t xml:space="preserve">预付款扣回的方式：</w:t>
      </w:r>
      <w:r>
        <w:rPr>
          <w:rFonts w:hint="eastAsia" w:ascii="宋体" w:hAnsi="宋体" w:cs="宋体"/>
          <w:b/>
          <w:color w:val="auto"/>
          <w:sz w:val="24"/>
          <w:highlight w:val="none"/>
          <w:u w:val="single"/>
        </w:rPr>
        <w:t xml:space="preserve"> 不扣回，转为进度款 。</w:t>
      </w:r>
      <w:r/>
    </w:p>
    <w:p>
      <w:pPr>
        <w:ind w:firstLine="480"/>
        <w:spacing w:line="44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12.2.2 预付款担保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12.3.1 计量原则</w:t>
      </w:r>
      <w:r/>
    </w:p>
    <w:p>
      <w:pPr>
        <w:ind w:firstLine="480"/>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工程量计算规则：</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12.3.2 计量周期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12.3.3 单价合同的计量 </w:t>
      </w:r>
      <w:r/>
    </w:p>
    <w:p>
      <w:pPr>
        <w:ind w:firstLine="480"/>
        <w:jc w:val="left"/>
        <w:spacing w:line="440" w:lineRule="exact"/>
        <w:rPr>
          <w:rFonts w:hint="eastAsia" w:ascii="宋体" w:hAnsi="宋体"/>
          <w:color w:val="auto"/>
          <w:sz w:val="24"/>
          <w:highlight w:val="none"/>
          <w:u w:val="singl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 工程进度款支付</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964"/>
        <w:jc w:val="left"/>
        <w:spacing w:line="440" w:lineRule="exact"/>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合同签订且材料进场后15日内支付签约合同总价的10%，作为项目预付款。</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施工进度款支付：工程竣工经验收合格后，经甲方确认支付至合同价款的70%，在竣工资料和竣工结算按要求报送并经审计后，支付至结算价的100%。</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工程款支付前承包人需提供满足发包人财务要求的增值税专用发票。</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u w:val="single"/>
        </w:rPr>
        <w:t xml:space="preserve">3）付款前，承包人应当提供能满足发包人财务要求的等额发票，未提供则发包人有权拒付相应款项。</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12.4.3 进度付款申请单的提交</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 按本合同约定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经发包人审查完毕并签署同意支付本期进度款意见后14天内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13. 验收和工程试车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13.2 竣工验收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13.2.2竣工验收程序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13.2.5移交、接收全部与部分工程</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颁发工程接收证书后7天内完成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color w:val="auto"/>
          <w:sz w:val="24"/>
          <w:highlight w:val="none"/>
          <w:u w:val="single"/>
        </w:rPr>
        <w:t xml:space="preserve">每逾期1天，每天按照10000元支付违约金。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 工程试车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13.3.1 试车程序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13.3.3 投料试车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13.6.1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竣工结算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 工程竣工验收合格后28天内提交符合发包人要求的完整结算资料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合同文本；中标通知书；专用条款；谈判文件；响应文件、开、竣工报告；竣工验收合格证明书；签证变更资料；甲控材料认价单；通用条款；竣工图；监理人、发包人签收的满足城建档案管理要求的工程竣工资料（含竣工图）的交接单以及承包人已全部提交竣工结算资料的承诺书。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  另行协商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  竣工结算资料经审计部门审计完成并出具审计报告后。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：按通用条款执行。</w:t>
      </w:r>
      <w:r/>
    </w:p>
    <w:p>
      <w:pPr>
        <w:ind w:firstLine="482"/>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14.4 最终结清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根据发包人要求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执行通用条款</w:t>
      </w:r>
      <w:r>
        <w:rPr>
          <w:rFonts w:hint="eastAsia" w:ascii="宋体" w:hAnsi="宋体" w:cs="宋体"/>
          <w:color w:val="auto"/>
          <w:sz w:val="24"/>
          <w:highlight w:val="none"/>
          <w:u w:val="singl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执行通用条款。</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缺陷责任期与保修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15.2缺陷责任期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自实际竣工日后24个月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 质量保证金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关于是否扣留质量保证金的约定：</w:t>
      </w:r>
      <w:r>
        <w:rPr>
          <w:rFonts w:hint="eastAsia" w:ascii="宋体" w:hAnsi="宋体" w:cs="宋体"/>
          <w:color w:val="auto"/>
          <w:sz w:val="24"/>
          <w:highlight w:val="none"/>
          <w:u w:val="single"/>
        </w:rPr>
        <w:t xml:space="preserve">   不扣留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15.3.1 承包人提供质量保证金的方式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质量保证金采用以下第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（1）质量保证金保函，保证金额为：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15.3.2 质量保证金的扣留：不扣留。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  见工程质量保修  </w:t>
      </w:r>
      <w:r>
        <w:rPr>
          <w:rFonts w:hint="eastAsia" w:ascii="宋体" w:hAnsi="宋体" w:cs="宋体"/>
          <w:color w:val="auto"/>
          <w:sz w:val="24"/>
          <w:highlight w:val="none"/>
        </w:rPr>
        <w:t xml:space="preserve">。</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15.4.3 修复通知</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 接到发包人通知后48小时内</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违约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hanging="12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天后发包人仍不纠正其违约行为并致使合同目的不能实现的，承包人有权解除合同。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 承包人违约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承包人违约的其他情形：</w:t>
      </w:r>
      <w:r>
        <w:rPr>
          <w:rFonts w:hint="eastAsia" w:ascii="宋体" w:hAnsi="宋体" w:cs="宋体"/>
          <w:color w:val="auto"/>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不可抗力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（1）烈度为6级以上的地震；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（2）6级以上持续24小时的大风；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（4）40℃及以上持续24小时的高温。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17.4 因不可抗力解除合同</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56天</w:t>
      </w:r>
      <w:r>
        <w:rPr>
          <w:rFonts w:hint="eastAsia" w:ascii="宋体" w:hAnsi="宋体" w:cs="宋体"/>
          <w:color w:val="auto"/>
          <w:sz w:val="24"/>
          <w:highlight w:val="none"/>
        </w:rPr>
        <w:t xml:space="preserve">内完成款项的支付。</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保险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承包人必须按照工程所在地相关规定要求执行,并承担保险费用。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18.3 其他保险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18.7 通知义务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争议解决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种方式解决：</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工程所在地 </w:t>
      </w:r>
      <w:r>
        <w:rPr>
          <w:rFonts w:hint="eastAsia" w:ascii="宋体" w:hAnsi="宋体" w:cs="宋体"/>
          <w:color w:val="auto"/>
          <w:sz w:val="24"/>
          <w:highlight w:val="none"/>
        </w:rPr>
        <w:t xml:space="preserve">人民法院起诉。</w:t>
      </w:r>
      <w:r/>
    </w:p>
    <w:p>
      <w:pPr>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21.补充条款：</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21.1承包人须与包括农民</w:t>
      </w:r>
      <w:r>
        <w:rPr>
          <w:rFonts w:hint="eastAsia" w:ascii="宋体" w:hAnsi="宋体" w:cs="宋体"/>
          <w:color w:val="auto"/>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auto"/>
          <w:sz w:val="24"/>
          <w:highlight w:val="none"/>
          <w:u w:val="single"/>
        </w:rPr>
      </w:pPr>
      <w:r>
        <w:rPr>
          <w:rFonts w:hint="eastAsia" w:ascii="宋体" w:hAnsi="宋体" w:cs="宋体"/>
          <w:color w:val="auto"/>
          <w:sz w:val="24"/>
          <w:highlight w:val="none"/>
          <w:u w:val="single"/>
        </w:rPr>
        <w:t xml:space="preserve">21.4</w:t>
      </w:r>
      <w:r>
        <w:rPr>
          <w:rFonts w:hint="eastAsia" w:ascii="宋体" w:hAnsi="宋体"/>
          <w:color w:val="auto"/>
          <w:sz w:val="24"/>
          <w:highlight w:val="none"/>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cs="宋体"/>
          <w:b/>
          <w:color w:val="auto"/>
          <w:sz w:val="24"/>
          <w:highlight w:val="none"/>
        </w:rPr>
      </w:pPr>
      <w:r/>
      <w:bookmarkStart w:id="14" w:name="_Toc351203652"/>
      <w:r/>
      <w:r/>
    </w:p>
    <w:p>
      <w:pPr>
        <w:jc w:val="left"/>
        <w:spacing w:line="480" w:lineRule="exact"/>
        <w:rPr>
          <w:rFonts w:hint="eastAsia" w:ascii="宋体" w:hAnsi="宋体" w:cs="宋体"/>
          <w:b/>
          <w:color w:val="auto"/>
          <w:sz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b/>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bookmarkEnd w:id="14"/>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附件1：发包人供应材料设备一览表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附件2：工程质量保修书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附件3：承包人用于本工程施工的机械设备表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附件4：承包人主要施工管理人员表</w:t>
      </w:r>
      <w:r/>
    </w:p>
    <w:p>
      <w:pPr>
        <w:jc w:val="left"/>
        <w:spacing w:line="360" w:lineRule="auto"/>
        <w:rPr>
          <w:rFonts w:hint="eastAsia" w:ascii="宋体" w:hAnsi="宋体" w:cs="宋体"/>
          <w:color w:val="auto"/>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发包人供应材料设备一览表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材料、</w:t>
            </w:r>
            <w:r/>
          </w:p>
          <w:p>
            <w:pPr>
              <w:pStyle w:val="1062"/>
              <w:ind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设备品种</w:t>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质量等级</w:t>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供应时间</w:t>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送达地点</w:t>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附件2：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徐州生物工程职业技术学院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w:t>
      </w:r>
      <w:r>
        <w:rPr>
          <w:rFonts w:hint="eastAsia" w:ascii="宋体" w:hAnsi="宋体" w:cs="宋体"/>
          <w:color w:val="auto"/>
          <w:sz w:val="24"/>
          <w:highlight w:val="none"/>
          <w:u w:val="single"/>
        </w:rPr>
        <w:t xml:space="preserve">《中华人民共和国建筑法》和《建设工程质量管理条例》</w:t>
      </w:r>
      <w:r>
        <w:rPr>
          <w:rFonts w:hint="eastAsia" w:ascii="宋体" w:hAnsi="宋体" w:cs="宋体"/>
          <w:color w:val="auto"/>
          <w:sz w:val="24"/>
          <w:highlight w:val="none"/>
        </w:rPr>
        <w:t xml:space="preserve">，经协商一致就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rPr>
        <w:t xml:space="preserve">（工程全称）签订工程质量保修书。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由承包人承担的施工全部内容。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numPr>
          <w:ilvl w:val="0"/>
          <w:numId w:val="5"/>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地基基础工程和主体结构工程为设计文件规定的工程合理使用年限；</w:t>
      </w:r>
      <w:r/>
    </w:p>
    <w:p>
      <w:pPr>
        <w:numPr>
          <w:ilvl w:val="0"/>
          <w:numId w:val="6"/>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屋面防水工程、有防水要求的卫生间、房间和外墙面的防渗为</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年；</w:t>
      </w:r>
      <w:r/>
    </w:p>
    <w:p>
      <w:pPr>
        <w:numPr>
          <w:ilvl w:val="0"/>
          <w:numId w:val="7"/>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装修工程为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8"/>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电气管线、给排水管道、设备安装工程为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9"/>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供热与供冷系统为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个采暖期、供冷期；</w:t>
      </w:r>
      <w:r/>
    </w:p>
    <w:p>
      <w:pPr>
        <w:numPr>
          <w:ilvl w:val="0"/>
          <w:numId w:val="10"/>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住宅小区内的给排水设施、道路等配套工程为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w:t>
      </w:r>
      <w:r>
        <w:rPr>
          <w:rFonts w:hint="eastAsia" w:ascii="宋体" w:hAnsi="宋体"/>
          <w:color w:val="auto"/>
          <w:sz w:val="24"/>
          <w:highlight w:val="none"/>
          <w:u w:val="single"/>
        </w:rPr>
        <w:t xml:space="preserve">   2年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个月，缺陷责任期自工程实际竣工之日起计算。单位工程先于全部工程进行验收，单位工程缺陷责任期自单位工程验收合格之日起算。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四、质量保修责任</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五、保修费用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保修费用由造成质量缺陷的责任方承担。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440" w:lineRule="exact"/>
        <w:rPr>
          <w:rFonts w:hint="eastAsia" w:ascii="宋体" w:hAnsi="宋体" w:cs="宋体"/>
          <w:color w:val="auto"/>
          <w:sz w:val="24"/>
          <w:highlight w:val="none"/>
        </w:rPr>
      </w:pPr>
      <w:r>
        <w:rPr>
          <w:rFonts w:hint="eastAsia" w:ascii="宋体" w:hAnsi="宋体"/>
          <w:color w:val="auto"/>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六、双方约定的其他工程质量保修事项：</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1.</w:t>
      </w:r>
      <w:r>
        <w:rPr>
          <w:rFonts w:hint="eastAsia" w:ascii="宋体" w:hAnsi="宋体" w:cs="宋体"/>
          <w:color w:val="auto"/>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2.如因承包人的责任，造成直接或间接损失，由承包人负责赔偿，费用从质保金中扣除。 </w:t>
      </w:r>
      <w:r/>
    </w:p>
    <w:p>
      <w:pPr>
        <w:ind w:firstLine="456"/>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bCs/>
          <w:color w:val="auto"/>
          <w:sz w:val="24"/>
          <w:highlight w:val="none"/>
        </w:rPr>
        <w:t xml:space="preserve">附件3：</w:t>
      </w:r>
      <w:r/>
    </w:p>
    <w:p>
      <w:pPr>
        <w:jc w:val="center"/>
        <w:spacing w:before="156" w:after="15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承包人用于本工程施工的机械设备表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机械或设备名称</w:t>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附件4：</w:t>
      </w:r>
      <w:r/>
    </w:p>
    <w:p>
      <w:pPr>
        <w:jc w:val="center"/>
        <w:spacing w:before="156" w:after="156"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承包人主要施工管理人员表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12"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1312"/>
        <w:ind w:left="0" w:right="0" w:firstLine="480"/>
        <w:jc w:val="both"/>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299"/>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徐州生物工程职业技术学院</w:t>
      </w:r>
      <w:r>
        <w:rPr>
          <w:rFonts w:hint="eastAsia" w:ascii="宋体" w:hAnsi="宋体" w:cs="宋体"/>
          <w:b/>
          <w:bCs/>
          <w:color w:val="auto"/>
          <w:sz w:val="24"/>
          <w:highlight w:val="none"/>
        </w:rPr>
        <w:t xml:space="preserve">：</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bCs/>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pStyle w:val="1087"/>
        <w:jc w:val="center"/>
        <w:spacing w:line="380" w:lineRule="exact"/>
        <w:rPr>
          <w:rFonts w:hint="eastAsia"/>
          <w:b/>
          <w:bCs/>
          <w:color w:val="auto"/>
          <w:sz w:val="36"/>
          <w:szCs w:val="36"/>
          <w:highlight w:val="none"/>
        </w:rPr>
      </w:pPr>
      <w:r>
        <w:rPr>
          <w:rFonts w:hint="eastAsia"/>
          <w:b/>
          <w:bCs/>
          <w:color w:val="auto"/>
          <w:sz w:val="36"/>
          <w:szCs w:val="36"/>
          <w:highlight w:val="none"/>
        </w:rPr>
        <w:t xml:space="preserve">10、现场踏勘委托书</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）的现场踏勘。（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   年  月   日起至  年  月    日止。</w:t>
      </w:r>
      <w:r/>
    </w:p>
    <w:p>
      <w:pPr>
        <w:ind w:firstLine="8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委托人（公章）：               受托人（签字或盖章）：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 </w:t>
      </w:r>
      <w:r/>
    </w:p>
    <w:p>
      <w:pPr>
        <w:ind w:firstLine="4888"/>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年   月   日 </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(受托人身份证复印件附后)</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现场踏勘老师签字或学校部门盖章：</w:t>
      </w:r>
      <w:r/>
    </w:p>
    <w:p>
      <w:pPr>
        <w:jc w:val="cente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cs="宋体"/>
          <w:b/>
          <w:bCs/>
          <w:color w:val="auto"/>
          <w:sz w:val="36"/>
          <w:szCs w:val="36"/>
          <w:highlight w:val="none"/>
        </w:rPr>
        <w:t xml:space="preserve">11</w:t>
      </w:r>
      <w:r>
        <w:rPr>
          <w:rFonts w:hint="eastAsia" w:ascii="宋体" w:hAnsi="宋体" w:cs="宋体"/>
          <w:b/>
          <w:bCs/>
          <w:color w:val="auto"/>
          <w:sz w:val="36"/>
          <w:szCs w:val="36"/>
          <w:highlight w:val="none"/>
        </w:rPr>
        <w:t xml:space="preserve">、具备履行合同所必需的设备和专业技术能力的书面声明（附证明材料）格式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① 提供供应商有效的的建筑工程施工总承包叁级（含）以上资质证书扫描件；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③ 供应商具备安全生产条件，取得有效的《安全生产许可证》，响应文件中提供证书扫描件；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④ 供应商拟选派项目负责人（注册建造师）无在建工程，响应文件中提供证明材料或承诺书（格式自拟）。</w:t>
      </w:r>
      <w:r/>
    </w:p>
    <w:p>
      <w:pPr>
        <w:pStyle w:val="1294"/>
        <w:ind w:left="0"/>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rPr>
          <w:rFonts w:hint="eastAsia"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12、中小企业声明函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（徐州生物工程职业技术学院）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13、</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rPr>
      </w:pPr>
      <w:r/>
      <w:bookmarkStart w:id="15" w:name="OLE_LINK13"/>
      <w:r/>
      <w:bookmarkStart w:id="16" w:name="OLE_LINK14"/>
      <w:r>
        <w:rPr>
          <w:rFonts w:hint="eastAsia" w:ascii="宋体" w:hAnsi="宋体" w:cs="宋体"/>
          <w:b/>
          <w:bCs/>
          <w:color w:val="auto"/>
          <w:sz w:val="36"/>
          <w:szCs w:val="36"/>
          <w:highlight w:val="none"/>
        </w:rPr>
        <w:t xml:space="preserve">14、残疾人福利性单位声明函</w:t>
      </w:r>
      <w:bookmarkEnd w:id="15"/>
      <w:r/>
      <w:bookmarkEnd w:id="1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294"/>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80" w:lineRule="exact"/>
        <w:widowControl/>
        <w:rPr>
          <w:rFonts w:hint="eastAsia" w:ascii="宋体" w:hAnsi="宋体" w:cs="宋体"/>
          <w:b/>
          <w:color w:val="auto"/>
          <w:sz w:val="28"/>
          <w:szCs w:val="28"/>
          <w:highlight w:val="none"/>
        </w:rPr>
      </w:pPr>
      <w:r>
        <w:rPr>
          <w:rFonts w:hint="eastAsia" w:ascii="宋体" w:hAnsi="宋体" w:cs="宋体"/>
          <w:b/>
          <w:bCs/>
          <w:color w:val="auto"/>
          <w:sz w:val="36"/>
          <w:szCs w:val="36"/>
          <w:highlight w:val="none"/>
        </w:rPr>
        <w:t xml:space="preserve">15、代理服务收费标准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06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rPr>
          <w:rFonts w:hint="eastAsia" w:ascii="宋体" w:hAnsi="宋体" w:cs="宋体"/>
          <w:color w:val="auto"/>
          <w:sz w:val="24"/>
          <w:highlight w:val="none"/>
          <w:lang w:val="en-US" w:eastAsia="zh-CN"/>
        </w:rPr>
        <w:t xml:space="preserve">36</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16、预付款保函支付条款模板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widowControl/>
      <w:rPr>
        <w:rStyle w:val="131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1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7"/>
                            <w:widowControl/>
                            <w:tabs>
                              <w:tab w:val="clear" w:pos="4153" w:leader="none"/>
                              <w:tab w:val="clear" w:pos="8306" w:leader="none"/>
                            </w:tabs>
                            <w:rPr>
                              <w:rStyle w:val="1311"/>
                              <w:sz w:val="18"/>
                              <w:szCs w:val="18"/>
                            </w:rPr>
                          </w:pPr>
                          <w:r>
                            <w:rPr>
                              <w:sz w:val="18"/>
                              <w:szCs w:val="18"/>
                            </w:rPr>
                          </w:r>
                          <w:r/>
                        </w:p>
                        <w:p>
                          <w:pPr>
                            <w:widowControl/>
                            <w:rPr>
                              <w:rStyle w:val="1311"/>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7"/>
                      <w:widowControl/>
                      <w:tabs>
                        <w:tab w:val="clear" w:pos="4153" w:leader="none"/>
                        <w:tab w:val="clear" w:pos="8306" w:leader="none"/>
                      </w:tabs>
                      <w:rPr>
                        <w:rStyle w:val="1311"/>
                        <w:sz w:val="18"/>
                        <w:szCs w:val="18"/>
                      </w:rPr>
                    </w:pPr>
                    <w:r>
                      <w:rPr>
                        <w:sz w:val="18"/>
                        <w:szCs w:val="18"/>
                      </w:rPr>
                    </w:r>
                    <w:r/>
                  </w:p>
                  <w:p>
                    <w:pPr>
                      <w:widowControl/>
                      <w:rPr>
                        <w:rStyle w:val="1311"/>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1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0" w:default="1">
    <w:name w:val="Normal"/>
    <w:next w:val="1062"/>
    <w:uiPriority w:val="0"/>
    <w:qFormat/>
    <w:pPr>
      <w:jc w:val="both"/>
      <w:widowControl w:val="off"/>
    </w:pPr>
    <w:rPr>
      <w:rFonts w:hint="default" w:ascii="Calibri" w:hAnsi="Calibri" w:eastAsia="宋体" w:cs="Times New Roman"/>
      <w:sz w:val="21"/>
      <w:szCs w:val="24"/>
      <w:lang w:val="en-US" w:eastAsia="zh-CN" w:bidi="ar-SA"/>
    </w:rPr>
  </w:style>
  <w:style w:type="paragraph" w:styleId="1051">
    <w:name w:val="Heading 1"/>
    <w:basedOn w:val="1050"/>
    <w:next w:val="1050"/>
    <w:link w:val="1117"/>
    <w:uiPriority w:val="9"/>
    <w:qFormat/>
    <w:pPr>
      <w:keepLines/>
      <w:keepNext/>
      <w:spacing w:before="480" w:after="200"/>
      <w:outlineLvl w:val="0"/>
    </w:pPr>
    <w:rPr>
      <w:rFonts w:ascii="Arial" w:hAnsi="Arial" w:eastAsia="Arial" w:cs="Arial"/>
      <w:sz w:val="40"/>
      <w:szCs w:val="40"/>
    </w:rPr>
  </w:style>
  <w:style w:type="paragraph" w:styleId="1052">
    <w:name w:val="Heading 2"/>
    <w:basedOn w:val="1050"/>
    <w:next w:val="1050"/>
    <w:link w:val="1115"/>
    <w:uiPriority w:val="9"/>
    <w:unhideWhenUsed/>
    <w:qFormat/>
    <w:pPr>
      <w:keepLines/>
      <w:keepNext/>
      <w:spacing w:before="360" w:after="200"/>
      <w:outlineLvl w:val="1"/>
    </w:pPr>
    <w:rPr>
      <w:rFonts w:ascii="Arial" w:hAnsi="Arial" w:eastAsia="Arial" w:cs="Arial"/>
      <w:sz w:val="34"/>
    </w:rPr>
  </w:style>
  <w:style w:type="paragraph" w:styleId="1053">
    <w:name w:val="Heading 3"/>
    <w:basedOn w:val="1050"/>
    <w:next w:val="1050"/>
    <w:link w:val="1116"/>
    <w:uiPriority w:val="9"/>
    <w:unhideWhenUsed/>
    <w:qFormat/>
    <w:pPr>
      <w:keepLines/>
      <w:keepNext/>
      <w:spacing w:before="320" w:after="200"/>
      <w:outlineLvl w:val="2"/>
    </w:pPr>
    <w:rPr>
      <w:rFonts w:ascii="Arial" w:hAnsi="Arial" w:eastAsia="Arial" w:cs="Arial"/>
      <w:sz w:val="30"/>
      <w:szCs w:val="30"/>
    </w:rPr>
  </w:style>
  <w:style w:type="paragraph" w:styleId="1054">
    <w:name w:val="Heading 4"/>
    <w:basedOn w:val="1050"/>
    <w:next w:val="1050"/>
    <w:link w:val="1168"/>
    <w:uiPriority w:val="9"/>
    <w:unhideWhenUsed/>
    <w:qFormat/>
    <w:pPr>
      <w:keepLines/>
      <w:keepNext/>
      <w:spacing w:before="320" w:after="200"/>
      <w:outlineLvl w:val="3"/>
    </w:pPr>
    <w:rPr>
      <w:rFonts w:ascii="Arial" w:hAnsi="Arial" w:eastAsia="Arial" w:cs="Arial"/>
      <w:b/>
      <w:bCs/>
      <w:sz w:val="26"/>
      <w:szCs w:val="26"/>
    </w:rPr>
  </w:style>
  <w:style w:type="paragraph" w:styleId="1055">
    <w:name w:val="Heading 5"/>
    <w:basedOn w:val="1050"/>
    <w:next w:val="1050"/>
    <w:link w:val="1169"/>
    <w:uiPriority w:val="9"/>
    <w:unhideWhenUsed/>
    <w:qFormat/>
    <w:pPr>
      <w:keepLines/>
      <w:keepNext/>
      <w:spacing w:before="320" w:after="200"/>
      <w:outlineLvl w:val="4"/>
    </w:pPr>
    <w:rPr>
      <w:rFonts w:ascii="Arial" w:hAnsi="Arial" w:eastAsia="Arial" w:cs="Arial"/>
      <w:b/>
      <w:bCs/>
      <w:sz w:val="24"/>
    </w:rPr>
  </w:style>
  <w:style w:type="paragraph" w:styleId="1056">
    <w:name w:val="Heading 6"/>
    <w:basedOn w:val="1050"/>
    <w:next w:val="1050"/>
    <w:link w:val="1170"/>
    <w:uiPriority w:val="9"/>
    <w:unhideWhenUsed/>
    <w:qFormat/>
    <w:pPr>
      <w:keepLines/>
      <w:keepNext/>
      <w:spacing w:before="320" w:after="200"/>
      <w:outlineLvl w:val="5"/>
    </w:pPr>
    <w:rPr>
      <w:rFonts w:ascii="Arial" w:hAnsi="Arial" w:eastAsia="Arial" w:cs="Arial"/>
      <w:b/>
      <w:bCs/>
      <w:sz w:val="22"/>
      <w:szCs w:val="22"/>
    </w:rPr>
  </w:style>
  <w:style w:type="paragraph" w:styleId="1057">
    <w:name w:val="Heading 7"/>
    <w:basedOn w:val="1050"/>
    <w:next w:val="1050"/>
    <w:link w:val="1171"/>
    <w:uiPriority w:val="9"/>
    <w:unhideWhenUsed/>
    <w:qFormat/>
    <w:pPr>
      <w:keepLines/>
      <w:keepNext/>
      <w:spacing w:before="320" w:after="200"/>
      <w:outlineLvl w:val="6"/>
    </w:pPr>
    <w:rPr>
      <w:rFonts w:ascii="Arial" w:hAnsi="Arial" w:eastAsia="Arial" w:cs="Arial"/>
      <w:b/>
      <w:bCs/>
      <w:i/>
      <w:iCs/>
      <w:sz w:val="22"/>
      <w:szCs w:val="22"/>
    </w:rPr>
  </w:style>
  <w:style w:type="paragraph" w:styleId="1058">
    <w:name w:val="Heading 8"/>
    <w:basedOn w:val="1050"/>
    <w:next w:val="1050"/>
    <w:link w:val="1172"/>
    <w:uiPriority w:val="9"/>
    <w:unhideWhenUsed/>
    <w:qFormat/>
    <w:pPr>
      <w:keepLines/>
      <w:keepNext/>
      <w:spacing w:before="320" w:after="200"/>
      <w:outlineLvl w:val="7"/>
    </w:pPr>
    <w:rPr>
      <w:rFonts w:ascii="Arial" w:hAnsi="Arial" w:eastAsia="Arial" w:cs="Arial"/>
      <w:i/>
      <w:iCs/>
      <w:sz w:val="22"/>
      <w:szCs w:val="22"/>
    </w:rPr>
  </w:style>
  <w:style w:type="paragraph" w:styleId="1059">
    <w:name w:val="Heading 9"/>
    <w:basedOn w:val="1050"/>
    <w:next w:val="1050"/>
    <w:link w:val="1173"/>
    <w:uiPriority w:val="9"/>
    <w:unhideWhenUsed/>
    <w:qFormat/>
    <w:pPr>
      <w:keepLines/>
      <w:keepNext/>
      <w:spacing w:before="320" w:after="200"/>
      <w:outlineLvl w:val="8"/>
    </w:pPr>
    <w:rPr>
      <w:rFonts w:ascii="Arial" w:hAnsi="Arial" w:eastAsia="Arial" w:cs="Arial"/>
      <w:i/>
      <w:iCs/>
      <w:szCs w:val="21"/>
    </w:rPr>
  </w:style>
  <w:style w:type="character" w:styleId="1060" w:default="1">
    <w:name w:val="Default Paragraph Font"/>
    <w:uiPriority w:val="1"/>
    <w:semiHidden/>
    <w:unhideWhenUsed/>
    <w:qFormat/>
  </w:style>
  <w:style w:type="table" w:styleId="1061" w:default="1">
    <w:name w:val="Normal Table"/>
    <w:uiPriority w:val="99"/>
    <w:semiHidden/>
    <w:unhideWhenUsed/>
    <w:qFormat/>
    <w:tblPr>
      <w:tblCellMar>
        <w:left w:w="108" w:type="dxa"/>
        <w:top w:w="0" w:type="dxa"/>
        <w:right w:w="108" w:type="dxa"/>
        <w:bottom w:w="0" w:type="dxa"/>
      </w:tblCellMar>
    </w:tblPr>
  </w:style>
  <w:style w:type="paragraph" w:styleId="1062" w:customStyle="1">
    <w:name w:val="正文文本11"/>
    <w:basedOn w:val="1063"/>
    <w:next w:val="1050"/>
    <w:uiPriority w:val="0"/>
    <w:qFormat/>
    <w:pPr>
      <w:spacing w:after="120"/>
    </w:pPr>
  </w:style>
  <w:style w:type="paragraph" w:styleId="1063" w:customStyle="1">
    <w:name w:val="正文1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name w:val="toc 7"/>
    <w:basedOn w:val="1050"/>
    <w:next w:val="1050"/>
    <w:uiPriority w:val="39"/>
    <w:unhideWhenUsed/>
    <w:qFormat/>
    <w:pPr>
      <w:ind w:left="1701"/>
      <w:spacing w:after="57"/>
    </w:pPr>
  </w:style>
  <w:style w:type="paragraph" w:styleId="1065">
    <w:name w:val="Caption"/>
    <w:basedOn w:val="1050"/>
    <w:next w:val="10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66">
    <w:name w:val="annotation text"/>
    <w:basedOn w:val="1050"/>
    <w:link w:val="1316"/>
    <w:uiPriority w:val="99"/>
    <w:semiHidden/>
    <w:unhideWhenUsed/>
    <w:qFormat/>
    <w:pPr>
      <w:jc w:val="left"/>
    </w:pPr>
  </w:style>
  <w:style w:type="paragraph" w:styleId="1067">
    <w:name w:val="Body Text"/>
    <w:basedOn w:val="1050"/>
    <w:link w:val="1313"/>
    <w:uiPriority w:val="0"/>
    <w:qFormat/>
    <w:pPr>
      <w:ind w:left="72" w:right="30"/>
      <w:jc w:val="center"/>
      <w:spacing w:after="60" w:line="360" w:lineRule="atLeast"/>
    </w:pPr>
    <w:rPr>
      <w:rFonts w:ascii="Times New Roman" w:hAnsi="Times New Roman"/>
      <w:sz w:val="20"/>
      <w:szCs w:val="20"/>
    </w:rPr>
  </w:style>
  <w:style w:type="paragraph" w:styleId="1068">
    <w:name w:val="Body Text Indent"/>
    <w:basedOn w:val="1050"/>
    <w:uiPriority w:val="0"/>
    <w:qFormat/>
    <w:pPr>
      <w:ind w:firstLine="600"/>
      <w:spacing w:line="317" w:lineRule="auto"/>
    </w:pPr>
    <w:rPr>
      <w:rFonts w:ascii="方正书宋简体" w:eastAsia="方正书宋简体"/>
      <w:sz w:val="30"/>
    </w:rPr>
  </w:style>
  <w:style w:type="paragraph" w:styleId="1069">
    <w:name w:val="Block Text"/>
    <w:basedOn w:val="1050"/>
    <w:uiPriority w:val="0"/>
    <w:qFormat/>
    <w:pPr>
      <w:ind w:left="256" w:right="6" w:firstLine="624"/>
    </w:pPr>
    <w:rPr>
      <w:rFonts w:eastAsia="仿宋"/>
      <w:sz w:val="28"/>
      <w:szCs w:val="20"/>
    </w:rPr>
  </w:style>
  <w:style w:type="paragraph" w:styleId="1070">
    <w:name w:val="toc 5"/>
    <w:basedOn w:val="1050"/>
    <w:next w:val="1050"/>
    <w:uiPriority w:val="39"/>
    <w:unhideWhenUsed/>
    <w:qFormat/>
    <w:pPr>
      <w:ind w:left="1134"/>
      <w:spacing w:after="57"/>
    </w:pPr>
  </w:style>
  <w:style w:type="paragraph" w:styleId="1071">
    <w:name w:val="toc 3"/>
    <w:basedOn w:val="1050"/>
    <w:next w:val="1050"/>
    <w:uiPriority w:val="39"/>
    <w:unhideWhenUsed/>
    <w:qFormat/>
    <w:pPr>
      <w:ind w:left="567"/>
      <w:spacing w:after="57"/>
    </w:pPr>
  </w:style>
  <w:style w:type="paragraph" w:styleId="1072">
    <w:name w:val="Plain Text"/>
    <w:basedOn w:val="1050"/>
    <w:next w:val="1050"/>
    <w:uiPriority w:val="0"/>
    <w:qFormat/>
    <w:rPr>
      <w:rFonts w:hint="eastAsia" w:ascii="宋体" w:hAnsi="Courier New" w:eastAsia="仿宋_GB2312"/>
      <w:sz w:val="30"/>
      <w:szCs w:val="20"/>
    </w:rPr>
  </w:style>
  <w:style w:type="paragraph" w:styleId="1073">
    <w:name w:val="toc 8"/>
    <w:basedOn w:val="1050"/>
    <w:next w:val="1050"/>
    <w:uiPriority w:val="39"/>
    <w:unhideWhenUsed/>
    <w:qFormat/>
    <w:pPr>
      <w:ind w:left="1984"/>
      <w:spacing w:after="57"/>
    </w:pPr>
  </w:style>
  <w:style w:type="paragraph" w:styleId="1074">
    <w:name w:val="Date"/>
    <w:basedOn w:val="1050"/>
    <w:next w:val="1050"/>
    <w:uiPriority w:val="0"/>
    <w:unhideWhenUsed/>
    <w:qFormat/>
    <w:rPr>
      <w:rFonts w:ascii="宋体" w:hAnsi="Times New Roman"/>
    </w:rPr>
  </w:style>
  <w:style w:type="paragraph" w:styleId="1075">
    <w:name w:val="endnote text"/>
    <w:basedOn w:val="1050"/>
    <w:link w:val="1292"/>
    <w:uiPriority w:val="99"/>
    <w:semiHidden/>
    <w:unhideWhenUsed/>
    <w:qFormat/>
    <w:rPr>
      <w:sz w:val="20"/>
    </w:rPr>
  </w:style>
  <w:style w:type="paragraph" w:styleId="1076">
    <w:name w:val="Balloon Text"/>
    <w:basedOn w:val="1050"/>
    <w:link w:val="1315"/>
    <w:uiPriority w:val="99"/>
    <w:semiHidden/>
    <w:unhideWhenUsed/>
    <w:qFormat/>
    <w:rPr>
      <w:sz w:val="18"/>
      <w:szCs w:val="18"/>
    </w:rPr>
  </w:style>
  <w:style w:type="paragraph" w:styleId="1077">
    <w:name w:val="Footer"/>
    <w:basedOn w:val="1050"/>
    <w:link w:val="1184"/>
    <w:uiPriority w:val="99"/>
    <w:unhideWhenUsed/>
    <w:qFormat/>
    <w:pPr>
      <w:tabs>
        <w:tab w:val="center" w:pos="7143" w:leader="none"/>
        <w:tab w:val="right" w:pos="14287" w:leader="none"/>
      </w:tabs>
    </w:pPr>
  </w:style>
  <w:style w:type="paragraph" w:styleId="1078">
    <w:name w:val="Header"/>
    <w:basedOn w:val="1050"/>
    <w:link w:val="1182"/>
    <w:uiPriority w:val="99"/>
    <w:unhideWhenUsed/>
    <w:qFormat/>
    <w:pPr>
      <w:tabs>
        <w:tab w:val="center" w:pos="7143" w:leader="none"/>
        <w:tab w:val="right" w:pos="14287" w:leader="none"/>
      </w:tabs>
    </w:pPr>
  </w:style>
  <w:style w:type="paragraph" w:styleId="1079">
    <w:name w:val="toc 1"/>
    <w:basedOn w:val="1050"/>
    <w:next w:val="1050"/>
    <w:uiPriority w:val="39"/>
    <w:unhideWhenUsed/>
    <w:qFormat/>
    <w:pPr>
      <w:spacing w:after="57"/>
    </w:pPr>
  </w:style>
  <w:style w:type="paragraph" w:styleId="1080">
    <w:name w:val="toc 4"/>
    <w:basedOn w:val="1050"/>
    <w:next w:val="1050"/>
    <w:uiPriority w:val="39"/>
    <w:unhideWhenUsed/>
    <w:qFormat/>
    <w:pPr>
      <w:ind w:left="850"/>
      <w:spacing w:after="57"/>
    </w:pPr>
  </w:style>
  <w:style w:type="paragraph" w:styleId="1081">
    <w:name w:val="Subtitle"/>
    <w:basedOn w:val="1050"/>
    <w:next w:val="1050"/>
    <w:link w:val="1177"/>
    <w:uiPriority w:val="11"/>
    <w:qFormat/>
    <w:pPr>
      <w:spacing w:before="200" w:after="200"/>
    </w:pPr>
    <w:rPr>
      <w:sz w:val="24"/>
    </w:rPr>
  </w:style>
  <w:style w:type="paragraph" w:styleId="1082">
    <w:name w:val="footnote text"/>
    <w:basedOn w:val="1050"/>
    <w:link w:val="1291"/>
    <w:uiPriority w:val="99"/>
    <w:semiHidden/>
    <w:unhideWhenUsed/>
    <w:qFormat/>
    <w:pPr>
      <w:spacing w:after="40"/>
    </w:pPr>
    <w:rPr>
      <w:sz w:val="18"/>
    </w:rPr>
  </w:style>
  <w:style w:type="paragraph" w:styleId="1083">
    <w:name w:val="toc 6"/>
    <w:basedOn w:val="1050"/>
    <w:next w:val="1050"/>
    <w:uiPriority w:val="39"/>
    <w:unhideWhenUsed/>
    <w:qFormat/>
    <w:pPr>
      <w:ind w:left="1417"/>
      <w:spacing w:after="57"/>
    </w:pPr>
  </w:style>
  <w:style w:type="paragraph" w:styleId="1084">
    <w:name w:val="table of figures"/>
    <w:basedOn w:val="1050"/>
    <w:next w:val="1050"/>
    <w:uiPriority w:val="99"/>
    <w:unhideWhenUsed/>
    <w:qFormat/>
  </w:style>
  <w:style w:type="paragraph" w:styleId="1085">
    <w:name w:val="toc 2"/>
    <w:basedOn w:val="1050"/>
    <w:next w:val="1050"/>
    <w:uiPriority w:val="39"/>
    <w:unhideWhenUsed/>
    <w:qFormat/>
    <w:pPr>
      <w:ind w:left="283"/>
      <w:spacing w:after="57"/>
    </w:pPr>
  </w:style>
  <w:style w:type="paragraph" w:styleId="1086">
    <w:name w:val="toc 9"/>
    <w:basedOn w:val="1050"/>
    <w:next w:val="1050"/>
    <w:uiPriority w:val="39"/>
    <w:unhideWhenUsed/>
    <w:qFormat/>
    <w:pPr>
      <w:ind w:left="2268"/>
      <w:spacing w:after="57"/>
    </w:pPr>
  </w:style>
  <w:style w:type="paragraph" w:styleId="1087">
    <w:name w:val="Normal (Web)"/>
    <w:basedOn w:val="1050"/>
    <w:uiPriority w:val="0"/>
    <w:unhideWhenUsed/>
    <w:qFormat/>
    <w:pPr>
      <w:jc w:val="left"/>
      <w:spacing w:before="100" w:beforeAutospacing="1" w:after="100" w:afterAutospacing="1"/>
      <w:widowControl/>
    </w:pPr>
    <w:rPr>
      <w:rFonts w:ascii="宋体" w:hAnsi="宋体" w:cs="宋体"/>
      <w:sz w:val="24"/>
    </w:rPr>
  </w:style>
  <w:style w:type="paragraph" w:styleId="1088">
    <w:name w:val="Title"/>
    <w:basedOn w:val="1050"/>
    <w:next w:val="1050"/>
    <w:link w:val="1176"/>
    <w:uiPriority w:val="10"/>
    <w:qFormat/>
    <w:pPr>
      <w:contextualSpacing/>
      <w:spacing w:before="300" w:after="200"/>
    </w:pPr>
    <w:rPr>
      <w:sz w:val="48"/>
      <w:szCs w:val="48"/>
    </w:rPr>
  </w:style>
  <w:style w:type="paragraph" w:styleId="1089">
    <w:name w:val="annotation subject"/>
    <w:basedOn w:val="1066"/>
    <w:next w:val="1066"/>
    <w:link w:val="1317"/>
    <w:uiPriority w:val="99"/>
    <w:semiHidden/>
    <w:unhideWhenUsed/>
    <w:qFormat/>
    <w:rPr>
      <w:b/>
      <w:bCs/>
    </w:rPr>
  </w:style>
  <w:style w:type="table" w:styleId="1090">
    <w:name w:val="Table Grid"/>
    <w:basedOn w:val="10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endnote reference"/>
    <w:basedOn w:val="1060"/>
    <w:uiPriority w:val="99"/>
    <w:semiHidden/>
    <w:unhideWhenUsed/>
    <w:qFormat/>
    <w:rPr>
      <w:vertAlign w:val="superscript"/>
    </w:rPr>
  </w:style>
  <w:style w:type="character" w:styleId="1092">
    <w:name w:val="Hyperlink"/>
    <w:uiPriority w:val="99"/>
    <w:unhideWhenUsed/>
    <w:qFormat/>
    <w:rPr>
      <w:color w:val="0563c1" w:themeColor="hyperlink"/>
      <w:u w:val="single"/>
      <w14:textFill>
        <w14:solidFill>
          <w14:schemeClr w14:val="hlink"/>
        </w14:solidFill>
      </w14:textFill>
    </w:rPr>
  </w:style>
  <w:style w:type="character" w:styleId="1093">
    <w:name w:val="annotation reference"/>
    <w:basedOn w:val="1060"/>
    <w:uiPriority w:val="99"/>
    <w:semiHidden/>
    <w:unhideWhenUsed/>
    <w:qFormat/>
    <w:rPr>
      <w:sz w:val="21"/>
      <w:szCs w:val="21"/>
    </w:rPr>
  </w:style>
  <w:style w:type="character" w:styleId="1094">
    <w:name w:val="footnote reference"/>
    <w:basedOn w:val="1060"/>
    <w:uiPriority w:val="99"/>
    <w:unhideWhenUsed/>
    <w:qFormat/>
    <w:rPr>
      <w:vertAlign w:val="superscript"/>
    </w:rPr>
  </w:style>
  <w:style w:type="table" w:styleId="1095" w:customStyle="1">
    <w:name w:val="Plain Table 1"/>
    <w:basedOn w:val="10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Plain Table 2"/>
    <w:basedOn w:val="10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Plain Table 3"/>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Plain Table 4"/>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Plain Table 5"/>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Grid Table 1 Light"/>
    <w:basedOn w:val="10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3"/>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4"/>
    <w:basedOn w:val="10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4" w:customStyle="1">
    <w:name w:val="Grid Table 5 Dark"/>
    <w:basedOn w:val="10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5" w:customStyle="1">
    <w:name w:val="Grid Table 6 Colorful"/>
    <w:basedOn w:val="10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6" w:customStyle="1">
    <w:name w:val="Grid Table 7 Colorful"/>
    <w:basedOn w:val="10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List Table 1 Light"/>
    <w:basedOn w:val="10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2"/>
    <w:basedOn w:val="10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9" w:customStyle="1">
    <w:name w:val="List Table 3"/>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0" w:customStyle="1">
    <w:name w:val="List Table 4"/>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5 Dark"/>
    <w:basedOn w:val="10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6 Colorful"/>
    <w:basedOn w:val="10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List Table 7 Colorful"/>
    <w:basedOn w:val="10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14" w:customStyle="1">
    <w:name w:val="TOC Heading"/>
    <w:uiPriority w:val="39"/>
    <w:unhideWhenUsed/>
    <w:qFormat/>
    <w:rPr>
      <w:rFonts w:hint="default" w:ascii="Times New Roman" w:hAnsi="Times New Roman" w:eastAsia="宋体" w:cs="Times New Roman"/>
    </w:rPr>
  </w:style>
  <w:style w:type="character" w:styleId="1115" w:customStyle="1">
    <w:name w:val="标题 2 字符"/>
    <w:basedOn w:val="1060"/>
    <w:link w:val="1052"/>
    <w:uiPriority w:val="9"/>
    <w:qFormat/>
    <w:rPr>
      <w:rFonts w:ascii="Arial" w:hAnsi="Arial" w:eastAsia="Arial" w:cs="Arial"/>
      <w:sz w:val="34"/>
    </w:rPr>
  </w:style>
  <w:style w:type="character" w:styleId="1116" w:customStyle="1">
    <w:name w:val="标题 3 字符"/>
    <w:basedOn w:val="1060"/>
    <w:link w:val="1053"/>
    <w:uiPriority w:val="9"/>
    <w:qFormat/>
    <w:rPr>
      <w:rFonts w:ascii="Arial" w:hAnsi="Arial" w:eastAsia="Arial" w:cs="Arial"/>
      <w:sz w:val="30"/>
      <w:szCs w:val="30"/>
    </w:rPr>
  </w:style>
  <w:style w:type="character" w:styleId="1117" w:customStyle="1">
    <w:name w:val="标题 1 字符"/>
    <w:basedOn w:val="1060"/>
    <w:link w:val="1051"/>
    <w:uiPriority w:val="9"/>
    <w:qFormat/>
    <w:rPr>
      <w:rFonts w:ascii="Arial" w:hAnsi="Arial" w:eastAsia="Arial" w:cs="Arial"/>
      <w:sz w:val="40"/>
      <w:szCs w:val="40"/>
    </w:rPr>
  </w:style>
  <w:style w:type="paragraph" w:styleId="1118" w:customStyle="1">
    <w:name w:val="列表段落1"/>
    <w:basedOn w:val="1119"/>
    <w:next w:val="1050"/>
    <w:uiPriority w:val="99"/>
    <w:qFormat/>
    <w:pPr>
      <w:ind w:firstLine="420"/>
    </w:pPr>
  </w:style>
  <w:style w:type="paragraph" w:styleId="1119" w:customStyle="1">
    <w:name w:val="正文1"/>
    <w:basedOn w:val="1120"/>
    <w:next w:val="1123"/>
    <w:uiPriority w:val="0"/>
    <w:qFormat/>
  </w:style>
  <w:style w:type="paragraph" w:styleId="1120" w:customStyle="1">
    <w:name w:val="正文11"/>
    <w:basedOn w:val="1050"/>
    <w:next w:val="1121"/>
    <w:uiPriority w:val="0"/>
    <w:qFormat/>
  </w:style>
  <w:style w:type="paragraph" w:styleId="1121" w:customStyle="1">
    <w:name w:val="目录 11"/>
    <w:basedOn w:val="1122"/>
    <w:next w:val="1120"/>
    <w:uiPriority w:val="39"/>
    <w:unhideWhenUsed/>
    <w:qFormat/>
    <w:pPr>
      <w:jc w:val="left"/>
      <w:spacing w:after="100" w:line="259" w:lineRule="auto"/>
      <w:widowControl/>
    </w:pPr>
    <w:rPr>
      <w:rFonts w:ascii="Calibri" w:hAnsi="Calibri"/>
      <w:sz w:val="22"/>
      <w:szCs w:val="22"/>
    </w:rPr>
  </w:style>
  <w:style w:type="paragraph" w:styleId="1122" w:customStyle="1">
    <w:name w:val="正文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文本1"/>
    <w:basedOn w:val="1119"/>
    <w:next w:val="1119"/>
    <w:uiPriority w:val="0"/>
    <w:qFormat/>
    <w:pPr>
      <w:spacing w:after="120"/>
    </w:pPr>
    <w:rPr>
      <w:lang w:eastAsia="en-US"/>
    </w:rPr>
  </w:style>
  <w:style w:type="paragraph" w:styleId="1124" w:customStyle="1">
    <w:name w:val="一级条标题"/>
    <w:basedOn w:val="1125"/>
    <w:next w:val="11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5" w:customStyle="1">
    <w:name w:val="章标题"/>
    <w:next w:val="111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26" w:customStyle="1">
    <w:name w:val="段"/>
    <w:basedOn w:val="1050"/>
    <w:next w:val="1050"/>
    <w:uiPriority w:val="0"/>
    <w:qFormat/>
    <w:pPr>
      <w:ind w:firstLine="200"/>
      <w:widowControl/>
    </w:pPr>
    <w:rPr>
      <w:rFonts w:hint="eastAsia" w:ascii="宋体"/>
      <w:szCs w:val="20"/>
    </w:rPr>
  </w:style>
  <w:style w:type="paragraph" w:styleId="1127" w:customStyle="1">
    <w:name w:val="脚注文本1"/>
    <w:basedOn w:val="1119"/>
    <w:next w:val="1128"/>
    <w:uiPriority w:val="0"/>
    <w:qFormat/>
    <w:pPr>
      <w:jc w:val="left"/>
      <w:spacing w:line="360" w:lineRule="atLeast"/>
    </w:pPr>
    <w:rPr>
      <w:rFonts w:ascii="宋体" w:eastAsia="Times New Roman"/>
      <w:sz w:val="18"/>
      <w:szCs w:val="18"/>
    </w:rPr>
  </w:style>
  <w:style w:type="paragraph" w:styleId="1128" w:customStyle="1">
    <w:name w:val="索引 51"/>
    <w:basedOn w:val="1119"/>
    <w:next w:val="1119"/>
    <w:uiPriority w:val="0"/>
    <w:qFormat/>
    <w:pPr>
      <w:ind w:left="798"/>
      <w:jc w:val="left"/>
      <w:spacing w:line="360" w:lineRule="atLeast"/>
    </w:pPr>
    <w:rPr>
      <w:sz w:val="24"/>
      <w:szCs w:val="20"/>
    </w:rPr>
  </w:style>
  <w:style w:type="table" w:styleId="1129" w:customStyle="1">
    <w:name w:val="无格式表格 11"/>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无格式表格 21"/>
    <w:basedOn w:val="10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1" w:customStyle="1">
    <w:name w:val="无格式表格 31"/>
    <w:basedOn w:val="10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2" w:customStyle="1">
    <w:name w:val="无格式表格 41"/>
    <w:basedOn w:val="10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3" w:customStyle="1">
    <w:name w:val="无格式表格 51"/>
    <w:basedOn w:val="10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4" w:customStyle="1">
    <w:name w:val="网格表 1 浅色1"/>
    <w:basedOn w:val="10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5" w:customStyle="1">
    <w:name w:val="网格表 2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6" w:customStyle="1">
    <w:name w:val="网格表 3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网格表 41"/>
    <w:basedOn w:val="10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8" w:customStyle="1">
    <w:name w:val="网格表 5 深色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9" w:customStyle="1">
    <w:name w:val="网格表 6 彩色1"/>
    <w:basedOn w:val="10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0" w:customStyle="1">
    <w:name w:val="网格表 7 彩色1"/>
    <w:basedOn w:val="10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清单表 1 浅色1"/>
    <w:basedOn w:val="10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customStyle="1">
    <w:name w:val="清单表 21"/>
    <w:basedOn w:val="10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清单表 3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清单表 4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清单表 5 深色1"/>
    <w:basedOn w:val="10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清单表 6 彩色1"/>
    <w:basedOn w:val="10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7" w:customStyle="1">
    <w:name w:val="清单表 7 彩色1"/>
    <w:basedOn w:val="10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8" w:customStyle="1">
    <w:name w:val="TOC 标题1"/>
    <w:uiPriority w:val="39"/>
    <w:unhideWhenUsed/>
    <w:qFormat/>
    <w:rPr>
      <w:rFonts w:hint="default" w:ascii="Times New Roman" w:hAnsi="Times New Roman" w:eastAsia="宋体" w:cs="Times New Roman"/>
      <w:lang w:val="en-US" w:eastAsia="zh-CN" w:bidi="ar-SA"/>
    </w:rPr>
  </w:style>
  <w:style w:type="paragraph" w:styleId="1149" w:customStyle="1">
    <w:name w:val="TOC 标题112"/>
    <w:uiPriority w:val="39"/>
    <w:unhideWhenUsed/>
    <w:qFormat/>
    <w:rPr>
      <w:rFonts w:hint="default" w:ascii="Times New Roman" w:hAnsi="Times New Roman" w:eastAsia="宋体" w:cs="Times New Roman"/>
      <w:lang w:val="en-US" w:eastAsia="zh-CN" w:bidi="ar-SA"/>
    </w:rPr>
  </w:style>
  <w:style w:type="character" w:styleId="1150" w:customStyle="1">
    <w:name w:val="Heading 1 Char"/>
    <w:basedOn w:val="1060"/>
    <w:uiPriority w:val="9"/>
    <w:qFormat/>
    <w:rPr>
      <w:rFonts w:ascii="Arial" w:hAnsi="Arial" w:eastAsia="Arial" w:cs="Arial"/>
      <w:sz w:val="40"/>
      <w:szCs w:val="40"/>
    </w:rPr>
  </w:style>
  <w:style w:type="character" w:styleId="1151" w:customStyle="1">
    <w:name w:val="Heading 2 Char"/>
    <w:basedOn w:val="1060"/>
    <w:uiPriority w:val="9"/>
    <w:qFormat/>
    <w:rPr>
      <w:rFonts w:ascii="Arial" w:hAnsi="Arial" w:eastAsia="Arial" w:cs="Arial"/>
      <w:sz w:val="34"/>
    </w:rPr>
  </w:style>
  <w:style w:type="character" w:styleId="1152" w:customStyle="1">
    <w:name w:val="Heading 3 Char"/>
    <w:basedOn w:val="1060"/>
    <w:uiPriority w:val="9"/>
    <w:qFormat/>
    <w:rPr>
      <w:rFonts w:ascii="Arial" w:hAnsi="Arial" w:eastAsia="Arial" w:cs="Arial"/>
      <w:sz w:val="30"/>
      <w:szCs w:val="30"/>
    </w:rPr>
  </w:style>
  <w:style w:type="character" w:styleId="1153" w:customStyle="1">
    <w:name w:val="Heading 4 Char"/>
    <w:basedOn w:val="1060"/>
    <w:uiPriority w:val="9"/>
    <w:qFormat/>
    <w:rPr>
      <w:rFonts w:ascii="Arial" w:hAnsi="Arial" w:eastAsia="Arial" w:cs="Arial"/>
      <w:b/>
      <w:bCs/>
      <w:sz w:val="26"/>
      <w:szCs w:val="26"/>
    </w:rPr>
  </w:style>
  <w:style w:type="character" w:styleId="1154" w:customStyle="1">
    <w:name w:val="Heading 5 Char"/>
    <w:basedOn w:val="1060"/>
    <w:uiPriority w:val="9"/>
    <w:qFormat/>
    <w:rPr>
      <w:rFonts w:ascii="Arial" w:hAnsi="Arial" w:eastAsia="Arial" w:cs="Arial"/>
      <w:b/>
      <w:bCs/>
      <w:sz w:val="24"/>
      <w:szCs w:val="24"/>
    </w:rPr>
  </w:style>
  <w:style w:type="character" w:styleId="1155" w:customStyle="1">
    <w:name w:val="Heading 6 Char"/>
    <w:basedOn w:val="1060"/>
    <w:uiPriority w:val="9"/>
    <w:qFormat/>
    <w:rPr>
      <w:rFonts w:ascii="Arial" w:hAnsi="Arial" w:eastAsia="Arial" w:cs="Arial"/>
      <w:b/>
      <w:bCs/>
      <w:sz w:val="22"/>
      <w:szCs w:val="22"/>
    </w:rPr>
  </w:style>
  <w:style w:type="character" w:styleId="1156" w:customStyle="1">
    <w:name w:val="Heading 7 Char"/>
    <w:basedOn w:val="1060"/>
    <w:uiPriority w:val="9"/>
    <w:qFormat/>
    <w:rPr>
      <w:rFonts w:ascii="Arial" w:hAnsi="Arial" w:eastAsia="Arial" w:cs="Arial"/>
      <w:b/>
      <w:bCs/>
      <w:i/>
      <w:iCs/>
      <w:sz w:val="22"/>
      <w:szCs w:val="22"/>
    </w:rPr>
  </w:style>
  <w:style w:type="character" w:styleId="1157" w:customStyle="1">
    <w:name w:val="Heading 8 Char"/>
    <w:basedOn w:val="1060"/>
    <w:uiPriority w:val="9"/>
    <w:qFormat/>
    <w:rPr>
      <w:rFonts w:ascii="Arial" w:hAnsi="Arial" w:eastAsia="Arial" w:cs="Arial"/>
      <w:i/>
      <w:iCs/>
      <w:sz w:val="22"/>
      <w:szCs w:val="22"/>
    </w:rPr>
  </w:style>
  <w:style w:type="character" w:styleId="1158" w:customStyle="1">
    <w:name w:val="Heading 9 Char"/>
    <w:basedOn w:val="1060"/>
    <w:uiPriority w:val="9"/>
    <w:qFormat/>
    <w:rPr>
      <w:rFonts w:ascii="Arial" w:hAnsi="Arial" w:eastAsia="Arial" w:cs="Arial"/>
      <w:i/>
      <w:iCs/>
      <w:sz w:val="21"/>
      <w:szCs w:val="21"/>
    </w:rPr>
  </w:style>
  <w:style w:type="character" w:styleId="1159" w:customStyle="1">
    <w:name w:val="Title Char"/>
    <w:basedOn w:val="1060"/>
    <w:uiPriority w:val="10"/>
    <w:qFormat/>
    <w:rPr>
      <w:sz w:val="48"/>
      <w:szCs w:val="48"/>
    </w:rPr>
  </w:style>
  <w:style w:type="character" w:styleId="1160" w:customStyle="1">
    <w:name w:val="Subtitle Char"/>
    <w:basedOn w:val="1060"/>
    <w:uiPriority w:val="11"/>
    <w:qFormat/>
    <w:rPr>
      <w:sz w:val="24"/>
      <w:szCs w:val="24"/>
    </w:rPr>
  </w:style>
  <w:style w:type="character" w:styleId="1161" w:customStyle="1">
    <w:name w:val="Quote Char"/>
    <w:uiPriority w:val="29"/>
    <w:qFormat/>
    <w:rPr>
      <w:i/>
    </w:rPr>
  </w:style>
  <w:style w:type="character" w:styleId="1162" w:customStyle="1">
    <w:name w:val="Intense Quote Char"/>
    <w:uiPriority w:val="30"/>
    <w:qFormat/>
    <w:rPr>
      <w:i/>
    </w:rPr>
  </w:style>
  <w:style w:type="character" w:styleId="1163" w:customStyle="1">
    <w:name w:val="Header Char"/>
    <w:basedOn w:val="1060"/>
    <w:uiPriority w:val="99"/>
    <w:qFormat/>
  </w:style>
  <w:style w:type="character" w:styleId="1164" w:customStyle="1">
    <w:name w:val="Caption Char"/>
    <w:uiPriority w:val="99"/>
    <w:qFormat/>
  </w:style>
  <w:style w:type="character" w:styleId="1165" w:customStyle="1">
    <w:name w:val="Footnote Text Char"/>
    <w:uiPriority w:val="99"/>
    <w:qFormat/>
    <w:rPr>
      <w:sz w:val="18"/>
    </w:rPr>
  </w:style>
  <w:style w:type="character" w:styleId="1166" w:customStyle="1">
    <w:name w:val="Endnote Text Char"/>
    <w:uiPriority w:val="99"/>
    <w:qFormat/>
    <w:rPr>
      <w:sz w:val="20"/>
    </w:rPr>
  </w:style>
  <w:style w:type="paragraph" w:styleId="1167" w:customStyle="1">
    <w:name w:val="TOC 标题111"/>
    <w:uiPriority w:val="39"/>
    <w:unhideWhenUsed/>
    <w:qFormat/>
    <w:rPr>
      <w:rFonts w:hint="default" w:ascii="Calibri" w:hAnsi="Calibri" w:eastAsia="宋体" w:cs="Times New Roman"/>
      <w:lang w:val="en-US" w:eastAsia="zh-CN" w:bidi="ar-SA"/>
    </w:rPr>
  </w:style>
  <w:style w:type="character" w:styleId="1168" w:customStyle="1">
    <w:name w:val="标题 4 字符"/>
    <w:basedOn w:val="1060"/>
    <w:link w:val="1054"/>
    <w:uiPriority w:val="9"/>
    <w:qFormat/>
    <w:rPr>
      <w:rFonts w:ascii="Arial" w:hAnsi="Arial" w:eastAsia="Arial" w:cs="Arial"/>
      <w:b/>
      <w:bCs/>
      <w:sz w:val="26"/>
      <w:szCs w:val="26"/>
    </w:rPr>
  </w:style>
  <w:style w:type="character" w:styleId="1169" w:customStyle="1">
    <w:name w:val="标题 5 字符"/>
    <w:basedOn w:val="1060"/>
    <w:link w:val="1055"/>
    <w:uiPriority w:val="9"/>
    <w:qFormat/>
    <w:rPr>
      <w:rFonts w:ascii="Arial" w:hAnsi="Arial" w:eastAsia="Arial" w:cs="Arial"/>
      <w:b/>
      <w:bCs/>
      <w:sz w:val="24"/>
      <w:szCs w:val="24"/>
    </w:rPr>
  </w:style>
  <w:style w:type="character" w:styleId="1170" w:customStyle="1">
    <w:name w:val="标题 6 字符"/>
    <w:basedOn w:val="1060"/>
    <w:link w:val="1056"/>
    <w:uiPriority w:val="9"/>
    <w:qFormat/>
    <w:rPr>
      <w:rFonts w:ascii="Arial" w:hAnsi="Arial" w:eastAsia="Arial" w:cs="Arial"/>
      <w:b/>
      <w:bCs/>
      <w:sz w:val="22"/>
      <w:szCs w:val="22"/>
    </w:rPr>
  </w:style>
  <w:style w:type="character" w:styleId="1171" w:customStyle="1">
    <w:name w:val="标题 7 字符"/>
    <w:basedOn w:val="1060"/>
    <w:link w:val="1057"/>
    <w:uiPriority w:val="9"/>
    <w:qFormat/>
    <w:rPr>
      <w:rFonts w:ascii="Arial" w:hAnsi="Arial" w:eastAsia="Arial" w:cs="Arial"/>
      <w:b/>
      <w:bCs/>
      <w:i/>
      <w:iCs/>
      <w:sz w:val="22"/>
      <w:szCs w:val="22"/>
    </w:rPr>
  </w:style>
  <w:style w:type="character" w:styleId="1172" w:customStyle="1">
    <w:name w:val="标题 8 字符"/>
    <w:basedOn w:val="1060"/>
    <w:link w:val="1058"/>
    <w:uiPriority w:val="9"/>
    <w:qFormat/>
    <w:rPr>
      <w:rFonts w:ascii="Arial" w:hAnsi="Arial" w:eastAsia="Arial" w:cs="Arial"/>
      <w:i/>
      <w:iCs/>
      <w:sz w:val="22"/>
      <w:szCs w:val="22"/>
    </w:rPr>
  </w:style>
  <w:style w:type="character" w:styleId="1173" w:customStyle="1">
    <w:name w:val="标题 9 字符"/>
    <w:basedOn w:val="1060"/>
    <w:link w:val="1059"/>
    <w:uiPriority w:val="9"/>
    <w:qFormat/>
    <w:rPr>
      <w:rFonts w:ascii="Arial" w:hAnsi="Arial" w:eastAsia="Arial" w:cs="Arial"/>
      <w:i/>
      <w:iCs/>
      <w:sz w:val="21"/>
      <w:szCs w:val="21"/>
    </w:rPr>
  </w:style>
  <w:style w:type="paragraph" w:styleId="1174">
    <w:name w:val="List Paragraph"/>
    <w:basedOn w:val="1050"/>
    <w:uiPriority w:val="34"/>
    <w:qFormat/>
    <w:pPr>
      <w:contextualSpacing/>
      <w:ind w:left="720"/>
    </w:pPr>
  </w:style>
  <w:style w:type="paragraph" w:styleId="1175">
    <w:name w:val="No Spacing"/>
    <w:uiPriority w:val="1"/>
    <w:qFormat/>
    <w:rPr>
      <w:rFonts w:hint="default" w:asciiTheme="minorHAnsi" w:hAnsiTheme="minorHAnsi" w:eastAsiaTheme="minorEastAsia" w:cstheme="minorBidi"/>
      <w:lang w:val="en-US" w:eastAsia="zh-CN" w:bidi="ar-SA"/>
    </w:rPr>
  </w:style>
  <w:style w:type="character" w:styleId="1176" w:customStyle="1">
    <w:name w:val="标题 字符"/>
    <w:basedOn w:val="1060"/>
    <w:link w:val="1088"/>
    <w:uiPriority w:val="10"/>
    <w:qFormat/>
    <w:rPr>
      <w:sz w:val="48"/>
      <w:szCs w:val="48"/>
    </w:rPr>
  </w:style>
  <w:style w:type="character" w:styleId="1177" w:customStyle="1">
    <w:name w:val="副标题 字符"/>
    <w:basedOn w:val="1060"/>
    <w:link w:val="1081"/>
    <w:uiPriority w:val="11"/>
    <w:qFormat/>
    <w:rPr>
      <w:sz w:val="24"/>
      <w:szCs w:val="24"/>
    </w:rPr>
  </w:style>
  <w:style w:type="paragraph" w:styleId="1178">
    <w:name w:val="Quote"/>
    <w:basedOn w:val="1050"/>
    <w:next w:val="1050"/>
    <w:link w:val="1179"/>
    <w:uiPriority w:val="29"/>
    <w:qFormat/>
    <w:pPr>
      <w:ind w:left="720" w:right="720"/>
    </w:pPr>
    <w:rPr>
      <w:i/>
    </w:rPr>
  </w:style>
  <w:style w:type="character" w:styleId="1179" w:customStyle="1">
    <w:name w:val="引用 字符"/>
    <w:link w:val="1178"/>
    <w:uiPriority w:val="29"/>
    <w:qFormat/>
    <w:rPr>
      <w:i/>
    </w:rPr>
  </w:style>
  <w:style w:type="paragraph" w:styleId="1180">
    <w:name w:val="Intense Quote"/>
    <w:basedOn w:val="1050"/>
    <w:next w:val="1050"/>
    <w:link w:val="11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1" w:customStyle="1">
    <w:name w:val="明显引用 字符"/>
    <w:link w:val="1180"/>
    <w:uiPriority w:val="30"/>
    <w:qFormat/>
    <w:rPr>
      <w:i/>
    </w:rPr>
  </w:style>
  <w:style w:type="character" w:styleId="1182" w:customStyle="1">
    <w:name w:val="页眉 字符"/>
    <w:basedOn w:val="1060"/>
    <w:link w:val="1078"/>
    <w:uiPriority w:val="99"/>
    <w:qFormat/>
  </w:style>
  <w:style w:type="character" w:styleId="1183" w:customStyle="1">
    <w:name w:val="Footer Char"/>
    <w:basedOn w:val="1060"/>
    <w:uiPriority w:val="99"/>
    <w:qFormat/>
  </w:style>
  <w:style w:type="character" w:styleId="1184" w:customStyle="1">
    <w:name w:val="页脚 字符"/>
    <w:link w:val="1077"/>
    <w:uiPriority w:val="99"/>
    <w:qFormat/>
  </w:style>
  <w:style w:type="table" w:styleId="1185" w:customStyle="1">
    <w:name w:val="Table Grid Light"/>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86" w:customStyle="1">
    <w:name w:val="Grid Table 1 Light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91" w:customStyle="1">
    <w:name w:val="Grid Table 1 Light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92" w:customStyle="1">
    <w:name w:val="Grid Table 2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93" w:customStyle="1">
    <w:name w:val="Grid Table 2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4" w:customStyle="1">
    <w:name w:val="Grid Table 2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5" w:customStyle="1">
    <w:name w:val="Grid Table 2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6" w:customStyle="1">
    <w:name w:val="Grid Table 2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7" w:customStyle="1">
    <w:name w:val="Grid Table 2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8" w:customStyle="1">
    <w:name w:val="Grid Table 3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3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4" w:customStyle="1">
    <w:name w:val="Grid Table 4 - Accent 1"/>
    <w:basedOn w:val="10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05" w:customStyle="1">
    <w:name w:val="Grid Table 4 - Accent 2"/>
    <w:basedOn w:val="10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6" w:customStyle="1">
    <w:name w:val="Grid Table 4 - Accent 3"/>
    <w:basedOn w:val="10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7" w:customStyle="1">
    <w:name w:val="Grid Table 4 - Accent 4"/>
    <w:basedOn w:val="10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8" w:customStyle="1">
    <w:name w:val="Grid Table 4 - Accent 5"/>
    <w:basedOn w:val="10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9" w:customStyle="1">
    <w:name w:val="Grid Table 4 - Accent 6"/>
    <w:basedOn w:val="10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10" w:customStyle="1">
    <w:name w:val="Grid Table 5 Dark- Accent 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1" w:customStyle="1">
    <w:name w:val="Grid Table 5 Dark - Accent 2"/>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2" w:customStyle="1">
    <w:name w:val="Grid Table 5 Dark - Accent 3"/>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3" w:customStyle="1">
    <w:name w:val="Grid Table 5 Dark- Accent 4"/>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4" w:customStyle="1">
    <w:name w:val="Grid Table 5 Dark - Accent 5"/>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5" w:customStyle="1">
    <w:name w:val="Grid Table 5 Dark - Accent 6"/>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6" w:customStyle="1">
    <w:name w:val="Grid Table 6 Colorful - Accent 1"/>
    <w:basedOn w:val="10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7" w:customStyle="1">
    <w:name w:val="Grid Table 6 Colorful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18" w:customStyle="1">
    <w:name w:val="Grid Table 6 Colorful - Accent 3"/>
    <w:basedOn w:val="10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19" w:customStyle="1">
    <w:name w:val="Grid Table 6 Colorful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20" w:customStyle="1">
    <w:name w:val="Grid Table 6 Colorful - Accent 5"/>
    <w:basedOn w:val="10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1" w:customStyle="1">
    <w:name w:val="Grid Table 6 Colorful - Accent 6"/>
    <w:basedOn w:val="10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2" w:customStyle="1">
    <w:name w:val="Grid Table 7 Colorful - Accent 1"/>
    <w:basedOn w:val="10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23" w:customStyle="1">
    <w:name w:val="Grid Table 7 Colorful - Accent 2"/>
    <w:basedOn w:val="10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4" w:customStyle="1">
    <w:name w:val="Grid Table 7 Colorful - Accent 3"/>
    <w:basedOn w:val="10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5" w:customStyle="1">
    <w:name w:val="Grid Table 7 Colorful - Accent 4"/>
    <w:basedOn w:val="10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6" w:customStyle="1">
    <w:name w:val="Grid Table 7 Colorful - Accent 5"/>
    <w:basedOn w:val="10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27" w:customStyle="1">
    <w:name w:val="Grid Table 7 Colorful - Accent 6"/>
    <w:basedOn w:val="10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28" w:customStyle="1">
    <w:name w:val="List Table 1 Light - Accent 1"/>
    <w:basedOn w:val="106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29" w:customStyle="1">
    <w:name w:val="List Table 1 Light - Accent 2"/>
    <w:basedOn w:val="106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0" w:customStyle="1">
    <w:name w:val="List Table 1 Light - Accent 3"/>
    <w:basedOn w:val="106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1" w:customStyle="1">
    <w:name w:val="List Table 1 Light - Accent 4"/>
    <w:basedOn w:val="106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2" w:customStyle="1">
    <w:name w:val="List Table 1 Light - Accent 5"/>
    <w:basedOn w:val="106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3" w:customStyle="1">
    <w:name w:val="List Table 1 Light - Accent 6"/>
    <w:basedOn w:val="106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4" w:customStyle="1">
    <w:name w:val="List Table 2 - Accent 1"/>
    <w:basedOn w:val="10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35" w:customStyle="1">
    <w:name w:val="List Table 2 - Accent 2"/>
    <w:basedOn w:val="10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36" w:customStyle="1">
    <w:name w:val="List Table 2 - Accent 3"/>
    <w:basedOn w:val="10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7" w:customStyle="1">
    <w:name w:val="List Table 2 - Accent 4"/>
    <w:basedOn w:val="10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8" w:customStyle="1">
    <w:name w:val="List Table 2 - Accent 5"/>
    <w:basedOn w:val="10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39" w:customStyle="1">
    <w:name w:val="List Table 2 - Accent 6"/>
    <w:basedOn w:val="10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0" w:customStyle="1">
    <w:name w:val="List Table 3 - Accent 1"/>
    <w:basedOn w:val="10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1" w:customStyle="1">
    <w:name w:val="List Table 3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2" w:customStyle="1">
    <w:name w:val="List Table 3 - Accent 3"/>
    <w:basedOn w:val="10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3" w:customStyle="1">
    <w:name w:val="List Table 3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44" w:customStyle="1">
    <w:name w:val="List Table 3 - Accent 5"/>
    <w:basedOn w:val="10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45" w:customStyle="1">
    <w:name w:val="List Table 3 - Accent 6"/>
    <w:basedOn w:val="10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6" w:customStyle="1">
    <w:name w:val="List Table 4 - Accent 1"/>
    <w:basedOn w:val="10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7" w:customStyle="1">
    <w:name w:val="List Table 4 - Accent 2"/>
    <w:basedOn w:val="10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48" w:customStyle="1">
    <w:name w:val="List Table 4 - Accent 3"/>
    <w:basedOn w:val="10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49" w:customStyle="1">
    <w:name w:val="List Table 4 - Accent 4"/>
    <w:basedOn w:val="10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0" w:customStyle="1">
    <w:name w:val="List Table 4 - Accent 5"/>
    <w:basedOn w:val="10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1" w:customStyle="1">
    <w:name w:val="List Table 4 - Accent 6"/>
    <w:basedOn w:val="10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2" w:customStyle="1">
    <w:name w:val="List Table 5 Dark - Accent 1"/>
    <w:basedOn w:val="10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5 Dark - Accent 2"/>
    <w:basedOn w:val="10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5 Dark - Accent 3"/>
    <w:basedOn w:val="10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4"/>
    <w:basedOn w:val="10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5"/>
    <w:basedOn w:val="10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6"/>
    <w:basedOn w:val="10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6 Colorful - Accent 1"/>
    <w:basedOn w:val="106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59" w:customStyle="1">
    <w:name w:val="List Table 6 Colorful - Accent 2"/>
    <w:basedOn w:val="106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60" w:customStyle="1">
    <w:name w:val="List Table 6 Colorful - Accent 3"/>
    <w:basedOn w:val="106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61" w:customStyle="1">
    <w:name w:val="List Table 6 Colorful - Accent 4"/>
    <w:basedOn w:val="106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62" w:customStyle="1">
    <w:name w:val="List Table 6 Colorful - Accent 5"/>
    <w:basedOn w:val="106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63" w:customStyle="1">
    <w:name w:val="List Table 6 Colorful - Accent 6"/>
    <w:basedOn w:val="106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64" w:customStyle="1">
    <w:name w:val="List Table 7 Colorful - Accent 1"/>
    <w:basedOn w:val="106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65" w:customStyle="1">
    <w:name w:val="List Table 7 Colorful - Accent 2"/>
    <w:basedOn w:val="106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6" w:customStyle="1">
    <w:name w:val="List Table 7 Colorful - Accent 3"/>
    <w:basedOn w:val="106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7" w:customStyle="1">
    <w:name w:val="List Table 7 Colorful - Accent 4"/>
    <w:basedOn w:val="106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8" w:customStyle="1">
    <w:name w:val="List Table 7 Colorful - Accent 5"/>
    <w:basedOn w:val="106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69" w:customStyle="1">
    <w:name w:val="List Table 7 Colorful - Accent 6"/>
    <w:basedOn w:val="106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70" w:customStyle="1">
    <w:name w:val="Lined - Accent"/>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1" w:customStyle="1">
    <w:name w:val="Lined - Accent 1"/>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2" w:customStyle="1">
    <w:name w:val="Lined - Accent 2"/>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3" w:customStyle="1">
    <w:name w:val="Lined - Accent 3"/>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4" w:customStyle="1">
    <w:name w:val="Lined - Accent 4"/>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75" w:customStyle="1">
    <w:name w:val="Lined - Accent 5"/>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6" w:customStyle="1">
    <w:name w:val="Lined - Accent 6"/>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7" w:customStyle="1">
    <w:name w:val="Bordered &amp; Lined - Accent"/>
    <w:basedOn w:val="10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8" w:customStyle="1">
    <w:name w:val="Bordered &amp; Lined - Accent 1"/>
    <w:basedOn w:val="10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9" w:customStyle="1">
    <w:name w:val="Bordered &amp; Lined - Accent 2"/>
    <w:basedOn w:val="10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80" w:customStyle="1">
    <w:name w:val="Bordered &amp; Lined - Accent 3"/>
    <w:basedOn w:val="10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1" w:customStyle="1">
    <w:name w:val="Bordered &amp; Lined - Accent 4"/>
    <w:basedOn w:val="10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2" w:customStyle="1">
    <w:name w:val="Bordered &amp; Lined - Accent 5"/>
    <w:basedOn w:val="10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3" w:customStyle="1">
    <w:name w:val="Bordered &amp; Lined - Accent 6"/>
    <w:basedOn w:val="10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4" w:customStyle="1">
    <w:name w:val="Bordered"/>
    <w:basedOn w:val="10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5" w:customStyle="1">
    <w:name w:val="Bordered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86" w:customStyle="1">
    <w:name w:val="Bordered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87" w:customStyle="1">
    <w:name w:val="Bordered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8" w:customStyle="1">
    <w:name w:val="Bordered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89" w:customStyle="1">
    <w:name w:val="Bordered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90" w:customStyle="1">
    <w:name w:val="Bordered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91" w:customStyle="1">
    <w:name w:val="脚注文本 字符"/>
    <w:link w:val="1082"/>
    <w:uiPriority w:val="99"/>
    <w:qFormat/>
    <w:rPr>
      <w:sz w:val="18"/>
    </w:rPr>
  </w:style>
  <w:style w:type="character" w:styleId="1292" w:customStyle="1">
    <w:name w:val="尾注文本 字符"/>
    <w:link w:val="1075"/>
    <w:uiPriority w:val="99"/>
    <w:qFormat/>
    <w:rPr>
      <w:sz w:val="20"/>
    </w:rPr>
  </w:style>
  <w:style w:type="paragraph" w:styleId="1293"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94" w:customStyle="1">
    <w:name w:val="正文文本缩进1"/>
    <w:basedOn w:val="1119"/>
    <w:next w:val="1295"/>
    <w:uiPriority w:val="0"/>
    <w:qFormat/>
    <w:pPr>
      <w:ind w:left="420"/>
      <w:spacing w:after="120"/>
    </w:pPr>
  </w:style>
  <w:style w:type="paragraph" w:styleId="1295" w:customStyle="1">
    <w:name w:val="寄信人地址1"/>
    <w:basedOn w:val="1050"/>
    <w:uiPriority w:val="0"/>
    <w:qFormat/>
    <w:rPr>
      <w:rFonts w:ascii="Arial" w:hAnsi="Arial"/>
    </w:rPr>
  </w:style>
  <w:style w:type="paragraph" w:styleId="1296" w:customStyle="1">
    <w:name w:val="标题 21"/>
    <w:basedOn w:val="1050"/>
    <w:next w:val="105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97" w:customStyle="1">
    <w:name w:val="彩色列表 - 着色 11"/>
    <w:basedOn w:val="1050"/>
    <w:uiPriority w:val="0"/>
    <w:qFormat/>
    <w:pPr>
      <w:ind w:firstLine="420"/>
    </w:pPr>
    <w:rPr>
      <w:rFonts w:ascii="Times New Roman" w:hAnsi="Times New Roman"/>
      <w:sz w:val="20"/>
    </w:rPr>
  </w:style>
  <w:style w:type="paragraph" w:styleId="1298" w:customStyle="1">
    <w:name w:val="普通(网站)1"/>
    <w:basedOn w:val="1050"/>
    <w:uiPriority w:val="99"/>
    <w:qFormat/>
    <w:pPr>
      <w:jc w:val="left"/>
      <w:spacing w:before="100" w:beforeAutospacing="1" w:after="100" w:afterAutospacing="1"/>
      <w:widowControl/>
    </w:pPr>
    <w:rPr>
      <w:rFonts w:ascii="宋体" w:hAnsi="宋体" w:cs="宋体"/>
      <w:sz w:val="24"/>
    </w:rPr>
  </w:style>
  <w:style w:type="paragraph" w:styleId="1299" w:customStyle="1">
    <w:name w:val="纯文本1"/>
    <w:basedOn w:val="1050"/>
    <w:uiPriority w:val="0"/>
    <w:qFormat/>
    <w:rPr>
      <w:rFonts w:ascii="宋体" w:hAnsi="Courier New"/>
      <w:szCs w:val="21"/>
    </w:rPr>
  </w:style>
  <w:style w:type="paragraph" w:styleId="130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_Style 2"/>
    <w:basedOn w:val="1302"/>
    <w:next w:val="1050"/>
    <w:uiPriority w:val="0"/>
    <w:qFormat/>
    <w:pPr>
      <w:jc w:val="both"/>
      <w:spacing w:line="576" w:lineRule="auto"/>
      <w:outlineLvl w:val="9"/>
    </w:pPr>
    <w:rPr>
      <w:rFonts w:ascii="Times New Roman" w:hAnsi="Times New Roman"/>
    </w:rPr>
  </w:style>
  <w:style w:type="paragraph" w:styleId="1302" w:customStyle="1">
    <w:name w:val="标题 11"/>
    <w:basedOn w:val="1050"/>
    <w:next w:val="1050"/>
    <w:uiPriority w:val="0"/>
    <w:qFormat/>
    <w:pPr>
      <w:jc w:val="center"/>
      <w:keepLines/>
      <w:keepNext/>
      <w:spacing w:before="340" w:after="330" w:line="578" w:lineRule="auto"/>
      <w:outlineLvl w:val="0"/>
    </w:pPr>
    <w:rPr>
      <w:b/>
      <w:bCs/>
      <w:sz w:val="44"/>
      <w:szCs w:val="44"/>
    </w:rPr>
  </w:style>
  <w:style w:type="paragraph" w:styleId="1303" w:customStyle="1">
    <w:name w:val="标题 31"/>
    <w:basedOn w:val="1050"/>
    <w:next w:val="1050"/>
    <w:uiPriority w:val="0"/>
    <w:qFormat/>
    <w:pPr>
      <w:keepLines/>
      <w:keepNext/>
      <w:spacing w:before="260" w:after="260" w:line="416" w:lineRule="auto"/>
      <w:outlineLvl w:val="2"/>
    </w:pPr>
    <w:rPr>
      <w:b/>
      <w:bCs/>
      <w:sz w:val="32"/>
      <w:szCs w:val="32"/>
    </w:rPr>
  </w:style>
  <w:style w:type="paragraph" w:styleId="1304" w:customStyle="1">
    <w:name w:val="标题 41"/>
    <w:basedOn w:val="1050"/>
    <w:next w:val="1050"/>
    <w:uiPriority w:val="0"/>
    <w:qFormat/>
    <w:pPr>
      <w:keepLines/>
      <w:keepNext/>
      <w:spacing w:before="280" w:after="290" w:line="372" w:lineRule="auto"/>
      <w:outlineLvl w:val="3"/>
    </w:pPr>
    <w:rPr>
      <w:rFonts w:ascii="Cambria" w:hAnsi="Cambria"/>
      <w:b/>
      <w:bCs/>
      <w:sz w:val="28"/>
      <w:szCs w:val="28"/>
    </w:rPr>
  </w:style>
  <w:style w:type="paragraph" w:styleId="1305" w:customStyle="1">
    <w:name w:val="文本块1"/>
    <w:basedOn w:val="1306"/>
    <w:uiPriority w:val="6"/>
    <w:qFormat/>
    <w:pPr>
      <w:ind w:left="256" w:right="6" w:firstLine="624"/>
    </w:pPr>
    <w:rPr>
      <w:rFonts w:eastAsia="仿宋"/>
      <w:sz w:val="28"/>
      <w:szCs w:val="20"/>
    </w:rPr>
  </w:style>
  <w:style w:type="paragraph" w:styleId="1306" w:customStyle="1">
    <w:name w:val="正文111"/>
    <w:next w:val="12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页脚1"/>
    <w:basedOn w:val="1050"/>
    <w:uiPriority w:val="0"/>
    <w:qFormat/>
    <w:pPr>
      <w:jc w:val="left"/>
      <w:tabs>
        <w:tab w:val="center" w:pos="4153" w:leader="none"/>
        <w:tab w:val="right" w:pos="8306" w:leader="none"/>
      </w:tabs>
    </w:pPr>
    <w:rPr>
      <w:sz w:val="18"/>
      <w:szCs w:val="18"/>
    </w:rPr>
  </w:style>
  <w:style w:type="paragraph" w:styleId="1308" w:customStyle="1">
    <w:name w:val="页眉1"/>
    <w:basedOn w:val="1050"/>
    <w:uiPriority w:val="0"/>
    <w:qFormat/>
    <w:pPr>
      <w:jc w:val="center"/>
      <w:tabs>
        <w:tab w:val="center" w:pos="4153" w:leader="none"/>
        <w:tab w:val="right" w:pos="8306" w:leader="none"/>
      </w:tabs>
      <w:pBdr>
        <w:bottom w:val="single" w:color="000000" w:sz="6" w:space="1"/>
      </w:pBdr>
    </w:pPr>
    <w:rPr>
      <w:sz w:val="18"/>
      <w:szCs w:val="18"/>
    </w:rPr>
  </w:style>
  <w:style w:type="character" w:styleId="1309" w:customStyle="1">
    <w:name w:val="页码1"/>
    <w:basedOn w:val="1310"/>
    <w:uiPriority w:val="0"/>
    <w:qFormat/>
    <w:rPr>
      <w:rFonts w:hint="default" w:ascii="Calibri" w:hAnsi="Calibri" w:eastAsia="宋体" w:cs="Times New Roman"/>
      <w:sz w:val="21"/>
      <w:szCs w:val="24"/>
      <w:lang w:val="en-US" w:eastAsia="zh-CN" w:bidi="ar-SA"/>
    </w:rPr>
  </w:style>
  <w:style w:type="character" w:styleId="1310" w:customStyle="1">
    <w:name w:val="默认段落字体1"/>
    <w:uiPriority w:val="0"/>
    <w:semiHidden/>
    <w:qFormat/>
  </w:style>
  <w:style w:type="character" w:styleId="1311" w:customStyle="1">
    <w:name w:val="NormalCharacter1"/>
    <w:uiPriority w:val="0"/>
    <w:semiHidden/>
    <w:qFormat/>
    <w:rPr>
      <w:sz w:val="21"/>
      <w:szCs w:val="24"/>
      <w:lang w:val="en-US" w:eastAsia="zh-CN" w:bidi="ar-SA"/>
    </w:rPr>
  </w:style>
  <w:style w:type="paragraph" w:styleId="1312" w:customStyle="1">
    <w:name w:val="Blockquote"/>
    <w:basedOn w:val="1050"/>
    <w:uiPriority w:val="0"/>
    <w:qFormat/>
    <w:pPr>
      <w:ind w:left="764" w:right="567"/>
      <w:jc w:val="left"/>
      <w:spacing w:before="100" w:after="100"/>
    </w:pPr>
    <w:rPr>
      <w:rFonts w:ascii="Times New Roman" w:hAnsi="Times New Roman"/>
      <w:sz w:val="24"/>
      <w:szCs w:val="20"/>
    </w:rPr>
  </w:style>
  <w:style w:type="character" w:styleId="1313" w:customStyle="1">
    <w:name w:val="正文文本 字符"/>
    <w:link w:val="1067"/>
    <w:uiPriority w:val="0"/>
    <w:qFormat/>
  </w:style>
  <w:style w:type="character" w:styleId="1314" w:customStyle="1">
    <w:name w:val="正文文本 字符1"/>
    <w:basedOn w:val="1060"/>
    <w:uiPriority w:val="99"/>
    <w:semiHidden/>
    <w:qFormat/>
    <w:rPr>
      <w:rFonts w:ascii="Calibri" w:hAnsi="Calibri"/>
      <w:sz w:val="21"/>
      <w:szCs w:val="24"/>
    </w:rPr>
  </w:style>
  <w:style w:type="character" w:styleId="1315" w:customStyle="1">
    <w:name w:val="批注框文本 字符"/>
    <w:basedOn w:val="1060"/>
    <w:link w:val="1076"/>
    <w:uiPriority w:val="99"/>
    <w:semiHidden/>
    <w:qFormat/>
    <w:rPr>
      <w:rFonts w:ascii="Calibri" w:hAnsi="Calibri"/>
      <w:sz w:val="18"/>
      <w:szCs w:val="18"/>
    </w:rPr>
  </w:style>
  <w:style w:type="character" w:styleId="1316" w:customStyle="1">
    <w:name w:val="批注文字 字符"/>
    <w:basedOn w:val="1060"/>
    <w:link w:val="1066"/>
    <w:uiPriority w:val="99"/>
    <w:semiHidden/>
    <w:qFormat/>
    <w:rPr>
      <w:sz w:val="21"/>
      <w:szCs w:val="24"/>
    </w:rPr>
  </w:style>
  <w:style w:type="character" w:styleId="1317" w:customStyle="1">
    <w:name w:val="批注主题 字符"/>
    <w:basedOn w:val="1316"/>
    <w:link w:val="1089"/>
    <w:uiPriority w:val="99"/>
    <w:semiHidden/>
    <w:qFormat/>
    <w:rPr>
      <w:b/>
      <w:bCs/>
      <w:sz w:val="21"/>
      <w:szCs w:val="24"/>
    </w:rPr>
  </w:style>
  <w:style w:type="paragraph" w:styleId="1318" w:customStyle="1">
    <w:name w:val="正文首行缩进1"/>
    <w:basedOn w:val="1062"/>
    <w:next w:val="1319"/>
    <w:uiPriority w:val="0"/>
    <w:qFormat/>
    <w:pPr>
      <w:ind w:firstLine="420"/>
    </w:pPr>
    <w:rPr>
      <w:szCs w:val="22"/>
    </w:rPr>
  </w:style>
  <w:style w:type="paragraph" w:styleId="1319" w:customStyle="1">
    <w:name w:val="正文首行缩进 211"/>
    <w:basedOn w:val="1320"/>
    <w:next w:val="1063"/>
    <w:uiPriority w:val="0"/>
    <w:qFormat/>
    <w:pPr>
      <w:ind w:firstLine="420"/>
    </w:pPr>
    <w:rPr>
      <w:sz w:val="24"/>
    </w:rPr>
  </w:style>
  <w:style w:type="paragraph" w:styleId="1320" w:customStyle="1">
    <w:name w:val="正文文本缩进11"/>
    <w:basedOn w:val="1063"/>
    <w:next w:val="1321"/>
    <w:uiPriority w:val="0"/>
    <w:qFormat/>
    <w:pPr>
      <w:ind w:firstLine="538"/>
    </w:pPr>
    <w:rPr>
      <w:sz w:val="28"/>
    </w:rPr>
  </w:style>
  <w:style w:type="paragraph" w:styleId="1321" w:customStyle="1">
    <w:name w:val="寄信人地址11"/>
    <w:basedOn w:val="1050"/>
    <w:uiPriority w:val="0"/>
    <w:qFormat/>
    <w:rPr>
      <w:rFonts w:ascii="Arial" w:hAnsi="Arial"/>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24</cp:revision>
  <dcterms:created xsi:type="dcterms:W3CDTF">2025-06-18T00:51:00Z</dcterms:created>
  <dcterms:modified xsi:type="dcterms:W3CDTF">2026-08-25T06:18:55Z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69D9510051F24A438574C27C3392F591_13</vt:lpwstr>
  </property>
  <property fmtid="{D5CDD505-2E9C-101B-9397-08002B2CF9AE}" pid="4" name="KSOTemplateDocerSaveRecord">
    <vt:lpwstr>eyJoZGlkIjoiNmUyNTM2OGQwZjc2MDEzYjY1NzY5Mzg1NjRkMmRmMjciLCJ1c2VySWQiOiIzMDM4NTU2ODgifQ==</vt:lpwstr>
  </property>
</Properties>
</file>