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宿迁市图书馆定制（成人）读者阅览空间家具、装具、用具设计、制作及安装采购项目</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JSZC-321300-JYGS-G2026-0019</w:t>
      </w:r>
      <w:r/>
    </w:p>
    <w:p>
      <w:pPr>
        <w:ind w:left="21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（货物类项目，专门面向中小企业）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9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宿迁市图书馆</w:t>
      </w:r>
      <w:r/>
    </w:p>
    <w:p>
      <w:pPr>
        <w:ind w:left="0" w:right="0" w:firstLine="160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建银工程咨询有限责任公司</w:t>
      </w:r>
      <w:r/>
    </w:p>
    <w:p>
      <w:pPr>
        <w:ind w:left="0" w:right="0" w:firstLine="257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9</w:t>
      </w:r>
      <w:r>
        <w:rPr>
          <w:rFonts w:ascii="SimSun" w:hAnsi="SimSun" w:eastAsia="SimSun" w:cs="SimSun"/>
          <w:b/>
          <w:color w:val="000000"/>
          <w:sz w:val="32"/>
        </w:rPr>
        <w:t xml:space="preserve">月</w:t>
      </w:r>
      <w:r>
        <w:rPr>
          <w:rFonts w:ascii="Times New Roman" w:hAnsi="Times New Roman" w:eastAsia="Times New Roman" w:cs="Times New Roman"/>
          <w:b/>
          <w:color w:val="000000"/>
          <w:sz w:val="32"/>
        </w:rPr>
        <w:t xml:space="preserve">1</w:t>
      </w:r>
      <w:r>
        <w:rPr>
          <w:rFonts w:ascii="SimSun" w:hAnsi="SimSun" w:eastAsia="SimSun" w:cs="SimSun"/>
          <w:b/>
          <w:color w:val="000000"/>
          <w:sz w:val="32"/>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w:t>
      </w:r>
      <w:r>
        <w:rPr>
          <w:rFonts w:ascii="Times New Roman" w:hAnsi="Times New Roman" w:eastAsia="Times New Roman" w:cs="Times New Roman"/>
          <w:color w:val="000000"/>
          <w:sz w:val="36"/>
        </w:rPr>
        <w:t xml:space="preserve">2</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w:t>
      </w:r>
      <w:r>
        <w:rPr>
          <w:rFonts w:ascii="Times New Roman" w:hAnsi="Times New Roman" w:eastAsia="Times New Roman" w:cs="Times New Roman"/>
          <w:color w:val="000000"/>
          <w:sz w:val="36"/>
        </w:rPr>
        <w:t xml:space="preserve">6</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rPr>
          <w:rFonts w:ascii="Times New Roman" w:hAnsi="Times New Roman" w:eastAsia="Times New Roman" w:cs="Times New Roman"/>
          <w:color w:val="000000"/>
          <w:sz w:val="36"/>
        </w:rPr>
        <w:t xml:space="preserve">25</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rPr>
          <w:rFonts w:ascii="Times New Roman" w:hAnsi="Times New Roman" w:eastAsia="Times New Roman" w:cs="Times New Roman"/>
          <w:color w:val="000000"/>
          <w:sz w:val="36"/>
        </w:rPr>
        <w:t xml:space="preserve">32</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rPr>
          <w:rFonts w:ascii="Times New Roman" w:hAnsi="Times New Roman" w:eastAsia="Times New Roman" w:cs="Times New Roman"/>
          <w:color w:val="000000"/>
          <w:sz w:val="36"/>
        </w:rPr>
        <w:t xml:space="preserve">59</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rPr>
          <w:rFonts w:ascii="Times New Roman" w:hAnsi="Times New Roman" w:eastAsia="Times New Roman" w:cs="Times New Roman"/>
          <w:color w:val="000000"/>
          <w:sz w:val="36"/>
        </w:rPr>
        <w:t xml:space="preserve">67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宿迁市图书馆</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的委托，</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建银工程咨询有限责任公司</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就</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宿迁市图书馆定制（成人）读者阅览空间家具、装具、用具设计、制作及安装采购项目</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项目编号：</w:t>
      </w:r>
      <w:r>
        <w:rPr>
          <w:rFonts w:ascii="Times New Roman" w:hAnsi="Times New Roman" w:eastAsia="Times New Roman" w:cs="Times New Roman"/>
          <w:color w:val="000000"/>
          <w:sz w:val="24"/>
          <w:u w:val="single"/>
        </w:rPr>
        <w:t xml:space="preserve">JSZC-321300-JYGS-G2026-0019 ])</w:t>
      </w:r>
      <w:r>
        <w:rPr>
          <w:rFonts w:ascii="SimSun" w:hAnsi="SimSun" w:eastAsia="SimSun" w:cs="SimSun"/>
          <w:color w:val="000000"/>
          <w:sz w:val="24"/>
        </w:rPr>
        <w:t xml:space="preserve">项目进行公开招标采购，欢迎符合条件的投标人投标。</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（宿迁市图书馆定制（成人）读者阅览空间家具、装具、用具设计、制作及安装采购项目</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招标项目的潜在投标人应在“苏采云“系统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 http://jszfcg.jsczt.cn/)</w:t>
      </w:r>
      <w:r>
        <w:rPr>
          <w:rFonts w:ascii="SimSun" w:hAnsi="SimSun" w:eastAsia="SimSun" w:cs="SimSun"/>
          <w:color w:val="000000"/>
          <w:sz w:val="24"/>
        </w:rPr>
        <w:t xml:space="preserve">获取招标文件，并于</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24</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pStyle w:val="646"/>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JSZC-321300-JYGS-G2026-0019</w:t>
      </w:r>
      <w:r>
        <w:rPr>
          <w:rFonts w:ascii="SimSun" w:hAnsi="SimSun" w:eastAsia="SimSun" w:cs="SimSun"/>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项目名称：宿迁市图书馆定制（成人）读者阅览空间家具、装具、用具设计、制作及安装采购项目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640</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w:t>
      </w:r>
      <w:r>
        <w:rPr>
          <w:rFonts w:ascii="SimSun" w:hAnsi="SimSun" w:eastAsia="SimSun" w:cs="SimSun"/>
          <w:color w:val="000000"/>
          <w:sz w:val="24"/>
          <w:u w:val="single"/>
        </w:rPr>
        <w:t xml:space="preserve">设定</w:t>
      </w:r>
      <w:r>
        <w:rPr>
          <w:rFonts w:ascii="SimSun" w:hAnsi="SimSun" w:eastAsia="SimSun" w:cs="SimSun"/>
          <w:color w:val="000000"/>
          <w:sz w:val="24"/>
        </w:rPr>
        <w:t xml:space="preserve">最高限价，最高限价为</w:t>
      </w:r>
      <w:r>
        <w:rPr>
          <w:rFonts w:ascii="Times New Roman" w:hAnsi="Times New Roman" w:eastAsia="Times New Roman" w:cs="Times New Roman"/>
          <w:color w:val="000000"/>
          <w:sz w:val="24"/>
          <w:u w:val="single"/>
        </w:rPr>
        <w:t xml:space="preserve">640</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w:t>
      </w:r>
      <w:r>
        <w:rPr>
          <w:rFonts w:ascii="SimSun" w:hAnsi="SimSun" w:eastAsia="SimSun" w:cs="SimSun"/>
          <w:color w:val="000000"/>
          <w:sz w:val="24"/>
          <w:highlight w:val="white"/>
        </w:rPr>
        <w:t xml:space="preserve">本次成人空间家具、装具及用具款式采用整体空间个性化设计与定制，主要采购包括适合成人读者使用的家具、装具用具、图书存放、阅读自修等</w:t>
      </w:r>
      <w:r>
        <w:rPr>
          <w:rFonts w:ascii="SimSun" w:hAnsi="SimSun" w:eastAsia="SimSun" w:cs="SimSun"/>
          <w:color w:val="000000"/>
          <w:sz w:val="24"/>
        </w:rPr>
        <w:t xml:space="preserve">用品定制、运输、装卸、安装、调试及售后三包服务等（详细内容见本招标文件第四章）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合同履行期限：合同生效之日起</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日历天内完成定制生产、安装、调试、检测并经验收合格后交付甲方使用（含二次搬运费）。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w:t>
      </w:r>
      <w:r/>
    </w:p>
    <w:p>
      <w:pPr>
        <w:pStyle w:val="646"/>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项条件（按要求提供投标声明及承诺函）。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落实政府采购政策需满足的资格要求：本项目属于专门面向中小企业采购的项目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投标人应为中小微企业、监狱企业、残疾人福利性单位。（须提供中小企业声明函或残疾人福利性单位声明函，或监狱企业证明文件）。非中小型企业参与本项目投标，将作无效标处理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pStyle w:val="64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9:00</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方式：投标人应在招标文件提供的时间内，通过“苏采云”系统（网址：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“采购项目”菜单中，找到本项目获取采购文件（后缀名为“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本项目共分一个包。投标人参与多个包投标的，应按包分别获取招标文件。投标人未按要求获取招标文件导致无法投标的，后果自负（其投标文件不予接受）。</w:t>
      </w:r>
      <w:r/>
    </w:p>
    <w:p>
      <w:pPr>
        <w:pStyle w:val="64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提交投标文件截止时间、开标时间：</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24</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pStyle w:val="64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个工作日。招标公告发布媒体：宿迁市政府采购网、江苏省财政部门指定的媒体。</w:t>
      </w:r>
      <w:r/>
    </w:p>
    <w:p>
      <w:pPr>
        <w:pStyle w:val="64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财政部门监督电话：</w:t>
      </w:r>
      <w:r>
        <w:rPr>
          <w:rFonts w:ascii="Times New Roman" w:hAnsi="Times New Roman" w:eastAsia="Times New Roman" w:cs="Times New Roman"/>
          <w:color w:val="000000"/>
          <w:sz w:val="24"/>
        </w:rPr>
        <w:t xml:space="preserve">0527-84363063</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”数字证书办理：“苏采云”系统目前仅支持“苏采云”系统下的意源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18351098172</w:t>
      </w:r>
      <w:r>
        <w:rPr>
          <w:rFonts w:ascii="SimSun" w:hAnsi="SimSun" w:eastAsia="SimSun" w:cs="SimSun"/>
          <w:color w:val="000000"/>
          <w:sz w:val="24"/>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宿迁地区“苏采云”技术支持客服电话：</w:t>
      </w:r>
      <w:r>
        <w:rPr>
          <w:rFonts w:ascii="Times New Roman" w:hAnsi="Times New Roman" w:eastAsia="Times New Roman" w:cs="Times New Roman"/>
          <w:color w:val="000000"/>
          <w:sz w:val="24"/>
        </w:rPr>
        <w:t xml:space="preserve">0527-84225125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0519-86722806</w:t>
      </w:r>
      <w:r>
        <w:rPr>
          <w:rFonts w:ascii="SimSun" w:hAnsi="SimSun" w:eastAsia="SimSun" w:cs="SimSun"/>
          <w:color w:val="000000"/>
          <w:sz w:val="24"/>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如果投标人通过苏采云系统参与政府采购项目，相关操作手册详见链接：</w:t>
      </w:r>
      <w:r>
        <w:rPr>
          <w:rFonts w:ascii="Times New Roman" w:hAnsi="Times New Roman" w:eastAsia="Times New Roman" w:cs="Times New Roman"/>
          <w:color w:val="000000"/>
          <w:spacing w:val="-6"/>
          <w:sz w:val="24"/>
        </w:rPr>
        <w:t xml:space="preserve">http://www.ccgp-jiangsu.gov.cn/jiangsu/zlxz/ee/ee3a4bc5a3454aa2b0d9312230633ce9.html</w:t>
      </w:r>
      <w:r>
        <w:rPr>
          <w:rFonts w:ascii="SimSun" w:hAnsi="SimSun" w:eastAsia="SimSun" w:cs="SimSun"/>
          <w:color w:val="000000"/>
          <w:spacing w:val="-6"/>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现场勘察及答疑：本项目不组织集中勘察及答疑，投标人如对采购需求有疑问，请咨询采购单位联系人。</w:t>
      </w:r>
      <w:r/>
    </w:p>
    <w:p>
      <w:pPr>
        <w:pStyle w:val="64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宿迁市图书馆</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宿迁市宿城区太湖路</w:t>
      </w:r>
      <w:r>
        <w:rPr>
          <w:rFonts w:ascii="Times New Roman" w:hAnsi="Times New Roman" w:eastAsia="Times New Roman" w:cs="Times New Roman"/>
          <w:color w:val="000000"/>
          <w:sz w:val="24"/>
          <w:u w:val="single"/>
        </w:rPr>
        <w:t xml:space="preserve">69</w:t>
      </w:r>
      <w:r>
        <w:rPr>
          <w:rFonts w:ascii="SimSun" w:hAnsi="SimSun" w:eastAsia="SimSun" w:cs="SimSun"/>
          <w:color w:val="000000"/>
          <w:sz w:val="24"/>
          <w:u w:val="single"/>
        </w:rPr>
        <w:t xml:space="preserve">号</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王景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0527-84666609</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采购代理机构信息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建银工程咨询有限责任公司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宿迁市宿城区黄河路</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号（建设银行院内东附属楼</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沈鹏程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15250968568</w:t>
      </w:r>
      <w:r/>
    </w:p>
    <w:p>
      <w:pPr>
        <w:pStyle w:val="64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有关本次招标的事项若存在变动或修改，敬请及时关注“宿迁市政府采购网”等平台更正公告。</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本次招标不收取投标保证金。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4"/>
        <w:ind w:left="0" w:right="0" w:firstLine="2429"/>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pStyle w:val="644"/>
        <w:ind w:left="0" w:right="0" w:firstLine="643"/>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投标人须知前附表：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8"/>
        <w:gridCol w:w="1772"/>
        <w:gridCol w:w="6580"/>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种确定：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货物采购；</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服务采购；</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“苏采云”政府采购交易系统网上开标大厅进行不见面开标。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种方式确定：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接受进口产品。应当符合《政府采购进口产品管理办法》（财库〔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号）等相关规定；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具体评标办法详见招标文件第五章。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评标委员会依据招标文件规定的评标办法和标准推荐</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采购人按规定在评标委员会推荐的中标候选人中确定中标人。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本项目的非主体、非关键性工作是否允许分包</w:t>
            </w: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  2  </w:t>
            </w:r>
            <w:r>
              <w:rPr>
                <w:rFonts w:ascii="SimSun" w:hAnsi="SimSun" w:eastAsia="SimSun" w:cs="SimSun"/>
                <w:color w:val="000000"/>
                <w:sz w:val="24"/>
              </w:rPr>
              <w:t xml:space="preserve">种方式确定：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参照计价格【</w:t>
            </w:r>
            <w:r>
              <w:rPr>
                <w:rFonts w:ascii="Times New Roman" w:hAnsi="Times New Roman" w:eastAsia="Times New Roman" w:cs="Times New Roman"/>
                <w:color w:val="000000"/>
                <w:sz w:val="24"/>
                <w:u w:val="single"/>
              </w:rPr>
              <w:t xml:space="preserve">2002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1980</w:t>
            </w:r>
            <w:r>
              <w:rPr>
                <w:rFonts w:ascii="SimSun" w:hAnsi="SimSun" w:eastAsia="SimSun" w:cs="SimSun"/>
                <w:color w:val="000000"/>
                <w:sz w:val="24"/>
                <w:u w:val="single"/>
              </w:rPr>
              <w:t xml:space="preserve">号文标准</w:t>
            </w:r>
            <w:r>
              <w:rPr>
                <w:rFonts w:ascii="Times New Roman" w:hAnsi="Times New Roman" w:eastAsia="Times New Roman" w:cs="Times New Roman"/>
                <w:color w:val="000000"/>
                <w:sz w:val="24"/>
                <w:u w:val="single"/>
              </w:rPr>
              <w:t xml:space="preserve">*45%</w:t>
            </w:r>
            <w:r>
              <w:rPr>
                <w:rFonts w:ascii="SimSun" w:hAnsi="SimSun" w:eastAsia="SimSun" w:cs="SimSun"/>
                <w:color w:val="000000"/>
                <w:sz w:val="24"/>
                <w:u w:val="single"/>
              </w:rPr>
              <w:t xml:space="preserve">，支付方式可以通过转账或数字人民币等方式。</w:t>
            </w:r>
            <w:r/>
          </w:p>
        </w:tc>
      </w:tr>
      <w:tr>
        <w:trPr>
          <w:trHeight w:val="13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不接受备选的投标方案或有选择的报价，只允许有一个报价。投标报价内容包括：货款、定制（设计）家具效果图、产品检测费（含甲方抽检费用）、空气（环境）检测费、补货费（如破坏性检测后重新供货的产品）、标准附件、备品备件、专用工具、包装、运输（含二次搬运费）、装卸、保险、税金、货到就位以及安装、调试、培训、保修等完成本项目所涉及到的一切相关费用完成本项目所涉及到的一切相关费用。</w:t>
            </w:r>
            <w:r/>
          </w:p>
          <w:p>
            <w:pPr>
              <w:ind w:left="0" w:right="0" w:firstLine="0"/>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履约保证金：按采购合同总价的</w:t>
            </w:r>
            <w:r>
              <w:rPr>
                <w:rFonts w:ascii="Times New Roman" w:hAnsi="Times New Roman" w:eastAsia="Times New Roman" w:cs="Times New Roman"/>
                <w:color w:val="000000"/>
                <w:sz w:val="24"/>
                <w:u w:val="single"/>
              </w:rPr>
              <w:t xml:space="preserve"> 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计取（备注：如使用江苏政府采购电子履约保函（保险）代替缴纳履约保证金的，按采购合同总价的</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计取）</w:t>
            </w:r>
            <w:r/>
          </w:p>
        </w:tc>
      </w:tr>
    </w:tbl>
    <w:p>
      <w:pPr>
        <w:pStyle w:val="64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6"/>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本次招标采取公开招标方式，本招标文件仅适用于招标公告中所述项目。</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满足本文件实质性要求和条件的规定。</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Hei" w:hAnsi="SimHei" w:eastAsia="SimHei" w:cs="SimHei"/>
          <w:color w:val="000000"/>
          <w:sz w:val="28"/>
        </w:rPr>
        <w:t xml:space="preserve">、适用法律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本次招标及由此产生的合同受中华人民共和国有关的法律法规制约和保护。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在本项目政府采购活动过程中，如果所执行的标准有更新的，按照最新标准执行。</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投标人应自行承担所有与参加投标有关的费用，无论投标过程中的做法和结果如何，</w:t>
      </w:r>
      <w:r>
        <w:rPr>
          <w:rFonts w:ascii="SimSun" w:hAnsi="SimSun" w:eastAsia="SimSun" w:cs="SimSun"/>
          <w:color w:val="000000"/>
          <w:sz w:val="24"/>
          <w:u w:val="single"/>
        </w:rPr>
        <w:t xml:space="preserve">建银工程咨询有限责任公司</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代理费用收取方式及标准：按以下第</w:t>
      </w:r>
      <w:r>
        <w:rPr>
          <w:rFonts w:ascii="Times New Roman" w:hAnsi="Times New Roman" w:eastAsia="Times New Roman" w:cs="Times New Roman"/>
          <w:color w:val="000000"/>
          <w:sz w:val="24"/>
          <w:u w:val="single"/>
        </w:rPr>
        <w:t xml:space="preserve">4.2.2</w:t>
      </w:r>
      <w:r>
        <w:rPr>
          <w:rFonts w:ascii="SimSun" w:hAnsi="SimSun" w:eastAsia="SimSun" w:cs="SimSun"/>
          <w:color w:val="000000"/>
          <w:sz w:val="24"/>
        </w:rPr>
        <w:t xml:space="preserve"> 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w:t>
      </w:r>
      <w:r>
        <w:rPr>
          <w:rFonts w:ascii="SimSun" w:hAnsi="SimSun" w:eastAsia="SimSun" w:cs="SimSun"/>
          <w:color w:val="000000"/>
          <w:sz w:val="24"/>
        </w:rPr>
        <w:t xml:space="preserve">无需支付；</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采购人支付，具体方式及标准为：</w:t>
      </w:r>
      <w:r>
        <w:rPr>
          <w:rFonts w:ascii="SimSun" w:hAnsi="SimSun" w:eastAsia="SimSun" w:cs="SimSun"/>
          <w:color w:val="000000"/>
          <w:sz w:val="24"/>
          <w:u w:val="single"/>
        </w:rPr>
        <w:t xml:space="preserve">参照计价格【</w:t>
      </w:r>
      <w:r>
        <w:rPr>
          <w:rFonts w:ascii="Times New Roman" w:hAnsi="Times New Roman" w:eastAsia="Times New Roman" w:cs="Times New Roman"/>
          <w:color w:val="000000"/>
          <w:sz w:val="24"/>
          <w:u w:val="single"/>
        </w:rPr>
        <w:t xml:space="preserve">2002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1980</w:t>
      </w:r>
      <w:r>
        <w:rPr>
          <w:rFonts w:ascii="SimSun" w:hAnsi="SimSun" w:eastAsia="SimSun" w:cs="SimSun"/>
          <w:color w:val="000000"/>
          <w:sz w:val="24"/>
          <w:u w:val="single"/>
        </w:rPr>
        <w:t xml:space="preserve">号文标准</w:t>
      </w:r>
      <w:r>
        <w:rPr>
          <w:rFonts w:ascii="Times New Roman" w:hAnsi="Times New Roman" w:eastAsia="Times New Roman" w:cs="Times New Roman"/>
          <w:color w:val="000000"/>
          <w:sz w:val="24"/>
          <w:u w:val="single"/>
        </w:rPr>
        <w:t xml:space="preserve">*45%</w:t>
      </w:r>
      <w:r>
        <w:rPr>
          <w:rFonts w:ascii="SimSun" w:hAnsi="SimSun" w:eastAsia="SimSun" w:cs="SimSun"/>
          <w:color w:val="000000"/>
          <w:sz w:val="24"/>
          <w:u w:val="single"/>
        </w:rPr>
        <w:t xml:space="preserve">，支付方式可以通过转账或数字人民币等方式。</w:t>
      </w:r>
      <w:r/>
    </w:p>
    <w:p>
      <w:pPr>
        <w:pStyle w:val="648"/>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5</w:t>
      </w:r>
      <w:r>
        <w:rPr>
          <w:rFonts w:ascii="SimHei" w:hAnsi="SimHei" w:eastAsia="SimHei" w:cs="SimHei"/>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投标人一旦参加本项目采购活动，即被认为接受了本招标文件的规定和约束。</w:t>
      </w:r>
      <w:r/>
    </w:p>
    <w:p>
      <w:pPr>
        <w:pStyle w:val="646"/>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招标文件由以下部分组成：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）评标方法与评标标准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在投标截止时间前，采购代理机构可以对招标文件进行修改。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采购代理机构有权按照法定的要求推迟投标截止日期和开标日期。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招标文件的修改将在原公告媒体上发布更正公告，补充文件将作为招标文件的组成部分，并对投标人具有约束力，发布的更正公告视同为以书面形式通知所有获取招标文件的潜在投标人。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646"/>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除技术性能另有规定外，投标文件所使用的度量衡单位，均须采用国家法定计量单位。</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投标人编写的投标文件应包括资格证明文件、符合性证明文件、投标分项报价表、响应及偏离表、其他证明文件、开标一览表等部分。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如标书制作工具中格式和内容与“宿迁市政府采购网”发布的招标文件不一致，请以“宿迁市政府采购网”发布的招标文件为准。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中标后按相关要求提供与电子投标文件一致的纸质打印投标文件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份。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）无论何种原因，即使投标人开标时携带了证书证明资料的原件，但电子投标文件中未包含相关资料电子件的，评委会可以视同其未提供。</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招标文件对证明文件无明确形式要求的，证明文件可以以文字资料、图纸和数据等形式提交。</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投标人应按照招标文件规定格式填报投标分项报价表。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投标报价内容包括：货款、定制（设计）家具效果图、产品检测费（含甲方抽检费用）、空气（环境）检测费、补货费（如破坏性检测后重新供货的产品）、标准附件、备品备件、专用工具、包装、运输（含二次搬运费）、装卸、保险、税金、货到就位以及安装、调试、培训、保修等完成本项目所涉及到的一切相关费用完成本项目所涉及到的一切相关费用。</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13.1投标人需对招标文件中的技术要求与商务要求作出响应或偏离，并说明原因。</w:t>
      </w:r>
      <w:r/>
    </w:p>
    <w:p>
      <w:pPr>
        <w:ind w:left="0" w:right="0" w:firstLine="480"/>
        <w:jc w:val="both"/>
        <w:spacing w:before="0" w:after="0" w:line="55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、服务承诺、培训计划、人员安排及其他（如有）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投标人需根据招标文件要求提供培训计划。</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投标人需根据招标文件要求提供所投标的的主要组成部分、功能设计、实现思路及关键技术等。</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、投标声明及承诺函和开标一览表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投标人应按照招标文件中提供的格式完整、正确填写投标声明及承诺函、开标一览表。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投标有效期为开标之日后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中标人的投标文件作为项目合同的附件，其有效期至中标人全部合同义务履行完毕为止。 </w:t>
      </w:r>
      <w:r/>
    </w:p>
    <w:p>
      <w:pPr>
        <w:pStyle w:val="646"/>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、投标文件的递交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投标人通过“苏采云”系统不见面开标大厅在线参与开标活动。（具体操作详见《“苏采云”系统投标人操作手册》，网址链接</w:t>
      </w:r>
      <w:r>
        <w:rPr>
          <w:rFonts w:ascii="Times New Roman" w:hAnsi="Times New Roman" w:eastAsia="Times New Roman" w:cs="Times New Roman"/>
          <w:color w:val="000000"/>
          <w:sz w:val="22"/>
        </w:rPr>
        <w:t xml:space="preserve">http://www.ccgp-jiangsu.gov.cn//webfile/jiangsu/202311/1699268553318052447.pdf</w:t>
      </w:r>
      <w:r>
        <w:rPr>
          <w:rFonts w:ascii="SimSun" w:hAnsi="SimSun" w:eastAsia="SimSun" w:cs="SimSun"/>
          <w:color w:val="000000"/>
          <w:sz w:val="22"/>
        </w:rPr>
        <w:t xml:space="preserve">）</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19</w:t>
      </w:r>
      <w:r>
        <w:rPr>
          <w:rFonts w:ascii="SimHei" w:hAnsi="SimHei" w:eastAsia="SimHei" w:cs="SimHei"/>
          <w:b/>
          <w:color w:val="000000"/>
          <w:sz w:val="28"/>
        </w:rPr>
        <w:t xml:space="preserve">、投标截止时间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投标人上传电子投标文件的时间不得迟于招标公告中规定的投标截止时间。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Hei" w:hAnsi="SimHei" w:eastAsia="SimHei" w:cs="SimHei"/>
          <w:color w:val="000000"/>
          <w:sz w:val="28"/>
        </w:rPr>
        <w:t xml:space="preserve">、投标文件的拒收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采购代理机构拒绝接收在其规定的投标截止时间后上传的任何投标文件。</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Hei" w:hAnsi="SimHei" w:eastAsia="SimHei" w:cs="SimHei"/>
          <w:color w:val="000000"/>
          <w:sz w:val="28"/>
        </w:rPr>
        <w:t xml:space="preserve">、投标文件的撤回和修改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电子投标文件的撤回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21.1.2</w:t>
      </w:r>
      <w:r>
        <w:rPr>
          <w:rFonts w:ascii="SimSun" w:hAnsi="SimSun" w:eastAsia="SimSun" w:cs="SimSun"/>
          <w:color w:val="000000"/>
          <w:sz w:val="24"/>
        </w:rPr>
        <w:t xml:space="preserve">投标人撤回电子投标文件，则认为其不再参与本项目投标活动。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投标文件的修改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投标人可在投标截止时间前，对其电子投标文件进行修改，具体操作方法见《操作手册》。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在投标截止时间之后，投标人不得对其电子投标文件作任何修改。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在投标截止时间至招标文件中规定的投标有效期满之间的这段时间内，投标人不得撤回其投标。</w:t>
      </w:r>
      <w:r/>
    </w:p>
    <w:p>
      <w:pPr>
        <w:pStyle w:val="646"/>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Hei" w:hAnsi="SimHei" w:eastAsia="SimHei" w:cs="SimHei"/>
          <w:color w:val="000000"/>
          <w:sz w:val="28"/>
        </w:rPr>
        <w:t xml:space="preserve">、开标</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采购代理机构将在招标公告中规定的时间和地点组织公开开标。投标人应当按照《“苏采云”系统供应商操作手册》规定，参加开标活动和在“苏采云”系统规定的时间内对投标文件进行解密。</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投标人在开标过程中涉及到的投标文件解密、开标结果确认等工作，应按照《操作手册》规定执行。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22.4</w:t>
      </w:r>
      <w:r>
        <w:rPr>
          <w:rFonts w:ascii="SimSun" w:hAnsi="SimSun" w:eastAsia="SimSun" w:cs="SimSun"/>
          <w:color w:val="000000"/>
          <w:sz w:val="24"/>
        </w:rPr>
        <w:t xml:space="preserve">投标人如果对开标过程和开标记录有疑义，应当根据《操作手册》规定提出，如“苏采云”系统中《开标记录表》宣布后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、评标委员会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开标后，采购代理机构将立即组织评标委员会（以下简称评委会）进行评标。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评委会由采购人代表和有关技术、经济等方面的专家组成，且人员构成符合政府采购有关规定。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评委会独立工作，负责评审所有投标文件并确定中标侯选人。</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Hei" w:hAnsi="SimHei" w:eastAsia="SimHei" w:cs="SimHei"/>
          <w:color w:val="000000"/>
          <w:sz w:val="28"/>
        </w:rPr>
        <w:t xml:space="preserve">、评标过程的保密与公正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凡是与审查、澄清、评价和比较投标的有关资料以及授标建议等，采购人、评委、采购代理机构均不得向投标人或与评标无关的其他人员透露。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采购代理机构和评委会不向未中标的投标人解释未中标原因，也不公布评标过程中的相关细节。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24.4</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Hei" w:hAnsi="SimHei" w:eastAsia="SimHei" w:cs="SimHei"/>
          <w:color w:val="000000"/>
          <w:sz w:val="28"/>
        </w:rPr>
        <w:t xml:space="preserve">、投标文件的澄清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评标期间，评委会对投标文件中含义不明确、同类问题表述不一致或者有明显文字和计算错误的内容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，有权要求投标人作出必要的澄清、说明或者补正。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电子公章。澄清、说明和补正的内容作为投标文件的补充部分，具体操作方式见《操作手册》。</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w:t>
      </w:r>
      <w:r>
        <w:rPr>
          <w:rFonts w:ascii="SimSun" w:hAnsi="SimSun" w:eastAsia="SimSun" w:cs="SimSun"/>
          <w:color w:val="000000"/>
          <w:sz w:val="24"/>
        </w:rPr>
        <w:t xml:space="preserve">接到评委会澄清、说明和补正要求的投标人如未按规定做出澄清、说明和补正，其风险由投标人自行承担。</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Hei" w:hAnsi="SimHei" w:eastAsia="SimHei" w:cs="SimHei"/>
          <w:color w:val="000000"/>
          <w:sz w:val="28"/>
        </w:rPr>
        <w:t xml:space="preserve">、对投标文件的初审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投标文件初审分为资格审查和符合性审查。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w:t>
      </w:r>
      <w:r>
        <w:rPr>
          <w:rFonts w:ascii="SimSun" w:hAnsi="SimSun" w:eastAsia="SimSun" w:cs="SimSun"/>
          <w:color w:val="000000"/>
          <w:sz w:val="24"/>
        </w:rPr>
        <w:t xml:space="preserve">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）查询投标人的信用记录，以确定投标人是否具备投标资格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联合体成员存在不良信用记录的，视同联合体存在不良应用记录。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w:t>
      </w:r>
      <w:r>
        <w:rPr>
          <w:rFonts w:ascii="SimSun" w:hAnsi="SimSun" w:eastAsia="SimSun" w:cs="SimSun"/>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26.7</w:t>
      </w:r>
      <w:r>
        <w:rPr>
          <w:rFonts w:ascii="SimSun" w:hAnsi="SimSun" w:eastAsia="SimSun" w:cs="SimSun"/>
          <w:color w:val="000000"/>
          <w:sz w:val="24"/>
        </w:rPr>
        <w:t xml:space="preserve">投标人在开、评标全过程中应</w:t>
      </w:r>
      <w:r>
        <w:rPr>
          <w:rFonts w:ascii="FangSong" w:hAnsi="FangSong" w:eastAsia="FangSong" w:cs="FangSong"/>
          <w:color w:val="000000"/>
          <w:sz w:val="24"/>
        </w:rPr>
        <w:t xml:space="preserve">随时保持系统在线</w:t>
      </w:r>
      <w:r>
        <w:rPr>
          <w:rFonts w:ascii="SimSun" w:hAnsi="SimSun" w:eastAsia="SimSun" w:cs="SimSun"/>
          <w:color w:val="000000"/>
          <w:sz w:val="24"/>
        </w:rPr>
        <w:t xml:space="preserve">，及时在“苏采云”系统查阅、答复相关信息。</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rPr>
          <w:rFonts w:ascii="SimHei" w:hAnsi="SimHei" w:eastAsia="SimHei" w:cs="SimHei"/>
          <w:color w:val="000000"/>
          <w:sz w:val="28"/>
        </w:rPr>
        <w:t xml:space="preserve">、无效投标条款和废标条款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无效投标条款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w:t>
      </w:r>
      <w:r>
        <w:rPr>
          <w:rFonts w:ascii="SimSun" w:hAnsi="SimSun" w:eastAsia="SimSun" w:cs="SimSun"/>
          <w:color w:val="000000"/>
          <w:sz w:val="24"/>
        </w:rPr>
        <w:t xml:space="preserve">投标人在“苏采云”系统规定的时间内未成功解密电子投标文件的。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27.1.2</w:t>
      </w:r>
      <w:r>
        <w:rPr>
          <w:rFonts w:ascii="SimSun" w:hAnsi="SimSun" w:eastAsia="SimSun" w:cs="SimSun"/>
          <w:color w:val="000000"/>
          <w:sz w:val="24"/>
        </w:rPr>
        <w:t xml:space="preserve">投标人未按照招标文件要求上传电子投标文件的。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27.1.3</w:t>
      </w:r>
      <w:r>
        <w:rPr>
          <w:rFonts w:ascii="SimSun" w:hAnsi="SimSun" w:eastAsia="SimSun" w:cs="SimSun"/>
          <w:color w:val="000000"/>
          <w:sz w:val="24"/>
        </w:rPr>
        <w:t xml:space="preserve">同一投标人提交两个（含两个）以上不同的投标报价的。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27.1.4</w:t>
      </w:r>
      <w:r>
        <w:rPr>
          <w:rFonts w:ascii="SimSun" w:hAnsi="SimSun" w:eastAsia="SimSun" w:cs="SimSun"/>
          <w:color w:val="000000"/>
          <w:sz w:val="24"/>
        </w:rPr>
        <w:t xml:space="preserve">投标人不具备招标文件中规定资格要求的。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27.1.5</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27.1.6</w:t>
      </w:r>
      <w:r>
        <w:rPr>
          <w:rFonts w:ascii="SimSun" w:hAnsi="SimSun" w:eastAsia="SimSun" w:cs="SimSun"/>
          <w:color w:val="000000"/>
          <w:sz w:val="24"/>
        </w:rPr>
        <w:t xml:space="preserve">未通过符合性审查的。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27.1.7</w:t>
      </w:r>
      <w:r>
        <w:rPr>
          <w:rFonts w:ascii="SimSun" w:hAnsi="SimSun" w:eastAsia="SimSun" w:cs="SimSun"/>
          <w:color w:val="000000"/>
          <w:sz w:val="24"/>
        </w:rPr>
        <w:t xml:space="preserve">不符合招标文件中规定的实质性要求和条件的（</w:t>
      </w:r>
      <w:r>
        <w:rPr>
          <w:rFonts w:ascii="SimSun" w:hAnsi="SimSun" w:eastAsia="SimSun" w:cs="SimSun"/>
          <w:i/>
          <w:color w:val="000000"/>
          <w:sz w:val="24"/>
          <w:u w:val="single"/>
        </w:rPr>
        <w:t xml:space="preserve">加斜体下划线内容或打“★”内容为实质性要求和条件）。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27.1.8</w:t>
      </w:r>
      <w:r>
        <w:rPr>
          <w:rFonts w:ascii="SimSun" w:hAnsi="SimSun" w:eastAsia="SimSun" w:cs="SimSun"/>
          <w:color w:val="000000"/>
          <w:sz w:val="24"/>
        </w:rPr>
        <w:t xml:space="preserve">投标人被“信用中国”网站（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27.1.9</w:t>
      </w:r>
      <w:r>
        <w:rPr>
          <w:rFonts w:ascii="SimSun" w:hAnsi="SimSun" w:eastAsia="SimSun" w:cs="SimSun"/>
          <w:color w:val="000000"/>
          <w:sz w:val="24"/>
        </w:rPr>
        <w:t xml:space="preserve">投标文件含有采购人不能接受的附加条件的。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27.1.10</w:t>
      </w:r>
      <w:r>
        <w:rPr>
          <w:rFonts w:ascii="SimSun" w:hAnsi="SimSun" w:eastAsia="SimSun" w:cs="SimSun"/>
          <w:color w:val="000000"/>
          <w:sz w:val="24"/>
        </w:rPr>
        <w:t xml:space="preserve">评审过程中出现下列情形之一的，评审委员会应当启动异常低价投标（响应）审查程序：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评标委员会基于专业判断，认为供应商报价过低，有可能影响产品质量或者不能诚信履约的其他情形。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将要求相关投标人在评标现场合理的时间内，提供项目具体成本测算等与报价合理性相关的书面说明及相关证明材料，对投标（响应）价格作出解释，包括但不限于原材料成本、人工成本、制造费用等，给予相关供应商</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用于准备相关材料。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27.1.11</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27.1.12</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27.1.13</w:t>
      </w:r>
      <w:r>
        <w:rPr>
          <w:rFonts w:ascii="SimSun" w:hAnsi="SimSun" w:eastAsia="SimSun" w:cs="SimSun"/>
          <w:color w:val="000000"/>
          <w:sz w:val="24"/>
        </w:rPr>
        <w:t xml:space="preserve">其他法律、法规及本招标文件规定的属无效投标的</w:t>
      </w:r>
      <w:r>
        <w:rPr>
          <w:rFonts w:ascii="Times New Roman" w:hAnsi="Times New Roman" w:eastAsia="Times New Roman" w:cs="Times New Roman"/>
          <w:color w:val="000000"/>
          <w:sz w:val="24"/>
        </w:rPr>
        <w:t xml:space="preserve">27.2</w:t>
      </w:r>
      <w:r>
        <w:rPr>
          <w:rFonts w:ascii="SimSun" w:hAnsi="SimSun" w:eastAsia="SimSun" w:cs="SimSun"/>
          <w:color w:val="000000"/>
          <w:sz w:val="24"/>
        </w:rPr>
        <w:t xml:space="preserve">废标条款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27.2.1</w:t>
      </w:r>
      <w:r>
        <w:rPr>
          <w:rFonts w:ascii="SimSun" w:hAnsi="SimSun" w:eastAsia="SimSun" w:cs="SimSun"/>
          <w:color w:val="000000"/>
          <w:sz w:val="24"/>
        </w:rPr>
        <w:t xml:space="preserve">符合专业条件的投标人或者对招标文件作实质响应的投标人不足三家的。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27.2.2</w:t>
      </w:r>
      <w:r>
        <w:rPr>
          <w:rFonts w:ascii="SimSun" w:hAnsi="SimSun" w:eastAsia="SimSun" w:cs="SimSun"/>
          <w:color w:val="000000"/>
          <w:sz w:val="24"/>
        </w:rPr>
        <w:t xml:space="preserve">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27.2.3</w:t>
      </w:r>
      <w:r>
        <w:rPr>
          <w:rFonts w:ascii="SimSun" w:hAnsi="SimSun" w:eastAsia="SimSun" w:cs="SimSun"/>
          <w:color w:val="000000"/>
          <w:sz w:val="24"/>
        </w:rPr>
        <w:t xml:space="preserve">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27.2.4</w:t>
      </w:r>
      <w:r>
        <w:rPr>
          <w:rFonts w:ascii="SimSun" w:hAnsi="SimSun" w:eastAsia="SimSun" w:cs="SimSun"/>
          <w:color w:val="000000"/>
          <w:sz w:val="24"/>
        </w:rPr>
        <w:t xml:space="preserve">评委会认定招标文件存在歧义、重大缺陷导致评审工作无法进行。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27.2.5</w:t>
      </w:r>
      <w:r>
        <w:rPr>
          <w:rFonts w:ascii="SimSun" w:hAnsi="SimSun" w:eastAsia="SimSun" w:cs="SimSun"/>
          <w:color w:val="000000"/>
          <w:sz w:val="24"/>
        </w:rPr>
        <w:t xml:space="preserve">因“苏采云”系统系统故障原因造成开标不成功的。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w:t>
      </w:r>
      <w:r>
        <w:rPr>
          <w:rFonts w:ascii="SimSun" w:hAnsi="SimSun" w:eastAsia="SimSun" w:cs="SimSun"/>
          <w:color w:val="000000"/>
          <w:sz w:val="24"/>
        </w:rPr>
        <w:t xml:space="preserve">投标截止时间结束后参加投标的投标人不足三家的处理：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27.3.1</w:t>
      </w:r>
      <w:r>
        <w:rPr>
          <w:rFonts w:ascii="SimSun" w:hAnsi="SimSun" w:eastAsia="SimSun" w:cs="SimSun"/>
          <w:color w:val="000000"/>
          <w:sz w:val="24"/>
        </w:rPr>
        <w:t xml:space="preserve">如出现投标截止时间结束后参加投标的投标人或者在评标期间对招标文件做出实质响应的投标人不足三家情况，按政府采购相关规定执行。</w:t>
      </w:r>
      <w:r/>
    </w:p>
    <w:p>
      <w:pPr>
        <w:pStyle w:val="646"/>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28</w:t>
      </w:r>
      <w:r>
        <w:rPr>
          <w:rFonts w:ascii="SimHei" w:hAnsi="SimHei" w:eastAsia="SimHei" w:cs="SimHei"/>
          <w:b/>
          <w:color w:val="000000"/>
          <w:sz w:val="28"/>
        </w:rPr>
        <w:t xml:space="preserve">、确定中标单位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中标候选人的选取原则和数量见招标文件第五章规定。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）评委会直接确定排名第一的中标候选人为中标人；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）采购人在评委会推荐的中标候选人中按顺序确定中标人。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采购代理机构将在“宿迁市政府采购网”发布中标公告，公告期限为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28.4.1</w:t>
      </w:r>
      <w:r>
        <w:rPr>
          <w:rFonts w:ascii="SimSun" w:hAnsi="SimSun" w:eastAsia="SimSun" w:cs="SimSun"/>
          <w:color w:val="000000"/>
          <w:sz w:val="24"/>
        </w:rPr>
        <w:t xml:space="preserve">提供虚假材料谋取中标的。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28.4.4</w:t>
      </w:r>
      <w:r>
        <w:rPr>
          <w:rFonts w:ascii="SimSun" w:hAnsi="SimSun" w:eastAsia="SimSun" w:cs="SimSun"/>
          <w:color w:val="000000"/>
          <w:sz w:val="24"/>
        </w:rPr>
        <w:t xml:space="preserve">与采购人或者其他投标人恶意串通的。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28.4.5</w:t>
      </w:r>
      <w:r>
        <w:rPr>
          <w:rFonts w:ascii="SimSun" w:hAnsi="SimSun" w:eastAsia="SimSun" w:cs="SimSun"/>
          <w:color w:val="000000"/>
          <w:sz w:val="24"/>
        </w:rPr>
        <w:t xml:space="preserve">采取不正当手段诋毁、排挤其他投标人的。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28.5.1</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28.5.2</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28.5.3</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28.5.4</w:t>
      </w:r>
      <w:r>
        <w:rPr>
          <w:rFonts w:ascii="SimSun" w:hAnsi="SimSun" w:eastAsia="SimSun" w:cs="SimSun"/>
          <w:color w:val="000000"/>
          <w:sz w:val="24"/>
        </w:rPr>
        <w:t xml:space="preserve">不同投标人的投标文件异常一致或者投标报价呈规律性差异。</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29</w:t>
      </w:r>
      <w:r>
        <w:rPr>
          <w:rFonts w:ascii="SimHei" w:hAnsi="SimHei" w:eastAsia="SimHei" w:cs="SimHei"/>
          <w:b/>
          <w:color w:val="000000"/>
          <w:sz w:val="28"/>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w:t>
      </w:r>
      <w:r>
        <w:rPr>
          <w:rFonts w:ascii="SimSun" w:hAnsi="SimSun" w:eastAsia="SimSun" w:cs="SimSun"/>
          <w:color w:val="000000"/>
          <w:sz w:val="24"/>
        </w:rPr>
        <w:t xml:space="preserve">提出质疑的投标人应当是参与所质疑项目采购活动的投标人。潜在投标人依法获取其可质疑的采购文件的，可以对采购文件提出质疑。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投标人认为采购文件、采购过程和采购结果使自己的权益受到损害的，可以在知道或应知其权益受到损害之日起七个工作日内，以书面形式根据下述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投标人应以书面形式向采购人或者其委托的采购代理机构提出质疑。质疑超出采购机构代理范围的，投标人应当向采购人提出。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采购人或代理机构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0527-84666609</w:t>
      </w:r>
      <w:r>
        <w:rPr>
          <w:rFonts w:ascii="SimSun" w:hAnsi="SimSun" w:eastAsia="SimSun" w:cs="SimSun"/>
          <w:color w:val="000000"/>
          <w:sz w:val="24"/>
          <w:u w:val="single"/>
        </w:rPr>
        <w:t xml:space="preserve">或</w:t>
      </w:r>
      <w:r>
        <w:rPr>
          <w:rFonts w:ascii="Times New Roman" w:hAnsi="Times New Roman" w:eastAsia="Times New Roman" w:cs="Times New Roman"/>
          <w:color w:val="000000"/>
          <w:sz w:val="24"/>
          <w:u w:val="single"/>
        </w:rPr>
        <w:t xml:space="preserve">15250968568</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宿迁市宿城区太湖路</w:t>
      </w:r>
      <w:r>
        <w:rPr>
          <w:rFonts w:ascii="Times New Roman" w:hAnsi="Times New Roman" w:eastAsia="Times New Roman" w:cs="Times New Roman"/>
          <w:color w:val="000000"/>
          <w:sz w:val="24"/>
          <w:u w:val="single"/>
        </w:rPr>
        <w:t xml:space="preserve">69</w:t>
      </w:r>
      <w:r>
        <w:rPr>
          <w:rFonts w:ascii="SimSun" w:hAnsi="SimSun" w:eastAsia="SimSun" w:cs="SimSun"/>
          <w:color w:val="000000"/>
          <w:sz w:val="24"/>
          <w:u w:val="single"/>
        </w:rPr>
        <w:t xml:space="preserve">号或宿迁市宿城区黄河路</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号（建设银行院内东附属楼</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29.5.1</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29.5.2</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29.5.3</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29.5.4</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29.5.5</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29.6</w:t>
      </w:r>
      <w:r>
        <w:rPr>
          <w:rFonts w:ascii="SimSun" w:hAnsi="SimSun" w:eastAsia="SimSun" w:cs="SimSun"/>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29.7</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30</w:t>
      </w:r>
      <w:r>
        <w:rPr>
          <w:rFonts w:ascii="SimHei" w:hAnsi="SimHei" w:eastAsia="SimHei" w:cs="SimHei"/>
          <w:b/>
          <w:color w:val="000000"/>
          <w:sz w:val="28"/>
        </w:rPr>
        <w:t xml:space="preserve">、中标通知书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30.l</w:t>
      </w:r>
      <w:r>
        <w:rPr>
          <w:rFonts w:ascii="SimSun" w:hAnsi="SimSun" w:eastAsia="SimSun" w:cs="SimSun"/>
          <w:color w:val="000000"/>
          <w:sz w:val="24"/>
        </w:rPr>
        <w:t xml:space="preserve">中标结果确定后，代理机构将向中标人发出中标通知书。请中标人使用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数字证书登录“苏采云系统”及时下载中标通知书。中标供应商可自行下载打印《中标通知书》，《中标通知书》将作为授予合同资格的唯一合法依据。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pStyle w:val="646"/>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31.</w:t>
      </w:r>
      <w:r>
        <w:rPr>
          <w:rFonts w:ascii="SimHei" w:hAnsi="SimHei" w:eastAsia="SimHei" w:cs="SimHei"/>
          <w:b/>
          <w:color w:val="000000"/>
          <w:sz w:val="28"/>
        </w:rPr>
        <w:t xml:space="preserve">签订合同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31.l</w:t>
      </w:r>
      <w:r>
        <w:rPr>
          <w:rFonts w:ascii="SimSun" w:hAnsi="SimSun" w:eastAsia="SimSun" w:cs="SimSun"/>
          <w:color w:val="000000"/>
          <w:sz w:val="24"/>
        </w:rPr>
        <w:t xml:space="preserve">中标人应当在中标通知书发出之日起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日内，按照招标文件确定的事项与采购人签订政府采购合同。并在签订之日起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招标文件、中标人的投标文件及招标过程中有关澄清、承诺文件均应作为合同附件。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本项目的非主体、非关键性工作是否允许分包按以下第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rPr>
        <w:t xml:space="preserve">种方式确定：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不允许分包。未经采购人同意，中标人也不得采用分包形式履行合同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否则采购人有权终止合同。转包或分包造成采购人损失的，中标人应承担相应赔偿责任。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rPr>
        <w:t xml:space="preserve">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履约保证金应在采购合同签订前提交，履约保证金的金额：按采购合同总价的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计取（备注：如使用江苏政府采购电子履约保函（保险）代替缴纳履约保证金的，按采购合同总价的</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计取）。除银行电汇、网上银行、数字人民币外，投标人还可选用银行保函、担保公司的保证担保或保险公司的保证保险、等多种形式向采购人缴纳；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32、货物（包含与货物相关的服务）的追加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33</w:t>
      </w:r>
      <w:r>
        <w:rPr>
          <w:rFonts w:ascii="SimHei" w:hAnsi="SimHei" w:eastAsia="SimHei" w:cs="SimHei"/>
          <w:b/>
          <w:color w:val="000000"/>
          <w:sz w:val="28"/>
        </w:rPr>
        <w:t xml:space="preserve">、政府采购履约资金扶持政策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根据江苏省财政厅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中国人民银行南京分行《关于深入推进政府采购线上合同信用融资工作的通知》（苏财购〔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4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w:t>
      </w:r>
      <w:r>
        <w:rPr>
          <w:rFonts w:ascii="SimHei" w:hAnsi="SimHei" w:eastAsia="SimHei" w:cs="SimHei"/>
          <w:color w:val="000000"/>
          <w:sz w:val="28"/>
        </w:rPr>
        <w:t xml:space="preserve">、验收及付款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SimSun" w:hAnsi="SimSun" w:eastAsia="SimSun" w:cs="SimSun"/>
          <w:color w:val="000000"/>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SimSun" w:hAnsi="SimSun" w:eastAsia="SimSun" w:cs="SimSun"/>
          <w:color w:val="000000"/>
          <w:sz w:val="24"/>
        </w:rPr>
        <w:t xml:space="preserve">采购人可以邀请参加本项目的其他投标人或者第三方机构参与验收。参与验收的投标人或者第三方机构的意见作为验收书的参考资料一并存档。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34.3</w:t>
      </w:r>
      <w:r>
        <w:rPr>
          <w:rFonts w:ascii="SimSun" w:hAnsi="SimSun" w:eastAsia="SimSun" w:cs="SimSun"/>
          <w:color w:val="000000"/>
          <w:sz w:val="24"/>
        </w:rPr>
        <w:t xml:space="preserve">严格按照采购合同开展履约验收。采购人成立验收小组，按照采购合同的约定对供应商履约情况进行验收。验收时，按照采购合同的约定对每一项技术、服务、安全标准的履约情况进行确认，验收标准为：家具主要尺寸及其偏差、形状和位置公差、外观性能要求（板材、焊接件、喷涂层、五金件）、结构安全、金属喷漆（塑）涂层理化性能要求、力学性能、有害物质限量，检测项数值均达到招标文件详细标准（如有）。验收结束后，应当出具验收书，列明各项标准的验收情况及项目总体评价，由验收双方共同签署。验收结果与采购合同约定的资金支付及履约保证金返还条件挂</w:t>
      </w:r>
      <w:r>
        <w:rPr>
          <w:rFonts w:ascii="SimSun" w:hAnsi="SimSun" w:eastAsia="SimSun" w:cs="SimSun"/>
          <w:color w:val="000000"/>
          <w:sz w:val="24"/>
        </w:rPr>
        <w:t xml:space="preserve">钩。履约验收的各项资料应当存档备查。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34.4</w:t>
      </w:r>
      <w:r>
        <w:rPr>
          <w:rFonts w:ascii="SimSun" w:hAnsi="SimSun" w:eastAsia="SimSun" w:cs="SimSun"/>
          <w:color w:val="000000"/>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35、付款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按照以下确定的付款方式，采购人及时办理付款手续。对于满足合同约定支付条件的，自收到发票后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个工作日内将资金支付到合同约定的供应商账户或供应商数字人民币账户。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rPr>
        <w:t xml:space="preserve">，合同签订后按规定支付；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定制的效果图（含具体能指导产品生产、制作、安装的各类图纸）等图纸经深化满足甲方要求，并经甲方确认后付至合同价款的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家具供货到场，制作安装并经验收合格，收到中标人发票的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个工作日内支付对应产品的价款。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以下为中标后签定本项目合同的通用条款，投标人不得提出实质性的修改。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关于专用条款将由采购人与投标人结合本项目具体情况协商后签订。</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政府采购合同（货物）（合同编号）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Times New Roman" w:hAnsi="Times New Roman" w:eastAsia="Times New Roman" w:cs="Times New Roman"/>
          <w:color w:val="000000"/>
          <w:sz w:val="24"/>
        </w:rPr>
        <w:t xml:space="preserve">_________</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Times New Roman" w:hAnsi="Times New Roman" w:eastAsia="Times New Roman" w:cs="Times New Roman"/>
          <w:color w:val="000000"/>
          <w:sz w:val="24"/>
        </w:rPr>
        <w:t xml:space="preserve">_________</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项目（项目编号：）公开招标的结果，签署本合同。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标的名称：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标的质量：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标的数量（规模）：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履行时间（期限）：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履行地点：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履行方式：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包装方式：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本合同金额为（大写）：</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圆（</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元）人民币或其他币种。</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乙方应按招标文件规定的时间向甲方提供使用货物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包含与货物相关的服务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的有关技术资料。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乙方保证所交付的货物（包含与货物相关的服务）的所有权完全属于乙方且无任何抵押、查封等产权瑕疵。</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履约保证金应在采购合同签订前提交，履约保证金的金额：按采购合同总价的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除银行电汇、网上银行、数字人民币外，供应商还可选用银行保函、担保公司的保证担保或保险公司的保证保险等多种形式向采购人缴纳；支持和鼓励投标人使用江苏政府采购电子履约保函（保险）代替缴纳履约保证金，投标人如使用江苏政府采购电子履约保函（保险）的，可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3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（履约保证金原提交金额的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折）提交。办理流程、偿付等内容见江苏政府采购网“保险保函”模块。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1  </w:t>
      </w:r>
      <w:r>
        <w:rPr>
          <w:rFonts w:ascii="SimSun" w:hAnsi="SimSun" w:eastAsia="SimSun" w:cs="SimSun"/>
          <w:color w:val="000000"/>
          <w:sz w:val="24"/>
        </w:rPr>
        <w:t xml:space="preserve">种方式实行：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、服务类项目，项目履约期满评价合格，出具履约评价报告及履约保证金收据申请退付；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、工程类项目，项目完工验收合格，出具完工证明及履约保证金收据申请退付；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％后的利率支付超期资金占用费，但因供应商自身原因导致无法及时退还的除外。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乙方不得将合同标的转包给他人履行。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乙方不得将合同标的分包给他人履行。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乙方如有转包或未经甲方同意的分包行为，甲方有权给予终止合同。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资金支付的方式：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rPr>
        <w:t xml:space="preserve">，合同签订后按规定支付；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定制的效果图（含具体能指导产品生产、制作、安装的各类图纸）等图纸经深化满足甲方要求，并经甲方确认后付至合同价款的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家具供货到场，制作安装并经验收合格，收到中标人发票的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个工作日内支付对应产品的价款。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资金支付的时间：收到供应商发票</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资金支付的条件：满足相应阶段的要求且收到供应商发票；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当采购数量与实际使用数量不一致时，乙方应根据实际使用量供货。合同的最终结算金额按实际使用量乘以对应产品的成交单价进行计算（不超过合同总价）。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本合同执行中相关的一切税费均由乙方负担。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乙方应按招标文件规定的货物性能、技术要求、质量标准向甲方提供未经使用的全新产品。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乙方提供的货物在质保期内因货物本身的质量问题发生故障，乙方应负责免费更换。对达不到技术要求者，根据实际情况，经双方协商，可按以下办法处理：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⑴</w:t>
      </w:r>
      <w:r>
        <w:rPr>
          <w:rFonts w:ascii="SimSun" w:hAnsi="SimSun" w:eastAsia="SimSun" w:cs="SimSun"/>
          <w:color w:val="000000"/>
          <w:sz w:val="24"/>
        </w:rPr>
        <w:t xml:space="preserve">更换：由乙方承担所发生的全部费用。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⑵</w:t>
      </w:r>
      <w:r>
        <w:rPr>
          <w:rFonts w:ascii="SimSun" w:hAnsi="SimSun" w:eastAsia="SimSun" w:cs="SimSun"/>
          <w:color w:val="000000"/>
          <w:sz w:val="24"/>
        </w:rPr>
        <w:t xml:space="preserve">贬值处理：由甲乙双方合议定价。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⑶</w:t>
      </w:r>
      <w:r>
        <w:rPr>
          <w:rFonts w:ascii="SimSun" w:hAnsi="SimSun" w:eastAsia="SimSun" w:cs="SimSun"/>
          <w:color w:val="000000"/>
          <w:sz w:val="24"/>
        </w:rPr>
        <w:t xml:space="preserve">退货处理：乙方应退还甲方支付的合同款，同时应承担该货物的直接费用（运输、保险、检验、货款利息及银行手续费等）。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如在使用过程中发生质量问题，乙方在接到甲方通知后</w:t>
      </w:r>
      <w:r>
        <w:rPr>
          <w:rFonts w:ascii="SimSun" w:hAnsi="SimSun" w:eastAsia="SimSun" w:cs="SimSun"/>
          <w:color w:val="000000"/>
          <w:sz w:val="24"/>
          <w:u w:val="single"/>
        </w:rPr>
        <w:t xml:space="preserve">应在</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小时内响应，</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rPr>
        <w:t xml:space="preserve">小时内到达甲方现场解决问题，无法维修时应替换故障产品。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注：质保期内乙方不能及时到场维修，甲方有权安排第三方进行应急维修，产生的费用由乙方承担。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在质保期内，乙方应对货物出现的质量及安全问题负责处理解决并承担一切费用。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上述的货物免费保修期为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年（自交货验收合格之日起计），因人为因素出现的故障不在免费保修范围内。超过保修期的产品或机器设备，终生维修，维修时只收部件成本费。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甲方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甲方可以邀请参加本项目的其他投标人或者第三方机构参与验收。参与验收的投标人或者第三方机构的意见作为验收书的参考资料一并存档。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w:t>
      </w:r>
      <w:r>
        <w:rPr>
          <w:rFonts w:ascii="SimSun" w:hAnsi="SimSun" w:eastAsia="SimSun" w:cs="SimSun"/>
          <w:color w:val="000000"/>
          <w:sz w:val="24"/>
        </w:rPr>
        <w:t xml:space="preserve">严格按照采购合同开展履约验收。甲方成立验收小组，按照采购合同的约定对供应商履约情况进行验收。验收时，按照采购合同的约定对每一项技术、服务、安全标准的履约情况进行确认，验收标准为：家具主要尺寸及其偏差、形状和位置公差、外观性能要求（板材、焊接件、喷涂层、五金件）、结构安全、金属喷漆（塑）涂层理化性能要求、力学性能、有害物质限量，检测项数值均达到招标文件详细标准（如有）。验收结束后，应当出具验收书，列明各项标准的验收情况及项目总体评价，由验收双方共同签署。验收结果与采购合同约定的资金支付及履约保证金返还条件挂钩</w:t>
      </w:r>
      <w:r>
        <w:rPr>
          <w:rFonts w:ascii="SimSun" w:hAnsi="SimSun" w:eastAsia="SimSun" w:cs="SimSun"/>
          <w:color w:val="000000"/>
          <w:sz w:val="24"/>
        </w:rPr>
        <w:t xml:space="preserve">。履约验收的各项资料应当存档备查。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rPr>
          <w:rFonts w:ascii="SimSun" w:hAnsi="SimSun" w:eastAsia="SimSun" w:cs="SimSun"/>
          <w:color w:val="000000"/>
          <w:sz w:val="24"/>
        </w:rPr>
        <w:t xml:space="preserve">验收合格的项目，甲方将根据采购合同的约定及时向乙方支付采购资金、退还履约保证金。验收不合格的项目，甲方将依法及时处理。采购合同的履行、违约责任和解决争议的方式等适用《中华人民共和国民法典》。乙方在履约过程中有政府采购法律法规规定的违法违规情形的，甲方应当及时报告本级财政部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十二、货物的包装、发运及运输</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使用说明书、质量检验证明书、随配附件和工具以及清单一并附于货物内。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乙方在货物发运手续办理完毕后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小时内或货到甲方</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小时前通知甲方，以准备接货。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货物在交付甲方前发生的风险均由乙方负责。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12.5</w:t>
      </w:r>
      <w:r>
        <w:rPr>
          <w:rFonts w:ascii="SimSun" w:hAnsi="SimSun" w:eastAsia="SimSun" w:cs="SimSun"/>
          <w:color w:val="000000"/>
          <w:sz w:val="24"/>
        </w:rPr>
        <w:t xml:space="preserve">货物在规定的交付期限内由乙方送达甲方指定的地点视为交付，乙方同时需通知甲方货物已送达。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甲方无正当理由拒收货物的，甲方向乙方偿付拒收货款总值</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甲方无故逾期验收和办理货款支付手续的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甲方应按逾期付款总额每日</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‰向乙方支付违约金。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乙方逾期交付货物的，乙方应按逾期交货总额每日</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‰向甲方支付违约金，由甲方从待付货款中扣除。逾期超过约定日期</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的违约金，如造成甲方损失超过违约金的，超出部分由乙方继续承担赔偿责任。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w:t>
      </w:r>
      <w:r>
        <w:rPr>
          <w:rFonts w:ascii="SimSun" w:hAnsi="SimSun" w:eastAsia="SimSun" w:cs="SimSun"/>
          <w:color w:val="000000"/>
          <w:sz w:val="24"/>
        </w:rPr>
        <w:t xml:space="preserve">乙方所交的货物品种、型号、规格、技术参数、质量不符合合同规定、招标文件、甲方确定的规定标准的（含</w:t>
      </w:r>
      <w:r>
        <w:rPr>
          <w:rFonts w:ascii="SimSun" w:hAnsi="SimSun" w:eastAsia="SimSun" w:cs="SimSun"/>
          <w:b/>
          <w:color w:val="000000"/>
          <w:sz w:val="24"/>
        </w:rPr>
        <w:t xml:space="preserve">乙方供货时，甲方抽检15项定制清单里的家具产品（含破坏性检测），检测不合格的产品，乙方重新生产，并重新抽样检测，合格后方可投入使用，若同一产品连续两次检测均不合格，甲方有权拒收产品，相关损失及责任由乙方自行承担。</w:t>
      </w:r>
      <w:r>
        <w:rPr>
          <w:rFonts w:ascii="SimSun" w:hAnsi="SimSun" w:eastAsia="SimSun" w:cs="SimSun"/>
          <w:color w:val="000000"/>
          <w:sz w:val="24"/>
        </w:rPr>
        <w:t xml:space="preserve">），甲方有权拒收该货物，乙方愿意更换货物但逾期交货的，按乙方逾期交货处理。乙方拒绝更换货物的，甲方可单方面解除合同。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十四、供应商合法权益补偿机制</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供应商合法权益补偿救济机制。在履约过程因政策变化、规划调整而无法履行合同约定，造成企业合法权益受损的，采购人依据实际情况对供应商进行补偿救济。</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在合同有效期内，任何一方因不可抗力事件导致不能履行合同，则合同履行期可延长，其延长期与不可抗力影响期相同。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不可抗力事件发生后，应立即通知对方，并寄送有关权威机构出具的证明。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w:t>
      </w:r>
      <w:r>
        <w:rPr>
          <w:rFonts w:ascii="SimSun" w:hAnsi="SimSun" w:eastAsia="SimSun" w:cs="SimSun"/>
          <w:color w:val="000000"/>
          <w:sz w:val="24"/>
        </w:rPr>
        <w:t xml:space="preserve">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甲乙双方因合同签订、履行而发生的一切争议，应通过友好协商解决。如协商不成由甲方住所地人民法院管辖。</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合同经双方法定代表人或授权委托代表人签字并加盖单位公章后生效。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本合同未尽事宜，遵照中华人民共和国现行法律法规有关条文执行。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w:t>
      </w:r>
      <w:r>
        <w:rPr>
          <w:rFonts w:ascii="SimSun" w:hAnsi="SimSun" w:eastAsia="SimSun" w:cs="SimSun"/>
          <w:color w:val="000000"/>
          <w:sz w:val="24"/>
        </w:rPr>
        <w:t xml:space="preserve">本合同正本一式六份，具有同等法律效力，甲方、乙方各执三份。</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w:t>
      </w:r>
      <w:r>
        <w:rPr>
          <w:rFonts w:ascii="Times New Roman" w:hAnsi="Times New Roman" w:eastAsia="Times New Roman" w:cs="Times New Roman"/>
          <w:color w:val="000000"/>
          <w:sz w:val="24"/>
        </w:rPr>
        <w:t xml:space="preserve"> </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法定代表人或授权代表：</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rPr>
          <w:rFonts w:ascii="SimSun" w:hAnsi="SimSun" w:eastAsia="SimSun" w:cs="SimSun"/>
          <w:color w:val="000000"/>
          <w:sz w:val="21"/>
        </w:rPr>
        <w:t xml:space="preserve">               </w:t>
      </w:r>
      <w:r>
        <w:rPr>
          <w:rFonts w:ascii="SimSun" w:hAnsi="SimSun" w:eastAsia="SimSun" w:cs="SimSun"/>
          <w:color w:val="000000"/>
          <w:sz w:val="24"/>
        </w:rPr>
        <w:t xml:space="preserve">   签订日期：年月日</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项目属性：货物类项目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本项目采购标的对应的中小企业划分标准所属行业：</w:t>
      </w:r>
      <w:r>
        <w:rPr>
          <w:rFonts w:ascii="FangSong" w:hAnsi="FangSong" w:eastAsia="FangSong" w:cs="FangSong"/>
          <w:color w:val="000000"/>
          <w:sz w:val="24"/>
          <w:u w:val="single"/>
        </w:rPr>
        <w:t xml:space="preserve">工业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u w:val="single"/>
        </w:rPr>
        <w:t xml:space="preserve">不接受 </w:t>
      </w:r>
      <w:r>
        <w:rPr>
          <w:rFonts w:ascii="FangSong" w:hAnsi="FangSong" w:eastAsia="FangSong" w:cs="FangSong"/>
          <w:color w:val="000000"/>
          <w:sz w:val="24"/>
        </w:rPr>
        <w:t xml:space="preserve">（接受</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不接受）进口产品。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本项目核心产品：清单序号</w:t>
      </w:r>
      <w:r>
        <w:rPr>
          <w:rFonts w:ascii="Times New Roman" w:hAnsi="Times New Roman" w:eastAsia="Times New Roman" w:cs="Times New Roman"/>
          <w:color w:val="000000"/>
          <w:sz w:val="24"/>
        </w:rPr>
        <w:t xml:space="preserve">24</w:t>
      </w:r>
      <w:r>
        <w:rPr>
          <w:rFonts w:ascii="FangSong" w:hAnsi="FangSong" w:eastAsia="FangSong" w:cs="FangSong"/>
          <w:color w:val="000000"/>
          <w:sz w:val="24"/>
        </w:rPr>
        <w:t xml:space="preserve">定制双面全封闭式钢木书架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一、项目概况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项目名称：宿迁市图书馆定制（成人）读者阅览空间家具、装具、用具设计、制作及安装采购项目</w:t>
      </w:r>
      <w:r>
        <w:rPr>
          <w:rFonts w:ascii="Times New Roman" w:hAnsi="Times New Roman" w:eastAsia="Times New Roman" w:cs="Times New Roma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供货地点：采购人指定地点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供货时间：合同生效之日起</w:t>
      </w:r>
      <w:r>
        <w:rPr>
          <w:rFonts w:ascii="Times New Roman" w:hAnsi="Times New Roman" w:eastAsia="Times New Roman" w:cs="Times New Roman"/>
          <w:color w:val="000000"/>
          <w:sz w:val="24"/>
        </w:rPr>
        <w:t xml:space="preserve">90</w:t>
      </w:r>
      <w:r>
        <w:rPr>
          <w:rFonts w:ascii="FangSong" w:hAnsi="FangSong" w:eastAsia="FangSong" w:cs="FangSong"/>
          <w:color w:val="000000"/>
          <w:sz w:val="24"/>
        </w:rPr>
        <w:t xml:space="preserve">日历天内完成定制生产、安装、调试、检测并经验收合格后交付甲方使用（含二次搬运费）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售后服务期：不少于</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年（自验收合格之日起计算）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质量标准：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）采用中华人民共和国法定计量单位。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）乙方所提供的货物应符合国家有关安全、环保、卫生的规定。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）乙方应向甲方提交所提供货物的技术文件，包括相应的中文技术文件，如：产品目录、图纸、操作手册、使用说明、维护手册或服务指南等。上述文件应包装好随货物一同发运。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付款：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预付款：合同金额的</w:t>
      </w:r>
      <w:r>
        <w:rPr>
          <w:rFonts w:ascii="Times New Roman" w:hAnsi="Times New Roman" w:eastAsia="Times New Roman" w:cs="Times New Roman"/>
          <w:color w:val="000000"/>
          <w:sz w:val="24"/>
          <w:u w:val="single"/>
        </w:rPr>
        <w:t xml:space="preserve">30%</w:t>
      </w:r>
      <w:r>
        <w:rPr>
          <w:rFonts w:ascii="FangSong" w:hAnsi="FangSong" w:eastAsia="FangSong" w:cs="FangSong"/>
          <w:color w:val="000000"/>
          <w:sz w:val="24"/>
        </w:rPr>
        <w:t xml:space="preserve">，合同签订后按规定支付；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进度款：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定制的效果图（含具体能指导产品生产、制作、安装的各类图纸）等图纸经深化满足甲方要求，并经甲方确认后付至合同价款的</w:t>
      </w:r>
      <w:r>
        <w:rPr>
          <w:rFonts w:ascii="Times New Roman" w:hAnsi="Times New Roman" w:eastAsia="Times New Roman" w:cs="Times New Roman"/>
          <w:color w:val="000000"/>
          <w:sz w:val="24"/>
        </w:rPr>
        <w:t xml:space="preserve">40%</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家具供货到场，制作安装并经验收合格，收到中标人发票的</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个工作日内支付对应产品的价款。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注：在签订合同时，中标人明确表示无需预付款或者主动要求降低预付款比例的金额，采购人可不适用预付款规定。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二、区域划分、定制（设计）情况概述及效果、现场平面图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（一）区域划分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一层（楼）大厅包含：一层大厅、服务区共计</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一层（楼）公共休闲室共计</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一层（楼）文学阅览室包含：服务区、自助借还区、存书区、创意阅览区、阅览区共计</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一层（楼）</w:t>
      </w:r>
      <w:r>
        <w:rPr>
          <w:rFonts w:ascii="Times New Roman" w:hAnsi="Times New Roman" w:eastAsia="Times New Roman" w:cs="Times New Roman"/>
          <w:color w:val="000000"/>
          <w:sz w:val="24"/>
        </w:rPr>
        <w:t xml:space="preserve">24</w:t>
      </w:r>
      <w:r>
        <w:rPr>
          <w:rFonts w:ascii="FangSong" w:hAnsi="FangSong" w:eastAsia="FangSong" w:cs="FangSong"/>
          <w:color w:val="000000"/>
          <w:sz w:val="24"/>
        </w:rPr>
        <w:t xml:space="preserve">小时自助图书馆包含：自助借还区、阅览区、观景阅览区共计</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一层（楼）工作间和走廊共计</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一层（楼）视障阅览室共计</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二层（楼）自科阅览室包含：服务区、自助借还区、临窗阅览区、存书区、创意阅览区、特色存书区共计</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二层（楼）大厅包含：大厅</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，休闲区</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，大厅</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，休闲区</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共计</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二层（楼）文化长廊共计</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二层（楼）社科阅览室包含：服务区、存书区、双人阅览区、六人阅览区、单人阅览区、自助借还区共计</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三层（楼）现代客厅共计</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三层（楼）阶梯观景阅览区共计</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三层（楼）数字体验区包含：服务区、</w:t>
      </w:r>
      <w:r>
        <w:rPr>
          <w:rFonts w:ascii="Times New Roman" w:hAnsi="Times New Roman" w:eastAsia="Times New Roman" w:cs="Times New Roman"/>
          <w:color w:val="000000"/>
          <w:sz w:val="24"/>
        </w:rPr>
        <w:t xml:space="preserve">VR</w:t>
      </w:r>
      <w:r>
        <w:rPr>
          <w:rFonts w:ascii="FangSong" w:hAnsi="FangSong" w:eastAsia="FangSong" w:cs="FangSong"/>
          <w:color w:val="000000"/>
          <w:sz w:val="24"/>
        </w:rPr>
        <w:t xml:space="preserve">大空间体验、全息投影区、黑胶视听区、</w:t>
      </w:r>
      <w:r>
        <w:rPr>
          <w:rFonts w:ascii="Times New Roman" w:hAnsi="Times New Roman" w:eastAsia="Times New Roman" w:cs="Times New Roman"/>
          <w:color w:val="000000"/>
          <w:sz w:val="24"/>
        </w:rPr>
        <w:t xml:space="preserve">CD/DVD</w:t>
      </w:r>
      <w:r>
        <w:rPr>
          <w:rFonts w:ascii="FangSong" w:hAnsi="FangSong" w:eastAsia="FangSong" w:cs="FangSong"/>
          <w:color w:val="000000"/>
          <w:sz w:val="24"/>
        </w:rPr>
        <w:t xml:space="preserve">放映区、</w:t>
      </w:r>
      <w:r>
        <w:rPr>
          <w:rFonts w:ascii="Times New Roman" w:hAnsi="Times New Roman" w:eastAsia="Times New Roman" w:cs="Times New Roman"/>
          <w:color w:val="000000"/>
          <w:sz w:val="24"/>
        </w:rPr>
        <w:t xml:space="preserve">3D</w:t>
      </w:r>
      <w:r>
        <w:rPr>
          <w:rFonts w:ascii="FangSong" w:hAnsi="FangSong" w:eastAsia="FangSong" w:cs="FangSong"/>
          <w:color w:val="000000"/>
          <w:sz w:val="24"/>
        </w:rPr>
        <w:t xml:space="preserve">打印区共计</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三层（楼）工作间和楼梯处共计</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三层（楼）期报刊阅览室包含：服务区、报刊阅览区、卡座区、期刊阅览区、政府信息公开区共计</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（二）招标文件定制（设计）情况概述及效果对应：</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一层（楼）大厅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）一层大厅：艺术长凳与花池一体化组合家具，将休憩坐具与绿植景观结合，既可满足临时休憩落座需求，又充当空间装饰，梳理场地人流动线。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）服务区：服务台及背景木饰面紧扣书香主题，植入宿迁人文底蕴。整体设计删繁就简，构图干净有序，通过含蓄的文化意象传递空间气质，强化书香氛围感，塑造兼具地方特色与文雅格调的门户形象。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一层（楼）公共休闲室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环形树池沙发采用同心圆层级构图，中心设置绿植景观花槽木柜，外圈环形沙发做四段开口处理，兼顾围合感与多向通行需求。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一层（楼）文学阅览室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）服务区：原木服务台搭配白色面板，工艺精细，边角规整。搭配简洁艺术背景木饰面，嵌入亚克力背光区域字牌，色调柔和统一，造型简约大气，营造沉稳雅致的咨询服务接待场景。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自助借还区：背景墙采用定制木饰面搭配质感壁布组合设计，材质层次丰富。墙面加装立体亚克力标识，明确区域名称。木饰面温润稳重，壁布柔和雅致，二者有机融合，形成整洁统一的视觉背景，烘托自助服务空间氛围。整体造型简约大方，标识醒目清晰，营造秩序感强、现代清爽的自助服务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创意阅览区：依托空间圆柱结构布置通顶造型书架，作为自然空间隔断，书架门洞一体化设置休闲卡座。空间配置四人卡座式隔断，组合布设阅览桌椅、绿色沙发，构筑半开放式阅览单元，结合四周定制造型书墙，围合出独立阅读空间；多人阅览桌区域布设花槽木柜与仿真绿植作为点缀，整体布局松弛灵动，兼顾群体与独立阅读，塑造层次丰富的多样阅览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存书区：定制通顶造型书架结合现场建筑圆柱进行整体布局，层板内嵌氛围灯带，制作工艺精细考究，书架门洞设置一体化卡座，家具排布整齐大气，塑造开阔舒展的书香空间。以造型到顶书架形成空间围合，内侧布置双面封闭式钢木书架，同时利用里侧墙面制作通顶书墙，有效提升馆藏容量，将文献存储与空间艺术感融为一体，兼顾文学藏书功能与空间美学体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阅览区：以原木色四人阅览桌为单元，点缀绿植景观花槽木柜作为空间隔断，搭配浅灰软包实木椅，桌面设置磨砂亚克力分隔板。侧边布置带层板灯的通高造型书墙，家具成排规整摆放，结合玻璃隔断墙体，打造整洁通透的公共阅览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一层（楼）</w:t>
      </w:r>
      <w:r>
        <w:rPr>
          <w:rFonts w:ascii="Times New Roman" w:hAnsi="Times New Roman" w:eastAsia="Times New Roman" w:cs="Times New Roman"/>
          <w:color w:val="000000"/>
          <w:sz w:val="24"/>
        </w:rPr>
        <w:t xml:space="preserve">24</w:t>
      </w:r>
      <w:r>
        <w:rPr>
          <w:rFonts w:ascii="FangSong" w:hAnsi="FangSong" w:eastAsia="FangSong" w:cs="FangSong"/>
          <w:color w:val="000000"/>
          <w:sz w:val="24"/>
        </w:rPr>
        <w:t xml:space="preserve">小时自助图书馆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）自助借还区：采用整面原木色创意木饰面内嵌智能借阅柜，用亚克力字标识空间区域名称，规整简洁大方，设备摆放有序，满足读者自助借还图书的功能需求。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）阅览区：家具以原木色阅览桌为主，包含四人、六人桌组合，配套绿植花槽木柜为景观，配浅灰软包实木阅览椅，桌面配置台灯，营造安静舒适的阅读学习环境。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）观景阅览区：临窗以原木色长条阅览桌为主体，搭配浅灰色软包实木阅览椅，桌面配置台灯，与落地玻璃窗结合，形成通透舒展的观景阅览环境。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一层（楼）工作间和走廊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利用建筑</w:t>
      </w:r>
      <w:r>
        <w:rPr>
          <w:rFonts w:ascii="Times New Roman" w:hAnsi="Times New Roman" w:eastAsia="Times New Roman" w:cs="Times New Roman"/>
          <w:color w:val="000000"/>
          <w:sz w:val="24"/>
        </w:rPr>
        <w:t xml:space="preserve">BRB</w:t>
      </w:r>
      <w:r>
        <w:rPr>
          <w:rFonts w:ascii="FangSong" w:hAnsi="FangSong" w:eastAsia="FangSong" w:cs="FangSong"/>
          <w:color w:val="000000"/>
          <w:sz w:val="24"/>
        </w:rPr>
        <w:t xml:space="preserve">结构本体，采用外挂式木饰面做一体化包裹处理。实现新旧构造分层共生，弱化结构对空间的干扰，营造通透敞亮公共空间。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一层（楼）视障阅览室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秉持无障碍人文设计理念，充分适配视障读者的行为与感官需求。合理规划通行动线，配置视障专用阅览桌与书墙，家具做安全钝化处理。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FangSong" w:hAnsi="FangSong" w:eastAsia="FangSong" w:cs="FangSong"/>
          <w:color w:val="000000"/>
          <w:sz w:val="24"/>
        </w:rPr>
        <w:t xml:space="preserve">二层（楼）自科阅览室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服务区：采用原木服务台与浅灰面板拼接，线条简洁利落，暗藏氛围灯光，艺术背景墙采用折叠造型木饰面，折缝内嵌氛围灯带，墙面配置亚克力区域标识字。服务台右侧设置造型书墙，用于陈列新书推介。整体空间通透开阔，层次精致，兼具咨询接待、新书展示功能，营造大气雅致的读者服务环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自助借还区：整体为原木色一体化组合书墙，墙体内嵌入自助借还等设备。设备背板采用灰色与原木形成撞色对比，在统一的整体风格中形成独立视觉层次。设备上方书墙处设置亚克力立体字，作为功能区域标识，背景视觉完整有序，烘托现代自助服务氛围，提升设备辨识度，塑造整洁规整、富有秩序感的服务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）临窗阅览区：以原木色六人阅览桌为核心，搭配浅灰软包阅览椅、桌面磨砂亚克力分隔板及长条桌面灯，家具紧邻大面玻璃窗，搭配创意人形柱子造型装饰，整体简约大方，满足开放临窗阅览的使用需求。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）存书区：原木色外框搭配深灰内隔板的双面书架，中间嵌入多层回框式造景装饰花槽木柜及软包坐垫，柜体工艺简洁规整，存书格充足，在满足藏书需求的同时，又丰富了空间视觉效果。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创意阅览区：定制创意微景观空间以木质构件搭配仿真绿植等用品，营造园林式沉浸式阅览场景，临窗配置阅览桌椅，功能与景观相互融合，打造松弛雅致的创意阅览体验。靠墙设置造型书墙美化环境，原建筑人形柱子改造为书墙扩充馆藏容量；墙面定制文字主题文化壁布，渲染人文氛围，赋予空间浓厚的自然与文化底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特色存书区：以原木色书架创意门洞构建特色景观，局部开放格做图书展示，架体暗藏氛围灯光，书架既是藏书存储家具，又作为装饰隔断使用，同时设置单人阅览桌，满足阅览功能。利用墙体定制书墙，增加藏书容量，兼顾图书储备与空间艺术效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FangSong" w:hAnsi="FangSong" w:eastAsia="FangSong" w:cs="FangSong"/>
          <w:color w:val="000000"/>
          <w:sz w:val="24"/>
        </w:rPr>
        <w:t xml:space="preserve">二层（楼）大厅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）大厅</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：艺术长凳与花池一体化组合家具，将休憩坐具与绿植景观结合，既可满足临时休憩落座需求，又充当空间装饰，梳理场地人流动线。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）休闲区</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：集阅读学习与休憩放松于一体，配置阅览桌椅与卡座，提供多元的阅读使用模式。墙面结合木饰面与壁布，将书香诗文融入阅读空间。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）大厅</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：艺术长凳与花池一体化组合家具，将休憩坐具与绿植景观结合，既可满足临时休憩落座需求，又充当空间装饰，梳理场地人流动线。</w:t>
      </w:r>
      <w:r/>
    </w:p>
    <w:p>
      <w:pPr>
        <w:numPr>
          <w:ilvl w:val="0"/>
          <w:numId w:val="2"/>
        </w:numPr>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休闲区</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：集阅读学习与休憩放松于一体，配置阅览桌椅与卡座，提供多元的阅读使用模式。墙面结合木饰面与壁布，将书香诗文融入阅读空间。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FangSong" w:hAnsi="FangSong" w:eastAsia="FangSong" w:cs="FangSong"/>
          <w:color w:val="000000"/>
          <w:sz w:val="24"/>
        </w:rPr>
        <w:t xml:space="preserve">二层（楼）文化长廊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艺术长凳与花池一体化组合家具，将休憩坐具与绿植景观结合，既可满足临时休憩落座需求，又充当空间装饰，梳理场地人流动线。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二层（楼）社科阅览室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服务区：采用原木服务台与浅灰面板拼接，线条简洁利落，暗藏氛围灯光，艺术背景墙采用折叠造型木饰面，折缝内嵌氛围灯带，墙面配置亚克力区域标识字。服务台右侧设置造型书墙，用于陈列新书推介。整体空间通透开阔，层次精致，兼具咨询接待、新书展示功能，营造大气雅致的读者服务环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存书区：配置原木色通排双面全封闭式钢木书架，架体中部以层层递进的拱形书架门洞木质构架，构筑隧道式书廊，门洞内嵌入氛围灯带。架体存书容量充沛，满足图书存放需求，同时塑造极具序列感的空间视觉效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）双人阅览区：设置双人阅览桌椅，布局通透开阔。空间注重适度的采光与距离感，方便两人交流探讨，营造舒适的共读环境，满足结伴阅读的使用场景。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六人阅览区：以原木色六人阅览桌为核心，搭配浅灰软包阅览椅、桌面配亚克力磨砂分隔板及长条桌面灯，家具紧邻玻璃窗，搭配创意人形柱子造型装饰，柱下点缀绿植花槽木柜，整体空间淡雅大方，满足开放临窗阅览的使用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）单人阅览区：原木色阅览长桌，点缀景观绿植，搭配灰色软包阅览椅；空间组合布置长条沙发，搭配花槽景观木柜，整体家具线条简洁利落，融入自然绿植元素，营造安静松弛、舒适独立的单人阅览空间。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自助借还区：整体为原木色一体化组合书墙，墙体内嵌入自助借还等设备。设备背板采用灰色与原木形成撞色对比，在统一的整体风格中形成独立视觉层次。设备上方书墙处设置亚克力立体字，作为功能区域标识，背景视觉完整有序，烘托现代自助服务氛围，提升设备辨识度，塑造整洁规整、富有秩序感的服务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FangSong" w:hAnsi="FangSong" w:eastAsia="FangSong" w:cs="FangSong"/>
          <w:color w:val="000000"/>
          <w:sz w:val="24"/>
        </w:rPr>
        <w:t xml:space="preserve">三层（楼）现代客厅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雅致松弛为设计基调，墙面采用木饰面与壁布相结合，营造温润静谧的书香基底。搭配长条沙发打造舒适自由的休憩阅读场景，辅以景观绿植点缀，融自然生机于室内，弱化传统阅览空间的严肃感，构建文雅静谧、松弛治愈、可憩可阅的复合型休闲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FangSong" w:hAnsi="FangSong" w:eastAsia="FangSong" w:cs="FangSong"/>
          <w:color w:val="000000"/>
          <w:sz w:val="24"/>
        </w:rPr>
        <w:t xml:space="preserve">三层（楼）阶梯观景阅览区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临窗布置单人沙发与茶几，借自然采光构筑私密沉浸式阅读空间，有效隔绝外界干扰。</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FangSong" w:hAnsi="FangSong" w:eastAsia="FangSong" w:cs="FangSong"/>
          <w:color w:val="000000"/>
          <w:sz w:val="24"/>
        </w:rPr>
        <w:t xml:space="preserve">三层（楼）数字体验区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）服务区：以</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数字为媒，寄情于实</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为核心，依托服务台完成咨询接待，背景墙塑造空间氛围，将数字科技与传统文化相融，构建实用且有温度的服务交互空间。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3D</w:t>
      </w:r>
      <w:r>
        <w:rPr>
          <w:rFonts w:ascii="FangSong" w:hAnsi="FangSong" w:eastAsia="FangSong" w:cs="FangSong"/>
          <w:color w:val="000000"/>
          <w:sz w:val="24"/>
        </w:rPr>
        <w:t xml:space="preserve">打印区：分为实操打印桌与展示墙，形成动静结合的体验场景。打印桌放</w:t>
      </w:r>
      <w:r>
        <w:rPr>
          <w:rFonts w:ascii="Times New Roman" w:hAnsi="Times New Roman" w:eastAsia="Times New Roman" w:cs="Times New Roman"/>
          <w:color w:val="000000"/>
          <w:sz w:val="24"/>
        </w:rPr>
        <w:t xml:space="preserve">3D</w:t>
      </w:r>
      <w:r>
        <w:rPr>
          <w:rFonts w:ascii="FangSong" w:hAnsi="FangSong" w:eastAsia="FangSong" w:cs="FangSong"/>
          <w:color w:val="000000"/>
          <w:sz w:val="24"/>
        </w:rPr>
        <w:t xml:space="preserve">打印设备，展示墙集中陈列打印材料与打印成品，实现现场实操演示与成果陈列联动。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CD/DVD</w:t>
      </w:r>
      <w:r>
        <w:rPr>
          <w:rFonts w:ascii="FangSong" w:hAnsi="FangSong" w:eastAsia="FangSong" w:cs="FangSong"/>
          <w:color w:val="000000"/>
          <w:sz w:val="24"/>
        </w:rPr>
        <w:t xml:space="preserve">放映区：集音像典藏、影音放映、光影阅读、棋艺互动于一体，通过公共视听与私密隔间相结合，构建多元沉浸式的声影体验场景。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VR</w:t>
      </w:r>
      <w:r>
        <w:rPr>
          <w:rFonts w:ascii="FangSong" w:hAnsi="FangSong" w:eastAsia="FangSong" w:cs="FangSong"/>
          <w:color w:val="000000"/>
          <w:sz w:val="24"/>
        </w:rPr>
        <w:t xml:space="preserve">大空间体验区：以沉浸式交互为核心，实现多人自由行走式</w:t>
      </w:r>
      <w:r>
        <w:rPr>
          <w:rFonts w:ascii="Times New Roman" w:hAnsi="Times New Roman" w:eastAsia="Times New Roman" w:cs="Times New Roman"/>
          <w:color w:val="000000"/>
          <w:sz w:val="24"/>
        </w:rPr>
        <w:t xml:space="preserve">VR</w:t>
      </w:r>
      <w:r>
        <w:rPr>
          <w:rFonts w:ascii="FangSong" w:hAnsi="FangSong" w:eastAsia="FangSong" w:cs="FangSong"/>
          <w:color w:val="000000"/>
          <w:sz w:val="24"/>
        </w:rPr>
        <w:t xml:space="preserve">体验，融合科技氛围与安全布局，构建虚实交融、可参与、可探索的未来数字体验场景。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）黑胶视听区：设置视听黑胶唱片柜与播放设备组合，搭配单人视听沙发，营造安静松弛的聆听环境，让读者沉浸式感受黑胶独有的音质魅力，打造兼具收藏展示与视听体验的音乐空间。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）全息投影区：以沉浸式数字文化体验为设计内核，运用全息投影技术打造虚实交融的展示场景，搭配柔软懒人沙发，读者可松弛休憩观赏，将科技展示与休闲阅读相结合，营造轻松氛围感十足的体验空间。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FangSong" w:hAnsi="FangSong" w:eastAsia="FangSong" w:cs="FangSong"/>
          <w:color w:val="000000"/>
          <w:sz w:val="24"/>
        </w:rPr>
        <w:t xml:space="preserve">三层（楼）工作间和楼梯处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利用建筑</w:t>
      </w:r>
      <w:r>
        <w:rPr>
          <w:rFonts w:ascii="Times New Roman" w:hAnsi="Times New Roman" w:eastAsia="Times New Roman" w:cs="Times New Roman"/>
          <w:color w:val="000000"/>
          <w:sz w:val="24"/>
        </w:rPr>
        <w:t xml:space="preserve">BRB</w:t>
      </w:r>
      <w:r>
        <w:rPr>
          <w:rFonts w:ascii="FangSong" w:hAnsi="FangSong" w:eastAsia="FangSong" w:cs="FangSong"/>
          <w:color w:val="000000"/>
          <w:sz w:val="24"/>
        </w:rPr>
        <w:t xml:space="preserve">结构本体，采用外挂式木饰面做一体化包裹处理。实现新旧构造分层共生，弱化结构对空间的干扰，营造通透敞亮公共空间。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FangSong" w:hAnsi="FangSong" w:eastAsia="FangSong" w:cs="FangSong"/>
          <w:color w:val="000000"/>
          <w:sz w:val="24"/>
        </w:rPr>
        <w:t xml:space="preserve">三层（楼）期报刊阅览室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服务区：原木色造型服务台带有艺术凹槽肌理，背景墙木饰面嵌入仿竹编纹理，搭配亚克力立体区域标识字。结构柱整体木饰面包覆，旁侧布置等候区单人沙发。整体造型素雅简洁、色调干净明亮，材质搭配富有层次，塑造出专业、温和亲和的咨询接待服务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报刊阅览区：原木四人阅览桌配套花槽木柜，搭配仿真绿植作为软性分隔，同时营造舒缓自然的阅览氛围。区域放置长条报纸柜，方便报纸直接取阅，配套抽屉式报纸收纳柜用于过报存放。整体布局规整有序，家具功能分区清晰，满足报刊查阅、静态阅览的使用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）卡座区：选用浅咖色卡座搭配阅览长桌，适配多元的阅读休憩场景，以仿真绿植作为软性隔断，弱化排布的拥挤感。整体色调温暖柔和，布局疏密有度，营造松弛舒适、富有生机的沉浸式阅览空间。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期刊阅览区：以创意阅览长桌、长条沙发、阅览椅及矮书柜组合构成岛式阅览单元，岛台中心布设花槽木柜与仿真绿植，营造舒缓自然的阅览氛围。靠墙设置抽屉期刊墙，便于现刊快速取阅，配套钢木期刊柜收纳过刊，墙面辅以质感纹路木饰面装饰。家具组合灵活多元，动静分区清晰，打造层次丰富的期刊阅览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政府信息公开区：配置四人阅览桌，桌面配备专用台灯，借助花槽绿植形成软性隔断，优化空间尺度效果。墙面布设抽屉期刊墙存放资料使用，取用便捷，同时搭配造型书墙，柜体上方以仿藤编肌理木饰面做顶部造型，质感雅致，整体布局规整有序，营造沉稳雅致的阅览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（三）现场平面图（示例摆放仅供参考）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mc:AlternateContent>
          <mc:Choice Requires="wpg">
            <w:drawing>
              <wp:inline xmlns:wp="http://schemas.openxmlformats.org/drawingml/2006/wordprocessingDrawing" distT="0" distB="0" distL="0" distR="0">
                <wp:extent cx="5940000" cy="508059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223723" name=""/>
                        <pic:cNvPicPr>
                          <a:picLocks noChangeAspect="1"/>
                        </pic:cNvPicPr>
                        <pic:nvPr/>
                      </pic:nvPicPr>
                      <pic:blipFill>
                        <a:blip r:embed="rId9"/>
                        <a:stretch/>
                      </pic:blipFill>
                      <pic:spPr bwMode="auto">
                        <a:xfrm>
                          <a:off x="0" y="0"/>
                          <a:ext cx="5940000" cy="5080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7.7pt;height:400.0pt;mso-wrap-distance-left:0.0pt;mso-wrap-distance-top:0.0pt;mso-wrap-distance-right:0.0pt;mso-wrap-distance-bottom:0.0pt;" stroked="false">
                <v:path textboxrect="0,0,0,0"/>
                <v:imagedata r:id="rId9" o:title=""/>
              </v:shape>
            </w:pict>
          </mc:Fallback>
        </mc:AlternateContent>
      </w:r>
      <w:r>
        <mc:AlternateContent>
          <mc:Choice Requires="wpg">
            <w:drawing>
              <wp:inline xmlns:wp="http://schemas.openxmlformats.org/drawingml/2006/wordprocessingDrawing" distT="0" distB="0" distL="0" distR="0">
                <wp:extent cx="5940000" cy="5661957"/>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072806" name=""/>
                        <pic:cNvPicPr>
                          <a:picLocks noChangeAspect="1"/>
                        </pic:cNvPicPr>
                        <pic:nvPr/>
                      </pic:nvPicPr>
                      <pic:blipFill>
                        <a:blip r:embed="rId10"/>
                        <a:stretch/>
                      </pic:blipFill>
                      <pic:spPr bwMode="auto">
                        <a:xfrm>
                          <a:off x="0" y="0"/>
                          <a:ext cx="5940000" cy="566195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7pt;height:445.8pt;mso-wrap-distance-left:0.0pt;mso-wrap-distance-top:0.0pt;mso-wrap-distance-right:0.0pt;mso-wrap-distance-bottom:0.0pt;" stroked="false">
                <v:path textboxrect="0,0,0,0"/>
                <v:imagedata r:id="rId10" o:title=""/>
              </v:shape>
            </w:pict>
          </mc:Fallback>
        </mc:AlternateContent>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r>
      <w:r>
        <mc:AlternateContent>
          <mc:Choice Requires="wpg">
            <w:drawing>
              <wp:inline xmlns:wp="http://schemas.openxmlformats.org/drawingml/2006/wordprocessingDrawing" distT="0" distB="0" distL="0" distR="0">
                <wp:extent cx="5940000" cy="490244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247006" name=""/>
                        <pic:cNvPicPr>
                          <a:picLocks noChangeAspect="1"/>
                        </pic:cNvPicPr>
                        <pic:nvPr/>
                      </pic:nvPicPr>
                      <pic:blipFill>
                        <a:blip r:embed="rId11"/>
                        <a:stretch/>
                      </pic:blipFill>
                      <pic:spPr bwMode="auto">
                        <a:xfrm>
                          <a:off x="0" y="0"/>
                          <a:ext cx="5940000" cy="49024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7.7pt;height:386.0pt;mso-wrap-distance-left:0.0pt;mso-wrap-distance-top:0.0pt;mso-wrap-distance-right:0.0pt;mso-wrap-distance-bottom:0.0pt;" stroked="false">
                <v:path textboxrect="0,0,0,0"/>
                <v:imagedata r:id="rId11" o:title=""/>
              </v:shape>
            </w:pict>
          </mc:Fallback>
        </mc:AlternateContent>
      </w:r>
      <w:r>
        <mc:AlternateContent>
          <mc:Choice Requires="wpg">
            <w:drawing>
              <wp:inline xmlns:wp="http://schemas.openxmlformats.org/drawingml/2006/wordprocessingDrawing" distT="0" distB="0" distL="0" distR="0">
                <wp:extent cx="5940000" cy="4246697"/>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958697" name=""/>
                        <pic:cNvPicPr>
                          <a:picLocks noChangeAspect="1"/>
                        </pic:cNvPicPr>
                        <pic:nvPr/>
                      </pic:nvPicPr>
                      <pic:blipFill>
                        <a:blip r:embed="rId12"/>
                        <a:stretch/>
                      </pic:blipFill>
                      <pic:spPr bwMode="auto">
                        <a:xfrm>
                          <a:off x="0" y="0"/>
                          <a:ext cx="5940000" cy="424669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7.7pt;height:334.4pt;mso-wrap-distance-left:0.0pt;mso-wrap-distance-top:0.0pt;mso-wrap-distance-right:0.0pt;mso-wrap-distance-bottom:0.0pt;" stroked="false">
                <v:path textboxrect="0,0,0,0"/>
                <v:imagedata r:id="rId12" o:title=""/>
              </v:shape>
            </w:pict>
          </mc:Fallback>
        </mc:AlternateContent>
      </w:r>
      <w:r>
        <mc:AlternateContent>
          <mc:Choice Requires="wpg">
            <w:drawing>
              <wp:inline xmlns:wp="http://schemas.openxmlformats.org/drawingml/2006/wordprocessingDrawing" distT="0" distB="0" distL="0" distR="0">
                <wp:extent cx="5940000" cy="4396927"/>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48180" name=""/>
                        <pic:cNvPicPr>
                          <a:picLocks noChangeAspect="1"/>
                        </pic:cNvPicPr>
                        <pic:nvPr/>
                      </pic:nvPicPr>
                      <pic:blipFill>
                        <a:blip r:embed="rId13"/>
                        <a:stretch/>
                      </pic:blipFill>
                      <pic:spPr bwMode="auto">
                        <a:xfrm>
                          <a:off x="0" y="0"/>
                          <a:ext cx="5940000" cy="439692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7.7pt;height:346.2pt;mso-wrap-distance-left:0.0pt;mso-wrap-distance-top:0.0pt;mso-wrap-distance-right:0.0pt;mso-wrap-distance-bottom:0.0pt;" stroked="false">
                <v:path textboxrect="0,0,0,0"/>
                <v:imagedata r:id="rId13" o:title=""/>
              </v:shape>
            </w:pict>
          </mc:Fallback>
        </mc:AlternateConten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40000" cy="6653942"/>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86387" name=""/>
                        <pic:cNvPicPr>
                          <a:picLocks noChangeAspect="1"/>
                        </pic:cNvPicPr>
                        <pic:nvPr/>
                      </pic:nvPicPr>
                      <pic:blipFill>
                        <a:blip r:embed="rId14"/>
                        <a:stretch/>
                      </pic:blipFill>
                      <pic:spPr bwMode="auto">
                        <a:xfrm>
                          <a:off x="0" y="0"/>
                          <a:ext cx="5940000" cy="66539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7.7pt;height:523.9pt;mso-wrap-distance-left:0.0pt;mso-wrap-distance-top:0.0pt;mso-wrap-distance-right:0.0pt;mso-wrap-distance-bottom:0.0pt;" stroked="false">
                <v:path textboxrect="0,0,0,0"/>
                <v:imagedata r:id="rId14" o:title=""/>
              </v:shape>
            </w:pict>
          </mc:Fallback>
        </mc:AlternateContent>
      </w:r>
      <w:r/>
    </w:p>
    <w:p>
      <w:pPr>
        <w:ind w:left="0" w:right="0" w:firstLine="0"/>
        <w:jc w:val="both"/>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r>
      <w:r>
        <mc:AlternateContent>
          <mc:Choice Requires="wpg">
            <w:drawing>
              <wp:inline xmlns:wp="http://schemas.openxmlformats.org/drawingml/2006/wordprocessingDrawing" distT="0" distB="0" distL="0" distR="0">
                <wp:extent cx="5940000" cy="61290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552323" name=""/>
                        <pic:cNvPicPr>
                          <a:picLocks noChangeAspect="1"/>
                        </pic:cNvPicPr>
                        <pic:nvPr/>
                      </pic:nvPicPr>
                      <pic:blipFill>
                        <a:blip r:embed="rId15"/>
                        <a:stretch/>
                      </pic:blipFill>
                      <pic:spPr bwMode="auto">
                        <a:xfrm>
                          <a:off x="0" y="0"/>
                          <a:ext cx="5940000" cy="6129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7.7pt;height:482.6pt;mso-wrap-distance-left:0.0pt;mso-wrap-distance-top:0.0pt;mso-wrap-distance-right:0.0pt;mso-wrap-distance-bottom:0.0pt;" stroked="false">
                <v:path textboxrect="0,0,0,0"/>
                <v:imagedata r:id="rId15" o:title=""/>
              </v:shape>
            </w:pict>
          </mc:Fallback>
        </mc:AlternateContent>
      </w:r>
      <w:r>
        <mc:AlternateContent>
          <mc:Choice Requires="wpg">
            <w:drawing>
              <wp:inline xmlns:wp="http://schemas.openxmlformats.org/drawingml/2006/wordprocessingDrawing" distT="0" distB="0" distL="0" distR="0">
                <wp:extent cx="5457825" cy="66865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806294" name=""/>
                        <pic:cNvPicPr>
                          <a:picLocks noChangeAspect="1"/>
                        </pic:cNvPicPr>
                        <pic:nvPr/>
                      </pic:nvPicPr>
                      <pic:blipFill>
                        <a:blip r:embed="rId16"/>
                        <a:stretch/>
                      </pic:blipFill>
                      <pic:spPr bwMode="auto">
                        <a:xfrm>
                          <a:off x="0" y="0"/>
                          <a:ext cx="5457824" cy="6686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9.8pt;height:526.5pt;mso-wrap-distance-left:0.0pt;mso-wrap-distance-top:0.0pt;mso-wrap-distance-right:0.0pt;mso-wrap-distance-bottom:0.0pt;" stroked="false">
                <v:path textboxrect="0,0,0,0"/>
                <v:imagedata r:id="rId16" o:title=""/>
              </v:shape>
            </w:pict>
          </mc:Fallback>
        </mc:AlternateContent>
      </w:r>
      <w:r>
        <mc:AlternateContent>
          <mc:Choice Requires="wpg">
            <w:drawing>
              <wp:inline xmlns:wp="http://schemas.openxmlformats.org/drawingml/2006/wordprocessingDrawing" distT="0" distB="0" distL="0" distR="0">
                <wp:extent cx="5940000" cy="4217899"/>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968094" name=""/>
                        <pic:cNvPicPr>
                          <a:picLocks noChangeAspect="1"/>
                        </pic:cNvPicPr>
                        <pic:nvPr/>
                      </pic:nvPicPr>
                      <pic:blipFill>
                        <a:blip r:embed="rId17"/>
                        <a:stretch/>
                      </pic:blipFill>
                      <pic:spPr bwMode="auto">
                        <a:xfrm>
                          <a:off x="0" y="0"/>
                          <a:ext cx="5940000" cy="421789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7.7pt;height:332.1pt;mso-wrap-distance-left:0.0pt;mso-wrap-distance-top:0.0pt;mso-wrap-distance-right:0.0pt;mso-wrap-distance-bottom:0.0pt;" stroked="false">
                <v:path textboxrect="0,0,0,0"/>
                <v:imagedata r:id="rId17" o:title=""/>
              </v:shape>
            </w:pict>
          </mc:Fallback>
        </mc:AlternateContent>
      </w:r>
      <w:r>
        <mc:AlternateContent>
          <mc:Choice Requires="wpg">
            <w:drawing>
              <wp:inline xmlns:wp="http://schemas.openxmlformats.org/drawingml/2006/wordprocessingDrawing" distT="0" distB="0" distL="0" distR="0">
                <wp:extent cx="5940000" cy="3658518"/>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534631" name=""/>
                        <pic:cNvPicPr>
                          <a:picLocks noChangeAspect="1"/>
                        </pic:cNvPicPr>
                        <pic:nvPr/>
                      </pic:nvPicPr>
                      <pic:blipFill>
                        <a:blip r:embed="rId18"/>
                        <a:stretch/>
                      </pic:blipFill>
                      <pic:spPr bwMode="auto">
                        <a:xfrm>
                          <a:off x="0" y="0"/>
                          <a:ext cx="5940000" cy="365851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67.7pt;height:288.1pt;mso-wrap-distance-left:0.0pt;mso-wrap-distance-top:0.0pt;mso-wrap-distance-right:0.0pt;mso-wrap-distance-bottom:0.0pt;" stroked="false">
                <v:path textboxrect="0,0,0,0"/>
                <v:imagedata r:id="rId18" o:title=""/>
              </v:shape>
            </w:pict>
          </mc:Fallback>
        </mc:AlternateContent>
      </w:r>
      <w:r>
        <mc:AlternateContent>
          <mc:Choice Requires="wpg">
            <w:drawing>
              <wp:inline xmlns:wp="http://schemas.openxmlformats.org/drawingml/2006/wordprocessingDrawing" distT="0" distB="0" distL="0" distR="0">
                <wp:extent cx="5940000" cy="3766829"/>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069675" name=""/>
                        <pic:cNvPicPr>
                          <a:picLocks noChangeAspect="1"/>
                        </pic:cNvPicPr>
                        <pic:nvPr/>
                      </pic:nvPicPr>
                      <pic:blipFill>
                        <a:blip r:embed="rId19"/>
                        <a:stretch/>
                      </pic:blipFill>
                      <pic:spPr bwMode="auto">
                        <a:xfrm>
                          <a:off x="0" y="0"/>
                          <a:ext cx="5940000" cy="376682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67.7pt;height:296.6pt;mso-wrap-distance-left:0.0pt;mso-wrap-distance-top:0.0pt;mso-wrap-distance-right:0.0pt;mso-wrap-distance-bottom:0.0pt;" stroked="false">
                <v:path textboxrect="0,0,0,0"/>
                <v:imagedata r:id="rId19" o:title=""/>
              </v:shape>
            </w:pict>
          </mc:Fallback>
        </mc:AlternateContent>
      </w:r>
      <w:r>
        <mc:AlternateContent>
          <mc:Choice Requires="wpg">
            <w:drawing>
              <wp:inline xmlns:wp="http://schemas.openxmlformats.org/drawingml/2006/wordprocessingDrawing" distT="0" distB="0" distL="0" distR="0">
                <wp:extent cx="3971925" cy="66865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677031" name=""/>
                        <pic:cNvPicPr>
                          <a:picLocks noChangeAspect="1"/>
                        </pic:cNvPicPr>
                        <pic:nvPr/>
                      </pic:nvPicPr>
                      <pic:blipFill>
                        <a:blip r:embed="rId20"/>
                        <a:stretch/>
                      </pic:blipFill>
                      <pic:spPr bwMode="auto">
                        <a:xfrm>
                          <a:off x="0" y="0"/>
                          <a:ext cx="3971925" cy="6686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12.8pt;height:526.5pt;mso-wrap-distance-left:0.0pt;mso-wrap-distance-top:0.0pt;mso-wrap-distance-right:0.0pt;mso-wrap-distance-bottom:0.0pt;" stroked="false">
                <v:path textboxrect="0,0,0,0"/>
                <v:imagedata r:id="rId20" o:title=""/>
              </v:shape>
            </w:pict>
          </mc:Fallback>
        </mc:AlternateContent>
      </w:r>
      <w:r>
        <mc:AlternateContent>
          <mc:Choice Requires="wpg">
            <w:drawing>
              <wp:inline xmlns:wp="http://schemas.openxmlformats.org/drawingml/2006/wordprocessingDrawing" distT="0" distB="0" distL="0" distR="0">
                <wp:extent cx="5940000" cy="51232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672099" name=""/>
                        <pic:cNvPicPr>
                          <a:picLocks noChangeAspect="1"/>
                        </pic:cNvPicPr>
                        <pic:nvPr/>
                      </pic:nvPicPr>
                      <pic:blipFill>
                        <a:blip r:embed="rId21"/>
                        <a:stretch/>
                      </pic:blipFill>
                      <pic:spPr bwMode="auto">
                        <a:xfrm>
                          <a:off x="0" y="0"/>
                          <a:ext cx="5940000" cy="5123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67.7pt;height:403.4pt;mso-wrap-distance-left:0.0pt;mso-wrap-distance-top:0.0pt;mso-wrap-distance-right:0.0pt;mso-wrap-distance-bottom:0.0pt;" stroked="false">
                <v:path textboxrect="0,0,0,0"/>
                <v:imagedata r:id="rId21" o:title=""/>
              </v:shape>
            </w:pict>
          </mc:Fallback>
        </mc:AlternateContent>
      </w:r>
      <w:r>
        <mc:AlternateContent>
          <mc:Choice Requires="wpg">
            <w:drawing>
              <wp:inline xmlns:wp="http://schemas.openxmlformats.org/drawingml/2006/wordprocessingDrawing" distT="0" distB="0" distL="0" distR="0">
                <wp:extent cx="5143500" cy="62007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91548" name=""/>
                        <pic:cNvPicPr>
                          <a:picLocks noChangeAspect="1"/>
                        </pic:cNvPicPr>
                        <pic:nvPr/>
                      </pic:nvPicPr>
                      <pic:blipFill>
                        <a:blip r:embed="rId22"/>
                        <a:stretch/>
                      </pic:blipFill>
                      <pic:spPr bwMode="auto">
                        <a:xfrm>
                          <a:off x="0" y="0"/>
                          <a:ext cx="5143500" cy="6200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05.0pt;height:488.2pt;mso-wrap-distance-left:0.0pt;mso-wrap-distance-top:0.0pt;mso-wrap-distance-right:0.0pt;mso-wrap-distance-bottom:0.0pt;" stroked="false">
                <v:path textboxrect="0,0,0,0"/>
                <v:imagedata r:id="rId22" o:title=""/>
              </v:shape>
            </w:pict>
          </mc:Fallback>
        </mc:AlternateContent>
      </w:r>
      <w:r>
        <mc:AlternateContent>
          <mc:Choice Requires="wpg">
            <w:drawing>
              <wp:inline xmlns:wp="http://schemas.openxmlformats.org/drawingml/2006/wordprocessingDrawing" distT="0" distB="0" distL="0" distR="0">
                <wp:extent cx="3848100" cy="665797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535" name=""/>
                        <pic:cNvPicPr>
                          <a:picLocks noChangeAspect="1"/>
                        </pic:cNvPicPr>
                        <pic:nvPr/>
                      </pic:nvPicPr>
                      <pic:blipFill>
                        <a:blip r:embed="rId23"/>
                        <a:stretch/>
                      </pic:blipFill>
                      <pic:spPr bwMode="auto">
                        <a:xfrm>
                          <a:off x="0" y="0"/>
                          <a:ext cx="3848099" cy="6657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03.0pt;height:524.2pt;mso-wrap-distance-left:0.0pt;mso-wrap-distance-top:0.0pt;mso-wrap-distance-right:0.0pt;mso-wrap-distance-bottom:0.0pt;" stroked="false">
                <v:path textboxrect="0,0,0,0"/>
                <v:imagedata r:id="rId23" o:title=""/>
              </v:shape>
            </w:pict>
          </mc:Fallback>
        </mc:AlternateContent>
      </w:r>
      <w:r>
        <mc:AlternateContent>
          <mc:Choice Requires="wpg">
            <w:drawing>
              <wp:inline xmlns:wp="http://schemas.openxmlformats.org/drawingml/2006/wordprocessingDrawing" distT="0" distB="0" distL="0" distR="0">
                <wp:extent cx="5886450" cy="379095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756990" name=""/>
                        <pic:cNvPicPr>
                          <a:picLocks noChangeAspect="1"/>
                        </pic:cNvPicPr>
                        <pic:nvPr/>
                      </pic:nvPicPr>
                      <pic:blipFill>
                        <a:blip r:embed="rId24"/>
                        <a:stretch/>
                      </pic:blipFill>
                      <pic:spPr bwMode="auto">
                        <a:xfrm>
                          <a:off x="0" y="0"/>
                          <a:ext cx="5886449" cy="37909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63.5pt;height:298.5pt;mso-wrap-distance-left:0.0pt;mso-wrap-distance-top:0.0pt;mso-wrap-distance-right:0.0pt;mso-wrap-distance-bottom:0.0pt;" stroked="false">
                <v:path textboxrect="0,0,0,0"/>
                <v:imagedata r:id="rId24" o:title=""/>
              </v:shape>
            </w:pict>
          </mc:Fallback>
        </mc:AlternateContent>
      </w:r>
      <w:r>
        <mc:AlternateContent>
          <mc:Choice Requires="wpg">
            <w:drawing>
              <wp:inline xmlns:wp="http://schemas.openxmlformats.org/drawingml/2006/wordprocessingDrawing" distT="0" distB="0" distL="0" distR="0">
                <wp:extent cx="5572125" cy="5457825"/>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445311" name=""/>
                        <pic:cNvPicPr>
                          <a:picLocks noChangeAspect="1"/>
                        </pic:cNvPicPr>
                        <pic:nvPr/>
                      </pic:nvPicPr>
                      <pic:blipFill>
                        <a:blip r:embed="rId25"/>
                        <a:stretch/>
                      </pic:blipFill>
                      <pic:spPr bwMode="auto">
                        <a:xfrm>
                          <a:off x="0" y="0"/>
                          <a:ext cx="5572125" cy="5457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38.8pt;height:429.8pt;mso-wrap-distance-left:0.0pt;mso-wrap-distance-top:0.0pt;mso-wrap-distance-right:0.0pt;mso-wrap-distance-bottom:0.0pt;" stroked="false">
                <v:path textboxrect="0,0,0,0"/>
                <v:imagedata r:id="rId25" o:title=""/>
              </v:shape>
            </w:pict>
          </mc:Fallback>
        </mc:AlternateConten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三、定制清单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另附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四、方案要求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项目认知及理解：从建设内容、定制设计效果的理解、实施的重点难点分析等角度进行编制。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FangSong" w:hAnsi="FangSong" w:eastAsia="FangSong" w:cs="FangSong"/>
          <w:color w:val="000000"/>
          <w:sz w:val="24"/>
        </w:rPr>
        <w:t xml:space="preserve">建设内容：投标人应根据本项目清单及现场勘察情况，了解本项具体工作内容，从而有重点的分析和理解项目的建设要求，进行编制。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FangSong" w:hAnsi="FangSong" w:eastAsia="FangSong" w:cs="FangSong"/>
          <w:color w:val="000000"/>
          <w:sz w:val="24"/>
        </w:rPr>
        <w:t xml:space="preserve">定制设计效果的理解：投标人应根据本项目清单及现场勘察情况，分析各个区域定制设计效果（如产品布局、产品优化）及展现的风格，从更好贴近项目空间区域主题方面进行编制。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FangSong" w:hAnsi="FangSong" w:eastAsia="FangSong" w:cs="FangSong"/>
          <w:color w:val="000000"/>
          <w:sz w:val="24"/>
        </w:rPr>
        <w:t xml:space="preserve">实施的重点难点：投标人应根据本项目清单及现场勘察情况，对本项目实施过程中出现的重点和难点进行分析和规划处理，可以从定制家具生产、装卸、运输、安装、效果展示以及其他重点事项等方面进行编制。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投标人提供的实施方案，从项目实施规划、质保保障及处理措施、供货进度计划、安装调试方案等方面进行编制，同时兼顾实施内容，以及各工序衔接的流畅性、工作内容的详细度等。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FangSong" w:hAnsi="FangSong" w:eastAsia="FangSong" w:cs="FangSong"/>
          <w:color w:val="000000"/>
          <w:sz w:val="24"/>
        </w:rPr>
        <w:t xml:space="preserve">项目实施规划：投标人应从实施步骤、运输计划、安装描述保证措施及验收计划等方面进行编制。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FangSong" w:hAnsi="FangSong" w:eastAsia="FangSong" w:cs="FangSong"/>
          <w:color w:val="000000"/>
          <w:sz w:val="24"/>
        </w:rPr>
        <w:t xml:space="preserve">质量保障及处理措施：投标人应根据投标货物的生产加工执行标准、质量保证及处理措施、原材料供应措施、生产管理措施、产品包装措施、安全保障措施、采购环节控制及家具生产质量控制等方面进行编制。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FangSong" w:hAnsi="FangSong" w:eastAsia="FangSong" w:cs="FangSong"/>
          <w:color w:val="000000"/>
          <w:sz w:val="24"/>
        </w:rPr>
        <w:t xml:space="preserve">供货进度计划：投标人应根据投标货物的供货进度计划书、作业时间安排、实施计划安排等方面进行编制。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FangSong" w:hAnsi="FangSong" w:eastAsia="FangSong" w:cs="FangSong"/>
          <w:color w:val="000000"/>
          <w:sz w:val="24"/>
        </w:rPr>
        <w:t xml:space="preserve">安装调试方案：投标人应根据投标货物的交货方案、产品组装方案、深化设计的配合及节点放样工作、工程放线及验线工作、交叉施工、组织协调方案、服务和运行验收测试计划及产品的验收标准和验收方案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投标人提供的售后服务方案，从售后服务承诺、售后服务体系、售后服务内容响应、故障响应时间承诺及响应方式等方面进行编制。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FangSong" w:hAnsi="FangSong" w:eastAsia="FangSong" w:cs="FangSong"/>
          <w:color w:val="000000"/>
          <w:sz w:val="24"/>
        </w:rPr>
        <w:t xml:space="preserve">售后服务承诺：投标人应根据投标货物的技术服务和售后服务的承诺（不低于</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年），售后服务人员配备及售后组织结构，回访定期巡检服务、售后服务内容保障措施、培训方案、其他服务等方面进行编制。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FangSong" w:hAnsi="FangSong" w:eastAsia="FangSong" w:cs="FangSong"/>
          <w:color w:val="000000"/>
          <w:sz w:val="24"/>
        </w:rPr>
        <w:t xml:space="preserve">售后服务体系：投标人应根据投标货物的售后服务文化、服务规范管理制度、配送与安装制度、配件管理制度、维修服务制度、退换货管理制度、顾客投诉管理制度及售后服务人员礼仪规范等方式进行编制。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FangSong" w:hAnsi="FangSong" w:eastAsia="FangSong" w:cs="FangSong"/>
          <w:color w:val="000000"/>
          <w:sz w:val="24"/>
        </w:rPr>
        <w:t xml:space="preserve">故障响应时间：投标人应根据投标货物的故障响应服务介绍、故障响应时间承诺等方面进行编制。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FangSong" w:hAnsi="FangSong" w:eastAsia="FangSong" w:cs="FangSong"/>
          <w:color w:val="000000"/>
          <w:sz w:val="24"/>
        </w:rPr>
        <w:t xml:space="preserve">响应方式：投标人应根据投标货物的响应方式的保证措施说明、响应方式全面周到且适用于本项目实施（在质保期内，一旦发生质量问题，投标人保证在接到通知后的</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小时内进行响应，并在</w:t>
      </w:r>
      <w:r>
        <w:rPr>
          <w:rFonts w:ascii="Times New Roman" w:hAnsi="Times New Roman" w:eastAsia="Times New Roman" w:cs="Times New Roman"/>
          <w:color w:val="000000"/>
          <w:sz w:val="24"/>
        </w:rPr>
        <w:t xml:space="preserve">12</w:t>
      </w:r>
      <w:r>
        <w:rPr>
          <w:rFonts w:ascii="FangSong" w:hAnsi="FangSong" w:eastAsia="FangSong" w:cs="FangSong"/>
          <w:color w:val="000000"/>
          <w:sz w:val="24"/>
        </w:rPr>
        <w:t xml:space="preserve">小时内组织人员到现场进行检修，确因产品本身质量问题的，将组织原厂人员进行维修、更换或退货处理，费用由中标供应商负责。产品出现故障</w:t>
      </w:r>
      <w:r>
        <w:rPr>
          <w:rFonts w:ascii="Times New Roman" w:hAnsi="Times New Roman" w:eastAsia="Times New Roman" w:cs="Times New Roman"/>
          <w:color w:val="000000"/>
          <w:sz w:val="24"/>
        </w:rPr>
        <w:t xml:space="preserve">48</w:t>
      </w:r>
      <w:r>
        <w:rPr>
          <w:rFonts w:ascii="FangSong" w:hAnsi="FangSong" w:eastAsia="FangSong" w:cs="FangSong"/>
          <w:color w:val="000000"/>
          <w:sz w:val="24"/>
        </w:rPr>
        <w:t xml:space="preserve">小时不能修复的，提供同等功能的产品供采购人使用，直至故障修复。质保期满后，能根据采购人要求提供充足的备品、备件）等方面进行编制。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五、演示要求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投标人提供一层（楼）文学阅览室、一层（楼）</w:t>
      </w:r>
      <w:r>
        <w:rPr>
          <w:rFonts w:ascii="Times New Roman" w:hAnsi="Times New Roman" w:eastAsia="Times New Roman" w:cs="Times New Roman"/>
          <w:color w:val="000000"/>
          <w:sz w:val="24"/>
        </w:rPr>
        <w:t xml:space="preserve">24</w:t>
      </w:r>
      <w:r>
        <w:rPr>
          <w:rFonts w:ascii="FangSong" w:hAnsi="FangSong" w:eastAsia="FangSong" w:cs="FangSong"/>
          <w:color w:val="000000"/>
          <w:sz w:val="24"/>
        </w:rPr>
        <w:t xml:space="preserve">小时自助图书馆、二层（楼）自科阅览室、二层（楼）社科阅览室、三层（楼）期报刊阅览室整体效果演示动画，包括：单一区域融入整体区间、区域与区域之间家具空间联动过渡柔和协调，整体视觉效果美观等方面进行演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注：投标人需按照招标文件规定的演示内容制作演示视频文件，视频文件的格式为</w:t>
      </w:r>
      <w:r>
        <w:rPr>
          <w:rFonts w:ascii="Times New Roman" w:hAnsi="Times New Roman" w:eastAsia="Times New Roman" w:cs="Times New Roman"/>
          <w:color w:val="000000"/>
          <w:sz w:val="24"/>
        </w:rPr>
        <w:t xml:space="preserve">*.mp4</w:t>
      </w:r>
      <w:r>
        <w:rPr>
          <w:rFonts w:ascii="FangSong" w:hAnsi="FangSong" w:eastAsia="FangSong" w:cs="FangSong"/>
          <w:color w:val="000000"/>
          <w:sz w:val="24"/>
        </w:rPr>
        <w:t xml:space="preserve">或</w:t>
      </w:r>
      <w:r>
        <w:rPr>
          <w:rFonts w:ascii="Times New Roman" w:hAnsi="Times New Roman" w:eastAsia="Times New Roman" w:cs="Times New Roman"/>
          <w:color w:val="000000"/>
          <w:sz w:val="24"/>
        </w:rPr>
        <w:t xml:space="preserve">*.avi</w:t>
      </w:r>
      <w:r>
        <w:rPr>
          <w:rFonts w:ascii="FangSong" w:hAnsi="FangSong" w:eastAsia="FangSong" w:cs="FangSong"/>
          <w:color w:val="000000"/>
          <w:sz w:val="24"/>
        </w:rPr>
        <w:t xml:space="preserve">，投标人须将视频文件分段压缩为</w:t>
      </w:r>
      <w:r>
        <w:rPr>
          <w:rFonts w:ascii="Times New Roman" w:hAnsi="Times New Roman" w:eastAsia="Times New Roman" w:cs="Times New Roman"/>
          <w:color w:val="000000"/>
          <w:sz w:val="24"/>
        </w:rPr>
        <w:t xml:space="preserve">*.zip</w:t>
      </w:r>
      <w:r>
        <w:rPr>
          <w:rFonts w:ascii="FangSong" w:hAnsi="FangSong" w:eastAsia="FangSong" w:cs="FangSong"/>
          <w:color w:val="000000"/>
          <w:sz w:val="24"/>
        </w:rPr>
        <w:t xml:space="preserve">文件上传（单个文件不得大于</w:t>
      </w:r>
      <w:r>
        <w:rPr>
          <w:rFonts w:ascii="Times New Roman" w:hAnsi="Times New Roman" w:eastAsia="Times New Roman" w:cs="Times New Roman"/>
          <w:color w:val="000000"/>
          <w:sz w:val="24"/>
        </w:rPr>
        <w:t xml:space="preserve">50M</w:t>
      </w:r>
      <w:r>
        <w:rPr>
          <w:rFonts w:ascii="FangSong" w:hAnsi="FangSong" w:eastAsia="FangSong" w:cs="FangSong"/>
          <w:color w:val="000000"/>
          <w:sz w:val="24"/>
        </w:rPr>
        <w:t xml:space="preserve">，所有文件总共不得大于</w:t>
      </w:r>
      <w:r>
        <w:rPr>
          <w:rFonts w:ascii="Times New Roman" w:hAnsi="Times New Roman" w:eastAsia="Times New Roman" w:cs="Times New Roman"/>
          <w:color w:val="000000"/>
          <w:sz w:val="24"/>
        </w:rPr>
        <w:t xml:space="preserve">300M</w:t>
      </w:r>
      <w:r>
        <w:rPr>
          <w:rFonts w:ascii="FangSong" w:hAnsi="FangSong" w:eastAsia="FangSong" w:cs="FangSong"/>
          <w:color w:val="000000"/>
          <w:sz w:val="24"/>
        </w:rPr>
        <w:t xml:space="preserve">）。文件上传方式见《操作手册》规定，上传的演示视频将作为投标文件的组成部分，视频时长总计不超过</w:t>
      </w:r>
      <w:r>
        <w:rPr>
          <w:rFonts w:ascii="Times New Roman" w:hAnsi="Times New Roman" w:eastAsia="Times New Roman" w:cs="Times New Roman"/>
          <w:color w:val="000000"/>
          <w:sz w:val="24"/>
        </w:rPr>
        <w:t xml:space="preserve">15</w:t>
      </w:r>
      <w:r>
        <w:rPr>
          <w:rFonts w:ascii="FangSong" w:hAnsi="FangSong" w:eastAsia="FangSong" w:cs="FangSong"/>
          <w:color w:val="000000"/>
          <w:sz w:val="24"/>
        </w:rPr>
        <w:t xml:space="preserve">分钟。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六、其他要求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（一）采购标的需实现的功能或者目标，以及为落实政府采购政策需满足的要求；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FangSong" w:hAnsi="FangSong" w:eastAsia="FangSong" w:cs="FangSong"/>
          <w:color w:val="000000"/>
          <w:sz w:val="24"/>
        </w:rPr>
        <w:t xml:space="preserve">采购本国货物、工程和服务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FangSong" w:hAnsi="FangSong" w:eastAsia="FangSong" w:cs="FangSong"/>
          <w:color w:val="000000"/>
          <w:sz w:val="24"/>
        </w:rPr>
        <w:t xml:space="preserve">政府采购应当采购本国货物、工程和服务，但有《中华人民共和国政府采购法》第十条规定情形的除外。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FangSong" w:hAnsi="FangSong" w:eastAsia="FangSong" w:cs="FangSong"/>
          <w:color w:val="000000"/>
          <w:sz w:val="24"/>
        </w:rPr>
        <w:t xml:space="preserve">如采购进口产品的，应当符合《政府采购进口产品管理办法》（财库〔</w:t>
      </w:r>
      <w:r>
        <w:rPr>
          <w:rFonts w:ascii="Times New Roman" w:hAnsi="Times New Roman" w:eastAsia="Times New Roman" w:cs="Times New Roman"/>
          <w:color w:val="000000"/>
          <w:sz w:val="24"/>
        </w:rPr>
        <w:t xml:space="preserve">2007</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119</w:t>
      </w:r>
      <w:r>
        <w:rPr>
          <w:rFonts w:ascii="FangSong" w:hAnsi="FangSong" w:eastAsia="FangSong" w:cs="FangSong"/>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248</w:t>
      </w:r>
      <w:r>
        <w:rPr>
          <w:rFonts w:ascii="FangSong" w:hAnsi="FangSong" w:eastAsia="FangSong" w:cs="FangSong"/>
          <w:color w:val="000000"/>
          <w:sz w:val="24"/>
        </w:rPr>
        <w:t xml:space="preserve">号文）等相关规定。本项目是否采购进口产品，以须知前附表确定的为准。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FangSong" w:hAnsi="FangSong" w:eastAsia="FangSong" w:cs="FangSong"/>
          <w:color w:val="000000"/>
          <w:sz w:val="24"/>
        </w:rPr>
        <w:t xml:space="preserve">政府采购需求标准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FangSong" w:hAnsi="FangSong" w:eastAsia="FangSong" w:cs="FangSong"/>
          <w:color w:val="000000"/>
          <w:sz w:val="24"/>
        </w:rPr>
        <w:t xml:space="preserve">商品包装、快递包装政府采购需求标准（试行）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FangSong" w:hAnsi="FangSong" w:eastAsia="FangSong" w:cs="FangSong"/>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123</w:t>
      </w:r>
      <w:r>
        <w:rPr>
          <w:rFonts w:ascii="FangSong" w:hAnsi="FangSong" w:eastAsia="FangSong" w:cs="FangSong"/>
          <w:color w:val="000000"/>
          <w:sz w:val="24"/>
        </w:rPr>
        <w:t xml:space="preserve">号）、《江苏省财政厅关于加强政府绿色采购有关事项的通知》（苏财购〔</w:t>
      </w:r>
      <w:r>
        <w:rPr>
          <w:rFonts w:ascii="Times New Roman" w:hAnsi="Times New Roman" w:eastAsia="Times New Roman" w:cs="Times New Roman"/>
          <w:color w:val="000000"/>
          <w:sz w:val="24"/>
        </w:rPr>
        <w:t xml:space="preserve">2023</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65</w:t>
      </w:r>
      <w:r>
        <w:rPr>
          <w:rFonts w:ascii="FangSong" w:hAnsi="FangSong" w:eastAsia="FangSong" w:cs="FangSong"/>
          <w:color w:val="000000"/>
          <w:sz w:val="24"/>
        </w:rPr>
        <w:t xml:space="preserve">号）的要求，投标人应当提供符合需求标准的产品及相关快递服务的包装。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FangSong" w:hAnsi="FangSong" w:eastAsia="FangSong" w:cs="FangSong"/>
          <w:color w:val="000000"/>
          <w:sz w:val="24"/>
        </w:rPr>
        <w:t xml:space="preserve">、商品包装层数不得超过</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层，空隙率不大于</w:t>
      </w:r>
      <w:r>
        <w:rPr>
          <w:rFonts w:ascii="Times New Roman" w:hAnsi="Times New Roman" w:eastAsia="Times New Roman" w:cs="Times New Roman"/>
          <w:color w:val="000000"/>
          <w:sz w:val="24"/>
        </w:rPr>
        <w:t xml:space="preserve">40%</w:t>
      </w:r>
      <w:r>
        <w:rPr>
          <w:rFonts w:ascii="FangSong" w:hAnsi="FangSong" w:eastAsia="FangSong" w:cs="FangSong"/>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FangSong" w:hAnsi="FangSong" w:eastAsia="FangSong" w:cs="FangSong"/>
          <w:color w:val="000000"/>
          <w:sz w:val="24"/>
        </w:rPr>
        <w:t xml:space="preserve">、商品包装尽可能使用单一材质的包装材料，如因功能需求必需使用不同材质，不同材质间应便于分离；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FangSong" w:hAnsi="FangSong" w:eastAsia="FangSong" w:cs="FangSong"/>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w:t>
      </w:r>
      <w:r>
        <w:rPr>
          <w:rFonts w:ascii="FangSong" w:hAnsi="FangSong" w:eastAsia="FangSong" w:cs="FangSong"/>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FangSong" w:hAnsi="FangSong" w:eastAsia="FangSong" w:cs="FangSong"/>
          <w:color w:val="000000"/>
          <w:sz w:val="24"/>
        </w:rPr>
        <w:t xml:space="preserve">含量应不大于</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（以重量计）；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1.3.5</w:t>
      </w:r>
      <w:r>
        <w:rPr>
          <w:rFonts w:ascii="FangSong" w:hAnsi="FangSong" w:eastAsia="FangSong" w:cs="FangSong"/>
          <w:color w:val="000000"/>
          <w:sz w:val="24"/>
        </w:rPr>
        <w:t xml:space="preserve">、塑料材质商品包装上呈现的印刷颜色不得超过</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色；</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1.3.6</w:t>
      </w:r>
      <w:r>
        <w:rPr>
          <w:rFonts w:ascii="FangSong" w:hAnsi="FangSong" w:eastAsia="FangSong" w:cs="FangSong"/>
          <w:color w:val="000000"/>
          <w:sz w:val="24"/>
        </w:rPr>
        <w:t xml:space="preserve">、纸质商品包装应使用</w:t>
      </w:r>
      <w:r>
        <w:rPr>
          <w:rFonts w:ascii="Times New Roman" w:hAnsi="Times New Roman" w:eastAsia="Times New Roman" w:cs="Times New Roman"/>
          <w:color w:val="000000"/>
          <w:sz w:val="24"/>
        </w:rPr>
        <w:t xml:space="preserve">75%</w:t>
      </w:r>
      <w:r>
        <w:rPr>
          <w:rFonts w:ascii="FangSong" w:hAnsi="FangSong" w:eastAsia="FangSong" w:cs="FangSong"/>
          <w:color w:val="000000"/>
          <w:sz w:val="24"/>
        </w:rPr>
        <w:t xml:space="preserve">以上的可再生纤维原料生产；</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1.3.7</w:t>
      </w:r>
      <w:r>
        <w:rPr>
          <w:rFonts w:ascii="FangSong" w:hAnsi="FangSong" w:eastAsia="FangSong" w:cs="FangSong"/>
          <w:color w:val="000000"/>
          <w:sz w:val="24"/>
        </w:rPr>
        <w:t xml:space="preserve">、木质商品包装的原料应来源于可持续性森林。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注：检测方法</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商品包装中重金属（铅、汞、镉、六价铬）总量的检测按照</w:t>
      </w:r>
      <w:r>
        <w:rPr>
          <w:rFonts w:ascii="Times New Roman" w:hAnsi="Times New Roman" w:eastAsia="Times New Roman" w:cs="Times New Roman"/>
          <w:color w:val="000000"/>
          <w:sz w:val="24"/>
        </w:rPr>
        <w:t xml:space="preserve">GB/T10004-2008</w:t>
      </w:r>
      <w:r>
        <w:rPr>
          <w:rFonts w:ascii="FangSong" w:hAnsi="FangSong" w:eastAsia="FangSong" w:cs="FangSong"/>
          <w:color w:val="000000"/>
          <w:sz w:val="24"/>
        </w:rPr>
        <w:t xml:space="preserve">《包装用塑料复合膜、袋干法复合、挤出复合》规定的方法进行。</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FangSong" w:hAnsi="FangSong" w:eastAsia="FangSong" w:cs="FangSong"/>
          <w:color w:val="000000"/>
          <w:sz w:val="24"/>
        </w:rPr>
        <w:t xml:space="preserve">的检测按照</w:t>
      </w:r>
      <w:r>
        <w:rPr>
          <w:rFonts w:ascii="Times New Roman" w:hAnsi="Times New Roman" w:eastAsia="Times New Roman" w:cs="Times New Roman"/>
          <w:color w:val="000000"/>
          <w:sz w:val="24"/>
        </w:rPr>
        <w:t xml:space="preserve">GB/T23986-2009</w:t>
      </w:r>
      <w:r>
        <w:rPr>
          <w:rFonts w:ascii="FangSong" w:hAnsi="FangSong" w:eastAsia="FangSong" w:cs="FangSong"/>
          <w:color w:val="000000"/>
          <w:sz w:val="24"/>
        </w:rPr>
        <w:t xml:space="preserve">《色漆和清漆挥发性有机化合物</w:t>
      </w:r>
      <w:r>
        <w:rPr>
          <w:rFonts w:ascii="Times New Roman" w:hAnsi="Times New Roman" w:eastAsia="Times New Roman" w:cs="Times New Roman"/>
          <w:color w:val="000000"/>
          <w:sz w:val="24"/>
        </w:rPr>
        <w:t xml:space="preserve">(VOC)</w:t>
      </w:r>
      <w:r>
        <w:rPr>
          <w:rFonts w:ascii="FangSong" w:hAnsi="FangSong" w:eastAsia="FangSong" w:cs="FangSong"/>
          <w:color w:val="000000"/>
          <w:sz w:val="24"/>
        </w:rPr>
        <w:t xml:space="preserve">含量的测定气相色谱法》规定的方法。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1.3.8</w:t>
      </w:r>
      <w:r>
        <w:rPr>
          <w:rFonts w:ascii="FangSong" w:hAnsi="FangSong" w:eastAsia="FangSong" w:cs="FangSong"/>
          <w:color w:val="000000"/>
          <w:sz w:val="24"/>
        </w:rPr>
        <w:t xml:space="preserve">快递包装中重金属（铅、汞、镉、六价铬）总量应不大于</w:t>
      </w:r>
      <w:r>
        <w:rPr>
          <w:rFonts w:ascii="Times New Roman" w:hAnsi="Times New Roman" w:eastAsia="Times New Roman" w:cs="Times New Roman"/>
          <w:color w:val="000000"/>
          <w:sz w:val="24"/>
        </w:rPr>
        <w:t xml:space="preserve">100mg/kg</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1.3.9</w:t>
      </w:r>
      <w:r>
        <w:rPr>
          <w:rFonts w:ascii="FangSong" w:hAnsi="FangSong" w:eastAsia="FangSong" w:cs="FangSong"/>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FangSong" w:hAnsi="FangSong" w:eastAsia="FangSong" w:cs="FangSong"/>
          <w:color w:val="000000"/>
          <w:sz w:val="24"/>
        </w:rPr>
        <w:t xml:space="preserve">）含量应不大于</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（以重量计）；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1.3.10</w:t>
      </w:r>
      <w:r>
        <w:rPr>
          <w:rFonts w:ascii="FangSong" w:hAnsi="FangSong" w:eastAsia="FangSong" w:cs="FangSong"/>
          <w:color w:val="000000"/>
          <w:sz w:val="24"/>
        </w:rPr>
        <w:t xml:space="preserve">快递包装中使用纸基材的包装材料，纸基材中的有机氯的含量应不大于</w:t>
      </w:r>
      <w:r>
        <w:rPr>
          <w:rFonts w:ascii="Times New Roman" w:hAnsi="Times New Roman" w:eastAsia="Times New Roman" w:cs="Times New Roman"/>
          <w:color w:val="000000"/>
          <w:sz w:val="24"/>
        </w:rPr>
        <w:t xml:space="preserve">150mg/kg</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1.3.11</w:t>
      </w:r>
      <w:r>
        <w:rPr>
          <w:rFonts w:ascii="FangSong" w:hAnsi="FangSong" w:eastAsia="FangSong" w:cs="FangSong"/>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－乙基）己酯、邻苯二甲酸二异癸酯、邻苯二甲酸丁基苄基酯、邻苯二甲酸二丁酯等作为增塑剂；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1.3.12</w:t>
      </w:r>
      <w:r>
        <w:rPr>
          <w:rFonts w:ascii="FangSong" w:hAnsi="FangSong" w:eastAsia="FangSong" w:cs="FangSong"/>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1.3.13</w:t>
      </w:r>
      <w:r>
        <w:rPr>
          <w:rFonts w:ascii="FangSong" w:hAnsi="FangSong" w:eastAsia="FangSong" w:cs="FangSong"/>
          <w:color w:val="000000"/>
          <w:sz w:val="24"/>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1.3.14</w:t>
      </w:r>
      <w:r>
        <w:rPr>
          <w:rFonts w:ascii="FangSong" w:hAnsi="FangSong" w:eastAsia="FangSong" w:cs="FangSong"/>
          <w:color w:val="000000"/>
          <w:sz w:val="24"/>
        </w:rPr>
        <w:t xml:space="preserve">快递中使用的集装袋应为单一材质制成，其重复使用次数应不小于</w:t>
      </w:r>
      <w:r>
        <w:rPr>
          <w:rFonts w:ascii="Times New Roman" w:hAnsi="Times New Roman" w:eastAsia="Times New Roman" w:cs="Times New Roman"/>
          <w:color w:val="000000"/>
          <w:sz w:val="24"/>
        </w:rPr>
        <w:t xml:space="preserve">80</w:t>
      </w:r>
      <w:r>
        <w:rPr>
          <w:rFonts w:ascii="FangSong" w:hAnsi="FangSong" w:eastAsia="FangSong" w:cs="FangSong"/>
          <w:color w:val="000000"/>
          <w:sz w:val="24"/>
        </w:rPr>
        <w:t xml:space="preserve">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1.3.15</w:t>
      </w:r>
      <w:r>
        <w:rPr>
          <w:rFonts w:ascii="FangSong" w:hAnsi="FangSong" w:eastAsia="FangSong" w:cs="FangSong"/>
          <w:color w:val="000000"/>
          <w:sz w:val="24"/>
        </w:rPr>
        <w:t xml:space="preserve">快递中应使用幅宽不大于</w:t>
      </w:r>
      <w:r>
        <w:rPr>
          <w:rFonts w:ascii="Times New Roman" w:hAnsi="Times New Roman" w:eastAsia="Times New Roman" w:cs="Times New Roman"/>
          <w:color w:val="000000"/>
          <w:sz w:val="24"/>
        </w:rPr>
        <w:t xml:space="preserve">45mm</w:t>
      </w:r>
      <w:r>
        <w:rPr>
          <w:rFonts w:ascii="FangSong" w:hAnsi="FangSong" w:eastAsia="FangSong" w:cs="FangSong"/>
          <w:color w:val="000000"/>
          <w:sz w:val="24"/>
        </w:rPr>
        <w:t xml:space="preserve">的生物降解胶带；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1.3.16</w:t>
      </w:r>
      <w:r>
        <w:rPr>
          <w:rFonts w:ascii="FangSong" w:hAnsi="FangSong" w:eastAsia="FangSong" w:cs="FangSong"/>
          <w:color w:val="000000"/>
          <w:sz w:val="24"/>
        </w:rPr>
        <w:t xml:space="preserve">快递包装中不得使用溶剂型胶粘剂；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1.3.17</w:t>
      </w:r>
      <w:r>
        <w:rPr>
          <w:rFonts w:ascii="FangSong" w:hAnsi="FangSong" w:eastAsia="FangSong" w:cs="FangSong"/>
          <w:color w:val="000000"/>
          <w:sz w:val="24"/>
        </w:rPr>
        <w:t xml:space="preserve">快递应使用电子面单；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1.3.18</w:t>
      </w:r>
      <w:r>
        <w:rPr>
          <w:rFonts w:ascii="FangSong" w:hAnsi="FangSong" w:eastAsia="FangSong" w:cs="FangSong"/>
          <w:color w:val="000000"/>
          <w:sz w:val="24"/>
        </w:rPr>
        <w:t xml:space="preserve">直接使用商品包装作为快递包装的商品，其商品包装满足《商品包装政府采购需求标准（试行）》即可；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1.3.19</w:t>
      </w:r>
      <w:r>
        <w:rPr>
          <w:rFonts w:ascii="FangSong" w:hAnsi="FangSong" w:eastAsia="FangSong" w:cs="FangSong"/>
          <w:color w:val="000000"/>
          <w:sz w:val="24"/>
        </w:rPr>
        <w:t xml:space="preserve">快递包装产品质量和封装方式应符合相关国家或行业标准技术指标要求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中标人投标时候提供的各类效果图、平面图、鸟瞰图等内容不作为最终方案及生产内容，最终产品的花色、数量、五金配件、效果等内容应在生产前与招标人确认后方可实施，因中标人未确认而生产制作并安装的产品，采购人有权拒收，由此产生的返工风险由中标人自行承担。具体要求如下：</w:t>
      </w:r>
      <w:r>
        <w:rPr>
          <w:rFonts w:ascii="Times New Roman" w:hAnsi="Times New Roman" w:eastAsia="Times New Roman" w:cs="Times New Roman"/>
          <w:color w:val="000000"/>
          <w:sz w:val="24"/>
        </w:rPr>
        <w:t xml:space="preserve">a.</w:t>
      </w:r>
      <w:r>
        <w:rPr>
          <w:rFonts w:ascii="FangSong" w:hAnsi="FangSong" w:eastAsia="FangSong" w:cs="FangSong"/>
          <w:color w:val="000000"/>
          <w:sz w:val="24"/>
        </w:rPr>
        <w:t xml:space="preserve">中标人在产品出厂前，应提供产品清单明细交由招标人确认，包含产品名称、详细规格、材质、颜色等内容，由招标人确认后，方可进行供货；</w:t>
      </w:r>
      <w:r>
        <w:rPr>
          <w:rFonts w:ascii="Times New Roman" w:hAnsi="Times New Roman" w:eastAsia="Times New Roman" w:cs="Times New Roman"/>
          <w:color w:val="000000"/>
          <w:sz w:val="24"/>
        </w:rPr>
        <w:t xml:space="preserve">b.</w:t>
      </w:r>
      <w:r>
        <w:rPr>
          <w:rFonts w:ascii="FangSong" w:hAnsi="FangSong" w:eastAsia="FangSong" w:cs="FangSong"/>
          <w:color w:val="000000"/>
          <w:sz w:val="24"/>
        </w:rPr>
        <w:t xml:space="preserve">产品必须是正规厂家新品，不得以次充好；</w:t>
      </w:r>
      <w:r>
        <w:rPr>
          <w:rFonts w:ascii="Times New Roman" w:hAnsi="Times New Roman" w:eastAsia="Times New Roman" w:cs="Times New Roman"/>
          <w:color w:val="000000"/>
          <w:sz w:val="24"/>
        </w:rPr>
        <w:t xml:space="preserve">c.</w:t>
      </w:r>
      <w:r>
        <w:rPr>
          <w:rFonts w:ascii="FangSong" w:hAnsi="FangSong" w:eastAsia="FangSong" w:cs="FangSong"/>
          <w:color w:val="000000"/>
          <w:sz w:val="24"/>
        </w:rPr>
        <w:t xml:space="preserve">中标人负责货物的包装、保险，并运输至招标人指定的交货地点。零散及易损件需用木箱包装，确保防盗、防震、防潮、防破损，由于运输造成的设备损坏，丢失均由中标人负责处理；</w:t>
      </w:r>
      <w:r>
        <w:rPr>
          <w:rFonts w:ascii="Times New Roman" w:hAnsi="Times New Roman" w:eastAsia="Times New Roman" w:cs="Times New Roman"/>
          <w:color w:val="000000"/>
          <w:sz w:val="24"/>
        </w:rPr>
        <w:t xml:space="preserve">d.</w:t>
      </w:r>
      <w:r>
        <w:rPr>
          <w:rFonts w:ascii="FangSong" w:hAnsi="FangSong" w:eastAsia="FangSong" w:cs="FangSong"/>
          <w:color w:val="000000"/>
          <w:sz w:val="24"/>
        </w:rPr>
        <w:t xml:space="preserve">中标人负责货物装卸车、就位、组装、调试等工作，保证交给采购人货物的完好性。（注：字体内容、版面内容、颜色、型号、规格尺寸等制作时须由采购人确定，投标人应充分考虑这部分的风险并在报价时一并考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（三）未中标投标人的方案、效果图等内容，招标人不使用，也不提供任何方案设计等补偿。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（四）中标人供货时，甲方抽检</w:t>
      </w:r>
      <w:r>
        <w:rPr>
          <w:rFonts w:ascii="Times New Roman" w:hAnsi="Times New Roman" w:eastAsia="Times New Roman" w:cs="Times New Roman"/>
          <w:color w:val="000000"/>
          <w:sz w:val="24"/>
        </w:rPr>
        <w:t xml:space="preserve">15</w:t>
      </w:r>
      <w:r>
        <w:rPr>
          <w:rFonts w:ascii="FangSong" w:hAnsi="FangSong" w:eastAsia="FangSong" w:cs="FangSong"/>
          <w:color w:val="000000"/>
          <w:sz w:val="24"/>
        </w:rPr>
        <w:t xml:space="preserve">项定制清单里的家具产品（含破坏性检测），检测不合格的产品，中标人重新生产，并重新抽样检测，合格后方可投入使用，若同一产品连续两次检测均不合格，采购人有权拒收产品，相关损失及责任由中标人自行承担。中标人在供货前和项目整体供货安装结束后，应安排具有相关资质的专业检测机构依据</w:t>
      </w:r>
      <w:r>
        <w:rPr>
          <w:rFonts w:ascii="Times New Roman" w:hAnsi="Times New Roman" w:eastAsia="Times New Roman" w:cs="Times New Roman"/>
          <w:color w:val="000000"/>
          <w:sz w:val="24"/>
        </w:rPr>
        <w:t xml:space="preserve">GB/T18883-2022</w:t>
      </w:r>
      <w:r>
        <w:rPr>
          <w:rFonts w:ascii="FangSong" w:hAnsi="FangSong" w:eastAsia="FangSong" w:cs="FangSong"/>
          <w:color w:val="000000"/>
          <w:sz w:val="24"/>
        </w:rPr>
        <w:t xml:space="preserve">标准进行各个区域的空气检测，并出具空气环境检测报告，检测费用由中标人承担。如交货安装完成后空气检测不合格，由中标人进行整改，在合同期限内达到国家空气健康标准；如仍不合格，采购人有权拒付货款并要求中标人承担由此所造成的一切损失。</w:t>
      </w:r>
      <w:r/>
    </w:p>
    <w:p>
      <w:pPr>
        <w:ind w:left="48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（五）中标人供货安装应做好现场保护措施，因中标人操作不规范等原因导致采购人物资设备损坏的，由中标人承担赔偿责任。</w:t>
      </w:r>
      <w:r/>
    </w:p>
    <w:p>
      <w:pPr>
        <w:ind w:left="42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一、资格审查。</w:t>
      </w:r>
      <w:r>
        <w:rPr>
          <w:rFonts w:ascii="SimSun" w:hAnsi="SimSun" w:eastAsia="SimSun" w:cs="SimSun"/>
          <w:color w:val="000000"/>
          <w:sz w:val="24"/>
        </w:rPr>
        <w:t xml:space="preserve">资格审查人员按照下列指标对各投标人的资格进行审查，未通过审查的为无效标，不参与评标。</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4"/>
        <w:gridCol w:w="448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不接受联合体投标</w:t>
            </w:r>
            <w:r/>
          </w:p>
        </w:tc>
      </w:tr>
    </w:tbl>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0"/>
        <w:gridCol w:w="449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符合招标文件规定</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三、评分办法—综合评分法</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SimSun" w:hAnsi="SimSun" w:eastAsia="SimSun" w:cs="SimSun"/>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 </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（二）详细评审。</w:t>
      </w:r>
      <w:r>
        <w:rPr>
          <w:rFonts w:ascii="SimSun" w:hAnsi="SimSun" w:eastAsia="SimSun" w:cs="SimSun"/>
          <w:color w:val="000000"/>
          <w:sz w:val="24"/>
        </w:rPr>
        <w:t xml:space="preserve">评标委员会按照招标文件规定的评分标准，对各投标文件进行详细评审打分。评标委员会组长对各评审专家的打分情况进行复核无误后汇总，形成评审报告。</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16"/>
        <w:gridCol w:w="1971"/>
        <w:gridCol w:w="897"/>
        <w:gridCol w:w="4485"/>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采用低价优先法计算，即满足招标文件要求且投标价格最低的投标报价为评标基准价，其价格分为满分。其他投标人投标报价得分＝（评标基准价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针对招标文件“第四章 采购需求，三、定制清单”中的所列内容进行评分，所投产品主要技术参数完全满足或优于招标文件要求的得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分。清单合计</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项产品（每一序号为一项），每项</w:t>
            </w:r>
            <w:r>
              <w:rPr>
                <w:rFonts w:ascii="Times New Roman" w:hAnsi="Times New Roman" w:eastAsia="Times New Roman" w:cs="Times New Roman"/>
                <w:color w:val="000000"/>
                <w:sz w:val="21"/>
              </w:rPr>
              <w:t xml:space="preserve">0.04</w:t>
            </w:r>
            <w:r>
              <w:rPr>
                <w:rFonts w:ascii="SimSun" w:hAnsi="SimSun" w:eastAsia="SimSun" w:cs="SimSun"/>
                <w:color w:val="000000"/>
                <w:sz w:val="21"/>
              </w:rPr>
              <w:t xml:space="preserve">分。每一项中任意一条参数存在负偏离的则该项不得分。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注：投标人针对本项评标内容在投标文件《技术要求响应及偏离表》中逐条列出响应及偏离情况，《技术要求响应及偏离表》中未列出的对应项按负偏离进行扣分处理。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质量检测指标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提供甲醛释放限量检测（检测结果≤</w:t>
            </w:r>
            <w:r>
              <w:rPr>
                <w:rFonts w:ascii="Times New Roman" w:hAnsi="Times New Roman" w:eastAsia="Times New Roman" w:cs="Times New Roman"/>
                <w:color w:val="000000"/>
                <w:sz w:val="21"/>
              </w:rPr>
              <w:t xml:space="preserve">0.075mg/m</w:t>
            </w:r>
            <w:r>
              <w:rPr>
                <w:rFonts w:ascii="SimSun" w:hAnsi="SimSun" w:eastAsia="SimSun" w:cs="SimSun"/>
                <w:color w:val="000000"/>
                <w:sz w:val="21"/>
              </w:rPr>
              <w:t xml:space="preserve">³）的“凳类、书墙类、沙发类、展示架类、卡座类、书柜类、服务台类、阅览桌类、阅览椅类、书架类”成品的检验检测报告扫描件，每有一类符合要求的得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填写格式详见第六章；</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提供具备</w:t>
            </w:r>
            <w:r>
              <w:rPr>
                <w:rFonts w:ascii="Times New Roman" w:hAnsi="Times New Roman" w:eastAsia="Times New Roman" w:cs="Times New Roman"/>
                <w:color w:val="000000"/>
                <w:sz w:val="21"/>
              </w:rPr>
              <w:t xml:space="preserve">CMA</w:t>
            </w:r>
            <w:r>
              <w:rPr>
                <w:rFonts w:ascii="SimSun" w:hAnsi="SimSun" w:eastAsia="SimSun" w:cs="SimSun"/>
                <w:color w:val="000000"/>
                <w:sz w:val="21"/>
              </w:rPr>
              <w:t xml:space="preserve">资质认定的第三方检测机构（法律法规或主管部门明确无需</w:t>
            </w:r>
            <w:r>
              <w:rPr>
                <w:rFonts w:ascii="Times New Roman" w:hAnsi="Times New Roman" w:eastAsia="Times New Roman" w:cs="Times New Roman"/>
                <w:color w:val="000000"/>
                <w:sz w:val="21"/>
              </w:rPr>
              <w:t xml:space="preserve">CMA</w:t>
            </w:r>
            <w:r>
              <w:rPr>
                <w:rFonts w:ascii="SimSun" w:hAnsi="SimSun" w:eastAsia="SimSun" w:cs="SimSun"/>
                <w:color w:val="000000"/>
                <w:sz w:val="21"/>
              </w:rPr>
              <w:t xml:space="preserve">的除外）检验检测报告；</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同类成品仅计一次分。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效果展示图</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投标人依据招标文件提供的“第四章 采购需求</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区域划分、定制（设计）情况概述及效果、现场平面图；三、定制清单”的内容及要求，提供一层（楼）文学阅览室、一层（楼）</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小时自助图书馆、二层（楼）自科阅览室、二层（楼）社科阅览室、三层（楼）期报刊阅览室</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个区域的效果展示图（效果展示图须包括以下</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类：①平面摆放图、②区域鸟瞰图、③空间区域效果图、④家具在鸟瞰图上位置对应的清单，如将清单“序号</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”标注至鸟瞰图中对应的家具位置），评标委员会按每个区域具体情况进行评审。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区域布局合理、颜色搭配美观、功能分区界限明显、家具动线流畅，优于定制效果要求的得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区域布局较合理、颜色搭配较美观、功能分区界限较明显、家具动线较流畅，满足定制效果要求的得</w:t>
            </w:r>
            <w:r>
              <w:rPr>
                <w:rFonts w:ascii="Times New Roman" w:hAnsi="Times New Roman" w:eastAsia="Times New Roman" w:cs="Times New Roman"/>
                <w:color w:val="000000"/>
                <w:sz w:val="21"/>
              </w:rPr>
              <w:t xml:space="preserve">0.7</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区域布局少部分合理、颜色搭配少部分有冲突或影响美观、功能分区界限不明显、家具动线缺少一定的流畅，承诺少部分内容经过后期优化能满足定制效果要求的得</w:t>
            </w:r>
            <w:r>
              <w:rPr>
                <w:rFonts w:ascii="Times New Roman" w:hAnsi="Times New Roman" w:eastAsia="Times New Roman" w:cs="Times New Roman"/>
                <w:color w:val="000000"/>
                <w:sz w:val="21"/>
              </w:rPr>
              <w:t xml:space="preserve">0.4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区域布局多处不合理，颜色搭配多处冲突，功能分区界限不明显，家具动线多处不流畅，承诺多处可经过后期优化能满足定制效果要求的得</w:t>
            </w:r>
            <w:r>
              <w:rPr>
                <w:rFonts w:ascii="Times New Roman" w:hAnsi="Times New Roman" w:eastAsia="Times New Roman" w:cs="Times New Roman"/>
                <w:color w:val="000000"/>
                <w:sz w:val="21"/>
              </w:rPr>
              <w:t xml:space="preserve">0.1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每个区域最高得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分，最低得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每个区域</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类图缺少任意一种或任意一类图中显示的清单家具种类与招标文件清单家具种类不一致的或</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类图之间无法匹配的【如平面图上某种家具位置（或造型）与鸟瞰图对应位置（或造型）不一致或与其他图上对应位置（或造型）不一致的，属于无法匹配的情形）】；该区域不得分。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一层（楼）文学阅览室包含：服务区、自助借还区、存书区、创意阅览区、阅览区共计</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个区域；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一层（楼）</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小时自助图书馆包含：自助借还区、阅览区、观景阅览区共计</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个区域；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二层（楼）自科阅览室包含：服务区、自助借还区、临窗阅览区、存书区、创意阅览区、特色存书区共计</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个区域；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二层（楼）社科阅览室包含：服务区、存书区、双人阅览区、六人阅览区、单人阅览区、自助借还区共计</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个区域；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三层（楼）期报刊阅览室包含：服务区、报刊阅览区、卡座区、期刊阅览区、政府信息公开区共计</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个区域。</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动画演示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根据投标人所提供的一层（楼）文学阅览室、一层（楼）</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小时自助图书馆、二层（楼）自科阅览室、二层（楼）社科阅览室、三层（楼）期报刊阅览室</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个区域效果动画演示进行评审。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区域齐全，单一区域能融入整体区间、区域与区域之间家具空间联动过渡柔和协调，整体视觉效果美观，优于采购需求的得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区域齐全，单一区域较能融入整体区间、区域与区域之间家具空间联动过渡较柔和协调，整体视觉效果较美观，满足采购需求的得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少部分区域缺失或单一区域融入整体区间有较明显差别、区域与区域之间家具空间联动过渡差别较明显，需要少部分优化调整后可满足要求的得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大部分区域缺失或区域与区域之间、单一区域与整体区间融差异明显，整体效果缺陷突出，需要整体优化调整才能满足采购需求的得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注：投标人使用单页图片拼接、</w:t>
            </w:r>
            <w:r>
              <w:rPr>
                <w:rFonts w:ascii="Times New Roman" w:hAnsi="Times New Roman" w:eastAsia="Times New Roman" w:cs="Times New Roman"/>
                <w:color w:val="000000"/>
                <w:sz w:val="21"/>
              </w:rPr>
              <w:t xml:space="preserve">PPT</w:t>
            </w:r>
            <w:r>
              <w:rPr>
                <w:rFonts w:ascii="SimSun" w:hAnsi="SimSun" w:eastAsia="SimSun" w:cs="SimSun"/>
                <w:color w:val="000000"/>
                <w:sz w:val="21"/>
              </w:rPr>
              <w:t xml:space="preserve">演示、投标人单位宣传资料不得分。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企业经营业绩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日（以合同签订时间为准）以来，承担过与本项目类似业绩，每提供一个得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注：提供业绩合同材料电子件，且业绩合同中主要内容、标的、金额等清晰可见，否则该业绩不得分。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环境标志认证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环境标志认证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认证证书电子件的得</w:t>
            </w:r>
            <w:r>
              <w:rPr>
                <w:rFonts w:ascii="Times New Roman" w:hAnsi="Times New Roman" w:eastAsia="Times New Roman" w:cs="Times New Roman"/>
                <w:color w:val="000000"/>
                <w:sz w:val="21"/>
                <w:u w:val="none"/>
              </w:rPr>
              <w:t xml:space="preserve">1</w:t>
            </w:r>
            <w:r>
              <w:rPr>
                <w:rFonts w:ascii="SimSun" w:hAnsi="SimSun" w:eastAsia="SimSun" w:cs="SimSun"/>
                <w:color w:val="000000"/>
                <w:sz w:val="21"/>
                <w:u w:val="none"/>
              </w:rPr>
              <w:t xml:space="preserve">分，最高得</w:t>
            </w:r>
            <w:r>
              <w:rPr>
                <w:rFonts w:ascii="Times New Roman" w:hAnsi="Times New Roman" w:eastAsia="Times New Roman" w:cs="Times New Roman"/>
                <w:color w:val="000000"/>
                <w:sz w:val="21"/>
                <w:u w:val="none"/>
              </w:rPr>
              <w:t xml:space="preserve">1</w:t>
            </w:r>
            <w:r>
              <w:rPr>
                <w:rFonts w:ascii="SimSun" w:hAnsi="SimSun" w:eastAsia="SimSun" w:cs="SimSun"/>
                <w:color w:val="000000"/>
                <w:sz w:val="21"/>
                <w:u w:val="none"/>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投标文件提供上述证书电子件和在国家市场监督管理总局全国认证认可信息公共服务平台查询认证完整页面截图，未提供的不得分。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项目认知及理解</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根据投标人提供的项目认知及理解，从建设内容、定制设计效果的理解、实施的重点难点分析等角度进行评审。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有详细的认知及理解说明、对定制设计效果有明确的解释并能结合采购人单位性质进行分析、明确项目的重点难点，且解决处理方案并优于采购需求的得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有较详细的认知及理解说明、对定制设计效果有较明确的解释并较能结合采购人单位性质进行分析、较明确项目的重点难点，且解决处理方案可满足采购需求的得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关键内容没有分析说明、少部分能符合项目实际情况，但承诺后期优化能满足的得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无实质性内容，或未提供的得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根据投标人提供的项目实施方案，从项目实施规划、质保保障及处理措施、供货进度计划、安装调试方案等方面，对方案实施内容，以及各工序衔接的流畅性、工作内容的详细度进行评审。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项目实施规划环节流程详尽；质保保障及处理措施全面；供货进度计划精准适配，能有效保障项目按时推进；安装调试方案细致且实操性强。整套方案紧密贴合项目实际，优于采购需求，得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项目实施规划较完整，具备主要环节；质保保障措施较完善，可满足项目基本要求；供货进度计划较为合理，能保证项目有序推进；安装调试方案较实用。较契合项目实际，可满足采购需求，得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项目实施规划关键环节缺失；质保保障措施存在部分缺漏；供货进度计划合理性一般；安装调试方案简单粗略，但投标人承诺后续优化，并确保能满足采购需求，得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方案无实质内容，在关键维度完全不满足采购需求，或未提供的得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根据投标人提供的售后服务方案，从售后承诺的详实、服务体系的完备性、服务内容响应的全面性及故障响应的及时性出发，依据以下标准进行评审：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售后承诺详实，服务体系内容全面，服务内容高效全面，故障响应高效。方案高度契合项目实际，优于满足采购要求，得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售后承诺覆盖核心要点，服务体系基本完备，服务内容涵盖项目主要需求，故障响应速度达标。方案基本贴合项目实际，可满足采购要求，得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售后承诺缺乏实质内容，服务体系存在缺陷；服务内容少量符合项目要求，方案整体针对性欠佳，少部分满足采购要求需要整体优化调整的，得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售后服务不符合要求，未提供或方案无实质内容的得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质保承诺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满足招标文件质保期</w:t>
            </w:r>
            <w:r>
              <w:rPr>
                <w:rFonts w:ascii="Times New Roman" w:hAnsi="Times New Roman" w:eastAsia="Times New Roman" w:cs="Times New Roman"/>
                <w:color w:val="000000"/>
                <w:sz w:val="21"/>
                <w:u w:val="none"/>
              </w:rPr>
              <w:t xml:space="preserve">3</w:t>
            </w:r>
            <w:r>
              <w:rPr>
                <w:rFonts w:ascii="SimSun" w:hAnsi="SimSun" w:eastAsia="SimSun" w:cs="SimSun"/>
                <w:color w:val="000000"/>
                <w:sz w:val="21"/>
                <w:u w:val="none"/>
              </w:rPr>
              <w:t xml:space="preserve">年的基础上</w:t>
            </w: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每增加一年质保期得</w:t>
            </w:r>
            <w:r>
              <w:rPr>
                <w:rFonts w:ascii="Times New Roman" w:hAnsi="Times New Roman" w:eastAsia="Times New Roman" w:cs="Times New Roman"/>
                <w:color w:val="000000"/>
                <w:sz w:val="21"/>
                <w:u w:val="none"/>
              </w:rPr>
              <w:t xml:space="preserve">2</w:t>
            </w:r>
            <w:r>
              <w:rPr>
                <w:rFonts w:ascii="SimSun" w:hAnsi="SimSun" w:eastAsia="SimSun" w:cs="SimSun"/>
                <w:color w:val="000000"/>
                <w:sz w:val="21"/>
                <w:u w:val="none"/>
              </w:rPr>
              <w:t xml:space="preserve">分，最高得</w:t>
            </w:r>
            <w:r>
              <w:rPr>
                <w:rFonts w:ascii="Times New Roman" w:hAnsi="Times New Roman" w:eastAsia="Times New Roman" w:cs="Times New Roman"/>
                <w:color w:val="000000"/>
                <w:sz w:val="21"/>
                <w:u w:val="none"/>
              </w:rPr>
              <w:t xml:space="preserve">4</w:t>
            </w:r>
            <w:r>
              <w:rPr>
                <w:rFonts w:ascii="SimSun" w:hAnsi="SimSun" w:eastAsia="SimSun" w:cs="SimSun"/>
                <w:color w:val="000000"/>
                <w:sz w:val="21"/>
                <w:u w:val="none"/>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注：以承诺函的质保期为准（格式详见第六章）。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（三）评标结果。</w:t>
      </w:r>
      <w:r>
        <w:rPr>
          <w:rFonts w:ascii="SimSun" w:hAnsi="SimSun" w:eastAsia="SimSun" w:cs="SimSun"/>
          <w:color w:val="000000"/>
          <w:sz w:val="24"/>
        </w:rPr>
        <w:t xml:space="preserve">评标委员会按照本办法规定推荐1名中标候选人，并形成评标报告。</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Times New Roman" w:hAnsi="Times New Roman" w:eastAsia="Times New Roman" w:cs="Times New Roman"/>
          <w:b/>
          <w:color w:val="000000"/>
          <w:sz w:val="24"/>
          <w:u w:val="single"/>
        </w:rPr>
        <w:t xml:space="preserve">1</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2</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3</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4</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5</w:t>
      </w:r>
      <w:r/>
    </w:p>
    <w:p>
      <w:pPr>
        <w:numPr>
          <w:ilvl w:val="0"/>
          <w:numId w:val="3"/>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采购本国货物、工程和服务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号文）等相关规定。是否采购进口产品以采购需求中确定的为准。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b/>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当采购项目或者采购包中含有多种产品，投标人为该采购项目或者采购包提供的符合本国产品标准的产品成本之和占该投标人提供的全部产品成本之和的比例达到</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以上</w:t>
      </w:r>
      <w:r>
        <w:rPr>
          <w:rFonts w:ascii="SimSun" w:hAnsi="SimSun" w:eastAsia="SimSun" w:cs="SimSun"/>
          <w:color w:val="000000"/>
          <w:sz w:val="24"/>
        </w:rPr>
        <w:t xml:space="preserve">时（投标人需在“第六章投标文件格式”的“分项报价表”中填写比例数值），依法对该投标人提供的全部产品给予价格评审优惠，即对该投标人提供的全部产品的总报价给予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的价格扣除，用扣除后的价格参与评审。投标人未填写比例数值，或比例数值未达到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投标人需按照招标文件的要求提供《关于符合本国产品标准的声明函》，如不提供将不享受本国产品价格评审优惠。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号）和招标文件规定的，投标人提供的相关产品视为不符合本国产品标准。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1 </w:t>
      </w:r>
      <w:r>
        <w:rPr>
          <w:rFonts w:ascii="SimSun" w:hAnsi="SimSun" w:eastAsia="SimSun" w:cs="SimSun"/>
          <w:color w:val="000000"/>
          <w:sz w:val="24"/>
        </w:rPr>
        <w:t xml:space="preserve">种政策确定本项目落实的中小企业政策：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）投标人提供的货物符合下列情形的，对小微企业报价给予</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的扣除，用扣除后的价格参加评审。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出具的属于监狱企业的证明文件（投标文件中上传加盖出具单位公章的电子件）。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）的扣除，用扣除后的价格参加评审。（是否接受联合体以“项目基本情况”相关内容为准，是否允许大中型企业向一家或者多家小微企业分包以“投标人须知”、“采购需求”相关内容为准。）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、政府采购节能产品、环境标志产品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）采购人拟采购的产品属于优先采购的节能环保品目清单范围的，按以下条件优先采购：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、政府采购需求标准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按照财政部印发的《商品包装政府采购需求标准（试行）》《快递包装政府采购需求标准（试行）》要求执行，本项目商品包装和快递包装的具体需求详见第四章采购需求。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绿色数据中心政府采购需求标准（试行）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按照财政部生态环境部工业和信息化部关于印发《绿色数据中心政府采购需求标准（试行）》的通知）要求执行，本项目绿色数据中心的具体需求详见第四章采购需求。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绿色建材政府采购需求标准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、采购产品中涉及涂料、胶黏剂、油墨、清洗剂等挥发性有机物产品的，属于强制性标准的，投标人应当提供符合国家和江苏省相关</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含量限制标准的产品。采购产品中涉及通用类货物，投标人应当优先使用低挥发性原辅材料，采购人将使用低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含量的涂料、胶黏剂等纳入政府采购合同条款的，投标人必须严格执行。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一、投标人响应承诺函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四、法定代表人身份证明或授权委托书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七、中小企业声明函或残疾人福利性单位声明函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十一、质量检测指标</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十二、关于符合本国产品标准的声明函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十三、投标所需其他材料</w:t>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项目的招标文件，我方在参加本项目招投标活动中，特做出如下承诺：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一、我方具备《中华人民共和国政府采购法》第二十二条第一款规定的</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2"/>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无需提供营业执照等证明材料</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四、法定代表人身份证明或授权委托书</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法定代表人身份证明</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（采购人名称）</w:t>
      </w:r>
      <w:r>
        <w:rPr>
          <w:rFonts w:ascii="SimSun" w:hAnsi="SimSun" w:eastAsia="SimSun" w:cs="SimSun"/>
          <w:color w:val="000000"/>
          <w:sz w:val="28"/>
        </w:rPr>
        <w:t xml:space="preserve">：</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（法定代表人姓名）</w:t>
      </w:r>
      <w:r>
        <w:rPr>
          <w:rFonts w:ascii="SimSun" w:hAnsi="SimSun" w:eastAsia="SimSun" w:cs="SimSun"/>
          <w:color w:val="000000"/>
          <w:sz w:val="28"/>
        </w:rPr>
        <w:t xml:space="preserve">，身份证号：</w:t>
      </w:r>
      <w:r>
        <w:rPr>
          <w:rFonts w:ascii="SimSun" w:hAnsi="SimSun" w:eastAsia="SimSun" w:cs="SimSun"/>
          <w:color w:val="000000"/>
          <w:sz w:val="28"/>
          <w:u w:val="single"/>
        </w:rPr>
        <w:t xml:space="preserve">           </w:t>
      </w:r>
      <w:r>
        <w:rPr>
          <w:rFonts w:ascii="SimSun" w:hAnsi="SimSun" w:eastAsia="SimSun" w:cs="SimSun"/>
          <w:color w:val="000000"/>
          <w:sz w:val="28"/>
        </w:rPr>
        <w:t xml:space="preserve">，系</w:t>
      </w:r>
      <w:r>
        <w:rPr>
          <w:rFonts w:ascii="SimSun" w:hAnsi="SimSun" w:eastAsia="SimSun" w:cs="SimSun"/>
          <w:color w:val="000000"/>
          <w:sz w:val="28"/>
          <w:u w:val="single"/>
        </w:rPr>
        <w:t xml:space="preserve">                      （投标人名称）</w:t>
      </w:r>
      <w:r>
        <w:rPr>
          <w:rFonts w:ascii="SimSun" w:hAnsi="SimSun" w:eastAsia="SimSun" w:cs="SimSun"/>
          <w:color w:val="000000"/>
          <w:sz w:val="28"/>
        </w:rPr>
        <w:t xml:space="preserve">的法定代表人，处理此次</w:t>
      </w:r>
      <w:r>
        <w:rPr>
          <w:rFonts w:ascii="SimSun" w:hAnsi="SimSun" w:eastAsia="SimSun" w:cs="SimSun"/>
          <w:color w:val="000000"/>
          <w:sz w:val="28"/>
          <w:u w:val="single"/>
        </w:rPr>
        <w:t xml:space="preserve"> （项目名称、项目编号）</w:t>
      </w:r>
      <w:r>
        <w:rPr>
          <w:rFonts w:ascii="SimSun" w:hAnsi="SimSun" w:eastAsia="SimSun" w:cs="SimSun"/>
          <w:color w:val="000000"/>
          <w:sz w:val="28"/>
        </w:rPr>
        <w:t xml:space="preserve">招投标活动的一切事宜。</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特此证明。</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right"/>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5"/>
        <w:jc w:val="center"/>
        <w:spacing w:before="240" w:after="24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单位名称：</w:t>
      </w:r>
      <w:r>
        <w:rPr>
          <w:rFonts w:ascii="SimSun" w:hAnsi="SimSun" w:eastAsia="SimSun" w:cs="SimSun"/>
          <w:color w:val="000000"/>
          <w:sz w:val="28"/>
          <w:u w:val="single"/>
        </w:rPr>
        <w:t xml:space="preserve">         </w:t>
      </w:r>
      <w:r>
        <w:rPr>
          <w:rFonts w:ascii="SimSun" w:hAnsi="SimSun" w:eastAsia="SimSun" w:cs="SimSun"/>
          <w:color w:val="000000"/>
          <w:sz w:val="28"/>
        </w:rPr>
        <w:t xml:space="preserve">（加盖CA电子公章）</w:t>
      </w:r>
      <w:r/>
    </w:p>
    <w:p>
      <w:pPr>
        <w:ind w:left="0" w:right="0" w:firstLine="495"/>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法定代表人：</w:t>
      </w:r>
      <w:r>
        <w:rPr>
          <w:rFonts w:ascii="SimSun" w:hAnsi="SimSun" w:eastAsia="SimSun" w:cs="SimSun"/>
          <w:color w:val="000000"/>
          <w:sz w:val="28"/>
          <w:u w:val="single"/>
        </w:rPr>
        <w:t xml:space="preserve">           </w:t>
      </w:r>
      <w:r>
        <w:rPr>
          <w:rFonts w:ascii="SimSun" w:hAnsi="SimSun" w:eastAsia="SimSun" w:cs="SimSun"/>
          <w:color w:val="000000"/>
          <w:sz w:val="28"/>
        </w:rPr>
        <w:t xml:space="preserve">（签字或盖章）</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六、投标报价明细表（分包号：</w:t>
      </w:r>
      <w:r>
        <w:rPr>
          <w:rFonts w:ascii="Times New Roman" w:hAnsi="Times New Roman" w:eastAsia="Times New Roman" w:cs="Times New Roman"/>
          <w:b/>
          <w:color w:val="000000"/>
          <w:sz w:val="32"/>
        </w:rPr>
        <w:t xml:space="preserve">**</w:t>
      </w:r>
      <w:r>
        <w:rPr>
          <w:rFonts w:ascii="SimSun" w:hAnsi="SimSun" w:eastAsia="SimSun" w:cs="SimSun"/>
          <w:b/>
          <w:color w:val="000000"/>
          <w:sz w:val="32"/>
        </w:rPr>
        <w:t xml:space="preserve">）</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分项报价表（货物类）</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9"/>
        <w:gridCol w:w="394"/>
        <w:gridCol w:w="569"/>
        <w:gridCol w:w="746"/>
        <w:gridCol w:w="982"/>
        <w:gridCol w:w="1482"/>
        <w:gridCol w:w="918"/>
        <w:gridCol w:w="1055"/>
        <w:gridCol w:w="854"/>
        <w:gridCol w:w="854"/>
        <w:gridCol w:w="104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投标总报价</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6"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人民币（大写）：</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仟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 万</w:t>
            </w:r>
            <w:r>
              <w:rPr>
                <w:rFonts w:ascii="SimSun" w:hAnsi="SimSun" w:eastAsia="SimSun" w:cs="SimSun"/>
                <w:color w:val="000000"/>
                <w:sz w:val="24"/>
                <w:u w:val="single"/>
              </w:rPr>
              <w:t xml:space="preserve">    </w:t>
            </w:r>
            <w:r>
              <w:rPr>
                <w:rFonts w:ascii="SimSun" w:hAnsi="SimSun" w:eastAsia="SimSun" w:cs="SimSun"/>
                <w:color w:val="000000"/>
                <w:sz w:val="24"/>
              </w:rPr>
              <w:t xml:space="preserve">仟</w:t>
            </w:r>
            <w:r>
              <w:rPr>
                <w:rFonts w:ascii="SimSun" w:hAnsi="SimSun" w:eastAsia="SimSun" w:cs="SimSun"/>
                <w:color w:val="000000"/>
                <w:sz w:val="24"/>
                <w:u w:val="single"/>
              </w:rPr>
              <w:t xml:space="preserve">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角</w:t>
            </w:r>
            <w:r>
              <w:rPr>
                <w:rFonts w:ascii="SimSun" w:hAnsi="SimSun" w:eastAsia="SimSun" w:cs="SimSun"/>
                <w:color w:val="000000"/>
                <w:sz w:val="24"/>
                <w:u w:val="single"/>
              </w:rPr>
              <w:t xml:space="preserve">      </w:t>
            </w:r>
            <w:r>
              <w:rPr>
                <w:rFonts w:ascii="SimSun" w:hAnsi="SimSun" w:eastAsia="SimSun" w:cs="SimSun"/>
                <w:color w:val="000000"/>
                <w:sz w:val="24"/>
              </w:rPr>
              <w:t xml:space="preserve">分</w:t>
            </w:r>
            <w:r/>
          </w:p>
        </w:tc>
      </w:tr>
      <w:tr>
        <w:trPr>
          <w:trHeight w:val="6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本采购包中提供的符合本国产品标准的产品成本之和占该采购包提供的全部产品成本之和的比例为</w:t>
            </w:r>
            <w:r>
              <w:rPr>
                <w:rFonts w:ascii="Arial" w:hAnsi="Arial" w:eastAsia="Arial" w:cs="Arial"/>
                <w:color w:val="000000"/>
                <w:sz w:val="28"/>
                <w:u w:val="single"/>
              </w:rPr>
              <w:t xml:space="preserve">          </w:t>
            </w:r>
            <w:r>
              <w:rPr>
                <w:rFonts w:ascii="Arial" w:hAnsi="Arial" w:eastAsia="Arial" w:cs="Arial"/>
                <w:color w:val="000000"/>
                <w:sz w:val="28"/>
              </w:rPr>
              <w:t xml:space="preserve">%。</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“投标分项报价表”中“投标总报价”数额应当与“开标一览表”中“投标总报价”数额一致。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本采购包中含有多种产品时，投标人未填写本采购包中提供的符合本国产品标准的产品成本之和占该采购包提供的全部产品成本之和的比例数值的，或比例数值未达到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4"/>
        <w:ind w:left="0" w:right="0" w:firstLine="0"/>
        <w:spacing w:before="120" w:after="120" w:line="761"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spacing w:before="120" w:after="12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七、中小（微）企业声明函（货物）（分包号：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中小微企业声明函（货物类项目）（采购包号：**）</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48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残疾人福利性单位声明函（货物类项目）（采购包号：**）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供应商全称（加盖CA电子公章）：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期：___年____月____日</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w:t>
      </w:r>
      <w:r>
        <w:rPr>
          <w:rFonts w:ascii="SimSun" w:hAnsi="SimSun" w:eastAsia="SimSun" w:cs="SimSun"/>
          <w:b/>
          <w:color w:val="000000"/>
          <w:sz w:val="32"/>
        </w:rPr>
        <w:t xml:space="preserve">、技术要求响应及偏离表（分包号：</w:t>
      </w:r>
      <w:r>
        <w:rPr>
          <w:rFonts w:ascii="Times New Roman" w:hAnsi="Times New Roman" w:eastAsia="Times New Roman" w:cs="Times New Roman"/>
          <w:b/>
          <w:color w:val="000000"/>
          <w:sz w:val="32"/>
        </w:rPr>
        <w:t xml:space="preserve">**</w:t>
      </w:r>
      <w:r>
        <w:rPr>
          <w:rFonts w:ascii="SimSun" w:hAnsi="SimSun" w:eastAsia="SimSun" w:cs="SimSun"/>
          <w:b/>
          <w:color w:val="000000"/>
          <w:sz w:val="32"/>
        </w:rPr>
        <w:t xml:space="preserve">）</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偏离情况</w:t>
            </w:r>
            <w:r/>
          </w:p>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b/>
                <w:color w:val="000000"/>
                <w:sz w:val="24"/>
              </w:rPr>
              <w:t xml:space="preserve">正偏离、负偏离、无偏离</w:t>
            </w:r>
            <w:r>
              <w:rPr>
                <w:rFonts w:ascii="SimSun" w:hAnsi="SimSun" w:eastAsia="SimSun" w:cs="SimSun"/>
                <w:color w:val="000000"/>
                <w:sz w:val="28"/>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（加盖CA电子公章）</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投标人针对本项评标内容在投标文件《技术要求响应及偏离表》中逐条列出响应及偏离情况，《技术要求响应及偏离表》中未列出的对应项按负偏离进行扣分处理。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行数不够，可自行添加。</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100" w:after="10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注：如供应商中标，项目组成员必须按本表承诺人员操作，不得随意更换。按招标文件要求附相关人员证书。</w:t>
      </w:r>
      <w:r/>
    </w:p>
    <w:p>
      <w:pPr>
        <w:ind w:left="0" w:right="0" w:firstLine="280"/>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numPr>
          <w:ilvl w:val="0"/>
          <w:numId w:val="4"/>
        </w:numPr>
        <w:spacing w:before="240" w:after="240"/>
        <w:pBdr>
          <w:top w:val="none" w:color="000000" w:sz="4" w:space="0"/>
          <w:left w:val="none" w:color="000000" w:sz="4" w:space="0"/>
          <w:bottom w:val="none" w:color="000000" w:sz="4" w:space="0"/>
          <w:right w:val="none" w:color="000000" w:sz="4" w:space="0"/>
        </w:pBdr>
      </w:pPr>
      <w:r>
        <w:br w:type="page" w:clear="all"/>
      </w:r>
      <w:r/>
    </w:p>
    <w:p>
      <w:pPr>
        <w:numPr>
          <w:ilvl w:val="0"/>
          <w:numId w:val="4"/>
        </w:numP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质量检测指标</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6"/>
        <w:gridCol w:w="2602"/>
        <w:gridCol w:w="2487"/>
        <w:gridCol w:w="2013"/>
        <w:gridCol w:w="8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投标产品名称（所投产品名称）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定制清单同类产品的序号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甲醛释放限量检测检测结果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凳类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书墙类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沙发类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展示架类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卡座类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书柜类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服务台类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阅览桌类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阅览椅类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书架类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注：投标人按要求提供相关检测报告扫描件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十二、关于符合本国产品标准的声明函</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格式详见投标文件制作工具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质保承诺函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致：</w:t>
      </w:r>
      <w:r>
        <w:rPr>
          <w:rFonts w:ascii="SimHei" w:hAnsi="SimHei" w:eastAsia="SimHei" w:cs="SimHei"/>
          <w:color w:val="000000"/>
          <w:sz w:val="32"/>
          <w:u w:val="single"/>
        </w:rPr>
        <w:t xml:space="preserve">（采购人全称）</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我单位承诺，在满足招标文件质保期</w:t>
      </w:r>
      <w:r>
        <w:rPr>
          <w:rFonts w:ascii="Times New Roman" w:hAnsi="Times New Roman" w:eastAsia="Times New Roman" w:cs="Times New Roman"/>
          <w:color w:val="000000"/>
          <w:sz w:val="32"/>
        </w:rPr>
        <w:t xml:space="preserve">3</w:t>
      </w:r>
      <w:r>
        <w:rPr>
          <w:rFonts w:ascii="SimHei" w:hAnsi="SimHei" w:eastAsia="SimHei" w:cs="SimHei"/>
          <w:color w:val="000000"/>
          <w:sz w:val="32"/>
        </w:rPr>
        <w:t xml:space="preserve">年的基础上</w:t>
      </w:r>
      <w:r>
        <w:rPr>
          <w:rFonts w:ascii="Times New Roman" w:hAnsi="Times New Roman" w:eastAsia="Times New Roman" w:cs="Times New Roman"/>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增加</w:t>
      </w:r>
      <w:r>
        <w:rPr>
          <w:rFonts w:ascii="SimHei" w:hAnsi="SimHei" w:eastAsia="SimHei" w:cs="SimHei"/>
          <w:color w:val="000000"/>
          <w:sz w:val="32"/>
          <w:u w:val="single"/>
        </w:rPr>
        <w:t xml:space="preserve">    </w:t>
      </w:r>
      <w:r>
        <w:rPr>
          <w:rFonts w:ascii="SimHei" w:hAnsi="SimHei" w:eastAsia="SimHei" w:cs="SimHei"/>
          <w:color w:val="000000"/>
          <w:sz w:val="32"/>
        </w:rPr>
        <w:t xml:space="preserve">年质保期，共计质保期为</w:t>
      </w:r>
      <w:r>
        <w:rPr>
          <w:rFonts w:ascii="SimHei" w:hAnsi="SimHei" w:eastAsia="SimHei" w:cs="SimHei"/>
          <w:color w:val="000000"/>
          <w:sz w:val="32"/>
          <w:u w:val="single"/>
        </w:rPr>
        <w:t xml:space="preserve">      </w:t>
      </w:r>
      <w:r>
        <w:rPr>
          <w:rFonts w:ascii="SimHei" w:hAnsi="SimHei" w:eastAsia="SimHei" w:cs="SimHei"/>
          <w:color w:val="000000"/>
          <w:sz w:val="32"/>
        </w:rPr>
        <w:t xml:space="preserve">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沈鹏程</cp:lastModifiedBy>
  <cp:revision>2</cp:revision>
  <dcterms:created xsi:type="dcterms:W3CDTF">2026-09-01T06:25:30Z</dcterms:created>
  <dcterms:modified xsi:type="dcterms:W3CDTF">2026-09-01T08:59:39Z</dcterms:modified>
</cp:coreProperties>
</file>