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9"/>
        <w:ind w:firstLine="0"/>
        <w:rPr>
          <w:rFonts w:hint="eastAsia" w:eastAsia="黑体"/>
          <w:b/>
          <w:bCs/>
          <w:color w:val="000000"/>
          <w:sz w:val="84"/>
          <w:highlight w:val="none"/>
        </w:rPr>
      </w:pPr>
      <w:r>
        <w:rPr>
          <w:rFonts w:hint="eastAsia" w:eastAsia="黑体"/>
          <w:b/>
          <w:bCs/>
          <w:color w:val="000000"/>
          <w:sz w:val="84"/>
          <w:highlight w:val="none"/>
        </w:rPr>
      </w:r>
      <w:r>
        <w:rPr>
          <w:highlight w:val="none"/>
        </w:rPr>
      </w:r>
    </w:p>
    <w:p>
      <w:pPr>
        <w:pStyle w:val="969"/>
        <w:ind w:firstLine="0"/>
        <w:jc w:val="center"/>
        <w:rPr>
          <w:rFonts w:hint="eastAsia" w:ascii="方正小标宋_GBK" w:hAnsi="方正小标宋_GBK" w:eastAsia="方正小标宋_GBK" w:cs="方正小标宋_GBK"/>
          <w:color w:val="000000"/>
          <w:sz w:val="28"/>
          <w:szCs w:val="28"/>
          <w:highlight w:val="none"/>
        </w:rPr>
      </w:pPr>
      <w:r>
        <w:rPr>
          <w:rFonts w:hint="eastAsia" w:ascii="方正小标宋_GBK" w:hAnsi="方正小标宋_GBK" w:eastAsia="方正小标宋_GBK" w:cs="方正小标宋_GBK"/>
          <w:color w:val="000000"/>
          <w:sz w:val="28"/>
          <w:szCs w:val="28"/>
          <w:highlight w:val="none"/>
        </w:rPr>
        <w:t xml:space="preserve">招　标　文　件</w:t>
      </w:r>
      <w:r>
        <w:rPr>
          <w:highlight w:val="none"/>
        </w:rPr>
      </w:r>
    </w:p>
    <w:p>
      <w:pPr>
        <w:pStyle w:val="969"/>
        <w:ind w:firstLine="1968"/>
        <w:spacing w:line="400" w:lineRule="exact"/>
        <w:rPr>
          <w:rFonts w:hint="eastAsia"/>
          <w:b/>
          <w:bCs/>
          <w:color w:val="000000"/>
          <w:sz w:val="28"/>
          <w:szCs w:val="28"/>
          <w:highlight w:val="none"/>
        </w:rPr>
      </w:pPr>
      <w:r>
        <w:rPr>
          <w:rFonts w:hint="eastAsia"/>
          <w:b/>
          <w:bCs/>
          <w:color w:val="000000"/>
          <w:sz w:val="28"/>
          <w:szCs w:val="28"/>
          <w:highlight w:val="none"/>
        </w:rPr>
      </w:r>
      <w:r>
        <w:rPr>
          <w:highlight w:val="none"/>
        </w:rPr>
      </w:r>
    </w:p>
    <w:p>
      <w:pPr>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项目名称：_南京交通职业技术学院物业服务项目采购（2026年度）_</w:t>
      </w:r>
      <w:r>
        <w:rPr>
          <w:highlight w:val="none"/>
        </w:rPr>
      </w:r>
    </w:p>
    <w:p>
      <w:pPr>
        <w:jc w:val="center"/>
        <w:spacing w:before="120" w:after="120" w:line="400" w:lineRule="exact"/>
        <w:rPr>
          <w:rFonts w:hint="eastAsia"/>
          <w:b/>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采购编号：</w:t>
      </w:r>
      <w:r>
        <w:rPr>
          <w:rFonts w:eastAsia="方正黑体_GBK"/>
          <w:color w:val="000000"/>
          <w:sz w:val="28"/>
          <w:szCs w:val="28"/>
          <w:highlight w:val="none"/>
        </w:rPr>
        <w:t xml:space="preserve">JSZC-320000-SCZX-G2026-0251</w:t>
      </w:r>
      <w:r>
        <w:rPr>
          <w:highlight w:val="none"/>
        </w:rPr>
      </w:r>
    </w:p>
    <w:p>
      <w:pPr>
        <w:pStyle w:val="969"/>
        <w:ind w:firstLine="0"/>
        <w:spacing w:before="0" w:after="0"/>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p>
    <w:p>
      <w:pPr>
        <w:pStyle w:val="969"/>
        <w:ind w:firstLine="0"/>
        <w:spacing w:before="0" w:after="0"/>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p>
    <w:p>
      <w:pPr>
        <w:pStyle w:val="969"/>
        <w:ind w:firstLine="0"/>
        <w:spacing w:before="0" w:after="0"/>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p>
    <w:p>
      <w:pPr>
        <w:pStyle w:val="969"/>
        <w:ind w:firstLine="0"/>
        <w:spacing w:before="0" w:after="0"/>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p>
    <w:p>
      <w:pPr>
        <w:pStyle w:val="969"/>
        <w:ind w:firstLine="0"/>
        <w:spacing w:before="0" w:after="0"/>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p>
    <w:p>
      <w:pPr>
        <w:pStyle w:val="969"/>
        <w:ind w:firstLine="0"/>
        <w:spacing w:before="0" w:after="0"/>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p>
    <w:p>
      <w:pPr>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江苏省政府采购中心</w:t>
      </w:r>
      <w:r>
        <w:rPr>
          <w:highlight w:val="none"/>
        </w:rPr>
      </w:r>
    </w:p>
    <w:p>
      <w:pPr>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_2026_年_</w:t>
      </w:r>
      <w:r>
        <w:rPr>
          <w:rFonts w:hint="eastAsia" w:ascii="方正黑体_GBK" w:hAnsi="方正黑体_GBK" w:eastAsia="方正黑体_GBK" w:cs="方正黑体_GBK"/>
          <w:color w:val="000000"/>
          <w:sz w:val="28"/>
          <w:szCs w:val="28"/>
          <w:highlight w:val="none"/>
          <w:lang w:val="en-US" w:eastAsia="zh-CN"/>
        </w:rPr>
        <w:t xml:space="preserve">8</w:t>
      </w:r>
      <w:r>
        <w:rPr>
          <w:rFonts w:hint="eastAsia" w:ascii="方正黑体_GBK" w:hAnsi="方正黑体_GBK" w:eastAsia="方正黑体_GBK" w:cs="方正黑体_GBK"/>
          <w:color w:val="000000"/>
          <w:sz w:val="28"/>
          <w:szCs w:val="28"/>
          <w:highlight w:val="none"/>
        </w:rPr>
        <w:t xml:space="preserve">_月</w:t>
      </w:r>
      <w:r>
        <w:rPr>
          <w:highlight w:val="none"/>
        </w:rPr>
      </w:r>
    </w:p>
    <w:p>
      <w:pPr>
        <w:pStyle w:val="969"/>
        <w:ind w:firstLine="0"/>
        <w:rPr>
          <w:rFonts w:hint="eastAsia"/>
          <w:color w:val="000000"/>
          <w:highlight w:val="none"/>
          <w:u w:val="single"/>
        </w:rPr>
      </w:pPr>
      <w:r>
        <w:rPr>
          <w:rFonts w:hint="eastAsia"/>
          <w:color w:val="000000"/>
          <w:highlight w:val="none"/>
        </w:rPr>
        <w:t xml:space="preserve">                        </w:t>
      </w:r>
      <w:r>
        <w:rPr>
          <w:highlight w:val="none"/>
        </w:rPr>
      </w:r>
    </w:p>
    <w:p>
      <w:pPr>
        <w:pStyle w:val="969"/>
        <w:ind w:firstLine="0"/>
        <w:jc w:val="center"/>
        <w:rPr>
          <w:rFonts w:hint="eastAsia"/>
          <w:color w:val="000000"/>
          <w:highlight w:val="none"/>
        </w:rPr>
      </w:pPr>
      <w:r>
        <w:rPr>
          <w:rFonts w:hint="eastAsia"/>
          <w:color w:val="000000"/>
          <w:highlight w:val="none"/>
        </w:rPr>
      </w:r>
      <w:r>
        <w:rPr>
          <w:highlight w:val="none"/>
        </w:rPr>
      </w:r>
    </w:p>
    <w:p>
      <w:pPr>
        <w:jc w:val="center"/>
        <w:spacing w:line="400" w:lineRule="exact"/>
        <w:rPr>
          <w:rFonts w:hint="eastAsia" w:ascii="黑体" w:hAnsi="Arial" w:eastAsia="黑体"/>
          <w:b/>
          <w:color w:val="000000"/>
          <w:sz w:val="28"/>
          <w:szCs w:val="28"/>
          <w:highlight w:val="none"/>
        </w:rPr>
        <w:outlineLvl w:val="0"/>
      </w:pPr>
      <w:r>
        <w:rPr>
          <w:color w:val="000000"/>
          <w:highlight w:val="none"/>
        </w:rPr>
        <w:br w:type="page" w:clear="all"/>
      </w:r>
      <w:bookmarkStart w:id="0" w:name="_Toc120614210"/>
      <w:r>
        <w:rPr>
          <w:highlight w:val="none"/>
        </w:rPr>
      </w:r>
      <w:bookmarkStart w:id="1" w:name="_Toc523127445"/>
      <w:r>
        <w:rPr>
          <w:highlight w:val="none"/>
        </w:rPr>
      </w:r>
      <w:bookmarkStart w:id="2" w:name="_Toc16938516"/>
      <w:r>
        <w:rPr>
          <w:highlight w:val="none"/>
        </w:rPr>
      </w:r>
      <w:bookmarkStart w:id="3" w:name="_Toc20823272"/>
      <w:r>
        <w:rPr>
          <w:highlight w:val="none"/>
        </w:rPr>
      </w:r>
      <w:bookmarkStart w:id="4" w:name="_Toc513029200"/>
      <w:r>
        <w:rPr>
          <w:highlight w:val="none"/>
        </w:rPr>
      </w:r>
      <w:bookmarkStart w:id="5" w:name="_Toc479757206"/>
      <w:r>
        <w:rPr>
          <w:rFonts w:hint="eastAsia" w:ascii="方正黑体_GBK" w:hAnsi="方正黑体_GBK" w:eastAsia="方正黑体_GBK" w:cs="方正黑体_GBK"/>
          <w:b/>
          <w:color w:val="000000"/>
          <w:sz w:val="28"/>
          <w:szCs w:val="28"/>
          <w:highlight w:val="none"/>
        </w:rPr>
        <w:t xml:space="preserve"> </w:t>
      </w:r>
      <w:r>
        <w:rPr>
          <w:rFonts w:hint="eastAsia" w:ascii="方正黑体_GBK" w:hAnsi="方正黑体_GBK" w:eastAsia="方正黑体_GBK" w:cs="方正黑体_GBK"/>
          <w:bCs/>
          <w:color w:val="000000"/>
          <w:sz w:val="28"/>
          <w:szCs w:val="28"/>
          <w:highlight w:val="none"/>
        </w:rPr>
        <w:t xml:space="preserve">总  目  录</w:t>
      </w:r>
      <w:r>
        <w:rPr>
          <w:highlight w:val="none"/>
        </w:rPr>
      </w:r>
    </w:p>
    <w:p>
      <w:pPr>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r>
      <w:r>
        <w:rPr>
          <w:highlight w:val="none"/>
        </w:rPr>
      </w:r>
    </w:p>
    <w:p>
      <w:pPr>
        <w:jc w:val="center"/>
        <w:spacing w:line="400" w:lineRule="exact"/>
        <w:rPr>
          <w:rFonts w:hint="eastAsia" w:ascii="方正黑体_GBK" w:hAnsi="方正黑体_GBK" w:eastAsia="方正黑体_GBK" w:cs="方正黑体_GBK"/>
          <w:color w:val="auto"/>
          <w:sz w:val="28"/>
          <w:szCs w:val="28"/>
          <w:highlight w:val="none"/>
        </w:rPr>
        <w:outlineLvl w:val="0"/>
      </w:pPr>
      <w:r>
        <w:rPr>
          <w:rFonts w:hint="eastAsia" w:ascii="方正黑体_GBK" w:hAnsi="方正黑体_GBK" w:eastAsia="方正黑体_GBK" w:cs="方正黑体_GBK"/>
          <w:color w:val="auto"/>
          <w:sz w:val="28"/>
          <w:szCs w:val="28"/>
          <w:highlight w:val="none"/>
        </w:rPr>
        <w:t xml:space="preserve">第一章 投标邀请……………………………………1</w:t>
      </w:r>
      <w:r>
        <w:rPr>
          <w:highlight w:val="none"/>
        </w:rPr>
      </w:r>
    </w:p>
    <w:p>
      <w:pPr>
        <w:jc w:val="center"/>
        <w:spacing w:line="400" w:lineRule="exact"/>
        <w:rPr>
          <w:rFonts w:hint="eastAsia" w:ascii="方正黑体_GBK" w:hAnsi="方正黑体_GBK" w:eastAsia="方正黑体_GBK" w:cs="方正黑体_GBK"/>
          <w:color w:val="auto"/>
          <w:sz w:val="28"/>
          <w:szCs w:val="28"/>
          <w:highlight w:val="none"/>
        </w:rPr>
        <w:outlineLvl w:val="0"/>
      </w:pPr>
      <w:r>
        <w:rPr>
          <w:rFonts w:hint="eastAsia" w:ascii="方正黑体_GBK" w:hAnsi="方正黑体_GBK" w:eastAsia="方正黑体_GBK" w:cs="方正黑体_GBK"/>
          <w:color w:val="auto"/>
          <w:sz w:val="28"/>
          <w:szCs w:val="28"/>
          <w:highlight w:val="none"/>
        </w:rPr>
        <w:t xml:space="preserve">第二章 投标人须知…………………………………4</w:t>
      </w:r>
      <w:r>
        <w:rPr>
          <w:highlight w:val="none"/>
        </w:rPr>
      </w:r>
    </w:p>
    <w:p>
      <w:pPr>
        <w:jc w:val="center"/>
        <w:spacing w:line="400" w:lineRule="exact"/>
        <w:rPr>
          <w:rFonts w:ascii="方正黑体_GBK" w:hAnsi="方正黑体_GBK" w:eastAsia="方正黑体_GBK" w:cs="方正黑体_GBK"/>
          <w:color w:val="auto"/>
          <w:sz w:val="28"/>
          <w:szCs w:val="28"/>
          <w:highlight w:val="none"/>
        </w:rPr>
        <w:outlineLvl w:val="0"/>
      </w:pPr>
      <w:r>
        <w:rPr>
          <w:rFonts w:hint="eastAsia" w:ascii="方正黑体_GBK" w:hAnsi="方正黑体_GBK" w:eastAsia="方正黑体_GBK" w:cs="方正黑体_GBK"/>
          <w:color w:val="auto"/>
          <w:sz w:val="28"/>
          <w:szCs w:val="28"/>
          <w:highlight w:val="none"/>
        </w:rPr>
        <w:t xml:space="preserve">第三章 合同文本……………………………………14</w:t>
      </w:r>
      <w:r>
        <w:rPr>
          <w:highlight w:val="none"/>
        </w:rPr>
      </w:r>
    </w:p>
    <w:p>
      <w:pPr>
        <w:jc w:val="center"/>
        <w:spacing w:line="400" w:lineRule="exact"/>
        <w:rPr>
          <w:rFonts w:ascii="方正黑体_GBK" w:hAnsi="方正黑体_GBK" w:eastAsia="方正黑体_GBK" w:cs="方正黑体_GBK"/>
          <w:color w:val="auto"/>
          <w:sz w:val="28"/>
          <w:szCs w:val="28"/>
          <w:highlight w:val="none"/>
        </w:rPr>
        <w:outlineLvl w:val="0"/>
      </w:pPr>
      <w:r>
        <w:rPr>
          <w:rFonts w:hint="eastAsia" w:ascii="方正黑体_GBK" w:hAnsi="方正黑体_GBK" w:eastAsia="方正黑体_GBK" w:cs="方正黑体_GBK"/>
          <w:color w:val="auto"/>
          <w:sz w:val="28"/>
          <w:szCs w:val="28"/>
          <w:highlight w:val="none"/>
        </w:rPr>
        <w:t xml:space="preserve">第四章 采购需求……………………………………18</w:t>
      </w:r>
      <w:r>
        <w:rPr>
          <w:highlight w:val="none"/>
        </w:rPr>
      </w:r>
    </w:p>
    <w:p>
      <w:pPr>
        <w:jc w:val="center"/>
        <w:spacing w:line="400" w:lineRule="exact"/>
        <w:rPr>
          <w:rFonts w:hint="default" w:ascii="方正黑体_GBK" w:hAnsi="方正黑体_GBK" w:eastAsia="方正黑体_GBK" w:cs="方正黑体_GBK"/>
          <w:color w:val="auto"/>
          <w:sz w:val="28"/>
          <w:szCs w:val="28"/>
          <w:highlight w:val="none"/>
        </w:rPr>
        <w:outlineLvl w:val="0"/>
      </w:pPr>
      <w:r>
        <w:rPr>
          <w:rFonts w:hint="eastAsia" w:ascii="方正黑体_GBK" w:hAnsi="方正黑体_GBK" w:eastAsia="方正黑体_GBK" w:cs="方正黑体_GBK"/>
          <w:color w:val="auto"/>
          <w:sz w:val="28"/>
          <w:szCs w:val="28"/>
          <w:highlight w:val="none"/>
        </w:rPr>
        <w:t xml:space="preserve">第五章 评标方法与评标标准………………………</w:t>
      </w:r>
      <w:r>
        <w:rPr>
          <w:rFonts w:hint="eastAsia" w:ascii="方正黑体_GBK" w:hAnsi="方正黑体_GBK" w:eastAsia="方正黑体_GBK" w:cs="方正黑体_GBK"/>
          <w:color w:val="auto"/>
          <w:sz w:val="28"/>
          <w:szCs w:val="28"/>
          <w:highlight w:val="none"/>
          <w:lang w:val="en-US" w:eastAsia="zh-CN"/>
        </w:rPr>
        <w:t xml:space="preserve">56</w:t>
      </w:r>
      <w:r>
        <w:rPr>
          <w:highlight w:val="none"/>
        </w:rPr>
      </w:r>
    </w:p>
    <w:p>
      <w:pPr>
        <w:jc w:val="center"/>
        <w:spacing w:line="400" w:lineRule="exact"/>
        <w:rPr>
          <w:rFonts w:hint="default" w:ascii="方正黑体_GBK" w:hAnsi="方正黑体_GBK" w:eastAsia="方正黑体_GBK" w:cs="方正黑体_GBK"/>
          <w:color w:val="auto"/>
          <w:sz w:val="28"/>
          <w:szCs w:val="28"/>
          <w:highlight w:val="none"/>
        </w:rPr>
        <w:outlineLvl w:val="0"/>
      </w:pPr>
      <w:r>
        <w:rPr>
          <w:rFonts w:hint="eastAsia" w:ascii="方正黑体_GBK" w:hAnsi="方正黑体_GBK" w:eastAsia="方正黑体_GBK" w:cs="方正黑体_GBK"/>
          <w:color w:val="auto"/>
          <w:sz w:val="28"/>
          <w:szCs w:val="28"/>
          <w:highlight w:val="none"/>
        </w:rPr>
        <w:t xml:space="preserve">第六章 投标文件格式………………………………</w:t>
      </w:r>
      <w:r>
        <w:rPr>
          <w:rFonts w:hint="eastAsia" w:ascii="方正黑体_GBK" w:hAnsi="方正黑体_GBK" w:eastAsia="方正黑体_GBK" w:cs="方正黑体_GBK"/>
          <w:color w:val="auto"/>
          <w:sz w:val="28"/>
          <w:szCs w:val="28"/>
          <w:highlight w:val="none"/>
          <w:lang w:val="en-US" w:eastAsia="zh-CN"/>
        </w:rPr>
        <w:t xml:space="preserve">78</w:t>
      </w:r>
      <w:r>
        <w:rPr>
          <w:highlight w:val="none"/>
        </w:rPr>
      </w:r>
    </w:p>
    <w:p>
      <w:pPr>
        <w:rPr>
          <w:rFonts w:hint="eastAsia"/>
          <w:color w:val="000000"/>
          <w:highlight w:val="none"/>
        </w:rPr>
      </w:pPr>
      <w:r>
        <w:rPr>
          <w:rFonts w:hint="eastAsia"/>
          <w:color w:val="000000"/>
          <w:highlight w:val="none"/>
        </w:rPr>
      </w:r>
      <w:r>
        <w:rPr>
          <w:highlight w:val="none"/>
        </w:rPr>
      </w:r>
    </w:p>
    <w:p>
      <w:pPr>
        <w:rPr>
          <w:rFonts w:hint="eastAsia"/>
          <w:color w:val="000000"/>
          <w:highlight w:val="none"/>
        </w:rPr>
      </w:pPr>
      <w:r>
        <w:rPr>
          <w:rFonts w:hint="eastAsia"/>
          <w:color w:val="000000"/>
          <w:highlight w:val="none"/>
        </w:rPr>
      </w:r>
      <w:r>
        <w:rPr>
          <w:highlight w:val="none"/>
        </w:rPr>
      </w:r>
    </w:p>
    <w:p>
      <w:pPr>
        <w:rPr>
          <w:rFonts w:hint="eastAsia"/>
          <w:color w:val="000000"/>
          <w:highlight w:val="none"/>
        </w:rPr>
      </w:pPr>
      <w:r>
        <w:rPr>
          <w:rFonts w:hint="eastAsia"/>
          <w:color w:val="000000"/>
          <w:highlight w:val="none"/>
        </w:rPr>
      </w:r>
      <w:r>
        <w:rPr>
          <w:highlight w:val="none"/>
        </w:rPr>
      </w:r>
    </w:p>
    <w:p>
      <w:pPr>
        <w:rPr>
          <w:rFonts w:hint="eastAsia"/>
          <w:color w:val="000000"/>
          <w:highlight w:val="none"/>
        </w:rPr>
      </w:pPr>
      <w:r>
        <w:rPr>
          <w:rFonts w:hint="eastAsia"/>
          <w:color w:val="000000"/>
          <w:highlight w:val="none"/>
        </w:rPr>
      </w:r>
      <w:r>
        <w:rPr>
          <w:highlight w:val="none"/>
        </w:rPr>
      </w:r>
    </w:p>
    <w:p>
      <w:pPr>
        <w:rPr>
          <w:rFonts w:hint="eastAsia"/>
          <w:color w:val="000000"/>
          <w:highlight w:val="none"/>
        </w:rPr>
      </w:pPr>
      <w:r>
        <w:rPr>
          <w:rFonts w:hint="eastAsia"/>
          <w:color w:val="000000"/>
          <w:highlight w:val="none"/>
        </w:rPr>
      </w:r>
      <w:r>
        <w:rPr>
          <w:highlight w:val="none"/>
        </w:rPr>
      </w:r>
    </w:p>
    <w:p>
      <w:pPr>
        <w:rPr>
          <w:rFonts w:hint="eastAsia"/>
          <w:color w:val="000000"/>
          <w:highlight w:val="none"/>
        </w:rPr>
      </w:pPr>
      <w:r>
        <w:rPr>
          <w:rFonts w:hint="eastAsia"/>
          <w:color w:val="000000"/>
          <w:highlight w:val="none"/>
        </w:rPr>
      </w:r>
      <w:r>
        <w:rPr>
          <w:highlight w:val="none"/>
        </w:rPr>
      </w:r>
    </w:p>
    <w:p>
      <w:pPr>
        <w:rPr>
          <w:rFonts w:hint="eastAsia"/>
          <w:color w:val="000000"/>
          <w:highlight w:val="none"/>
        </w:rPr>
      </w:pPr>
      <w:r>
        <w:rPr>
          <w:rFonts w:hint="eastAsia"/>
          <w:color w:val="000000"/>
          <w:highlight w:val="none"/>
        </w:rPr>
      </w:r>
      <w:r>
        <w:rPr>
          <w:highlight w:val="none"/>
        </w:rPr>
      </w:r>
    </w:p>
    <w:p>
      <w:pPr>
        <w:rPr>
          <w:rFonts w:hint="eastAsia"/>
          <w:color w:val="000000"/>
          <w:highlight w:val="none"/>
        </w:rPr>
      </w:pPr>
      <w:r>
        <w:rPr>
          <w:rFonts w:hint="eastAsia"/>
          <w:color w:val="000000"/>
          <w:highlight w:val="none"/>
        </w:rPr>
      </w:r>
      <w:r>
        <w:rPr>
          <w:highlight w:val="none"/>
        </w:rPr>
      </w:r>
    </w:p>
    <w:p>
      <w:pPr>
        <w:rPr>
          <w:rFonts w:hint="eastAsia"/>
          <w:color w:val="000000"/>
          <w:highlight w:val="none"/>
        </w:rPr>
      </w:pPr>
      <w:r>
        <w:rPr>
          <w:rFonts w:hint="eastAsia"/>
          <w:color w:val="000000"/>
          <w:highlight w:val="none"/>
        </w:rPr>
      </w:r>
      <w:r>
        <w:rPr>
          <w:highlight w:val="none"/>
        </w:rPr>
      </w:r>
    </w:p>
    <w:p>
      <w:pPr>
        <w:rPr>
          <w:rFonts w:hint="eastAsia"/>
          <w:color w:val="000000"/>
          <w:highlight w:val="none"/>
        </w:rPr>
      </w:pPr>
      <w:r>
        <w:rPr>
          <w:rFonts w:hint="eastAsia"/>
          <w:color w:val="000000"/>
          <w:highlight w:val="none"/>
        </w:rPr>
      </w:r>
      <w:r>
        <w:rPr>
          <w:highlight w:val="none"/>
        </w:rPr>
      </w:r>
    </w:p>
    <w:p>
      <w:pPr>
        <w:rPr>
          <w:rFonts w:hint="eastAsia"/>
          <w:color w:val="000000"/>
          <w:highlight w:val="none"/>
        </w:rPr>
      </w:pPr>
      <w:r>
        <w:rPr>
          <w:rFonts w:hint="eastAsia"/>
          <w:color w:val="000000"/>
          <w:highlight w:val="none"/>
        </w:rPr>
      </w:r>
      <w:r>
        <w:rPr>
          <w:highlight w:val="none"/>
        </w:rPr>
      </w:r>
    </w:p>
    <w:p>
      <w:pPr>
        <w:rPr>
          <w:rFonts w:hint="eastAsia"/>
          <w:color w:val="000000"/>
          <w:highlight w:val="none"/>
        </w:rPr>
      </w:pPr>
      <w:r>
        <w:rPr>
          <w:rFonts w:hint="eastAsia"/>
          <w:color w:val="000000"/>
          <w:highlight w:val="none"/>
        </w:rPr>
      </w:r>
      <w:r>
        <w:rPr>
          <w:highlight w:val="none"/>
        </w:rPr>
      </w:r>
    </w:p>
    <w:p>
      <w:pPr>
        <w:rPr>
          <w:rFonts w:hint="eastAsia"/>
          <w:color w:val="000000"/>
          <w:highlight w:val="none"/>
        </w:rPr>
      </w:pPr>
      <w:r>
        <w:rPr>
          <w:rFonts w:hint="eastAsia"/>
          <w:color w:val="000000"/>
          <w:highlight w:val="none"/>
        </w:rPr>
      </w:r>
      <w:r>
        <w:rPr>
          <w:highlight w:val="none"/>
        </w:rPr>
      </w:r>
    </w:p>
    <w:p>
      <w:pPr>
        <w:rPr>
          <w:rFonts w:hint="eastAsia"/>
          <w:color w:val="000000"/>
          <w:highlight w:val="none"/>
        </w:rPr>
      </w:pPr>
      <w:r>
        <w:rPr>
          <w:rFonts w:hint="eastAsia"/>
          <w:color w:val="000000"/>
          <w:highlight w:val="none"/>
        </w:rPr>
      </w:r>
      <w:r>
        <w:rPr>
          <w:highlight w:val="none"/>
        </w:rPr>
      </w:r>
    </w:p>
    <w:p>
      <w:pPr>
        <w:rPr>
          <w:rFonts w:hint="eastAsia"/>
          <w:color w:val="000000"/>
          <w:highlight w:val="none"/>
        </w:rPr>
      </w:pPr>
      <w:r>
        <w:rPr>
          <w:rFonts w:hint="eastAsia"/>
          <w:color w:val="000000"/>
          <w:highlight w:val="none"/>
        </w:rPr>
      </w:r>
      <w:r>
        <w:rPr>
          <w:highlight w:val="none"/>
        </w:rPr>
      </w:r>
    </w:p>
    <w:p>
      <w:pPr>
        <w:rPr>
          <w:rFonts w:hint="eastAsia"/>
          <w:color w:val="000000"/>
          <w:highlight w:val="none"/>
        </w:rPr>
      </w:pPr>
      <w:r>
        <w:rPr>
          <w:rFonts w:hint="eastAsia"/>
          <w:color w:val="000000"/>
          <w:highlight w:val="none"/>
        </w:rPr>
      </w:r>
      <w:r>
        <w:rPr>
          <w:highlight w:val="none"/>
        </w:rPr>
      </w:r>
    </w:p>
    <w:p>
      <w:pPr>
        <w:rPr>
          <w:rFonts w:hint="eastAsia"/>
          <w:color w:val="000000"/>
          <w:highlight w:val="none"/>
        </w:rPr>
      </w:pPr>
      <w:r>
        <w:rPr>
          <w:rFonts w:hint="eastAsia"/>
          <w:color w:val="000000"/>
          <w:highlight w:val="none"/>
        </w:rPr>
      </w:r>
      <w:r>
        <w:rPr>
          <w:highlight w:val="none"/>
        </w:rPr>
      </w:r>
    </w:p>
    <w:p>
      <w:pPr>
        <w:rPr>
          <w:rFonts w:hint="eastAsia"/>
          <w:color w:val="000000"/>
          <w:highlight w:val="none"/>
        </w:rPr>
      </w:pPr>
      <w:r>
        <w:rPr>
          <w:rFonts w:hint="eastAsia"/>
          <w:color w:val="000000"/>
          <w:highlight w:val="none"/>
        </w:rPr>
      </w:r>
      <w:r>
        <w:rPr>
          <w:highlight w:val="none"/>
        </w:rPr>
      </w:r>
    </w:p>
    <w:p>
      <w:pPr>
        <w:rPr>
          <w:rFonts w:hint="eastAsia"/>
          <w:color w:val="000000"/>
          <w:highlight w:val="none"/>
        </w:rPr>
      </w:pPr>
      <w:r>
        <w:rPr>
          <w:rFonts w:hint="eastAsia"/>
          <w:color w:val="000000"/>
          <w:highlight w:val="none"/>
        </w:rPr>
      </w:r>
      <w:r>
        <w:rPr>
          <w:highlight w:val="none"/>
        </w:rPr>
      </w:r>
    </w:p>
    <w:p>
      <w:pPr>
        <w:rPr>
          <w:rFonts w:hint="eastAsia"/>
          <w:color w:val="000000"/>
          <w:highlight w:val="none"/>
        </w:rPr>
      </w:pPr>
      <w:r>
        <w:rPr>
          <w:rFonts w:hint="eastAsia"/>
          <w:color w:val="000000"/>
          <w:highlight w:val="none"/>
        </w:rPr>
      </w:r>
      <w:r>
        <w:rPr>
          <w:highlight w:val="none"/>
        </w:rPr>
      </w:r>
    </w:p>
    <w:p>
      <w:pPr>
        <w:rPr>
          <w:rFonts w:hint="eastAsia"/>
          <w:color w:val="000000"/>
          <w:highlight w:val="none"/>
        </w:rPr>
      </w:pPr>
      <w:r>
        <w:rPr>
          <w:rFonts w:hint="eastAsia"/>
          <w:color w:val="000000"/>
          <w:highlight w:val="none"/>
        </w:rPr>
      </w:r>
      <w:r>
        <w:rPr>
          <w:highlight w:val="none"/>
        </w:rPr>
      </w:r>
    </w:p>
    <w:p>
      <w:pPr>
        <w:rPr>
          <w:rFonts w:hint="eastAsia"/>
          <w:color w:val="000000"/>
          <w:highlight w:val="none"/>
        </w:rPr>
      </w:pPr>
      <w:r>
        <w:rPr>
          <w:rFonts w:hint="eastAsia"/>
          <w:color w:val="000000"/>
          <w:highlight w:val="none"/>
        </w:rPr>
      </w:r>
      <w:r>
        <w:rPr>
          <w:highlight w:val="none"/>
        </w:rPr>
      </w:r>
    </w:p>
    <w:p>
      <w:pPr>
        <w:rPr>
          <w:rFonts w:hint="eastAsia"/>
          <w:color w:val="000000"/>
          <w:highlight w:val="none"/>
        </w:rPr>
      </w:pPr>
      <w:r>
        <w:rPr>
          <w:rFonts w:hint="eastAsia"/>
          <w:color w:val="000000"/>
          <w:highlight w:val="none"/>
        </w:rPr>
      </w:r>
      <w:r>
        <w:rPr>
          <w:highlight w:val="none"/>
        </w:rPr>
      </w:r>
    </w:p>
    <w:p>
      <w:pPr>
        <w:rPr>
          <w:rFonts w:hint="eastAsia"/>
          <w:color w:val="000000"/>
          <w:highlight w:val="none"/>
        </w:rPr>
      </w:pPr>
      <w:r>
        <w:rPr>
          <w:rFonts w:hint="eastAsia"/>
          <w:color w:val="000000"/>
          <w:highlight w:val="none"/>
        </w:rPr>
      </w:r>
      <w:r>
        <w:rPr>
          <w:highlight w:val="none"/>
        </w:rPr>
      </w:r>
    </w:p>
    <w:p>
      <w:pPr>
        <w:rPr>
          <w:rFonts w:hint="eastAsia"/>
          <w:color w:val="000000"/>
          <w:highlight w:val="none"/>
        </w:rPr>
        <w:sectPr>
          <w:headerReference w:type="default" r:id="rId9"/>
          <w:footerReference w:type="default" r:id="rId10"/>
          <w:footnotePr/>
          <w:endnotePr/>
          <w:type w:val="nextPage"/>
          <w:pgSz w:w="11906" w:h="16838" w:orient="portrait"/>
          <w:pgMar w:top="1418" w:right="1588" w:bottom="1418" w:left="1365" w:header="851" w:footer="907" w:gutter="0"/>
          <w:pgNumType w:start="1"/>
          <w:cols w:num="1" w:sep="0" w:space="1701" w:equalWidth="1"/>
          <w:docGrid w:linePitch="360"/>
        </w:sectPr>
      </w:pPr>
      <w:r>
        <w:rPr>
          <w:rFonts w:hint="eastAsia"/>
          <w:color w:val="000000"/>
          <w:highlight w:val="none"/>
        </w:rPr>
      </w:r>
      <w:r>
        <w:rPr>
          <w:highlight w:val="none"/>
        </w:rPr>
      </w:r>
    </w:p>
    <w:p>
      <w:pPr>
        <w:rPr>
          <w:rFonts w:hint="eastAsia"/>
          <w:color w:val="000000"/>
          <w:highlight w:val="none"/>
        </w:rPr>
      </w:pPr>
      <w:r>
        <w:rPr>
          <w:rFonts w:hint="eastAsia"/>
          <w:color w:val="000000"/>
          <w:highlight w:val="none"/>
        </w:rPr>
      </w:r>
      <w:r>
        <w:rPr>
          <w:highlight w:val="none"/>
        </w:rPr>
      </w:r>
    </w:p>
    <w:p>
      <w:pPr>
        <w:rPr>
          <w:rFonts w:hint="eastAsia"/>
          <w:color w:val="000000"/>
          <w:highlight w:val="none"/>
        </w:rPr>
      </w:pPr>
      <w:r>
        <w:rPr>
          <w:rFonts w:hint="eastAsia"/>
          <w:color w:val="000000"/>
          <w:highlight w:val="none"/>
        </w:rPr>
      </w:r>
      <w:r>
        <w:rPr>
          <w:highlight w:val="none"/>
        </w:rPr>
      </w:r>
    </w:p>
    <w:p>
      <w:pPr>
        <w:rPr>
          <w:rFonts w:hint="eastAsia"/>
          <w:color w:val="000000"/>
          <w:highlight w:val="none"/>
        </w:rPr>
      </w:pPr>
      <w:r>
        <w:rPr>
          <w:rFonts w:hint="eastAsia"/>
          <w:color w:val="000000"/>
          <w:highlight w:val="none"/>
        </w:rPr>
      </w:r>
      <w:r>
        <w:rPr>
          <w:highlight w:val="none"/>
        </w:rPr>
      </w:r>
    </w:p>
    <w:p>
      <w:pPr>
        <w:jc w:val="center"/>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第一章  </w:t>
      </w:r>
      <w:bookmarkEnd w:id="0"/>
      <w:r>
        <w:rPr>
          <w:rFonts w:hint="eastAsia" w:ascii="方正黑体_GBK" w:hAnsi="方正黑体_GBK" w:eastAsia="方正黑体_GBK" w:cs="方正黑体_GBK"/>
          <w:color w:val="000000"/>
          <w:sz w:val="28"/>
          <w:szCs w:val="28"/>
          <w:highlight w:val="none"/>
        </w:rPr>
        <w:t xml:space="preserve">投标邀请</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受〔南京交通职业技术学院〕的委托，江苏省政府采购中心就〔南京交通职业技术学院物业服务项目采购（2026年度）〕(〔JSZC-320000-SCZX-G2026-0251〕)项目进行公开招标采购，欢迎符合条件的供应商投标。</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rPr>
        <w:t xml:space="preserve">项目概况</w:t>
      </w:r>
      <w:r>
        <w:rPr>
          <w:highlight w:val="none"/>
        </w:rPr>
      </w:r>
    </w:p>
    <w:p>
      <w:pPr>
        <w:ind w:firstLine="560"/>
        <w:spacing w:line="400" w:lineRule="exact"/>
        <w:rPr>
          <w:rFonts w:ascii="宋体" w:hAnsi="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u w:val="single"/>
        </w:rPr>
        <w:t xml:space="preserve"> 南京交通职业技术学院物业服务项目采购（2026年度）</w:t>
      </w:r>
      <w:r>
        <w:rPr>
          <w:rFonts w:hint="eastAsia" w:ascii="方正仿宋_GBK" w:hAnsi="方正仿宋_GBK" w:eastAsia="方正仿宋_GBK" w:cs="方正仿宋_GBK"/>
          <w:color w:val="000000"/>
          <w:sz w:val="28"/>
          <w:szCs w:val="28"/>
          <w:highlight w:val="none"/>
        </w:rPr>
        <w:t xml:space="preserve">招标项目的潜在投标人可在</w:t>
      </w:r>
      <w:r>
        <w:rPr>
          <w:rFonts w:hint="eastAsia" w:ascii="方正仿宋_GBK" w:hAnsi="方正仿宋_GBK" w:eastAsia="方正仿宋_GBK" w:cs="方正仿宋_GBK"/>
          <w:color w:val="000000"/>
          <w:sz w:val="28"/>
          <w:szCs w:val="28"/>
          <w:highlight w:val="none"/>
          <w:u w:val="single"/>
        </w:rPr>
        <w:t xml:space="preserve">“江苏政府采购网”自行免费下载</w:t>
      </w:r>
      <w:r>
        <w:rPr>
          <w:rFonts w:hint="eastAsia" w:ascii="方正仿宋_GBK" w:hAnsi="方正仿宋_GBK" w:eastAsia="方正仿宋_GBK" w:cs="方正仿宋_GBK"/>
          <w:color w:val="000000"/>
          <w:sz w:val="28"/>
          <w:szCs w:val="28"/>
          <w:highlight w:val="none"/>
        </w:rPr>
        <w:t xml:space="preserve">招标文件，并于2026</w:t>
      </w:r>
      <w:r>
        <w:rPr>
          <w:rFonts w:hint="eastAsia" w:ascii="方正仿宋_GBK" w:hAnsi="方正仿宋_GBK" w:eastAsia="方正仿宋_GBK" w:cs="方正仿宋_GBK"/>
          <w:bCs/>
          <w:color w:val="000000"/>
          <w:sz w:val="28"/>
          <w:szCs w:val="28"/>
          <w:highlight w:val="none"/>
        </w:rPr>
        <w:t xml:space="preserve">年</w:t>
      </w:r>
      <w:r>
        <w:rPr>
          <w:rFonts w:hint="eastAsia" w:eastAsia="方正仿宋_GBK"/>
          <w:color w:val="000000"/>
          <w:sz w:val="28"/>
          <w:szCs w:val="28"/>
          <w:highlight w:val="none"/>
        </w:rPr>
        <w:t xml:space="preserve">8</w:t>
      </w:r>
      <w:r>
        <w:rPr>
          <w:rFonts w:hint="eastAsia" w:ascii="方正仿宋_GBK" w:hAnsi="方正仿宋_GBK" w:eastAsia="方正仿宋_GBK" w:cs="方正仿宋_GBK"/>
          <w:bCs/>
          <w:color w:val="000000"/>
          <w:sz w:val="28"/>
          <w:szCs w:val="28"/>
          <w:highlight w:val="none"/>
        </w:rPr>
        <w:t xml:space="preserve">月</w:t>
      </w:r>
      <w:r>
        <w:rPr>
          <w:rFonts w:hint="eastAsia" w:eastAsia="方正仿宋_GBK"/>
          <w:color w:val="000000"/>
          <w:sz w:val="28"/>
          <w:szCs w:val="28"/>
          <w:highlight w:val="none"/>
        </w:rPr>
        <w:t xml:space="preserve">28</w:t>
      </w:r>
      <w:r>
        <w:rPr>
          <w:rFonts w:hint="eastAsia" w:ascii="方正仿宋_GBK" w:hAnsi="方正仿宋_GBK" w:eastAsia="方正仿宋_GBK" w:cs="方正仿宋_GBK"/>
          <w:bCs/>
          <w:color w:val="000000"/>
          <w:sz w:val="28"/>
          <w:szCs w:val="28"/>
          <w:highlight w:val="none"/>
        </w:rPr>
        <w:t xml:space="preserve">日9</w:t>
      </w:r>
      <w:r>
        <w:rPr>
          <w:rFonts w:hint="eastAsia" w:ascii="方正仿宋_GBK" w:hAnsi="方正仿宋_GBK" w:eastAsia="方正仿宋_GBK" w:cs="方正仿宋_GBK"/>
          <w:color w:val="000000"/>
          <w:sz w:val="28"/>
          <w:szCs w:val="28"/>
          <w:highlight w:val="none"/>
        </w:rPr>
        <w:t xml:space="preserve">时</w:t>
      </w:r>
      <w:r>
        <w:rPr>
          <w:rFonts w:hint="eastAsia" w:eastAsia="方正仿宋_GBK"/>
          <w:color w:val="000000"/>
          <w:sz w:val="28"/>
          <w:szCs w:val="28"/>
          <w:highlight w:val="none"/>
        </w:rPr>
        <w:t xml:space="preserve">30</w:t>
      </w:r>
      <w:r>
        <w:rPr>
          <w:rFonts w:hint="eastAsia" w:ascii="方正仿宋_GBK" w:hAnsi="方正仿宋_GBK" w:eastAsia="方正仿宋_GBK" w:cs="方正仿宋_GBK"/>
          <w:bCs/>
          <w:color w:val="000000"/>
          <w:sz w:val="28"/>
          <w:szCs w:val="28"/>
          <w:highlight w:val="none"/>
        </w:rPr>
        <w:t xml:space="preserve">分（北京时间）前递交投标文件</w:t>
      </w:r>
      <w:r>
        <w:rPr>
          <w:rFonts w:hint="eastAsia" w:ascii="方正仿宋_GBK" w:hAnsi="方正仿宋_GBK" w:eastAsia="方正仿宋_GBK" w:cs="方正仿宋_GBK"/>
          <w:color w:val="000000"/>
          <w:sz w:val="28"/>
          <w:szCs w:val="28"/>
          <w:highlight w:val="none"/>
        </w:rPr>
        <w:t xml:space="preserve">。</w:t>
      </w:r>
      <w:r>
        <w:rPr>
          <w:highlight w:val="none"/>
        </w:rPr>
      </w:r>
    </w:p>
    <w:p>
      <w:pPr>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rPr>
          <w:highlight w:val="none"/>
        </w:rPr>
      </w:r>
      <w:bookmarkStart w:id="6" w:name="_Toc28359002"/>
      <w:r>
        <w:rPr>
          <w:highlight w:val="none"/>
        </w:rPr>
      </w:r>
      <w:bookmarkStart w:id="7" w:name="_Toc28359079"/>
      <w:r>
        <w:rPr>
          <w:highlight w:val="none"/>
        </w:rPr>
      </w:r>
      <w:bookmarkStart w:id="8" w:name="_Toc35393790"/>
      <w:r>
        <w:rPr>
          <w:highlight w:val="none"/>
        </w:rPr>
      </w:r>
      <w:bookmarkStart w:id="9" w:name="_Toc35393621"/>
      <w:r>
        <w:rPr>
          <w:highlight w:val="none"/>
        </w:rPr>
      </w:r>
      <w:bookmarkStart w:id="10" w:name="_Toc38985263"/>
      <w:r>
        <w:rPr>
          <w:highlight w:val="none"/>
        </w:rPr>
      </w:r>
      <w:bookmarkStart w:id="11" w:name="_Hlk24379207"/>
      <w:r>
        <w:rPr>
          <w:rFonts w:hint="eastAsia" w:ascii="方正黑体_GBK" w:hAnsi="方正黑体_GBK" w:eastAsia="方正黑体_GBK" w:cs="方正黑体_GBK"/>
          <w:color w:val="000000"/>
          <w:sz w:val="28"/>
          <w:szCs w:val="28"/>
          <w:highlight w:val="none"/>
        </w:rPr>
        <w:t xml:space="preserve">一、项目基本情况</w:t>
      </w:r>
      <w:bookmarkEnd w:id="6"/>
      <w:r>
        <w:rPr>
          <w:highlight w:val="none"/>
        </w:rPr>
      </w:r>
      <w:bookmarkEnd w:id="7"/>
      <w:r>
        <w:rPr>
          <w:highlight w:val="none"/>
        </w:rPr>
      </w:r>
      <w:bookmarkEnd w:id="8"/>
      <w:r>
        <w:rPr>
          <w:highlight w:val="none"/>
        </w:rPr>
      </w:r>
      <w:bookmarkEnd w:id="9"/>
      <w:r>
        <w:rPr>
          <w:highlight w:val="none"/>
        </w:rPr>
      </w:r>
      <w:bookmarkEnd w:id="10"/>
      <w:r>
        <w:rPr>
          <w:highlight w:val="none"/>
        </w:rPr>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1.采购编号</w:t>
      </w:r>
      <w:r>
        <w:rPr>
          <w:rFonts w:hint="eastAsia" w:eastAsia="方正仿宋_GBK"/>
          <w:color w:val="000000"/>
          <w:sz w:val="28"/>
          <w:szCs w:val="28"/>
          <w:highlight w:val="none"/>
        </w:rPr>
        <w:t xml:space="preserve">：JSZC-320000-SCZX-G2026-0251  </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2.项目名称：</w:t>
      </w:r>
      <w:r>
        <w:rPr>
          <w:rFonts w:hint="eastAsia" w:eastAsia="方正仿宋_GBK"/>
          <w:color w:val="000000"/>
          <w:sz w:val="28"/>
          <w:szCs w:val="28"/>
          <w:highlight w:val="none"/>
        </w:rPr>
        <w:t xml:space="preserve">南京交通职业技术学院物业服务项目采购（2026年度）</w:t>
      </w:r>
      <w:bookmarkEnd w:id="11"/>
      <w:r>
        <w:rPr>
          <w:highlight w:val="none"/>
        </w:rPr>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3.预算金额</w:t>
      </w:r>
      <w:r>
        <w:rPr>
          <w:highlight w:val="none"/>
        </w:rPr>
      </w:r>
    </w:p>
    <w:tbl>
      <w:tblPr>
        <w:tblStyle w:val="71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99"/>
        <w:gridCol w:w="4268"/>
      </w:tblGrid>
      <w:tr>
        <w:trPr/>
        <w:tc>
          <w:tcPr>
            <w:tcW w:w="1599"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采购包号</w:t>
            </w:r>
            <w:r>
              <w:rPr>
                <w:highlight w:val="none"/>
              </w:rPr>
            </w:r>
          </w:p>
        </w:tc>
        <w:tc>
          <w:tcPr>
            <w:tcW w:w="4268"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预算金额（人民币：万元）</w:t>
            </w:r>
            <w:r>
              <w:rPr>
                <w:highlight w:val="none"/>
              </w:rPr>
            </w:r>
          </w:p>
        </w:tc>
      </w:tr>
      <w:tr>
        <w:trPr/>
        <w:tc>
          <w:tcPr>
            <w:tcW w:w="1599" w:type="dxa"/>
            <w:vAlign w:val="center"/>
            <w:textDirection w:val="lrTb"/>
            <w:noWrap w:val="false"/>
          </w:tcPr>
          <w:p>
            <w:pPr>
              <w:ind w:firstLine="280"/>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highlight w:val="none"/>
              </w:rPr>
            </w:r>
          </w:p>
        </w:tc>
        <w:tc>
          <w:tcPr>
            <w:tcW w:w="4268" w:type="dxa"/>
            <w:vAlign w:val="center"/>
            <w:textDirection w:val="lrTb"/>
            <w:noWrap w:val="false"/>
          </w:tcPr>
          <w:p>
            <w:pPr>
              <w:spacing w:line="400" w:lineRule="exact"/>
              <w:rPr>
                <w:rFonts w:hint="eastAsia"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4"/>
                <w:szCs w:val="24"/>
                <w:highlight w:val="none"/>
              </w:rPr>
              <w:t xml:space="preserve">97.0769</w:t>
            </w:r>
            <w:r>
              <w:rPr>
                <w:rFonts w:hint="eastAsia" w:ascii="方正仿宋_GBK" w:hAnsi="方正仿宋_GBK" w:eastAsia="方正仿宋_GBK" w:cs="方正仿宋_GBK"/>
                <w:color w:val="000000"/>
                <w:sz w:val="24"/>
                <w:szCs w:val="24"/>
                <w:highlight w:val="none"/>
              </w:rPr>
              <w:t xml:space="preserve">/年（291.2307/三年）</w:t>
            </w:r>
            <w:r>
              <w:rPr>
                <w:highlight w:val="none"/>
              </w:rPr>
            </w:r>
          </w:p>
        </w:tc>
      </w:tr>
      <w:tr>
        <w:trPr/>
        <w:tc>
          <w:tcPr>
            <w:tcW w:w="1599" w:type="dxa"/>
            <w:vAlign w:val="center"/>
            <w:textDirection w:val="lrTb"/>
            <w:noWrap w:val="false"/>
          </w:tcPr>
          <w:p>
            <w:pPr>
              <w:ind w:firstLine="280"/>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highlight w:val="none"/>
              </w:rPr>
            </w:r>
          </w:p>
        </w:tc>
        <w:tc>
          <w:tcPr>
            <w:tcW w:w="4268" w:type="dxa"/>
            <w:vAlign w:val="center"/>
            <w:textDirection w:val="lrTb"/>
            <w:noWrap w:val="false"/>
          </w:tcPr>
          <w:p>
            <w:pPr>
              <w:spacing w:line="400" w:lineRule="exact"/>
              <w:rPr>
                <w:rFonts w:hint="eastAsia"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4"/>
                <w:szCs w:val="24"/>
                <w:highlight w:val="none"/>
              </w:rPr>
              <w:t xml:space="preserve">194.68195</w:t>
            </w:r>
            <w:r>
              <w:rPr>
                <w:rFonts w:hint="eastAsia" w:ascii="方正仿宋_GBK" w:hAnsi="方正仿宋_GBK" w:eastAsia="方正仿宋_GBK" w:cs="方正仿宋_GBK"/>
                <w:color w:val="000000"/>
                <w:sz w:val="24"/>
                <w:szCs w:val="24"/>
                <w:highlight w:val="none"/>
              </w:rPr>
              <w:t xml:space="preserve">/年，584.04585/三年</w:t>
            </w:r>
            <w:r>
              <w:rPr>
                <w:highlight w:val="none"/>
              </w:rPr>
            </w:r>
          </w:p>
        </w:tc>
      </w:tr>
      <w:tr>
        <w:trPr/>
        <w:tc>
          <w:tcPr>
            <w:tcW w:w="1599"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highlight w:val="none"/>
              </w:rPr>
            </w:r>
          </w:p>
        </w:tc>
        <w:tc>
          <w:tcPr>
            <w:tcW w:w="4268" w:type="dxa"/>
            <w:vAlign w:val="center"/>
            <w:textDirection w:val="lrTb"/>
            <w:noWrap w:val="false"/>
          </w:tcPr>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4"/>
                <w:szCs w:val="24"/>
                <w:highlight w:val="none"/>
              </w:rPr>
              <w:t xml:space="preserve">234.4135/年，703.2405/三年</w:t>
            </w:r>
            <w:r>
              <w:rPr>
                <w:highlight w:val="none"/>
              </w:rPr>
            </w:r>
          </w:p>
        </w:tc>
      </w:tr>
      <w:tr>
        <w:trPr/>
        <w:tc>
          <w:tcPr>
            <w:tcW w:w="1599"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rPr>
                <w:highlight w:val="none"/>
              </w:rPr>
            </w:r>
          </w:p>
        </w:tc>
        <w:tc>
          <w:tcPr>
            <w:tcW w:w="4268" w:type="dxa"/>
            <w:vAlign w:val="center"/>
            <w:textDirection w:val="lrTb"/>
            <w:noWrap w:val="false"/>
          </w:tcPr>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4"/>
                <w:szCs w:val="24"/>
                <w:highlight w:val="none"/>
              </w:rPr>
              <w:t xml:space="preserve">166.9166/年，500.7498/三年</w:t>
            </w:r>
            <w:r>
              <w:rPr>
                <w:highlight w:val="none"/>
              </w:rPr>
            </w:r>
          </w:p>
        </w:tc>
      </w:tr>
    </w:tbl>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4.最高限价</w:t>
      </w:r>
      <w:r>
        <w:rPr>
          <w:highlight w:val="none"/>
        </w:rPr>
      </w:r>
    </w:p>
    <w:tbl>
      <w:tblPr>
        <w:tblStyle w:val="71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4"/>
        <w:gridCol w:w="4323"/>
      </w:tblGrid>
      <w:tr>
        <w:trPr/>
        <w:tc>
          <w:tcPr>
            <w:tcW w:w="1844"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采购包号</w:t>
            </w:r>
            <w:r>
              <w:rPr>
                <w:highlight w:val="none"/>
              </w:rPr>
            </w:r>
          </w:p>
        </w:tc>
        <w:tc>
          <w:tcPr>
            <w:tcW w:w="4323"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最高限价（人民币：万元）</w:t>
            </w:r>
            <w:r>
              <w:rPr>
                <w:highlight w:val="none"/>
              </w:rPr>
            </w:r>
          </w:p>
        </w:tc>
      </w:tr>
      <w:tr>
        <w:trPr/>
        <w:tc>
          <w:tcPr>
            <w:tcW w:w="1844"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highlight w:val="none"/>
              </w:rPr>
            </w:r>
          </w:p>
        </w:tc>
        <w:tc>
          <w:tcPr>
            <w:tcW w:w="4323"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4"/>
                <w:szCs w:val="24"/>
                <w:highlight w:val="none"/>
              </w:rPr>
              <w:t xml:space="preserve">97.0769</w:t>
            </w:r>
            <w:r>
              <w:rPr>
                <w:rFonts w:hint="eastAsia" w:ascii="方正仿宋_GBK" w:hAnsi="方正仿宋_GBK" w:eastAsia="方正仿宋_GBK" w:cs="方正仿宋_GBK"/>
                <w:color w:val="000000"/>
                <w:sz w:val="24"/>
                <w:szCs w:val="24"/>
                <w:highlight w:val="none"/>
              </w:rPr>
              <w:t xml:space="preserve">/年（291.2307/三年）</w:t>
            </w:r>
            <w:r>
              <w:rPr>
                <w:highlight w:val="none"/>
              </w:rPr>
            </w:r>
          </w:p>
        </w:tc>
      </w:tr>
      <w:tr>
        <w:trPr/>
        <w:tc>
          <w:tcPr>
            <w:tcW w:w="1844"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highlight w:val="none"/>
              </w:rPr>
            </w:r>
          </w:p>
        </w:tc>
        <w:tc>
          <w:tcPr>
            <w:tcW w:w="4323"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4"/>
                <w:szCs w:val="24"/>
                <w:highlight w:val="none"/>
              </w:rPr>
              <w:t xml:space="preserve">194.68195</w:t>
            </w:r>
            <w:r>
              <w:rPr>
                <w:rFonts w:hint="eastAsia" w:ascii="方正仿宋_GBK" w:hAnsi="方正仿宋_GBK" w:eastAsia="方正仿宋_GBK" w:cs="方正仿宋_GBK"/>
                <w:color w:val="000000"/>
                <w:sz w:val="24"/>
                <w:szCs w:val="24"/>
                <w:highlight w:val="none"/>
              </w:rPr>
              <w:t xml:space="preserve">/年，584.04585/三年</w:t>
            </w:r>
            <w:r>
              <w:rPr>
                <w:highlight w:val="none"/>
              </w:rPr>
            </w:r>
          </w:p>
        </w:tc>
      </w:tr>
      <w:tr>
        <w:trPr/>
        <w:tc>
          <w:tcPr>
            <w:tcW w:w="1844"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highlight w:val="none"/>
              </w:rPr>
            </w:r>
          </w:p>
        </w:tc>
        <w:tc>
          <w:tcPr>
            <w:tcW w:w="4323" w:type="dxa"/>
            <w:vAlign w:val="top"/>
            <w:textDirection w:val="lrTb"/>
            <w:noWrap w:val="false"/>
          </w:tcPr>
          <w:p>
            <w:pPr>
              <w:ind w:firstLine="48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4"/>
                <w:szCs w:val="24"/>
                <w:highlight w:val="none"/>
              </w:rPr>
              <w:t xml:space="preserve">234.4135/年，703.2405/三年</w:t>
            </w:r>
            <w:r>
              <w:rPr>
                <w:highlight w:val="none"/>
              </w:rPr>
            </w:r>
          </w:p>
        </w:tc>
      </w:tr>
      <w:tr>
        <w:trPr/>
        <w:tc>
          <w:tcPr>
            <w:tcW w:w="1844" w:type="dxa"/>
            <w:vAlign w:val="top"/>
            <w:textDirection w:val="lrTb"/>
            <w:noWrap w:val="false"/>
          </w:tcPr>
          <w:p>
            <w:pPr>
              <w:jc w:val="center"/>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rPr>
                <w:highlight w:val="none"/>
              </w:rPr>
            </w:r>
          </w:p>
        </w:tc>
        <w:tc>
          <w:tcPr>
            <w:tcW w:w="4323" w:type="dxa"/>
            <w:vAlign w:val="top"/>
            <w:textDirection w:val="lrTb"/>
            <w:noWrap w:val="false"/>
          </w:tcPr>
          <w:p>
            <w:pPr>
              <w:ind w:firstLine="48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4"/>
                <w:szCs w:val="24"/>
                <w:highlight w:val="none"/>
              </w:rPr>
              <w:t xml:space="preserve">166.9166/年，500.7498/三年</w:t>
            </w:r>
            <w:r>
              <w:rPr>
                <w:highlight w:val="none"/>
              </w:rPr>
            </w:r>
          </w:p>
        </w:tc>
      </w:tr>
    </w:tbl>
    <w:p>
      <w:pPr>
        <w:ind w:firstLine="560"/>
        <w:spacing w:line="400" w:lineRule="exact"/>
        <w:rPr>
          <w:rFonts w:hint="eastAsia" w:ascii="方正仿宋_GBK" w:hAnsi="方正仿宋_GBK" w:eastAsia="方正仿宋_GBK" w:cs="方正仿宋_GBK"/>
          <w:color w:val="000000"/>
          <w:sz w:val="28"/>
          <w:szCs w:val="28"/>
          <w:highlight w:val="none"/>
          <w:u w:val="single"/>
        </w:rPr>
      </w:pPr>
      <w:r>
        <w:rPr>
          <w:highlight w:val="none"/>
        </w:rPr>
      </w:r>
      <w:bookmarkStart w:id="12" w:name="_Toc28359003"/>
      <w:r>
        <w:rPr>
          <w:highlight w:val="none"/>
        </w:rPr>
      </w:r>
      <w:bookmarkStart w:id="13" w:name="_Toc35393791"/>
      <w:r>
        <w:rPr>
          <w:highlight w:val="none"/>
        </w:rPr>
      </w:r>
      <w:bookmarkStart w:id="14" w:name="_Toc35393622"/>
      <w:r>
        <w:rPr>
          <w:highlight w:val="none"/>
        </w:rPr>
      </w:r>
      <w:bookmarkStart w:id="15" w:name="_Toc28359080"/>
      <w:r>
        <w:rPr>
          <w:highlight w:val="none"/>
        </w:rPr>
      </w:r>
      <w:bookmarkStart w:id="16" w:name="_Toc38985264"/>
      <w:r>
        <w:rPr>
          <w:rFonts w:hint="eastAsia" w:ascii="方正仿宋_GBK" w:hAnsi="方正仿宋_GBK" w:eastAsia="方正仿宋_GBK" w:cs="方正仿宋_GBK"/>
          <w:color w:val="000000"/>
          <w:sz w:val="28"/>
          <w:szCs w:val="28"/>
          <w:highlight w:val="none"/>
        </w:rPr>
        <w:t xml:space="preserve">5.采购需求(简介)：本项目是</w:t>
      </w:r>
      <w:r>
        <w:rPr>
          <w:rFonts w:hint="eastAsia" w:eastAsia="方正仿宋_GBK"/>
          <w:color w:val="000000"/>
          <w:sz w:val="28"/>
          <w:szCs w:val="28"/>
          <w:highlight w:val="none"/>
        </w:rPr>
        <w:t xml:space="preserve">南京交通职业技术学院物业服务，四个分包，包括汇贤楼组团物业服务项目（分包一）、弘毅楼、行健馆、图文楼、躬行楼组团物业服务项目（分包二）、教学楼宇组团物业服务项目（分包三）、校园公共区域保洁和绿化养护管理项目（分包四）。</w:t>
      </w:r>
      <w:r>
        <w:rPr>
          <w:rFonts w:hint="eastAsia" w:ascii="方正仿宋_GBK" w:hAnsi="方正仿宋_GBK" w:eastAsia="方正仿宋_GBK" w:cs="方正仿宋_GBK"/>
          <w:color w:val="000000"/>
          <w:sz w:val="28"/>
          <w:szCs w:val="28"/>
          <w:highlight w:val="none"/>
        </w:rPr>
        <w:t xml:space="preserve">（详细内容见本招标文件第四章）</w:t>
      </w:r>
      <w:r>
        <w:rPr>
          <w:highlight w:val="none"/>
        </w:rPr>
      </w:r>
    </w:p>
    <w:p>
      <w:pPr>
        <w:ind w:firstLine="560"/>
        <w:spacing w:line="400" w:lineRule="exact"/>
        <w:rPr>
          <w:rFonts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6.合同履行期限：</w:t>
      </w:r>
      <w:r>
        <w:rPr>
          <w:rFonts w:hint="eastAsia" w:eastAsia="方正仿宋_GBK"/>
          <w:color w:val="000000"/>
          <w:sz w:val="28"/>
          <w:szCs w:val="28"/>
          <w:highlight w:val="none"/>
        </w:rPr>
        <w:t xml:space="preserve">自合同签订之日起3年。</w:t>
      </w:r>
      <w:r>
        <w:rPr>
          <w:highlight w:val="none"/>
        </w:rPr>
      </w:r>
    </w:p>
    <w:p>
      <w:pPr>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二、申请人的资格要求</w:t>
      </w:r>
      <w:bookmarkEnd w:id="12"/>
      <w:r>
        <w:rPr>
          <w:highlight w:val="none"/>
        </w:rPr>
      </w:r>
      <w:bookmarkEnd w:id="13"/>
      <w:r>
        <w:rPr>
          <w:highlight w:val="none"/>
        </w:rPr>
      </w:r>
      <w:bookmarkEnd w:id="14"/>
      <w:r>
        <w:rPr>
          <w:highlight w:val="none"/>
        </w:rPr>
      </w:r>
      <w:bookmarkEnd w:id="15"/>
      <w:r>
        <w:rPr>
          <w:highlight w:val="none"/>
        </w:rPr>
      </w:r>
      <w:bookmarkEnd w:id="16"/>
      <w:r>
        <w:rPr>
          <w:highlight w:val="none"/>
        </w:rPr>
      </w:r>
      <w:r>
        <w:rPr>
          <w:highlight w:val="none"/>
        </w:rPr>
      </w:r>
    </w:p>
    <w:p>
      <w:pPr>
        <w:ind w:firstLine="560"/>
        <w:spacing w:line="400" w:lineRule="exact"/>
        <w:rPr>
          <w:rFonts w:hint="eastAsia" w:ascii="方正楷体_GBK" w:hAnsi="方正楷体_GBK" w:eastAsia="方正楷体_GBK" w:cs="方正楷体_GBK"/>
          <w:color w:val="000000"/>
          <w:sz w:val="28"/>
          <w:szCs w:val="28"/>
          <w:highlight w:val="none"/>
        </w:rPr>
      </w:pPr>
      <w:r>
        <w:rPr>
          <w:highlight w:val="none"/>
        </w:rPr>
      </w:r>
      <w:bookmarkStart w:id="17" w:name="_Toc35393623"/>
      <w:r>
        <w:rPr>
          <w:highlight w:val="none"/>
        </w:rPr>
      </w:r>
      <w:bookmarkStart w:id="18" w:name="_Toc35393792"/>
      <w:r>
        <w:rPr>
          <w:highlight w:val="none"/>
        </w:rPr>
      </w:r>
      <w:bookmarkStart w:id="19" w:name="_Toc38985265"/>
      <w:r>
        <w:rPr>
          <w:highlight w:val="none"/>
        </w:rPr>
      </w:r>
      <w:bookmarkStart w:id="20" w:name="_Toc28359004"/>
      <w:r>
        <w:rPr>
          <w:highlight w:val="none"/>
        </w:rPr>
      </w:r>
      <w:bookmarkStart w:id="21" w:name="_Toc28359081"/>
      <w:r>
        <w:rPr>
          <w:rFonts w:hint="eastAsia" w:ascii="方正楷体_GBK" w:hAnsi="方正楷体_GBK" w:eastAsia="方正楷体_GBK" w:cs="方正楷体_GBK"/>
          <w:color w:val="000000"/>
          <w:sz w:val="28"/>
          <w:szCs w:val="28"/>
          <w:highlight w:val="none"/>
        </w:rPr>
        <w:t xml:space="preserve">（一）通用资格要求</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1.满足《中华人民共和国政府采购法》第二十二条规定，并提供下列材料：</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 法人或者其他组织的营业执照等证明文件，自然人的身份证明；</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 </w:t>
      </w:r>
      <w:r>
        <w:rPr>
          <w:rFonts w:hint="eastAsia" w:ascii="方正仿宋_GBK" w:hAnsi="方正仿宋_GBK" w:eastAsia="方正仿宋_GBK" w:cs="方正仿宋_GBK"/>
          <w:color w:val="000000"/>
          <w:sz w:val="28"/>
          <w:szCs w:val="28"/>
          <w:highlight w:val="none"/>
          <w:lang w:val="en-US" w:eastAsia="zh-CN"/>
        </w:rPr>
        <w:t xml:space="preserve">上一</w:t>
      </w:r>
      <w:r>
        <w:rPr>
          <w:rFonts w:hint="eastAsia" w:ascii="方正仿宋_GBK" w:hAnsi="方正仿宋_GBK" w:eastAsia="方正仿宋_GBK" w:cs="方正仿宋_GBK"/>
          <w:color w:val="000000"/>
          <w:sz w:val="28"/>
          <w:szCs w:val="28"/>
          <w:highlight w:val="none"/>
        </w:rPr>
        <w:t xml:space="preserve">年度的财务状况报告（成立不满一年无需提供）；</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1.4具备履行合同所必需的设备和专业技术能力的书面声明；</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1.5参加政府采购活动前3年内在经营活动中没有重大违法记录的书面声明。</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3.落实政府采购政策需满足的资格要求：无。</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4.联合体投标</w:t>
      </w:r>
      <w:r>
        <w:rPr>
          <w:highlight w:val="none"/>
        </w:rPr>
      </w:r>
    </w:p>
    <w:tbl>
      <w:tblPr>
        <w:tblStyle w:val="71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rPr>
                <w:highlight w:val="none"/>
              </w:rP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rPr>
                <w:highlight w:val="none"/>
              </w:rPr>
            </w:r>
          </w:p>
        </w:tc>
        <w:tc>
          <w:tcPr>
            <w:tcW w:w="2968"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是否接受联合体投标（是/否）</w:t>
            </w:r>
            <w:r>
              <w:rPr>
                <w:highlight w:val="none"/>
              </w:rPr>
            </w:r>
          </w:p>
        </w:tc>
        <w:tc>
          <w:tcPr>
            <w:tcW w:w="2967"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该采购包中联合体成员数量上限</w:t>
            </w:r>
            <w:r>
              <w:rPr>
                <w:highlight w:val="none"/>
              </w:rPr>
            </w:r>
          </w:p>
        </w:tc>
      </w:tr>
      <w:tr>
        <w:trPr/>
        <w:tc>
          <w:tcPr>
            <w:tcW w:w="1148"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highlight w:val="none"/>
              </w:rPr>
            </w:r>
          </w:p>
        </w:tc>
        <w:tc>
          <w:tcPr>
            <w:tcW w:w="2968"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否</w:t>
            </w:r>
            <w:r>
              <w:rPr>
                <w:highlight w:val="none"/>
              </w:rPr>
            </w:r>
          </w:p>
        </w:tc>
        <w:tc>
          <w:tcPr>
            <w:tcW w:w="2967"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highlight w:val="none"/>
              </w:rPr>
            </w:r>
          </w:p>
        </w:tc>
      </w:tr>
      <w:tr>
        <w:trPr/>
        <w:tc>
          <w:tcPr>
            <w:tcW w:w="1148"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highlight w:val="none"/>
              </w:rPr>
            </w:r>
          </w:p>
        </w:tc>
        <w:tc>
          <w:tcPr>
            <w:tcW w:w="2968"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否</w:t>
            </w:r>
            <w:r>
              <w:rPr>
                <w:highlight w:val="none"/>
              </w:rPr>
            </w:r>
          </w:p>
        </w:tc>
        <w:tc>
          <w:tcPr>
            <w:tcW w:w="2967"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highlight w:val="none"/>
              </w:rPr>
            </w:r>
          </w:p>
        </w:tc>
      </w:tr>
      <w:tr>
        <w:trPr/>
        <w:tc>
          <w:tcPr>
            <w:tcW w:w="1148"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highlight w:val="none"/>
              </w:rPr>
            </w:r>
          </w:p>
        </w:tc>
        <w:tc>
          <w:tcPr>
            <w:tcW w:w="296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否</w:t>
            </w:r>
            <w:r>
              <w:rPr>
                <w:highlight w:val="none"/>
              </w:rPr>
            </w:r>
          </w:p>
        </w:tc>
        <w:tc>
          <w:tcPr>
            <w:tcW w:w="2967"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highlight w:val="none"/>
              </w:rPr>
            </w:r>
          </w:p>
        </w:tc>
      </w:tr>
      <w:tr>
        <w:trPr/>
        <w:tc>
          <w:tcPr>
            <w:tcW w:w="1148"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rPr>
                <w:highlight w:val="none"/>
              </w:rPr>
            </w:r>
          </w:p>
        </w:tc>
        <w:tc>
          <w:tcPr>
            <w:tcW w:w="296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否</w:t>
            </w:r>
            <w:r>
              <w:rPr>
                <w:highlight w:val="none"/>
              </w:rPr>
            </w:r>
          </w:p>
        </w:tc>
        <w:tc>
          <w:tcPr>
            <w:tcW w:w="2967"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highlight w:val="none"/>
              </w:rPr>
            </w:r>
          </w:p>
        </w:tc>
      </w:tr>
    </w:tbl>
    <w:p>
      <w:pPr>
        <w:ind w:firstLine="560"/>
        <w:spacing w:line="400" w:lineRule="exact"/>
        <w:rPr>
          <w:rFonts w:hint="eastAsia"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（二）本项目的特定资格要求</w:t>
      </w:r>
      <w:r>
        <w:rPr>
          <w:highlight w:val="none"/>
        </w:rPr>
      </w:r>
    </w:p>
    <w:tbl>
      <w:tblPr>
        <w:tblStyle w:val="71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rPr>
                <w:highlight w:val="none"/>
              </w:rP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rPr>
                <w:highlight w:val="none"/>
              </w:rPr>
            </w:r>
          </w:p>
        </w:tc>
        <w:tc>
          <w:tcPr>
            <w:tcW w:w="5921"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特定资格要求</w:t>
            </w:r>
            <w:r>
              <w:rPr>
                <w:highlight w:val="none"/>
              </w:rPr>
            </w:r>
          </w:p>
        </w:tc>
      </w:tr>
      <w:tr>
        <w:trPr/>
        <w:tc>
          <w:tcPr>
            <w:tcW w:w="1148"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highlight w:val="none"/>
              </w:rPr>
            </w:r>
          </w:p>
        </w:tc>
        <w:tc>
          <w:tcPr>
            <w:tcW w:w="5921"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highlight w:val="none"/>
              </w:rPr>
            </w:r>
          </w:p>
        </w:tc>
      </w:tr>
      <w:tr>
        <w:trPr/>
        <w:tc>
          <w:tcPr>
            <w:tcW w:w="1148"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highlight w:val="none"/>
              </w:rPr>
            </w:r>
          </w:p>
        </w:tc>
        <w:tc>
          <w:tcPr>
            <w:tcW w:w="5921"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highlight w:val="none"/>
              </w:rPr>
            </w:r>
          </w:p>
        </w:tc>
      </w:tr>
      <w:tr>
        <w:trPr/>
        <w:tc>
          <w:tcPr>
            <w:tcW w:w="1148"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highlight w:val="none"/>
              </w:rPr>
            </w:r>
          </w:p>
        </w:tc>
        <w:tc>
          <w:tcPr>
            <w:tcW w:w="5921"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highlight w:val="none"/>
              </w:rPr>
            </w:r>
          </w:p>
        </w:tc>
      </w:tr>
      <w:tr>
        <w:trPr/>
        <w:tc>
          <w:tcPr>
            <w:tcW w:w="1148"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rPr>
                <w:highlight w:val="none"/>
              </w:rPr>
            </w:r>
          </w:p>
        </w:tc>
        <w:tc>
          <w:tcPr>
            <w:tcW w:w="5921"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highlight w:val="none"/>
              </w:rPr>
            </w:r>
          </w:p>
        </w:tc>
      </w:tr>
    </w:tbl>
    <w:p>
      <w:pPr>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三、获取招标文件</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1.时间：自招标文件公告发布之日起5个工作日。</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2.方式：在“江苏政府采购网”自行免费下载招标文件。</w:t>
      </w:r>
      <w:bookmarkEnd w:id="17"/>
      <w:r>
        <w:rPr>
          <w:highlight w:val="none"/>
        </w:rPr>
      </w:r>
      <w:bookmarkEnd w:id="18"/>
      <w:r>
        <w:rPr>
          <w:highlight w:val="none"/>
        </w:rPr>
      </w:r>
      <w:bookmarkEnd w:id="19"/>
      <w:r>
        <w:rPr>
          <w:highlight w:val="none"/>
        </w:rPr>
      </w:r>
      <w:bookmarkEnd w:id="20"/>
      <w:r>
        <w:rPr>
          <w:highlight w:val="none"/>
        </w:rPr>
      </w:r>
      <w:bookmarkEnd w:id="21"/>
      <w:r>
        <w:rPr>
          <w:highlight w:val="none"/>
        </w:rPr>
      </w:r>
      <w:r>
        <w:rPr>
          <w:highlight w:val="none"/>
        </w:rPr>
      </w:r>
    </w:p>
    <w:p>
      <w:pPr>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rPr>
          <w:highlight w:val="none"/>
        </w:rPr>
      </w:r>
      <w:bookmarkStart w:id="22" w:name="_Toc28359082"/>
      <w:r>
        <w:rPr>
          <w:highlight w:val="none"/>
        </w:rPr>
      </w:r>
      <w:bookmarkStart w:id="23" w:name="_Toc28359005"/>
      <w:r>
        <w:rPr>
          <w:highlight w:val="none"/>
        </w:rPr>
      </w:r>
      <w:bookmarkStart w:id="24" w:name="_Toc35393793"/>
      <w:r>
        <w:rPr>
          <w:highlight w:val="none"/>
        </w:rPr>
      </w:r>
      <w:bookmarkStart w:id="25" w:name="_Toc38985266"/>
      <w:r>
        <w:rPr>
          <w:highlight w:val="none"/>
        </w:rPr>
      </w:r>
      <w:bookmarkStart w:id="26" w:name="_Toc35393624"/>
      <w:r>
        <w:rPr>
          <w:highlight w:val="none"/>
        </w:rPr>
      </w:r>
      <w:bookmarkStart w:id="27" w:name="_Toc35393625"/>
      <w:r>
        <w:rPr>
          <w:highlight w:val="none"/>
        </w:rPr>
      </w:r>
      <w:bookmarkStart w:id="28" w:name="_Toc35393794"/>
      <w:r>
        <w:rPr>
          <w:highlight w:val="none"/>
        </w:rPr>
      </w:r>
      <w:bookmarkStart w:id="29" w:name="_Toc38985267"/>
      <w:r>
        <w:rPr>
          <w:highlight w:val="none"/>
        </w:rPr>
      </w:r>
      <w:bookmarkStart w:id="30" w:name="_Toc28359084"/>
      <w:r>
        <w:rPr>
          <w:highlight w:val="none"/>
        </w:rPr>
      </w:r>
      <w:bookmarkStart w:id="31" w:name="_Toc28359007"/>
      <w:r>
        <w:rPr>
          <w:rFonts w:hint="eastAsia" w:ascii="方正黑体_GBK" w:hAnsi="方正黑体_GBK" w:eastAsia="方正黑体_GBK" w:cs="方正黑体_GBK"/>
          <w:color w:val="000000"/>
          <w:sz w:val="28"/>
          <w:szCs w:val="28"/>
          <w:highlight w:val="none"/>
        </w:rPr>
        <w:t xml:space="preserve">四、提交投标文件</w:t>
      </w:r>
      <w:bookmarkEnd w:id="22"/>
      <w:r>
        <w:rPr>
          <w:highlight w:val="none"/>
        </w:rPr>
      </w:r>
      <w:bookmarkEnd w:id="23"/>
      <w:r>
        <w:rPr>
          <w:rFonts w:hint="eastAsia" w:ascii="方正黑体_GBK" w:hAnsi="方正黑体_GBK" w:eastAsia="方正黑体_GBK" w:cs="方正黑体_GBK"/>
          <w:color w:val="000000"/>
          <w:sz w:val="28"/>
          <w:szCs w:val="28"/>
          <w:highlight w:val="none"/>
        </w:rPr>
        <w:t xml:space="preserve">截止时间、开标时间和地点</w:t>
      </w:r>
      <w:bookmarkEnd w:id="24"/>
      <w:r>
        <w:rPr>
          <w:highlight w:val="none"/>
        </w:rPr>
      </w:r>
      <w:bookmarkEnd w:id="25"/>
      <w:r>
        <w:rPr>
          <w:highlight w:val="none"/>
        </w:rPr>
      </w:r>
      <w:bookmarkEnd w:id="26"/>
      <w:r>
        <w:rPr>
          <w:highlight w:val="none"/>
        </w:rPr>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eastAsia="方正仿宋_GBK"/>
          <w:color w:val="000000"/>
          <w:sz w:val="28"/>
          <w:szCs w:val="28"/>
          <w:highlight w:val="none"/>
        </w:rPr>
        <w:t xml:space="preserve">2026</w:t>
      </w:r>
      <w:r>
        <w:rPr>
          <w:rFonts w:hint="eastAsia" w:ascii="方正仿宋_GBK" w:hAnsi="方正仿宋_GBK" w:eastAsia="方正仿宋_GBK" w:cs="方正仿宋_GBK"/>
          <w:bCs/>
          <w:color w:val="000000"/>
          <w:sz w:val="28"/>
          <w:szCs w:val="28"/>
          <w:highlight w:val="none"/>
        </w:rPr>
        <w:t xml:space="preserve">年</w:t>
      </w:r>
      <w:r>
        <w:rPr>
          <w:rFonts w:hint="eastAsia" w:eastAsia="方正仿宋_GBK"/>
          <w:color w:val="000000"/>
          <w:sz w:val="28"/>
          <w:szCs w:val="28"/>
          <w:highlight w:val="none"/>
        </w:rPr>
        <w:t xml:space="preserve">8</w:t>
      </w:r>
      <w:r>
        <w:rPr>
          <w:rFonts w:hint="eastAsia" w:ascii="方正仿宋_GBK" w:hAnsi="方正仿宋_GBK" w:eastAsia="方正仿宋_GBK" w:cs="方正仿宋_GBK"/>
          <w:bCs/>
          <w:color w:val="000000"/>
          <w:sz w:val="28"/>
          <w:szCs w:val="28"/>
          <w:highlight w:val="none"/>
        </w:rPr>
        <w:t xml:space="preserve">月</w:t>
      </w:r>
      <w:r>
        <w:rPr>
          <w:rFonts w:hint="eastAsia" w:eastAsia="方正仿宋_GBK"/>
          <w:color w:val="000000"/>
          <w:sz w:val="28"/>
          <w:szCs w:val="28"/>
          <w:highlight w:val="none"/>
        </w:rPr>
        <w:t xml:space="preserve">28</w:t>
      </w:r>
      <w:r>
        <w:rPr>
          <w:rFonts w:hint="eastAsia" w:ascii="方正仿宋_GBK" w:hAnsi="方正仿宋_GBK" w:eastAsia="方正仿宋_GBK" w:cs="方正仿宋_GBK"/>
          <w:bCs/>
          <w:color w:val="000000"/>
          <w:sz w:val="28"/>
          <w:szCs w:val="28"/>
          <w:highlight w:val="none"/>
        </w:rPr>
        <w:t xml:space="preserve">日</w:t>
      </w:r>
      <w:r>
        <w:rPr>
          <w:rFonts w:hint="eastAsia" w:eastAsia="方正仿宋_GBK"/>
          <w:color w:val="000000"/>
          <w:sz w:val="28"/>
          <w:szCs w:val="28"/>
          <w:highlight w:val="none"/>
        </w:rPr>
        <w:t xml:space="preserve">9</w:t>
      </w:r>
      <w:r>
        <w:rPr>
          <w:rFonts w:hint="eastAsia" w:ascii="方正仿宋_GBK" w:hAnsi="方正仿宋_GBK" w:eastAsia="方正仿宋_GBK" w:cs="方正仿宋_GBK"/>
          <w:color w:val="000000"/>
          <w:sz w:val="28"/>
          <w:szCs w:val="28"/>
          <w:highlight w:val="none"/>
        </w:rPr>
        <w:t xml:space="preserve">时30</w:t>
      </w:r>
      <w:r>
        <w:rPr>
          <w:rFonts w:hint="eastAsia" w:ascii="方正仿宋_GBK" w:hAnsi="方正仿宋_GBK" w:eastAsia="方正仿宋_GBK" w:cs="方正仿宋_GBK"/>
          <w:bCs/>
          <w:color w:val="000000"/>
          <w:sz w:val="28"/>
          <w:szCs w:val="28"/>
          <w:highlight w:val="none"/>
        </w:rPr>
        <w:t xml:space="preserve">分（北京时间）</w:t>
      </w:r>
      <w:r>
        <w:rPr>
          <w:rFonts w:hint="eastAsia" w:ascii="方正仿宋_GBK" w:hAnsi="方正仿宋_GBK" w:eastAsia="方正仿宋_GBK" w:cs="方正仿宋_GBK"/>
          <w:color w:val="000000"/>
          <w:sz w:val="28"/>
          <w:szCs w:val="28"/>
          <w:highlight w:val="none"/>
        </w:rPr>
        <w:t xml:space="preserve">。</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2.地点：“苏采云”政府采购交易系统。</w:t>
      </w:r>
      <w:bookmarkEnd w:id="27"/>
      <w:r>
        <w:rPr>
          <w:highlight w:val="none"/>
        </w:rPr>
      </w:r>
      <w:bookmarkEnd w:id="28"/>
      <w:r>
        <w:rPr>
          <w:highlight w:val="none"/>
        </w:rPr>
      </w:r>
      <w:bookmarkEnd w:id="29"/>
      <w:r>
        <w:rPr>
          <w:highlight w:val="none"/>
        </w:rPr>
      </w:r>
      <w:bookmarkEnd w:id="30"/>
      <w:r>
        <w:rPr>
          <w:highlight w:val="none"/>
        </w:rPr>
      </w:r>
      <w:bookmarkEnd w:id="31"/>
      <w:r>
        <w:rPr>
          <w:highlight w:val="none"/>
        </w:rPr>
      </w:r>
      <w:r>
        <w:rPr>
          <w:highlight w:val="none"/>
        </w:rPr>
      </w:r>
    </w:p>
    <w:p>
      <w:pPr>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rPr>
          <w:highlight w:val="none"/>
        </w:rPr>
      </w:r>
      <w:bookmarkStart w:id="32" w:name="_Toc35393795"/>
      <w:r>
        <w:rPr>
          <w:highlight w:val="none"/>
        </w:rPr>
      </w:r>
      <w:bookmarkStart w:id="33" w:name="_Toc35393626"/>
      <w:r>
        <w:rPr>
          <w:highlight w:val="none"/>
        </w:rPr>
      </w:r>
      <w:bookmarkStart w:id="34" w:name="_Toc38985268"/>
      <w:r>
        <w:rPr>
          <w:rFonts w:hint="eastAsia" w:ascii="方正黑体_GBK" w:hAnsi="方正黑体_GBK" w:eastAsia="方正黑体_GBK" w:cs="方正黑体_GBK"/>
          <w:color w:val="000000"/>
          <w:sz w:val="28"/>
          <w:szCs w:val="28"/>
          <w:highlight w:val="none"/>
        </w:rPr>
        <w:t xml:space="preserve">五、公告期限</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招标公告及招标文件公告期限为自本公告发布之日起5个工作日。</w:t>
      </w:r>
      <w:bookmarkEnd w:id="32"/>
      <w:r>
        <w:rPr>
          <w:highlight w:val="none"/>
        </w:rPr>
      </w:r>
      <w:bookmarkEnd w:id="33"/>
      <w:r>
        <w:rPr>
          <w:highlight w:val="none"/>
        </w:rPr>
      </w:r>
      <w:bookmarkEnd w:id="34"/>
      <w:r>
        <w:rPr>
          <w:highlight w:val="none"/>
        </w:rPr>
      </w:r>
      <w:r>
        <w:rPr>
          <w:highlight w:val="none"/>
        </w:rPr>
      </w:r>
    </w:p>
    <w:p>
      <w:pPr>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rPr>
          <w:highlight w:val="none"/>
        </w:rPr>
      </w:r>
      <w:bookmarkStart w:id="35" w:name="_Toc28359008"/>
      <w:r>
        <w:rPr>
          <w:highlight w:val="none"/>
        </w:rPr>
      </w:r>
      <w:bookmarkStart w:id="36" w:name="_Toc35393627"/>
      <w:r>
        <w:rPr>
          <w:highlight w:val="none"/>
        </w:rPr>
      </w:r>
      <w:bookmarkStart w:id="37" w:name="_Toc38985269"/>
      <w:r>
        <w:rPr>
          <w:highlight w:val="none"/>
        </w:rPr>
      </w:r>
      <w:bookmarkStart w:id="38" w:name="_Toc35393796"/>
      <w:r>
        <w:rPr>
          <w:highlight w:val="none"/>
        </w:rPr>
      </w:r>
      <w:bookmarkStart w:id="39" w:name="_Toc28359085"/>
      <w:r>
        <w:rPr>
          <w:rFonts w:hint="eastAsia" w:ascii="方正黑体_GBK" w:hAnsi="方正黑体_GBK" w:eastAsia="方正黑体_GBK" w:cs="方正黑体_GBK"/>
          <w:color w:val="000000"/>
          <w:sz w:val="28"/>
          <w:szCs w:val="28"/>
          <w:highlight w:val="none"/>
        </w:rPr>
        <w:t xml:space="preserve">六、其他补充事宜</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无。</w:t>
      </w:r>
      <w:bookmarkEnd w:id="35"/>
      <w:r>
        <w:rPr>
          <w:highlight w:val="none"/>
        </w:rPr>
      </w:r>
      <w:bookmarkEnd w:id="36"/>
      <w:r>
        <w:rPr>
          <w:highlight w:val="none"/>
        </w:rPr>
      </w:r>
      <w:bookmarkEnd w:id="37"/>
      <w:r>
        <w:rPr>
          <w:highlight w:val="none"/>
        </w:rPr>
      </w:r>
      <w:bookmarkEnd w:id="38"/>
      <w:r>
        <w:rPr>
          <w:highlight w:val="none"/>
        </w:rPr>
      </w:r>
      <w:bookmarkEnd w:id="39"/>
      <w:r>
        <w:rPr>
          <w:highlight w:val="none"/>
        </w:rPr>
      </w:r>
      <w:r>
        <w:rPr>
          <w:highlight w:val="none"/>
        </w:rPr>
      </w:r>
    </w:p>
    <w:p>
      <w:pPr>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七、本次招标联系方式</w:t>
      </w:r>
      <w:r>
        <w:rPr>
          <w:highlight w:val="none"/>
        </w:rPr>
      </w:r>
    </w:p>
    <w:p>
      <w:pPr>
        <w:jc w:val="left"/>
        <w:spacing w:line="400" w:lineRule="exact"/>
        <w:widowControl/>
        <w:rPr>
          <w:rFonts w:ascii="方正仿宋_GBK" w:hAnsi="方正仿宋_GBK" w:cs="方正仿宋_GBK"/>
          <w:color w:val="000000"/>
          <w:sz w:val="28"/>
          <w:szCs w:val="28"/>
          <w:highlight w:val="none"/>
        </w:rPr>
      </w:pPr>
      <w:r>
        <w:rPr>
          <w:rFonts w:hint="eastAsia" w:ascii="仿宋" w:hAnsi="仿宋" w:eastAsia="仿宋" w:cs="宋体"/>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1.采购人信息</w:t>
      </w:r>
      <w:r>
        <w:rPr>
          <w:highlight w:val="none"/>
        </w:rP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名 称：</w:t>
      </w:r>
      <w:r>
        <w:rPr>
          <w:rFonts w:hint="eastAsia" w:ascii="方正仿宋_GBK" w:hAnsi="方正仿宋_GBK" w:eastAsia="方正仿宋_GBK" w:cs="方正仿宋_GBK"/>
          <w:color w:val="000000"/>
          <w:sz w:val="28"/>
          <w:szCs w:val="28"/>
          <w:highlight w:val="none"/>
          <w:u w:val="single"/>
        </w:rPr>
        <w:t xml:space="preserve">　南京交通职业技术学院　      　</w:t>
      </w:r>
      <w:r>
        <w:rPr>
          <w:highlight w:val="none"/>
        </w:rPr>
      </w:r>
    </w:p>
    <w:p>
      <w:pPr>
        <w:ind w:firstLine="560"/>
        <w:jc w:val="left"/>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　南京江宁科学园龙眠大道629号 </w:t>
      </w:r>
      <w:r>
        <w:rPr>
          <w:highlight w:val="none"/>
        </w:rP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成永付                       </w:t>
      </w:r>
      <w:r>
        <w:rPr>
          <w:highlight w:val="none"/>
        </w:rPr>
      </w:r>
    </w:p>
    <w:p>
      <w:pPr>
        <w:ind w:firstLine="560"/>
        <w:jc w:val="left"/>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025-86115735　　　　　　　　　</w:t>
      </w:r>
      <w:bookmarkStart w:id="40" w:name="_Toc28359086"/>
      <w:r>
        <w:rPr>
          <w:highlight w:val="none"/>
        </w:rPr>
      </w:r>
      <w:bookmarkStart w:id="41" w:name="_Toc28359009"/>
      <w:r>
        <w:rPr>
          <w:highlight w:val="none"/>
        </w:rPr>
      </w:r>
      <w:r>
        <w:rPr>
          <w:highlight w:val="none"/>
        </w:rP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2.江苏省政府采购中心信息</w:t>
      </w:r>
      <w:bookmarkEnd w:id="40"/>
      <w:r>
        <w:rPr>
          <w:highlight w:val="none"/>
        </w:rPr>
      </w:r>
      <w:bookmarkEnd w:id="41"/>
      <w:r>
        <w:rPr>
          <w:highlight w:val="none"/>
        </w:rPr>
      </w:r>
      <w:r>
        <w:rPr>
          <w:highlight w:val="none"/>
        </w:rPr>
      </w:r>
    </w:p>
    <w:p>
      <w:pPr>
        <w:ind w:firstLine="48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　　南京市汉中门大街145号省政务中心二期3楼南区　</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厉彬彬、唐文                     </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联系方式：</w:t>
      </w:r>
      <w:bookmarkStart w:id="42" w:name="_Toc28359010"/>
      <w:r>
        <w:rPr>
          <w:highlight w:val="none"/>
        </w:rPr>
      </w:r>
      <w:bookmarkStart w:id="43" w:name="_Toc28359087"/>
      <w:r>
        <w:rPr>
          <w:rFonts w:hint="eastAsia" w:ascii="方正仿宋_GBK" w:hAnsi="方正仿宋_GBK" w:eastAsia="方正仿宋_GBK" w:cs="方正仿宋_GBK"/>
          <w:color w:val="000000"/>
          <w:sz w:val="28"/>
          <w:szCs w:val="28"/>
          <w:highlight w:val="none"/>
          <w:u w:val="single"/>
        </w:rPr>
        <w:t xml:space="preserve">　025-83668517/83668519　　　　　　</w:t>
      </w:r>
      <w:bookmarkEnd w:id="42"/>
      <w:r>
        <w:rPr>
          <w:highlight w:val="none"/>
        </w:rPr>
      </w:r>
      <w:bookmarkEnd w:id="43"/>
      <w:r>
        <w:rPr>
          <w:highlight w:val="none"/>
        </w:rPr>
      </w:r>
      <w:r>
        <w:rPr>
          <w:highlight w:val="none"/>
        </w:rPr>
      </w:r>
    </w:p>
    <w:p>
      <w:pPr>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八、其他</w:t>
      </w:r>
      <w:r>
        <w:rPr>
          <w:highlight w:val="none"/>
        </w:rPr>
      </w:r>
    </w:p>
    <w:p>
      <w:pPr>
        <w:ind w:firstLine="560"/>
        <w:spacing w:line="40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bCs/>
          <w:color w:val="000000"/>
          <w:sz w:val="28"/>
          <w:szCs w:val="28"/>
          <w:highlight w:val="none"/>
        </w:rPr>
        <w:t xml:space="preserve">根据省财政厅《关于更换全省政府采购交易系统CA数字证书和电子签章的通知》（苏财购〔2023〕101号），</w:t>
      </w:r>
      <w:r>
        <w:rPr>
          <w:rFonts w:hint="eastAsia" w:ascii="方正仿宋_GBK" w:hAnsi="方正仿宋_GBK" w:eastAsia="方正仿宋_GBK" w:cs="方正仿宋_GBK"/>
          <w:color w:val="000000"/>
          <w:sz w:val="28"/>
          <w:szCs w:val="28"/>
          <w:highlight w:val="none"/>
        </w:rPr>
        <w:t xml:space="preserve">“苏采云”政府采购交易系统（以下简称苏采云系统）</w:t>
      </w:r>
      <w:r>
        <w:rPr>
          <w:rFonts w:hint="eastAsia" w:ascii="方正仿宋_GBK" w:hAnsi="方正仿宋_GBK" w:eastAsia="方正仿宋_GBK" w:cs="方正仿宋_GBK"/>
          <w:bCs/>
          <w:color w:val="000000"/>
          <w:sz w:val="28"/>
          <w:szCs w:val="28"/>
          <w:highlight w:val="none"/>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highlight w:val="none"/>
        </w:rPr>
        <w:t xml:space="preserve">http://www.ccgp-jiangsu.gov.cn/jiangsu/zlxz/ee/ee3a4bc5a3454aa2b0d9312230633ce9.html。</w:t>
      </w:r>
      <w:r>
        <w:rPr>
          <w:highlight w:val="none"/>
        </w:rPr>
      </w:r>
    </w:p>
    <w:p>
      <w:pPr>
        <w:ind w:firstLine="560"/>
        <w:spacing w:line="40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highlight w:val="none"/>
        </w:rPr>
      </w:r>
    </w:p>
    <w:p>
      <w:pPr>
        <w:ind w:firstLine="560"/>
        <w:spacing w:line="40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2.有关本次招标的事项若存在变动或修改，敬请及时关注江苏省政府采购中心在“江苏政府采购网”发布的更正公告。</w:t>
      </w:r>
      <w:r>
        <w:rPr>
          <w:highlight w:val="none"/>
        </w:rPr>
      </w:r>
    </w:p>
    <w:p>
      <w:pPr>
        <w:ind w:firstLine="560"/>
        <w:spacing w:line="40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3.本次招标不收取投标保证金。</w:t>
      </w:r>
      <w:r>
        <w:rPr>
          <w:highlight w:val="none"/>
        </w:rP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p>
      <w:pPr>
        <w:ind w:right="839"/>
        <w:jc w:val="center"/>
        <w:keepLines w:val="0"/>
        <w:keepNext w:val="0"/>
        <w:pageBreakBefore w:val="0"/>
        <w:spacing w:line="400" w:lineRule="exact"/>
        <w:widowControl w:val="off"/>
        <w:rPr>
          <w:rFonts w:hint="eastAsia" w:ascii="宋体" w:hAnsi="宋体"/>
          <w:sz w:val="28"/>
          <w:szCs w:val="28"/>
          <w:highlight w:val="none"/>
        </w:rPr>
      </w:pPr>
      <w:r>
        <w:rPr>
          <w:rFonts w:ascii="宋体" w:hAnsi="宋体"/>
          <w:color w:val="000000"/>
          <w:sz w:val="24"/>
          <w:szCs w:val="24"/>
          <w:highlight w:val="none"/>
        </w:rPr>
        <w:br w:type="page" w:clear="all"/>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Start w:id="44" w:name="_Toc120614211"/>
      <w:r>
        <w:rPr>
          <w:highlight w:val="none"/>
        </w:rPr>
      </w:r>
      <w:bookmarkStart w:id="45" w:name="_Toc479757207"/>
      <w:r>
        <w:rPr>
          <w:highlight w:val="none"/>
        </w:rPr>
      </w:r>
      <w:bookmarkStart w:id="46" w:name="_Toc513029242"/>
      <w:r>
        <w:rPr>
          <w:highlight w:val="none"/>
        </w:rPr>
      </w:r>
      <w:bookmarkStart w:id="47" w:name="_Toc120614221"/>
      <w:r>
        <w:rPr>
          <w:highlight w:val="none"/>
        </w:rPr>
      </w:r>
      <w:bookmarkStart w:id="48" w:name="_Toc20823314"/>
      <w:r>
        <w:rPr>
          <w:highlight w:val="none"/>
        </w:rPr>
      </w:r>
      <w:bookmarkStart w:id="49" w:name="_Toc16938558"/>
      <w:r>
        <w:rPr>
          <w:rFonts w:hint="eastAsia" w:ascii="方正黑体_GBK" w:hAnsi="方正黑体_GBK" w:eastAsia="方正黑体_GBK" w:cs="方正黑体_GBK"/>
          <w:color w:val="000000"/>
          <w:sz w:val="28"/>
          <w:szCs w:val="28"/>
          <w:highlight w:val="none"/>
        </w:rPr>
        <w:t xml:space="preserve">第二章  投标人须知</w:t>
      </w:r>
      <w:r>
        <w:rPr>
          <w:highlight w:val="none"/>
        </w:rP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一、总则</w:t>
      </w:r>
      <w:r>
        <w:rPr>
          <w:highlight w:val="none"/>
        </w:rP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招标方式</w:t>
      </w:r>
      <w:r>
        <w:rPr>
          <w:highlight w:val="none"/>
        </w:rP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 本次招标采取公开招标方式，本招标文件仅适用于招标公告中所述项目。</w:t>
      </w:r>
      <w:r>
        <w:rPr>
          <w:highlight w:val="none"/>
        </w:rP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合格的投标人</w:t>
      </w:r>
      <w:r>
        <w:rPr>
          <w:highlight w:val="none"/>
        </w:rP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2.1满足招标公告中供应商的资格要求的规定。</w:t>
      </w:r>
      <w:r>
        <w:rPr>
          <w:highlight w:val="none"/>
        </w:rP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 满足本文件实质性要求的规定。</w:t>
      </w:r>
      <w:r>
        <w:rPr>
          <w:highlight w:val="none"/>
        </w:rP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适用法律</w:t>
      </w:r>
      <w:r>
        <w:rPr>
          <w:rFonts w:hint="eastAsia" w:ascii="方正仿宋_GBK" w:hAnsi="方正仿宋_GBK" w:eastAsia="方正仿宋_GBK" w:cs="方正仿宋_GBK"/>
          <w:bCs/>
          <w:sz w:val="28"/>
          <w:szCs w:val="28"/>
          <w:highlight w:val="none"/>
          <w:lang w:eastAsia="zh-CN"/>
        </w:rPr>
        <w:t xml:space="preserve">和标准</w:t>
      </w:r>
      <w:r>
        <w:rPr>
          <w:highlight w:val="none"/>
        </w:rP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3.1 本次招标及由此产生的合同受中华人民共和国有关的法律法规制约和保护。</w:t>
      </w:r>
      <w:r>
        <w:rPr>
          <w:highlight w:val="none"/>
        </w:rP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en-US" w:eastAsia="zh-CN"/>
        </w:rPr>
        <w:t xml:space="preserve">3.2 在本项目政府采购活动过程中，如果所执行的标准有更新的，按照最新标准执行。</w:t>
      </w:r>
      <w:r>
        <w:rPr>
          <w:highlight w:val="none"/>
        </w:rP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投标费用</w:t>
      </w:r>
      <w:r>
        <w:rPr>
          <w:highlight w:val="none"/>
        </w:rP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4.1 投标人应自行承担所有与参加投标有关的费用，无论投标过程中的做法和结果如何，江苏省政府采购中心（以下简称采购中心）在任何情况下均无义务和责任承担这些费用。</w:t>
      </w:r>
      <w:r>
        <w:rPr>
          <w:highlight w:val="none"/>
        </w:rP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4.2本次招标采购中心和采购人不收取标书工本费与中标服务费。</w:t>
      </w:r>
      <w:r>
        <w:rPr>
          <w:highlight w:val="none"/>
        </w:rP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招标文件的约束力</w:t>
      </w:r>
      <w:r>
        <w:rPr>
          <w:highlight w:val="none"/>
        </w:rP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5.1 投标人一旦参加本项目采购活动，即被认为接受了本招标文件的规定和约束。</w:t>
      </w:r>
      <w:r>
        <w:rPr>
          <w:highlight w:val="none"/>
        </w:rP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二、招标文件</w:t>
      </w:r>
      <w:r>
        <w:rPr>
          <w:highlight w:val="none"/>
        </w:rP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招标文件构成</w:t>
      </w:r>
      <w:r>
        <w:rPr>
          <w:highlight w:val="none"/>
        </w:rP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6.1 招标文件由以下部分组成：</w:t>
      </w:r>
      <w:r>
        <w:rPr>
          <w:highlight w:val="none"/>
        </w:rP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（1）投标邀请</w:t>
      </w:r>
      <w:r>
        <w:rPr>
          <w:highlight w:val="none"/>
        </w:rP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（2）投标人须知</w:t>
      </w:r>
      <w:r>
        <w:rPr>
          <w:highlight w:val="none"/>
        </w:rP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（3）合同文本</w:t>
      </w:r>
      <w:r>
        <w:rPr>
          <w:highlight w:val="none"/>
        </w:rP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（4）采购需求</w:t>
      </w:r>
      <w:r>
        <w:rPr>
          <w:highlight w:val="none"/>
        </w:rP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（5）评标方法与评标标准</w:t>
      </w:r>
      <w:r>
        <w:rPr>
          <w:highlight w:val="none"/>
        </w:rP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（6）投标文件格式</w:t>
      </w:r>
      <w:r>
        <w:rPr>
          <w:highlight w:val="none"/>
        </w:rP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请仔细检查招标文件是否齐全，如有缺漏请立即与采购中心联系解决。</w:t>
      </w:r>
      <w:r>
        <w:rPr>
          <w:highlight w:val="none"/>
        </w:rP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招标文件的修改</w:t>
      </w:r>
      <w:r>
        <w:rPr>
          <w:highlight w:val="none"/>
        </w:rP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7.1 在投标截止时间前，采购中心可以对招标文件进行修改。</w:t>
      </w:r>
      <w:r>
        <w:rPr>
          <w:highlight w:val="none"/>
        </w:rP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7.2 采购中心有权按照法定的要求推迟投标截止日期和开标日期。</w:t>
      </w:r>
      <w:r>
        <w:rPr>
          <w:highlight w:val="none"/>
        </w:rP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7.3 招标文件的修改将在江苏政府采购网公布，补充文件将作为招标文件的组成部分，并对投标人具有约束力。</w:t>
      </w:r>
      <w:r>
        <w:rPr>
          <w:highlight w:val="none"/>
        </w:rP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三、投标文件的编制</w:t>
      </w:r>
      <w:r>
        <w:rPr>
          <w:highlight w:val="none"/>
        </w:rPr>
      </w:r>
    </w:p>
    <w:p>
      <w:pPr>
        <w:pStyle w:val="886"/>
        <w:ind w:firstLine="560"/>
        <w:pageBreakBefore w:val="0"/>
        <w:spacing w:before="0" w:after="0" w:line="400" w:lineRule="exact"/>
        <w:widowControl w:val="off"/>
        <w:rPr>
          <w:rFonts w:hint="eastAsia" w:ascii="方正仿宋_GBK" w:hAnsi="方正仿宋_GBK" w:eastAsia="方正仿宋_GBK" w:cs="方正仿宋_GBK"/>
          <w:bCs w:val="0"/>
          <w:sz w:val="28"/>
          <w:szCs w:val="28"/>
          <w:highlight w:val="none"/>
        </w:rPr>
      </w:pPr>
      <w:r>
        <w:rPr>
          <w:rFonts w:hint="eastAsia" w:ascii="方正仿宋_GBK" w:hAnsi="方正仿宋_GBK" w:eastAsia="方正仿宋_GBK" w:cs="方正仿宋_GBK"/>
          <w:b w:val="0"/>
          <w:bCs w:val="0"/>
          <w:sz w:val="28"/>
          <w:szCs w:val="28"/>
          <w:highlight w:val="none"/>
        </w:rPr>
        <w:t xml:space="preserve">8</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投标文件的语言及度量衡单位</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8.1</w:t>
      </w:r>
      <w:r>
        <w:rPr>
          <w:rFonts w:hint="eastAsia" w:ascii="方正仿宋_GBK" w:hAnsi="方正仿宋_GBK" w:eastAsia="方正仿宋_GBK" w:cs="方正仿宋_GBK"/>
          <w:sz w:val="28"/>
          <w:szCs w:val="28"/>
          <w:highlight w:val="none"/>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highlight w:val="none"/>
        </w:rPr>
        <w:t xml:space="preserve">简体中文</w:t>
      </w:r>
      <w:r>
        <w:rPr>
          <w:rFonts w:hint="eastAsia" w:ascii="方正仿宋_GBK" w:hAnsi="方正仿宋_GBK" w:eastAsia="方正仿宋_GBK" w:cs="方正仿宋_GBK"/>
          <w:sz w:val="28"/>
          <w:szCs w:val="28"/>
          <w:highlight w:val="none"/>
        </w:rPr>
        <w:t xml:space="preserve">。</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8.2</w:t>
      </w:r>
      <w:r>
        <w:rPr>
          <w:rFonts w:hint="eastAsia" w:ascii="方正仿宋_GBK" w:hAnsi="方正仿宋_GBK" w:eastAsia="方正仿宋_GBK" w:cs="方正仿宋_GBK"/>
          <w:sz w:val="28"/>
          <w:szCs w:val="28"/>
          <w:highlight w:val="none"/>
        </w:rPr>
        <w:t xml:space="preserve"> 除技术性能另有规定外，投标文件所使用的度量衡单位，均须采用国家法定计量单位。</w:t>
      </w:r>
      <w:r>
        <w:rPr>
          <w:highlight w:val="none"/>
        </w:rPr>
      </w:r>
    </w:p>
    <w:p>
      <w:pPr>
        <w:pStyle w:val="88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9</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投标文件构成</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9.1</w:t>
      </w:r>
      <w:r>
        <w:rPr>
          <w:rFonts w:hint="eastAsia" w:ascii="方正仿宋_GBK" w:hAnsi="方正仿宋_GBK" w:eastAsia="方正仿宋_GBK" w:cs="方正仿宋_GBK"/>
          <w:sz w:val="28"/>
          <w:szCs w:val="28"/>
          <w:highlight w:val="none"/>
        </w:rPr>
        <w:t xml:space="preserve"> 投标人编写的投标文件应包括资格证明文件、实质性要求响应及偏离表、投标分项报价表、技术要求响应及偏离表、商务要求响应及偏离表、其他证明文件、投标函、开标一览表等部分。</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9.2 如标书制作工具中格式和内容与“江苏政府采购网”发布的招标文件不一致，请以“江苏政府采购网”发布的招标文件为准。</w:t>
      </w:r>
      <w:r>
        <w:rPr>
          <w:highlight w:val="none"/>
        </w:rPr>
      </w:r>
    </w:p>
    <w:p>
      <w:pPr>
        <w:pStyle w:val="88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10</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证明投标人及投标标的符合招标文件规定的文件</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10.1 投标人应按照法律、法规、规章和规范性文件以及招标文件要求提交证明文件，证明其及投标标的符合招标文件规定。</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10.2招标文件对证明文件无明确形式要求的，证明文件可以以文字资料、图纸和数据等形式提交。</w:t>
      </w:r>
      <w:r>
        <w:rPr>
          <w:highlight w:val="none"/>
        </w:rPr>
      </w:r>
    </w:p>
    <w:p>
      <w:pPr>
        <w:pStyle w:val="88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11</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投标分项报价表</w:t>
      </w:r>
      <w:r>
        <w:rPr>
          <w:highlight w:val="none"/>
        </w:rP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11.1</w:t>
      </w:r>
      <w:r>
        <w:rPr>
          <w:rFonts w:hint="eastAsia" w:ascii="方正仿宋_GBK" w:hAnsi="方正仿宋_GBK" w:eastAsia="方正仿宋_GBK" w:cs="方正仿宋_GBK"/>
          <w:sz w:val="28"/>
          <w:szCs w:val="28"/>
          <w:highlight w:val="none"/>
        </w:rPr>
        <w:t xml:space="preserve"> 投标人按照招标文件规定格式填报投标分项报价表。</w:t>
      </w:r>
      <w:r>
        <w:rPr>
          <w:highlight w:val="none"/>
        </w:rP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11.2</w:t>
      </w:r>
      <w:r>
        <w:rPr>
          <w:rFonts w:hint="eastAsia" w:ascii="方正仿宋_GBK" w:hAnsi="方正仿宋_GBK" w:eastAsia="方正仿宋_GBK" w:cs="方正仿宋_GBK"/>
          <w:bCs/>
          <w:sz w:val="28"/>
          <w:szCs w:val="28"/>
          <w:highlight w:val="none"/>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highlight w:val="none"/>
        </w:rPr>
        <w:t xml:space="preserve">招标文件中另有规定的按规定执行。</w:t>
      </w:r>
      <w:r>
        <w:rPr>
          <w:highlight w:val="none"/>
        </w:rPr>
      </w:r>
    </w:p>
    <w:p>
      <w:pPr>
        <w:pStyle w:val="88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12</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技术要求响应及偏离表、商务要求响应及偏离表</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lang w:val="zh-CN"/>
        </w:rPr>
        <w:t xml:space="preserve">12.1</w:t>
      </w:r>
      <w:r>
        <w:rPr>
          <w:rFonts w:hint="eastAsia" w:ascii="方正仿宋_GBK" w:hAnsi="方正仿宋_GBK" w:eastAsia="方正仿宋_GBK" w:cs="方正仿宋_GBK"/>
          <w:sz w:val="28"/>
          <w:szCs w:val="28"/>
          <w:highlight w:val="none"/>
          <w:lang w:val="zh-CN"/>
        </w:rPr>
        <w:t xml:space="preserve"> 投标人需对招标文件中的技术要求与商务要求逐项作出响应或偏离，并说明原因。</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zh-CN"/>
        </w:rPr>
        <w:t xml:space="preserve">12.2 投标人需按照招标文件要求，在投标文件中提供与技术要求和商务要求相关的证明材料。</w:t>
      </w:r>
      <w:r>
        <w:rPr>
          <w:highlight w:val="none"/>
        </w:rPr>
      </w:r>
    </w:p>
    <w:p>
      <w:pPr>
        <w:pStyle w:val="88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13</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投标函和开标一览表</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13.1</w:t>
      </w:r>
      <w:r>
        <w:rPr>
          <w:rFonts w:hint="eastAsia" w:ascii="方正仿宋_GBK" w:hAnsi="方正仿宋_GBK" w:eastAsia="方正仿宋_GBK" w:cs="方正仿宋_GBK"/>
          <w:sz w:val="28"/>
          <w:szCs w:val="28"/>
          <w:highlight w:val="none"/>
        </w:rPr>
        <w:t xml:space="preserve"> 投标人应按照招标文件中提供的格式完整、正确填写投标函、开标一览表。</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13.2</w:t>
      </w:r>
      <w:r>
        <w:rPr>
          <w:rFonts w:hint="eastAsia" w:ascii="方正仿宋_GBK" w:hAnsi="方正仿宋_GBK" w:eastAsia="方正仿宋_GBK" w:cs="方正仿宋_GBK"/>
          <w:sz w:val="28"/>
          <w:szCs w:val="28"/>
          <w:highlight w:val="none"/>
        </w:rPr>
        <w:t xml:space="preserve"> 对于采用货币报价的项目，</w:t>
      </w:r>
      <w:r>
        <w:rPr>
          <w:rFonts w:hint="eastAsia" w:ascii="方正仿宋_GBK" w:hAnsi="方正仿宋_GBK" w:eastAsia="方正仿宋_GBK" w:cs="方正仿宋_GBK"/>
          <w:bCs/>
          <w:sz w:val="28"/>
          <w:szCs w:val="28"/>
          <w:highlight w:val="none"/>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highlight w:val="none"/>
        </w:rPr>
        <w:t xml:space="preserve">不作为无效投标处理</w:t>
      </w:r>
      <w:r>
        <w:rPr>
          <w:rFonts w:hint="eastAsia" w:ascii="方正仿宋_GBK" w:hAnsi="方正仿宋_GBK" w:eastAsia="方正仿宋_GBK" w:cs="方正仿宋_GBK"/>
          <w:bCs/>
          <w:sz w:val="28"/>
          <w:szCs w:val="28"/>
          <w:highlight w:val="none"/>
        </w:rPr>
        <w:t xml:space="preserve">，但评标时按开标一览表中价格为准</w:t>
      </w:r>
      <w:r>
        <w:rPr>
          <w:rFonts w:hint="eastAsia" w:ascii="方正仿宋_GBK" w:hAnsi="方正仿宋_GBK" w:eastAsia="方正仿宋_GBK" w:cs="方正仿宋_GBK"/>
          <w:b/>
          <w:bCs/>
          <w:sz w:val="28"/>
          <w:szCs w:val="28"/>
          <w:highlight w:val="none"/>
        </w:rPr>
        <w:t xml:space="preserve">。</w:t>
      </w:r>
      <w:r>
        <w:rPr>
          <w:highlight w:val="none"/>
        </w:rPr>
      </w:r>
    </w:p>
    <w:p>
      <w:pPr>
        <w:pStyle w:val="88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14</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投标有效期</w:t>
      </w:r>
      <w:r>
        <w:rPr>
          <w:highlight w:val="none"/>
        </w:rP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14.1</w:t>
      </w:r>
      <w:r>
        <w:rPr>
          <w:rFonts w:hint="eastAsia" w:ascii="方正仿宋_GBK" w:hAnsi="方正仿宋_GBK" w:eastAsia="方正仿宋_GBK" w:cs="方正仿宋_GBK"/>
          <w:bCs/>
          <w:sz w:val="28"/>
          <w:szCs w:val="28"/>
          <w:highlight w:val="none"/>
        </w:rPr>
        <w:t xml:space="preserve"> 投标有效期为采购中心规定的开标之日后</w:t>
      </w:r>
      <w:r>
        <w:rPr>
          <w:rFonts w:hint="eastAsia" w:ascii="方正仿宋_GBK" w:hAnsi="方正仿宋_GBK" w:eastAsia="方正仿宋_GBK" w:cs="方正仿宋_GBK"/>
          <w:b/>
          <w:sz w:val="28"/>
          <w:szCs w:val="28"/>
          <w:highlight w:val="none"/>
          <w:u w:val="single"/>
        </w:rPr>
        <w:t xml:space="preserve">六十（60）天</w:t>
      </w:r>
      <w:r>
        <w:rPr>
          <w:rFonts w:hint="eastAsia" w:ascii="方正仿宋_GBK" w:hAnsi="方正仿宋_GBK" w:eastAsia="方正仿宋_GBK" w:cs="方正仿宋_GBK"/>
          <w:bCs/>
          <w:sz w:val="28"/>
          <w:szCs w:val="28"/>
          <w:highlight w:val="none"/>
        </w:rPr>
        <w:t xml:space="preserve">。投标有效期比规定短的将被视为未实质性响应招标文件而予以拒绝。</w:t>
      </w:r>
      <w:r>
        <w:rPr>
          <w:highlight w:val="none"/>
        </w:rPr>
      </w:r>
    </w:p>
    <w:p>
      <w:pPr>
        <w:pStyle w:val="88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15</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投标有效期的延长</w:t>
      </w:r>
      <w:r>
        <w:rPr>
          <w:highlight w:val="none"/>
        </w:rP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15.1</w:t>
      </w:r>
      <w:r>
        <w:rPr>
          <w:rFonts w:hint="eastAsia" w:ascii="方正仿宋_GBK" w:hAnsi="方正仿宋_GBK" w:eastAsia="方正仿宋_GBK" w:cs="方正仿宋_GBK"/>
          <w:bCs/>
          <w:sz w:val="28"/>
          <w:szCs w:val="28"/>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bCs/>
          <w:sz w:val="28"/>
          <w:szCs w:val="28"/>
          <w:highlight w:val="none"/>
        </w:rPr>
        <w:t xml:space="preserve">同意延长投标有效期的投标人既不能要求也不允许修改其投标文件</w:t>
      </w:r>
      <w:r>
        <w:rPr>
          <w:rFonts w:hint="eastAsia" w:ascii="方正仿宋_GBK" w:hAnsi="方正仿宋_GBK" w:eastAsia="方正仿宋_GBK" w:cs="方正仿宋_GBK"/>
          <w:sz w:val="28"/>
          <w:szCs w:val="28"/>
          <w:highlight w:val="none"/>
        </w:rPr>
        <w:t xml:space="preserve">，同时受投标有效期约束的所有权利与义务均延长至新的有效期</w:t>
      </w:r>
      <w:r>
        <w:rPr>
          <w:rFonts w:hint="eastAsia" w:ascii="方正仿宋_GBK" w:hAnsi="方正仿宋_GBK" w:eastAsia="方正仿宋_GBK" w:cs="方正仿宋_GBK"/>
          <w:bCs/>
          <w:sz w:val="28"/>
          <w:szCs w:val="28"/>
          <w:highlight w:val="none"/>
        </w:rPr>
        <w:t xml:space="preserve">。</w:t>
      </w:r>
      <w:r>
        <w:rPr>
          <w:highlight w:val="none"/>
        </w:rP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四、投标文件的递交</w:t>
      </w:r>
      <w:r>
        <w:rPr>
          <w:highlight w:val="none"/>
        </w:rPr>
      </w:r>
    </w:p>
    <w:p>
      <w:pPr>
        <w:pStyle w:val="88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16</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投标文件的递交</w:t>
      </w:r>
      <w:r>
        <w:rPr>
          <w:highlight w:val="none"/>
        </w:rP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16.1</w:t>
      </w:r>
      <w:r>
        <w:rPr>
          <w:rFonts w:hint="eastAsia" w:ascii="方正仿宋_GBK" w:hAnsi="方正仿宋_GBK" w:eastAsia="方正仿宋_GBK" w:cs="方正仿宋_GBK"/>
          <w:bCs/>
          <w:sz w:val="28"/>
          <w:szCs w:val="28"/>
          <w:highlight w:val="none"/>
        </w:rPr>
        <w:t xml:space="preserve"> 电子投标文件的递交</w:t>
      </w:r>
      <w:r>
        <w:rPr>
          <w:highlight w:val="none"/>
        </w:rPr>
      </w:r>
    </w:p>
    <w:p>
      <w:pPr>
        <w:pStyle w:val="9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投标人应当按照《操作手册》规定，在投标截止时间前制作并上传电子投标文件。</w:t>
      </w:r>
      <w:r>
        <w:rPr>
          <w:highlight w:val="none"/>
        </w:rP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en-US" w:eastAsia="zh-CN" w:bidi="ar-SA"/>
        </w:rPr>
        <w:t xml:space="preserve">17.投标截止时间</w:t>
      </w:r>
      <w:r>
        <w:rPr>
          <w:highlight w:val="none"/>
        </w:rP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17.1</w:t>
      </w:r>
      <w:r>
        <w:rPr>
          <w:rFonts w:hint="eastAsia" w:ascii="方正仿宋_GBK" w:hAnsi="方正仿宋_GBK" w:eastAsia="方正仿宋_GBK" w:cs="方正仿宋_GBK"/>
          <w:bCs/>
          <w:sz w:val="28"/>
          <w:szCs w:val="28"/>
          <w:highlight w:val="none"/>
        </w:rPr>
        <w:t xml:space="preserve"> 投标人上传电子投标文件的时间不得迟于招标公告中规定的投标截止时间。</w:t>
      </w:r>
      <w:r>
        <w:rPr>
          <w:highlight w:val="none"/>
        </w:rP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投标人应充分考虑到网络环境、网络带宽等风险因素，如因投标人自身原因造成的电子投标文件上传不成功的按照本招标文件第二章第25.1.2条规定做无效投标处理。</w:t>
      </w:r>
      <w:r>
        <w:rPr>
          <w:highlight w:val="none"/>
        </w:rP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17.2</w:t>
      </w:r>
      <w:r>
        <w:rPr>
          <w:rFonts w:hint="eastAsia" w:ascii="方正仿宋_GBK" w:hAnsi="方正仿宋_GBK" w:eastAsia="方正仿宋_GBK" w:cs="方正仿宋_GBK"/>
          <w:bCs/>
          <w:sz w:val="28"/>
          <w:szCs w:val="28"/>
          <w:highlight w:val="none"/>
        </w:rPr>
        <w:t xml:space="preserve"> 采购中心可以按照规定，通过修改招标文件酌情延长投标截止时间，在此情况下，投标人的所有权利和义务以及投标人受制的截止时间均应以延长后新的截止时间为准。</w:t>
      </w:r>
      <w:r>
        <w:rPr>
          <w:highlight w:val="none"/>
        </w:rPr>
      </w:r>
    </w:p>
    <w:p>
      <w:pPr>
        <w:pStyle w:val="88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18</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投标文件的拒收</w:t>
      </w:r>
      <w:r>
        <w:rPr>
          <w:highlight w:val="none"/>
        </w:rP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18.1</w:t>
      </w:r>
      <w:r>
        <w:rPr>
          <w:rFonts w:hint="eastAsia" w:ascii="方正仿宋_GBK" w:hAnsi="方正仿宋_GBK" w:eastAsia="方正仿宋_GBK" w:cs="方正仿宋_GBK"/>
          <w:bCs/>
          <w:sz w:val="28"/>
          <w:szCs w:val="28"/>
          <w:highlight w:val="none"/>
        </w:rPr>
        <w:t xml:space="preserve">采购中心拒绝接收在其规定的投标截止时间后上传的任何投标文件。</w:t>
      </w:r>
      <w:r>
        <w:rPr>
          <w:highlight w:val="none"/>
        </w:rPr>
      </w:r>
    </w:p>
    <w:p>
      <w:pPr>
        <w:pStyle w:val="88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19</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投标文件的撤回和修改</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 投标文件的撤回</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19.1.1 电子投标文件的撤回</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投标人可在投标截止时间前，撤回其电子投标文件，具体操作方法见《操作手册》。</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19.1.2 投标人撤回电子投标文件，则认为其不再参与本项目投标活动。</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19.2 投标文件的修改</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19.2.1投标人可在投标截止时间前，对其电子投标文件进行修改，具体操作方法见《操作手册》。</w:t>
      </w:r>
      <w:r>
        <w:rPr>
          <w:highlight w:val="none"/>
        </w:rP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19.2.2</w:t>
      </w:r>
      <w:r>
        <w:rPr>
          <w:rFonts w:hint="eastAsia" w:ascii="方正仿宋_GBK" w:hAnsi="方正仿宋_GBK" w:eastAsia="方正仿宋_GBK" w:cs="方正仿宋_GBK"/>
          <w:bCs/>
          <w:sz w:val="28"/>
          <w:szCs w:val="28"/>
          <w:highlight w:val="none"/>
        </w:rPr>
        <w:t xml:space="preserve"> 在投标截止时间之后，投标人不得对其电子投标文件作任何修改。</w:t>
      </w:r>
      <w:r>
        <w:rPr>
          <w:highlight w:val="none"/>
        </w:rP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19.3</w:t>
      </w:r>
      <w:r>
        <w:rPr>
          <w:rFonts w:hint="eastAsia" w:ascii="方正仿宋_GBK" w:hAnsi="方正仿宋_GBK" w:eastAsia="方正仿宋_GBK" w:cs="方正仿宋_GBK"/>
          <w:bCs/>
          <w:sz w:val="28"/>
          <w:szCs w:val="28"/>
          <w:highlight w:val="none"/>
        </w:rPr>
        <w:t xml:space="preserve"> 在投标截止时间至招标文件中规定的投标有效期满之间的这段时间内，投标人不得撤回其投标。</w:t>
      </w:r>
      <w:r>
        <w:rPr>
          <w:highlight w:val="none"/>
        </w:rP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五、开标与评标</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开标</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20.1 采购中心将在招标公告中规定的时间和地点组织公开开标。投标人应当按照《操作手册》规定，参加开标活动和在苏采云系统规定的时间内对投标文件进行解密。</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20.2开标仪式由采购中心组织。苏采云系统将自动对项目进行开标，并宣布各投标人名称和投标价格。</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20.3投标人在开标过程中涉及到的投标文件解密、开标结果确认等工作，应按照《操作手册》规定执行。</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20.4投标人如果对开标过程和开标记录有疑义，应当根据《操作手册》规定提出，如苏采云系统中《开标记录表》宣布后5分钟内未提出的，视同认可开标结果。</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评标委员会</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21.1 开标后，采购中心将立即组织评标委员会进行评标。</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21.2 </w:t>
      </w:r>
      <w:r>
        <w:rPr>
          <w:rFonts w:hint="eastAsia" w:ascii="方正仿宋_GBK" w:hAnsi="方正仿宋_GBK" w:eastAsia="方正仿宋_GBK" w:cs="方正仿宋_GBK"/>
          <w:sz w:val="28"/>
          <w:szCs w:val="28"/>
          <w:highlight w:val="none"/>
          <w:lang w:eastAsia="zh-CN"/>
        </w:rPr>
        <w:t xml:space="preserve">评标委员会</w:t>
      </w:r>
      <w:r>
        <w:rPr>
          <w:rFonts w:hint="eastAsia" w:ascii="方正仿宋_GBK" w:hAnsi="方正仿宋_GBK" w:eastAsia="方正仿宋_GBK" w:cs="方正仿宋_GBK"/>
          <w:sz w:val="28"/>
          <w:szCs w:val="28"/>
          <w:highlight w:val="none"/>
        </w:rPr>
        <w:t xml:space="preserve">由采购人代表和有关技术、经济等方面的专家组成，且人员构成符合政府采购有关规定。</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21.3</w:t>
      </w:r>
      <w:r>
        <w:rPr>
          <w:rFonts w:hint="eastAsia" w:ascii="方正仿宋_GBK" w:hAnsi="方正仿宋_GBK" w:eastAsia="方正仿宋_GBK" w:cs="方正仿宋_GBK"/>
          <w:sz w:val="28"/>
          <w:szCs w:val="28"/>
          <w:highlight w:val="none"/>
          <w:lang w:eastAsia="zh-CN"/>
        </w:rPr>
        <w:t xml:space="preserve">评标委员会</w:t>
      </w:r>
      <w:r>
        <w:rPr>
          <w:rFonts w:hint="eastAsia" w:ascii="方正仿宋_GBK" w:hAnsi="方正仿宋_GBK" w:eastAsia="方正仿宋_GBK" w:cs="方正仿宋_GBK"/>
          <w:sz w:val="28"/>
          <w:szCs w:val="28"/>
          <w:highlight w:val="none"/>
        </w:rPr>
        <w:t xml:space="preserve">独立工作，负责评审所有投标文件并确定中标侯选人。</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评标过程的保密与公正</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22.1凡是与审查、澄清、评价和比较投标的有关资料以及授标建议等，采购人、评委、采购中心均不得向投标人或与评标无关的其他人员透露。</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22.2在评标过程中，投标人不得以任何行为影响评标过程，否则其投标文件将被作为无效投标文件。</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22.3 采购中心和评标委员会不向未中标的投标人解释未中标原因，也不公布评标过程中的相关细节。</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22.4 采用综合评分法的项目，未中标的投标人可于中标结果公告期限届满之日起通过苏采云系统查看自己的评审得分及排序情况。</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投标文件的澄清</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23.1评标期间，</w:t>
      </w:r>
      <w:r>
        <w:rPr>
          <w:rFonts w:hint="eastAsia" w:ascii="方正仿宋_GBK" w:hAnsi="方正仿宋_GBK" w:eastAsia="方正仿宋_GBK" w:cs="方正仿宋_GBK"/>
          <w:sz w:val="28"/>
          <w:szCs w:val="28"/>
          <w:highlight w:val="none"/>
          <w:lang w:eastAsia="zh-CN"/>
        </w:rPr>
        <w:t xml:space="preserve">评标委员会</w:t>
      </w:r>
      <w:r>
        <w:rPr>
          <w:rFonts w:hint="eastAsia" w:ascii="方正仿宋_GBK" w:hAnsi="方正仿宋_GBK" w:eastAsia="方正仿宋_GBK" w:cs="方正仿宋_GBK"/>
          <w:sz w:val="28"/>
          <w:szCs w:val="28"/>
          <w:highlight w:val="none"/>
        </w:rPr>
        <w:t xml:space="preserve">对投标文件中含义不明确、同类问题表述不一致或者有明显文字和计算错误的内容 ，有权要求投标人作出必要的澄清、说明或者补正。</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投标人的澄清、说明或者补正不得超出投标文件的范围或者改变投标文件的实质性内容。</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评标委员会并非对每个投标人都做澄清要求。</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23.2需要供应商进行澄清、说明和补正的，</w:t>
      </w:r>
      <w:r>
        <w:rPr>
          <w:rFonts w:hint="eastAsia" w:ascii="方正仿宋_GBK" w:hAnsi="方正仿宋_GBK" w:eastAsia="方正仿宋_GBK" w:cs="方正仿宋_GBK"/>
          <w:sz w:val="28"/>
          <w:szCs w:val="28"/>
          <w:highlight w:val="none"/>
          <w:lang w:eastAsia="zh-CN"/>
        </w:rPr>
        <w:t xml:space="preserve">评标委员会</w:t>
      </w:r>
      <w:r>
        <w:rPr>
          <w:rFonts w:hint="eastAsia" w:ascii="方正仿宋_GBK" w:hAnsi="方正仿宋_GBK" w:eastAsia="方正仿宋_GBK" w:cs="方正仿宋_GBK"/>
          <w:sz w:val="28"/>
          <w:szCs w:val="28"/>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none"/>
        </w:rP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23.3 接到</w:t>
      </w:r>
      <w:r>
        <w:rPr>
          <w:rFonts w:hint="eastAsia" w:ascii="方正仿宋_GBK" w:hAnsi="方正仿宋_GBK" w:eastAsia="方正仿宋_GBK" w:cs="方正仿宋_GBK"/>
          <w:sz w:val="28"/>
          <w:szCs w:val="28"/>
          <w:highlight w:val="none"/>
          <w:lang w:eastAsia="zh-CN"/>
        </w:rPr>
        <w:t xml:space="preserve">评标委员会</w:t>
      </w:r>
      <w:r>
        <w:rPr>
          <w:rFonts w:hint="eastAsia" w:ascii="方正仿宋_GBK" w:hAnsi="方正仿宋_GBK" w:eastAsia="方正仿宋_GBK" w:cs="方正仿宋_GBK"/>
          <w:sz w:val="28"/>
          <w:szCs w:val="28"/>
          <w:highlight w:val="none"/>
        </w:rPr>
        <w:t xml:space="preserve">澄清、说明和补正要求的投标人如未按规定做出澄清、说明和补正，其风险由投标人自行承担。</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24.对投标文件的初审</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24.1投标文件初审分为资格审查和符合性审查。</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24.1.1 资格审查：依据法律法规和招标文件的规定，由采购人对投标文件中的资格证明文件进行审查。资格审查的结论，采购人以书面形式向评标委员会进行反馈。</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highlight w:val="none"/>
          <w:lang w:val="en-US" w:eastAsia="zh-CN"/>
        </w:rPr>
        <w:t xml:space="preserve">www.creditchina.gov.cn</w:t>
      </w:r>
      <w:r>
        <w:rPr>
          <w:rFonts w:hint="eastAsia" w:ascii="方正仿宋_GBK" w:hAnsi="方正仿宋_GBK" w:eastAsia="方正仿宋_GBK" w:cs="方正仿宋_GBK"/>
          <w:sz w:val="28"/>
          <w:szCs w:val="28"/>
          <w:highlight w:val="none"/>
          <w:lang w:val="en-US" w:eastAsia="zh-CN"/>
        </w:rPr>
        <w:t xml:space="preserve">）查询投标人的信用记录，以确定投标人是否具备投标资格,查询结果留存并归档。</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24.1.2 符合性审查：依据招标文件的规定，由评标委员会从投标文件的有效性、完整性和对招标文件的响应程度进行审查，以确定是否对招标文件的实质性要求作出响应。</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24.3如果投标文件实质上没有响应招标文件的要求，评标委员会将予以拒绝，投标人不得通过修改或撤销不符合要求的偏离或保留而使其投标成为实质性响应的投标。</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24.4评标委员会将对确定为实质性响应的投标进行进一步审核，确定其是否有计算上或累加上的算术错误，修正错误的原则如下：</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（1）投标文件中开标一览表内容与投标文件中相应内容不一致的，以开标一览表为准。</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（2）大写金额和小写金额不一致的，以大写金额为准。</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（3）单价金额小数点或者百分比有明显错位的，以开标一览表的总价为准，并修改单价。</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（4）总价金额与按单价汇总金额不一致的，以单价金额计算结果为准。</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同时出现两种以上错误的，按照前款规定的顺序修正。</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24.6投标人在开、评标全过程中应保持通讯畅通，及时登录苏采云系统查阅、答复相关信息，并安排专人与采购中心及评标委员会联系。</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24.7 异常低价投标审查</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24.7.1 评标过程中出现下列情形之一的，评标委员会应当启动异常低价投标审查程序：</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（1）投标报价低于全部通过符合性审查供应商投标报价平均值50%的，即投标报价&lt;全部通过符合性审查供应商投标报价平均值×50%；</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（2）投标报价低于通过符合性审查的次低报价供应商投标报价50%的，即投标报价&lt;通过符合性审查的次低报价供应商投标报价×50%；</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（3）投标报价低于采购项目最高限价45%的，即投标报价&lt;采购项目最高限价×45%；</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sz w:val="28"/>
          <w:szCs w:val="28"/>
          <w:highlight w:val="none"/>
          <w:lang w:val="en-US" w:eastAsia="zh-CN"/>
        </w:rPr>
        <w:t xml:space="preserve">（4）评标委员会基于专业判断，认为供应商报价过低，有可能影响产品质量或者不能诚信履约的其他情形。</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25.无效投标条款和废标条款</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25.1无效投标条款</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25.1.1 投标人在苏采云系统规定的时间内未成功解密电子投标文件的。</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25.1.2 投标人未按照招标文件要求上传电子投标文件的。</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25.1.3 投标人同一采购包提交两个（含两个）以上不同的投标报价的。</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25.1.4投标人不具备招标文件中规定资格要求的。</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25.1.5投标人的报价超过了采购预算或最高限价的。</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25.1.6未通过符合性审查的。</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highlight w:val="none"/>
          <w:u w:val="single"/>
        </w:rPr>
      </w:pPr>
      <w:r>
        <w:rPr>
          <w:rFonts w:hint="eastAsia" w:ascii="方正仿宋_GBK" w:hAnsi="方正仿宋_GBK" w:eastAsia="方正仿宋_GBK" w:cs="方正仿宋_GBK"/>
          <w:bCs/>
          <w:sz w:val="28"/>
          <w:szCs w:val="28"/>
          <w:highlight w:val="none"/>
        </w:rPr>
        <w:t xml:space="preserve">25.1.7不符合招标文件中规定的实质性要求的</w:t>
      </w:r>
      <w:r>
        <w:rPr>
          <w:rFonts w:hint="eastAsia" w:ascii="方正仿宋_GBK" w:hAnsi="方正仿宋_GBK" w:eastAsia="方正仿宋_GBK" w:cs="方正仿宋_GBK"/>
          <w:b/>
          <w:bCs/>
          <w:sz w:val="28"/>
          <w:szCs w:val="28"/>
          <w:highlight w:val="none"/>
        </w:rPr>
        <w:t xml:space="preserve">（本招标文件中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w:t>
      </w:r>
      <w:r>
        <w:rPr>
          <w:rFonts w:hint="eastAsia" w:ascii="方正仿宋_GBK" w:hAnsi="方正仿宋_GBK" w:eastAsia="方正仿宋_GBK" w:cs="方正仿宋_GBK"/>
          <w:b/>
          <w:bCs/>
          <w:sz w:val="28"/>
          <w:szCs w:val="28"/>
          <w:highlight w:val="none"/>
          <w:lang w:val="en-US" w:eastAsia="zh-CN"/>
        </w:rPr>
        <w:t xml:space="preserve">*</w:t>
      </w:r>
      <w:r>
        <w:rPr>
          <w:rFonts w:hint="eastAsia" w:ascii="方正仿宋_GBK" w:hAnsi="方正仿宋_GBK" w:eastAsia="方正仿宋_GBK" w:cs="方正仿宋_GBK"/>
          <w:b/>
          <w:bCs/>
          <w:sz w:val="28"/>
          <w:szCs w:val="28"/>
          <w:highlight w:val="none"/>
        </w:rPr>
        <w:t xml:space="preserve">号条款为实质性要求）</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25.1.8 投标人被 “信用中国”网站（</w:t>
      </w:r>
      <w:r>
        <w:rPr>
          <w:rFonts w:hint="eastAsia" w:ascii="Times New Roman" w:hAnsi="Times New Roman" w:eastAsia="方正仿宋_GBK" w:cs="Times New Roman"/>
          <w:color w:val="000000"/>
          <w:sz w:val="28"/>
          <w:szCs w:val="28"/>
          <w:highlight w:val="none"/>
          <w:lang w:val="en-US" w:eastAsia="zh-CN"/>
        </w:rPr>
        <w:t xml:space="preserve">www.creditchina.gov.cn</w:t>
      </w:r>
      <w:r>
        <w:rPr>
          <w:rFonts w:hint="eastAsia" w:ascii="方正仿宋_GBK" w:hAnsi="方正仿宋_GBK" w:eastAsia="方正仿宋_GBK" w:cs="方正仿宋_GBK"/>
          <w:sz w:val="28"/>
          <w:szCs w:val="28"/>
          <w:highlight w:val="none"/>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25.1.9 投标文件含有采购人不能接受的附加条件的。</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25.1.10评标委员会按照本招标文件规定对投标人进行异常低价投标审查后，认为投标人不能证明其报价合理性的。</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25.1.11 投标文件未按照招标文件要求加盖CA电子公章的。</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25.1.12 投标人所提供的服务不符合招标文件中所列国家强制性标准的。</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25.1.13其他法律、法规及本招标文件规定的属无效投标的情形。</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25.2废标条款</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25.2.1符合专业条件的供应商或者对招标文件作实质响应的供应商不足三家的。</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25.2.2出现影响采购公正的违法、违规行为的。</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25.2.3因重大变故，采购任务取消的。</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25.2.4评标委员会认定招标文件存在歧义、重大缺陷导致评审工作无法进行。</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25.2.5 因苏采云系统故障原因造成开标不成功的。</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25.3 投标截止时间结束后参加投标的供应商不足三家的处理：</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25.3.1如出现投标截止时间结束后参加投标的供应商或者在评标期间对招标文件做出实质响应的供应商不足三家情况，按政府采购相关规定执行。</w:t>
      </w:r>
      <w:r>
        <w:rPr>
          <w:highlight w:val="none"/>
        </w:rP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六、定标</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26.确定中标单位</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26.1中标候选人的选取原则和数量见招标文件第五章规定。 </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26.2采购人应根据评标委员会推荐的中标候选人确定中标供应商。</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26.3 采购中心将在“江苏政府采购网”发布中标公告，公告期限为1个工作日。</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26.4 若有充分证据证明，中标供应商出现下列情况之一的，一经查实，将被取消中标资格：</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26.4.1提供虚假材料谋取中标的。</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26.4.2向采购人、采购中心行贿或者提供其他不正当利益的。</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26.4.3属于本文件规定的无效条件，但在评标过程中又未被评标委员会发现的。</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26.4.4与采购人或者其他供应商恶意串通的。</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26.4.5采取不正当手段诋毁、排挤其他供应商的。</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26.5有下列情形之一的，视为投标人串通投标，投标无效：</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26.5.1不同投标人的投标文件由同一单位或者个人编制。</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26.5.2不同投标人委托同一单位或者个人办理投标事宜。</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26.5.3 不同投标人的投标文件载明的项目管理成员或者联系人员为同一人。</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26.5.4不同投标人的投标文件异常一致或者投标报价呈规律性差异。</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27.质疑处理</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27.1 提出质疑的供应商应当是参与所质疑项目采购活动的供应商。潜在供应商依法获取其可质疑的采购文件的，可以对采购文件提出质疑。</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27.2.1对可以质疑的采购文件提出质疑的，为收到采购文件之日或者采购文件公告期限届满之日；</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27.2.2对采购过程提出质疑的，为各采购程序环节结束之日；</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27.2.3对中标或者成交结果提出质疑的，为中标或者成交结果公告期限届满之日。</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采购人及采购中心只接收以纸质原件形式送达的质疑,建议供应商尽量通过邮寄方式提交质疑（采购人和采购中心不接受无快递运单号的快递）。</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采购中心质疑接收部门为质疑处理科（快递运单上的收件人填写“质疑处理科”即可），联系地址：南京市汉中门大街145号省政务中心二期3楼南区3029室，联系电话：025-83668531。</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采购人质疑接收人及联系方式见招标文件第一章。</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27.5 以下情形的质疑不予受理</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27.5.1 内容不符合《政府采购质疑和投诉办法》第十二条规定的质疑。</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27.5.2 超出政府采购法定期限的质疑。</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27.5.3 以传真、电子邮件等方式递交的非原件形式的质疑。</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27.5.4 未参加投标活动的供应商或在投标活动中自身权益未受到损害的供应商所提出的质疑。</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27.5.5供应商组成联合体参加投标，联合体中任何一方或多方未按要求签字、盖章、加盖公章的质疑。</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28.中标通知书</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highlight w:val="none"/>
        </w:rP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七、授予合同</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29.签订合同</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29.l中标供应商应当在中标通知书发出之日起三十日内，按照招标文件确定的事项与采购人签订政府采购合同。</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29.2 招标文件、中标供应商的投标文件及招标过程中有关澄清、承诺文件均应作为合同附件。</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30.服务（包含与服务相关的货物）的追加</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31.政府采购履约资金扶持政策</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中标供应商可凭政府采购合同办理融资贷款，详情请见江苏政府采购网“政采贷”专栏。</w:t>
      </w:r>
      <w:r>
        <w:rPr>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r>
      <w:bookmarkEnd w:id="44"/>
      <w:r>
        <w:rPr>
          <w:highlight w:val="none"/>
        </w:rPr>
      </w:r>
      <w:r>
        <w:rPr>
          <w:highlight w:val="none"/>
        </w:rPr>
      </w:r>
    </w:p>
    <w:p>
      <w:pPr>
        <w:ind w:right="839"/>
        <w:jc w:val="center"/>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br w:type="page" w:clear="all"/>
      </w:r>
      <w:r>
        <w:rPr>
          <w:rFonts w:hint="eastAsia" w:ascii="方正黑体_GBK" w:hAnsi="方正黑体_GBK" w:eastAsia="方正黑体_GBK" w:cs="方正黑体_GBK"/>
          <w:color w:val="000000"/>
          <w:sz w:val="28"/>
          <w:szCs w:val="28"/>
          <w:highlight w:val="none"/>
        </w:rPr>
        <w:t xml:space="preserve">第三章  合同</w:t>
      </w:r>
      <w:bookmarkEnd w:id="45"/>
      <w:r>
        <w:rPr>
          <w:highlight w:val="none"/>
        </w:rPr>
      </w:r>
      <w:bookmarkEnd w:id="46"/>
      <w:r>
        <w:rPr>
          <w:highlight w:val="none"/>
        </w:rPr>
      </w:r>
      <w:bookmarkEnd w:id="47"/>
      <w:r>
        <w:rPr>
          <w:highlight w:val="none"/>
        </w:rPr>
      </w:r>
      <w:bookmarkEnd w:id="48"/>
      <w:r>
        <w:rPr>
          <w:highlight w:val="none"/>
        </w:rPr>
      </w:r>
      <w:bookmarkEnd w:id="49"/>
      <w:r>
        <w:rPr>
          <w:rFonts w:hint="eastAsia" w:ascii="方正黑体_GBK" w:hAnsi="方正黑体_GBK" w:eastAsia="方正黑体_GBK" w:cs="方正黑体_GBK"/>
          <w:color w:val="000000"/>
          <w:sz w:val="28"/>
          <w:szCs w:val="28"/>
          <w:highlight w:val="none"/>
        </w:rPr>
        <w:t xml:space="preserve">文本</w:t>
      </w:r>
      <w:r>
        <w:rPr>
          <w:highlight w:val="none"/>
        </w:rPr>
      </w:r>
    </w:p>
    <w:p>
      <w:pPr>
        <w:pStyle w:val="912"/>
        <w:spacing w:line="400" w:lineRule="exact"/>
        <w:rPr>
          <w:rFonts w:hint="eastAsia" w:ascii="方正黑体_GBK" w:hAnsi="方正黑体_GBK" w:eastAsia="方正黑体_GBK" w:cs="方正黑体_GBK"/>
          <w:color w:val="000000"/>
          <w:spacing w:val="-20"/>
          <w:highlight w:val="none"/>
        </w:rPr>
      </w:pPr>
      <w:r>
        <w:rPr>
          <w:highlight w:val="none"/>
        </w:rPr>
      </w:r>
      <w:bookmarkStart w:id="50" w:name="_Toc16938559"/>
      <w:r>
        <w:rPr>
          <w:highlight w:val="none"/>
        </w:rPr>
      </w:r>
      <w:bookmarkStart w:id="51" w:name="_Toc20823315"/>
      <w:r>
        <w:rPr>
          <w:highlight w:val="none"/>
        </w:rPr>
      </w:r>
      <w:bookmarkStart w:id="52" w:name="_Toc513029243"/>
      <w:r>
        <w:rPr>
          <w:highlight w:val="none"/>
        </w:rPr>
      </w:r>
      <w:r>
        <w:rPr>
          <w:highlight w:val="none"/>
        </w:rPr>
      </w:r>
    </w:p>
    <w:p>
      <w:pPr>
        <w:pStyle w:val="912"/>
        <w:jc w:val="center"/>
        <w:spacing w:line="380" w:lineRule="exact"/>
        <w:rPr>
          <w:rFonts w:hint="eastAsia" w:ascii="方正黑体_GBK" w:hAnsi="方正黑体_GBK" w:eastAsia="方正黑体_GBK" w:cs="方正黑体_GBK"/>
          <w:color w:val="000000"/>
          <w:spacing w:val="-20"/>
          <w:highlight w:val="none"/>
        </w:rPr>
      </w:pPr>
      <w:r>
        <w:rPr>
          <w:rFonts w:hint="eastAsia" w:ascii="方正黑体_GBK" w:hAnsi="方正黑体_GBK" w:eastAsia="方正黑体_GBK" w:cs="方正黑体_GBK"/>
          <w:color w:val="000000"/>
          <w:spacing w:val="-20"/>
          <w:highlight w:val="none"/>
        </w:rPr>
        <w:t xml:space="preserve">江苏省政府采购合同（服务）（合同编号）</w:t>
      </w:r>
      <w:r>
        <w:rPr>
          <w:highlight w:val="none"/>
        </w:rPr>
      </w:r>
    </w:p>
    <w:p>
      <w:pPr>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项目名称：</w:t>
      </w:r>
      <w:r>
        <w:rPr>
          <w:rFonts w:eastAsia="方正仿宋_GBK"/>
          <w:color w:val="000000"/>
          <w:sz w:val="28"/>
          <w:szCs w:val="28"/>
          <w:highlight w:val="none"/>
        </w:rPr>
        <w:t xml:space="preserve">XXXX </w:t>
      </w:r>
      <w:r>
        <w:rPr>
          <w:rFonts w:hint="eastAsia" w:ascii="方正仿宋_GBK" w:hAnsi="方正仿宋_GBK" w:eastAsia="方正仿宋_GBK" w:cs="方正仿宋_GBK"/>
          <w:color w:val="000000"/>
          <w:sz w:val="28"/>
          <w:szCs w:val="28"/>
          <w:highlight w:val="none"/>
        </w:rPr>
        <w:t xml:space="preserve">                  </w:t>
      </w:r>
      <w:r>
        <w:rPr>
          <w:highlight w:val="none"/>
        </w:rPr>
      </w:r>
    </w:p>
    <w:p>
      <w:pPr>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采购编号：</w:t>
      </w:r>
      <w:r>
        <w:rPr>
          <w:rFonts w:hint="eastAsia" w:eastAsia="方正仿宋_GBK"/>
          <w:color w:val="000000"/>
          <w:sz w:val="28"/>
          <w:szCs w:val="28"/>
          <w:highlight w:val="none"/>
        </w:rPr>
        <w:t xml:space="preserve">JSZC-320000-SCZX-G20XX-XXXX     </w:t>
      </w:r>
      <w:r>
        <w:rPr>
          <w:rFonts w:hint="eastAsia" w:ascii="方正仿宋_GBK" w:hAnsi="方正仿宋_GBK" w:eastAsia="方正仿宋_GBK" w:cs="方正仿宋_GBK"/>
          <w:color w:val="000000"/>
          <w:sz w:val="28"/>
          <w:szCs w:val="28"/>
          <w:highlight w:val="none"/>
        </w:rPr>
        <w:t xml:space="preserve">         </w:t>
      </w:r>
      <w:r>
        <w:rPr>
          <w:highlight w:val="none"/>
        </w:rPr>
      </w:r>
    </w:p>
    <w:p>
      <w:pPr>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采购包号：</w:t>
      </w:r>
      <w:r>
        <w:rPr>
          <w:rFonts w:hint="eastAsia" w:eastAsia="方正仿宋_GBK"/>
          <w:color w:val="000000"/>
          <w:sz w:val="28"/>
          <w:szCs w:val="28"/>
          <w:highlight w:val="none"/>
        </w:rPr>
        <w:t xml:space="preserve">XX</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甲方：（买方/采购人）_________</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乙方：（卖方/中标供应商）_________</w:t>
      </w:r>
      <w:r>
        <w:rPr>
          <w:highlight w:val="none"/>
        </w:rPr>
      </w:r>
    </w:p>
    <w:p>
      <w:pPr>
        <w:pStyle w:val="919"/>
        <w:ind w:firstLine="560"/>
        <w:spacing w:before="120" w:after="120" w:line="38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甲、乙双方根据江苏省政府采购中心</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项目公开招标的结果，签署本合同。</w:t>
      </w:r>
      <w:r>
        <w:rPr>
          <w:highlight w:val="none"/>
        </w:rPr>
      </w:r>
    </w:p>
    <w:p>
      <w:pPr>
        <w:pStyle w:val="919"/>
        <w:ind w:firstLine="560"/>
        <w:spacing w:before="120" w:after="120" w:line="38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一、合同内容</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 标的名称：</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1.2标的质量：</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 标的数量（规模）：</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 履行时间（期限）：</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 履行地点：</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1.6 履行方式：</w:t>
      </w:r>
      <w:r>
        <w:rPr>
          <w:highlight w:val="none"/>
        </w:rPr>
      </w:r>
    </w:p>
    <w:p>
      <w:pPr>
        <w:pStyle w:val="919"/>
        <w:ind w:firstLine="560"/>
        <w:spacing w:before="120" w:after="120" w:line="38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二、合同金额</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 本合同金额为（大写）：________圆（________元）人民币或其他币种。</w:t>
      </w:r>
      <w:r>
        <w:rPr>
          <w:highlight w:val="none"/>
        </w:rPr>
      </w:r>
    </w:p>
    <w:p>
      <w:pPr>
        <w:pStyle w:val="919"/>
        <w:ind w:firstLine="560"/>
        <w:spacing w:before="120" w:after="120" w:line="38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三、技术资料</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3.1乙方应按招标文件规定的时间向甲方提供服务（包含与服务相关的货物）的有关技术资料。</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none"/>
        </w:rPr>
      </w:r>
    </w:p>
    <w:p>
      <w:pPr>
        <w:pStyle w:val="919"/>
        <w:ind w:firstLine="560"/>
        <w:spacing w:before="120" w:after="120" w:line="38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四、知识产权</w:t>
      </w:r>
      <w:r>
        <w:rPr>
          <w:highlight w:val="none"/>
        </w:rPr>
      </w:r>
    </w:p>
    <w:p>
      <w:pPr>
        <w:pStyle w:val="919"/>
        <w:ind w:firstLine="560"/>
        <w:spacing w:before="120" w:after="120" w:line="38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highlight w:val="none"/>
        </w:rPr>
      </w:r>
    </w:p>
    <w:p>
      <w:pPr>
        <w:pStyle w:val="919"/>
        <w:ind w:firstLine="560"/>
        <w:spacing w:before="120" w:after="120" w:line="38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五、产权担保</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5.1 乙方保证所交付的服务（包含与服务相关的货物）的所有权完全属于乙方且无任何抵押、查封等产权瑕疵。</w:t>
      </w:r>
      <w:r>
        <w:rPr>
          <w:highlight w:val="none"/>
        </w:rPr>
      </w:r>
    </w:p>
    <w:p>
      <w:pPr>
        <w:pStyle w:val="919"/>
        <w:ind w:firstLine="560"/>
        <w:spacing w:before="120" w:after="120" w:line="38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六、履约保证金</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6.1 乙方交纳人民币年度合同金额10%作为本合同的履约保证金。（不得超过合同金额的10%）</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6.2合同履行结束后，甲方应及时退还交纳的履约保证金。</w:t>
      </w:r>
      <w:r>
        <w:rPr>
          <w:highlight w:val="none"/>
        </w:rPr>
      </w:r>
    </w:p>
    <w:p>
      <w:pPr>
        <w:pStyle w:val="919"/>
        <w:ind w:firstLine="560"/>
        <w:spacing w:before="120" w:after="120" w:line="38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6.2.1履约保证金退还方式：</w:t>
      </w:r>
      <w:r>
        <w:rPr>
          <w:rFonts w:hint="eastAsia" w:ascii="Times New Roman" w:hAnsi="Times New Roman" w:eastAsia="方正仿宋_GBK" w:cs="Times New Roman"/>
          <w:color w:val="000000"/>
          <w:sz w:val="28"/>
          <w:szCs w:val="28"/>
          <w:highlight w:val="none"/>
        </w:rPr>
        <w:t xml:space="preserve">原路退回缴款账户(无息退还)；保函到期失效。</w:t>
      </w:r>
      <w:r>
        <w:rPr>
          <w:highlight w:val="none"/>
        </w:rPr>
      </w:r>
    </w:p>
    <w:p>
      <w:pPr>
        <w:pStyle w:val="919"/>
        <w:ind w:firstLine="560"/>
        <w:spacing w:before="120" w:after="120" w:line="38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6.2.2履约保证金退还时间：</w:t>
      </w:r>
      <w:r>
        <w:rPr>
          <w:rFonts w:hint="eastAsia" w:ascii="Times New Roman" w:hAnsi="Times New Roman" w:eastAsia="方正仿宋_GBK" w:cs="Times New Roman"/>
          <w:color w:val="000000"/>
          <w:sz w:val="28"/>
          <w:szCs w:val="28"/>
          <w:highlight w:val="none"/>
        </w:rPr>
        <w:t xml:space="preserve">服务期满合同履行完毕、所有扣款核算结清，无纠纷后15个工作日内。</w:t>
      </w:r>
      <w:r>
        <w:rPr>
          <w:highlight w:val="none"/>
        </w:rPr>
      </w:r>
    </w:p>
    <w:p>
      <w:pPr>
        <w:pStyle w:val="919"/>
        <w:ind w:firstLine="560"/>
        <w:spacing w:before="120" w:after="120" w:line="38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6.2.3履约保证金退还条件：</w:t>
      </w:r>
      <w:r>
        <w:rPr>
          <w:rFonts w:hint="eastAsia" w:ascii="Times New Roman" w:hAnsi="Times New Roman" w:eastAsia="方正仿宋_GBK" w:cs="Times New Roman"/>
          <w:color w:val="000000"/>
          <w:sz w:val="28"/>
          <w:szCs w:val="28"/>
          <w:highlight w:val="none"/>
        </w:rPr>
        <w:t xml:space="preserve">1、合同履约完全结束、资料交接完毕、全部费用结清、票据齐全。</w:t>
      </w:r>
      <w:r>
        <w:rPr>
          <w:highlight w:val="none"/>
        </w:rPr>
      </w:r>
    </w:p>
    <w:p>
      <w:pPr>
        <w:pStyle w:val="919"/>
        <w:ind w:firstLine="560"/>
        <w:spacing w:before="120" w:after="120" w:line="38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6.2.4履约保证金不予退还的情形：</w:t>
      </w:r>
      <w:r>
        <w:rPr>
          <w:rFonts w:hint="eastAsia" w:ascii="Times New Roman" w:hAnsi="Times New Roman" w:eastAsia="方正仿宋_GBK" w:cs="Times New Roman"/>
          <w:color w:val="000000"/>
          <w:sz w:val="28"/>
          <w:szCs w:val="28"/>
          <w:highlight w:val="none"/>
        </w:rPr>
        <w:t xml:space="preserve">1、造成业主实际损失可扣除保证金后余款退还；2、违反双方合同约定可全额不予退还。</w:t>
      </w:r>
      <w:r>
        <w:rPr>
          <w:highlight w:val="none"/>
        </w:rPr>
      </w:r>
    </w:p>
    <w:p>
      <w:pPr>
        <w:pStyle w:val="919"/>
        <w:ind w:firstLine="560"/>
        <w:spacing w:before="120" w:after="120" w:line="38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七、合同转包或分包</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7.1乙方不得将合同标的转包给他人履行。</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7.2乙方不得将合同标的分包给他人履行。</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7.3乙方如有转包或未经甲方同意的分包行为，甲方有权解除合同。</w:t>
      </w:r>
      <w:r>
        <w:rPr>
          <w:highlight w:val="none"/>
        </w:rPr>
      </w:r>
    </w:p>
    <w:p>
      <w:pPr>
        <w:pStyle w:val="919"/>
        <w:ind w:firstLine="560"/>
        <w:spacing w:before="120" w:after="120" w:line="38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八、合同款项支付</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8.1.1 合同款项的支付方式及进度安排</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各标段合同价款按季度支付。学院于合同签订时间开始的每季度末完成服务验收及考核评分后，在满足付款条件20个工作日内，由学院财务通过银行转账向供应商支付当季度服务费用，即合同价款额度1/4。</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付款条件：付款前，供应商须提交以下材料并经学院后勤基建处审核确认：（1）当季度服务考核评分表（由学院后勤基建处出具）；（2）合规的增值税发票；（3）学院要求的其他材料（如大型活动保障确认单等）。</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8.1.2 预付款支付时间：无预付款。</w:t>
      </w:r>
      <w:r>
        <w:rPr>
          <w:highlight w:val="none"/>
        </w:rPr>
      </w:r>
    </w:p>
    <w:p>
      <w:pPr>
        <w:pStyle w:val="919"/>
        <w:ind w:firstLine="560"/>
        <w:spacing w:before="120" w:after="120" w:line="38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8.1.3 尾款支付时间：无尾款。</w:t>
      </w:r>
      <w:r>
        <w:rPr>
          <w:highlight w:val="none"/>
        </w:rPr>
      </w:r>
    </w:p>
    <w:p>
      <w:pPr>
        <w:pStyle w:val="919"/>
        <w:ind w:firstLine="560"/>
        <w:spacing w:before="120" w:after="120" w:line="38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九、税费</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9.1本合同执行中相关的一切税费均由乙方负担。</w:t>
      </w:r>
      <w:r>
        <w:rPr>
          <w:highlight w:val="none"/>
        </w:rPr>
      </w:r>
    </w:p>
    <w:p>
      <w:pPr>
        <w:pStyle w:val="919"/>
        <w:ind w:firstLine="560"/>
        <w:spacing w:before="120" w:after="120" w:line="38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十、项目验收</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10.1 甲方依法组织履约验收工作。</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10.3 对于实际使用人和甲方分离的项目，甲方邀请实际使用人参与验收。</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10.4 如有必要，甲方邀请参加本项目的其他供应商或第三方专业机构及专家参与验收，相关意见将作为验收书的参考资料。</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highlight w:val="none"/>
        </w:rPr>
      </w:r>
    </w:p>
    <w:p>
      <w:pPr>
        <w:pStyle w:val="919"/>
        <w:ind w:firstLine="560"/>
        <w:spacing w:before="120" w:after="120" w:line="38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十一、违约责任</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u w:val="single"/>
        </w:rPr>
        <w:t xml:space="preserve">%</w:t>
      </w:r>
      <w:r>
        <w:rPr>
          <w:rFonts w:hint="eastAsia" w:ascii="方正仿宋_GBK" w:hAnsi="方正仿宋_GBK" w:eastAsia="方正仿宋_GBK" w:cs="方正仿宋_GBK"/>
          <w:color w:val="000000"/>
          <w:sz w:val="28"/>
          <w:szCs w:val="28"/>
          <w:highlight w:val="none"/>
        </w:rPr>
        <w:t xml:space="preserve">的违约金。</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u w:val="single"/>
        </w:rPr>
        <w:t xml:space="preserve">%</w:t>
      </w:r>
      <w:r>
        <w:rPr>
          <w:rFonts w:hint="eastAsia" w:ascii="方正仿宋_GBK" w:hAnsi="方正仿宋_GBK" w:eastAsia="方正仿宋_GBK" w:cs="方正仿宋_GBK"/>
          <w:color w:val="000000"/>
          <w:sz w:val="28"/>
          <w:szCs w:val="28"/>
          <w:highlight w:val="none"/>
        </w:rPr>
        <w:t xml:space="preserve">每日向乙方支付违约金。</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u w:val="single"/>
        </w:rPr>
        <w:t xml:space="preserve">%</w:t>
      </w:r>
      <w:r>
        <w:rPr>
          <w:rFonts w:hint="eastAsia" w:ascii="方正仿宋_GBK" w:hAnsi="方正仿宋_GBK" w:eastAsia="方正仿宋_GBK" w:cs="方正仿宋_GBK"/>
          <w:color w:val="000000"/>
          <w:sz w:val="28"/>
          <w:szCs w:val="28"/>
          <w:highlight w:val="none"/>
        </w:rPr>
        <w:t xml:space="preserve">的违约金，如造成甲方损失超过违约金的，超出部分由乙方继续承担赔偿责任。 </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11.4 乙方所提供服务的标准不符合合同规定及招标文件规定标准的，甲方有权拒绝接受服务，并可单方面解除合同。</w:t>
      </w:r>
      <w:r>
        <w:rPr>
          <w:highlight w:val="none"/>
        </w:rPr>
      </w:r>
    </w:p>
    <w:p>
      <w:pPr>
        <w:pStyle w:val="919"/>
        <w:ind w:firstLine="560"/>
        <w:spacing w:before="120" w:after="120" w:line="38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十二、不可抗力事件处理</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12.1 在合同有效期内，任何一方因不可抗力事件导致不能履行合同，则合同履行期可延长，其延长期与不可抗力影响 期相同。</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12.2 不可抗力事件发生后，应立即通知对方，并寄送有关权威机构出具的证明。</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12.3 不可抗力事件延续120天以上，双方应通过友好协商，确定是否继续履行合同。</w:t>
      </w:r>
      <w:r>
        <w:rPr>
          <w:highlight w:val="none"/>
        </w:rPr>
      </w:r>
    </w:p>
    <w:p>
      <w:pPr>
        <w:pStyle w:val="919"/>
        <w:ind w:firstLine="560"/>
        <w:spacing w:before="120" w:after="120" w:line="38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十三、解决争议的方法</w:t>
      </w:r>
      <w:r>
        <w:rPr>
          <w:highlight w:val="none"/>
        </w:rPr>
      </w:r>
    </w:p>
    <w:p>
      <w:pPr>
        <w:pStyle w:val="919"/>
        <w:ind w:firstLine="560"/>
        <w:spacing w:before="120" w:after="120" w:line="380" w:lineRule="exact"/>
        <w:rPr>
          <w:rFonts w:hint="eastAsia"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13.1双方在签订、履行合同中所发生的一切争议，应通过友好协商解决。如协商不成，由甲方住所地人民法院管辖。</w:t>
      </w:r>
      <w:r>
        <w:rPr>
          <w:highlight w:val="none"/>
        </w:rPr>
      </w:r>
    </w:p>
    <w:p>
      <w:pPr>
        <w:pStyle w:val="919"/>
        <w:ind w:firstLine="560"/>
        <w:spacing w:before="120" w:after="120" w:line="38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十四、合同生效及其它</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14.1 合同经双方法定代表人或授权委托代表人签字并加盖单位公章后生效。</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14.2本合同未尽事宜，遵照中华人民共和国现行法律法规有关条文执行。</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14.3 本合同正本一式两份，具有同等法律效力，甲方、乙方各执一份。</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甲方：                        乙方： </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                        地址： </w:t>
      </w:r>
      <w:r>
        <w:rPr>
          <w:highlight w:val="none"/>
        </w:rPr>
      </w:r>
    </w:p>
    <w:p>
      <w:pPr>
        <w:pStyle w:val="919"/>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法定代表人或授权代表：        法定代表人或授权代表：</w:t>
      </w:r>
      <w:r>
        <w:rPr>
          <w:highlight w:val="none"/>
        </w:rPr>
      </w:r>
    </w:p>
    <w:p>
      <w:pPr>
        <w:pStyle w:val="919"/>
        <w:ind w:firstLine="560"/>
        <w:spacing w:before="120" w:after="120" w:line="380" w:lineRule="exact"/>
        <w:rPr>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联系电话：                    联系电话：    </w:t>
      </w:r>
      <w:r>
        <w:rPr>
          <w:rFonts w:hint="eastAsia" w:hAnsi="宋体"/>
          <w:color w:val="000000"/>
          <w:sz w:val="28"/>
          <w:szCs w:val="28"/>
          <w:highlight w:val="none"/>
        </w:rPr>
        <w:t xml:space="preserve">      </w:t>
      </w:r>
      <w:r>
        <w:rPr>
          <w:rFonts w:hint="eastAsia"/>
          <w:color w:val="000000"/>
          <w:sz w:val="28"/>
          <w:szCs w:val="28"/>
          <w:highlight w:val="none"/>
        </w:rPr>
        <w:t xml:space="preserve">                                         </w:t>
      </w:r>
      <w:r>
        <w:rPr>
          <w:highlight w:val="none"/>
        </w:rPr>
      </w:r>
    </w:p>
    <w:p>
      <w:pPr>
        <w:pStyle w:val="919"/>
        <w:jc w:val="right"/>
        <w:spacing w:before="120" w:after="120" w:line="400" w:lineRule="exact"/>
        <w:rPr>
          <w:color w:val="000000"/>
          <w:sz w:val="28"/>
          <w:szCs w:val="28"/>
          <w:highlight w:val="none"/>
        </w:rPr>
      </w:pPr>
      <w:r>
        <w:rPr>
          <w:rFonts w:hint="eastAsia"/>
          <w:color w:val="000000"/>
          <w:sz w:val="28"/>
          <w:szCs w:val="28"/>
          <w:highlight w:val="none"/>
        </w:rPr>
        <w:t xml:space="preserve"> </w:t>
      </w:r>
      <w:r>
        <w:rPr>
          <w:highlight w:val="none"/>
        </w:rPr>
      </w:r>
    </w:p>
    <w:p>
      <w:pPr>
        <w:pStyle w:val="919"/>
        <w:jc w:val="center"/>
        <w:spacing w:before="120" w:after="120" w:line="400" w:lineRule="exact"/>
        <w:rPr>
          <w:rFonts w:hint="eastAsia" w:ascii="方正黑体_GBK" w:hAnsi="方正黑体_GBK" w:eastAsia="方正黑体_GBK" w:cs="方正黑体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签订日期：</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年</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月</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w:t>
      </w:r>
      <w:bookmarkEnd w:id="50"/>
      <w:r>
        <w:rPr>
          <w:highlight w:val="none"/>
        </w:rPr>
      </w:r>
      <w:bookmarkEnd w:id="51"/>
      <w:r>
        <w:rPr>
          <w:highlight w:val="none"/>
        </w:rPr>
      </w:r>
      <w:bookmarkEnd w:id="52"/>
      <w:r>
        <w:rPr>
          <w:highlight w:val="none"/>
        </w:rPr>
      </w:r>
      <w:bookmarkStart w:id="53" w:name="_Hlt16619369"/>
      <w:r>
        <w:rPr>
          <w:highlight w:val="none"/>
        </w:rPr>
      </w:r>
      <w:bookmarkEnd w:id="53"/>
      <w:r>
        <w:rPr>
          <w:highlight w:val="none"/>
        </w:rPr>
      </w:r>
      <w:bookmarkStart w:id="54" w:name="_Hlt16619350"/>
      <w:r>
        <w:rPr>
          <w:highlight w:val="none"/>
        </w:rPr>
      </w:r>
      <w:bookmarkStart w:id="55" w:name="_Toc16938590"/>
      <w:r>
        <w:rPr>
          <w:highlight w:val="none"/>
        </w:rPr>
      </w:r>
      <w:bookmarkStart w:id="56" w:name="_Toc120614244"/>
      <w:r>
        <w:rPr>
          <w:highlight w:val="none"/>
        </w:rPr>
      </w:r>
      <w:bookmarkStart w:id="57" w:name="_Toc20823346"/>
      <w:r>
        <w:rPr>
          <w:highlight w:val="none"/>
        </w:rPr>
      </w:r>
      <w:bookmarkStart w:id="58" w:name="_Toc462564139"/>
      <w:r>
        <w:rPr>
          <w:highlight w:val="none"/>
        </w:rPr>
      </w:r>
      <w:bookmarkStart w:id="59" w:name="_Toc479757211"/>
      <w:r>
        <w:rPr>
          <w:rFonts w:ascii="黑体" w:eastAsia="黑体"/>
          <w:bCs/>
          <w:color w:val="000000"/>
          <w:sz w:val="28"/>
          <w:szCs w:val="28"/>
          <w:highlight w:val="none"/>
        </w:rPr>
        <w:br w:type="page" w:clear="all"/>
      </w:r>
      <w:r>
        <w:rPr>
          <w:rFonts w:hint="eastAsia" w:ascii="方正黑体_GBK" w:hAnsi="方正黑体_GBK" w:eastAsia="方正黑体_GBK" w:cs="方正黑体_GBK"/>
          <w:color w:val="000000"/>
          <w:sz w:val="28"/>
          <w:szCs w:val="28"/>
          <w:highlight w:val="none"/>
        </w:rPr>
        <w:t xml:space="preserve">第</w:t>
      </w:r>
      <w:bookmarkEnd w:id="54"/>
      <w:r>
        <w:rPr>
          <w:rFonts w:hint="eastAsia" w:ascii="方正黑体_GBK" w:hAnsi="方正黑体_GBK" w:eastAsia="方正黑体_GBK" w:cs="方正黑体_GBK"/>
          <w:color w:val="000000"/>
          <w:sz w:val="28"/>
          <w:szCs w:val="28"/>
          <w:highlight w:val="none"/>
        </w:rPr>
        <w:t xml:space="preserve">四章 采购需求</w:t>
      </w:r>
      <w:bookmarkEnd w:id="55"/>
      <w:r>
        <w:rPr>
          <w:highlight w:val="none"/>
        </w:rPr>
      </w:r>
      <w:bookmarkEnd w:id="56"/>
      <w:r>
        <w:rPr>
          <w:highlight w:val="none"/>
        </w:rPr>
      </w:r>
      <w:bookmarkEnd w:id="57"/>
      <w:r>
        <w:rPr>
          <w:highlight w:val="none"/>
        </w:rPr>
      </w:r>
      <w:r>
        <w:rPr>
          <w:highlight w:val="none"/>
        </w:rPr>
      </w:r>
    </w:p>
    <w:p>
      <w:pPr>
        <w:pStyle w:val="919"/>
        <w:ind w:firstLine="560"/>
        <w:spacing w:before="120" w:after="120" w:line="400" w:lineRule="exact"/>
        <w:rPr>
          <w:rFonts w:hint="eastAsia" w:ascii="方正黑体_GBK" w:hAnsi="方正黑体_GBK" w:eastAsia="方正黑体_GBK" w:cs="方正黑体_GBK"/>
          <w:bCs/>
          <w:color w:val="000000"/>
          <w:sz w:val="28"/>
          <w:szCs w:val="28"/>
          <w:highlight w:val="none"/>
        </w:rPr>
      </w:pPr>
      <w:r>
        <w:rPr>
          <w:highlight w:val="none"/>
        </w:rPr>
      </w:r>
      <w:bookmarkStart w:id="60" w:name="_Toc26554093"/>
      <w:r>
        <w:rPr>
          <w:highlight w:val="none"/>
        </w:rPr>
      </w:r>
      <w:bookmarkStart w:id="61" w:name="_Toc49090575"/>
      <w:r>
        <w:rPr>
          <w:rFonts w:hint="eastAsia" w:ascii="方正黑体_GBK" w:hAnsi="方正黑体_GBK" w:eastAsia="方正黑体_GBK" w:cs="方正黑体_GBK"/>
          <w:bCs/>
          <w:color w:val="000000"/>
          <w:sz w:val="28"/>
          <w:szCs w:val="28"/>
          <w:highlight w:val="none"/>
        </w:rPr>
        <w:t xml:space="preserve">一、采购标的清单</w:t>
      </w:r>
      <w:r>
        <w:rPr>
          <w:highlight w:val="none"/>
        </w:rPr>
      </w:r>
    </w:p>
    <w:tbl>
      <w:tblPr>
        <w:tblStyle w:val="7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089"/>
        <w:gridCol w:w="3682"/>
        <w:gridCol w:w="2156"/>
      </w:tblGrid>
      <w:tr>
        <w:trPr>
          <w:cantSplit/>
          <w:jc w:val="center"/>
          <w:trHeight w:val="701"/>
        </w:trPr>
        <w:tc>
          <w:tcPr>
            <w:tcW w:w="790"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rPr>
                <w:highlight w:val="none"/>
              </w:rP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rPr>
                <w:highlight w:val="none"/>
              </w:rPr>
            </w:r>
          </w:p>
        </w:tc>
        <w:tc>
          <w:tcPr>
            <w:tcW w:w="1089"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highlight w:val="none"/>
              </w:rPr>
            </w:r>
          </w:p>
        </w:tc>
        <w:tc>
          <w:tcPr>
            <w:tcW w:w="3682"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采购标的</w:t>
            </w:r>
            <w:r>
              <w:rPr>
                <w:highlight w:val="none"/>
              </w:rPr>
            </w:r>
          </w:p>
        </w:tc>
        <w:tc>
          <w:tcPr>
            <w:tcW w:w="215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对应中小企业划分标准所属行业</w:t>
            </w:r>
            <w:r>
              <w:rPr>
                <w:highlight w:val="none"/>
              </w:rPr>
            </w:r>
          </w:p>
        </w:tc>
      </w:tr>
      <w:tr>
        <w:trPr>
          <w:cantSplit/>
          <w:jc w:val="center"/>
          <w:trHeight w:val="291"/>
        </w:trPr>
        <w:tc>
          <w:tcPr>
            <w:tcW w:w="790"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eastAsia="方正仿宋_GBK"/>
                <w:color w:val="000000"/>
                <w:sz w:val="28"/>
                <w:szCs w:val="28"/>
                <w:highlight w:val="none"/>
              </w:rPr>
              <w:t xml:space="preserve">1</w:t>
            </w:r>
            <w:r>
              <w:rPr>
                <w:highlight w:val="none"/>
              </w:rPr>
            </w:r>
          </w:p>
        </w:tc>
        <w:tc>
          <w:tcPr>
            <w:tcW w:w="1089" w:type="dxa"/>
            <w:vAlign w:val="top"/>
            <w:textDirection w:val="lrTb"/>
            <w:noWrap w:val="false"/>
          </w:tcPr>
          <w:p>
            <w:pPr>
              <w:jc w:val="center"/>
              <w:spacing w:line="4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1</w:t>
            </w:r>
            <w:r>
              <w:rPr>
                <w:highlight w:val="none"/>
              </w:rPr>
            </w:r>
          </w:p>
        </w:tc>
        <w:tc>
          <w:tcPr>
            <w:tcW w:w="3682" w:type="dxa"/>
            <w:vAlign w:val="top"/>
            <w:textDirection w:val="lrTb"/>
            <w:noWrap w:val="false"/>
          </w:tcPr>
          <w:p>
            <w:pPr>
              <w:jc w:val="center"/>
              <w:spacing w:line="4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汇贤楼组团物业服务项目</w:t>
            </w:r>
            <w:r>
              <w:rPr>
                <w:highlight w:val="none"/>
              </w:rPr>
            </w:r>
          </w:p>
        </w:tc>
        <w:tc>
          <w:tcPr>
            <w:tcW w:w="2156" w:type="dxa"/>
            <w:vAlign w:val="center"/>
            <w:vMerge w:val="restart"/>
            <w:textDirection w:val="lrTb"/>
            <w:noWrap w:val="false"/>
          </w:tcPr>
          <w:p>
            <w:pPr>
              <w:jc w:val="center"/>
              <w:spacing w:line="400" w:lineRule="exact"/>
              <w:tabs>
                <w:tab w:val="left" w:pos="2020" w:leader="none"/>
              </w:tabs>
              <w:rPr>
                <w:rFonts w:eastAsia="方正仿宋_GBK"/>
                <w:color w:val="000000"/>
                <w:sz w:val="28"/>
                <w:szCs w:val="28"/>
                <w:highlight w:val="none"/>
              </w:rPr>
            </w:pPr>
            <w:r>
              <w:rPr>
                <w:rFonts w:hint="eastAsia" w:eastAsia="方正仿宋_GBK"/>
                <w:color w:val="000000"/>
                <w:sz w:val="28"/>
                <w:szCs w:val="28"/>
                <w:highlight w:val="none"/>
              </w:rPr>
              <w:t xml:space="preserve">物业服务</w:t>
            </w:r>
            <w:r>
              <w:rPr>
                <w:highlight w:val="none"/>
              </w:rPr>
            </w:r>
          </w:p>
        </w:tc>
      </w:tr>
      <w:tr>
        <w:trPr>
          <w:cantSplit/>
          <w:jc w:val="center"/>
          <w:trHeight w:val="235"/>
        </w:trPr>
        <w:tc>
          <w:tcPr>
            <w:tcW w:w="790"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highlight w:val="none"/>
              </w:rPr>
            </w:r>
          </w:p>
        </w:tc>
        <w:tc>
          <w:tcPr>
            <w:tcW w:w="1089"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highlight w:val="none"/>
              </w:rPr>
            </w:r>
          </w:p>
        </w:tc>
        <w:tc>
          <w:tcPr>
            <w:tcW w:w="3682"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eastAsia="方正仿宋_GBK"/>
                <w:color w:val="000000"/>
                <w:sz w:val="28"/>
                <w:szCs w:val="28"/>
                <w:highlight w:val="none"/>
              </w:rPr>
              <w:t xml:space="preserve">弘毅楼、行健馆、图文楼、躬行楼组团物业服务项目</w:t>
            </w:r>
            <w:r>
              <w:rPr>
                <w:highlight w:val="none"/>
              </w:rPr>
            </w:r>
          </w:p>
        </w:tc>
        <w:tc>
          <w:tcPr>
            <w:tcW w:w="2156" w:type="dxa"/>
            <w:vAlign w:val="top"/>
            <w:vMerge w:val="continue"/>
            <w:textDirection w:val="lrTb"/>
            <w:noWrap w:val="false"/>
          </w:tcPr>
          <w:p>
            <w:pPr>
              <w:jc w:val="center"/>
              <w:spacing w:line="400" w:lineRule="exact"/>
              <w:tabs>
                <w:tab w:val="left" w:pos="2020" w:leader="none"/>
              </w:tabs>
              <w:rPr>
                <w:rFonts w:hint="eastAsia" w:eastAsia="方正仿宋_GBK"/>
                <w:color w:val="000000"/>
                <w:sz w:val="28"/>
                <w:szCs w:val="28"/>
                <w:highlight w:val="none"/>
              </w:rPr>
            </w:pPr>
            <w:r>
              <w:rPr>
                <w:rFonts w:hint="eastAsia" w:eastAsia="方正仿宋_GBK"/>
                <w:color w:val="000000"/>
                <w:sz w:val="28"/>
                <w:szCs w:val="28"/>
                <w:highlight w:val="none"/>
              </w:rPr>
            </w:r>
            <w:r/>
          </w:p>
        </w:tc>
      </w:tr>
      <w:tr>
        <w:trPr>
          <w:cantSplit/>
          <w:jc w:val="center"/>
          <w:trHeight w:val="222"/>
        </w:trPr>
        <w:tc>
          <w:tcPr>
            <w:tcW w:w="790"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highlight w:val="none"/>
              </w:rPr>
            </w:r>
          </w:p>
        </w:tc>
        <w:tc>
          <w:tcPr>
            <w:tcW w:w="1089"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highlight w:val="none"/>
              </w:rPr>
            </w:r>
          </w:p>
        </w:tc>
        <w:tc>
          <w:tcPr>
            <w:tcW w:w="3682"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教学楼宇组团物业服务项目</w:t>
            </w:r>
            <w:r>
              <w:rPr>
                <w:highlight w:val="none"/>
              </w:rPr>
            </w:r>
          </w:p>
        </w:tc>
        <w:tc>
          <w:tcPr>
            <w:tcW w:w="2156" w:type="dxa"/>
            <w:vAlign w:val="top"/>
            <w:vMerge w:val="continue"/>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jc w:val="center"/>
          <w:trHeight w:val="222"/>
        </w:trPr>
        <w:tc>
          <w:tcPr>
            <w:tcW w:w="790"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rPr>
                <w:highlight w:val="none"/>
              </w:rPr>
            </w:r>
          </w:p>
        </w:tc>
        <w:tc>
          <w:tcPr>
            <w:tcW w:w="1089"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rPr>
                <w:highlight w:val="none"/>
              </w:rPr>
            </w:r>
          </w:p>
        </w:tc>
        <w:tc>
          <w:tcPr>
            <w:tcW w:w="3682"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校园公共区域保洁和绿化养护管理项目</w:t>
            </w:r>
            <w:r>
              <w:rPr>
                <w:highlight w:val="none"/>
              </w:rPr>
            </w:r>
          </w:p>
        </w:tc>
        <w:tc>
          <w:tcPr>
            <w:tcW w:w="2156" w:type="dxa"/>
            <w:vAlign w:val="top"/>
            <w:vMerge w:val="continue"/>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pStyle w:val="919"/>
        <w:ind w:firstLine="560"/>
        <w:spacing w:before="120" w:after="120"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项目属性：服务类项目。</w:t>
      </w:r>
      <w:r>
        <w:rPr>
          <w:highlight w:val="none"/>
        </w:rPr>
      </w:r>
    </w:p>
    <w:p>
      <w:pPr>
        <w:pStyle w:val="919"/>
        <w:ind w:firstLine="560"/>
        <w:spacing w:before="120" w:after="120"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二、政府采购中实施本国产品标准及相关政策</w:t>
      </w:r>
      <w:r>
        <w:rPr>
          <w:highlight w:val="none"/>
        </w:rP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1.根据《国务院办公厅关于在政府采购中实施本国产品标准及相关政策的通知》（国办发〔2025〕34号）规定，本项目对采购本国产品给予政策支持，具体内容见招标文件“第五章 评标方法与评标标准”。</w:t>
      </w:r>
      <w:r>
        <w:rPr>
          <w:highlight w:val="none"/>
        </w:rP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none"/>
        </w:rPr>
      </w:r>
    </w:p>
    <w:p>
      <w:pPr>
        <w:pStyle w:val="919"/>
        <w:ind w:firstLine="560"/>
        <w:spacing w:before="120" w:after="120"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三、项目概况</w:t>
      </w:r>
      <w:r>
        <w:rPr>
          <w:highlight w:val="none"/>
        </w:rPr>
      </w:r>
    </w:p>
    <w:p>
      <w:pPr>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（一）项目服务范围</w:t>
      </w:r>
      <w:r>
        <w:rPr>
          <w:highlight w:val="none"/>
        </w:rPr>
      </w:r>
    </w:p>
    <w:p>
      <w:pPr>
        <w:pStyle w:val="919"/>
        <w:ind w:firstLine="562"/>
        <w:spacing w:before="120" w:after="120"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分包一：</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汇贤楼组团具体包括以下区域：</w:t>
      </w:r>
      <w:r>
        <w:rPr>
          <w:highlight w:val="none"/>
        </w:rPr>
      </w:r>
    </w:p>
    <w:tbl>
      <w:tblPr>
        <w:tblStyle w:val="711"/>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1408"/>
        <w:gridCol w:w="4785"/>
        <w:gridCol w:w="1274"/>
        <w:gridCol w:w="1702"/>
      </w:tblGrid>
      <w:tr>
        <w:trPr>
          <w:trHeight w:val="387"/>
        </w:trPr>
        <w:tc>
          <w:tcPr>
            <w:tcBorders>
              <w:top w:val="single" w:color="000000" w:sz="4" w:space="0"/>
              <w:left w:val="single" w:color="000000" w:sz="4" w:space="0"/>
              <w:bottom w:val="none" w:color="000000" w:sz="4" w:space="0"/>
              <w:right w:val="single" w:color="000000" w:sz="4" w:space="0"/>
            </w:tcBorders>
            <w:tcW w:w="1408" w:type="dxa"/>
            <w:vAlign w:val="center"/>
            <w:vMerge w:val="restart"/>
            <w:textDirection w:val="lrTb"/>
            <w:noWrap/>
          </w:tcPr>
          <w:p>
            <w:pPr>
              <w:jc w:val="center"/>
              <w:spacing w:line="30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汇贤楼</w:t>
            </w:r>
            <w:r>
              <w:rPr>
                <w:highlight w:val="none"/>
              </w:rPr>
            </w:r>
          </w:p>
          <w:p>
            <w:pPr>
              <w:jc w:val="center"/>
              <w:spacing w:line="30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实训基  地保</w:t>
            </w:r>
            <w:r>
              <w:rPr>
                <w:highlight w:val="none"/>
              </w:rPr>
            </w:r>
          </w:p>
          <w:p>
            <w:pPr>
              <w:jc w:val="center"/>
              <w:spacing w:line="30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洁范围</w:t>
            </w:r>
            <w:r>
              <w:rPr>
                <w:highlight w:val="none"/>
              </w:rPr>
            </w:r>
          </w:p>
        </w:tc>
        <w:tc>
          <w:tcPr>
            <w:tcBorders>
              <w:top w:val="single" w:color="000000" w:sz="4" w:space="0"/>
              <w:left w:val="none" w:color="000000" w:sz="4" w:space="0"/>
              <w:bottom w:val="single" w:color="000000" w:sz="4" w:space="0"/>
              <w:right w:val="single" w:color="000000" w:sz="4" w:space="0"/>
            </w:tcBorders>
            <w:tcW w:w="4785" w:type="dxa"/>
            <w:vAlign w:val="center"/>
            <w:textDirection w:val="lrTb"/>
            <w:noWrap/>
          </w:tcPr>
          <w:p>
            <w:pPr>
              <w:jc w:val="center"/>
              <w:spacing w:line="30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楼层号（1-4楼）</w:t>
            </w:r>
            <w:r>
              <w:rPr>
                <w:highlight w:val="none"/>
              </w:rPr>
            </w:r>
          </w:p>
        </w:tc>
        <w:tc>
          <w:tcPr>
            <w:tcBorders>
              <w:top w:val="single" w:color="000000" w:sz="4" w:space="0"/>
              <w:left w:val="none" w:color="000000" w:sz="4" w:space="0"/>
              <w:bottom w:val="single" w:color="000000" w:sz="4" w:space="0"/>
              <w:right w:val="single" w:color="000000" w:sz="4" w:space="0"/>
            </w:tcBorders>
            <w:tcW w:w="1274" w:type="dxa"/>
            <w:vAlign w:val="center"/>
            <w:textDirection w:val="lrTb"/>
            <w:noWrap/>
          </w:tcPr>
          <w:p>
            <w:pPr>
              <w:jc w:val="center"/>
              <w:spacing w:line="30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数量</w:t>
            </w:r>
            <w:r>
              <w:rPr>
                <w:highlight w:val="none"/>
              </w:rPr>
            </w:r>
          </w:p>
        </w:tc>
        <w:tc>
          <w:tcPr>
            <w:tcBorders>
              <w:top w:val="single" w:color="000000" w:sz="4" w:space="0"/>
              <w:left w:val="none" w:color="000000" w:sz="4" w:space="0"/>
              <w:bottom w:val="single" w:color="000000" w:sz="4" w:space="0"/>
              <w:right w:val="single" w:color="000000" w:sz="4" w:space="0"/>
            </w:tcBorders>
            <w:tcW w:w="1702" w:type="dxa"/>
            <w:vAlign w:val="center"/>
            <w:textDirection w:val="lrTb"/>
            <w:noWrap/>
          </w:tcPr>
          <w:p>
            <w:pPr>
              <w:jc w:val="center"/>
              <w:spacing w:line="30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备注</w:t>
            </w:r>
            <w:r>
              <w:rPr>
                <w:highlight w:val="none"/>
              </w:rPr>
            </w:r>
          </w:p>
        </w:tc>
      </w:tr>
      <w:tr>
        <w:trPr>
          <w:trHeight w:val="387"/>
        </w:trPr>
        <w:tc>
          <w:tcPr>
            <w:tcBorders>
              <w:top w:val="none" w:color="000000" w:sz="4" w:space="0"/>
              <w:left w:val="single" w:color="000000" w:sz="4" w:space="0"/>
              <w:bottom w:val="none" w:color="000000" w:sz="4" w:space="0"/>
              <w:right w:val="single" w:color="000000" w:sz="4" w:space="0"/>
            </w:tcBorders>
            <w:tcW w:w="1408" w:type="dxa"/>
            <w:vAlign w:val="center"/>
            <w:vMerge w:val="continue"/>
            <w:textDirection w:val="lrTb"/>
            <w:noWrap/>
          </w:tcPr>
          <w:p>
            <w:pPr>
              <w:jc w:val="lef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4785" w:type="dxa"/>
            <w:vAlign w:val="center"/>
            <w:textDirection w:val="lrTb"/>
            <w:noWrap/>
          </w:tcPr>
          <w:p>
            <w:pPr>
              <w:jc w:val="left"/>
              <w:spacing w:line="30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一楼底盘工作间、机电工位、接待室</w:t>
            </w:r>
            <w:r>
              <w:rPr>
                <w:highlight w:val="none"/>
              </w:rPr>
            </w:r>
          </w:p>
        </w:tc>
        <w:tc>
          <w:tcPr>
            <w:tcBorders>
              <w:top w:val="none" w:color="000000" w:sz="4" w:space="0"/>
              <w:left w:val="none" w:color="000000" w:sz="4" w:space="0"/>
              <w:bottom w:val="single" w:color="000000" w:sz="4" w:space="0"/>
              <w:right w:val="single" w:color="000000" w:sz="4" w:space="0"/>
            </w:tcBorders>
            <w:tcW w:w="1274" w:type="dxa"/>
            <w:vAlign w:val="center"/>
            <w:textDirection w:val="lrTb"/>
            <w:noWrap/>
          </w:tcPr>
          <w:p>
            <w:pPr>
              <w:jc w:val="center"/>
              <w:spacing w:line="30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4</w:t>
            </w:r>
            <w:r>
              <w:rPr>
                <w:highlight w:val="none"/>
              </w:rPr>
            </w:r>
          </w:p>
        </w:tc>
        <w:tc>
          <w:tcPr>
            <w:tcBorders>
              <w:top w:val="none" w:color="000000" w:sz="4" w:space="0"/>
              <w:left w:val="none" w:color="000000" w:sz="4" w:space="0"/>
              <w:bottom w:val="single" w:color="000000" w:sz="4" w:space="0"/>
              <w:right w:val="single" w:color="000000" w:sz="4" w:space="0"/>
            </w:tcBorders>
            <w:tcW w:w="1702" w:type="dxa"/>
            <w:vAlign w:val="center"/>
            <w:textDirection w:val="lrTb"/>
            <w:noWrap/>
          </w:tcPr>
          <w:p>
            <w:pPr>
              <w:jc w:val="center"/>
              <w:spacing w:line="30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敞开教室</w:t>
            </w:r>
            <w:r>
              <w:rPr>
                <w:highlight w:val="none"/>
              </w:rPr>
            </w:r>
          </w:p>
        </w:tc>
      </w:tr>
      <w:tr>
        <w:trPr>
          <w:trHeight w:val="387"/>
        </w:trPr>
        <w:tc>
          <w:tcPr>
            <w:tcBorders>
              <w:top w:val="none" w:color="000000" w:sz="4" w:space="0"/>
              <w:left w:val="single" w:color="000000" w:sz="4" w:space="0"/>
              <w:bottom w:val="none" w:color="000000" w:sz="4" w:space="0"/>
              <w:right w:val="single" w:color="000000" w:sz="4" w:space="0"/>
            </w:tcBorders>
            <w:tcW w:w="1408" w:type="dxa"/>
            <w:vAlign w:val="center"/>
            <w:vMerge w:val="continue"/>
            <w:textDirection w:val="lrTb"/>
            <w:noWrap/>
          </w:tcPr>
          <w:p>
            <w:pPr>
              <w:jc w:val="lef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4785" w:type="dxa"/>
            <w:vAlign w:val="center"/>
            <w:textDirection w:val="lrTb"/>
            <w:noWrap/>
          </w:tcPr>
          <w:p>
            <w:pPr>
              <w:jc w:val="left"/>
              <w:spacing w:line="30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二楼教室：201、202、203、205</w:t>
            </w:r>
            <w:r>
              <w:rPr>
                <w:highlight w:val="none"/>
              </w:rPr>
            </w:r>
          </w:p>
        </w:tc>
        <w:tc>
          <w:tcPr>
            <w:tcBorders>
              <w:top w:val="none" w:color="000000" w:sz="4" w:space="0"/>
              <w:left w:val="none" w:color="000000" w:sz="4" w:space="0"/>
              <w:bottom w:val="single" w:color="000000" w:sz="4" w:space="0"/>
              <w:right w:val="single" w:color="000000" w:sz="4" w:space="0"/>
            </w:tcBorders>
            <w:tcW w:w="1274" w:type="dxa"/>
            <w:vAlign w:val="center"/>
            <w:textDirection w:val="lrTb"/>
            <w:noWrap/>
          </w:tcPr>
          <w:p>
            <w:pPr>
              <w:jc w:val="center"/>
              <w:spacing w:line="30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4</w:t>
            </w:r>
            <w:r>
              <w:rPr>
                <w:highlight w:val="none"/>
              </w:rPr>
            </w:r>
          </w:p>
        </w:tc>
        <w:tc>
          <w:tcPr>
            <w:tcBorders>
              <w:top w:val="none" w:color="000000" w:sz="4" w:space="0"/>
              <w:left w:val="none" w:color="000000" w:sz="4" w:space="0"/>
              <w:bottom w:val="single" w:color="000000" w:sz="4" w:space="0"/>
              <w:right w:val="single" w:color="000000" w:sz="4" w:space="0"/>
            </w:tcBorders>
            <w:tcW w:w="1702" w:type="dxa"/>
            <w:vAlign w:val="center"/>
            <w:textDirection w:val="lrTb"/>
            <w:noWrap/>
          </w:tcPr>
          <w:p>
            <w:pPr>
              <w:jc w:val="center"/>
              <w:spacing w:line="30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封闭教室</w:t>
            </w:r>
            <w:r>
              <w:rPr>
                <w:highlight w:val="none"/>
              </w:rPr>
            </w:r>
          </w:p>
        </w:tc>
      </w:tr>
      <w:tr>
        <w:trPr>
          <w:trHeight w:val="90"/>
        </w:trPr>
        <w:tc>
          <w:tcPr>
            <w:tcBorders>
              <w:top w:val="none" w:color="000000" w:sz="4" w:space="0"/>
              <w:left w:val="single" w:color="000000" w:sz="4" w:space="0"/>
              <w:bottom w:val="none" w:color="000000" w:sz="4" w:space="0"/>
              <w:right w:val="single" w:color="000000" w:sz="4" w:space="0"/>
            </w:tcBorders>
            <w:tcW w:w="1408" w:type="dxa"/>
            <w:vAlign w:val="center"/>
            <w:vMerge w:val="continue"/>
            <w:textDirection w:val="lrTb"/>
            <w:noWrap/>
          </w:tcPr>
          <w:p>
            <w:pPr>
              <w:jc w:val="lef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4785" w:type="dxa"/>
            <w:vAlign w:val="center"/>
            <w:textDirection w:val="lrTb"/>
            <w:noWrap/>
          </w:tcPr>
          <w:p>
            <w:pPr>
              <w:jc w:val="left"/>
              <w:spacing w:line="30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二楼康众培训教室：1、2、3</w:t>
            </w:r>
            <w:r>
              <w:rPr>
                <w:highlight w:val="none"/>
              </w:rPr>
            </w:r>
          </w:p>
        </w:tc>
        <w:tc>
          <w:tcPr>
            <w:tcBorders>
              <w:top w:val="none" w:color="000000" w:sz="4" w:space="0"/>
              <w:left w:val="none" w:color="000000" w:sz="4" w:space="0"/>
              <w:bottom w:val="single" w:color="000000" w:sz="4" w:space="0"/>
              <w:right w:val="single" w:color="000000" w:sz="4" w:space="0"/>
            </w:tcBorders>
            <w:tcW w:w="1274" w:type="dxa"/>
            <w:vAlign w:val="center"/>
            <w:textDirection w:val="lrTb"/>
            <w:noWrap/>
          </w:tcPr>
          <w:p>
            <w:pPr>
              <w:jc w:val="center"/>
              <w:spacing w:line="30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3</w:t>
            </w:r>
            <w:r>
              <w:rPr>
                <w:highlight w:val="none"/>
              </w:rPr>
            </w:r>
          </w:p>
        </w:tc>
        <w:tc>
          <w:tcPr>
            <w:tcBorders>
              <w:top w:val="none" w:color="000000" w:sz="4" w:space="0"/>
              <w:left w:val="none" w:color="000000" w:sz="4" w:space="0"/>
              <w:bottom w:val="single" w:color="000000" w:sz="4" w:space="0"/>
              <w:right w:val="single" w:color="000000" w:sz="4" w:space="0"/>
            </w:tcBorders>
            <w:tcW w:w="1702" w:type="dxa"/>
            <w:vAlign w:val="center"/>
            <w:textDirection w:val="lrTb"/>
            <w:noWrap/>
          </w:tcPr>
          <w:p>
            <w:pPr>
              <w:jc w:val="center"/>
              <w:spacing w:line="30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封闭教室</w:t>
            </w:r>
            <w:r>
              <w:rPr>
                <w:highlight w:val="none"/>
              </w:rPr>
            </w:r>
          </w:p>
        </w:tc>
      </w:tr>
      <w:tr>
        <w:trPr>
          <w:trHeight w:val="387"/>
        </w:trPr>
        <w:tc>
          <w:tcPr>
            <w:tcBorders>
              <w:top w:val="none" w:color="000000" w:sz="4" w:space="0"/>
              <w:left w:val="single" w:color="000000" w:sz="4" w:space="0"/>
              <w:bottom w:val="none" w:color="000000" w:sz="4" w:space="0"/>
              <w:right w:val="single" w:color="000000" w:sz="4" w:space="0"/>
            </w:tcBorders>
            <w:tcW w:w="1408" w:type="dxa"/>
            <w:vAlign w:val="center"/>
            <w:vMerge w:val="continue"/>
            <w:textDirection w:val="lrTb"/>
            <w:noWrap/>
          </w:tcPr>
          <w:p>
            <w:pPr>
              <w:jc w:val="lef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4785" w:type="dxa"/>
            <w:vAlign w:val="center"/>
            <w:textDirection w:val="lrTb"/>
            <w:noWrap/>
          </w:tcPr>
          <w:p>
            <w:pPr>
              <w:jc w:val="left"/>
              <w:spacing w:line="30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三楼教室：301、302、303、304</w:t>
            </w:r>
            <w:r>
              <w:rPr>
                <w:highlight w:val="none"/>
              </w:rPr>
            </w:r>
          </w:p>
        </w:tc>
        <w:tc>
          <w:tcPr>
            <w:tcBorders>
              <w:top w:val="none" w:color="000000" w:sz="4" w:space="0"/>
              <w:left w:val="none" w:color="000000" w:sz="4" w:space="0"/>
              <w:bottom w:val="single" w:color="000000" w:sz="4" w:space="0"/>
              <w:right w:val="single" w:color="000000" w:sz="4" w:space="0"/>
            </w:tcBorders>
            <w:tcW w:w="1274" w:type="dxa"/>
            <w:vAlign w:val="center"/>
            <w:textDirection w:val="lrTb"/>
            <w:noWrap/>
          </w:tcPr>
          <w:p>
            <w:pPr>
              <w:jc w:val="center"/>
              <w:spacing w:line="30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4</w:t>
            </w:r>
            <w:r>
              <w:rPr>
                <w:highlight w:val="none"/>
              </w:rPr>
            </w:r>
          </w:p>
        </w:tc>
        <w:tc>
          <w:tcPr>
            <w:tcBorders>
              <w:top w:val="none" w:color="000000" w:sz="4" w:space="0"/>
              <w:left w:val="none" w:color="000000" w:sz="4" w:space="0"/>
              <w:bottom w:val="single" w:color="000000" w:sz="4" w:space="0"/>
              <w:right w:val="single" w:color="000000" w:sz="4" w:space="0"/>
            </w:tcBorders>
            <w:tcW w:w="1702" w:type="dxa"/>
            <w:vAlign w:val="center"/>
            <w:textDirection w:val="lrTb"/>
            <w:noWrap/>
          </w:tcPr>
          <w:p>
            <w:pPr>
              <w:jc w:val="center"/>
              <w:spacing w:line="30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封闭教室</w:t>
            </w:r>
            <w:r>
              <w:rPr>
                <w:highlight w:val="none"/>
              </w:rPr>
            </w:r>
          </w:p>
        </w:tc>
      </w:tr>
      <w:tr>
        <w:trPr>
          <w:trHeight w:val="393"/>
        </w:trPr>
        <w:tc>
          <w:tcPr>
            <w:tcBorders>
              <w:top w:val="none" w:color="000000" w:sz="4" w:space="0"/>
              <w:left w:val="single" w:color="000000" w:sz="4" w:space="0"/>
              <w:bottom w:val="single" w:color="000000" w:sz="4" w:space="0"/>
              <w:right w:val="single" w:color="000000" w:sz="4" w:space="0"/>
            </w:tcBorders>
            <w:tcW w:w="1408" w:type="dxa"/>
            <w:vAlign w:val="center"/>
            <w:vMerge w:val="continue"/>
            <w:textDirection w:val="lrTb"/>
            <w:noWrap/>
          </w:tcPr>
          <w:p>
            <w:pPr>
              <w:jc w:val="lef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4785" w:type="dxa"/>
            <w:vAlign w:val="center"/>
            <w:textDirection w:val="lrTb"/>
            <w:noWrap/>
          </w:tcPr>
          <w:p>
            <w:pPr>
              <w:jc w:val="left"/>
              <w:spacing w:line="30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四楼汽车实训教室</w:t>
            </w:r>
            <w:r>
              <w:rPr>
                <w:highlight w:val="none"/>
              </w:rPr>
            </w:r>
          </w:p>
        </w:tc>
        <w:tc>
          <w:tcPr>
            <w:tcBorders>
              <w:top w:val="none" w:color="000000" w:sz="4" w:space="0"/>
              <w:left w:val="none" w:color="000000" w:sz="4" w:space="0"/>
              <w:bottom w:val="single" w:color="000000" w:sz="4" w:space="0"/>
              <w:right w:val="single" w:color="000000" w:sz="4" w:space="0"/>
            </w:tcBorders>
            <w:tcW w:w="1274" w:type="dxa"/>
            <w:vAlign w:val="center"/>
            <w:textDirection w:val="lrTb"/>
            <w:noWrap/>
          </w:tcPr>
          <w:p>
            <w:pPr>
              <w:jc w:val="center"/>
              <w:spacing w:line="30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1</w:t>
            </w:r>
            <w:r>
              <w:rPr>
                <w:highlight w:val="none"/>
              </w:rPr>
            </w:r>
          </w:p>
        </w:tc>
        <w:tc>
          <w:tcPr>
            <w:tcBorders>
              <w:top w:val="none" w:color="000000" w:sz="4" w:space="0"/>
              <w:left w:val="none" w:color="000000" w:sz="4" w:space="0"/>
              <w:bottom w:val="single" w:color="000000" w:sz="4" w:space="0"/>
              <w:right w:val="single" w:color="000000" w:sz="4" w:space="0"/>
            </w:tcBorders>
            <w:tcW w:w="1702" w:type="dxa"/>
            <w:vAlign w:val="center"/>
            <w:textDirection w:val="lrTb"/>
            <w:noWrap/>
          </w:tcPr>
          <w:p>
            <w:pPr>
              <w:jc w:val="center"/>
              <w:spacing w:line="30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敞开教室</w:t>
            </w:r>
            <w:r>
              <w:rPr>
                <w:highlight w:val="none"/>
              </w:rPr>
            </w:r>
          </w:p>
        </w:tc>
      </w:tr>
    </w:tbl>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汇贤楼南楼：共18层，建筑面积约18,000㎡，主要功能为青年教职工公寓。</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汇贤楼北楼：共15层，建筑面积约15,000㎡，除第1-4层为实训基地外，其余楼层主要功能同南楼。</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汇贤楼实训基地（裙楼）：地上1-4层，含实习实训教室及公共区域、走廊、卫生间等，为学院各院系共用实训场所，使用频率高，具体见</w:t>
      </w:r>
      <w:r>
        <w:rPr>
          <w:rFonts w:hint="eastAsia" w:ascii="方正仿宋_GBK" w:hAnsi="方正仿宋_GBK" w:eastAsia="方正仿宋_GBK" w:cs="方正仿宋_GBK"/>
          <w:color w:val="000000"/>
          <w:sz w:val="28"/>
          <w:szCs w:val="28"/>
          <w:highlight w:val="none"/>
          <w:lang w:val="en-US" w:eastAsia="zh-CN"/>
        </w:rPr>
        <w:t xml:space="preserve">上</w:t>
      </w:r>
      <w:r>
        <w:rPr>
          <w:rFonts w:hint="eastAsia" w:ascii="方正仿宋_GBK" w:hAnsi="方正仿宋_GBK" w:eastAsia="方正仿宋_GBK" w:cs="方正仿宋_GBK"/>
          <w:color w:val="000000"/>
          <w:sz w:val="28"/>
          <w:szCs w:val="28"/>
          <w:highlight w:val="none"/>
        </w:rPr>
        <w:t xml:space="preserve">表。</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汇贤楼负一层地下停车场：须做好停车场日常保洁。</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汇贤楼组团外围附属区域：含汇贤楼楼前广场、周边连廊、散水、绿化带杂物清理等。</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上述区域总建筑面积约45000㎡（以实际测量为准，供应商可在投标前自行现场踏勘核实，踏勘费用由供应商自行承担）。</w:t>
      </w:r>
      <w:r>
        <w:rPr>
          <w:highlight w:val="none"/>
        </w:rPr>
      </w:r>
    </w:p>
    <w:p>
      <w:pPr>
        <w:pStyle w:val="919"/>
        <w:ind w:firstLine="562"/>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分包二：</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1.弘毅楼：总建筑面积 8,877㎡，共4层，配备1部电梯，空调系统为中央空调。</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2.行健馆：总建筑面积11,620㎡，空调系统采用中央空调。</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3.图文楼：总建筑面积19,878.2㎡，共5层，建筑外立面为石材及玻璃幕墙，主楼配备3部电梯，空调系统采用中央空调。各层功能如下：</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1层：贵宾接待室、大报告厅、24小时自修室、密集书库、办公区、资料室、24小时自助还书机区、内庭院。</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2层：门厅、讨论室、小报告厅、会议室、新书展示区、社会科学阅览室、教师休息室。</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3–4层：社会科学阅览室。</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5层：阅览室休息区、网络机房、会议室、技术培训机房、卫星电视机房、演播室、多功能厅、办公室。</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4.躬行楼：由1#，2#楼和3#连廊组成，总建筑面积为8492.66㎡，建筑层数为3层，主要配建国家虚拟仿真实训室、隧道、基坑实训基地、智能养护数据中心及配建的实训教室。</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上述区域</w:t>
      </w:r>
      <w:r>
        <w:rPr>
          <w:rFonts w:hint="eastAsia" w:ascii="方正仿宋_GBK" w:hAnsi="方正仿宋_GBK" w:eastAsia="方正仿宋_GBK" w:cs="方正仿宋_GBK"/>
          <w:color w:val="000000"/>
          <w:sz w:val="28"/>
          <w:szCs w:val="28"/>
          <w:highlight w:val="none"/>
        </w:rPr>
        <w:t xml:space="preserve">总建筑面积约48,868㎡（以实际测量为准，供应商可在投标前自行现场踏勘核实，踏勘费用由供应商自行承担）。</w:t>
      </w:r>
      <w:r>
        <w:rPr>
          <w:highlight w:val="none"/>
        </w:rPr>
      </w:r>
    </w:p>
    <w:p>
      <w:pPr>
        <w:pStyle w:val="885"/>
        <w:ind w:firstLine="562"/>
        <w:jc w:val="both"/>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分包三：</w:t>
      </w:r>
      <w:r>
        <w:rPr>
          <w:highlight w:val="none"/>
        </w:rPr>
      </w:r>
    </w:p>
    <w:p>
      <w:pPr>
        <w:ind w:firstLine="560"/>
        <w:jc w:val="both"/>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1、中组团教学楼含明德楼、齐贤楼、宏博楼、明德楼地下停车场，总建筑面积50302㎡，其中明德楼面积18202㎡（含地下车库保洁）、齐贤楼面积16465㎡、宏博楼面积15635㎡，每栋建筑分别为5层。</w:t>
      </w:r>
      <w:r>
        <w:rPr>
          <w:highlight w:val="none"/>
        </w:rPr>
      </w:r>
    </w:p>
    <w:p>
      <w:pPr>
        <w:ind w:firstLine="560"/>
        <w:jc w:val="both"/>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2、西组团教学楼含致远楼、明志楼、修远楼、广宇楼，总建筑面积约 51623㎡，其中致远楼面积13875㎡、明志楼面积10448㎡、修远楼面积15750㎡，广宇楼面积11550㎡，每栋建筑分别为5层。</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上述区域</w:t>
      </w:r>
      <w:r>
        <w:rPr>
          <w:rFonts w:hint="eastAsia" w:ascii="方正仿宋_GBK" w:hAnsi="方正仿宋_GBK" w:eastAsia="方正仿宋_GBK" w:cs="方正仿宋_GBK"/>
          <w:color w:val="000000"/>
          <w:sz w:val="28"/>
          <w:szCs w:val="28"/>
          <w:highlight w:val="none"/>
        </w:rPr>
        <w:t xml:space="preserve">总建筑面积约91,925㎡，（以实际测量为准，供应商可在投标前自行现场踏勘核实，踏勘费用由供应商自行承担）。</w:t>
      </w:r>
      <w:r>
        <w:rPr>
          <w:highlight w:val="none"/>
        </w:rPr>
      </w:r>
    </w:p>
    <w:p>
      <w:pPr>
        <w:ind w:firstLine="562"/>
        <w:jc w:val="both"/>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分包四：</w:t>
      </w:r>
      <w:r>
        <w:rPr>
          <w:highlight w:val="none"/>
        </w:rPr>
      </w:r>
    </w:p>
    <w:p>
      <w:pPr>
        <w:ind w:firstLine="560"/>
        <w:jc w:val="both"/>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本项目服务范围涵盖学院户外公共区域保洁及绿化养护，学院占地约56.9万平方米，总绿化面积约24万平方米，具体包括：</w:t>
      </w:r>
      <w:r>
        <w:rPr>
          <w:highlight w:val="none"/>
        </w:rPr>
      </w:r>
    </w:p>
    <w:p>
      <w:pPr>
        <w:ind w:firstLine="560"/>
        <w:jc w:val="both"/>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1.保洁：红线范围内室外公共区域（包括且不限于</w:t>
      </w:r>
      <w:r>
        <w:rPr>
          <w:rFonts w:hint="eastAsia" w:ascii="方正仿宋_GBK" w:hAnsi="方正仿宋_GBK" w:eastAsia="方正仿宋_GBK" w:cs="方正仿宋_GBK"/>
          <w:color w:val="000000"/>
          <w:sz w:val="28"/>
          <w:szCs w:val="28"/>
          <w:highlight w:val="none"/>
          <w:lang w:val="en-US" w:eastAsia="zh-CN"/>
        </w:rPr>
        <w:t xml:space="preserve">河道、</w:t>
      </w:r>
      <w:r>
        <w:rPr>
          <w:rFonts w:hint="eastAsia" w:ascii="方正仿宋_GBK" w:hAnsi="方正仿宋_GBK" w:eastAsia="方正仿宋_GBK" w:cs="方正仿宋_GBK"/>
          <w:color w:val="000000"/>
          <w:sz w:val="28"/>
          <w:szCs w:val="28"/>
          <w:highlight w:val="none"/>
        </w:rPr>
        <w:t xml:space="preserve">操场、道路、广场、室外实训场、驾校、游园广场、亭榭内部等），校园四个大门“门前三包”。</w:t>
      </w:r>
      <w:r>
        <w:rPr>
          <w:highlight w:val="none"/>
        </w:rPr>
      </w:r>
    </w:p>
    <w:p>
      <w:pPr>
        <w:ind w:firstLine="560"/>
        <w:jc w:val="both"/>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2.绿化：红线范围内所有绿地，含乔灌木、草坪等，楼宇中庭，河道及周边。做好预留发展用地的花海种植（1年3季，费用含在合同内）。</w:t>
      </w:r>
      <w:r>
        <w:rPr>
          <w:highlight w:val="none"/>
        </w:rPr>
      </w:r>
    </w:p>
    <w:p>
      <w:pPr>
        <w:ind w:firstLine="560"/>
        <w:jc w:val="both"/>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3.校园内公共设施巡查、报修。</w:t>
      </w:r>
      <w:r>
        <w:rPr>
          <w:highlight w:val="none"/>
        </w:rPr>
      </w:r>
    </w:p>
    <w:p>
      <w:pPr>
        <w:ind w:firstLine="560"/>
        <w:jc w:val="both"/>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4.垃圾分类具体实施，校内垃圾清运及生活垃圾外运（与具备资质的清运单位对接，外运到政府有关部门要求的场所）。</w:t>
      </w:r>
      <w:r>
        <w:rPr>
          <w:highlight w:val="none"/>
        </w:rPr>
      </w:r>
    </w:p>
    <w:p>
      <w:pPr>
        <w:ind w:firstLine="560"/>
        <w:jc w:val="both"/>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5.校园3-11月消杀，对蚊虫、植物病虫害有效控制。</w:t>
      </w:r>
      <w:r>
        <w:rPr>
          <w:highlight w:val="none"/>
        </w:rPr>
      </w:r>
    </w:p>
    <w:p>
      <w:pPr>
        <w:ind w:firstLine="560"/>
        <w:jc w:val="both"/>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6.各类大型活动、会议的保障工作。</w:t>
      </w:r>
      <w:r>
        <w:rPr>
          <w:highlight w:val="none"/>
        </w:rPr>
      </w:r>
    </w:p>
    <w:p>
      <w:pPr>
        <w:ind w:firstLine="560"/>
        <w:jc w:val="both"/>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7.冬季黑麦草播种及养护：6万平方左右（费用含在合同内，面积不够或效果不好按实际情况扣除）。</w:t>
      </w:r>
      <w:r>
        <w:rPr>
          <w:highlight w:val="none"/>
        </w:rPr>
      </w:r>
    </w:p>
    <w:p>
      <w:pPr>
        <w:ind w:firstLine="560"/>
        <w:jc w:val="both"/>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迎新草花布置及会议室绿植摆放：楼宇会议室、活动等绿植摆放（按学院要求）；学院迎新花镜60平方米，出设计方案，现场布置等；西大门校名石头前（110平方米左右）、南大门校名校训内外及两侧花池（200平方米左右）草花布置（1年3季），以上费用含在合同内。</w:t>
      </w:r>
      <w:r>
        <w:rPr>
          <w:highlight w:val="none"/>
        </w:rPr>
      </w:r>
    </w:p>
    <w:p>
      <w:pPr>
        <w:ind w:firstLine="560"/>
        <w:jc w:val="both"/>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9.天鹅饲养：喂食管理天鹅，包含饲料、防疫、养殖及其他工作。</w:t>
      </w:r>
      <w:r>
        <w:rPr>
          <w:highlight w:val="none"/>
        </w:rPr>
      </w:r>
    </w:p>
    <w:p>
      <w:pPr>
        <w:ind w:firstLine="560"/>
        <w:jc w:val="left"/>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10.驾校化粪池清理、外运等服务。</w:t>
      </w:r>
      <w:r>
        <w:rPr>
          <w:highlight w:val="none"/>
        </w:rPr>
      </w:r>
    </w:p>
    <w:p>
      <w:pPr>
        <w:ind w:firstLine="560"/>
        <w:jc w:val="left"/>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11.养护期内认定养护不当导致枯死绿植的补种（不进行补种学院根据实际情况扣除相关费用）。</w:t>
      </w:r>
      <w:r>
        <w:rPr>
          <w:highlight w:val="none"/>
        </w:rPr>
      </w:r>
    </w:p>
    <w:p>
      <w:pPr>
        <w:ind w:firstLine="560"/>
        <w:jc w:val="left"/>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 恶劣、雨雪天气、防汛等应急保障工作。</w:t>
      </w:r>
      <w:r>
        <w:rPr>
          <w:highlight w:val="none"/>
        </w:rPr>
      </w:r>
    </w:p>
    <w:p>
      <w:pPr>
        <w:ind w:firstLine="56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 其他需配合的服务工作。</w:t>
      </w:r>
      <w:r>
        <w:rPr>
          <w:highlight w:val="none"/>
        </w:rPr>
      </w:r>
    </w:p>
    <w:p>
      <w:pPr>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（二）项目服务期限</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叁年（最长不超过36个月），采购人与中标供应商签订首年度服务合同（具体起止日期以合同约定为准），每年合同期届满前，由采购人组织年度综合考核，考核合格后续签次年度合同。</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叁年合同期内，当政策性最低工资标准和社保出现调整时，物业费不再增减；因采购方需要，当服务范围和所需人数出现变动时，经双方协商和核算，可对物业费用进行相应的增减。</w:t>
      </w:r>
      <w:r>
        <w:rPr>
          <w:highlight w:val="none"/>
        </w:rPr>
      </w:r>
    </w:p>
    <w:p>
      <w:pPr>
        <w:pStyle w:val="919"/>
        <w:ind w:firstLine="560"/>
        <w:spacing w:before="120" w:after="120"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四、技术要求</w:t>
      </w:r>
      <w:r>
        <w:rPr>
          <w:highlight w:val="none"/>
        </w:rPr>
      </w:r>
    </w:p>
    <w:p>
      <w:pPr>
        <w:ind w:firstLine="560"/>
        <w:spacing w:line="40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或加*号条款为实质性要求。</w:t>
      </w:r>
      <w:r>
        <w:rPr>
          <w:highlight w:val="none"/>
        </w:rPr>
      </w:r>
    </w:p>
    <w:p>
      <w:pPr>
        <w:ind w:firstLine="562"/>
        <w:spacing w:line="40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分包一</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供应商须全面响应以下每一类服务内容及要求，制定详细的实施方案（含人员安排、作业频次、质量标准、应急预案等），作为投标文件的组成部分。</w:t>
      </w:r>
      <w:r>
        <w:rPr>
          <w:highlight w:val="none"/>
        </w:rPr>
      </w:r>
    </w:p>
    <w:p>
      <w:pPr>
        <w:ind w:firstLine="562"/>
        <w:spacing w:line="440" w:lineRule="exact"/>
        <w:rPr>
          <w:rFonts w:hint="eastAsia" w:ascii="方正仿宋_GBK" w:hAnsi="方正仿宋_GBK" w:eastAsia="方正仿宋_GBK" w:cs="方正仿宋_GBK"/>
          <w:b/>
          <w:bCs/>
          <w:color w:val="000000"/>
          <w:sz w:val="28"/>
          <w:szCs w:val="28"/>
          <w:highlight w:val="none"/>
        </w:rPr>
      </w:pPr>
      <w:r>
        <w:rPr>
          <w:highlight w:val="none"/>
        </w:rPr>
      </w:r>
      <w:bookmarkStart w:id="62" w:name="_Toc5277"/>
      <w:r>
        <w:rPr>
          <w:rFonts w:hint="eastAsia" w:ascii="方正仿宋_GBK" w:hAnsi="方正仿宋_GBK" w:eastAsia="方正仿宋_GBK" w:cs="方正仿宋_GBK"/>
          <w:b/>
          <w:bCs/>
          <w:color w:val="000000"/>
          <w:sz w:val="28"/>
          <w:szCs w:val="28"/>
          <w:highlight w:val="none"/>
        </w:rPr>
        <w:t xml:space="preserve">1.公共环境保洁服务</w:t>
      </w:r>
      <w:bookmarkEnd w:id="62"/>
      <w:r>
        <w:rPr>
          <w:highlight w:val="none"/>
        </w:rPr>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每日对南北两楼各楼层公共走廊、楼梯间、电梯厅、大厅、门厅等公共区域进行清扫、拖地、保洁，做到地面干净、无杂物、无积水、无污渍；每日不少于2次全面保洁（建议早、中、晚各1次，具体频次在投标方案中明确承诺）。</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每日对南北两楼各楼层公共卫生间（含坐便器、小便池、洗手台、地面、墙面、门窗、镜面、排风扇等）进行全面清洗消毒，做到无异味、无污渍、无堵塞、无积水；每日不少于2次全面清洁，并视使用情况增加保洁频次；卫生间消毒液、清洁剂等耗材由供应商自行采购并承担费用，耗材须符合环保及卫生标准。</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（3）每周对各楼层门窗玻璃（2米以下）、楼梯扶手、走廊护栏、公共告示栏、消防设施外表面等进行擦拭清洁，保持表面无尘、无污渍、无乱张贴。</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（4）每月对楼层公共区域墙面（乳胶漆/瓷砖）、电梯轿厢内壁、楼道顶面等进行清洁；电梯轿厢内壁须定期擦拭保养，保持光亮无指纹。</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（5）每季度对楼道门窗进行专项清洁；对有积尘的高处区域（2米以下）进行彻底清理；每学期（开学前）对公共区域进行全面大扫除，以良好环境迎接新学期。</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大学生实训基地1-4层12间实训教室及公共区域的日常保洁（含教室地面、桌椅、实训台面、讲台、门窗、墙面等），每个工作日开放期间至少保洁2次（建议课前1次、课后1次），保证实训教室整洁有序，满足实训教学需求。</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（7）北楼公共厨房的日常保洁，包括地面、排水等，每日至少全面清洁1次（建议每次使用后及时清理），防止油污积聚和异味产生，并做好消毒记录。</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（8）汇贤楼楼前广场及周边附属区域每日清扫2次（建议早、晚各1次），保持无落叶、无杂物、无积水、无泥沙；雨雪天气后须及时清扫积水、积雪，采取安全防护措施（如铺设防滑垫、设置警示牌等）。</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（9）地下停车场每周不少于2次全面清扫，保持地面干净、无油污、无杂物、无积水；导向标识牌整洁；消防设施外表面无积尘；每季度对停车场墙面进行清洁。</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垃圾分类管理：按要求放置分类垃圾桶（可回收物、其他垃圾、厨余垃圾&lt;如有&gt;、有害垃圾），张贴垃圾分类标识（标识样式须符合南京市垃圾分类管理规定）；每日将各楼层垃圾清运至校园垃圾集中堆放点，做到日产日清；配合学院垃圾分类宣传工作，引导师生正确投放垃圾。</w:t>
      </w:r>
      <w:r>
        <w:rPr>
          <w:highlight w:val="none"/>
        </w:rPr>
      </w:r>
    </w:p>
    <w:p>
      <w:pPr>
        <w:ind w:firstLine="562"/>
        <w:spacing w:line="440" w:lineRule="exact"/>
        <w:rPr>
          <w:rFonts w:hint="eastAsia" w:ascii="方正仿宋_GBK" w:hAnsi="方正仿宋_GBK" w:eastAsia="方正仿宋_GBK" w:cs="方正仿宋_GBK"/>
          <w:b/>
          <w:bCs/>
          <w:color w:val="000000"/>
          <w:sz w:val="28"/>
          <w:szCs w:val="28"/>
          <w:highlight w:val="none"/>
        </w:rPr>
      </w:pPr>
      <w:r>
        <w:rPr>
          <w:highlight w:val="none"/>
        </w:rPr>
      </w:r>
      <w:bookmarkStart w:id="63" w:name="_Toc16498"/>
      <w:r>
        <w:rPr>
          <w:rFonts w:hint="eastAsia" w:ascii="方正仿宋_GBK" w:hAnsi="方正仿宋_GBK" w:eastAsia="方正仿宋_GBK" w:cs="方正仿宋_GBK"/>
          <w:b/>
          <w:bCs/>
          <w:color w:val="000000"/>
          <w:sz w:val="28"/>
          <w:szCs w:val="28"/>
          <w:highlight w:val="none"/>
        </w:rPr>
        <w:t xml:space="preserve">2.楼宇秩序巡视管理</w:t>
      </w:r>
      <w:bookmarkEnd w:id="63"/>
      <w:r>
        <w:rPr>
          <w:highlight w:val="none"/>
        </w:rPr>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（1）南北两楼安排2名楼宇巡查人员，负责楼宇日常秩序维护；巡查人员须接受过基本安全保卫培训，具备一定沟通协调能力，能妥善处置突发情况。</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（2）每日不间断巡视各楼层公共区域，发现违规用电（使用大功率电器、私拉电线等）、乱拉电线、私接违规设备等行为，立即劝阻并报告采购人并建立台账。</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（3）每日检查楼宇消防通道、安全出口是否畅通，发现堵塞（如自行车、杂物堆放等）立即清理并上报；确保消防设施（消防栓、灭火器、应急照明等）不被遮挡或擅自挪用，并建立台账。</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（4）每日检查楼宇公共设施是否完好，发现损坏或故障及时报修并记录并建立台账，详细记录发现问题及处理情况。</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（5）配合学院管理部门开展专项整治（如违规电器排查、消防通道清理等）、消防演练等工作；接到学院通知后，须在规定时间内配合完成相关工作。</w:t>
      </w:r>
      <w:r>
        <w:rPr>
          <w:highlight w:val="none"/>
        </w:rPr>
      </w:r>
    </w:p>
    <w:p>
      <w:pPr>
        <w:ind w:firstLine="562"/>
        <w:spacing w:line="440" w:lineRule="exact"/>
        <w:rPr>
          <w:rFonts w:hint="eastAsia" w:ascii="方正仿宋_GBK" w:hAnsi="方正仿宋_GBK" w:eastAsia="方正仿宋_GBK" w:cs="方正仿宋_GBK"/>
          <w:b/>
          <w:bCs/>
          <w:color w:val="000000"/>
          <w:sz w:val="28"/>
          <w:szCs w:val="28"/>
          <w:highlight w:val="none"/>
        </w:rPr>
      </w:pPr>
      <w:r>
        <w:rPr>
          <w:highlight w:val="none"/>
        </w:rPr>
      </w:r>
      <w:bookmarkStart w:id="64" w:name="_Toc30083"/>
      <w:r>
        <w:rPr>
          <w:rFonts w:hint="eastAsia" w:ascii="方正仿宋_GBK" w:hAnsi="方正仿宋_GBK" w:eastAsia="方正仿宋_GBK" w:cs="方正仿宋_GBK"/>
          <w:b/>
          <w:bCs/>
          <w:color w:val="000000"/>
          <w:sz w:val="28"/>
          <w:szCs w:val="28"/>
          <w:highlight w:val="none"/>
        </w:rPr>
        <w:t xml:space="preserve">3.综合保障服务</w:t>
      </w:r>
      <w:bookmarkEnd w:id="64"/>
      <w:r>
        <w:rPr>
          <w:highlight w:val="none"/>
        </w:rPr>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消毒与消杀：每周不少于1次对楼宇公共区域（含楼梯间、电梯厅等）进行预防性消毒；每季度开展1次病媒生物（蚊、蝇、蟑螂、鼠）综合消杀；公共卫生事件发生时配合专业机构开展应急消毒；做好消毒消杀记录台账。</w:t>
      </w:r>
      <w:r>
        <w:rPr>
          <w:highlight w:val="none"/>
        </w:rPr>
      </w:r>
    </w:p>
    <w:p>
      <w:pPr>
        <w:ind w:firstLine="560"/>
        <w:jc w:val="left"/>
        <w:spacing w:line="44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（2）报修响应：设立楼宇报修登记台账，发现问题及时报修，建立报修处理台账。中标单位需提供可承接的室内维修项目及收费标准，报学院公示后按标准向维修住户收取费用。</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（3）公共设施维护：汇贤楼组团范围内的公共区域桌椅、公告栏、垃圾桶、分类设施等小型设施的日常维护与保洁；发现损坏及时报修。</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（4）垃圾外运配合：协助垃圾清运人员将汇贤楼组团垃圾集中至校园收集点，保持垃圾集中点周边整洁。</w:t>
      </w:r>
      <w:r>
        <w:rPr>
          <w:highlight w:val="none"/>
        </w:rPr>
      </w:r>
    </w:p>
    <w:p>
      <w:pPr>
        <w:ind w:firstLine="562"/>
        <w:spacing w:line="440" w:lineRule="exact"/>
        <w:rPr>
          <w:rFonts w:hint="eastAsia" w:ascii="方正仿宋_GBK" w:hAnsi="方正仿宋_GBK" w:eastAsia="方正仿宋_GBK" w:cs="方正仿宋_GBK"/>
          <w:b/>
          <w:bCs/>
          <w:color w:val="000000"/>
          <w:sz w:val="28"/>
          <w:szCs w:val="28"/>
          <w:highlight w:val="none"/>
        </w:rPr>
      </w:pPr>
      <w:r>
        <w:rPr>
          <w:highlight w:val="none"/>
        </w:rPr>
      </w:r>
      <w:bookmarkStart w:id="65" w:name="_Toc3085"/>
      <w:r>
        <w:rPr>
          <w:rFonts w:hint="eastAsia" w:ascii="方正仿宋_GBK" w:hAnsi="方正仿宋_GBK" w:eastAsia="方正仿宋_GBK" w:cs="方正仿宋_GBK"/>
          <w:b/>
          <w:bCs/>
          <w:color w:val="000000"/>
          <w:sz w:val="28"/>
          <w:szCs w:val="28"/>
          <w:highlight w:val="none"/>
        </w:rPr>
        <w:t xml:space="preserve">4.</w:t>
      </w:r>
      <w:r>
        <w:rPr>
          <w:rFonts w:hint="eastAsia" w:ascii="方正仿宋_GBK" w:hAnsi="方正仿宋_GBK" w:eastAsia="方正仿宋_GBK" w:cs="方正仿宋_GBK"/>
          <w:b/>
          <w:bCs/>
          <w:color w:val="000000"/>
          <w:sz w:val="28"/>
          <w:szCs w:val="28"/>
          <w:highlight w:val="none"/>
          <w:lang w:val="en-US" w:eastAsia="zh-CN"/>
        </w:rPr>
        <w:t xml:space="preserve">重要</w:t>
      </w:r>
      <w:r>
        <w:rPr>
          <w:rFonts w:hint="eastAsia" w:ascii="方正仿宋_GBK" w:hAnsi="方正仿宋_GBK" w:eastAsia="方正仿宋_GBK" w:cs="方正仿宋_GBK"/>
          <w:b/>
          <w:bCs/>
          <w:color w:val="000000"/>
          <w:sz w:val="28"/>
          <w:szCs w:val="28"/>
          <w:highlight w:val="none"/>
        </w:rPr>
        <w:t xml:space="preserve">活动保障服务</w:t>
      </w:r>
      <w:bookmarkEnd w:id="65"/>
      <w:r>
        <w:rPr>
          <w:highlight w:val="none"/>
        </w:rPr>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（1）根据学院安排，参与校园大型活动（如开学典礼、毕业典礼、体育运动会、文化节等）的后勤保障工作；保障内容包括：现场保洁、秩序维护、垃圾分类清运、临时厕所设置与保洁等。</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（2）保障服务</w:t>
      </w:r>
      <w:r>
        <w:rPr>
          <w:rFonts w:hint="eastAsia" w:ascii="方正仿宋_GBK" w:hAnsi="方正仿宋_GBK" w:eastAsia="方正仿宋_GBK" w:cs="方正仿宋_GBK"/>
          <w:color w:val="000000"/>
          <w:sz w:val="28"/>
          <w:szCs w:val="28"/>
          <w:highlight w:val="none"/>
          <w:lang w:val="en-US" w:eastAsia="zh-CN"/>
        </w:rPr>
        <w:t xml:space="preserve">费用约5000元/年，请投标人报价时予以充分考虑（仅作参考，不作为报价依据），超出部分由采购人</w:t>
      </w:r>
      <w:r>
        <w:rPr>
          <w:rFonts w:hint="eastAsia" w:ascii="方正仿宋_GBK" w:hAnsi="方正仿宋_GBK" w:eastAsia="方正仿宋_GBK" w:cs="方正仿宋_GBK"/>
          <w:color w:val="000000"/>
          <w:sz w:val="28"/>
          <w:szCs w:val="28"/>
          <w:highlight w:val="none"/>
        </w:rPr>
        <w:t xml:space="preserve">按实结算，需事前经学院后勤基建处书面确认服务人数及时长。</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（3）活动结束后1.5小时内完成活动区域的现场清理，保证场地恢复整洁状态。</w:t>
      </w:r>
      <w:r>
        <w:rPr>
          <w:highlight w:val="none"/>
        </w:rPr>
      </w:r>
    </w:p>
    <w:p>
      <w:pPr>
        <w:ind w:firstLine="562"/>
        <w:spacing w:line="440" w:lineRule="exact"/>
        <w:rPr>
          <w:rFonts w:hint="eastAsia" w:ascii="方正仿宋_GBK" w:hAnsi="方正仿宋_GBK" w:eastAsia="方正仿宋_GBK" w:cs="方正仿宋_GBK"/>
          <w:b/>
          <w:bCs/>
          <w:color w:val="000000"/>
          <w:sz w:val="28"/>
          <w:szCs w:val="28"/>
          <w:highlight w:val="none"/>
        </w:rPr>
      </w:pPr>
      <w:r>
        <w:rPr>
          <w:highlight w:val="none"/>
        </w:rPr>
      </w:r>
      <w:bookmarkStart w:id="66" w:name="_Toc9665"/>
      <w:r>
        <w:rPr>
          <w:rFonts w:hint="eastAsia" w:ascii="方正仿宋_GBK" w:hAnsi="方正仿宋_GBK" w:eastAsia="方正仿宋_GBK" w:cs="方正仿宋_GBK"/>
          <w:b/>
          <w:bCs/>
          <w:color w:val="000000"/>
          <w:sz w:val="28"/>
          <w:szCs w:val="28"/>
          <w:highlight w:val="none"/>
        </w:rPr>
        <w:t xml:space="preserve">5.节能与资源管理</w:t>
      </w:r>
      <w:bookmarkEnd w:id="66"/>
      <w:r>
        <w:rPr>
          <w:highlight w:val="none"/>
        </w:rPr>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（1）巡查汇贤楼公共区域照明、排风等设施的节能运行管理，做到"人走灯灭"，避免长明灯、空调长开等浪费行为；公共区域夏季空调温度设置不低于26℃，冬季不高于20℃。</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（2）配合学院开展节能节水宣传工作，在公共区域张贴节能宣传标识。</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（3）发现用水、用电异常（水管漏水、线路短路等），立即报修并采取临时防护措施。</w:t>
      </w:r>
      <w:r>
        <w:rPr>
          <w:highlight w:val="none"/>
        </w:rPr>
      </w:r>
    </w:p>
    <w:p>
      <w:pPr>
        <w:ind w:firstLine="562"/>
        <w:spacing w:line="440" w:lineRule="exact"/>
        <w:rPr>
          <w:rFonts w:hint="eastAsia" w:ascii="方正仿宋_GBK" w:hAnsi="方正仿宋_GBK" w:eastAsia="方正仿宋_GBK" w:cs="方正仿宋_GBK"/>
          <w:b/>
          <w:bCs/>
          <w:color w:val="000000"/>
          <w:sz w:val="28"/>
          <w:szCs w:val="28"/>
          <w:highlight w:val="none"/>
        </w:rPr>
      </w:pPr>
      <w:r>
        <w:rPr>
          <w:highlight w:val="none"/>
        </w:rPr>
      </w:r>
      <w:bookmarkStart w:id="67" w:name="_Toc17004"/>
      <w:r>
        <w:rPr>
          <w:rFonts w:hint="eastAsia" w:ascii="方正仿宋_GBK" w:hAnsi="方正仿宋_GBK" w:eastAsia="方正仿宋_GBK" w:cs="方正仿宋_GBK"/>
          <w:b/>
          <w:bCs/>
          <w:color w:val="000000"/>
          <w:sz w:val="28"/>
          <w:szCs w:val="28"/>
          <w:highlight w:val="none"/>
        </w:rPr>
        <w:t xml:space="preserve">6.物资供应</w:t>
      </w:r>
      <w:r>
        <w:rPr>
          <w:highlight w:val="none"/>
        </w:rPr>
      </w:r>
    </w:p>
    <w:p>
      <w:pPr>
        <w:ind w:firstLine="560"/>
        <w:spacing w:line="440" w:lineRule="exact"/>
        <w:rPr>
          <w:rFonts w:hint="eastAsia" w:ascii="方正仿宋_GBK" w:hAnsi="方正仿宋_GBK" w:eastAsia="方正仿宋_GBK" w:cs="方正仿宋_GBK"/>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8"/>
          <w:szCs w:val="28"/>
          <w:highlight w:val="none"/>
        </w:rPr>
        <w:t xml:space="preserve">（1）保洁工具、清洁耗材、劳保用品等由供应商自行采购并承担费用。项目投入至少一台电脑一台打印机、</w:t>
      </w:r>
      <w:r>
        <w:rPr>
          <w:rFonts w:hint="eastAsia" w:ascii="方正仿宋_GBK" w:hAnsi="方正仿宋_GBK" w:eastAsia="方正仿宋_GBK" w:cs="方正仿宋_GBK"/>
          <w:b w:val="0"/>
          <w:bCs w:val="0"/>
          <w:color w:val="ff0000"/>
          <w:sz w:val="28"/>
          <w:szCs w:val="28"/>
          <w:highlight w:val="none"/>
          <w:lang w:val="en-US" w:eastAsia="zh-CN"/>
        </w:rPr>
        <w:t xml:space="preserve">8</w:t>
      </w:r>
      <w:r>
        <w:rPr>
          <w:rFonts w:hint="eastAsia" w:ascii="方正仿宋_GBK" w:hAnsi="方正仿宋_GBK" w:eastAsia="方正仿宋_GBK" w:cs="方正仿宋_GBK"/>
          <w:b w:val="0"/>
          <w:bCs w:val="0"/>
          <w:color w:val="000000"/>
          <w:sz w:val="28"/>
          <w:szCs w:val="28"/>
          <w:highlight w:val="none"/>
        </w:rPr>
        <w:t xml:space="preserve">辆清洁推车。</w:t>
      </w:r>
      <w:r>
        <w:rPr>
          <w:highlight w:val="none"/>
        </w:rPr>
      </w:r>
    </w:p>
    <w:p>
      <w:pPr>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7.其他事项</w:t>
      </w:r>
      <w:bookmarkEnd w:id="67"/>
      <w:r>
        <w:rPr>
          <w:highlight w:val="none"/>
        </w:rPr>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（1）根据采购人需要，承担学院临时安排的其他合理保障工作（如新生入学引导、毕业离校协助等）。</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（2）供应商需主动配合学院后勤基建处及相关管理部门的日常检查、专项检查和考核工作；对检查中发现的问题须在规定期限内整改完毕。</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（3）合同期内如出现人员岗位空缺，供应商须在2个工作日内补充到位；新入职人员须岗前培训合格后方可独立上岗。</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（4）节假日（学院寒暑假及元旦、春节、五一、国庆等）期间须保持正常服务，并根据需要适当增加巡查频次。</w:t>
      </w:r>
      <w:r>
        <w:rPr>
          <w:highlight w:val="none"/>
        </w:rPr>
      </w:r>
    </w:p>
    <w:p>
      <w:pPr>
        <w:pStyle w:val="885"/>
        <w:ind w:firstLine="562"/>
        <w:spacing w:before="0" w:after="0" w:line="440" w:lineRule="exact"/>
        <w:rPr>
          <w:rFonts w:hint="eastAsia" w:ascii="方正仿宋_GBK" w:hAnsi="方正仿宋_GBK" w:eastAsia="方正仿宋_GBK" w:cs="方正仿宋_GBK"/>
          <w:b w:val="0"/>
          <w:bCs w:val="0"/>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分包二</w:t>
      </w:r>
      <w:r>
        <w:rPr>
          <w:rFonts w:hint="eastAsia" w:ascii="方正仿宋_GBK" w:hAnsi="方正仿宋_GBK" w:eastAsia="方正仿宋_GBK" w:cs="方正仿宋_GBK"/>
          <w:b w:val="0"/>
          <w:bCs w:val="0"/>
          <w:color w:val="000000"/>
          <w:sz w:val="28"/>
          <w:szCs w:val="28"/>
          <w:highlight w:val="none"/>
        </w:rPr>
        <w:t xml:space="preserve">：</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供应商须全面响应以下每一类服务内容及要求，制定详细的实施方案（含人员安排、作业频次、质量标准、应急预案等），作为投标文件的组成部分。</w:t>
      </w:r>
      <w:r>
        <w:rPr>
          <w:highlight w:val="none"/>
        </w:rPr>
      </w:r>
    </w:p>
    <w:p>
      <w:pPr>
        <w:pStyle w:val="885"/>
        <w:ind w:firstLine="562"/>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1.各楼宇公共区域及卫生间保洁服务</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（1）每日对各楼宇（弘毅楼、行健馆、图文楼、躬行楼）所有楼层的公共走廊、大厅、门厅、楼梯间、电梯厅等进行清扫保洁，维持地面干净、无杂物、无积水、无异味。</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（2）每日对各楼宇全部卫生间进行不少于2次全面清洗消毒，保持无异味、无污渍、无堵塞；消毒液、清洁剂等耗材由供应商自行采购，须符合环保及卫生标准。</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（3）每周对各楼宇公共区域门窗玻璃、楼梯扶手、走廊护栏、公告栏、指示牌等进行擦拭清洁。</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（4）每月对各楼宇公共区域墙面、顶棚、电梯轿厢内壁进行清洁。</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（5）每季度对室内地面（石材、瓷砖等）进行专项打蜡、养护处理。</w:t>
      </w:r>
      <w:r>
        <w:rPr>
          <w:highlight w:val="none"/>
        </w:rPr>
      </w:r>
    </w:p>
    <w:p>
      <w:pPr>
        <w:pStyle w:val="885"/>
        <w:ind w:firstLine="562"/>
        <w:spacing w:before="0" w:after="0" w:line="440" w:lineRule="exact"/>
        <w:rPr>
          <w:rFonts w:hint="eastAsia" w:ascii="方正仿宋_GBK" w:hAnsi="方正仿宋_GBK" w:eastAsia="方正仿宋_GBK" w:cs="方正仿宋_GBK"/>
          <w:color w:val="000000"/>
          <w:sz w:val="28"/>
          <w:szCs w:val="28"/>
          <w:highlight w:val="none"/>
        </w:rPr>
      </w:pPr>
      <w:r>
        <w:rPr>
          <w:highlight w:val="none"/>
        </w:rPr>
      </w:r>
      <w:bookmarkStart w:id="68" w:name="_Toc12532"/>
      <w:r>
        <w:rPr>
          <w:rFonts w:hint="eastAsia" w:ascii="方正仿宋_GBK" w:hAnsi="方正仿宋_GBK" w:eastAsia="方正仿宋_GBK" w:cs="方正仿宋_GBK"/>
          <w:color w:val="000000"/>
          <w:sz w:val="28"/>
          <w:szCs w:val="28"/>
          <w:highlight w:val="none"/>
        </w:rPr>
        <w:t xml:space="preserve">2.室内区域保洁</w:t>
      </w:r>
      <w:bookmarkEnd w:id="68"/>
      <w:r>
        <w:rPr>
          <w:highlight w:val="none"/>
        </w:rPr>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（1）弘毅楼：学院党政办、合同规定的职能部门办公室（走廊外部公共区域日常清洁，室内区域按约定时间和方式清洁）；明德楼会议室清洁及会前、会后保洁；</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（2）行健馆：运动场馆地面（含木地板运动场地、塑胶跑道等）每日清扫保洁，洗手间每日清洁消毒，器材室及器材表面定期擦拭，场馆观众席区域的清扫，赛事前后加强频次；</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（3）图文楼：书库（藏书区，含书架、地面、通道）每周不少于1次保洁，阅览室（含阅览桌椅、地面、窗户）每日保洁，多媒体报告厅每次使用后进行清洁；</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（4）躬行楼：各专业实训室按授课安排定时保洁，会议室每次使用后清洁，走廊、楼梯等公共区域日常保洁。</w:t>
      </w:r>
      <w:r>
        <w:rPr>
          <w:highlight w:val="none"/>
        </w:rPr>
      </w:r>
    </w:p>
    <w:p>
      <w:pPr>
        <w:pStyle w:val="885"/>
        <w:ind w:firstLine="562"/>
        <w:spacing w:before="0" w:after="0" w:line="440" w:lineRule="exact"/>
        <w:rPr>
          <w:rFonts w:hint="eastAsia" w:ascii="方正仿宋_GBK" w:hAnsi="方正仿宋_GBK" w:eastAsia="方正仿宋_GBK" w:cs="方正仿宋_GBK"/>
          <w:color w:val="000000"/>
          <w:sz w:val="28"/>
          <w:szCs w:val="28"/>
          <w:highlight w:val="none"/>
        </w:rPr>
      </w:pPr>
      <w:r>
        <w:rPr>
          <w:highlight w:val="none"/>
        </w:rPr>
      </w:r>
      <w:bookmarkStart w:id="69" w:name="_Toc12618"/>
      <w:r>
        <w:rPr>
          <w:rFonts w:hint="eastAsia" w:ascii="方正仿宋_GBK" w:hAnsi="方正仿宋_GBK" w:eastAsia="方正仿宋_GBK" w:cs="方正仿宋_GBK"/>
          <w:color w:val="000000"/>
          <w:sz w:val="28"/>
          <w:szCs w:val="28"/>
          <w:highlight w:val="none"/>
        </w:rPr>
        <w:t xml:space="preserve">3.楼宇秩序巡视管理</w:t>
      </w:r>
      <w:bookmarkEnd w:id="69"/>
      <w:r>
        <w:rPr>
          <w:highlight w:val="none"/>
        </w:rPr>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（1）按要求楼宇配置门岗/巡查人员，负责楼宇日常秩序维护及人员出入管控；</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（2）弘毅楼：实行门禁管理，对外来访客进行登记验证，非本楼工作人员进入须持有效证件或预约记录；夜间22:00后关闭楼门，确需进入的须登记；</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（3）图文楼：配合学院图书馆管理部门开展读者服务规范管理，维护阅览秩序，闭馆后检查门窗关闭情况；</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（4）行健馆：场馆开放期间维护入场秩序；</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（5）躬行楼：实训期间维护实训秩序，发现安全隐患立即上报；</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（6）每日不少于2次楼宇巡逻，检查安全出口、消防通道是否畅通，夜间及节假日加强巡查。</w:t>
      </w:r>
      <w:r>
        <w:rPr>
          <w:highlight w:val="none"/>
        </w:rPr>
      </w:r>
    </w:p>
    <w:p>
      <w:pPr>
        <w:pStyle w:val="885"/>
        <w:ind w:firstLine="562"/>
        <w:spacing w:before="0" w:after="0" w:line="440" w:lineRule="exact"/>
        <w:rPr>
          <w:rFonts w:hint="eastAsia" w:ascii="方正仿宋_GBK" w:hAnsi="方正仿宋_GBK" w:eastAsia="方正仿宋_GBK" w:cs="方正仿宋_GBK"/>
          <w:color w:val="000000"/>
          <w:sz w:val="28"/>
          <w:szCs w:val="28"/>
          <w:highlight w:val="none"/>
        </w:rPr>
      </w:pPr>
      <w:r>
        <w:rPr>
          <w:highlight w:val="none"/>
        </w:rPr>
      </w:r>
      <w:bookmarkStart w:id="70" w:name="_Toc6712"/>
      <w:r>
        <w:rPr>
          <w:rFonts w:hint="eastAsia" w:ascii="方正仿宋_GBK" w:hAnsi="方正仿宋_GBK" w:eastAsia="方正仿宋_GBK" w:cs="方正仿宋_GBK"/>
          <w:color w:val="000000"/>
          <w:sz w:val="28"/>
          <w:szCs w:val="28"/>
          <w:highlight w:val="none"/>
        </w:rPr>
        <w:t xml:space="preserve">4.会务服务保障</w:t>
      </w:r>
      <w:bookmarkEnd w:id="70"/>
      <w:r>
        <w:rPr>
          <w:highlight w:val="none"/>
        </w:rPr>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（1）服务对象：弘毅楼所有会议室及报告厅，以及学院指定的其他会议室（报告厅）；</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会前准备：根据会议通知要求，提前45分钟完成场地布置，包括：桌椅按要求摆放、话筒及音响系统调试（配合信息化管理部门）、投影仪/显示屏调试、茶水及文具配备、引导牌放置、空调温度预调（夏季26℃，冬季20℃）、会场通风换气等；</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（3）会中服务：全程驻守或定时巡查，按需添加茶水，保持会场整洁，协助处理临时性需求；</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（4）会后整理：会议结束后30分钟内完成场地清理，包括垃圾清运、桌椅归位、设备复位、门窗关闭、空调关闭等；</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（5）会务人员要求：弘毅楼会务人员须为女性，形象端庄，普通话标准，着统一礼仪服装上岗；</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（6）会务台账：建立会务服务台账。</w:t>
      </w:r>
      <w:r>
        <w:rPr>
          <w:highlight w:val="none"/>
        </w:rPr>
      </w:r>
    </w:p>
    <w:p>
      <w:pPr>
        <w:ind w:firstLine="562"/>
        <w:spacing w:line="440" w:lineRule="exact"/>
        <w:rPr>
          <w:rFonts w:hint="eastAsia" w:ascii="方正仿宋_GBK" w:hAnsi="方正仿宋_GBK" w:eastAsia="方正仿宋_GBK" w:cs="方正仿宋_GBK"/>
          <w:b/>
          <w:bCs/>
          <w:color w:val="000000"/>
          <w:sz w:val="28"/>
          <w:szCs w:val="28"/>
          <w:highlight w:val="none"/>
        </w:rPr>
      </w:pPr>
      <w:r>
        <w:rPr>
          <w:highlight w:val="none"/>
        </w:rPr>
      </w:r>
      <w:bookmarkStart w:id="71" w:name="_Toc7626"/>
      <w:r>
        <w:rPr>
          <w:rFonts w:hint="eastAsia" w:ascii="方正仿宋_GBK" w:hAnsi="方正仿宋_GBK" w:eastAsia="方正仿宋_GBK" w:cs="方正仿宋_GBK"/>
          <w:color w:val="000000"/>
          <w:sz w:val="28"/>
          <w:szCs w:val="28"/>
          <w:highlight w:val="none"/>
        </w:rPr>
        <w:t xml:space="preserve">5.</w:t>
      </w:r>
      <w:r>
        <w:rPr>
          <w:rFonts w:hint="eastAsia" w:ascii="方正仿宋_GBK" w:hAnsi="方正仿宋_GBK" w:eastAsia="方正仿宋_GBK" w:cs="方正仿宋_GBK"/>
          <w:b/>
          <w:bCs/>
          <w:color w:val="000000"/>
          <w:sz w:val="28"/>
          <w:szCs w:val="28"/>
          <w:highlight w:val="none"/>
          <w:lang w:val="en-US" w:eastAsia="zh-CN"/>
        </w:rPr>
        <w:t xml:space="preserve">重要</w:t>
      </w:r>
      <w:r>
        <w:rPr>
          <w:rFonts w:hint="eastAsia" w:ascii="方正仿宋_GBK" w:hAnsi="方正仿宋_GBK" w:eastAsia="方正仿宋_GBK" w:cs="方正仿宋_GBK"/>
          <w:b/>
          <w:bCs/>
          <w:color w:val="000000"/>
          <w:sz w:val="28"/>
          <w:szCs w:val="28"/>
          <w:highlight w:val="none"/>
        </w:rPr>
        <w:t xml:space="preserve">活动保障服务</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（1）根据学院安排，参与校园大型活动（如开学典礼、毕业典礼、体育运动会、文化节等）的后勤保障工作；保障内容包括：现场保洁、秩序维护、垃圾分类清运、临时厕所设置与保洁等。</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（2）保障服务</w:t>
      </w:r>
      <w:r>
        <w:rPr>
          <w:rFonts w:hint="eastAsia" w:ascii="方正仿宋_GBK" w:hAnsi="方正仿宋_GBK" w:eastAsia="方正仿宋_GBK" w:cs="方正仿宋_GBK"/>
          <w:color w:val="000000"/>
          <w:sz w:val="28"/>
          <w:szCs w:val="28"/>
          <w:highlight w:val="none"/>
          <w:lang w:val="en-US" w:eastAsia="zh-CN"/>
        </w:rPr>
        <w:t xml:space="preserve">费用约5000元/年，请投标人报价时予以充分考虑（仅作参考，不作为报价依据），超出部分由采购人</w:t>
      </w:r>
      <w:r>
        <w:rPr>
          <w:rFonts w:hint="eastAsia" w:ascii="方正仿宋_GBK" w:hAnsi="方正仿宋_GBK" w:eastAsia="方正仿宋_GBK" w:cs="方正仿宋_GBK"/>
          <w:color w:val="000000"/>
          <w:sz w:val="28"/>
          <w:szCs w:val="28"/>
          <w:highlight w:val="none"/>
        </w:rPr>
        <w:t xml:space="preserve">按实结算，需事前经学院后勤基建处书面确认服务人数及时长。</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（3）活动结束后1.5小时内完成活动区域的现场清理，保证场地恢复整洁状态。</w:t>
      </w:r>
      <w:bookmarkEnd w:id="71"/>
      <w:r>
        <w:rPr>
          <w:highlight w:val="none"/>
        </w:rPr>
      </w:r>
      <w:r>
        <w:rPr>
          <w:highlight w:val="none"/>
        </w:rPr>
      </w:r>
    </w:p>
    <w:p>
      <w:pPr>
        <w:pStyle w:val="885"/>
        <w:ind w:firstLine="562"/>
        <w:spacing w:before="0" w:after="0" w:line="440" w:lineRule="exact"/>
        <w:rPr>
          <w:rFonts w:hint="eastAsia" w:ascii="方正仿宋_GBK" w:hAnsi="方正仿宋_GBK" w:eastAsia="方正仿宋_GBK" w:cs="方正仿宋_GBK"/>
          <w:color w:val="000000"/>
          <w:sz w:val="28"/>
          <w:szCs w:val="28"/>
          <w:highlight w:val="none"/>
        </w:rPr>
      </w:pPr>
      <w:r>
        <w:rPr>
          <w:highlight w:val="none"/>
        </w:rPr>
      </w:r>
      <w:bookmarkStart w:id="72" w:name="_Toc9074"/>
      <w:r>
        <w:rPr>
          <w:rFonts w:hint="eastAsia" w:ascii="方正仿宋_GBK" w:hAnsi="方正仿宋_GBK" w:eastAsia="方正仿宋_GBK" w:cs="方正仿宋_GBK"/>
          <w:color w:val="000000"/>
          <w:sz w:val="28"/>
          <w:szCs w:val="28"/>
          <w:highlight w:val="none"/>
        </w:rPr>
        <w:t xml:space="preserve">6.综合保障服务</w:t>
      </w:r>
      <w:bookmarkEnd w:id="72"/>
      <w:r>
        <w:rPr>
          <w:highlight w:val="none"/>
        </w:rPr>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（1）消毒与消杀：每周不少于1次对楼宇公共区域进行预防性消毒；每季度开展1次病媒生物综合消杀；建立消杀台账；</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（2）报修受理：加强巡查，发现问题及时报修并建立台账；</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（3）垃圾分类实施：按要求在各楼宇指定位置放置分类垃圾桶，引导垃圾分类投放，每日将各楼宇垃圾清运至校园集中点，做到日产日清。</w:t>
      </w:r>
      <w:r>
        <w:rPr>
          <w:highlight w:val="none"/>
        </w:rPr>
      </w:r>
    </w:p>
    <w:p>
      <w:pPr>
        <w:pStyle w:val="885"/>
        <w:ind w:firstLine="562"/>
        <w:spacing w:before="0" w:after="0" w:line="440" w:lineRule="exact"/>
        <w:rPr>
          <w:rFonts w:hint="eastAsia" w:ascii="方正仿宋_GBK" w:hAnsi="方正仿宋_GBK" w:eastAsia="方正仿宋_GBK" w:cs="方正仿宋_GBK"/>
          <w:color w:val="000000"/>
          <w:sz w:val="28"/>
          <w:szCs w:val="28"/>
          <w:highlight w:val="none"/>
        </w:rPr>
      </w:pPr>
      <w:r>
        <w:rPr>
          <w:highlight w:val="none"/>
        </w:rPr>
      </w:r>
      <w:bookmarkStart w:id="73" w:name="_Toc16150"/>
      <w:r>
        <w:rPr>
          <w:rFonts w:hint="eastAsia" w:ascii="方正仿宋_GBK" w:hAnsi="方正仿宋_GBK" w:eastAsia="方正仿宋_GBK" w:cs="方正仿宋_GBK"/>
          <w:color w:val="000000"/>
          <w:sz w:val="28"/>
          <w:szCs w:val="28"/>
          <w:highlight w:val="none"/>
          <w:lang w:val="en-US" w:eastAsia="zh-CN"/>
        </w:rPr>
        <w:t xml:space="preserve">7</w:t>
      </w:r>
      <w:r>
        <w:rPr>
          <w:rFonts w:hint="eastAsia" w:ascii="方正仿宋_GBK" w:hAnsi="方正仿宋_GBK" w:eastAsia="方正仿宋_GBK" w:cs="方正仿宋_GBK"/>
          <w:color w:val="000000"/>
          <w:sz w:val="28"/>
          <w:szCs w:val="28"/>
          <w:highlight w:val="none"/>
        </w:rPr>
        <w:t xml:space="preserve">.物资供应</w:t>
      </w:r>
      <w:bookmarkEnd w:id="73"/>
      <w:r>
        <w:rPr>
          <w:highlight w:val="none"/>
        </w:rPr>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（1）供应商须自行采购并保障弘毅楼各楼层卫生间大盘厕纸</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擦手抽纸</w:t>
      </w:r>
      <w:r>
        <w:rPr>
          <w:rFonts w:hint="eastAsia" w:ascii="方正仿宋_GBK" w:hAnsi="方正仿宋_GBK" w:eastAsia="方正仿宋_GBK" w:cs="方正仿宋_GBK"/>
          <w:color w:val="000000"/>
          <w:sz w:val="28"/>
          <w:szCs w:val="28"/>
          <w:highlight w:val="none"/>
        </w:rPr>
        <w:t xml:space="preserve">及洗手液的日常供应，采购人可定期抽查核实；</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（2）以上物资费用包含在标段合同价款内，供应商不得就物资费用另行收费；</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（3）保洁工具、清洁耗材、劳保用品等由供应商自行采购并承担费用。</w:t>
      </w:r>
      <w:r>
        <w:rPr>
          <w:highlight w:val="none"/>
        </w:rPr>
      </w:r>
    </w:p>
    <w:p>
      <w:pPr>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（4）投入至少一台电脑一台打印机、</w:t>
      </w:r>
      <w:r>
        <w:rPr>
          <w:rFonts w:hint="eastAsia" w:ascii="方正仿宋_GBK" w:hAnsi="方正仿宋_GBK" w:eastAsia="方正仿宋_GBK" w:cs="方正仿宋_GBK"/>
          <w:b/>
          <w:bCs/>
          <w:color w:val="ff0000"/>
          <w:sz w:val="28"/>
          <w:szCs w:val="28"/>
          <w:highlight w:val="none"/>
        </w:rPr>
        <w:t xml:space="preserve">4</w:t>
      </w:r>
      <w:r>
        <w:rPr>
          <w:rFonts w:hint="eastAsia" w:ascii="方正仿宋_GBK" w:hAnsi="方正仿宋_GBK" w:eastAsia="方正仿宋_GBK" w:cs="方正仿宋_GBK"/>
          <w:b/>
          <w:bCs/>
          <w:color w:val="000000"/>
          <w:sz w:val="28"/>
          <w:szCs w:val="28"/>
          <w:highlight w:val="none"/>
        </w:rPr>
        <w:t xml:space="preserve">辆清洁推车。</w:t>
      </w:r>
      <w:r>
        <w:rPr>
          <w:highlight w:val="none"/>
        </w:rPr>
      </w:r>
    </w:p>
    <w:p>
      <w:pPr>
        <w:ind w:firstLine="562"/>
        <w:spacing w:line="440" w:lineRule="exact"/>
        <w:rPr>
          <w:rFonts w:hint="eastAsia" w:ascii="方正仿宋_GBK" w:hAnsi="方正仿宋_GBK" w:eastAsia="方正仿宋_GBK" w:cs="方正仿宋_GBK"/>
          <w:b/>
          <w:bCs/>
          <w:color w:val="auto"/>
          <w:sz w:val="28"/>
          <w:szCs w:val="28"/>
          <w:highlight w:val="none"/>
        </w:rPr>
      </w:pPr>
      <w:r>
        <w:rPr>
          <w:highlight w:val="none"/>
        </w:rPr>
      </w:r>
      <w:bookmarkStart w:id="74" w:name="_Toc3394"/>
      <w:r>
        <w:rPr>
          <w:rFonts w:hint="eastAsia" w:ascii="方正仿宋_GBK" w:hAnsi="方正仿宋_GBK" w:eastAsia="方正仿宋_GBK" w:cs="方正仿宋_GBK"/>
          <w:b/>
          <w:bCs/>
          <w:color w:val="auto"/>
          <w:sz w:val="28"/>
          <w:szCs w:val="28"/>
          <w:highlight w:val="none"/>
          <w:lang w:val="en-US" w:eastAsia="zh-CN"/>
        </w:rPr>
        <w:t xml:space="preserve">8</w:t>
      </w:r>
      <w:r>
        <w:rPr>
          <w:rFonts w:hint="eastAsia" w:ascii="方正仿宋_GBK" w:hAnsi="方正仿宋_GBK" w:eastAsia="方正仿宋_GBK" w:cs="方正仿宋_GBK"/>
          <w:b/>
          <w:bCs/>
          <w:color w:val="auto"/>
          <w:sz w:val="28"/>
          <w:szCs w:val="28"/>
          <w:highlight w:val="none"/>
        </w:rPr>
        <w:t xml:space="preserve">.电梯年检服务配合</w:t>
      </w:r>
      <w:bookmarkEnd w:id="74"/>
      <w:r>
        <w:rPr>
          <w:highlight w:val="none"/>
        </w:rPr>
      </w:r>
      <w:r>
        <w:rPr>
          <w:highlight w:val="none"/>
        </w:rPr>
      </w:r>
    </w:p>
    <w:p>
      <w:pPr>
        <w:ind w:firstLine="560"/>
        <w:spacing w:line="4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（1）供应商须为本标段配备1名持有特种设备作业人员证（电梯方向）的专职电梯管理员，负责全院（含各标段）电梯年检工作的配合与协调</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并做好资料的整理与归档</w:t>
      </w:r>
      <w:r>
        <w:rPr>
          <w:rFonts w:hint="eastAsia" w:ascii="方正仿宋_GBK" w:hAnsi="方正仿宋_GBK" w:eastAsia="方正仿宋_GBK" w:cs="方正仿宋_GBK"/>
          <w:color w:val="auto"/>
          <w:sz w:val="28"/>
          <w:szCs w:val="28"/>
          <w:highlight w:val="none"/>
          <w:lang w:eastAsia="zh-CN"/>
        </w:rPr>
        <w:t xml:space="preserve">。</w:t>
      </w:r>
      <w:r>
        <w:rPr>
          <w:highlight w:val="none"/>
        </w:rPr>
      </w:r>
    </w:p>
    <w:p>
      <w:pPr>
        <w:pStyle w:val="885"/>
        <w:ind w:firstLine="562"/>
        <w:spacing w:before="0" w:after="0" w:line="440" w:lineRule="exact"/>
        <w:rPr>
          <w:rFonts w:hint="eastAsia" w:ascii="方正仿宋_GBK" w:hAnsi="方正仿宋_GBK" w:eastAsia="方正仿宋_GBK" w:cs="方正仿宋_GBK"/>
          <w:color w:val="000000"/>
          <w:sz w:val="28"/>
          <w:szCs w:val="28"/>
          <w:highlight w:val="none"/>
        </w:rPr>
      </w:pPr>
      <w:r>
        <w:rPr>
          <w:highlight w:val="none"/>
        </w:rPr>
      </w:r>
      <w:bookmarkStart w:id="75" w:name="_Toc2724"/>
      <w:r>
        <w:rPr>
          <w:rFonts w:hint="eastAsia" w:ascii="方正仿宋_GBK" w:hAnsi="方正仿宋_GBK" w:eastAsia="方正仿宋_GBK" w:cs="方正仿宋_GBK"/>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rPr>
        <w:t xml:space="preserve">.其他事项</w:t>
      </w:r>
      <w:bookmarkEnd w:id="75"/>
      <w:r>
        <w:rPr>
          <w:highlight w:val="none"/>
        </w:rPr>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（1）院办保洁员须每日6:00前到岗，确保主要领导办公区域的保洁在工作开始前完成；</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（2）弘毅楼安保人员，形象端庄，着统一制服上岗；</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（3）根据采购人需要，承担其他临时安排的合理保障工作；</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（4）重大节假日须保持正常服务，并按需安排节假日值班保障。</w:t>
      </w:r>
      <w:r>
        <w:rPr>
          <w:highlight w:val="none"/>
        </w:rPr>
      </w:r>
    </w:p>
    <w:p>
      <w:pPr>
        <w:ind w:firstLine="562"/>
        <w:spacing w:line="40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分包三：</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供应商须全面响应以下每一类服务内容及要求，制定详细的实施方案（含人员安排、作业频次、质量标准、应急预案等），作为投标文件的组成部分。</w:t>
      </w:r>
      <w:r>
        <w:rPr>
          <w:highlight w:val="none"/>
        </w:rPr>
      </w:r>
    </w:p>
    <w:p>
      <w:pPr>
        <w:pStyle w:val="885"/>
        <w:ind w:firstLine="562"/>
        <w:spacing w:before="0" w:after="0" w:line="440" w:lineRule="exact"/>
        <w:rPr>
          <w:rFonts w:hint="eastAsia" w:ascii="方正仿宋_GBK" w:hAnsi="方正仿宋_GBK" w:eastAsia="方正仿宋_GBK" w:cs="方正仿宋_GBK"/>
          <w:color w:val="000000"/>
          <w:sz w:val="28"/>
          <w:szCs w:val="28"/>
          <w:highlight w:val="none"/>
        </w:rPr>
      </w:pPr>
      <w:r>
        <w:rPr>
          <w:highlight w:val="none"/>
        </w:rPr>
      </w:r>
      <w:bookmarkStart w:id="76" w:name="_Toc23189"/>
      <w:r>
        <w:rPr>
          <w:rFonts w:hint="eastAsia" w:ascii="方正仿宋_GBK" w:hAnsi="方正仿宋_GBK" w:eastAsia="方正仿宋_GBK" w:cs="方正仿宋_GBK"/>
          <w:color w:val="000000"/>
          <w:sz w:val="28"/>
          <w:szCs w:val="28"/>
          <w:highlight w:val="none"/>
        </w:rPr>
        <w:t xml:space="preserve">1.各楼宇公共区域保洁及卫生间保洁</w:t>
      </w:r>
      <w:bookmarkEnd w:id="76"/>
      <w:r>
        <w:rPr>
          <w:highlight w:val="none"/>
        </w:rPr>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（1）每日对所有楼宇各楼层公共走廊、楼梯间、大厅、门厅、电梯厅等进行保洁（扫地、拖地），保持干净、无杂物、无积水、无污渍；每日不少于2次全面保洁。</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（2）每日对各楼宇全部卫生间进行不少于2次全面清洁消毒，消毒液、清洁剂等耗材由供应商自行采购，须符合环保及卫生标准。</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（3）每周对各楼宇公共区域门窗玻璃、扶手、告示栏等进行擦拭清洁；</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（4）每月对各楼宇公共区域墙面、顶棚进行深度清洁；</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（5）各楼宇垃圾每日清运至校园垃圾集中点，日产日清。</w:t>
      </w:r>
      <w:r>
        <w:rPr>
          <w:highlight w:val="none"/>
        </w:rPr>
      </w:r>
    </w:p>
    <w:p>
      <w:pPr>
        <w:pStyle w:val="885"/>
        <w:ind w:firstLine="562"/>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2.楼宇秩序巡视管理</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（1）安排巡查人员，每日在教学楼宇授课时间内开展不间断楼宇巡逻，维护教学秩序；</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（2）检查各教室门锁、窗户、空调、电扇、照明等设施的完好性及使用状态，下课后关闭教室电源、水源，防止浪费；</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（3）做好各楼宇早晚开门关门；</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（4）课后检查各教室门窗关闭情况，做到人离门锁；</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（5）每日检查教学楼安全出口、消防通道是否畅通；发现设施设备损坏及时报修并记录。</w:t>
      </w:r>
      <w:r>
        <w:rPr>
          <w:highlight w:val="none"/>
        </w:rPr>
      </w:r>
    </w:p>
    <w:p>
      <w:pPr>
        <w:pStyle w:val="885"/>
        <w:ind w:firstLine="562"/>
        <w:spacing w:before="0" w:after="0" w:line="440" w:lineRule="exact"/>
        <w:rPr>
          <w:rFonts w:hint="eastAsia" w:ascii="方正仿宋_GBK" w:hAnsi="方正仿宋_GBK" w:eastAsia="方正仿宋_GBK" w:cs="方正仿宋_GBK"/>
          <w:b w:val="0"/>
          <w:bCs w:val="0"/>
          <w:color w:val="000000"/>
          <w:sz w:val="28"/>
          <w:szCs w:val="28"/>
          <w:highlight w:val="none"/>
        </w:rPr>
      </w:pPr>
      <w:r>
        <w:rPr>
          <w:highlight w:val="none"/>
        </w:rPr>
      </w:r>
      <w:bookmarkStart w:id="77" w:name="_Toc19576"/>
      <w:r>
        <w:rPr>
          <w:rFonts w:hint="eastAsia" w:ascii="方正仿宋_GBK" w:hAnsi="方正仿宋_GBK" w:eastAsia="方正仿宋_GBK" w:cs="方正仿宋_GBK"/>
          <w:color w:val="000000"/>
          <w:sz w:val="28"/>
          <w:szCs w:val="28"/>
          <w:highlight w:val="none"/>
        </w:rPr>
        <w:t xml:space="preserve">3.公共教室物资供应</w:t>
      </w:r>
      <w:bookmarkEnd w:id="77"/>
      <w:r>
        <w:rPr>
          <w:highlight w:val="none"/>
        </w:rPr>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（1）供应商负责所有教学楼宇公共教室的粉笔和黑板擦的日常补充与供应；</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（2）粉笔和黑板擦的采购费用包含在合同价款内，供应商不得另行收费；</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（3）保洁工具、清洁耗材、劳保用品等由供应商自行采购并承担费用。</w:t>
      </w:r>
      <w:r>
        <w:rPr>
          <w:highlight w:val="none"/>
        </w:rPr>
      </w:r>
    </w:p>
    <w:p>
      <w:pPr>
        <w:ind w:firstLine="562"/>
        <w:spacing w:line="440" w:lineRule="exact"/>
        <w:rPr>
          <w:rFonts w:hint="eastAsia" w:ascii="方正仿宋_GBK" w:hAnsi="方正仿宋_GBK" w:eastAsia="方正仿宋_GBK" w:cs="方正仿宋_GBK"/>
          <w:b w:val="0"/>
          <w:bCs w:val="0"/>
          <w:color w:val="000000"/>
          <w:sz w:val="28"/>
          <w:szCs w:val="28"/>
          <w:highlight w:val="none"/>
        </w:rPr>
      </w:pPr>
      <w:r>
        <w:rPr>
          <w:rFonts w:hint="eastAsia" w:ascii="方正仿宋_GBK" w:hAnsi="方正仿宋_GBK" w:eastAsia="方正仿宋_GBK" w:cs="方正仿宋_GBK"/>
          <w:b w:val="0"/>
          <w:bCs w:val="0"/>
          <w:color w:val="000000"/>
          <w:sz w:val="28"/>
          <w:szCs w:val="28"/>
          <w:highlight w:val="none"/>
        </w:rPr>
        <w:t xml:space="preserve">（4）投入至少一台电脑一台打印机、</w:t>
      </w:r>
      <w:r>
        <w:rPr>
          <w:rFonts w:hint="eastAsia" w:ascii="方正仿宋_GBK" w:hAnsi="方正仿宋_GBK" w:eastAsia="方正仿宋_GBK" w:cs="方正仿宋_GBK"/>
          <w:b w:val="0"/>
          <w:bCs w:val="0"/>
          <w:color w:val="ff0000"/>
          <w:sz w:val="28"/>
          <w:szCs w:val="28"/>
          <w:highlight w:val="none"/>
        </w:rPr>
        <w:t xml:space="preserve">8</w:t>
      </w:r>
      <w:r>
        <w:rPr>
          <w:rFonts w:hint="eastAsia" w:ascii="方正仿宋_GBK" w:hAnsi="方正仿宋_GBK" w:eastAsia="方正仿宋_GBK" w:cs="方正仿宋_GBK"/>
          <w:b w:val="0"/>
          <w:bCs w:val="0"/>
          <w:color w:val="000000"/>
          <w:sz w:val="28"/>
          <w:szCs w:val="28"/>
          <w:highlight w:val="none"/>
        </w:rPr>
        <w:t xml:space="preserve">辆清洁推车。</w:t>
      </w:r>
      <w:bookmarkStart w:id="78" w:name="_Toc8506"/>
      <w:r>
        <w:rPr>
          <w:highlight w:val="none"/>
        </w:rPr>
      </w:r>
      <w:r>
        <w:rPr>
          <w:highlight w:val="none"/>
        </w:rPr>
      </w:r>
    </w:p>
    <w:p>
      <w:pPr>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4.路桥实训</w:t>
      </w:r>
      <w:bookmarkEnd w:id="78"/>
      <w:r>
        <w:rPr>
          <w:rFonts w:hint="eastAsia" w:ascii="方正仿宋_GBK" w:hAnsi="方正仿宋_GBK" w:eastAsia="方正仿宋_GBK" w:cs="方正仿宋_GBK"/>
          <w:b/>
          <w:bCs/>
          <w:color w:val="000000"/>
          <w:sz w:val="28"/>
          <w:szCs w:val="28"/>
          <w:highlight w:val="none"/>
        </w:rPr>
        <w:t xml:space="preserve">人员</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（1）路桥实训基地配备专职实训员3名，须经路桥学院实训管理部门认可。</w:t>
      </w:r>
      <w:r>
        <w:rPr>
          <w:highlight w:val="none"/>
        </w:rPr>
      </w:r>
    </w:p>
    <w:p>
      <w:pPr>
        <w:ind w:firstLine="562"/>
        <w:spacing w:line="440" w:lineRule="exact"/>
        <w:rPr>
          <w:rFonts w:hint="eastAsia" w:ascii="方正仿宋_GBK" w:hAnsi="方正仿宋_GBK" w:eastAsia="方正仿宋_GBK" w:cs="方正仿宋_GBK"/>
          <w:b/>
          <w:bCs/>
          <w:color w:val="000000"/>
          <w:sz w:val="28"/>
          <w:szCs w:val="28"/>
          <w:highlight w:val="none"/>
        </w:rPr>
      </w:pPr>
      <w:r>
        <w:rPr>
          <w:highlight w:val="none"/>
        </w:rPr>
      </w:r>
      <w:bookmarkStart w:id="79" w:name="_Toc4254"/>
      <w:r>
        <w:rPr>
          <w:rFonts w:hint="eastAsia" w:ascii="方正仿宋_GBK" w:hAnsi="方正仿宋_GBK" w:eastAsia="方正仿宋_GBK" w:cs="方正仿宋_GBK"/>
          <w:b/>
          <w:bCs/>
          <w:color w:val="000000"/>
          <w:sz w:val="28"/>
          <w:szCs w:val="28"/>
          <w:highlight w:val="none"/>
        </w:rPr>
        <w:t xml:space="preserve">5.</w:t>
      </w:r>
      <w:r>
        <w:rPr>
          <w:rFonts w:hint="eastAsia" w:ascii="方正仿宋_GBK" w:hAnsi="方正仿宋_GBK" w:eastAsia="方正仿宋_GBK" w:cs="方正仿宋_GBK"/>
          <w:b/>
          <w:bCs/>
          <w:color w:val="000000"/>
          <w:sz w:val="28"/>
          <w:szCs w:val="28"/>
          <w:highlight w:val="none"/>
          <w:lang w:val="en-US" w:eastAsia="zh-CN"/>
        </w:rPr>
        <w:t xml:space="preserve">重要</w:t>
      </w:r>
      <w:r>
        <w:rPr>
          <w:rFonts w:hint="eastAsia" w:ascii="方正仿宋_GBK" w:hAnsi="方正仿宋_GBK" w:eastAsia="方正仿宋_GBK" w:cs="方正仿宋_GBK"/>
          <w:b/>
          <w:bCs/>
          <w:color w:val="000000"/>
          <w:sz w:val="28"/>
          <w:szCs w:val="28"/>
          <w:highlight w:val="none"/>
        </w:rPr>
        <w:t xml:space="preserve">活动保障服务</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（1）根据学院安排，参与校园大型活动（如开学典礼、毕业典礼、体育运动会、文化节等）的后勤保障工作；保障内容包括：现场保洁、秩序维护、垃圾分类清运、临时厕所设置与保洁等。</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（2）保障服务</w:t>
      </w:r>
      <w:r>
        <w:rPr>
          <w:rFonts w:hint="eastAsia" w:ascii="方正仿宋_GBK" w:hAnsi="方正仿宋_GBK" w:eastAsia="方正仿宋_GBK" w:cs="方正仿宋_GBK"/>
          <w:color w:val="000000"/>
          <w:sz w:val="28"/>
          <w:szCs w:val="28"/>
          <w:highlight w:val="none"/>
          <w:lang w:val="en-US" w:eastAsia="zh-CN"/>
        </w:rPr>
        <w:t xml:space="preserve">费用约5000元/年，请投标人报价时予以充分考虑（仅作参考，不作为报价依据），超出部分由采购人</w:t>
      </w:r>
      <w:r>
        <w:rPr>
          <w:rFonts w:hint="eastAsia" w:ascii="方正仿宋_GBK" w:hAnsi="方正仿宋_GBK" w:eastAsia="方正仿宋_GBK" w:cs="方正仿宋_GBK"/>
          <w:color w:val="000000"/>
          <w:sz w:val="28"/>
          <w:szCs w:val="28"/>
          <w:highlight w:val="none"/>
        </w:rPr>
        <w:t xml:space="preserve">按实结算，需事前经学院后勤基建处书面确认服务人数及时长。</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（3）活动结束后1.5小时内完成活动区域的现场清理，保证场地恢复整洁状态。</w:t>
      </w:r>
      <w:r>
        <w:rPr>
          <w:highlight w:val="none"/>
        </w:rPr>
      </w:r>
    </w:p>
    <w:p>
      <w:pPr>
        <w:pStyle w:val="885"/>
        <w:ind w:firstLine="562"/>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6.</w:t>
      </w:r>
      <w:r>
        <w:rPr>
          <w:rFonts w:hint="eastAsia" w:ascii="方正仿宋_GBK" w:hAnsi="方正仿宋_GBK" w:eastAsia="方正仿宋_GBK" w:cs="方正仿宋_GBK"/>
          <w:color w:val="000000"/>
          <w:sz w:val="28"/>
          <w:szCs w:val="28"/>
          <w:highlight w:val="none"/>
        </w:rPr>
        <w:t xml:space="preserve">综合保障服务</w:t>
      </w:r>
      <w:bookmarkEnd w:id="79"/>
      <w:r>
        <w:rPr>
          <w:highlight w:val="none"/>
        </w:rPr>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消毒与消杀：每周不少于1次对楼宇公共区域（含楼梯间、电梯厅等）进行预防性消毒；每季度开展1次病媒生物（蚊、蝇、蟑螂、鼠）综合消杀；公共卫生事件发生时配合专业机构开展应急消毒；做好消毒消杀记录台账。</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（2）报修响应：设立楼宇报修登记台账，发现问题及时报修，建立报修处理台账。</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（3）公共设施维护：汇贤楼组团范围内的公共区域桌椅、公告栏、垃圾桶、分类设施等小型设施的日常维护与保洁；发现损坏及时报修。</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（4）垃圾外运配合：协助垃圾清运人员将汇贤楼组团垃圾集中至校园收集点，保持垃圾集中点周边整洁。</w:t>
      </w:r>
      <w:r>
        <w:rPr>
          <w:highlight w:val="none"/>
        </w:rPr>
      </w:r>
    </w:p>
    <w:p>
      <w:pPr>
        <w:ind w:firstLine="562"/>
        <w:spacing w:line="40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分包四：</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供应商须全面响应以下每一类服务内容及要求，制定详细的实施方案（含人员安排、作业频次、质量标准、应急预案等），作为投标文件的组成部分。</w:t>
      </w:r>
      <w:r>
        <w:rPr>
          <w:highlight w:val="none"/>
        </w:rPr>
      </w:r>
    </w:p>
    <w:p>
      <w:pPr>
        <w:ind w:firstLine="562"/>
        <w:spacing w:line="440" w:lineRule="exact"/>
        <w:rPr>
          <w:rFonts w:hint="eastAsia" w:ascii="方正仿宋_GBK" w:hAnsi="方正仿宋_GBK" w:eastAsia="方正仿宋_GBK" w:cs="方正仿宋_GBK"/>
          <w:b/>
          <w:bCs/>
          <w:color w:val="000000"/>
          <w:sz w:val="28"/>
          <w:szCs w:val="28"/>
          <w:highlight w:val="none"/>
        </w:rPr>
      </w:pPr>
      <w:r>
        <w:rPr>
          <w:highlight w:val="none"/>
        </w:rPr>
      </w:r>
      <w:bookmarkStart w:id="80" w:name="_Toc22425"/>
      <w:r>
        <w:rPr>
          <w:rFonts w:hint="eastAsia" w:ascii="方正仿宋_GBK" w:hAnsi="方正仿宋_GBK" w:eastAsia="方正仿宋_GBK" w:cs="方正仿宋_GBK"/>
          <w:b/>
          <w:bCs/>
          <w:color w:val="000000"/>
          <w:sz w:val="28"/>
          <w:szCs w:val="28"/>
          <w:highlight w:val="none"/>
        </w:rPr>
        <w:t xml:space="preserve">1.室外公共区域保洁</w:t>
      </w:r>
      <w:bookmarkEnd w:id="80"/>
      <w:r>
        <w:rPr>
          <w:highlight w:val="none"/>
        </w:rPr>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（1）每日对校园主干道、广场、步行道路进行清扫不少于2次，全天保持路面干净，无杂物、无积水、无泥沙；</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（2）每日清扫操场及室外实训场地，赛事及大型活动前后须加强清扫频次；</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（3）校园4个大门实行</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门前三包</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管理，每日不少于2次清扫门前区域（含台阶、停车区、绿化带边缘等），保持门前整洁有序；</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（4）每日对绿地内进行巡查，清除绿地中的杂物、垃圾，防止绿地被改变用途或被踩踏、占用；</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（5）大雪天气：及时组织人员清扫主要道路、大门区域的积雪，撒融雪剂，保障通行安全；恶劣天气前后加强设施设备和绿化的巡查工作；</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（6）节假日及大型活动期间，根据采购人需求增加保洁频次和人员投入，确保校园环境整洁，临时投入人员需投标人自行承担费用；</w:t>
      </w:r>
      <w:r>
        <w:rPr>
          <w:highlight w:val="none"/>
        </w:rPr>
      </w:r>
    </w:p>
    <w:p>
      <w:pPr>
        <w:ind w:firstLine="562"/>
        <w:spacing w:line="440" w:lineRule="exact"/>
        <w:rPr>
          <w:rFonts w:hint="eastAsia" w:ascii="方正仿宋_GBK" w:hAnsi="方正仿宋_GBK" w:eastAsia="方正仿宋_GBK" w:cs="方正仿宋_GBK"/>
          <w:b/>
          <w:bCs/>
          <w:color w:val="000000"/>
          <w:sz w:val="28"/>
          <w:szCs w:val="28"/>
          <w:highlight w:val="none"/>
        </w:rPr>
      </w:pPr>
      <w:r>
        <w:rPr>
          <w:highlight w:val="none"/>
        </w:rPr>
      </w:r>
      <w:bookmarkStart w:id="81" w:name="_Toc28859"/>
      <w:r>
        <w:rPr>
          <w:rFonts w:hint="eastAsia" w:ascii="方正仿宋_GBK" w:hAnsi="方正仿宋_GBK" w:eastAsia="方正仿宋_GBK" w:cs="方正仿宋_GBK"/>
          <w:b/>
          <w:bCs/>
          <w:color w:val="000000"/>
          <w:sz w:val="28"/>
          <w:szCs w:val="28"/>
          <w:highlight w:val="none"/>
        </w:rPr>
        <w:t xml:space="preserve">2.绿化养护管理</w:t>
      </w:r>
      <w:bookmarkEnd w:id="81"/>
      <w:r>
        <w:rPr>
          <w:highlight w:val="none"/>
        </w:rPr>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绿化养护执行南京市园林绿化养护分级标准，具体如下：</w:t>
      </w:r>
      <w:r>
        <w:rPr>
          <w:highlight w:val="none"/>
        </w:rPr>
      </w:r>
    </w:p>
    <w:tbl>
      <w:tblPr>
        <w:tblStyle w:val="711"/>
        <w:tblW w:w="476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4141"/>
        <w:gridCol w:w="2389"/>
      </w:tblGrid>
      <w:tr>
        <w:trPr>
          <w:trHeight w:val="406"/>
        </w:trPr>
        <w:tc>
          <w:tcPr>
            <w:shd w:val="clear" w:color="auto" w:fill="2e5fa3"/>
            <w:tcW w:w="1167" w:type="dxa"/>
            <w:vAlign w:val="center"/>
            <w:textDirection w:val="lrTb"/>
            <w:noWrap w:val="false"/>
          </w:tcPr>
          <w:p>
            <w:pPr>
              <w:jc w:val="center"/>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养护等级</w:t>
            </w:r>
            <w:r>
              <w:rPr>
                <w:highlight w:val="none"/>
              </w:rPr>
            </w:r>
          </w:p>
        </w:tc>
        <w:tc>
          <w:tcPr>
            <w:shd w:val="clear" w:color="auto" w:fill="2e5fa3"/>
            <w:tcW w:w="2430" w:type="dxa"/>
            <w:vAlign w:val="center"/>
            <w:textDirection w:val="lrTb"/>
            <w:noWrap w:val="false"/>
          </w:tcPr>
          <w:p>
            <w:pPr>
              <w:jc w:val="center"/>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区域范围</w:t>
            </w:r>
            <w:r>
              <w:rPr>
                <w:highlight w:val="none"/>
              </w:rPr>
            </w:r>
          </w:p>
        </w:tc>
        <w:tc>
          <w:tcPr>
            <w:shd w:val="clear" w:color="auto" w:fill="2e5fa3"/>
            <w:tcW w:w="1402" w:type="dxa"/>
            <w:vAlign w:val="center"/>
            <w:textDirection w:val="lrTb"/>
            <w:noWrap w:val="false"/>
          </w:tcPr>
          <w:p>
            <w:pPr>
              <w:jc w:val="center"/>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面积（约）</w:t>
            </w:r>
            <w:r>
              <w:rPr>
                <w:highlight w:val="none"/>
              </w:rPr>
            </w:r>
          </w:p>
        </w:tc>
      </w:tr>
      <w:tr>
        <w:trPr>
          <w:trHeight w:val="723"/>
        </w:trPr>
        <w:tc>
          <w:tcPr>
            <w:tcW w:w="1167"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二级养护</w:t>
            </w:r>
            <w:r>
              <w:rPr>
                <w:highlight w:val="none"/>
              </w:rPr>
            </w:r>
          </w:p>
        </w:tc>
        <w:tc>
          <w:tcPr>
            <w:tcW w:w="2430"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西大门口景观区、风华广场、弘毅楼周边主干道沿线</w:t>
            </w:r>
            <w:r>
              <w:rPr>
                <w:highlight w:val="none"/>
              </w:rPr>
            </w:r>
          </w:p>
        </w:tc>
        <w:tc>
          <w:tcPr>
            <w:tcW w:w="1402"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约6万㎡</w:t>
            </w:r>
            <w:r>
              <w:rPr>
                <w:highlight w:val="none"/>
              </w:rPr>
            </w:r>
          </w:p>
        </w:tc>
      </w:tr>
      <w:tr>
        <w:trPr>
          <w:trHeight w:val="911"/>
        </w:trPr>
        <w:tc>
          <w:tcPr>
            <w:shd w:val="clear" w:color="auto" w:fill="eef2fa"/>
            <w:tcW w:w="1167"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三级养护</w:t>
            </w:r>
            <w:r>
              <w:rPr>
                <w:highlight w:val="none"/>
              </w:rPr>
            </w:r>
          </w:p>
        </w:tc>
        <w:tc>
          <w:tcPr>
            <w:shd w:val="clear" w:color="auto" w:fill="eef2fa"/>
            <w:tcW w:w="2430"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西组团教学楼之间、食堂周边、学生公寓组团之间等</w:t>
            </w:r>
            <w:r>
              <w:rPr>
                <w:highlight w:val="none"/>
              </w:rPr>
            </w:r>
          </w:p>
        </w:tc>
        <w:tc>
          <w:tcPr>
            <w:shd w:val="clear" w:color="auto" w:fill="eef2fa"/>
            <w:tcW w:w="1402"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约18万㎡</w:t>
            </w:r>
            <w:r>
              <w:rPr>
                <w:highlight w:val="none"/>
              </w:rPr>
            </w:r>
          </w:p>
        </w:tc>
      </w:tr>
    </w:tbl>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绿化养护主要作业内容：</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（1）除草：绿地内每月组织不少于1次全面人工或机械除草，</w:t>
      </w:r>
      <w:r>
        <w:rPr>
          <w:rFonts w:hint="eastAsia" w:ascii="方正仿宋_GBK" w:hAnsi="方正仿宋_GBK" w:eastAsia="方正仿宋_GBK" w:cs="方正仿宋_GBK"/>
          <w:color w:val="000000"/>
          <w:sz w:val="28"/>
          <w:szCs w:val="28"/>
          <w:highlight w:val="none"/>
          <w:lang w:val="en-US" w:eastAsia="zh-CN"/>
        </w:rPr>
        <w:t xml:space="preserve">清除</w:t>
      </w:r>
      <w:r>
        <w:rPr>
          <w:rFonts w:hint="eastAsia" w:ascii="方正仿宋_GBK" w:hAnsi="方正仿宋_GBK" w:eastAsia="方正仿宋_GBK" w:cs="方正仿宋_GBK"/>
          <w:color w:val="000000"/>
          <w:sz w:val="28"/>
          <w:szCs w:val="28"/>
          <w:highlight w:val="none"/>
        </w:rPr>
        <w:t xml:space="preserve">杂草，防止侵害绿植；</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（2）修剪整形：乔木每年秋季进行冠型整形修剪（须由专业人员操作，使用高空作业车等安全设备）；灌木及绿篱每年不少于4次修剪，保持造型整齐美观；草坪修剪每月1次，春夏季需每周进行草坪修剪；</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（3）施肥灌溉：依据植物生长季节和天气情况，定时灌溉；春、秋各施1次复合肥；干旱季节每周不少于3次灌溉；</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（4）病虫害防治：3月至11月每月开展绿化消杀（使用符合安全标准的农药及喷洒设备）；</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（5）花卉管理：清除花坛、花景内的花蒂、黄叶、杂草、垃圾，保持花坛整洁；</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（6）预留空地花海种植：按学院安排，每年在预留空地播种花卉（1年3季，秋冬季清杂），品种和播种期以学院确认为准；</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（7）冬季黑麦草播种及养护：约6万㎡冬季草坪黑麦草播种（时间约10月中下旬），播种、施肥、灌溉及日常养护；</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（8）迎新草花布置：每年新生入学前，按学院要求对主要区域进行草花摆放及布置；</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（9）会议室绿植摆放：根据学院安排，在弘毅楼、图文楼等主要会议室、报告厅摆放绿植；</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（10）水系管理：水池（人工湖）水面定期清理，清除枯枝落叶及漂浮垃圾，保持水质清洁；</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（11）恶劣天气应急：大风、暴雨、冰冻等恶劣天气前，对绿植做好加固、防护措施，天气过后及时清除倒树断枝，修复受损绿化；</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（12）枯死补种：养护期内，如因供应商养护不当导致绿植枯死，供应商须按学院后勤基建处清单，自费补种同规格绿植。</w:t>
      </w:r>
      <w:r>
        <w:rPr>
          <w:highlight w:val="none"/>
        </w:rPr>
      </w:r>
    </w:p>
    <w:p>
      <w:pPr>
        <w:ind w:firstLine="562"/>
        <w:spacing w:line="440" w:lineRule="exact"/>
        <w:rPr>
          <w:rFonts w:hint="eastAsia" w:ascii="方正仿宋_GBK" w:hAnsi="方正仿宋_GBK" w:eastAsia="方正仿宋_GBK" w:cs="方正仿宋_GBK"/>
          <w:b/>
          <w:bCs/>
          <w:color w:val="000000"/>
          <w:sz w:val="28"/>
          <w:szCs w:val="28"/>
          <w:highlight w:val="none"/>
        </w:rPr>
      </w:pPr>
      <w:r>
        <w:rPr>
          <w:highlight w:val="none"/>
        </w:rPr>
      </w:r>
      <w:bookmarkStart w:id="82" w:name="_Toc28214"/>
      <w:r>
        <w:rPr>
          <w:rFonts w:hint="eastAsia" w:ascii="方正仿宋_GBK" w:hAnsi="方正仿宋_GBK" w:eastAsia="方正仿宋_GBK" w:cs="方正仿宋_GBK"/>
          <w:b/>
          <w:bCs/>
          <w:color w:val="000000"/>
          <w:sz w:val="28"/>
          <w:szCs w:val="28"/>
          <w:highlight w:val="none"/>
        </w:rPr>
        <w:t xml:space="preserve">3.天鹅饲养管理</w:t>
      </w:r>
      <w:bookmarkEnd w:id="82"/>
      <w:r>
        <w:rPr>
          <w:highlight w:val="none"/>
        </w:rPr>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（1）供应商须配备天鹅养殖员1名，负责学院人工湖内天鹅的日常饲养管理；</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（2）日常工作：定时投喂饲料、湖面环境巡视、天鹅健康观察（发现异常及时报告采购人联系专业兽医）；</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（3）依据有关规定，定期开展天鹅防疫（疫苗接种等）；</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（4）配合学院开展天鹅文化科普活动的相关后勤保障工作；</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（5）如天鹅因意外死亡，供应商须第一时间向采购人报告，并配合后续处理；因供应商管理不当造成的损失，由供应商承补齐天鹅数量。</w:t>
      </w:r>
      <w:r>
        <w:rPr>
          <w:highlight w:val="none"/>
        </w:rPr>
      </w:r>
    </w:p>
    <w:p>
      <w:pPr>
        <w:ind w:firstLine="562"/>
        <w:spacing w:line="440" w:lineRule="exact"/>
        <w:rPr>
          <w:rFonts w:hint="eastAsia" w:ascii="方正仿宋_GBK" w:hAnsi="方正仿宋_GBK" w:eastAsia="方正仿宋_GBK" w:cs="方正仿宋_GBK"/>
          <w:b/>
          <w:bCs/>
          <w:color w:val="000000"/>
          <w:sz w:val="28"/>
          <w:szCs w:val="28"/>
          <w:highlight w:val="none"/>
        </w:rPr>
      </w:pPr>
      <w:r>
        <w:rPr>
          <w:highlight w:val="none"/>
        </w:rPr>
      </w:r>
      <w:bookmarkStart w:id="83" w:name="_Toc9621"/>
      <w:r>
        <w:rPr>
          <w:rFonts w:hint="eastAsia" w:ascii="方正仿宋_GBK" w:hAnsi="方正仿宋_GBK" w:eastAsia="方正仿宋_GBK" w:cs="方正仿宋_GBK"/>
          <w:b/>
          <w:bCs/>
          <w:color w:val="000000"/>
          <w:sz w:val="28"/>
          <w:szCs w:val="28"/>
          <w:highlight w:val="none"/>
        </w:rPr>
        <w:t xml:space="preserve">4.垃圾分类与清运</w:t>
      </w:r>
      <w:bookmarkEnd w:id="83"/>
      <w:r>
        <w:rPr>
          <w:highlight w:val="none"/>
        </w:rPr>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（1）负责全校园室外公共区域的分类垃圾桶配置、标识张贴（按南京市垃圾分类规定执行）及日常维护；</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（2）每日对校园内各垃圾收集点进行清运，做到垃圾不过夜；</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（3）负责校园生活垃圾的分类收集与外运（与具备资质的清运单位对接，相关对接协调费用包含在合同价款内）；</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（4）垃圾中转房每日清洁，保持整洁卫生；</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（5）驾校化粪池定期清理及外运。</w:t>
      </w:r>
      <w:r>
        <w:rPr>
          <w:highlight w:val="none"/>
        </w:rPr>
      </w:r>
    </w:p>
    <w:p>
      <w:pPr>
        <w:ind w:firstLine="562"/>
        <w:spacing w:line="440" w:lineRule="exact"/>
        <w:rPr>
          <w:rFonts w:hint="eastAsia" w:ascii="方正仿宋_GBK" w:hAnsi="方正仿宋_GBK" w:eastAsia="方正仿宋_GBK" w:cs="方正仿宋_GBK"/>
          <w:b/>
          <w:bCs/>
          <w:color w:val="000000"/>
          <w:sz w:val="28"/>
          <w:szCs w:val="28"/>
          <w:highlight w:val="none"/>
        </w:rPr>
      </w:pPr>
      <w:r>
        <w:rPr>
          <w:highlight w:val="none"/>
        </w:rPr>
      </w:r>
      <w:bookmarkStart w:id="84" w:name="_Toc4278"/>
      <w:r>
        <w:rPr>
          <w:rFonts w:hint="eastAsia" w:ascii="方正仿宋_GBK" w:hAnsi="方正仿宋_GBK" w:eastAsia="方正仿宋_GBK" w:cs="方正仿宋_GBK"/>
          <w:b/>
          <w:bCs/>
          <w:color w:val="000000"/>
          <w:sz w:val="28"/>
          <w:szCs w:val="28"/>
          <w:highlight w:val="none"/>
        </w:rPr>
        <w:t xml:space="preserve">5.校园设施巡查与报修</w:t>
      </w:r>
      <w:bookmarkEnd w:id="84"/>
      <w:r>
        <w:rPr>
          <w:highlight w:val="none"/>
        </w:rPr>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（1）对校园绿地范围内的公共设施进行巡查，发现问题立即报修并记录；</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（2）建立巡查台账，详细记录巡查时间、路线、发现问题、报修情况等，每月向学院后勤基建处报送。</w:t>
      </w:r>
      <w:r>
        <w:rPr>
          <w:highlight w:val="none"/>
        </w:rPr>
      </w:r>
    </w:p>
    <w:p>
      <w:pPr>
        <w:ind w:firstLine="562"/>
        <w:spacing w:line="440" w:lineRule="exact"/>
        <w:rPr>
          <w:rFonts w:hint="eastAsia" w:ascii="方正仿宋_GBK" w:hAnsi="方正仿宋_GBK" w:eastAsia="方正仿宋_GBK" w:cs="方正仿宋_GBK"/>
          <w:b/>
          <w:bCs/>
          <w:color w:val="000000"/>
          <w:sz w:val="28"/>
          <w:szCs w:val="28"/>
          <w:highlight w:val="none"/>
        </w:rPr>
      </w:pPr>
      <w:r>
        <w:rPr>
          <w:highlight w:val="none"/>
        </w:rPr>
      </w:r>
      <w:bookmarkStart w:id="85" w:name="_Toc31112"/>
      <w:r>
        <w:rPr>
          <w:rFonts w:hint="eastAsia" w:ascii="方正仿宋_GBK" w:hAnsi="方正仿宋_GBK" w:eastAsia="方正仿宋_GBK" w:cs="方正仿宋_GBK"/>
          <w:b/>
          <w:bCs/>
          <w:color w:val="000000"/>
          <w:sz w:val="28"/>
          <w:szCs w:val="28"/>
          <w:highlight w:val="none"/>
        </w:rPr>
        <w:t xml:space="preserve">6.防汛及应急保障</w:t>
      </w:r>
      <w:bookmarkEnd w:id="85"/>
      <w:r>
        <w:rPr>
          <w:highlight w:val="none"/>
        </w:rPr>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（1）每年汛期（一般6-9月）前制定防汛应急预案，储备防汛物资（沙袋、抽水泵等）；</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（2）强降雨期间，供应商须安排人员24小时待命，随时处理校园积水、道路积涝等问题；</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（3）发生大型自然灾害（台风、暴雪等）时，按学院启动的应急预案要求，迅速组织人员开展应急保障工作；</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（4）应急响应时间：接到应急指令后，主要人员45分钟内到位，全员1小时内到位。</w:t>
      </w:r>
      <w:r>
        <w:rPr>
          <w:highlight w:val="none"/>
        </w:rPr>
      </w:r>
    </w:p>
    <w:p>
      <w:pPr>
        <w:ind w:firstLine="562"/>
        <w:spacing w:line="440" w:lineRule="exact"/>
        <w:rPr>
          <w:rFonts w:hint="eastAsia" w:ascii="方正仿宋_GBK" w:hAnsi="方正仿宋_GBK" w:eastAsia="方正仿宋_GBK" w:cs="方正仿宋_GBK"/>
          <w:b/>
          <w:bCs/>
          <w:color w:val="000000"/>
          <w:sz w:val="28"/>
          <w:szCs w:val="28"/>
          <w:highlight w:val="none"/>
        </w:rPr>
      </w:pPr>
      <w:r>
        <w:rPr>
          <w:highlight w:val="none"/>
        </w:rPr>
      </w:r>
      <w:bookmarkStart w:id="86" w:name="_Toc26278"/>
      <w:r>
        <w:rPr>
          <w:rFonts w:hint="eastAsia" w:ascii="方正仿宋_GBK" w:hAnsi="方正仿宋_GBK" w:eastAsia="方正仿宋_GBK" w:cs="方正仿宋_GBK"/>
          <w:b/>
          <w:bCs/>
          <w:color w:val="000000"/>
          <w:sz w:val="28"/>
          <w:szCs w:val="28"/>
          <w:highlight w:val="none"/>
        </w:rPr>
        <w:t xml:space="preserve">7.绿化养护分级标准（详表）</w:t>
      </w:r>
      <w:bookmarkEnd w:id="86"/>
      <w:r>
        <w:rPr>
          <w:highlight w:val="none"/>
        </w:rPr>
      </w:r>
      <w:r>
        <w:rPr>
          <w:highlight w:val="none"/>
        </w:rPr>
      </w:r>
    </w:p>
    <w:tbl>
      <w:tblPr>
        <w:tblStyle w:val="711"/>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08"/>
        <w:gridCol w:w="3464"/>
        <w:gridCol w:w="3567"/>
      </w:tblGrid>
      <w:tr>
        <w:trPr>
          <w:trHeight w:val="358"/>
        </w:trPr>
        <w:tc>
          <w:tcPr>
            <w:shd w:val="clear" w:color="auto" w:fill="2e5fa3"/>
            <w:tcW w:w="1067" w:type="dxa"/>
            <w:vAlign w:val="top"/>
            <w:textDirection w:val="lrTb"/>
            <w:noWrap w:val="false"/>
          </w:tcPr>
          <w:p>
            <w:pPr>
              <w:jc w:val="center"/>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养护项目</w:t>
            </w:r>
            <w:r>
              <w:rPr>
                <w:highlight w:val="none"/>
              </w:rPr>
            </w:r>
          </w:p>
        </w:tc>
        <w:tc>
          <w:tcPr>
            <w:shd w:val="clear" w:color="auto" w:fill="2e5fa3"/>
            <w:tcW w:w="1937" w:type="dxa"/>
            <w:vAlign w:val="top"/>
            <w:textDirection w:val="lrTb"/>
            <w:noWrap w:val="false"/>
          </w:tcPr>
          <w:p>
            <w:pPr>
              <w:jc w:val="center"/>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二级养护标准</w:t>
            </w:r>
            <w:r>
              <w:rPr>
                <w:highlight w:val="none"/>
              </w:rPr>
            </w:r>
          </w:p>
        </w:tc>
        <w:tc>
          <w:tcPr>
            <w:shd w:val="clear" w:color="auto" w:fill="2e5fa3"/>
            <w:tcW w:w="1995" w:type="dxa"/>
            <w:vAlign w:val="top"/>
            <w:textDirection w:val="lrTb"/>
            <w:noWrap w:val="false"/>
          </w:tcPr>
          <w:p>
            <w:pPr>
              <w:jc w:val="center"/>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三级养护标准</w:t>
            </w:r>
            <w:r>
              <w:rPr>
                <w:highlight w:val="none"/>
              </w:rPr>
            </w:r>
          </w:p>
        </w:tc>
      </w:tr>
      <w:tr>
        <w:trPr>
          <w:trHeight w:val="680"/>
        </w:trPr>
        <w:tc>
          <w:tcPr>
            <w:tcW w:w="1067"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草坪修剪</w:t>
            </w:r>
            <w:r>
              <w:rPr>
                <w:highlight w:val="none"/>
              </w:rPr>
            </w:r>
          </w:p>
        </w:tc>
        <w:tc>
          <w:tcPr>
            <w:tcW w:w="1937"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每年≥6次，高度≤5cm，边缘整齐</w:t>
            </w:r>
            <w:r>
              <w:rPr>
                <w:highlight w:val="none"/>
              </w:rPr>
            </w:r>
          </w:p>
        </w:tc>
        <w:tc>
          <w:tcPr>
            <w:tcW w:w="1995"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每年≥4次，高度≤8cm</w:t>
            </w:r>
            <w:r>
              <w:rPr>
                <w:highlight w:val="none"/>
              </w:rPr>
            </w:r>
          </w:p>
        </w:tc>
      </w:tr>
      <w:tr>
        <w:trPr>
          <w:trHeight w:val="680"/>
        </w:trPr>
        <w:tc>
          <w:tcPr>
            <w:shd w:val="clear" w:color="auto" w:fill="eef2fa"/>
            <w:tcW w:w="1067"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乔木修剪</w:t>
            </w:r>
            <w:r>
              <w:rPr>
                <w:highlight w:val="none"/>
              </w:rPr>
            </w:r>
          </w:p>
        </w:tc>
        <w:tc>
          <w:tcPr>
            <w:shd w:val="clear" w:color="auto" w:fill="eef2fa"/>
            <w:tcW w:w="1937"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每年≥2次，保持树形美观</w:t>
            </w:r>
            <w:r>
              <w:rPr>
                <w:highlight w:val="none"/>
              </w:rPr>
            </w:r>
          </w:p>
        </w:tc>
        <w:tc>
          <w:tcPr>
            <w:shd w:val="clear" w:color="auto" w:fill="eef2fa"/>
            <w:tcW w:w="1995"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每年≥1次，主要清除枯枝病枝</w:t>
            </w:r>
            <w:r>
              <w:rPr>
                <w:highlight w:val="none"/>
              </w:rPr>
            </w:r>
          </w:p>
        </w:tc>
      </w:tr>
      <w:tr>
        <w:trPr>
          <w:trHeight w:val="680"/>
        </w:trPr>
        <w:tc>
          <w:tcPr>
            <w:tcW w:w="1067"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灌木绿篱修剪</w:t>
            </w:r>
            <w:r>
              <w:rPr>
                <w:highlight w:val="none"/>
              </w:rPr>
            </w:r>
          </w:p>
        </w:tc>
        <w:tc>
          <w:tcPr>
            <w:tcW w:w="1937"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每年≥4次，造型整齐，轮廓分明</w:t>
            </w:r>
            <w:r>
              <w:rPr>
                <w:highlight w:val="none"/>
              </w:rPr>
            </w:r>
          </w:p>
        </w:tc>
        <w:tc>
          <w:tcPr>
            <w:tcW w:w="1995"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每年≥2次，保持基本造型</w:t>
            </w:r>
            <w:r>
              <w:rPr>
                <w:highlight w:val="none"/>
              </w:rPr>
            </w:r>
          </w:p>
        </w:tc>
      </w:tr>
      <w:tr>
        <w:trPr>
          <w:trHeight w:val="680"/>
        </w:trPr>
        <w:tc>
          <w:tcPr>
            <w:shd w:val="clear" w:color="auto" w:fill="eef2fa"/>
            <w:tcW w:w="1067"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施肥</w:t>
            </w:r>
            <w:r>
              <w:rPr>
                <w:highlight w:val="none"/>
              </w:rPr>
            </w:r>
          </w:p>
        </w:tc>
        <w:tc>
          <w:tcPr>
            <w:shd w:val="clear" w:color="auto" w:fill="eef2fa"/>
            <w:tcW w:w="1937"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每年≥2次，有机肥+复合肥</w:t>
            </w:r>
            <w:r>
              <w:rPr>
                <w:highlight w:val="none"/>
              </w:rPr>
            </w:r>
          </w:p>
        </w:tc>
        <w:tc>
          <w:tcPr>
            <w:shd w:val="clear" w:color="auto" w:fill="eef2fa"/>
            <w:tcW w:w="1995"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每年≥1次，以复合肥为主</w:t>
            </w:r>
            <w:r>
              <w:rPr>
                <w:highlight w:val="none"/>
              </w:rPr>
            </w:r>
          </w:p>
        </w:tc>
      </w:tr>
      <w:tr>
        <w:trPr>
          <w:trHeight w:val="680"/>
        </w:trPr>
        <w:tc>
          <w:tcPr>
            <w:tcW w:w="1067"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灌溉</w:t>
            </w:r>
            <w:r>
              <w:rPr>
                <w:highlight w:val="none"/>
              </w:rPr>
            </w:r>
          </w:p>
        </w:tc>
        <w:tc>
          <w:tcPr>
            <w:tcW w:w="1937"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高温干旱季每周≥3次</w:t>
            </w:r>
            <w:r>
              <w:rPr>
                <w:highlight w:val="none"/>
              </w:rPr>
            </w:r>
          </w:p>
        </w:tc>
        <w:tc>
          <w:tcPr>
            <w:tcW w:w="1995"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高温干旱时及时灌溉</w:t>
            </w:r>
            <w:r>
              <w:rPr>
                <w:highlight w:val="none"/>
              </w:rPr>
            </w:r>
          </w:p>
        </w:tc>
      </w:tr>
      <w:tr>
        <w:trPr>
          <w:trHeight w:val="680"/>
        </w:trPr>
        <w:tc>
          <w:tcPr>
            <w:shd w:val="clear" w:color="auto" w:fill="eef2fa"/>
            <w:tcW w:w="1067"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病虫害防治</w:t>
            </w:r>
            <w:r>
              <w:rPr>
                <w:highlight w:val="none"/>
              </w:rPr>
            </w:r>
          </w:p>
        </w:tc>
        <w:tc>
          <w:tcPr>
            <w:shd w:val="clear" w:color="auto" w:fill="eef2fa"/>
            <w:tcW w:w="1937"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3-11月每月≥1次消杀</w:t>
            </w:r>
            <w:r>
              <w:rPr>
                <w:highlight w:val="none"/>
              </w:rPr>
            </w:r>
          </w:p>
        </w:tc>
        <w:tc>
          <w:tcPr>
            <w:shd w:val="clear" w:color="auto" w:fill="eef2fa"/>
            <w:tcW w:w="1995"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3-11月每月≥1次消杀</w:t>
            </w:r>
            <w:r>
              <w:rPr>
                <w:highlight w:val="none"/>
              </w:rPr>
            </w:r>
          </w:p>
        </w:tc>
      </w:tr>
      <w:tr>
        <w:trPr>
          <w:trHeight w:val="680"/>
        </w:trPr>
        <w:tc>
          <w:tcPr>
            <w:tcW w:w="1067"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花坛养护</w:t>
            </w:r>
            <w:r>
              <w:rPr>
                <w:highlight w:val="none"/>
              </w:rPr>
            </w:r>
          </w:p>
        </w:tc>
        <w:tc>
          <w:tcPr>
            <w:tcW w:w="1937"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每月清除杂草，花期保证绽放</w:t>
            </w:r>
            <w:r>
              <w:rPr>
                <w:highlight w:val="none"/>
              </w:rPr>
            </w:r>
          </w:p>
        </w:tc>
        <w:tc>
          <w:tcPr>
            <w:tcW w:w="1995"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每月清除杂草，保持整洁</w:t>
            </w:r>
            <w:r>
              <w:rPr>
                <w:highlight w:val="none"/>
              </w:rPr>
            </w:r>
          </w:p>
        </w:tc>
      </w:tr>
      <w:tr>
        <w:trPr>
          <w:trHeight w:val="680"/>
        </w:trPr>
        <w:tc>
          <w:tcPr>
            <w:shd w:val="clear" w:color="auto" w:fill="eef2fa"/>
            <w:tcW w:w="1067"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补植</w:t>
            </w:r>
            <w:r>
              <w:rPr>
                <w:highlight w:val="none"/>
              </w:rPr>
            </w:r>
          </w:p>
        </w:tc>
        <w:tc>
          <w:tcPr>
            <w:shd w:val="clear" w:color="auto" w:fill="eef2fa"/>
            <w:tcW w:w="1937"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缺株率≤1%，及时补植</w:t>
            </w:r>
            <w:r>
              <w:rPr>
                <w:highlight w:val="none"/>
              </w:rPr>
            </w:r>
          </w:p>
        </w:tc>
        <w:tc>
          <w:tcPr>
            <w:shd w:val="clear" w:color="auto" w:fill="eef2fa"/>
            <w:tcW w:w="1995"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缺株率≤3%，及时补植</w:t>
            </w:r>
            <w:r>
              <w:rPr>
                <w:highlight w:val="none"/>
              </w:rPr>
            </w:r>
          </w:p>
        </w:tc>
      </w:tr>
      <w:tr>
        <w:trPr>
          <w:trHeight w:val="680"/>
        </w:trPr>
        <w:tc>
          <w:tcPr>
            <w:tcW w:w="1067"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绿地清洁</w:t>
            </w:r>
            <w:r>
              <w:rPr>
                <w:highlight w:val="none"/>
              </w:rPr>
            </w:r>
          </w:p>
        </w:tc>
        <w:tc>
          <w:tcPr>
            <w:tcW w:w="1937"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每日巡查</w:t>
            </w:r>
            <w:r>
              <w:rPr>
                <w:highlight w:val="none"/>
              </w:rPr>
            </w:r>
          </w:p>
        </w:tc>
        <w:tc>
          <w:tcPr>
            <w:tcW w:w="1995"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每两日至少巡查1次</w:t>
            </w:r>
            <w:r>
              <w:rPr>
                <w:highlight w:val="none"/>
              </w:rPr>
            </w:r>
          </w:p>
        </w:tc>
      </w:tr>
      <w:tr>
        <w:trPr>
          <w:trHeight w:val="680"/>
        </w:trPr>
        <w:tc>
          <w:tcPr>
            <w:shd w:val="clear" w:color="auto" w:fill="eef2fa"/>
            <w:tcW w:w="1067"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有虫株率</w:t>
            </w:r>
            <w:r>
              <w:rPr>
                <w:highlight w:val="none"/>
              </w:rPr>
            </w:r>
          </w:p>
        </w:tc>
        <w:tc>
          <w:tcPr>
            <w:shd w:val="clear" w:color="auto" w:fill="eef2fa"/>
            <w:tcW w:w="1937"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≤5%</w:t>
            </w:r>
            <w:r>
              <w:rPr>
                <w:highlight w:val="none"/>
              </w:rPr>
            </w:r>
          </w:p>
        </w:tc>
        <w:tc>
          <w:tcPr>
            <w:shd w:val="clear" w:color="auto" w:fill="eef2fa"/>
            <w:tcW w:w="1995"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≤10%</w:t>
            </w:r>
            <w:r>
              <w:rPr>
                <w:highlight w:val="none"/>
              </w:rPr>
            </w:r>
          </w:p>
        </w:tc>
      </w:tr>
    </w:tbl>
    <w:p>
      <w:pPr>
        <w:rPr>
          <w:rFonts w:hint="eastAsia" w:ascii="方正仿宋_GBK" w:hAnsi="方正仿宋_GBK" w:eastAsia="方正仿宋_GBK" w:cs="方正仿宋_GBK"/>
          <w:b/>
          <w:bCs/>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8.保洁工具、清洁耗材、劳保用品等由供应商自行采购并承担费用。</w:t>
      </w:r>
      <w:r>
        <w:rPr>
          <w:highlight w:val="none"/>
        </w:rPr>
      </w:r>
    </w:p>
    <w:p>
      <w:pPr>
        <w:spacing w:line="40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五、人员配置及相关要求</w:t>
      </w:r>
      <w:r>
        <w:rPr>
          <w:highlight w:val="none"/>
        </w:rPr>
      </w:r>
    </w:p>
    <w:p>
      <w:pPr>
        <w:spacing w:line="40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分包一：</w:t>
      </w:r>
      <w:r>
        <w:rPr>
          <w:highlight w:val="none"/>
        </w:rPr>
      </w:r>
    </w:p>
    <w:p>
      <w:pPr>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1.人员配置要求</w:t>
      </w:r>
      <w:r>
        <w:rPr>
          <w:highlight w:val="none"/>
        </w:rPr>
      </w:r>
    </w:p>
    <w:p>
      <w:pPr>
        <w:ind w:firstLine="562"/>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i w:val="0"/>
          <w:iCs w:val="0"/>
          <w:color w:val="000000"/>
          <w:sz w:val="28"/>
          <w:szCs w:val="28"/>
          <w:highlight w:val="none"/>
          <w:u w:val="none"/>
        </w:rPr>
        <w:t xml:space="preserve">最低在岗人员不少于13人</w:t>
      </w:r>
      <w:r>
        <w:rPr>
          <w:rFonts w:hint="eastAsia" w:ascii="方正仿宋_GBK" w:hAnsi="方正仿宋_GBK" w:eastAsia="方正仿宋_GBK" w:cs="方正仿宋_GBK"/>
          <w:color w:val="000000"/>
          <w:sz w:val="28"/>
          <w:szCs w:val="28"/>
          <w:highlight w:val="none"/>
        </w:rPr>
        <w:t xml:space="preserve">（所有人员年龄须为法定退休年龄以下），上述人员不含项目经理。具体岗位配置如下：</w:t>
      </w:r>
      <w:r>
        <w:rPr>
          <w:highlight w:val="none"/>
        </w:rPr>
      </w:r>
    </w:p>
    <w:tbl>
      <w:tblPr>
        <w:tblStyle w:val="711"/>
        <w:tblW w:w="511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1368"/>
        <w:gridCol w:w="1010"/>
        <w:gridCol w:w="2896"/>
        <w:gridCol w:w="3003"/>
      </w:tblGrid>
      <w:tr>
        <w:trPr>
          <w:trHeight w:val="680"/>
          <w:tblHeader/>
        </w:trPr>
        <w:tc>
          <w:tcPr>
            <w:shd w:val="clear" w:color="auto" w:fill="2e5fa3"/>
            <w:tcW w:w="863" w:type="dxa"/>
            <w:vAlign w:val="top"/>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序号</w:t>
            </w:r>
            <w:r>
              <w:rPr>
                <w:highlight w:val="none"/>
              </w:rPr>
            </w:r>
          </w:p>
        </w:tc>
        <w:tc>
          <w:tcPr>
            <w:shd w:val="clear" w:color="auto" w:fill="2e5fa3"/>
            <w:tcW w:w="1370" w:type="dxa"/>
            <w:vAlign w:val="top"/>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岗位名称</w:t>
            </w:r>
            <w:r>
              <w:rPr>
                <w:highlight w:val="none"/>
              </w:rPr>
            </w:r>
          </w:p>
        </w:tc>
        <w:tc>
          <w:tcPr>
            <w:shd w:val="clear" w:color="auto" w:fill="2e5fa3"/>
            <w:tcW w:w="1012" w:type="dxa"/>
            <w:vAlign w:val="top"/>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人数</w:t>
            </w:r>
            <w:r>
              <w:rPr>
                <w:highlight w:val="none"/>
              </w:rPr>
            </w:r>
          </w:p>
        </w:tc>
        <w:tc>
          <w:tcPr>
            <w:shd w:val="clear" w:color="auto" w:fill="2e5fa3"/>
            <w:tcW w:w="2899" w:type="dxa"/>
            <w:vAlign w:val="top"/>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主要职责</w:t>
            </w:r>
            <w:r>
              <w:rPr>
                <w:highlight w:val="none"/>
              </w:rPr>
            </w:r>
          </w:p>
        </w:tc>
        <w:tc>
          <w:tcPr>
            <w:shd w:val="clear" w:color="auto" w:fill="2e5fa3"/>
            <w:tcW w:w="3006" w:type="dxa"/>
            <w:vAlign w:val="top"/>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岗位</w:t>
            </w:r>
            <w:r>
              <w:rPr>
                <w:rFonts w:hint="eastAsia" w:ascii="方正仿宋_GBK" w:hAnsi="方正仿宋_GBK" w:eastAsia="方正仿宋_GBK" w:cs="方正仿宋_GBK"/>
                <w:color w:val="000000"/>
                <w:sz w:val="24"/>
                <w:szCs w:val="24"/>
                <w:highlight w:val="none"/>
              </w:rPr>
              <w:t xml:space="preserve">要求</w:t>
            </w:r>
            <w:r>
              <w:rPr>
                <w:highlight w:val="none"/>
              </w:rPr>
            </w:r>
          </w:p>
        </w:tc>
      </w:tr>
      <w:tr>
        <w:trPr>
          <w:trHeight w:val="680"/>
        </w:trPr>
        <w:tc>
          <w:tcPr>
            <w:tcW w:w="863"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rPr>
                <w:highlight w:val="none"/>
              </w:rPr>
            </w:r>
          </w:p>
        </w:tc>
        <w:tc>
          <w:tcPr>
            <w:tcW w:w="1370" w:type="dxa"/>
            <w:vAlign w:val="top"/>
            <w:textDirection w:val="lrTb"/>
            <w:noWrap w:val="false"/>
          </w:tcPr>
          <w:p>
            <w:pPr>
              <w:spacing w:line="360" w:lineRule="exact"/>
              <w:rPr>
                <w:rFonts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项目经理</w:t>
            </w:r>
            <w:r>
              <w:rPr>
                <w:highlight w:val="none"/>
              </w:rPr>
            </w:r>
          </w:p>
        </w:tc>
        <w:tc>
          <w:tcPr>
            <w:tcW w:w="1012"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rPr>
                <w:highlight w:val="none"/>
              </w:rPr>
            </w:r>
          </w:p>
        </w:tc>
        <w:tc>
          <w:tcPr>
            <w:tcW w:w="2899"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负责项目整体管理、项目团队组建与管理。协调财务、与对接工作，统筹项目档案资料管理</w:t>
            </w:r>
            <w:r>
              <w:rPr>
                <w:highlight w:val="none"/>
              </w:rPr>
            </w:r>
          </w:p>
        </w:tc>
        <w:tc>
          <w:tcPr>
            <w:tcW w:w="3006" w:type="dxa"/>
            <w:vAlign w:val="top"/>
            <w:textDirection w:val="lrTb"/>
            <w:noWrap w:val="false"/>
          </w:tcPr>
          <w:p>
            <w:pPr>
              <w:spacing w:line="360" w:lineRule="exact"/>
              <w:rPr>
                <w:rFonts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项目经理5年</w:t>
            </w:r>
            <w:r>
              <w:rPr>
                <w:rFonts w:hint="eastAsia" w:ascii="方正仿宋_GBK" w:hAnsi="方正仿宋_GBK" w:eastAsia="方正仿宋_GBK" w:cs="方正仿宋_GBK"/>
                <w:color w:val="000000"/>
                <w:sz w:val="24"/>
                <w:szCs w:val="24"/>
                <w:highlight w:val="none"/>
                <w:lang w:val="en-US" w:eastAsia="zh-CN"/>
              </w:rPr>
              <w:t xml:space="preserve">及</w:t>
            </w:r>
            <w:r>
              <w:rPr>
                <w:rFonts w:hint="eastAsia" w:ascii="方正仿宋_GBK" w:hAnsi="方正仿宋_GBK" w:eastAsia="方正仿宋_GBK" w:cs="方正仿宋_GBK"/>
                <w:color w:val="000000"/>
                <w:sz w:val="24"/>
                <w:szCs w:val="24"/>
                <w:highlight w:val="none"/>
              </w:rPr>
              <w:t xml:space="preserve">以上与本项目类似的（非住宅类的）物业项目工作经验，具有本科</w:t>
            </w:r>
            <w:r>
              <w:rPr>
                <w:rFonts w:hint="eastAsia" w:ascii="方正仿宋_GBK" w:hAnsi="方正仿宋_GBK" w:eastAsia="方正仿宋_GBK" w:cs="方正仿宋_GBK"/>
                <w:color w:val="000000"/>
                <w:sz w:val="24"/>
                <w:szCs w:val="24"/>
                <w:highlight w:val="none"/>
                <w:lang w:val="en-US" w:eastAsia="zh-CN"/>
              </w:rPr>
              <w:t xml:space="preserve">及</w:t>
            </w:r>
            <w:r>
              <w:rPr>
                <w:rFonts w:hint="eastAsia" w:ascii="方正仿宋_GBK" w:hAnsi="方正仿宋_GBK" w:eastAsia="方正仿宋_GBK" w:cs="方正仿宋_GBK"/>
                <w:color w:val="000000"/>
                <w:sz w:val="24"/>
                <w:szCs w:val="24"/>
                <w:highlight w:val="none"/>
              </w:rPr>
              <w:t xml:space="preserve">以上学历</w:t>
            </w:r>
            <w:r>
              <w:rPr>
                <w:highlight w:val="none"/>
              </w:rPr>
            </w:r>
          </w:p>
        </w:tc>
      </w:tr>
      <w:tr>
        <w:trPr>
          <w:trHeight w:val="1538"/>
        </w:trPr>
        <w:tc>
          <w:tcPr>
            <w:tcW w:w="863"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2</w:t>
            </w:r>
            <w:r>
              <w:rPr>
                <w:highlight w:val="none"/>
              </w:rPr>
            </w:r>
          </w:p>
        </w:tc>
        <w:tc>
          <w:tcPr>
            <w:tcW w:w="1370"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楼宇</w:t>
            </w:r>
            <w:r>
              <w:rPr>
                <w:rFonts w:hint="eastAsia" w:ascii="方正仿宋_GBK" w:hAnsi="方正仿宋_GBK" w:eastAsia="方正仿宋_GBK" w:cs="方正仿宋_GBK"/>
                <w:color w:val="000000"/>
                <w:sz w:val="24"/>
                <w:szCs w:val="24"/>
                <w:highlight w:val="none"/>
              </w:rPr>
              <w:t xml:space="preserve">主管</w:t>
            </w:r>
            <w:r>
              <w:rPr>
                <w:highlight w:val="none"/>
              </w:rPr>
            </w:r>
          </w:p>
        </w:tc>
        <w:tc>
          <w:tcPr>
            <w:tcW w:w="1012"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rPr>
                <w:highlight w:val="none"/>
              </w:rPr>
            </w:r>
          </w:p>
        </w:tc>
        <w:tc>
          <w:tcPr>
            <w:tcW w:w="2899"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统筹管理标段日常服务、人员调配、考核协调、与学院对接</w:t>
            </w:r>
            <w:r>
              <w:rPr>
                <w:highlight w:val="none"/>
              </w:rPr>
            </w:r>
          </w:p>
        </w:tc>
        <w:tc>
          <w:tcPr>
            <w:tcW w:w="3006"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具</w:t>
            </w:r>
            <w:r>
              <w:rPr>
                <w:rFonts w:hint="eastAsia" w:ascii="方正仿宋_GBK" w:hAnsi="方正仿宋_GBK" w:eastAsia="方正仿宋_GBK" w:cs="方正仿宋_GBK"/>
                <w:color w:val="000000"/>
                <w:sz w:val="24"/>
                <w:szCs w:val="24"/>
                <w:highlight w:val="none"/>
                <w:lang w:val="en-US" w:eastAsia="zh-CN"/>
              </w:rPr>
              <w:t xml:space="preserve">有与本项目类似楼宇管理</w:t>
            </w:r>
            <w:r>
              <w:rPr>
                <w:rFonts w:hint="eastAsia" w:ascii="方正仿宋_GBK" w:hAnsi="方正仿宋_GBK" w:eastAsia="方正仿宋_GBK" w:cs="方正仿宋_GBK"/>
                <w:color w:val="000000"/>
                <w:sz w:val="24"/>
                <w:szCs w:val="24"/>
                <w:highlight w:val="none"/>
              </w:rPr>
              <w:t xml:space="preserve">经验</w:t>
            </w:r>
            <w:r>
              <w:rPr>
                <w:rFonts w:hint="eastAsia" w:ascii="方正仿宋_GBK" w:hAnsi="方正仿宋_GBK" w:eastAsia="方正仿宋_GBK" w:cs="方正仿宋_GBK"/>
                <w:color w:val="000000"/>
                <w:sz w:val="24"/>
                <w:szCs w:val="24"/>
                <w:highlight w:val="none"/>
                <w:lang w:val="en-US" w:eastAsia="zh-CN"/>
              </w:rPr>
              <w:t xml:space="preserve">5</w:t>
            </w:r>
            <w:r>
              <w:rPr>
                <w:rFonts w:hint="eastAsia" w:ascii="方正仿宋_GBK" w:hAnsi="方正仿宋_GBK" w:eastAsia="方正仿宋_GBK" w:cs="方正仿宋_GBK"/>
                <w:color w:val="000000"/>
                <w:sz w:val="24"/>
                <w:szCs w:val="24"/>
                <w:highlight w:val="none"/>
              </w:rPr>
              <w:t xml:space="preserve">年</w:t>
            </w:r>
            <w:r>
              <w:rPr>
                <w:rFonts w:hint="eastAsia" w:ascii="方正仿宋_GBK" w:hAnsi="方正仿宋_GBK" w:eastAsia="方正仿宋_GBK" w:cs="方正仿宋_GBK"/>
                <w:color w:val="000000"/>
                <w:sz w:val="24"/>
                <w:szCs w:val="24"/>
                <w:highlight w:val="none"/>
                <w:lang w:val="en-US" w:eastAsia="zh-CN"/>
              </w:rPr>
              <w:t xml:space="preserve">及</w:t>
            </w:r>
            <w:r>
              <w:rPr>
                <w:rFonts w:hint="eastAsia" w:ascii="方正仿宋_GBK" w:hAnsi="方正仿宋_GBK" w:eastAsia="方正仿宋_GBK" w:cs="方正仿宋_GBK"/>
                <w:color w:val="000000"/>
                <w:sz w:val="24"/>
                <w:szCs w:val="24"/>
                <w:highlight w:val="none"/>
              </w:rPr>
              <w:t xml:space="preserve">以上；具有专科</w:t>
            </w:r>
            <w:r>
              <w:rPr>
                <w:rFonts w:hint="eastAsia" w:ascii="方正仿宋_GBK" w:hAnsi="方正仿宋_GBK" w:eastAsia="方正仿宋_GBK" w:cs="方正仿宋_GBK"/>
                <w:color w:val="000000"/>
                <w:sz w:val="24"/>
                <w:szCs w:val="24"/>
                <w:highlight w:val="none"/>
                <w:lang w:val="en-US" w:eastAsia="zh-CN"/>
              </w:rPr>
              <w:t xml:space="preserve">及</w:t>
            </w:r>
            <w:r>
              <w:rPr>
                <w:rFonts w:hint="eastAsia" w:ascii="方正仿宋_GBK" w:hAnsi="方正仿宋_GBK" w:eastAsia="方正仿宋_GBK" w:cs="方正仿宋_GBK"/>
                <w:color w:val="000000"/>
                <w:sz w:val="24"/>
                <w:szCs w:val="24"/>
                <w:highlight w:val="none"/>
              </w:rPr>
              <w:t xml:space="preserve">以上学历</w:t>
            </w:r>
            <w:r>
              <w:rPr>
                <w:highlight w:val="none"/>
              </w:rPr>
            </w:r>
          </w:p>
        </w:tc>
      </w:tr>
      <w:tr>
        <w:trPr>
          <w:trHeight w:val="680"/>
        </w:trPr>
        <w:tc>
          <w:tcPr>
            <w:shd w:val="clear" w:color="auto" w:fill="eef2fa"/>
            <w:tcW w:w="863"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3</w:t>
            </w:r>
            <w:r>
              <w:rPr>
                <w:highlight w:val="none"/>
              </w:rPr>
            </w:r>
          </w:p>
        </w:tc>
        <w:tc>
          <w:tcPr>
            <w:shd w:val="clear" w:color="auto" w:fill="eef2fa"/>
            <w:tcW w:w="1370"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保洁员</w:t>
            </w:r>
            <w:r>
              <w:rPr>
                <w:rFonts w:hint="eastAsia" w:ascii="方正仿宋_GBK" w:hAnsi="方正仿宋_GBK" w:eastAsia="方正仿宋_GBK" w:cs="方正仿宋_GBK"/>
                <w:color w:val="000000"/>
                <w:sz w:val="24"/>
                <w:szCs w:val="24"/>
                <w:highlight w:val="none"/>
              </w:rPr>
              <w:br w:type="textWrapping" w:clear="all"/>
            </w:r>
            <w:r>
              <w:rPr>
                <w:rFonts w:hint="eastAsia" w:ascii="方正仿宋_GBK" w:hAnsi="方正仿宋_GBK" w:eastAsia="方正仿宋_GBK" w:cs="方正仿宋_GBK"/>
                <w:color w:val="000000"/>
                <w:sz w:val="24"/>
                <w:szCs w:val="24"/>
                <w:highlight w:val="none"/>
              </w:rPr>
              <w:t xml:space="preserve">（公寓楼及实训基地）</w:t>
            </w:r>
            <w:r>
              <w:rPr>
                <w:highlight w:val="none"/>
              </w:rPr>
            </w:r>
          </w:p>
        </w:tc>
        <w:tc>
          <w:tcPr>
            <w:shd w:val="clear" w:color="auto" w:fill="eef2fa"/>
            <w:tcW w:w="1012"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10</w:t>
            </w:r>
            <w:r>
              <w:rPr>
                <w:highlight w:val="none"/>
              </w:rPr>
            </w:r>
          </w:p>
        </w:tc>
        <w:tc>
          <w:tcPr>
            <w:shd w:val="clear" w:color="auto" w:fill="eef2fa"/>
            <w:tcW w:w="2899"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各楼层公共区域及卫生间保洁，实训教室保洁，厨房保洁，垃圾清运</w:t>
            </w:r>
            <w:r>
              <w:rPr>
                <w:highlight w:val="none"/>
              </w:rPr>
            </w:r>
          </w:p>
        </w:tc>
        <w:tc>
          <w:tcPr>
            <w:shd w:val="clear" w:color="auto" w:fill="eef2fa"/>
            <w:tcW w:w="3006" w:type="dxa"/>
            <w:vAlign w:val="top"/>
            <w:textDirection w:val="lrTb"/>
            <w:noWrap w:val="false"/>
          </w:tcPr>
          <w:p>
            <w:pPr>
              <w:spacing w:line="360" w:lineRule="exact"/>
              <w:rPr>
                <w:rFonts w:ascii="方正仿宋_GBK" w:hAnsi="方正仿宋_GBK" w:eastAsia="宋体"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具有相关工作经验</w:t>
            </w:r>
            <w:r>
              <w:rPr>
                <w:highlight w:val="none"/>
              </w:rPr>
            </w:r>
          </w:p>
        </w:tc>
      </w:tr>
      <w:tr>
        <w:trPr>
          <w:trHeight w:val="680"/>
        </w:trPr>
        <w:tc>
          <w:tcPr>
            <w:tcW w:w="863"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4</w:t>
            </w:r>
            <w:r>
              <w:rPr>
                <w:highlight w:val="none"/>
              </w:rPr>
            </w:r>
          </w:p>
        </w:tc>
        <w:tc>
          <w:tcPr>
            <w:tcW w:w="1370"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楼宇巡查员</w:t>
            </w:r>
            <w:r>
              <w:rPr>
                <w:highlight w:val="none"/>
              </w:rPr>
            </w:r>
          </w:p>
        </w:tc>
        <w:tc>
          <w:tcPr>
            <w:tcW w:w="1012"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w:t>
            </w:r>
            <w:r>
              <w:rPr>
                <w:highlight w:val="none"/>
              </w:rPr>
            </w:r>
          </w:p>
        </w:tc>
        <w:tc>
          <w:tcPr>
            <w:tcW w:w="2899"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楼宇秩序巡视、安全检查、报修登记、外来人员管控</w:t>
            </w:r>
            <w:r>
              <w:rPr>
                <w:highlight w:val="none"/>
              </w:rPr>
            </w:r>
          </w:p>
        </w:tc>
        <w:tc>
          <w:tcPr>
            <w:tcW w:w="3006"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具</w:t>
            </w:r>
            <w:r>
              <w:rPr>
                <w:rFonts w:hint="eastAsia" w:ascii="方正仿宋_GBK" w:hAnsi="方正仿宋_GBK" w:eastAsia="方正仿宋_GBK" w:cs="方正仿宋_GBK"/>
                <w:color w:val="000000"/>
                <w:sz w:val="24"/>
                <w:szCs w:val="24"/>
                <w:highlight w:val="none"/>
                <w:lang w:val="en-US" w:eastAsia="zh-CN"/>
              </w:rPr>
              <w:t xml:space="preserve">有与本项目类似</w:t>
            </w:r>
            <w:r>
              <w:rPr>
                <w:rFonts w:hint="eastAsia" w:ascii="方正仿宋_GBK" w:hAnsi="方正仿宋_GBK" w:eastAsia="方正仿宋_GBK" w:cs="方正仿宋_GBK"/>
                <w:color w:val="000000"/>
                <w:sz w:val="24"/>
                <w:szCs w:val="24"/>
                <w:highlight w:val="none"/>
              </w:rPr>
              <w:t xml:space="preserve">管理工作经验3年</w:t>
            </w:r>
            <w:r>
              <w:rPr>
                <w:rFonts w:hint="eastAsia" w:ascii="方正仿宋_GBK" w:hAnsi="方正仿宋_GBK" w:eastAsia="方正仿宋_GBK" w:cs="方正仿宋_GBK"/>
                <w:color w:val="000000"/>
                <w:sz w:val="24"/>
                <w:szCs w:val="24"/>
                <w:highlight w:val="none"/>
                <w:lang w:val="en-US" w:eastAsia="zh-CN"/>
              </w:rPr>
              <w:t xml:space="preserve">及</w:t>
            </w:r>
            <w:r>
              <w:rPr>
                <w:rFonts w:hint="eastAsia" w:ascii="方正仿宋_GBK" w:hAnsi="方正仿宋_GBK" w:eastAsia="方正仿宋_GBK" w:cs="方正仿宋_GBK"/>
                <w:color w:val="000000"/>
                <w:sz w:val="24"/>
                <w:szCs w:val="24"/>
                <w:highlight w:val="none"/>
              </w:rPr>
              <w:t xml:space="preserve">以上；具有</w:t>
            </w:r>
            <w:r>
              <w:rPr>
                <w:rFonts w:hint="eastAsia" w:ascii="方正仿宋_GBK" w:hAnsi="方正仿宋_GBK" w:eastAsia="方正仿宋_GBK" w:cs="方正仿宋_GBK"/>
                <w:color w:val="000000"/>
                <w:sz w:val="24"/>
                <w:szCs w:val="24"/>
                <w:highlight w:val="none"/>
                <w:lang w:val="en-US" w:eastAsia="zh-CN"/>
              </w:rPr>
              <w:t xml:space="preserve">专科</w:t>
            </w:r>
            <w:r>
              <w:rPr>
                <w:rFonts w:hint="eastAsia" w:ascii="方正仿宋_GBK" w:hAnsi="方正仿宋_GBK" w:eastAsia="方正仿宋_GBK" w:cs="方正仿宋_GBK"/>
                <w:color w:val="000000"/>
                <w:sz w:val="24"/>
                <w:szCs w:val="24"/>
                <w:highlight w:val="none"/>
              </w:rPr>
              <w:t xml:space="preserve">及以上学历</w:t>
            </w:r>
            <w:r>
              <w:rPr>
                <w:highlight w:val="none"/>
              </w:rPr>
            </w:r>
          </w:p>
        </w:tc>
      </w:tr>
      <w:tr>
        <w:trPr>
          <w:trHeight w:val="680"/>
        </w:trPr>
        <w:tc>
          <w:tcPr>
            <w:shd w:val="clear" w:color="auto" w:fill="eef2fa"/>
            <w:tcW w:w="863"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r>
            <w:r>
              <w:rPr>
                <w:highlight w:val="none"/>
              </w:rPr>
            </w:r>
          </w:p>
        </w:tc>
        <w:tc>
          <w:tcPr>
            <w:shd w:val="clear" w:color="auto" w:fill="eef2fa"/>
            <w:tcW w:w="1370"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合计</w:t>
            </w:r>
            <w:r>
              <w:rPr>
                <w:highlight w:val="none"/>
              </w:rPr>
            </w:r>
          </w:p>
        </w:tc>
        <w:tc>
          <w:tcPr>
            <w:shd w:val="clear" w:color="auto" w:fill="eef2fa"/>
            <w:tcW w:w="1012"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13</w:t>
            </w:r>
            <w:r>
              <w:rPr>
                <w:highlight w:val="none"/>
              </w:rPr>
            </w:r>
          </w:p>
        </w:tc>
        <w:tc>
          <w:tcPr>
            <w:shd w:val="clear" w:color="auto" w:fill="eef2fa"/>
            <w:tcW w:w="2899"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r>
            <w:r>
              <w:rPr>
                <w:highlight w:val="none"/>
              </w:rPr>
            </w:r>
          </w:p>
        </w:tc>
        <w:tc>
          <w:tcPr>
            <w:shd w:val="clear" w:color="auto" w:fill="eef2fa"/>
            <w:tcW w:w="3006"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r>
            <w:r>
              <w:rPr>
                <w:highlight w:val="none"/>
              </w:rPr>
            </w:r>
          </w:p>
        </w:tc>
      </w:tr>
    </w:tbl>
    <w:p>
      <w:pPr>
        <w:ind w:firstLine="562"/>
        <w:spacing w:line="440" w:lineRule="exact"/>
        <w:rPr>
          <w:rFonts w:hint="eastAsia" w:ascii="方正仿宋_GBK" w:hAnsi="方正仿宋_GBK" w:eastAsia="方正仿宋_GBK" w:cs="方正仿宋_GBK"/>
          <w:b/>
          <w:bCs/>
          <w:color w:val="000000"/>
          <w:sz w:val="28"/>
          <w:szCs w:val="28"/>
          <w:highlight w:val="none"/>
        </w:rPr>
      </w:pPr>
      <w:r>
        <w:rPr>
          <w:highlight w:val="none"/>
        </w:rPr>
      </w:r>
      <w:bookmarkStart w:id="87" w:name="_Toc17824"/>
      <w:r>
        <w:rPr>
          <w:rFonts w:hint="eastAsia" w:ascii="方正仿宋_GBK" w:hAnsi="方正仿宋_GBK" w:eastAsia="方正仿宋_GBK" w:cs="方正仿宋_GBK"/>
          <w:b/>
          <w:bCs/>
          <w:color w:val="000000"/>
          <w:sz w:val="28"/>
          <w:szCs w:val="28"/>
          <w:highlight w:val="none"/>
        </w:rPr>
        <w:t xml:space="preserve">2.人员管理要求</w:t>
      </w:r>
      <w:bookmarkEnd w:id="87"/>
      <w:r>
        <w:rPr>
          <w:highlight w:val="none"/>
        </w:rPr>
      </w:r>
      <w:r>
        <w:rPr>
          <w:highlight w:val="none"/>
        </w:rPr>
      </w:r>
    </w:p>
    <w:p>
      <w:pPr>
        <w:ind w:firstLine="560"/>
        <w:spacing w:line="44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b w:val="0"/>
          <w:i w:val="0"/>
          <w:color w:val="000000"/>
          <w:sz w:val="28"/>
          <w:szCs w:val="28"/>
          <w:highlight w:val="none"/>
          <w:u w:val="none"/>
        </w:rPr>
        <w:t xml:space="preserve">中标后，合同期内不得随意更换</w:t>
      </w:r>
      <w:r>
        <w:rPr>
          <w:rFonts w:hint="eastAsia" w:ascii="方正仿宋_GBK" w:hAnsi="方正仿宋_GBK" w:eastAsia="方正仿宋_GBK" w:cs="方正仿宋_GBK"/>
          <w:b w:val="0"/>
          <w:i w:val="0"/>
          <w:color w:val="000000"/>
          <w:sz w:val="28"/>
          <w:szCs w:val="28"/>
          <w:highlight w:val="none"/>
          <w:u w:val="none"/>
          <w:lang w:val="en-US" w:eastAsia="zh-CN"/>
        </w:rPr>
        <w:t xml:space="preserve">服务人员</w:t>
      </w:r>
      <w:r>
        <w:rPr>
          <w:rFonts w:hint="eastAsia" w:ascii="方正仿宋_GBK" w:hAnsi="方正仿宋_GBK" w:eastAsia="方正仿宋_GBK" w:cs="方正仿宋_GBK"/>
          <w:b w:val="0"/>
          <w:i w:val="0"/>
          <w:color w:val="000000"/>
          <w:sz w:val="28"/>
          <w:szCs w:val="28"/>
          <w:highlight w:val="none"/>
          <w:u w:val="none"/>
        </w:rPr>
        <w:t xml:space="preserve">。确需更换的，中标人须至少提前一个月以书面形式通知采购人并经采购人书面同意，方可更换符合同等或更高要求的人员，且人员更换不得影响学校物业服务正常开展；</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（2）所有在岗人员须经学院后勤基建处审核备案，并提供身份证等相关证件复印件，备案信息发生变更须及时更新。</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（3）工作期间须着供应商统一工装（工装须整洁、无破损），佩戴上岗证，仪容整洁，用语文明。</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（4）供应商须依法为所有在岗人员缴纳五险一金（或相应的社会保险），保障用工合规；如发生劳动纠纷，由供应商自行承担全部责任，与学院无关。</w:t>
      </w:r>
      <w:r>
        <w:rPr>
          <w:highlight w:val="none"/>
        </w:rPr>
      </w:r>
    </w:p>
    <w:p>
      <w:pPr>
        <w:ind w:firstLine="562"/>
        <w:spacing w:line="440" w:lineRule="exact"/>
        <w:rPr>
          <w:rFonts w:hint="eastAsia" w:ascii="方正仿宋_GBK" w:hAnsi="方正仿宋_GBK" w:eastAsia="方正仿宋_GBK" w:cs="方正仿宋_GBK"/>
          <w:b/>
          <w:bCs/>
          <w:color w:val="000000"/>
          <w:sz w:val="28"/>
          <w:szCs w:val="28"/>
          <w:highlight w:val="none"/>
        </w:rPr>
      </w:pPr>
      <w:r>
        <w:rPr>
          <w:highlight w:val="none"/>
        </w:rPr>
      </w:r>
      <w:bookmarkStart w:id="88" w:name="_Toc18060"/>
      <w:r>
        <w:rPr>
          <w:rFonts w:hint="eastAsia" w:ascii="方正仿宋_GBK" w:hAnsi="方正仿宋_GBK" w:eastAsia="方正仿宋_GBK" w:cs="方正仿宋_GBK"/>
          <w:b/>
          <w:bCs/>
          <w:color w:val="000000"/>
          <w:sz w:val="28"/>
          <w:szCs w:val="28"/>
          <w:highlight w:val="none"/>
        </w:rPr>
        <w:t xml:space="preserve">3.人员稳定性保障要求</w:t>
      </w:r>
      <w:bookmarkEnd w:id="88"/>
      <w:r>
        <w:rPr>
          <w:highlight w:val="none"/>
        </w:rPr>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（1）供应商须制定人员稳定性方案，通过合理薪酬、团队建设、职业发展规划等措施降低人员流失率；</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（2）主管及关键岗位人员（如楼宇巡查员）更换须提前30日告知学院，并确保工作平稳交接；</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（3）合同期内，核心管理人员（主管及以上）累计更换次数不得超过1次/年。</w:t>
      </w:r>
      <w:r>
        <w:rPr>
          <w:highlight w:val="none"/>
        </w:rPr>
      </w:r>
    </w:p>
    <w:p>
      <w:pPr>
        <w:pStyle w:val="919"/>
        <w:ind w:firstLine="560"/>
        <w:spacing w:before="120" w:after="120"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分包二：</w:t>
      </w:r>
      <w:r>
        <w:rPr>
          <w:highlight w:val="none"/>
        </w:rPr>
      </w:r>
    </w:p>
    <w:p>
      <w:pPr>
        <w:pStyle w:val="885"/>
        <w:ind w:firstLine="562"/>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1.人员配置要求</w:t>
      </w:r>
      <w:r>
        <w:rPr>
          <w:highlight w:val="none"/>
        </w:rPr>
      </w:r>
    </w:p>
    <w:p>
      <w:pPr>
        <w:ind w:firstLine="562"/>
        <w:spacing w:line="44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b/>
          <w:bCs/>
          <w:i w:val="0"/>
          <w:iCs w:val="0"/>
          <w:color w:val="000000"/>
          <w:sz w:val="28"/>
          <w:szCs w:val="28"/>
          <w:highlight w:val="none"/>
          <w:u w:val="none"/>
        </w:rPr>
        <w:t xml:space="preserve">最低在岗人员不少于34人</w:t>
      </w:r>
      <w:r>
        <w:rPr>
          <w:rFonts w:hint="eastAsia" w:ascii="方正仿宋_GBK" w:hAnsi="方正仿宋_GBK" w:eastAsia="方正仿宋_GBK" w:cs="方正仿宋_GBK"/>
          <w:b w:val="0"/>
          <w:bCs w:val="0"/>
          <w:i w:val="0"/>
          <w:iCs w:val="0"/>
          <w:color w:val="000000"/>
          <w:sz w:val="28"/>
          <w:szCs w:val="28"/>
          <w:highlight w:val="none"/>
          <w:u w:val="none"/>
        </w:rPr>
        <w:t xml:space="preserve">（所有人员年龄须为法定退休年龄以下）</w:t>
      </w:r>
      <w:r>
        <w:rPr>
          <w:rFonts w:hint="eastAsia" w:ascii="方正仿宋_GBK" w:hAnsi="方正仿宋_GBK" w:eastAsia="方正仿宋_GBK" w:cs="方正仿宋_GBK"/>
          <w:i w:val="0"/>
          <w:iCs w:val="0"/>
          <w:color w:val="000000"/>
          <w:sz w:val="28"/>
          <w:szCs w:val="28"/>
          <w:highlight w:val="none"/>
          <w:u w:val="none"/>
        </w:rPr>
        <w:t xml:space="preserve">，</w:t>
      </w:r>
      <w:r>
        <w:rPr>
          <w:rFonts w:hint="eastAsia" w:ascii="方正仿宋_GBK" w:hAnsi="方正仿宋_GBK" w:eastAsia="方正仿宋_GBK" w:cs="方正仿宋_GBK"/>
          <w:color w:val="000000"/>
          <w:sz w:val="28"/>
          <w:szCs w:val="28"/>
          <w:highlight w:val="none"/>
        </w:rPr>
        <w:t xml:space="preserve">上述人员不含项目经理。具体配置要求如下：</w:t>
      </w:r>
      <w:r>
        <w:rPr>
          <w:highlight w:val="none"/>
        </w:rPr>
      </w:r>
    </w:p>
    <w:tbl>
      <w:tblPr>
        <w:tblStyle w:val="711"/>
        <w:tblW w:w="505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1242"/>
        <w:gridCol w:w="983"/>
        <w:gridCol w:w="3206"/>
        <w:gridCol w:w="2755"/>
      </w:tblGrid>
      <w:tr>
        <w:trPr>
          <w:trHeight w:val="680"/>
        </w:trPr>
        <w:tc>
          <w:tcPr>
            <w:shd w:val="clear" w:color="auto" w:fill="2e5fa3"/>
            <w:tcW w:w="858"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b/>
                <w:color w:val="000000"/>
                <w:sz w:val="24"/>
                <w:szCs w:val="24"/>
                <w:highlight w:val="none"/>
              </w:rPr>
              <w:t xml:space="preserve">序号</w:t>
            </w:r>
            <w:r>
              <w:rPr>
                <w:highlight w:val="none"/>
              </w:rPr>
            </w:r>
          </w:p>
        </w:tc>
        <w:tc>
          <w:tcPr>
            <w:shd w:val="clear" w:color="auto" w:fill="2e5fa3"/>
            <w:tcW w:w="1243"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b/>
                <w:color w:val="000000"/>
                <w:sz w:val="24"/>
                <w:szCs w:val="24"/>
                <w:highlight w:val="none"/>
              </w:rPr>
              <w:t xml:space="preserve">岗位名称</w:t>
            </w:r>
            <w:r>
              <w:rPr>
                <w:highlight w:val="none"/>
              </w:rPr>
            </w:r>
          </w:p>
        </w:tc>
        <w:tc>
          <w:tcPr>
            <w:shd w:val="clear" w:color="auto" w:fill="2e5fa3"/>
            <w:tcW w:w="98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b/>
                <w:color w:val="000000"/>
                <w:sz w:val="24"/>
                <w:szCs w:val="24"/>
                <w:highlight w:val="none"/>
              </w:rPr>
              <w:t xml:space="preserve">人数</w:t>
            </w:r>
            <w:r>
              <w:rPr>
                <w:highlight w:val="none"/>
              </w:rPr>
            </w:r>
          </w:p>
        </w:tc>
        <w:tc>
          <w:tcPr>
            <w:shd w:val="clear" w:color="auto" w:fill="2e5fa3"/>
            <w:tcW w:w="3210"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b/>
                <w:color w:val="000000"/>
                <w:sz w:val="24"/>
                <w:szCs w:val="24"/>
                <w:highlight w:val="none"/>
              </w:rPr>
              <w:t xml:space="preserve">主要职责</w:t>
            </w:r>
            <w:r>
              <w:rPr>
                <w:highlight w:val="none"/>
              </w:rPr>
            </w:r>
          </w:p>
        </w:tc>
        <w:tc>
          <w:tcPr>
            <w:shd w:val="clear" w:color="auto" w:fill="2e5fa3"/>
            <w:tcW w:w="2759"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b/>
                <w:color w:val="000000"/>
                <w:sz w:val="24"/>
                <w:szCs w:val="24"/>
                <w:highlight w:val="none"/>
                <w:lang w:val="en-US" w:eastAsia="zh-CN"/>
              </w:rPr>
              <w:t xml:space="preserve">岗位</w:t>
            </w:r>
            <w:r>
              <w:rPr>
                <w:rFonts w:hint="eastAsia" w:ascii="方正仿宋_GBK" w:hAnsi="方正仿宋_GBK" w:eastAsia="方正仿宋_GBK" w:cs="方正仿宋_GBK"/>
                <w:b/>
                <w:color w:val="000000"/>
                <w:sz w:val="24"/>
                <w:szCs w:val="24"/>
                <w:highlight w:val="none"/>
              </w:rPr>
              <w:t xml:space="preserve">要求</w:t>
            </w:r>
            <w:r>
              <w:rPr>
                <w:highlight w:val="none"/>
              </w:rPr>
            </w:r>
          </w:p>
        </w:tc>
      </w:tr>
      <w:tr>
        <w:trPr>
          <w:trHeight w:val="680"/>
        </w:trPr>
        <w:tc>
          <w:tcPr>
            <w:tcW w:w="858"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rPr>
                <w:highlight w:val="none"/>
              </w:rPr>
            </w:r>
          </w:p>
        </w:tc>
        <w:tc>
          <w:tcPr>
            <w:tcW w:w="1243" w:type="dxa"/>
            <w:vAlign w:val="center"/>
            <w:textDirection w:val="lrTb"/>
            <w:noWrap w:val="false"/>
          </w:tcPr>
          <w:p>
            <w:pPr>
              <w:jc w:val="center"/>
              <w:spacing w:line="360" w:lineRule="exact"/>
              <w:rPr>
                <w:rFonts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项目经理</w:t>
            </w:r>
            <w:r>
              <w:rPr>
                <w:highlight w:val="none"/>
              </w:rPr>
            </w:r>
          </w:p>
        </w:tc>
        <w:tc>
          <w:tcPr>
            <w:tcW w:w="98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rPr>
                <w:highlight w:val="none"/>
              </w:rPr>
            </w:r>
          </w:p>
        </w:tc>
        <w:tc>
          <w:tcPr>
            <w:tcW w:w="3210" w:type="dxa"/>
            <w:vAlign w:val="center"/>
            <w:textDirection w:val="lrTb"/>
            <w:noWrap w:val="false"/>
          </w:tcPr>
          <w:p>
            <w:pPr>
              <w:jc w:val="both"/>
              <w:keepLines w:val="0"/>
              <w:keepNext w:val="0"/>
              <w:pageBreakBefore w:val="0"/>
              <w:spacing w:line="30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负责项目整体管理、项目团队组建与管理。协调财务、与对接工作，统筹项目档案资料管理</w:t>
            </w:r>
            <w:r>
              <w:rPr>
                <w:highlight w:val="none"/>
              </w:rPr>
            </w:r>
          </w:p>
        </w:tc>
        <w:tc>
          <w:tcPr>
            <w:tcW w:w="2759" w:type="dxa"/>
            <w:vAlign w:val="center"/>
            <w:textDirection w:val="lrTb"/>
            <w:noWrap w:val="false"/>
          </w:tcPr>
          <w:p>
            <w:pPr>
              <w:jc w:val="both"/>
              <w:keepLines w:val="0"/>
              <w:keepNext w:val="0"/>
              <w:pageBreakBefore w:val="0"/>
              <w:spacing w:line="300" w:lineRule="exact"/>
              <w:widowControl w:val="off"/>
              <w:rPr>
                <w:rFonts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项目经理5年</w:t>
            </w:r>
            <w:r>
              <w:rPr>
                <w:rFonts w:hint="eastAsia" w:ascii="方正仿宋_GBK" w:hAnsi="方正仿宋_GBK" w:eastAsia="方正仿宋_GBK" w:cs="方正仿宋_GBK"/>
                <w:color w:val="000000"/>
                <w:sz w:val="24"/>
                <w:szCs w:val="24"/>
                <w:highlight w:val="none"/>
                <w:lang w:val="en-US" w:eastAsia="zh-CN"/>
              </w:rPr>
              <w:t xml:space="preserve">及</w:t>
            </w:r>
            <w:r>
              <w:rPr>
                <w:rFonts w:hint="eastAsia" w:ascii="方正仿宋_GBK" w:hAnsi="方正仿宋_GBK" w:eastAsia="方正仿宋_GBK" w:cs="方正仿宋_GBK"/>
                <w:color w:val="000000"/>
                <w:sz w:val="24"/>
                <w:szCs w:val="24"/>
                <w:highlight w:val="none"/>
              </w:rPr>
              <w:t xml:space="preserve">以上与本项目类似的（非住宅类的）物业项目工作经验，具有本科</w:t>
            </w:r>
            <w:r>
              <w:rPr>
                <w:rFonts w:hint="eastAsia" w:ascii="方正仿宋_GBK" w:hAnsi="方正仿宋_GBK" w:eastAsia="方正仿宋_GBK" w:cs="方正仿宋_GBK"/>
                <w:color w:val="000000"/>
                <w:sz w:val="24"/>
                <w:szCs w:val="24"/>
                <w:highlight w:val="none"/>
                <w:lang w:val="en-US" w:eastAsia="zh-CN"/>
              </w:rPr>
              <w:t xml:space="preserve">及</w:t>
            </w:r>
            <w:r>
              <w:rPr>
                <w:rFonts w:hint="eastAsia" w:ascii="方正仿宋_GBK" w:hAnsi="方正仿宋_GBK" w:eastAsia="方正仿宋_GBK" w:cs="方正仿宋_GBK"/>
                <w:color w:val="000000"/>
                <w:sz w:val="24"/>
                <w:szCs w:val="24"/>
                <w:highlight w:val="none"/>
              </w:rPr>
              <w:t xml:space="preserve">以上学历</w:t>
            </w:r>
            <w:r>
              <w:rPr>
                <w:highlight w:val="none"/>
              </w:rPr>
            </w:r>
          </w:p>
        </w:tc>
      </w:tr>
      <w:tr>
        <w:trPr>
          <w:trHeight w:val="899"/>
        </w:trPr>
        <w:tc>
          <w:tcPr>
            <w:tcW w:w="858"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2</w:t>
            </w:r>
            <w:r>
              <w:rPr>
                <w:highlight w:val="none"/>
              </w:rPr>
            </w:r>
          </w:p>
        </w:tc>
        <w:tc>
          <w:tcPr>
            <w:tcW w:w="1243"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楼宇</w:t>
            </w:r>
            <w:r>
              <w:rPr>
                <w:rFonts w:hint="eastAsia" w:ascii="方正仿宋_GBK" w:hAnsi="方正仿宋_GBK" w:eastAsia="方正仿宋_GBK" w:cs="方正仿宋_GBK"/>
                <w:color w:val="000000"/>
                <w:sz w:val="24"/>
                <w:szCs w:val="24"/>
                <w:highlight w:val="none"/>
              </w:rPr>
              <w:t xml:space="preserve">主管</w:t>
            </w:r>
            <w:r>
              <w:rPr>
                <w:highlight w:val="none"/>
              </w:rPr>
            </w:r>
          </w:p>
        </w:tc>
        <w:tc>
          <w:tcPr>
            <w:tcW w:w="98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rPr>
                <w:highlight w:val="none"/>
              </w:rPr>
            </w:r>
          </w:p>
        </w:tc>
        <w:tc>
          <w:tcPr>
            <w:tcW w:w="3210" w:type="dxa"/>
            <w:vAlign w:val="center"/>
            <w:textDirection w:val="lrTb"/>
            <w:noWrap w:val="false"/>
          </w:tcPr>
          <w:p>
            <w:pPr>
              <w:jc w:val="both"/>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统筹管理标段日常服务、人员调配、考核协调、与学院对接</w:t>
            </w:r>
            <w:r>
              <w:rPr>
                <w:highlight w:val="none"/>
              </w:rPr>
            </w:r>
          </w:p>
        </w:tc>
        <w:tc>
          <w:tcPr>
            <w:tcW w:w="2759" w:type="dxa"/>
            <w:vAlign w:val="center"/>
            <w:textDirection w:val="lrTb"/>
            <w:noWrap w:val="false"/>
          </w:tcPr>
          <w:p>
            <w:pPr>
              <w:jc w:val="both"/>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bidi="ar-SA"/>
              </w:rPr>
              <w:t xml:space="preserve">具有与本项目类似的项目楼宇管理经验</w:t>
            </w:r>
            <w:r>
              <w:rPr>
                <w:rFonts w:hint="eastAsia" w:ascii="方正仿宋_GBK" w:hAnsi="方正仿宋_GBK" w:eastAsia="方正仿宋_GBK" w:cs="方正仿宋_GBK"/>
                <w:color w:val="000000"/>
                <w:sz w:val="24"/>
                <w:szCs w:val="24"/>
                <w:highlight w:val="none"/>
                <w:lang w:eastAsia="zh-CN"/>
              </w:rPr>
              <w:t xml:space="preserve">5</w:t>
            </w:r>
            <w:r>
              <w:rPr>
                <w:rFonts w:hint="eastAsia" w:ascii="方正仿宋_GBK" w:hAnsi="方正仿宋_GBK" w:eastAsia="方正仿宋_GBK" w:cs="方正仿宋_GBK"/>
                <w:color w:val="000000"/>
                <w:sz w:val="24"/>
                <w:szCs w:val="24"/>
                <w:highlight w:val="none"/>
              </w:rPr>
              <w:t xml:space="preserve">年</w:t>
            </w:r>
            <w:r>
              <w:rPr>
                <w:rFonts w:hint="eastAsia" w:ascii="方正仿宋_GBK" w:hAnsi="方正仿宋_GBK" w:eastAsia="方正仿宋_GBK" w:cs="方正仿宋_GBK"/>
                <w:color w:val="000000"/>
                <w:sz w:val="24"/>
                <w:szCs w:val="24"/>
                <w:highlight w:val="none"/>
                <w:lang w:val="en-US" w:eastAsia="zh-CN"/>
              </w:rPr>
              <w:t xml:space="preserve">及</w:t>
            </w:r>
            <w:r>
              <w:rPr>
                <w:rFonts w:hint="eastAsia" w:ascii="方正仿宋_GBK" w:hAnsi="方正仿宋_GBK" w:eastAsia="方正仿宋_GBK" w:cs="方正仿宋_GBK"/>
                <w:color w:val="000000"/>
                <w:sz w:val="24"/>
                <w:szCs w:val="24"/>
                <w:highlight w:val="none"/>
              </w:rPr>
              <w:t xml:space="preserve">以上；具有专科</w:t>
            </w:r>
            <w:r>
              <w:rPr>
                <w:rFonts w:hint="eastAsia" w:ascii="方正仿宋_GBK" w:hAnsi="方正仿宋_GBK" w:eastAsia="方正仿宋_GBK" w:cs="方正仿宋_GBK"/>
                <w:color w:val="000000"/>
                <w:sz w:val="24"/>
                <w:szCs w:val="24"/>
                <w:highlight w:val="none"/>
                <w:lang w:val="en-US" w:eastAsia="zh-CN"/>
              </w:rPr>
              <w:t xml:space="preserve">及</w:t>
            </w:r>
            <w:r>
              <w:rPr>
                <w:rFonts w:hint="eastAsia" w:ascii="方正仿宋_GBK" w:hAnsi="方正仿宋_GBK" w:eastAsia="方正仿宋_GBK" w:cs="方正仿宋_GBK"/>
                <w:color w:val="000000"/>
                <w:sz w:val="24"/>
                <w:szCs w:val="24"/>
                <w:highlight w:val="none"/>
              </w:rPr>
              <w:t xml:space="preserve">以上学历</w:t>
            </w:r>
            <w:r>
              <w:rPr>
                <w:highlight w:val="none"/>
              </w:rPr>
            </w:r>
          </w:p>
        </w:tc>
      </w:tr>
      <w:tr>
        <w:trPr>
          <w:trHeight w:val="680"/>
        </w:trPr>
        <w:tc>
          <w:tcPr>
            <w:shd w:val="clear" w:color="auto" w:fill="eef2fa"/>
            <w:tcW w:w="858"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3</w:t>
            </w:r>
            <w:r>
              <w:rPr>
                <w:highlight w:val="none"/>
              </w:rPr>
            </w:r>
          </w:p>
        </w:tc>
        <w:tc>
          <w:tcPr>
            <w:shd w:val="clear" w:color="auto" w:fill="eef2fa"/>
            <w:tcW w:w="1243"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安保人员</w:t>
            </w:r>
            <w:r>
              <w:rPr>
                <w:highlight w:val="none"/>
              </w:rPr>
            </w:r>
          </w:p>
        </w:tc>
        <w:tc>
          <w:tcPr>
            <w:shd w:val="clear" w:color="auto" w:fill="eef2fa"/>
            <w:tcW w:w="984" w:type="dxa"/>
            <w:vAlign w:val="center"/>
            <w:textDirection w:val="lrTb"/>
            <w:noWrap w:val="false"/>
          </w:tcPr>
          <w:p>
            <w:pPr>
              <w:jc w:val="center"/>
              <w:spacing w:line="360" w:lineRule="exact"/>
              <w:rPr>
                <w:rFonts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10</w:t>
            </w:r>
            <w:r>
              <w:rPr>
                <w:highlight w:val="none"/>
              </w:rPr>
            </w:r>
          </w:p>
        </w:tc>
        <w:tc>
          <w:tcPr>
            <w:shd w:val="clear" w:color="auto" w:fill="eef2fa"/>
            <w:tcW w:w="3210" w:type="dxa"/>
            <w:vAlign w:val="center"/>
            <w:textDirection w:val="lrTb"/>
            <w:noWrap w:val="false"/>
          </w:tcPr>
          <w:p>
            <w:pPr>
              <w:jc w:val="both"/>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各楼宇公共区域及指定室内区域保洁，楼宇安保巡逻</w:t>
            </w:r>
            <w:r>
              <w:rPr>
                <w:highlight w:val="none"/>
              </w:rPr>
            </w:r>
          </w:p>
        </w:tc>
        <w:tc>
          <w:tcPr>
            <w:shd w:val="clear" w:color="auto" w:fill="eef2fa"/>
            <w:tcW w:w="2759" w:type="dxa"/>
            <w:vAlign w:val="center"/>
            <w:textDirection w:val="lrTb"/>
            <w:noWrap w:val="false"/>
          </w:tcPr>
          <w:p>
            <w:pPr>
              <w:jc w:val="both"/>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rPr>
              <w:t xml:space="preserve">楼宇管理</w:t>
            </w:r>
            <w:r>
              <w:rPr>
                <w:rFonts w:hint="eastAsia" w:ascii="方正仿宋_GBK" w:hAnsi="方正仿宋_GBK" w:eastAsia="方正仿宋_GBK" w:cs="方正仿宋_GBK"/>
                <w:color w:val="000000"/>
                <w:sz w:val="24"/>
                <w:szCs w:val="24"/>
                <w:highlight w:val="none"/>
                <w:lang w:val="en-US" w:eastAsia="zh-CN"/>
              </w:rPr>
              <w:t xml:space="preserve">安保</w:t>
            </w:r>
            <w:r>
              <w:rPr>
                <w:rFonts w:hint="eastAsia" w:ascii="方正仿宋_GBK" w:hAnsi="方正仿宋_GBK" w:eastAsia="方正仿宋_GBK" w:cs="方正仿宋_GBK"/>
                <w:color w:val="000000"/>
                <w:sz w:val="24"/>
                <w:szCs w:val="24"/>
                <w:highlight w:val="none"/>
              </w:rPr>
              <w:t xml:space="preserve">人员具有</w:t>
            </w:r>
            <w:r>
              <w:rPr>
                <w:rFonts w:hint="eastAsia" w:ascii="方正仿宋_GBK" w:hAnsi="方正仿宋_GBK" w:eastAsia="方正仿宋_GBK" w:cs="方正仿宋_GBK"/>
                <w:color w:val="000000"/>
                <w:sz w:val="24"/>
                <w:szCs w:val="24"/>
                <w:highlight w:val="none"/>
                <w:lang w:val="en-US" w:eastAsia="zh-CN"/>
              </w:rPr>
              <w:t xml:space="preserve">高中</w:t>
            </w:r>
            <w:r>
              <w:rPr>
                <w:rFonts w:hint="eastAsia" w:ascii="方正仿宋_GBK" w:hAnsi="方正仿宋_GBK" w:eastAsia="方正仿宋_GBK" w:cs="方正仿宋_GBK"/>
                <w:color w:val="000000"/>
                <w:sz w:val="24"/>
                <w:szCs w:val="24"/>
                <w:highlight w:val="none"/>
              </w:rPr>
              <w:t xml:space="preserve">及以上学历；具有类似项目管理经验</w:t>
            </w:r>
            <w:r>
              <w:rPr>
                <w:highlight w:val="none"/>
              </w:rPr>
            </w:r>
          </w:p>
        </w:tc>
      </w:tr>
      <w:tr>
        <w:trPr>
          <w:trHeight w:val="680"/>
        </w:trPr>
        <w:tc>
          <w:tcPr>
            <w:shd w:val="clear" w:color="auto" w:fill="eef2fa"/>
            <w:tcW w:w="858"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4</w:t>
            </w:r>
            <w:r>
              <w:rPr>
                <w:highlight w:val="none"/>
              </w:rPr>
            </w:r>
          </w:p>
        </w:tc>
        <w:tc>
          <w:tcPr>
            <w:shd w:val="clear" w:color="auto" w:fill="eef2fa"/>
            <w:tcW w:w="1243" w:type="dxa"/>
            <w:vAlign w:val="center"/>
            <w:textDirection w:val="lrTb"/>
            <w:noWrap w:val="false"/>
          </w:tcPr>
          <w:p>
            <w:pPr>
              <w:jc w:val="center"/>
              <w:spacing w:line="360" w:lineRule="exact"/>
              <w:rPr>
                <w:rFonts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保洁人员</w:t>
            </w:r>
            <w:r>
              <w:rPr>
                <w:highlight w:val="none"/>
              </w:rPr>
            </w:r>
          </w:p>
        </w:tc>
        <w:tc>
          <w:tcPr>
            <w:shd w:val="clear" w:color="auto" w:fill="eef2fa"/>
            <w:tcW w:w="984" w:type="dxa"/>
            <w:vAlign w:val="center"/>
            <w:textDirection w:val="lrTb"/>
            <w:noWrap w:val="false"/>
          </w:tcPr>
          <w:p>
            <w:pPr>
              <w:jc w:val="center"/>
              <w:spacing w:line="360" w:lineRule="exact"/>
              <w:rPr>
                <w:rFonts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18</w:t>
            </w:r>
            <w:r>
              <w:rPr>
                <w:highlight w:val="none"/>
              </w:rPr>
            </w:r>
          </w:p>
        </w:tc>
        <w:tc>
          <w:tcPr>
            <w:shd w:val="clear" w:color="auto" w:fill="eef2fa"/>
            <w:tcW w:w="3210" w:type="dxa"/>
            <w:vAlign w:val="center"/>
            <w:textDirection w:val="lrTb"/>
            <w:noWrap w:val="false"/>
          </w:tcPr>
          <w:p>
            <w:pPr>
              <w:jc w:val="both"/>
              <w:spacing w:line="360" w:lineRule="exact"/>
              <w:rPr>
                <w:rFonts w:hint="default"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各楼层公共区域及卫生间保洁</w:t>
            </w:r>
            <w:r>
              <w:rPr>
                <w:rFonts w:hint="eastAsia" w:ascii="方正仿宋_GBK" w:hAnsi="方正仿宋_GBK" w:eastAsia="方正仿宋_GBK" w:cs="方正仿宋_GBK"/>
                <w:color w:val="000000"/>
                <w:sz w:val="24"/>
                <w:szCs w:val="24"/>
                <w:highlight w:val="none"/>
                <w:lang w:eastAsia="zh-CN"/>
              </w:rPr>
              <w:t xml:space="preserve">、</w:t>
            </w:r>
            <w:r>
              <w:rPr>
                <w:rFonts w:hint="eastAsia" w:ascii="方正仿宋_GBK" w:hAnsi="方正仿宋_GBK" w:eastAsia="方正仿宋_GBK" w:cs="方正仿宋_GBK"/>
                <w:color w:val="000000"/>
                <w:sz w:val="24"/>
                <w:szCs w:val="24"/>
                <w:highlight w:val="none"/>
                <w:lang w:val="en-US" w:eastAsia="zh-CN"/>
              </w:rPr>
              <w:t xml:space="preserve">垃圾清运</w:t>
            </w:r>
            <w:r>
              <w:rPr>
                <w:highlight w:val="none"/>
              </w:rPr>
            </w:r>
          </w:p>
        </w:tc>
        <w:tc>
          <w:tcPr>
            <w:shd w:val="clear" w:color="auto" w:fill="eef2fa"/>
            <w:tcW w:w="2759" w:type="dxa"/>
            <w:vAlign w:val="center"/>
            <w:textDirection w:val="lrTb"/>
            <w:noWrap w:val="false"/>
          </w:tcPr>
          <w:p>
            <w:pPr>
              <w:jc w:val="both"/>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具有相关工作经验</w:t>
            </w:r>
            <w:r>
              <w:rPr>
                <w:highlight w:val="none"/>
              </w:rPr>
            </w:r>
          </w:p>
        </w:tc>
      </w:tr>
      <w:tr>
        <w:trPr>
          <w:trHeight w:val="680"/>
        </w:trPr>
        <w:tc>
          <w:tcPr>
            <w:tcW w:w="858"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5</w:t>
            </w:r>
            <w:r>
              <w:rPr>
                <w:highlight w:val="none"/>
              </w:rPr>
            </w:r>
          </w:p>
        </w:tc>
        <w:tc>
          <w:tcPr>
            <w:tcW w:w="1243"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会务人员</w:t>
            </w:r>
            <w:r>
              <w:rPr>
                <w:highlight w:val="none"/>
              </w:rPr>
            </w:r>
          </w:p>
        </w:tc>
        <w:tc>
          <w:tcPr>
            <w:tcW w:w="98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4</w:t>
            </w:r>
            <w:r>
              <w:rPr>
                <w:highlight w:val="none"/>
              </w:rPr>
            </w:r>
          </w:p>
        </w:tc>
        <w:tc>
          <w:tcPr>
            <w:tcW w:w="3210" w:type="dxa"/>
            <w:vAlign w:val="center"/>
            <w:textDirection w:val="lrTb"/>
            <w:noWrap w:val="false"/>
          </w:tcPr>
          <w:p>
            <w:pPr>
              <w:jc w:val="both"/>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弘毅楼安全保卫、外来人员管控及会议室会务服务</w:t>
            </w:r>
            <w:r>
              <w:rPr>
                <w:highlight w:val="none"/>
              </w:rPr>
            </w:r>
          </w:p>
        </w:tc>
        <w:tc>
          <w:tcPr>
            <w:tcW w:w="2759" w:type="dxa"/>
            <w:vAlign w:val="center"/>
            <w:textDirection w:val="lrTb"/>
            <w:noWrap w:val="false"/>
          </w:tcPr>
          <w:p>
            <w:pPr>
              <w:jc w:val="both"/>
              <w:spacing w:line="360" w:lineRule="exact"/>
              <w:rPr>
                <w:rFonts w:hint="default"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具有专科及以上学历</w:t>
            </w:r>
            <w:r>
              <w:rPr>
                <w:rFonts w:hint="eastAsia" w:ascii="方正仿宋_GBK" w:hAnsi="方正仿宋_GBK" w:eastAsia="方正仿宋_GBK" w:cs="方正仿宋_GBK"/>
                <w:color w:val="000000"/>
                <w:sz w:val="24"/>
                <w:szCs w:val="24"/>
                <w:highlight w:val="none"/>
                <w:lang w:eastAsia="zh-CN"/>
              </w:rPr>
              <w:t xml:space="preserve">；</w:t>
            </w:r>
            <w:r>
              <w:rPr>
                <w:rFonts w:hint="eastAsia" w:ascii="方正仿宋_GBK" w:hAnsi="方正仿宋_GBK" w:eastAsia="方正仿宋_GBK" w:cs="方正仿宋_GBK"/>
                <w:color w:val="000000"/>
                <w:sz w:val="24"/>
                <w:szCs w:val="24"/>
                <w:highlight w:val="none"/>
                <w:lang w:val="en-US" w:eastAsia="zh-CN"/>
              </w:rPr>
              <w:t xml:space="preserve">具有1年及以上类似工作经验</w:t>
            </w:r>
            <w:r>
              <w:rPr>
                <w:highlight w:val="none"/>
              </w:rPr>
            </w:r>
          </w:p>
        </w:tc>
      </w:tr>
      <w:tr>
        <w:trPr>
          <w:trHeight w:val="680"/>
        </w:trPr>
        <w:tc>
          <w:tcPr>
            <w:shd w:val="clear" w:color="auto" w:fill="eef2fa"/>
            <w:tcW w:w="858"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6</w:t>
            </w:r>
            <w:r>
              <w:rPr>
                <w:highlight w:val="none"/>
              </w:rPr>
            </w:r>
          </w:p>
        </w:tc>
        <w:tc>
          <w:tcPr>
            <w:shd w:val="clear" w:color="auto" w:fill="eef2fa"/>
            <w:tcW w:w="1243"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电梯管理员</w:t>
            </w:r>
            <w:r>
              <w:rPr>
                <w:highlight w:val="none"/>
              </w:rPr>
            </w:r>
          </w:p>
        </w:tc>
        <w:tc>
          <w:tcPr>
            <w:shd w:val="clear" w:color="auto" w:fill="eef2fa"/>
            <w:tcW w:w="98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rPr>
                <w:highlight w:val="none"/>
              </w:rPr>
            </w:r>
          </w:p>
        </w:tc>
        <w:tc>
          <w:tcPr>
            <w:shd w:val="clear" w:color="auto" w:fill="eef2fa"/>
            <w:tcW w:w="3210"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全院电梯年检配合</w:t>
            </w:r>
            <w:r>
              <w:rPr>
                <w:highlight w:val="none"/>
              </w:rPr>
            </w:r>
          </w:p>
        </w:tc>
        <w:tc>
          <w:tcPr>
            <w:shd w:val="clear" w:color="auto" w:fill="eef2fa"/>
            <w:tcW w:w="2759" w:type="dxa"/>
            <w:vAlign w:val="center"/>
            <w:textDirection w:val="lrTb"/>
            <w:noWrap w:val="false"/>
          </w:tcPr>
          <w:p>
            <w:pPr>
              <w:jc w:val="both"/>
              <w:spacing w:line="360" w:lineRule="exact"/>
              <w:rPr>
                <w:rFonts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电梯管理员持特种设备作业人员证特种设备安全管理证A证；具有1年及以上类似项目管理经验</w:t>
            </w:r>
            <w:r>
              <w:rPr>
                <w:highlight w:val="none"/>
              </w:rPr>
            </w:r>
          </w:p>
        </w:tc>
      </w:tr>
      <w:tr>
        <w:trPr>
          <w:trHeight w:val="421"/>
        </w:trPr>
        <w:tc>
          <w:tcPr>
            <w:tcW w:w="858"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r>
            <w:r>
              <w:rPr>
                <w:highlight w:val="none"/>
              </w:rPr>
            </w:r>
          </w:p>
        </w:tc>
        <w:tc>
          <w:tcPr>
            <w:tcW w:w="1243"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合计</w:t>
            </w:r>
            <w:r>
              <w:rPr>
                <w:highlight w:val="none"/>
              </w:rPr>
            </w:r>
          </w:p>
        </w:tc>
        <w:tc>
          <w:tcPr>
            <w:tcW w:w="98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34</w:t>
            </w:r>
            <w:r>
              <w:rPr>
                <w:highlight w:val="none"/>
              </w:rPr>
            </w:r>
          </w:p>
        </w:tc>
        <w:tc>
          <w:tcPr>
            <w:tcW w:w="3210"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r>
            <w:r>
              <w:rPr>
                <w:highlight w:val="none"/>
              </w:rPr>
            </w:r>
          </w:p>
        </w:tc>
        <w:tc>
          <w:tcPr>
            <w:tcW w:w="2759"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r>
            <w:r>
              <w:rPr>
                <w:highlight w:val="none"/>
              </w:rPr>
            </w:r>
          </w:p>
        </w:tc>
      </w:tr>
    </w:tbl>
    <w:p>
      <w:pPr>
        <w:pStyle w:val="885"/>
        <w:ind w:firstLine="562"/>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2.人员管理要求</w:t>
      </w:r>
      <w:r>
        <w:rPr>
          <w:highlight w:val="none"/>
        </w:rPr>
      </w:r>
    </w:p>
    <w:p>
      <w:pPr>
        <w:ind w:firstLine="560"/>
        <w:spacing w:line="44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b w:val="0"/>
          <w:i w:val="0"/>
          <w:color w:val="000000"/>
          <w:sz w:val="28"/>
          <w:szCs w:val="28"/>
          <w:highlight w:val="none"/>
          <w:u w:val="none"/>
        </w:rPr>
        <w:t xml:space="preserve">中标后，合同期内不得随意更换</w:t>
      </w:r>
      <w:r>
        <w:rPr>
          <w:rFonts w:hint="eastAsia" w:ascii="方正仿宋_GBK" w:hAnsi="方正仿宋_GBK" w:eastAsia="方正仿宋_GBK" w:cs="方正仿宋_GBK"/>
          <w:b w:val="0"/>
          <w:i w:val="0"/>
          <w:color w:val="000000"/>
          <w:sz w:val="28"/>
          <w:szCs w:val="28"/>
          <w:highlight w:val="none"/>
          <w:u w:val="none"/>
          <w:lang w:val="en-US" w:eastAsia="zh-CN"/>
        </w:rPr>
        <w:t xml:space="preserve">服务人员</w:t>
      </w:r>
      <w:r>
        <w:rPr>
          <w:rFonts w:hint="eastAsia" w:ascii="方正仿宋_GBK" w:hAnsi="方正仿宋_GBK" w:eastAsia="方正仿宋_GBK" w:cs="方正仿宋_GBK"/>
          <w:b w:val="0"/>
          <w:i w:val="0"/>
          <w:color w:val="000000"/>
          <w:sz w:val="28"/>
          <w:szCs w:val="28"/>
          <w:highlight w:val="none"/>
          <w:u w:val="none"/>
        </w:rPr>
        <w:t xml:space="preserve">。确需更换的，中标人须至少提前一个月以书面形式通知采购人并经采购人书面同意，方可更换符合同等或更高要求的人员，且人员更换不得影响学校物业服务正常开展；</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（2）所有在岗人员须经学院后勤基建处审核备案，并提供身份证等相关证件复印件；备案信息发生变更须及时更新。</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（3）工作期间须着供应商统一工装（工装须整洁、无破损），佩戴上岗证，仪容整洁，用语文明。</w:t>
      </w:r>
      <w:r>
        <w:rPr>
          <w:highlight w:val="none"/>
        </w:rP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（4）供应商须依法为所有在岗人员缴纳五险一金（或相应的社会保险），保障用工合规；如发生劳动纠纷，由供应商自行承担全部责任，与学院无关。</w:t>
      </w:r>
      <w:r>
        <w:rPr>
          <w:highlight w:val="none"/>
        </w:rPr>
      </w:r>
    </w:p>
    <w:p>
      <w:pPr>
        <w:pStyle w:val="885"/>
        <w:ind w:firstLine="562"/>
        <w:pageBreakBefore w:val="0"/>
        <w:spacing w:before="0" w:after="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3.人员稳定性保障要求</w:t>
      </w:r>
      <w:r>
        <w:rPr>
          <w:highlight w:val="none"/>
        </w:rP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（1）供应商须制定人员稳定性方案，通过合理薪酬、团队建设、职业发展规划等措施降低人员流失率；</w:t>
      </w:r>
      <w:r>
        <w:rPr>
          <w:highlight w:val="none"/>
        </w:rP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（2）主管及关键岗位人员（如楼宇巡查员）更换须提前30日告知学院，并确保工作平稳交接；</w:t>
      </w:r>
      <w:r>
        <w:rPr>
          <w:highlight w:val="none"/>
        </w:rP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（3）合同期内，核心管理人员（主管及以上）累计更换次数不得超过1次/年。</w:t>
      </w:r>
      <w:r>
        <w:rPr>
          <w:highlight w:val="none"/>
        </w:rPr>
      </w:r>
    </w:p>
    <w:p>
      <w:pPr>
        <w:pStyle w:val="919"/>
        <w:ind w:firstLine="560"/>
        <w:pageBreakBefore w:val="0"/>
        <w:spacing w:line="400" w:lineRule="exact"/>
        <w:widowControl w:val="off"/>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分包三：</w:t>
      </w:r>
      <w:r>
        <w:rPr>
          <w:highlight w:val="none"/>
        </w:rPr>
      </w:r>
    </w:p>
    <w:p>
      <w:pPr>
        <w:pStyle w:val="885"/>
        <w:ind w:firstLine="562"/>
        <w:pageBreakBefore w:val="0"/>
        <w:spacing w:before="0" w:after="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1.人员配置要求</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i w:val="0"/>
          <w:iCs w:val="0"/>
          <w:color w:val="000000"/>
          <w:sz w:val="28"/>
          <w:szCs w:val="28"/>
          <w:highlight w:val="none"/>
          <w:u w:val="none"/>
        </w:rPr>
        <w:t xml:space="preserve">最低在岗人员不少于39人</w:t>
      </w:r>
      <w:r>
        <w:rPr>
          <w:rFonts w:hint="eastAsia" w:ascii="方正仿宋_GBK" w:hAnsi="方正仿宋_GBK" w:eastAsia="方正仿宋_GBK" w:cs="方正仿宋_GBK"/>
          <w:color w:val="000000"/>
          <w:sz w:val="28"/>
          <w:szCs w:val="28"/>
          <w:highlight w:val="none"/>
        </w:rPr>
        <w:t xml:space="preserve">（所有人员年龄须为法定退休年龄以下），上述人员不含项目经理。最低配置要求如下：</w:t>
      </w:r>
      <w:r>
        <w:rPr>
          <w:highlight w:val="none"/>
        </w:rPr>
      </w:r>
    </w:p>
    <w:tbl>
      <w:tblPr>
        <w:tblStyle w:val="711"/>
        <w:tblW w:w="498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233"/>
        <w:gridCol w:w="859"/>
        <w:gridCol w:w="2597"/>
        <w:gridCol w:w="3345"/>
      </w:tblGrid>
      <w:tr>
        <w:trPr>
          <w:trHeight w:val="680"/>
          <w:tblHeader/>
        </w:trPr>
        <w:tc>
          <w:tcPr>
            <w:shd w:val="clear" w:color="auto" w:fill="2e5fa3"/>
            <w:tcW w:w="881"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b/>
                <w:color w:val="000000"/>
                <w:sz w:val="24"/>
                <w:szCs w:val="24"/>
                <w:highlight w:val="none"/>
              </w:rPr>
              <w:t xml:space="preserve">序号</w:t>
            </w:r>
            <w:r>
              <w:rPr>
                <w:highlight w:val="none"/>
              </w:rPr>
            </w:r>
          </w:p>
        </w:tc>
        <w:tc>
          <w:tcPr>
            <w:shd w:val="clear" w:color="auto" w:fill="2e5fa3"/>
            <w:tcW w:w="123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b/>
                <w:color w:val="000000"/>
                <w:sz w:val="24"/>
                <w:szCs w:val="24"/>
                <w:highlight w:val="none"/>
              </w:rPr>
              <w:t xml:space="preserve">岗位名称</w:t>
            </w:r>
            <w:r>
              <w:rPr>
                <w:highlight w:val="none"/>
              </w:rPr>
            </w:r>
          </w:p>
        </w:tc>
        <w:tc>
          <w:tcPr>
            <w:shd w:val="clear" w:color="auto" w:fill="2e5fa3"/>
            <w:tcW w:w="860"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b/>
                <w:color w:val="000000"/>
                <w:sz w:val="24"/>
                <w:szCs w:val="24"/>
                <w:highlight w:val="none"/>
              </w:rPr>
              <w:t xml:space="preserve">人数</w:t>
            </w:r>
            <w:r>
              <w:rPr>
                <w:highlight w:val="none"/>
              </w:rPr>
            </w:r>
          </w:p>
        </w:tc>
        <w:tc>
          <w:tcPr>
            <w:shd w:val="clear" w:color="auto" w:fill="2e5fa3"/>
            <w:tcW w:w="2600"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b/>
                <w:color w:val="000000"/>
                <w:sz w:val="24"/>
                <w:szCs w:val="24"/>
                <w:highlight w:val="none"/>
              </w:rPr>
              <w:t xml:space="preserve">主要职责</w:t>
            </w:r>
            <w:r>
              <w:rPr>
                <w:highlight w:val="none"/>
              </w:rPr>
            </w:r>
          </w:p>
        </w:tc>
        <w:tc>
          <w:tcPr>
            <w:shd w:val="clear" w:color="auto" w:fill="2e5fa3"/>
            <w:tcW w:w="3350"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b/>
                <w:color w:val="000000"/>
                <w:sz w:val="24"/>
                <w:szCs w:val="24"/>
                <w:highlight w:val="none"/>
                <w:lang w:val="en-US" w:eastAsia="zh-CN"/>
              </w:rPr>
              <w:t xml:space="preserve">岗位</w:t>
            </w:r>
            <w:r>
              <w:rPr>
                <w:rFonts w:hint="eastAsia" w:ascii="方正仿宋_GBK" w:hAnsi="方正仿宋_GBK" w:eastAsia="方正仿宋_GBK" w:cs="方正仿宋_GBK"/>
                <w:b/>
                <w:color w:val="000000"/>
                <w:sz w:val="24"/>
                <w:szCs w:val="24"/>
                <w:highlight w:val="none"/>
              </w:rPr>
              <w:t xml:space="preserve">要求</w:t>
            </w:r>
            <w:r>
              <w:rPr>
                <w:highlight w:val="none"/>
              </w:rPr>
            </w:r>
          </w:p>
        </w:tc>
      </w:tr>
      <w:tr>
        <w:trPr>
          <w:trHeight w:val="680"/>
        </w:trPr>
        <w:tc>
          <w:tcPr>
            <w:tcW w:w="881"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rPr>
                <w:highlight w:val="none"/>
              </w:rPr>
            </w:r>
          </w:p>
        </w:tc>
        <w:tc>
          <w:tcPr>
            <w:tcW w:w="1234" w:type="dxa"/>
            <w:vAlign w:val="center"/>
            <w:textDirection w:val="lrTb"/>
            <w:noWrap w:val="false"/>
          </w:tcPr>
          <w:p>
            <w:pPr>
              <w:jc w:val="center"/>
              <w:spacing w:line="360" w:lineRule="exact"/>
              <w:rPr>
                <w:rFonts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项目经理</w:t>
            </w:r>
            <w:r>
              <w:rPr>
                <w:highlight w:val="none"/>
              </w:rPr>
            </w:r>
          </w:p>
        </w:tc>
        <w:tc>
          <w:tcPr>
            <w:tcW w:w="860"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rPr>
                <w:highlight w:val="none"/>
              </w:rPr>
            </w:r>
          </w:p>
        </w:tc>
        <w:tc>
          <w:tcPr>
            <w:tcW w:w="2600" w:type="dxa"/>
            <w:vAlign w:val="top"/>
            <w:textDirection w:val="lrTb"/>
            <w:noWrap w:val="false"/>
          </w:tcPr>
          <w:p>
            <w:pPr>
              <w:keepLines w:val="0"/>
              <w:keepNext w:val="0"/>
              <w:pageBreakBefore w:val="0"/>
              <w:spacing w:line="30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负责项目整体管理、项目团队组建与管理。协调财务、与对接工作，统筹项目档案资料管理</w:t>
            </w:r>
            <w:r>
              <w:rPr>
                <w:highlight w:val="none"/>
              </w:rPr>
            </w:r>
          </w:p>
        </w:tc>
        <w:tc>
          <w:tcPr>
            <w:tcW w:w="3350" w:type="dxa"/>
            <w:vAlign w:val="top"/>
            <w:textDirection w:val="lrTb"/>
            <w:noWrap w:val="false"/>
          </w:tcPr>
          <w:p>
            <w:pPr>
              <w:spacing w:line="360" w:lineRule="exact"/>
              <w:rPr>
                <w:rFonts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项目经理5年</w:t>
            </w:r>
            <w:r>
              <w:rPr>
                <w:rFonts w:hint="eastAsia" w:ascii="方正仿宋_GBK" w:hAnsi="方正仿宋_GBK" w:eastAsia="方正仿宋_GBK" w:cs="方正仿宋_GBK"/>
                <w:color w:val="000000"/>
                <w:sz w:val="24"/>
                <w:szCs w:val="24"/>
                <w:highlight w:val="none"/>
                <w:lang w:val="en-US" w:eastAsia="zh-CN"/>
              </w:rPr>
              <w:t xml:space="preserve">及</w:t>
            </w:r>
            <w:r>
              <w:rPr>
                <w:rFonts w:hint="eastAsia" w:ascii="方正仿宋_GBK" w:hAnsi="方正仿宋_GBK" w:eastAsia="方正仿宋_GBK" w:cs="方正仿宋_GBK"/>
                <w:color w:val="000000"/>
                <w:sz w:val="24"/>
                <w:szCs w:val="24"/>
                <w:highlight w:val="none"/>
              </w:rPr>
              <w:t xml:space="preserve">以上与本项目类似的（非住宅类的）物业项目工作经验</w:t>
            </w:r>
            <w:r>
              <w:rPr>
                <w:rFonts w:hint="eastAsia" w:ascii="方正仿宋_GBK" w:hAnsi="方正仿宋_GBK" w:eastAsia="方正仿宋_GBK" w:cs="方正仿宋_GBK"/>
                <w:color w:val="000000"/>
                <w:sz w:val="24"/>
                <w:szCs w:val="24"/>
                <w:highlight w:val="none"/>
                <w:lang w:eastAsia="zh-CN"/>
              </w:rPr>
              <w:t xml:space="preserve">；</w:t>
            </w:r>
            <w:r>
              <w:rPr>
                <w:rFonts w:hint="eastAsia" w:ascii="方正仿宋_GBK" w:hAnsi="方正仿宋_GBK" w:eastAsia="方正仿宋_GBK" w:cs="方正仿宋_GBK"/>
                <w:color w:val="000000"/>
                <w:sz w:val="24"/>
                <w:szCs w:val="24"/>
                <w:highlight w:val="none"/>
              </w:rPr>
              <w:t xml:space="preserve">具有本科</w:t>
            </w:r>
            <w:r>
              <w:rPr>
                <w:rFonts w:hint="eastAsia" w:ascii="方正仿宋_GBK" w:hAnsi="方正仿宋_GBK" w:eastAsia="方正仿宋_GBK" w:cs="方正仿宋_GBK"/>
                <w:color w:val="000000"/>
                <w:sz w:val="24"/>
                <w:szCs w:val="24"/>
                <w:highlight w:val="none"/>
                <w:lang w:val="en-US" w:eastAsia="zh-CN"/>
              </w:rPr>
              <w:t xml:space="preserve">及</w:t>
            </w:r>
            <w:r>
              <w:rPr>
                <w:rFonts w:hint="eastAsia" w:ascii="方正仿宋_GBK" w:hAnsi="方正仿宋_GBK" w:eastAsia="方正仿宋_GBK" w:cs="方正仿宋_GBK"/>
                <w:color w:val="000000"/>
                <w:sz w:val="24"/>
                <w:szCs w:val="24"/>
                <w:highlight w:val="none"/>
              </w:rPr>
              <w:t xml:space="preserve">以上学历</w:t>
            </w:r>
            <w:r>
              <w:rPr>
                <w:highlight w:val="none"/>
              </w:rPr>
            </w:r>
          </w:p>
        </w:tc>
      </w:tr>
      <w:tr>
        <w:trPr>
          <w:trHeight w:val="680"/>
        </w:trPr>
        <w:tc>
          <w:tcPr>
            <w:tcW w:w="881"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2</w:t>
            </w:r>
            <w:r>
              <w:rPr>
                <w:highlight w:val="none"/>
              </w:rPr>
            </w:r>
          </w:p>
        </w:tc>
        <w:tc>
          <w:tcPr>
            <w:tcW w:w="123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楼宇</w:t>
            </w:r>
            <w:r>
              <w:rPr>
                <w:rFonts w:hint="eastAsia" w:ascii="方正仿宋_GBK" w:hAnsi="方正仿宋_GBK" w:eastAsia="方正仿宋_GBK" w:cs="方正仿宋_GBK"/>
                <w:color w:val="000000"/>
                <w:sz w:val="24"/>
                <w:szCs w:val="24"/>
                <w:highlight w:val="none"/>
              </w:rPr>
              <w:t xml:space="preserve">主管</w:t>
            </w:r>
            <w:r>
              <w:rPr>
                <w:highlight w:val="none"/>
              </w:rPr>
            </w:r>
          </w:p>
        </w:tc>
        <w:tc>
          <w:tcPr>
            <w:tcW w:w="860"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rPr>
                <w:highlight w:val="none"/>
              </w:rPr>
            </w:r>
          </w:p>
        </w:tc>
        <w:tc>
          <w:tcPr>
            <w:tcW w:w="2600"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统筹管理标段日常服务、人员调配、考核协调、与学院对接</w:t>
            </w:r>
            <w:r>
              <w:rPr>
                <w:highlight w:val="none"/>
              </w:rPr>
            </w:r>
          </w:p>
        </w:tc>
        <w:tc>
          <w:tcPr>
            <w:tcW w:w="3350" w:type="dxa"/>
            <w:vAlign w:val="top"/>
            <w:textDirection w:val="lrTb"/>
            <w:noWrap w:val="false"/>
          </w:tcPr>
          <w:p>
            <w:pPr>
              <w:spacing w:line="360" w:lineRule="exact"/>
              <w:rPr>
                <w:rFonts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具</w:t>
            </w:r>
            <w:r>
              <w:rPr>
                <w:rFonts w:hint="eastAsia" w:ascii="方正仿宋_GBK" w:hAnsi="方正仿宋_GBK" w:eastAsia="方正仿宋_GBK" w:cs="方正仿宋_GBK"/>
                <w:color w:val="000000"/>
                <w:sz w:val="24"/>
                <w:szCs w:val="24"/>
                <w:highlight w:val="none"/>
                <w:lang w:val="en-US" w:eastAsia="zh-CN"/>
              </w:rPr>
              <w:t xml:space="preserve">有</w:t>
            </w:r>
            <w:r>
              <w:rPr>
                <w:rFonts w:hint="eastAsia" w:ascii="方正仿宋_GBK" w:hAnsi="方正仿宋_GBK" w:eastAsia="方正仿宋_GBK" w:cs="方正仿宋_GBK"/>
                <w:color w:val="000000"/>
                <w:sz w:val="24"/>
                <w:szCs w:val="24"/>
                <w:highlight w:val="none"/>
              </w:rPr>
              <w:t xml:space="preserve">与本项目类似的楼宇管理经验</w:t>
            </w:r>
            <w:r>
              <w:rPr>
                <w:rFonts w:hint="eastAsia" w:ascii="方正仿宋_GBK" w:hAnsi="方正仿宋_GBK" w:eastAsia="方正仿宋_GBK" w:cs="方正仿宋_GBK"/>
                <w:color w:val="000000"/>
                <w:sz w:val="24"/>
                <w:szCs w:val="24"/>
                <w:highlight w:val="none"/>
                <w:lang w:val="en-US" w:eastAsia="zh-CN"/>
              </w:rPr>
              <w:t xml:space="preserve">5</w:t>
            </w:r>
            <w:r>
              <w:rPr>
                <w:rFonts w:hint="eastAsia" w:ascii="方正仿宋_GBK" w:hAnsi="方正仿宋_GBK" w:eastAsia="方正仿宋_GBK" w:cs="方正仿宋_GBK"/>
                <w:color w:val="000000"/>
                <w:sz w:val="24"/>
                <w:szCs w:val="24"/>
                <w:highlight w:val="none"/>
              </w:rPr>
              <w:t xml:space="preserve">年</w:t>
            </w:r>
            <w:r>
              <w:rPr>
                <w:rFonts w:hint="eastAsia" w:ascii="方正仿宋_GBK" w:hAnsi="方正仿宋_GBK" w:eastAsia="方正仿宋_GBK" w:cs="方正仿宋_GBK"/>
                <w:color w:val="000000"/>
                <w:sz w:val="24"/>
                <w:szCs w:val="24"/>
                <w:highlight w:val="none"/>
                <w:lang w:val="en-US" w:eastAsia="zh-CN"/>
              </w:rPr>
              <w:t xml:space="preserve">及</w:t>
            </w:r>
            <w:r>
              <w:rPr>
                <w:rFonts w:hint="eastAsia" w:ascii="方正仿宋_GBK" w:hAnsi="方正仿宋_GBK" w:eastAsia="方正仿宋_GBK" w:cs="方正仿宋_GBK"/>
                <w:color w:val="000000"/>
                <w:sz w:val="24"/>
                <w:szCs w:val="24"/>
                <w:highlight w:val="none"/>
              </w:rPr>
              <w:t xml:space="preserve">以上；具有专科</w:t>
            </w:r>
            <w:r>
              <w:rPr>
                <w:rFonts w:hint="eastAsia" w:ascii="方正仿宋_GBK" w:hAnsi="方正仿宋_GBK" w:eastAsia="方正仿宋_GBK" w:cs="方正仿宋_GBK"/>
                <w:color w:val="000000"/>
                <w:sz w:val="24"/>
                <w:szCs w:val="24"/>
                <w:highlight w:val="none"/>
                <w:lang w:val="en-US" w:eastAsia="zh-CN"/>
              </w:rPr>
              <w:t xml:space="preserve">及</w:t>
            </w:r>
            <w:r>
              <w:rPr>
                <w:rFonts w:hint="eastAsia" w:ascii="方正仿宋_GBK" w:hAnsi="方正仿宋_GBK" w:eastAsia="方正仿宋_GBK" w:cs="方正仿宋_GBK"/>
                <w:color w:val="000000"/>
                <w:sz w:val="24"/>
                <w:szCs w:val="24"/>
                <w:highlight w:val="none"/>
              </w:rPr>
              <w:t xml:space="preserve">以上学历</w:t>
            </w:r>
            <w:r>
              <w:rPr>
                <w:highlight w:val="none"/>
              </w:rPr>
            </w:r>
          </w:p>
        </w:tc>
      </w:tr>
      <w:tr>
        <w:trPr>
          <w:trHeight w:val="680"/>
        </w:trPr>
        <w:tc>
          <w:tcPr>
            <w:shd w:val="clear" w:color="auto" w:fill="eef2fa"/>
            <w:tcW w:w="881"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3</w:t>
            </w:r>
            <w:r>
              <w:rPr>
                <w:highlight w:val="none"/>
              </w:rPr>
            </w:r>
          </w:p>
        </w:tc>
        <w:tc>
          <w:tcPr>
            <w:shd w:val="clear" w:color="auto" w:fill="eef2fa"/>
            <w:tcW w:w="123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中组团保洁员</w:t>
            </w:r>
            <w:r>
              <w:rPr>
                <w:highlight w:val="none"/>
              </w:rPr>
            </w:r>
          </w:p>
        </w:tc>
        <w:tc>
          <w:tcPr>
            <w:shd w:val="clear" w:color="auto" w:fill="eef2fa"/>
            <w:tcW w:w="860"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13</w:t>
            </w:r>
            <w:r>
              <w:rPr>
                <w:highlight w:val="none"/>
              </w:rPr>
            </w:r>
          </w:p>
        </w:tc>
        <w:tc>
          <w:tcPr>
            <w:shd w:val="clear" w:color="auto" w:fill="eef2fa"/>
            <w:tcW w:w="2600"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明德楼、齐贤楼、宏博楼公共区域</w:t>
            </w:r>
            <w:r>
              <w:rPr>
                <w:rFonts w:hint="eastAsia" w:ascii="方正仿宋_GBK" w:hAnsi="方正仿宋_GBK" w:eastAsia="方正仿宋_GBK" w:cs="方正仿宋_GBK"/>
                <w:color w:val="000000"/>
                <w:sz w:val="24"/>
                <w:szCs w:val="24"/>
                <w:highlight w:val="none"/>
                <w:lang w:eastAsia="zh-CN"/>
              </w:rPr>
              <w:t xml:space="preserve">、</w:t>
            </w:r>
            <w:r>
              <w:rPr>
                <w:rFonts w:hint="eastAsia" w:ascii="方正仿宋_GBK" w:hAnsi="方正仿宋_GBK" w:eastAsia="方正仿宋_GBK" w:cs="方正仿宋_GBK"/>
                <w:color w:val="000000"/>
                <w:sz w:val="24"/>
                <w:szCs w:val="24"/>
                <w:highlight w:val="none"/>
                <w:lang w:val="en-US" w:eastAsia="zh-CN"/>
              </w:rPr>
              <w:t xml:space="preserve">卫生间、</w:t>
            </w:r>
            <w:r>
              <w:rPr>
                <w:rFonts w:hint="eastAsia" w:ascii="方正仿宋_GBK" w:hAnsi="方正仿宋_GBK" w:eastAsia="方正仿宋_GBK" w:cs="方正仿宋_GBK"/>
                <w:color w:val="000000"/>
                <w:sz w:val="24"/>
                <w:szCs w:val="24"/>
                <w:highlight w:val="none"/>
              </w:rPr>
              <w:t xml:space="preserve">地下室</w:t>
            </w:r>
            <w:r>
              <w:rPr>
                <w:rFonts w:hint="eastAsia" w:ascii="方正仿宋_GBK" w:hAnsi="方正仿宋_GBK" w:eastAsia="方正仿宋_GBK" w:cs="方正仿宋_GBK"/>
                <w:color w:val="000000"/>
                <w:sz w:val="24"/>
                <w:szCs w:val="24"/>
                <w:highlight w:val="none"/>
                <w:lang w:val="en-US" w:eastAsia="zh-CN"/>
              </w:rPr>
              <w:t xml:space="preserve">及</w:t>
            </w:r>
            <w:r>
              <w:rPr>
                <w:rFonts w:hint="eastAsia" w:ascii="方正仿宋_GBK" w:hAnsi="方正仿宋_GBK" w:eastAsia="方正仿宋_GBK" w:cs="方正仿宋_GBK"/>
                <w:color w:val="000000"/>
                <w:sz w:val="24"/>
                <w:szCs w:val="24"/>
                <w:highlight w:val="none"/>
              </w:rPr>
              <w:t xml:space="preserve">会议室</w:t>
            </w:r>
            <w:r>
              <w:rPr>
                <w:highlight w:val="none"/>
              </w:rPr>
            </w:r>
          </w:p>
        </w:tc>
        <w:tc>
          <w:tcPr>
            <w:shd w:val="clear" w:color="auto" w:fill="eef2fa"/>
            <w:tcW w:w="3350"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具有相关工作经验</w:t>
            </w:r>
            <w:r>
              <w:rPr>
                <w:highlight w:val="none"/>
              </w:rPr>
            </w:r>
          </w:p>
        </w:tc>
      </w:tr>
      <w:tr>
        <w:trPr>
          <w:trHeight w:val="680"/>
        </w:trPr>
        <w:tc>
          <w:tcPr>
            <w:tcW w:w="881"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4</w:t>
            </w:r>
            <w:r>
              <w:rPr>
                <w:highlight w:val="none"/>
              </w:rPr>
            </w:r>
          </w:p>
        </w:tc>
        <w:tc>
          <w:tcPr>
            <w:tcW w:w="123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西组团保洁员</w:t>
            </w:r>
            <w:r>
              <w:rPr>
                <w:highlight w:val="none"/>
              </w:rPr>
            </w:r>
          </w:p>
        </w:tc>
        <w:tc>
          <w:tcPr>
            <w:tcW w:w="860"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16</w:t>
            </w:r>
            <w:r>
              <w:rPr>
                <w:highlight w:val="none"/>
              </w:rPr>
            </w:r>
          </w:p>
        </w:tc>
        <w:tc>
          <w:tcPr>
            <w:tcW w:w="2600"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致远楼、明志楼、修远楼、广宇楼公共区域</w:t>
            </w:r>
            <w:r>
              <w:rPr>
                <w:rFonts w:hint="eastAsia" w:ascii="方正仿宋_GBK" w:hAnsi="方正仿宋_GBK" w:eastAsia="方正仿宋_GBK" w:cs="方正仿宋_GBK"/>
                <w:color w:val="000000"/>
                <w:sz w:val="24"/>
                <w:szCs w:val="24"/>
                <w:highlight w:val="none"/>
                <w:lang w:eastAsia="zh-CN"/>
              </w:rPr>
              <w:t xml:space="preserve">、</w:t>
            </w:r>
            <w:r>
              <w:rPr>
                <w:rFonts w:hint="eastAsia" w:ascii="方正仿宋_GBK" w:hAnsi="方正仿宋_GBK" w:eastAsia="方正仿宋_GBK" w:cs="方正仿宋_GBK"/>
                <w:color w:val="000000"/>
                <w:sz w:val="24"/>
                <w:szCs w:val="24"/>
                <w:highlight w:val="none"/>
                <w:lang w:val="en-US" w:eastAsia="zh-CN"/>
              </w:rPr>
              <w:t xml:space="preserve">卫生间、</w:t>
            </w:r>
            <w:r>
              <w:rPr>
                <w:rFonts w:hint="eastAsia" w:ascii="方正仿宋_GBK" w:hAnsi="方正仿宋_GBK" w:eastAsia="方正仿宋_GBK" w:cs="方正仿宋_GBK"/>
                <w:color w:val="000000"/>
                <w:sz w:val="24"/>
                <w:szCs w:val="24"/>
                <w:highlight w:val="none"/>
              </w:rPr>
              <w:t xml:space="preserve">地下室</w:t>
            </w:r>
            <w:r>
              <w:rPr>
                <w:rFonts w:hint="eastAsia" w:ascii="方正仿宋_GBK" w:hAnsi="方正仿宋_GBK" w:eastAsia="方正仿宋_GBK" w:cs="方正仿宋_GBK"/>
                <w:color w:val="000000"/>
                <w:sz w:val="24"/>
                <w:szCs w:val="24"/>
                <w:highlight w:val="none"/>
                <w:lang w:val="en-US" w:eastAsia="zh-CN"/>
              </w:rPr>
              <w:t xml:space="preserve">及</w:t>
            </w:r>
            <w:r>
              <w:rPr>
                <w:rFonts w:hint="eastAsia" w:ascii="方正仿宋_GBK" w:hAnsi="方正仿宋_GBK" w:eastAsia="方正仿宋_GBK" w:cs="方正仿宋_GBK"/>
                <w:color w:val="000000"/>
                <w:sz w:val="24"/>
                <w:szCs w:val="24"/>
                <w:highlight w:val="none"/>
              </w:rPr>
              <w:t xml:space="preserve">会议室</w:t>
            </w:r>
            <w:r>
              <w:rPr>
                <w:highlight w:val="none"/>
              </w:rPr>
            </w:r>
          </w:p>
        </w:tc>
        <w:tc>
          <w:tcPr>
            <w:tcW w:w="3350"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具有相关工作经验</w:t>
            </w:r>
            <w:r>
              <w:rPr>
                <w:highlight w:val="none"/>
              </w:rPr>
            </w:r>
          </w:p>
        </w:tc>
      </w:tr>
      <w:tr>
        <w:trPr>
          <w:trHeight w:val="680"/>
        </w:trPr>
        <w:tc>
          <w:tcPr>
            <w:shd w:val="clear" w:color="auto" w:fill="eef2fa"/>
            <w:tcW w:w="881"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5</w:t>
            </w:r>
            <w:r>
              <w:rPr>
                <w:highlight w:val="none"/>
              </w:rPr>
            </w:r>
          </w:p>
        </w:tc>
        <w:tc>
          <w:tcPr>
            <w:shd w:val="clear" w:color="auto" w:fill="eef2fa"/>
            <w:tcW w:w="123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val="en-US" w:eastAsia="zh-CN"/>
              </w:rPr>
              <w:t xml:space="preserve">楼宇巡查员</w:t>
            </w:r>
            <w:r>
              <w:rPr>
                <w:highlight w:val="none"/>
              </w:rPr>
            </w:r>
          </w:p>
          <w:p>
            <w:pPr>
              <w:jc w:val="center"/>
              <w:spacing w:line="360" w:lineRule="exact"/>
              <w:rPr>
                <w:rFonts w:ascii="方正仿宋_GBK" w:hAnsi="方正仿宋_GBK" w:eastAsia="宋体" w:cs="方正仿宋_GBK"/>
                <w:color w:val="000000"/>
                <w:sz w:val="24"/>
                <w:szCs w:val="24"/>
                <w:highlight w:val="none"/>
              </w:rPr>
            </w:pPr>
            <w:r>
              <w:rPr>
                <w:rFonts w:ascii="方正仿宋_GBK" w:hAnsi="方正仿宋_GBK" w:eastAsia="宋体" w:cs="方正仿宋_GBK"/>
                <w:color w:val="000000"/>
                <w:sz w:val="24"/>
                <w:szCs w:val="24"/>
                <w:highlight w:val="none"/>
                <w:lang w:val="en-US" w:eastAsia="zh-CN"/>
              </w:rPr>
            </w:r>
            <w:r>
              <w:rPr>
                <w:highlight w:val="none"/>
              </w:rPr>
            </w:r>
          </w:p>
        </w:tc>
        <w:tc>
          <w:tcPr>
            <w:shd w:val="clear" w:color="auto" w:fill="eef2fa"/>
            <w:tcW w:w="860"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6</w:t>
            </w:r>
            <w:r>
              <w:rPr>
                <w:highlight w:val="none"/>
              </w:rPr>
            </w:r>
          </w:p>
        </w:tc>
        <w:tc>
          <w:tcPr>
            <w:shd w:val="clear" w:color="auto" w:fill="eef2fa"/>
            <w:tcW w:w="2600"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各楼教学秩序巡视</w:t>
            </w:r>
            <w:r>
              <w:rPr>
                <w:highlight w:val="none"/>
              </w:rPr>
            </w:r>
          </w:p>
        </w:tc>
        <w:tc>
          <w:tcPr>
            <w:shd w:val="clear" w:color="auto" w:fill="eef2fa"/>
            <w:tcW w:w="3350" w:type="dxa"/>
            <w:vAlign w:val="top"/>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具</w:t>
            </w:r>
            <w:r>
              <w:rPr>
                <w:rFonts w:hint="eastAsia" w:ascii="方正仿宋_GBK" w:hAnsi="方正仿宋_GBK" w:eastAsia="方正仿宋_GBK" w:cs="方正仿宋_GBK"/>
                <w:color w:val="000000"/>
                <w:sz w:val="24"/>
                <w:szCs w:val="24"/>
                <w:highlight w:val="none"/>
                <w:lang w:val="en-US" w:eastAsia="zh-CN"/>
              </w:rPr>
              <w:t xml:space="preserve">有与本项目类似管理经验3年及</w:t>
            </w:r>
            <w:r>
              <w:rPr>
                <w:rFonts w:hint="eastAsia" w:ascii="方正仿宋_GBK" w:hAnsi="方正仿宋_GBK" w:eastAsia="方正仿宋_GBK" w:cs="方正仿宋_GBK"/>
                <w:color w:val="000000"/>
                <w:sz w:val="24"/>
                <w:szCs w:val="24"/>
                <w:highlight w:val="none"/>
              </w:rPr>
              <w:t xml:space="preserve">以上；具有</w:t>
            </w:r>
            <w:r>
              <w:rPr>
                <w:rFonts w:hint="eastAsia" w:ascii="方正仿宋_GBK" w:hAnsi="方正仿宋_GBK" w:eastAsia="方正仿宋_GBK" w:cs="方正仿宋_GBK"/>
                <w:color w:val="000000"/>
                <w:sz w:val="24"/>
                <w:szCs w:val="24"/>
                <w:highlight w:val="none"/>
                <w:lang w:val="en-US" w:eastAsia="zh-CN"/>
              </w:rPr>
              <w:t xml:space="preserve">专科</w:t>
            </w:r>
            <w:r>
              <w:rPr>
                <w:rFonts w:hint="eastAsia" w:ascii="方正仿宋_GBK" w:hAnsi="方正仿宋_GBK" w:eastAsia="方正仿宋_GBK" w:cs="方正仿宋_GBK"/>
                <w:color w:val="000000"/>
                <w:sz w:val="24"/>
                <w:szCs w:val="24"/>
                <w:highlight w:val="none"/>
              </w:rPr>
              <w:t xml:space="preserve">及以上学历</w:t>
            </w:r>
            <w:r>
              <w:rPr>
                <w:highlight w:val="none"/>
              </w:rPr>
            </w:r>
          </w:p>
        </w:tc>
      </w:tr>
      <w:tr>
        <w:trPr>
          <w:trHeight w:val="680"/>
        </w:trPr>
        <w:tc>
          <w:tcPr>
            <w:tcW w:w="881"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6</w:t>
            </w:r>
            <w:r>
              <w:rPr>
                <w:highlight w:val="none"/>
              </w:rPr>
            </w:r>
          </w:p>
        </w:tc>
        <w:tc>
          <w:tcPr>
            <w:tcW w:w="123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路桥实训员</w:t>
            </w:r>
            <w:r>
              <w:rPr>
                <w:highlight w:val="none"/>
              </w:rPr>
            </w:r>
          </w:p>
        </w:tc>
        <w:tc>
          <w:tcPr>
            <w:tcW w:w="860"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3</w:t>
            </w:r>
            <w:r>
              <w:rPr>
                <w:highlight w:val="none"/>
              </w:rPr>
            </w:r>
          </w:p>
        </w:tc>
        <w:tc>
          <w:tcPr>
            <w:tcW w:w="2600"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路桥实训基地专职保洁与辅助管理</w:t>
            </w:r>
            <w:r>
              <w:rPr>
                <w:highlight w:val="none"/>
              </w:rPr>
            </w:r>
          </w:p>
        </w:tc>
        <w:tc>
          <w:tcPr>
            <w:tcW w:w="3350"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须经路桥学院认可</w:t>
            </w:r>
            <w:r>
              <w:rPr>
                <w:highlight w:val="none"/>
              </w:rPr>
            </w:r>
          </w:p>
        </w:tc>
      </w:tr>
      <w:tr>
        <w:trPr>
          <w:trHeight w:val="680"/>
        </w:trPr>
        <w:tc>
          <w:tcPr>
            <w:shd w:val="clear" w:color="auto" w:fill="eef2fa"/>
            <w:tcW w:w="881"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r>
            <w:r>
              <w:rPr>
                <w:highlight w:val="none"/>
              </w:rPr>
            </w:r>
          </w:p>
        </w:tc>
        <w:tc>
          <w:tcPr>
            <w:shd w:val="clear" w:color="auto" w:fill="eef2fa"/>
            <w:tcW w:w="1234"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合计</w:t>
            </w:r>
            <w:r>
              <w:rPr>
                <w:highlight w:val="none"/>
              </w:rPr>
            </w:r>
          </w:p>
        </w:tc>
        <w:tc>
          <w:tcPr>
            <w:shd w:val="clear" w:color="auto" w:fill="eef2fa"/>
            <w:tcW w:w="860"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39</w:t>
            </w:r>
            <w:r>
              <w:rPr>
                <w:highlight w:val="none"/>
              </w:rPr>
            </w:r>
          </w:p>
        </w:tc>
        <w:tc>
          <w:tcPr>
            <w:shd w:val="clear" w:color="auto" w:fill="eef2fa"/>
            <w:tcW w:w="2600"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r>
            <w:r>
              <w:rPr>
                <w:highlight w:val="none"/>
              </w:rPr>
            </w:r>
          </w:p>
        </w:tc>
        <w:tc>
          <w:tcPr>
            <w:shd w:val="clear" w:color="auto" w:fill="eef2fa"/>
            <w:tcW w:w="3350"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r>
            <w:r>
              <w:rPr>
                <w:highlight w:val="none"/>
              </w:rPr>
            </w:r>
          </w:p>
        </w:tc>
      </w:tr>
    </w:tbl>
    <w:p>
      <w:pPr>
        <w:pStyle w:val="885"/>
        <w:ind w:firstLine="562"/>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2.人员管理要求</w:t>
      </w:r>
      <w:r>
        <w:rPr>
          <w:highlight w:val="none"/>
        </w:rPr>
      </w:r>
    </w:p>
    <w:p>
      <w:pPr>
        <w:ind w:firstLine="560"/>
        <w:spacing w:line="44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b w:val="0"/>
          <w:i w:val="0"/>
          <w:color w:val="000000"/>
          <w:sz w:val="28"/>
          <w:szCs w:val="28"/>
          <w:highlight w:val="none"/>
          <w:u w:val="none"/>
        </w:rPr>
        <w:t xml:space="preserve">中标后，合同期内不得随意更换</w:t>
      </w:r>
      <w:r>
        <w:rPr>
          <w:rFonts w:hint="eastAsia" w:ascii="方正仿宋_GBK" w:hAnsi="方正仿宋_GBK" w:eastAsia="方正仿宋_GBK" w:cs="方正仿宋_GBK"/>
          <w:b w:val="0"/>
          <w:i w:val="0"/>
          <w:color w:val="000000"/>
          <w:sz w:val="28"/>
          <w:szCs w:val="28"/>
          <w:highlight w:val="none"/>
          <w:u w:val="none"/>
          <w:lang w:val="en-US" w:eastAsia="zh-CN"/>
        </w:rPr>
        <w:t xml:space="preserve">服务人员</w:t>
      </w:r>
      <w:r>
        <w:rPr>
          <w:rFonts w:hint="eastAsia" w:ascii="方正仿宋_GBK" w:hAnsi="方正仿宋_GBK" w:eastAsia="方正仿宋_GBK" w:cs="方正仿宋_GBK"/>
          <w:b w:val="0"/>
          <w:i w:val="0"/>
          <w:color w:val="000000"/>
          <w:sz w:val="28"/>
          <w:szCs w:val="28"/>
          <w:highlight w:val="none"/>
          <w:u w:val="none"/>
        </w:rPr>
        <w:t xml:space="preserve">。确需更换的，中标人须至少提前一个月以书面形式通知采购人并经采购人书面同意，方可更换符合同等或更高要求的人员，且人员更换不得影响学校物业服务正常开展；</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（2）所有在岗人员须经学院后勤基建处审核备案，并提供身份证等相关证件复印件；备案信息发生变更须及时更新。</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（3）工作期间须着供应商统一工装（工装须整洁、无破损），佩戴上岗证，仪容整洁，用语文明。</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（4）供应商须依法为所有在岗人员缴纳五险一金（或相应的社会保险），保障用工合规；如发生劳动纠纷，由供应商自行承担全部责任，与学院无关。</w:t>
      </w:r>
      <w:r>
        <w:rPr>
          <w:highlight w:val="none"/>
        </w:rPr>
      </w:r>
    </w:p>
    <w:p>
      <w:pPr>
        <w:pStyle w:val="885"/>
        <w:ind w:firstLine="562"/>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3.人员稳定性保障要求</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（1）供应商须制定人员稳定性方案，通过合理薪酬、团队建设、职业发展规划等措施降低人员流失率；</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（2）主管及关键岗位人员（如楼宇巡查员）更换须提前30日告知学院，并确保工作平稳交接；</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（3）合同期内，核心管理人员（主管及以上）累计更换次数不得超过1次/年。</w:t>
      </w:r>
      <w:r>
        <w:rPr>
          <w:highlight w:val="none"/>
        </w:rPr>
      </w:r>
    </w:p>
    <w:p>
      <w:pPr>
        <w:pStyle w:val="919"/>
        <w:ind w:firstLine="640"/>
        <w:spacing w:line="440" w:lineRule="exact"/>
        <w:rPr>
          <w:rFonts w:hint="eastAsia" w:ascii="方正黑体_GBK" w:hAnsi="方正黑体_GBK" w:eastAsia="方正黑体_GBK" w:cs="方正黑体_GBK"/>
          <w:bCs/>
          <w:color w:val="000000"/>
          <w:sz w:val="32"/>
          <w:szCs w:val="32"/>
          <w:highlight w:val="none"/>
        </w:rPr>
      </w:pPr>
      <w:r>
        <w:rPr>
          <w:rFonts w:hint="eastAsia" w:ascii="方正黑体_GBK" w:hAnsi="方正黑体_GBK" w:eastAsia="方正黑体_GBK" w:cs="方正黑体_GBK"/>
          <w:bCs/>
          <w:color w:val="000000"/>
          <w:sz w:val="32"/>
          <w:szCs w:val="32"/>
          <w:highlight w:val="none"/>
        </w:rPr>
        <w:t xml:space="preserve">分包四：</w:t>
      </w:r>
      <w:r>
        <w:rPr>
          <w:highlight w:val="none"/>
        </w:rPr>
      </w:r>
    </w:p>
    <w:p>
      <w:pPr>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（一）人员配置及相关要求</w:t>
      </w:r>
      <w:r>
        <w:rPr>
          <w:highlight w:val="none"/>
        </w:rPr>
      </w:r>
    </w:p>
    <w:p>
      <w:pPr>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1.人员配置要求</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i w:val="0"/>
          <w:iCs w:val="0"/>
          <w:color w:val="000000"/>
          <w:sz w:val="28"/>
          <w:szCs w:val="28"/>
          <w:highlight w:val="none"/>
          <w:u w:val="none"/>
        </w:rPr>
        <w:t xml:space="preserve">最低在岗人员不少于22人</w:t>
      </w:r>
      <w:r>
        <w:rPr>
          <w:rFonts w:hint="eastAsia" w:ascii="方正仿宋_GBK" w:hAnsi="方正仿宋_GBK" w:eastAsia="方正仿宋_GBK" w:cs="方正仿宋_GBK"/>
          <w:i w:val="0"/>
          <w:iCs w:val="0"/>
          <w:color w:val="000000"/>
          <w:sz w:val="28"/>
          <w:szCs w:val="28"/>
          <w:highlight w:val="none"/>
          <w:u w:val="none"/>
        </w:rPr>
        <w:t xml:space="preserve">（</w:t>
      </w:r>
      <w:r>
        <w:rPr>
          <w:rFonts w:hint="eastAsia" w:ascii="方正仿宋_GBK" w:hAnsi="方正仿宋_GBK" w:eastAsia="方正仿宋_GBK" w:cs="方正仿宋_GBK"/>
          <w:color w:val="000000"/>
          <w:sz w:val="28"/>
          <w:szCs w:val="28"/>
          <w:highlight w:val="none"/>
        </w:rPr>
        <w:t xml:space="preserve">所有人员年龄须为法定退休年龄以下），上述人员不含项目经理。最低配置要求如下：</w:t>
      </w:r>
      <w:r>
        <w:rPr>
          <w:highlight w:val="none"/>
        </w:rPr>
      </w:r>
    </w:p>
    <w:tbl>
      <w:tblPr>
        <w:tblStyle w:val="711"/>
        <w:tblW w:w="524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1422"/>
        <w:gridCol w:w="772"/>
        <w:gridCol w:w="2609"/>
        <w:gridCol w:w="3782"/>
      </w:tblGrid>
      <w:tr>
        <w:trPr>
          <w:trHeight w:val="496"/>
          <w:tblHeader/>
        </w:trPr>
        <w:tc>
          <w:tcPr>
            <w:shd w:val="clear" w:color="auto" w:fill="2e5fa3"/>
            <w:tcW w:w="804" w:type="dxa"/>
            <w:vAlign w:val="top"/>
            <w:textDirection w:val="lrTb"/>
            <w:noWrap w:val="false"/>
          </w:tcPr>
          <w:p>
            <w:pPr>
              <w:jc w:val="center"/>
              <w:spacing w:line="360" w:lineRule="exact"/>
              <w:rPr>
                <w:rFonts w:hint="eastAsia" w:ascii="方正仿宋_GBK" w:hAnsi="方正仿宋_GBK" w:eastAsia="方正仿宋_GBK" w:cs="方正仿宋_GBK"/>
                <w:b/>
                <w:bCs/>
                <w:color w:val="000000"/>
                <w:sz w:val="24"/>
                <w:szCs w:val="24"/>
                <w:highlight w:val="none"/>
              </w:rPr>
            </w:pPr>
            <w:r>
              <w:rPr>
                <w:rFonts w:hint="eastAsia" w:ascii="方正仿宋_GBK" w:hAnsi="方正仿宋_GBK" w:eastAsia="方正仿宋_GBK" w:cs="方正仿宋_GBK"/>
                <w:b/>
                <w:bCs/>
                <w:color w:val="000000"/>
                <w:sz w:val="24"/>
                <w:szCs w:val="24"/>
                <w:highlight w:val="none"/>
              </w:rPr>
              <w:t xml:space="preserve">序号</w:t>
            </w:r>
            <w:r>
              <w:rPr>
                <w:highlight w:val="none"/>
              </w:rPr>
            </w:r>
          </w:p>
        </w:tc>
        <w:tc>
          <w:tcPr>
            <w:shd w:val="clear" w:color="auto" w:fill="2e5fa3"/>
            <w:tcW w:w="1424" w:type="dxa"/>
            <w:vAlign w:val="top"/>
            <w:textDirection w:val="lrTb"/>
            <w:noWrap w:val="false"/>
          </w:tcPr>
          <w:p>
            <w:pPr>
              <w:jc w:val="center"/>
              <w:spacing w:line="360" w:lineRule="exact"/>
              <w:rPr>
                <w:rFonts w:hint="eastAsia" w:ascii="方正仿宋_GBK" w:hAnsi="方正仿宋_GBK" w:eastAsia="方正仿宋_GBK" w:cs="方正仿宋_GBK"/>
                <w:b/>
                <w:bCs/>
                <w:color w:val="000000"/>
                <w:sz w:val="24"/>
                <w:szCs w:val="24"/>
                <w:highlight w:val="none"/>
              </w:rPr>
            </w:pPr>
            <w:r>
              <w:rPr>
                <w:rFonts w:hint="eastAsia" w:ascii="方正仿宋_GBK" w:hAnsi="方正仿宋_GBK" w:eastAsia="方正仿宋_GBK" w:cs="方正仿宋_GBK"/>
                <w:b/>
                <w:bCs/>
                <w:color w:val="000000"/>
                <w:sz w:val="24"/>
                <w:szCs w:val="24"/>
                <w:highlight w:val="none"/>
              </w:rPr>
              <w:t xml:space="preserve">岗位名称</w:t>
            </w:r>
            <w:r>
              <w:rPr>
                <w:highlight w:val="none"/>
              </w:rPr>
            </w:r>
          </w:p>
        </w:tc>
        <w:tc>
          <w:tcPr>
            <w:shd w:val="clear" w:color="auto" w:fill="2e5fa3"/>
            <w:tcW w:w="773" w:type="dxa"/>
            <w:vAlign w:val="top"/>
            <w:textDirection w:val="lrTb"/>
            <w:noWrap w:val="false"/>
          </w:tcPr>
          <w:p>
            <w:pPr>
              <w:jc w:val="center"/>
              <w:spacing w:line="360" w:lineRule="exact"/>
              <w:rPr>
                <w:rFonts w:hint="eastAsia" w:ascii="方正仿宋_GBK" w:hAnsi="方正仿宋_GBK" w:eastAsia="方正仿宋_GBK" w:cs="方正仿宋_GBK"/>
                <w:b/>
                <w:bCs/>
                <w:color w:val="000000"/>
                <w:sz w:val="24"/>
                <w:szCs w:val="24"/>
                <w:highlight w:val="none"/>
              </w:rPr>
            </w:pPr>
            <w:r>
              <w:rPr>
                <w:rFonts w:hint="eastAsia" w:ascii="方正仿宋_GBK" w:hAnsi="方正仿宋_GBK" w:eastAsia="方正仿宋_GBK" w:cs="方正仿宋_GBK"/>
                <w:b/>
                <w:bCs/>
                <w:color w:val="000000"/>
                <w:sz w:val="24"/>
                <w:szCs w:val="24"/>
                <w:highlight w:val="none"/>
              </w:rPr>
              <w:t xml:space="preserve">人数</w:t>
            </w:r>
            <w:r>
              <w:rPr>
                <w:highlight w:val="none"/>
              </w:rPr>
            </w:r>
          </w:p>
        </w:tc>
        <w:tc>
          <w:tcPr>
            <w:shd w:val="clear" w:color="auto" w:fill="2e5fa3"/>
            <w:tcW w:w="2612" w:type="dxa"/>
            <w:vAlign w:val="top"/>
            <w:textDirection w:val="lrTb"/>
            <w:noWrap w:val="false"/>
          </w:tcPr>
          <w:p>
            <w:pPr>
              <w:jc w:val="center"/>
              <w:spacing w:line="360" w:lineRule="exact"/>
              <w:rPr>
                <w:rFonts w:hint="eastAsia" w:ascii="方正仿宋_GBK" w:hAnsi="方正仿宋_GBK" w:eastAsia="方正仿宋_GBK" w:cs="方正仿宋_GBK"/>
                <w:b/>
                <w:bCs/>
                <w:color w:val="000000"/>
                <w:sz w:val="24"/>
                <w:szCs w:val="24"/>
                <w:highlight w:val="none"/>
              </w:rPr>
            </w:pPr>
            <w:r>
              <w:rPr>
                <w:rFonts w:hint="eastAsia" w:ascii="方正仿宋_GBK" w:hAnsi="方正仿宋_GBK" w:eastAsia="方正仿宋_GBK" w:cs="方正仿宋_GBK"/>
                <w:b/>
                <w:bCs/>
                <w:color w:val="000000"/>
                <w:sz w:val="24"/>
                <w:szCs w:val="24"/>
                <w:highlight w:val="none"/>
              </w:rPr>
              <w:t xml:space="preserve">主要职责</w:t>
            </w:r>
            <w:r>
              <w:rPr>
                <w:highlight w:val="none"/>
              </w:rPr>
            </w:r>
          </w:p>
        </w:tc>
        <w:tc>
          <w:tcPr>
            <w:shd w:val="clear" w:color="auto" w:fill="2e5fa3"/>
            <w:tcW w:w="3786" w:type="dxa"/>
            <w:vAlign w:val="top"/>
            <w:textDirection w:val="lrTb"/>
            <w:noWrap w:val="false"/>
          </w:tcPr>
          <w:p>
            <w:pPr>
              <w:jc w:val="center"/>
              <w:spacing w:line="360" w:lineRule="exact"/>
              <w:rPr>
                <w:rFonts w:hint="eastAsia" w:ascii="方正仿宋_GBK" w:hAnsi="方正仿宋_GBK" w:eastAsia="方正仿宋_GBK" w:cs="方正仿宋_GBK"/>
                <w:b/>
                <w:bCs/>
                <w:color w:val="000000"/>
                <w:sz w:val="24"/>
                <w:szCs w:val="24"/>
                <w:highlight w:val="none"/>
              </w:rPr>
            </w:pPr>
            <w:r>
              <w:rPr>
                <w:rFonts w:hint="eastAsia" w:ascii="方正仿宋_GBK" w:hAnsi="方正仿宋_GBK" w:eastAsia="方正仿宋_GBK" w:cs="方正仿宋_GBK"/>
                <w:b/>
                <w:bCs/>
                <w:color w:val="000000"/>
                <w:sz w:val="24"/>
                <w:szCs w:val="24"/>
                <w:highlight w:val="none"/>
                <w:lang w:val="en-US" w:eastAsia="zh-CN"/>
              </w:rPr>
              <w:t xml:space="preserve">岗位</w:t>
            </w:r>
            <w:r>
              <w:rPr>
                <w:rFonts w:hint="eastAsia" w:ascii="方正仿宋_GBK" w:hAnsi="方正仿宋_GBK" w:eastAsia="方正仿宋_GBK" w:cs="方正仿宋_GBK"/>
                <w:b/>
                <w:bCs/>
                <w:color w:val="000000"/>
                <w:sz w:val="24"/>
                <w:szCs w:val="24"/>
                <w:highlight w:val="none"/>
              </w:rPr>
              <w:t xml:space="preserve">要求</w:t>
            </w:r>
            <w:r>
              <w:rPr>
                <w:highlight w:val="none"/>
              </w:rPr>
            </w:r>
          </w:p>
        </w:tc>
      </w:tr>
      <w:tr>
        <w:trPr>
          <w:trHeight w:val="680"/>
        </w:trPr>
        <w:tc>
          <w:tcPr>
            <w:tcW w:w="80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highlight w:val="none"/>
              </w:rPr>
            </w:r>
          </w:p>
        </w:tc>
        <w:tc>
          <w:tcPr>
            <w:tcW w:w="1424"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rPr>
                <w:highlight w:val="none"/>
              </w:rPr>
            </w:r>
          </w:p>
        </w:tc>
        <w:tc>
          <w:tcPr>
            <w:tcW w:w="77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highlight w:val="none"/>
              </w:rPr>
            </w:r>
          </w:p>
        </w:tc>
        <w:tc>
          <w:tcPr>
            <w:tcW w:w="2612" w:type="dxa"/>
            <w:vAlign w:val="center"/>
            <w:textDirection w:val="lrTb"/>
            <w:noWrap w:val="false"/>
          </w:tcPr>
          <w:p>
            <w:pPr>
              <w:keepLines w:val="0"/>
              <w:keepNext w:val="0"/>
              <w:pageBreakBefore w:val="0"/>
              <w:spacing w:line="36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负责项目整体管理、项目团队组建与管理。协调财务、与对接工作，统筹项目档案资料管理</w:t>
            </w:r>
            <w:r>
              <w:rPr>
                <w:highlight w:val="none"/>
              </w:rPr>
            </w:r>
          </w:p>
        </w:tc>
        <w:tc>
          <w:tcPr>
            <w:tcW w:w="3786" w:type="dxa"/>
            <w:vAlign w:val="center"/>
            <w:textDirection w:val="lrTb"/>
            <w:noWrap w:val="false"/>
          </w:tcPr>
          <w:p>
            <w:pPr>
              <w:spacing w:line="360" w:lineRule="exact"/>
              <w:rPr>
                <w:rFonts w:hint="default"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项目经理具有园林绿化相关</w:t>
            </w:r>
            <w:r>
              <w:rPr>
                <w:rFonts w:hint="eastAsia" w:ascii="方正仿宋_GBK" w:hAnsi="方正仿宋_GBK" w:eastAsia="方正仿宋_GBK" w:cs="方正仿宋_GBK"/>
                <w:color w:val="000000"/>
                <w:sz w:val="24"/>
                <w:szCs w:val="24"/>
                <w:highlight w:val="none"/>
                <w:lang w:val="en-US" w:eastAsia="zh-CN"/>
              </w:rPr>
              <w:t xml:space="preserve">专业</w:t>
            </w:r>
            <w:r>
              <w:rPr>
                <w:rFonts w:hint="eastAsia" w:ascii="方正仿宋_GBK" w:hAnsi="方正仿宋_GBK" w:eastAsia="方正仿宋_GBK" w:cs="方正仿宋_GBK"/>
                <w:color w:val="000000"/>
                <w:sz w:val="24"/>
                <w:szCs w:val="24"/>
                <w:highlight w:val="none"/>
              </w:rPr>
              <w:t xml:space="preserve">本科及以上学历；具有</w:t>
            </w:r>
            <w:r>
              <w:rPr>
                <w:rFonts w:hint="eastAsia" w:ascii="方正仿宋_GBK" w:hAnsi="方正仿宋_GBK" w:eastAsia="方正仿宋_GBK" w:cs="方正仿宋_GBK"/>
                <w:color w:val="000000"/>
                <w:sz w:val="24"/>
                <w:szCs w:val="24"/>
                <w:highlight w:val="none"/>
                <w:lang w:val="en-US" w:eastAsia="zh-CN"/>
              </w:rPr>
              <w:t xml:space="preserve">副高级</w:t>
            </w:r>
            <w:r>
              <w:rPr>
                <w:rFonts w:hint="eastAsia" w:ascii="方正仿宋_GBK" w:hAnsi="方正仿宋_GBK" w:eastAsia="方正仿宋_GBK" w:cs="方正仿宋_GBK"/>
                <w:color w:val="000000"/>
                <w:sz w:val="24"/>
                <w:szCs w:val="24"/>
                <w:highlight w:val="none"/>
              </w:rPr>
              <w:t xml:space="preserve">及以上职称</w:t>
            </w:r>
            <w:r>
              <w:rPr>
                <w:rFonts w:hint="eastAsia" w:ascii="方正仿宋_GBK" w:hAnsi="方正仿宋_GBK" w:eastAsia="方正仿宋_GBK" w:cs="方正仿宋_GBK"/>
                <w:color w:val="000000"/>
                <w:sz w:val="24"/>
                <w:szCs w:val="24"/>
                <w:highlight w:val="none"/>
                <w:lang w:eastAsia="zh-CN"/>
              </w:rPr>
              <w:t xml:space="preserve">；</w:t>
            </w:r>
            <w:r>
              <w:rPr>
                <w:rFonts w:hint="eastAsia" w:ascii="方正仿宋_GBK" w:hAnsi="方正仿宋_GBK" w:eastAsia="方正仿宋_GBK" w:cs="方正仿宋_GBK"/>
                <w:color w:val="000000"/>
                <w:sz w:val="24"/>
                <w:szCs w:val="24"/>
                <w:highlight w:val="none"/>
              </w:rPr>
              <w:t xml:space="preserve">具有与本项目类似的或类似绿化养护项目管理工作经验</w:t>
            </w:r>
            <w:r>
              <w:rPr>
                <w:rFonts w:hint="eastAsia" w:ascii="方正仿宋_GBK" w:hAnsi="方正仿宋_GBK" w:eastAsia="方正仿宋_GBK" w:cs="方正仿宋_GBK"/>
                <w:color w:val="000000"/>
                <w:sz w:val="24"/>
                <w:szCs w:val="24"/>
                <w:highlight w:val="none"/>
                <w:lang w:val="en-US" w:eastAsia="zh-CN"/>
              </w:rPr>
              <w:t xml:space="preserve">5年及以上</w:t>
            </w:r>
            <w:r>
              <w:rPr>
                <w:highlight w:val="none"/>
              </w:rPr>
            </w:r>
          </w:p>
        </w:tc>
      </w:tr>
      <w:tr>
        <w:trPr>
          <w:trHeight w:val="680"/>
        </w:trPr>
        <w:tc>
          <w:tcPr>
            <w:tcW w:w="80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highlight w:val="none"/>
              </w:rPr>
            </w:r>
          </w:p>
        </w:tc>
        <w:tc>
          <w:tcPr>
            <w:tcW w:w="1424"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cs="宋体"/>
                <w:b w:val="0"/>
                <w:color w:val="000000"/>
                <w:sz w:val="24"/>
                <w:szCs w:val="24"/>
                <w:highlight w:val="none"/>
                <w:lang w:val="en-US" w:eastAsia="zh-CN"/>
              </w:rPr>
              <w:t xml:space="preserve">项目</w:t>
            </w:r>
            <w:r>
              <w:rPr>
                <w:rFonts w:hint="eastAsia" w:ascii="宋体" w:hAnsi="宋体" w:eastAsia="宋体" w:cs="宋体"/>
                <w:b w:val="0"/>
                <w:color w:val="000000"/>
                <w:sz w:val="24"/>
                <w:szCs w:val="24"/>
                <w:highlight w:val="none"/>
              </w:rPr>
              <w:t xml:space="preserve">主管</w:t>
            </w:r>
            <w:r>
              <w:rPr>
                <w:highlight w:val="none"/>
              </w:rPr>
            </w:r>
          </w:p>
        </w:tc>
        <w:tc>
          <w:tcPr>
            <w:tcW w:w="77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highlight w:val="none"/>
              </w:rPr>
            </w:r>
          </w:p>
        </w:tc>
        <w:tc>
          <w:tcPr>
            <w:tcW w:w="2612" w:type="dxa"/>
            <w:vAlign w:val="center"/>
            <w:textDirection w:val="lrTb"/>
            <w:noWrap w:val="false"/>
          </w:tcPr>
          <w:p>
            <w:pPr>
              <w:keepLines w:val="0"/>
              <w:keepNext w:val="0"/>
              <w:pageBreakBefore w:val="0"/>
              <w:spacing w:line="36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统筹管理标段全部绿化养护、保洁工作</w:t>
            </w:r>
            <w:r>
              <w:rPr>
                <w:highlight w:val="none"/>
              </w:rPr>
            </w:r>
          </w:p>
        </w:tc>
        <w:tc>
          <w:tcPr>
            <w:tcW w:w="3786" w:type="dxa"/>
            <w:vAlign w:val="center"/>
            <w:textDirection w:val="lrTb"/>
            <w:noWrap w:val="false"/>
          </w:tcPr>
          <w:p>
            <w:pPr>
              <w:keepLines w:val="0"/>
              <w:keepNext w:val="0"/>
              <w:pageBreakBefore w:val="0"/>
              <w:spacing w:line="360" w:lineRule="exact"/>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具有园林</w:t>
            </w:r>
            <w:r>
              <w:rPr>
                <w:rFonts w:hint="eastAsia" w:ascii="方正仿宋_GBK" w:hAnsi="方正仿宋_GBK" w:eastAsia="方正仿宋_GBK" w:cs="方正仿宋_GBK"/>
                <w:color w:val="000000"/>
                <w:sz w:val="24"/>
                <w:szCs w:val="24"/>
                <w:highlight w:val="none"/>
                <w:lang w:val="en-US" w:eastAsia="zh-CN"/>
              </w:rPr>
              <w:t xml:space="preserve">绿化</w:t>
            </w:r>
            <w:r>
              <w:rPr>
                <w:rFonts w:hint="eastAsia" w:ascii="方正仿宋_GBK" w:hAnsi="方正仿宋_GBK" w:eastAsia="方正仿宋_GBK" w:cs="方正仿宋_GBK"/>
                <w:color w:val="000000"/>
                <w:sz w:val="24"/>
                <w:szCs w:val="24"/>
                <w:highlight w:val="none"/>
              </w:rPr>
              <w:t xml:space="preserve">类相关</w:t>
            </w:r>
            <w:r>
              <w:rPr>
                <w:rFonts w:hint="eastAsia" w:ascii="方正仿宋_GBK" w:hAnsi="方正仿宋_GBK" w:eastAsia="方正仿宋_GBK" w:cs="方正仿宋_GBK"/>
                <w:color w:val="000000"/>
                <w:sz w:val="24"/>
                <w:szCs w:val="24"/>
                <w:highlight w:val="none"/>
                <w:lang w:val="en-US" w:eastAsia="zh-CN"/>
              </w:rPr>
              <w:t xml:space="preserve">专业</w:t>
            </w:r>
            <w:r>
              <w:rPr>
                <w:rFonts w:hint="eastAsia" w:ascii="方正仿宋_GBK" w:hAnsi="方正仿宋_GBK" w:eastAsia="方正仿宋_GBK" w:cs="方正仿宋_GBK"/>
                <w:color w:val="000000"/>
                <w:sz w:val="24"/>
                <w:szCs w:val="24"/>
                <w:highlight w:val="none"/>
              </w:rPr>
              <w:t xml:space="preserve">专科及以上学历；</w:t>
            </w:r>
            <w:r>
              <w:rPr>
                <w:rFonts w:hint="eastAsia" w:ascii="方正仿宋_GBK" w:hAnsi="方正仿宋_GBK" w:eastAsia="方正仿宋_GBK" w:cs="方正仿宋_GBK"/>
                <w:color w:val="000000"/>
                <w:sz w:val="24"/>
                <w:szCs w:val="24"/>
                <w:highlight w:val="none"/>
                <w:lang w:val="en-US" w:eastAsia="zh-CN"/>
              </w:rPr>
              <w:t xml:space="preserve">具有园林绿化类中级职称；</w:t>
            </w:r>
            <w:r>
              <w:rPr>
                <w:rFonts w:hint="eastAsia" w:ascii="方正仿宋_GBK" w:hAnsi="方正仿宋_GBK" w:eastAsia="方正仿宋_GBK" w:cs="方正仿宋_GBK"/>
                <w:color w:val="000000"/>
                <w:sz w:val="24"/>
                <w:szCs w:val="24"/>
                <w:highlight w:val="none"/>
              </w:rPr>
              <w:t xml:space="preserve">具有</w:t>
            </w:r>
            <w:r>
              <w:rPr>
                <w:rFonts w:hint="eastAsia" w:ascii="方正仿宋_GBK" w:hAnsi="方正仿宋_GBK" w:eastAsia="方正仿宋_GBK" w:cs="方正仿宋_GBK"/>
                <w:color w:val="000000"/>
                <w:sz w:val="24"/>
                <w:szCs w:val="24"/>
                <w:highlight w:val="none"/>
                <w:lang w:val="en-US" w:eastAsia="zh-CN"/>
              </w:rPr>
              <w:t xml:space="preserve">5</w:t>
            </w:r>
            <w:r>
              <w:rPr>
                <w:rFonts w:hint="eastAsia" w:ascii="方正仿宋_GBK" w:hAnsi="方正仿宋_GBK" w:eastAsia="方正仿宋_GBK" w:cs="方正仿宋_GBK"/>
                <w:color w:val="000000"/>
                <w:sz w:val="24"/>
                <w:szCs w:val="24"/>
                <w:highlight w:val="none"/>
              </w:rPr>
              <w:t xml:space="preserve">年及以上类似项目管理经验</w:t>
            </w:r>
            <w:r>
              <w:rPr>
                <w:highlight w:val="none"/>
              </w:rPr>
            </w:r>
          </w:p>
        </w:tc>
      </w:tr>
      <w:tr>
        <w:trPr>
          <w:trHeight w:val="680"/>
        </w:trPr>
        <w:tc>
          <w:tcPr>
            <w:shd w:val="clear" w:color="auto" w:fill="eef2fa"/>
            <w:tcW w:w="80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highlight w:val="none"/>
              </w:rPr>
            </w:r>
          </w:p>
        </w:tc>
        <w:tc>
          <w:tcPr>
            <w:shd w:val="clear" w:color="auto" w:fill="eef2fa"/>
            <w:tcW w:w="1424"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绿化工</w:t>
            </w:r>
            <w:r>
              <w:rPr>
                <w:highlight w:val="none"/>
              </w:rPr>
            </w:r>
          </w:p>
        </w:tc>
        <w:tc>
          <w:tcPr>
            <w:shd w:val="clear" w:color="auto" w:fill="eef2fa"/>
            <w:tcW w:w="77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highlight w:val="none"/>
              </w:rPr>
            </w:r>
          </w:p>
        </w:tc>
        <w:tc>
          <w:tcPr>
            <w:shd w:val="clear" w:color="auto" w:fill="eef2fa"/>
            <w:tcW w:w="2612" w:type="dxa"/>
            <w:vAlign w:val="center"/>
            <w:textDirection w:val="lrTb"/>
            <w:noWrap w:val="false"/>
          </w:tcPr>
          <w:p>
            <w:pPr>
              <w:keepLines w:val="0"/>
              <w:keepNext w:val="0"/>
              <w:pageBreakBefore w:val="0"/>
              <w:spacing w:line="36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全校园绿植养护修剪、施肥灌溉、病虫害防治</w:t>
            </w:r>
            <w:r>
              <w:rPr>
                <w:highlight w:val="none"/>
              </w:rPr>
            </w:r>
          </w:p>
        </w:tc>
        <w:tc>
          <w:tcPr>
            <w:shd w:val="clear" w:color="auto" w:fill="eef2fa"/>
            <w:tcW w:w="3786" w:type="dxa"/>
            <w:vAlign w:val="center"/>
            <w:textDirection w:val="lrTb"/>
            <w:noWrap w:val="false"/>
          </w:tcPr>
          <w:p>
            <w:pPr>
              <w:keepLines w:val="0"/>
              <w:keepNext w:val="0"/>
              <w:pageBreakBefore w:val="0"/>
              <w:spacing w:line="360" w:lineRule="exact"/>
              <w:widowControl w:val="off"/>
              <w:rPr>
                <w:rFonts w:hint="default"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具有3年及以上与本项目类似的工作经验；具有高中及以上学历；</w:t>
            </w:r>
            <w:r>
              <w:rPr>
                <w:rFonts w:hint="eastAsia" w:ascii="方正仿宋_GBK" w:hAnsi="方正仿宋_GBK" w:eastAsia="方正仿宋_GBK" w:cs="方正仿宋_GBK"/>
                <w:color w:val="000000"/>
                <w:sz w:val="24"/>
                <w:szCs w:val="24"/>
                <w:highlight w:val="none"/>
              </w:rPr>
              <w:t xml:space="preserve"> </w:t>
            </w:r>
            <w:r>
              <w:rPr>
                <w:rFonts w:hint="eastAsia" w:ascii="方正仿宋_GBK" w:hAnsi="方正仿宋_GBK" w:eastAsia="方正仿宋_GBK" w:cs="方正仿宋_GBK"/>
                <w:color w:val="000000"/>
                <w:sz w:val="24"/>
                <w:szCs w:val="24"/>
                <w:highlight w:val="none"/>
                <w:lang w:val="en-US" w:eastAsia="zh-CN"/>
              </w:rPr>
              <w:t xml:space="preserve">持有</w:t>
            </w:r>
            <w:r>
              <w:rPr>
                <w:rFonts w:hint="eastAsia" w:ascii="方正仿宋_GBK" w:hAnsi="方正仿宋_GBK" w:eastAsia="方正仿宋_GBK" w:cs="方正仿宋_GBK"/>
                <w:color w:val="000000"/>
                <w:sz w:val="24"/>
                <w:szCs w:val="24"/>
                <w:highlight w:val="none"/>
              </w:rPr>
              <w:t xml:space="preserve">“园林绿化工职业技能等级证书”</w:t>
            </w:r>
            <w:r>
              <w:rPr>
                <w:rFonts w:hint="eastAsia" w:ascii="方正仿宋_GBK" w:hAnsi="方正仿宋_GBK" w:eastAsia="方正仿宋_GBK" w:cs="方正仿宋_GBK"/>
                <w:color w:val="000000"/>
                <w:sz w:val="24"/>
                <w:szCs w:val="24"/>
                <w:highlight w:val="none"/>
                <w:lang w:val="en-US" w:eastAsia="zh-CN"/>
              </w:rPr>
              <w:t xml:space="preserve">四级（中级工）及以上</w:t>
            </w:r>
            <w:r>
              <w:rPr>
                <w:highlight w:val="none"/>
              </w:rPr>
            </w:r>
          </w:p>
        </w:tc>
      </w:tr>
      <w:tr>
        <w:trPr>
          <w:trHeight w:val="90"/>
        </w:trPr>
        <w:tc>
          <w:tcPr>
            <w:tcW w:w="80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highlight w:val="none"/>
              </w:rPr>
            </w:r>
          </w:p>
          <w:p>
            <w:pPr>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424"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室外保洁员</w:t>
            </w:r>
            <w:r>
              <w:rPr>
                <w:highlight w:val="none"/>
              </w:rPr>
            </w:r>
          </w:p>
          <w:p>
            <w:pP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洒水车司机</w:t>
            </w:r>
            <w:r>
              <w:rPr>
                <w:highlight w:val="none"/>
              </w:rPr>
            </w:r>
          </w:p>
          <w:p>
            <w:pP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垃圾清运人</w:t>
            </w:r>
            <w:r>
              <w:rPr>
                <w:highlight w:val="none"/>
              </w:rPr>
            </w:r>
          </w:p>
          <w:p>
            <w:pP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天鹅养殖员</w:t>
            </w:r>
            <w:r>
              <w:rPr>
                <w:highlight w:val="none"/>
              </w:rPr>
            </w:r>
          </w:p>
        </w:tc>
        <w:tc>
          <w:tcPr>
            <w:tcW w:w="77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highlight w:val="none"/>
              </w:rPr>
            </w:r>
          </w:p>
        </w:tc>
        <w:tc>
          <w:tcPr>
            <w:tcW w:w="2612" w:type="dxa"/>
            <w:vAlign w:val="center"/>
            <w:textDirection w:val="lrTb"/>
            <w:noWrap w:val="false"/>
          </w:tcPr>
          <w:p>
            <w:pPr>
              <w:keepLines w:val="0"/>
              <w:keepNext w:val="0"/>
              <w:pageBreakBefore w:val="0"/>
              <w:spacing w:line="36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主干道、广场、门前、操场等公共区域清扫及垃圾清运，开展校园道路洒水、绿化灌溉，垃圾分类清运、垃圾中转站管理及垃圾外运协调，人工湖天鹅日常饲养、防疫及湖面环境管理</w:t>
            </w:r>
            <w:r>
              <w:rPr>
                <w:highlight w:val="none"/>
              </w:rPr>
            </w:r>
          </w:p>
        </w:tc>
        <w:tc>
          <w:tcPr>
            <w:tcW w:w="3786" w:type="dxa"/>
            <w:vAlign w:val="center"/>
            <w:textDirection w:val="lrTb"/>
            <w:noWrap w:val="false"/>
          </w:tcPr>
          <w:p>
            <w:pPr>
              <w:keepLines w:val="0"/>
              <w:keepNext w:val="0"/>
              <w:pageBreakBefore w:val="0"/>
              <w:spacing w:line="36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天鹅饲养员需有动物饲养经验</w:t>
            </w:r>
            <w:r>
              <w:rPr>
                <w:highlight w:val="none"/>
              </w:rPr>
            </w:r>
          </w:p>
        </w:tc>
      </w:tr>
      <w:tr>
        <w:trPr>
          <w:trHeight w:val="680"/>
        </w:trPr>
        <w:tc>
          <w:tcPr>
            <w:tcW w:w="804"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r>
            <w:r>
              <w:rPr>
                <w:highlight w:val="none"/>
              </w:rPr>
            </w:r>
          </w:p>
        </w:tc>
        <w:tc>
          <w:tcPr>
            <w:tcW w:w="1424"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合计</w:t>
            </w:r>
            <w:r>
              <w:rPr>
                <w:highlight w:val="none"/>
              </w:rPr>
            </w:r>
          </w:p>
        </w:tc>
        <w:tc>
          <w:tcPr>
            <w:tcW w:w="773"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22</w:t>
            </w:r>
            <w:r>
              <w:rPr>
                <w:highlight w:val="none"/>
              </w:rPr>
            </w:r>
          </w:p>
        </w:tc>
        <w:tc>
          <w:tcPr>
            <w:tcW w:w="2612"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r>
            <w:r>
              <w:rPr>
                <w:highlight w:val="none"/>
              </w:rPr>
            </w:r>
          </w:p>
        </w:tc>
        <w:tc>
          <w:tcPr>
            <w:tcW w:w="3786"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r>
            <w:r>
              <w:rPr>
                <w:highlight w:val="none"/>
              </w:rPr>
            </w:r>
          </w:p>
        </w:tc>
      </w:tr>
    </w:tbl>
    <w:p>
      <w:pPr>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2.人员管理要求</w:t>
      </w:r>
      <w:r>
        <w:rPr>
          <w:highlight w:val="none"/>
        </w:rPr>
      </w:r>
    </w:p>
    <w:p>
      <w:pPr>
        <w:ind w:firstLine="560"/>
        <w:spacing w:line="440" w:lineRule="exact"/>
        <w:rPr>
          <w:rFonts w:ascii="方正仿宋_GBK" w:hAnsi="方正仿宋_GBK" w:eastAsia="方正仿宋_GBK" w:cs="方正仿宋_GBK"/>
          <w:color w:val="000000"/>
          <w:sz w:val="28"/>
          <w:szCs w:val="28"/>
          <w:highlight w:val="none"/>
        </w:rPr>
      </w:pPr>
      <w:r>
        <w:rPr>
          <w:highlight w:val="none"/>
        </w:rPr>
      </w:r>
      <w:bookmarkStart w:id="89" w:name="_Toc7054"/>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b w:val="0"/>
          <w:i w:val="0"/>
          <w:color w:val="000000"/>
          <w:sz w:val="28"/>
          <w:szCs w:val="28"/>
          <w:highlight w:val="none"/>
          <w:u w:val="none"/>
        </w:rPr>
        <w:t xml:space="preserve">中标后，合同期内不得随意更换</w:t>
      </w:r>
      <w:r>
        <w:rPr>
          <w:rFonts w:hint="eastAsia" w:ascii="方正仿宋_GBK" w:hAnsi="方正仿宋_GBK" w:eastAsia="方正仿宋_GBK" w:cs="方正仿宋_GBK"/>
          <w:b w:val="0"/>
          <w:i w:val="0"/>
          <w:color w:val="000000"/>
          <w:sz w:val="28"/>
          <w:szCs w:val="28"/>
          <w:highlight w:val="none"/>
          <w:u w:val="none"/>
          <w:lang w:val="en-US" w:eastAsia="zh-CN"/>
        </w:rPr>
        <w:t xml:space="preserve">服务人员</w:t>
      </w:r>
      <w:r>
        <w:rPr>
          <w:rFonts w:hint="eastAsia" w:ascii="方正仿宋_GBK" w:hAnsi="方正仿宋_GBK" w:eastAsia="方正仿宋_GBK" w:cs="方正仿宋_GBK"/>
          <w:b w:val="0"/>
          <w:i w:val="0"/>
          <w:color w:val="000000"/>
          <w:sz w:val="28"/>
          <w:szCs w:val="28"/>
          <w:highlight w:val="none"/>
          <w:u w:val="none"/>
        </w:rPr>
        <w:t xml:space="preserve">。确需更换的，中标人须至少提前一个月以书面形式通知采购人并经采购人书面同意，方可更换符合同等或更高要求的人员，且人员更换不得影响学校物业服务正常开展；</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（2）所有在岗人员须经学院后勤基建处审核备案，并提供身份证等相关证件复印件，备案信息发生变更须及时更新。</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（3）工作期间须着供应商统一工装（工装须整洁、无破损），佩戴上岗证，仪容整洁，用语文明。</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4</w:t>
      </w:r>
      <w:r>
        <w:rPr>
          <w:rFonts w:hint="eastAsia" w:ascii="方正仿宋_GBK" w:hAnsi="方正仿宋_GBK" w:eastAsia="方正仿宋_GBK" w:cs="方正仿宋_GBK"/>
          <w:color w:val="000000"/>
          <w:sz w:val="28"/>
          <w:szCs w:val="28"/>
          <w:highlight w:val="none"/>
        </w:rPr>
        <w:t xml:space="preserve">）供应商须依法为所有在岗人员缴纳五险一金（或相应的社会保险），保障用工合规；如发生劳动纠纷，由供应商自行承担全部责任，与学院无关。</w:t>
      </w:r>
      <w:r>
        <w:rPr>
          <w:highlight w:val="none"/>
        </w:rPr>
      </w:r>
    </w:p>
    <w:p>
      <w:pPr>
        <w:pStyle w:val="885"/>
        <w:ind w:firstLine="562"/>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3.人员稳定性保障要求</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（1）供应商须制定人员稳定性方案，通过合理薪酬、团队建设、职业发展规划等措施降低人员流失率；</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（2）主管及关键岗位人员（如楼宇巡查员）更换须提前30日告知学院，并确保工作平稳交接；</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（3）合同期内，核心管理人员（主管及以上）累计更换次数不得超过1次/年。</w:t>
      </w:r>
      <w:r>
        <w:rPr>
          <w:highlight w:val="none"/>
        </w:rPr>
      </w:r>
    </w:p>
    <w:p>
      <w:pPr>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（二）主要设备投入要求</w:t>
      </w:r>
      <w:bookmarkEnd w:id="89"/>
      <w:r>
        <w:rPr>
          <w:highlight w:val="none"/>
        </w:rPr>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1、投标人在合同期内配备以下主要设备（设备须为全新设备）：</w:t>
      </w:r>
      <w:r>
        <w:rPr>
          <w:highlight w:val="none"/>
        </w:rPr>
      </w:r>
    </w:p>
    <w:tbl>
      <w:tblPr>
        <w:tblStyle w:val="711"/>
        <w:tblW w:w="493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7"/>
        <w:gridCol w:w="1973"/>
        <w:gridCol w:w="1640"/>
        <w:gridCol w:w="2348"/>
        <w:gridCol w:w="2001"/>
      </w:tblGrid>
      <w:tr>
        <w:trPr>
          <w:trHeight w:val="680"/>
          <w:tblHeader/>
        </w:trPr>
        <w:tc>
          <w:tcPr>
            <w:shd w:val="clear" w:color="auto" w:fill="2e5fa3"/>
            <w:tcW w:w="868" w:type="dxa"/>
            <w:vAlign w:val="top"/>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序号</w:t>
            </w:r>
            <w:r>
              <w:rPr>
                <w:highlight w:val="none"/>
              </w:rPr>
            </w:r>
          </w:p>
        </w:tc>
        <w:tc>
          <w:tcPr>
            <w:shd w:val="clear" w:color="auto" w:fill="2e5fa3"/>
            <w:tcW w:w="1975" w:type="dxa"/>
            <w:vAlign w:val="top"/>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设备名称</w:t>
            </w:r>
            <w:r>
              <w:rPr>
                <w:highlight w:val="none"/>
              </w:rPr>
            </w:r>
          </w:p>
        </w:tc>
        <w:tc>
          <w:tcPr>
            <w:shd w:val="clear" w:color="auto" w:fill="2e5fa3"/>
            <w:tcW w:w="1642" w:type="dxa"/>
            <w:vAlign w:val="top"/>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数量要求</w:t>
            </w:r>
            <w:r>
              <w:rPr>
                <w:highlight w:val="none"/>
              </w:rPr>
            </w:r>
          </w:p>
        </w:tc>
        <w:tc>
          <w:tcPr>
            <w:shd w:val="clear" w:color="auto" w:fill="2e5fa3"/>
            <w:tcW w:w="2351" w:type="dxa"/>
            <w:vAlign w:val="top"/>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技术规格要求</w:t>
            </w:r>
            <w:r>
              <w:rPr>
                <w:highlight w:val="none"/>
              </w:rPr>
            </w:r>
          </w:p>
        </w:tc>
        <w:tc>
          <w:tcPr>
            <w:shd w:val="clear" w:color="auto" w:fill="2e5fa3"/>
            <w:tcW w:w="2003" w:type="dxa"/>
            <w:vAlign w:val="top"/>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备注</w:t>
            </w:r>
            <w:r>
              <w:rPr>
                <w:highlight w:val="none"/>
              </w:rPr>
            </w:r>
          </w:p>
        </w:tc>
      </w:tr>
      <w:tr>
        <w:trPr>
          <w:trHeight w:val="629"/>
        </w:trPr>
        <w:tc>
          <w:tcPr>
            <w:tcW w:w="868"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rPr>
                <w:highlight w:val="none"/>
              </w:rPr>
            </w:r>
          </w:p>
        </w:tc>
        <w:tc>
          <w:tcPr>
            <w:tcW w:w="1975"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清扫车</w:t>
            </w:r>
            <w:r>
              <w:rPr>
                <w:highlight w:val="none"/>
              </w:rPr>
            </w:r>
          </w:p>
        </w:tc>
        <w:tc>
          <w:tcPr>
            <w:tcW w:w="1642"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1台</w:t>
            </w:r>
            <w:r>
              <w:rPr>
                <w:highlight w:val="none"/>
              </w:rPr>
            </w:r>
          </w:p>
        </w:tc>
        <w:tc>
          <w:tcPr>
            <w:tcW w:w="2351"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清扫宽度≥2.1m</w:t>
            </w:r>
            <w:r>
              <w:rPr>
                <w:highlight w:val="none"/>
              </w:rPr>
            </w:r>
          </w:p>
        </w:tc>
        <w:tc>
          <w:tcPr>
            <w:tcW w:w="2003" w:type="dxa"/>
            <w:vAlign w:val="center"/>
            <w:textDirection w:val="lrTb"/>
            <w:noWrap w:val="false"/>
          </w:tcPr>
          <w:p>
            <w:pPr>
              <w:spacing w:line="360" w:lineRule="exact"/>
              <w:rPr>
                <w:rFonts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性能不低于扬子牌（</w:t>
            </w:r>
            <w:r>
              <w:rPr>
                <w:rFonts w:hint="eastAsia" w:eastAsia="方正仿宋_GBK"/>
                <w:color w:val="000000"/>
                <w:sz w:val="24"/>
                <w:szCs w:val="24"/>
                <w:highlight w:val="none"/>
              </w:rPr>
              <w:t xml:space="preserve">YZ-S13</w:t>
            </w:r>
            <w:r>
              <w:rPr>
                <w:rFonts w:hint="eastAsia" w:ascii="方正仿宋_GBK" w:hAnsi="方正仿宋_GBK" w:eastAsia="方正仿宋_GBK" w:cs="方正仿宋_GBK"/>
                <w:color w:val="000000"/>
                <w:sz w:val="24"/>
                <w:szCs w:val="24"/>
                <w:highlight w:val="none"/>
              </w:rPr>
              <w:t xml:space="preserve">）</w:t>
            </w:r>
            <w:r>
              <w:rPr>
                <w:highlight w:val="none"/>
              </w:rPr>
            </w:r>
          </w:p>
        </w:tc>
      </w:tr>
      <w:tr>
        <w:trPr>
          <w:trHeight w:val="493"/>
        </w:trPr>
        <w:tc>
          <w:tcPr>
            <w:shd w:val="clear" w:color="auto" w:fill="eef2fa"/>
            <w:tcW w:w="868"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w:t>
            </w:r>
            <w:r>
              <w:rPr>
                <w:highlight w:val="none"/>
              </w:rPr>
            </w:r>
          </w:p>
        </w:tc>
        <w:tc>
          <w:tcPr>
            <w:shd w:val="clear" w:color="auto" w:fill="eef2fa"/>
            <w:tcW w:w="1975"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电动垃圾清运车</w:t>
            </w:r>
            <w:r>
              <w:rPr>
                <w:highlight w:val="none"/>
              </w:rPr>
            </w:r>
          </w:p>
        </w:tc>
        <w:tc>
          <w:tcPr>
            <w:shd w:val="clear" w:color="auto" w:fill="eef2fa"/>
            <w:tcW w:w="1642"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3台以上</w:t>
            </w:r>
            <w:r>
              <w:rPr>
                <w:highlight w:val="none"/>
              </w:rPr>
            </w:r>
          </w:p>
        </w:tc>
        <w:tc>
          <w:tcPr>
            <w:shd w:val="clear" w:color="auto" w:fill="eef2fa"/>
            <w:tcW w:w="2351"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载重≥500kg</w:t>
            </w:r>
            <w:r>
              <w:rPr>
                <w:highlight w:val="none"/>
              </w:rPr>
            </w:r>
          </w:p>
        </w:tc>
        <w:tc>
          <w:tcPr>
            <w:shd w:val="clear" w:color="auto" w:fill="eef2fa"/>
            <w:tcW w:w="2003"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r>
            <w:r>
              <w:rPr>
                <w:highlight w:val="none"/>
              </w:rPr>
            </w:r>
          </w:p>
        </w:tc>
      </w:tr>
      <w:tr>
        <w:trPr>
          <w:trHeight w:val="384"/>
        </w:trPr>
        <w:tc>
          <w:tcPr>
            <w:tcW w:w="868"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3</w:t>
            </w:r>
            <w:r>
              <w:rPr>
                <w:highlight w:val="none"/>
              </w:rPr>
            </w:r>
          </w:p>
        </w:tc>
        <w:tc>
          <w:tcPr>
            <w:tcW w:w="1975"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水泵</w:t>
            </w:r>
            <w:r>
              <w:rPr>
                <w:highlight w:val="none"/>
              </w:rPr>
            </w:r>
          </w:p>
        </w:tc>
        <w:tc>
          <w:tcPr>
            <w:tcW w:w="1642"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≥4台</w:t>
            </w:r>
            <w:r>
              <w:rPr>
                <w:highlight w:val="none"/>
              </w:rPr>
            </w:r>
          </w:p>
        </w:tc>
        <w:tc>
          <w:tcPr>
            <w:tcW w:w="2351"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功率≥5kW</w:t>
            </w:r>
            <w:r>
              <w:rPr>
                <w:highlight w:val="none"/>
              </w:rPr>
            </w:r>
          </w:p>
        </w:tc>
        <w:tc>
          <w:tcPr>
            <w:tcW w:w="2003"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r>
            <w:r>
              <w:rPr>
                <w:highlight w:val="none"/>
              </w:rPr>
            </w:r>
          </w:p>
        </w:tc>
      </w:tr>
      <w:tr>
        <w:trPr>
          <w:trHeight w:val="465"/>
        </w:trPr>
        <w:tc>
          <w:tcPr>
            <w:shd w:val="clear" w:color="auto" w:fill="eef2fa"/>
            <w:tcW w:w="868"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4</w:t>
            </w:r>
            <w:r>
              <w:rPr>
                <w:highlight w:val="none"/>
              </w:rPr>
            </w:r>
          </w:p>
        </w:tc>
        <w:tc>
          <w:tcPr>
            <w:shd w:val="clear" w:color="auto" w:fill="eef2fa"/>
            <w:tcW w:w="1975"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油动吹风机</w:t>
            </w:r>
            <w:r>
              <w:rPr>
                <w:highlight w:val="none"/>
              </w:rPr>
            </w:r>
          </w:p>
        </w:tc>
        <w:tc>
          <w:tcPr>
            <w:shd w:val="clear" w:color="auto" w:fill="eef2fa"/>
            <w:tcW w:w="1642"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≥4台</w:t>
            </w:r>
            <w:r>
              <w:rPr>
                <w:highlight w:val="none"/>
              </w:rPr>
            </w:r>
          </w:p>
        </w:tc>
        <w:tc>
          <w:tcPr>
            <w:shd w:val="clear" w:color="auto" w:fill="eef2fa"/>
            <w:tcW w:w="2351"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功率≥50cc</w:t>
            </w:r>
            <w:r>
              <w:rPr>
                <w:highlight w:val="none"/>
              </w:rPr>
            </w:r>
          </w:p>
        </w:tc>
        <w:tc>
          <w:tcPr>
            <w:shd w:val="clear" w:color="auto" w:fill="eef2fa"/>
            <w:tcW w:w="2003"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r>
            <w:r>
              <w:rPr>
                <w:highlight w:val="none"/>
              </w:rPr>
            </w:r>
          </w:p>
        </w:tc>
      </w:tr>
      <w:tr>
        <w:trPr>
          <w:trHeight w:val="642"/>
        </w:trPr>
        <w:tc>
          <w:tcPr>
            <w:tcW w:w="868"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5</w:t>
            </w:r>
            <w:r>
              <w:rPr>
                <w:highlight w:val="none"/>
              </w:rPr>
            </w:r>
          </w:p>
        </w:tc>
        <w:tc>
          <w:tcPr>
            <w:tcW w:w="1975"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小型道路高压冲洗车</w:t>
            </w:r>
            <w:r>
              <w:rPr>
                <w:highlight w:val="none"/>
              </w:rPr>
            </w:r>
          </w:p>
        </w:tc>
        <w:tc>
          <w:tcPr>
            <w:tcW w:w="1642"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1台</w:t>
            </w:r>
            <w:r>
              <w:rPr>
                <w:highlight w:val="none"/>
              </w:rPr>
            </w:r>
          </w:p>
        </w:tc>
        <w:tc>
          <w:tcPr>
            <w:tcW w:w="2351"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r>
            <w:r>
              <w:rPr>
                <w:highlight w:val="none"/>
              </w:rPr>
            </w:r>
          </w:p>
        </w:tc>
        <w:tc>
          <w:tcPr>
            <w:tcW w:w="2003"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eastAsia="方正仿宋_GBK"/>
                <w:color w:val="000000"/>
                <w:sz w:val="24"/>
                <w:szCs w:val="24"/>
                <w:highlight w:val="none"/>
              </w:rPr>
              <w:t xml:space="preserve">性能不低于扬子（YZ-GC003）</w:t>
            </w:r>
            <w:r>
              <w:rPr>
                <w:highlight w:val="none"/>
              </w:rPr>
            </w:r>
          </w:p>
        </w:tc>
      </w:tr>
      <w:tr>
        <w:trPr>
          <w:trHeight w:val="680"/>
        </w:trPr>
        <w:tc>
          <w:tcPr>
            <w:shd w:val="clear" w:color="auto" w:fill="eef2fa"/>
            <w:tcW w:w="868"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6</w:t>
            </w:r>
            <w:r>
              <w:rPr>
                <w:highlight w:val="none"/>
              </w:rPr>
            </w:r>
          </w:p>
        </w:tc>
        <w:tc>
          <w:tcPr>
            <w:shd w:val="clear" w:color="auto" w:fill="eef2fa"/>
            <w:tcW w:w="1975"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手推式扫雪机</w:t>
            </w:r>
            <w:r>
              <w:rPr>
                <w:highlight w:val="none"/>
              </w:rPr>
            </w:r>
          </w:p>
        </w:tc>
        <w:tc>
          <w:tcPr>
            <w:shd w:val="clear" w:color="auto" w:fill="eef2fa"/>
            <w:tcW w:w="1642"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2台</w:t>
            </w:r>
            <w:r>
              <w:rPr>
                <w:highlight w:val="none"/>
              </w:rPr>
            </w:r>
          </w:p>
        </w:tc>
        <w:tc>
          <w:tcPr>
            <w:shd w:val="clear" w:color="auto" w:fill="eef2fa"/>
            <w:tcW w:w="2351"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eastAsia="方正仿宋_GBK"/>
                <w:color w:val="000000"/>
                <w:sz w:val="28"/>
                <w:szCs w:val="28"/>
                <w:highlight w:val="none"/>
              </w:rPr>
              <w:t xml:space="preserve">含推雪头2台</w:t>
            </w:r>
            <w:r>
              <w:rPr>
                <w:highlight w:val="none"/>
              </w:rPr>
            </w:r>
          </w:p>
        </w:tc>
        <w:tc>
          <w:tcPr>
            <w:shd w:val="clear" w:color="auto" w:fill="eef2fa"/>
            <w:tcW w:w="2003"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eastAsia="方正仿宋_GBK"/>
                <w:color w:val="000000"/>
                <w:sz w:val="24"/>
                <w:szCs w:val="24"/>
                <w:highlight w:val="none"/>
              </w:rPr>
              <w:t xml:space="preserve">性能不低于扬子YZ-SXJ001柴油款</w:t>
            </w:r>
            <w:r>
              <w:rPr>
                <w:highlight w:val="none"/>
              </w:rPr>
            </w:r>
          </w:p>
        </w:tc>
      </w:tr>
      <w:tr>
        <w:trPr>
          <w:trHeight w:val="680"/>
        </w:trPr>
        <w:tc>
          <w:tcPr>
            <w:tcW w:w="868"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7</w:t>
            </w:r>
            <w:r>
              <w:rPr>
                <w:highlight w:val="none"/>
              </w:rPr>
            </w:r>
          </w:p>
        </w:tc>
        <w:tc>
          <w:tcPr>
            <w:tcW w:w="1975"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湖面打捞船</w:t>
            </w:r>
            <w:r>
              <w:rPr>
                <w:highlight w:val="none"/>
              </w:rPr>
            </w:r>
          </w:p>
        </w:tc>
        <w:tc>
          <w:tcPr>
            <w:tcW w:w="1642"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1艘</w:t>
            </w:r>
            <w:r>
              <w:rPr>
                <w:highlight w:val="none"/>
              </w:rPr>
            </w:r>
          </w:p>
        </w:tc>
        <w:tc>
          <w:tcPr>
            <w:tcW w:w="2351"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r>
            <w:r>
              <w:rPr>
                <w:highlight w:val="none"/>
              </w:rPr>
            </w:r>
          </w:p>
        </w:tc>
        <w:tc>
          <w:tcPr>
            <w:tcW w:w="2003"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r>
            <w:r>
              <w:rPr>
                <w:highlight w:val="none"/>
              </w:rPr>
            </w:r>
          </w:p>
        </w:tc>
      </w:tr>
      <w:tr>
        <w:trPr>
          <w:trHeight w:val="680"/>
        </w:trPr>
        <w:tc>
          <w:tcPr>
            <w:shd w:val="clear" w:color="auto" w:fill="eef2fa"/>
            <w:tcW w:w="868"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8</w:t>
            </w:r>
            <w:r>
              <w:rPr>
                <w:highlight w:val="none"/>
              </w:rPr>
            </w:r>
          </w:p>
        </w:tc>
        <w:tc>
          <w:tcPr>
            <w:shd w:val="clear" w:color="auto" w:fill="eef2fa"/>
            <w:tcW w:w="1975"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高压农药喷洒设备</w:t>
            </w:r>
            <w:r>
              <w:rPr>
                <w:highlight w:val="none"/>
              </w:rPr>
            </w:r>
          </w:p>
        </w:tc>
        <w:tc>
          <w:tcPr>
            <w:shd w:val="clear" w:color="auto" w:fill="eef2fa"/>
            <w:tcW w:w="1642"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1台</w:t>
            </w:r>
            <w:r>
              <w:rPr>
                <w:highlight w:val="none"/>
              </w:rPr>
            </w:r>
          </w:p>
        </w:tc>
        <w:tc>
          <w:tcPr>
            <w:shd w:val="clear" w:color="auto" w:fill="eef2fa"/>
            <w:tcW w:w="2351"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可车载或推车式</w:t>
            </w:r>
            <w:r>
              <w:rPr>
                <w:highlight w:val="none"/>
              </w:rPr>
            </w:r>
          </w:p>
        </w:tc>
        <w:tc>
          <w:tcPr>
            <w:shd w:val="clear" w:color="auto" w:fill="eef2fa"/>
            <w:tcW w:w="2003"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r>
            <w:r>
              <w:rPr>
                <w:highlight w:val="none"/>
              </w:rPr>
            </w:r>
          </w:p>
        </w:tc>
      </w:tr>
      <w:tr>
        <w:trPr>
          <w:trHeight w:val="680"/>
        </w:trPr>
        <w:tc>
          <w:tcPr>
            <w:tcW w:w="868"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9</w:t>
            </w:r>
            <w:r>
              <w:rPr>
                <w:highlight w:val="none"/>
              </w:rPr>
            </w:r>
          </w:p>
        </w:tc>
        <w:tc>
          <w:tcPr>
            <w:tcW w:w="1975"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洒水车（可调用）</w:t>
            </w:r>
            <w:r>
              <w:rPr>
                <w:highlight w:val="none"/>
              </w:rPr>
            </w:r>
          </w:p>
        </w:tc>
        <w:tc>
          <w:tcPr>
            <w:tcW w:w="1642"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须具备随时调用能力</w:t>
            </w:r>
            <w:r>
              <w:rPr>
                <w:highlight w:val="none"/>
              </w:rPr>
            </w:r>
          </w:p>
        </w:tc>
        <w:tc>
          <w:tcPr>
            <w:tcW w:w="2351"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容量≥8m³</w:t>
            </w:r>
            <w:r>
              <w:rPr>
                <w:highlight w:val="none"/>
              </w:rPr>
            </w:r>
          </w:p>
        </w:tc>
        <w:tc>
          <w:tcPr>
            <w:tcW w:w="2003"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可租赁</w:t>
            </w:r>
            <w:r>
              <w:rPr>
                <w:highlight w:val="none"/>
              </w:rPr>
            </w:r>
          </w:p>
        </w:tc>
      </w:tr>
      <w:tr>
        <w:trPr>
          <w:trHeight w:val="680"/>
        </w:trPr>
        <w:tc>
          <w:tcPr>
            <w:shd w:val="clear" w:color="auto" w:fill="eef2fa"/>
            <w:tcW w:w="868"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10</w:t>
            </w:r>
            <w:r>
              <w:rPr>
                <w:highlight w:val="none"/>
              </w:rPr>
            </w:r>
          </w:p>
        </w:tc>
        <w:tc>
          <w:tcPr>
            <w:shd w:val="clear" w:color="auto" w:fill="eef2fa"/>
            <w:tcW w:w="1975"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绿篱修剪机</w:t>
            </w:r>
            <w:r>
              <w:rPr>
                <w:highlight w:val="none"/>
              </w:rPr>
            </w:r>
          </w:p>
        </w:tc>
        <w:tc>
          <w:tcPr>
            <w:shd w:val="clear" w:color="auto" w:fill="eef2fa"/>
            <w:tcW w:w="1642"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≥3台</w:t>
            </w:r>
            <w:r>
              <w:rPr>
                <w:highlight w:val="none"/>
              </w:rPr>
            </w:r>
          </w:p>
        </w:tc>
        <w:tc>
          <w:tcPr>
            <w:shd w:val="clear" w:color="auto" w:fill="eef2fa"/>
            <w:tcW w:w="2351"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自走式或手推式</w:t>
            </w:r>
            <w:r>
              <w:rPr>
                <w:highlight w:val="none"/>
              </w:rPr>
            </w:r>
          </w:p>
        </w:tc>
        <w:tc>
          <w:tcPr>
            <w:shd w:val="clear" w:color="auto" w:fill="eef2fa"/>
            <w:tcW w:w="2003"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r>
            <w:r>
              <w:rPr>
                <w:highlight w:val="none"/>
              </w:rPr>
            </w:r>
          </w:p>
        </w:tc>
      </w:tr>
      <w:tr>
        <w:trPr>
          <w:trHeight w:val="680"/>
        </w:trPr>
        <w:tc>
          <w:tcPr>
            <w:tcW w:w="868"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11</w:t>
            </w:r>
            <w:r>
              <w:rPr>
                <w:highlight w:val="none"/>
              </w:rPr>
            </w:r>
          </w:p>
        </w:tc>
        <w:tc>
          <w:tcPr>
            <w:tcW w:w="1975"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割草机</w:t>
            </w:r>
            <w:r>
              <w:rPr>
                <w:highlight w:val="none"/>
              </w:rPr>
            </w:r>
          </w:p>
        </w:tc>
        <w:tc>
          <w:tcPr>
            <w:tcW w:w="1642"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≥3台</w:t>
            </w:r>
            <w:r>
              <w:rPr>
                <w:highlight w:val="none"/>
              </w:rPr>
            </w:r>
          </w:p>
        </w:tc>
        <w:tc>
          <w:tcPr>
            <w:tcW w:w="2351"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自走式或手推式</w:t>
            </w:r>
            <w:r>
              <w:rPr>
                <w:highlight w:val="none"/>
              </w:rPr>
            </w:r>
          </w:p>
        </w:tc>
        <w:tc>
          <w:tcPr>
            <w:tcW w:w="2003"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r>
            <w:r>
              <w:rPr>
                <w:highlight w:val="none"/>
              </w:rPr>
            </w:r>
          </w:p>
        </w:tc>
      </w:tr>
      <w:tr>
        <w:trPr>
          <w:trHeight w:val="680"/>
        </w:trPr>
        <w:tc>
          <w:tcPr>
            <w:shd w:val="clear" w:color="auto" w:fill="eef2fa"/>
            <w:tcW w:w="868" w:type="dxa"/>
            <w:vAlign w:val="center"/>
            <w:textDirection w:val="lrTb"/>
            <w:noWrap w:val="false"/>
          </w:tcPr>
          <w:p>
            <w:pPr>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12</w:t>
            </w:r>
            <w:r>
              <w:rPr>
                <w:highlight w:val="none"/>
              </w:rPr>
            </w:r>
          </w:p>
        </w:tc>
        <w:tc>
          <w:tcPr>
            <w:shd w:val="clear" w:color="auto" w:fill="eef2fa"/>
            <w:tcW w:w="1975"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高空作业车/升降平台</w:t>
            </w:r>
            <w:r>
              <w:rPr>
                <w:highlight w:val="none"/>
              </w:rPr>
            </w:r>
          </w:p>
        </w:tc>
        <w:tc>
          <w:tcPr>
            <w:shd w:val="clear" w:color="auto" w:fill="eef2fa"/>
            <w:tcW w:w="1642"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1台</w:t>
            </w:r>
            <w:r>
              <w:rPr>
                <w:highlight w:val="none"/>
              </w:rPr>
            </w:r>
          </w:p>
        </w:tc>
        <w:tc>
          <w:tcPr>
            <w:shd w:val="clear" w:color="auto" w:fill="eef2fa"/>
            <w:tcW w:w="2351"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平台高度 ≥10m</w:t>
            </w:r>
            <w:r>
              <w:rPr>
                <w:highlight w:val="none"/>
              </w:rPr>
            </w:r>
          </w:p>
        </w:tc>
        <w:tc>
          <w:tcPr>
            <w:shd w:val="clear" w:color="auto" w:fill="eef2fa"/>
            <w:tcW w:w="2003" w:type="dxa"/>
            <w:vAlign w:val="center"/>
            <w:textDirection w:val="lrTb"/>
            <w:noWrap w:val="false"/>
          </w:tcPr>
          <w:p>
            <w:pP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可租赁</w:t>
            </w:r>
            <w:r>
              <w:rPr>
                <w:highlight w:val="none"/>
              </w:rPr>
            </w:r>
          </w:p>
        </w:tc>
      </w:tr>
    </w:tbl>
    <w:p>
      <w:pPr>
        <w:keepLines w:val="0"/>
        <w:keepNext w:val="0"/>
        <w:pageBreakBefore w:val="0"/>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2、投入至少一台电脑一台打印机。</w:t>
      </w:r>
      <w:r>
        <w:rPr>
          <w:highlight w:val="none"/>
        </w:rPr>
      </w:r>
    </w:p>
    <w:p>
      <w:pPr>
        <w:ind w:firstLine="560"/>
        <w:keepLines w:val="0"/>
        <w:keepNext w:val="0"/>
        <w:pageBreakBefore w:val="0"/>
        <w:spacing w:line="300" w:lineRule="atLeast"/>
        <w:widowControl w:val="off"/>
        <w:rPr>
          <w:rFonts w:hint="eastAsia" w:ascii="方正黑体_GBK" w:hAnsi="方正黑体_GBK" w:eastAsia="方正黑体_GBK" w:cs="方正黑体_GBK"/>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Cs/>
          <w:color w:val="000000"/>
          <w:sz w:val="28"/>
          <w:szCs w:val="28"/>
          <w:highlight w:val="none"/>
        </w:rPr>
        <w:t xml:space="preserve">六、技术服务方案</w:t>
      </w:r>
      <w:r>
        <w:rPr>
          <w:highlight w:val="none"/>
        </w:rPr>
      </w:r>
    </w:p>
    <w:p>
      <w:pPr>
        <w:ind w:firstLine="562"/>
        <w:keepLines w:val="0"/>
        <w:keepNext w:val="0"/>
        <w:pageBreakBefore w:val="0"/>
        <w:spacing w:line="440" w:lineRule="exact"/>
        <w:widowControl w:val="off"/>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（一）项目整体设想及重难点分析</w:t>
      </w:r>
      <w:r>
        <w:rPr>
          <w:highlight w:val="none"/>
        </w:rPr>
      </w:r>
    </w:p>
    <w:p>
      <w:p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投标人对我校服务的特点的理解和认识，在日常服务工作中，能够结合本项目需求，对管理服务进行整体分析和设想，深刻了解本项目特点、管理中的重点和难点等，制定出与本项目相匹配的物业定位、服务理念、管理思路和模式。</w:t>
      </w:r>
      <w:r>
        <w:rPr>
          <w:highlight w:val="none"/>
        </w:rPr>
      </w:r>
    </w:p>
    <w:p>
      <w:pPr>
        <w:ind w:firstLine="560"/>
        <w:keepLines w:val="0"/>
        <w:keepNext w:val="0"/>
        <w:pageBreakBefore w:val="0"/>
        <w:spacing w:line="440" w:lineRule="exact"/>
        <w:widowControl w:val="off"/>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针对学院各分包项目提出针对性专项服务方案。</w:t>
      </w:r>
      <w:r>
        <w:rPr>
          <w:highlight w:val="none"/>
        </w:rPr>
      </w:r>
    </w:p>
    <w:p>
      <w:pPr>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（二）组织架构及人员管理方案</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根据招标文件对岗位及人员配置的要求，提供各岗位人员配备情况一览表，提供的用工招聘方案、培训计划、奖惩制度等。</w:t>
      </w:r>
      <w:r>
        <w:rPr>
          <w:highlight w:val="none"/>
        </w:rPr>
      </w:r>
    </w:p>
    <w:p>
      <w:pPr>
        <w:numPr>
          <w:ilvl w:val="0"/>
          <w:numId w:val="0"/>
        </w:numPr>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bidi="ar-SA"/>
        </w:rPr>
        <w:t xml:space="preserve">（三）</w:t>
      </w:r>
      <w:r>
        <w:rPr>
          <w:rFonts w:hint="eastAsia" w:ascii="方正仿宋_GBK" w:hAnsi="方正仿宋_GBK" w:eastAsia="方正仿宋_GBK" w:cs="方正仿宋_GBK"/>
          <w:b/>
          <w:bCs/>
          <w:color w:val="000000"/>
          <w:sz w:val="28"/>
          <w:szCs w:val="28"/>
          <w:highlight w:val="none"/>
        </w:rPr>
        <w:t xml:space="preserve">物资装备方案</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投标文件、实际工作要求和现场踏勘，投标人为保障本项目物业服务、安全防控、环境保洁及应急处置正常开展，应按需足额、标准化配置全部岗位物资装备，实行统一采购、统一管理、定期更新，确保服务不间断、安全无隐患。</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投标人应该配置办公及客服物资：配置电脑、打印复印设备、配合完成办公网络架设、满足日常办公、客户对接、资料归档、对外公示需求。    </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按要求着装及标识确保现场服务形象标准化、规范化。配置清洁、消杀设备、绿化修剪养护工具及清洁、消杀耗材，保障公共区域环境卫生、绿植养护、四害消杀常态化达标。足额配备应急物资，满足突发事件处置要求。</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确保各类物资统一配置进场：项目进场初期一次性配齐必备设备及物资，满足开荒及常态化运营。所有设备、物资建立台账，入库、领用、归还、报废全程登记。耗材常备库存，按需补充，保障服务连续稳定。</w:t>
      </w:r>
      <w:r>
        <w:rPr>
          <w:highlight w:val="none"/>
        </w:rPr>
      </w:r>
    </w:p>
    <w:p>
      <w:pPr>
        <w:numPr>
          <w:ilvl w:val="0"/>
          <w:numId w:val="0"/>
        </w:numPr>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bidi="ar-SA"/>
        </w:rPr>
        <w:t xml:space="preserve">（四）</w:t>
      </w:r>
      <w:r>
        <w:rPr>
          <w:rFonts w:hint="eastAsia" w:ascii="方正仿宋_GBK" w:hAnsi="方正仿宋_GBK" w:eastAsia="方正仿宋_GBK" w:cs="方正仿宋_GBK"/>
          <w:b/>
          <w:bCs/>
          <w:color w:val="000000"/>
          <w:sz w:val="28"/>
          <w:szCs w:val="28"/>
          <w:highlight w:val="none"/>
        </w:rPr>
        <w:t xml:space="preserve">物业服务开始及合同到期时的交接方案</w:t>
      </w:r>
      <w:r>
        <w:rPr>
          <w:highlight w:val="none"/>
        </w:rPr>
      </w:r>
    </w:p>
    <w:p>
      <w:pPr>
        <w:ind w:left="42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投标人根据本项目要求及实际情况编制交接过渡方案。投标人要重视</w:t>
      </w:r>
      <w:r>
        <w:rPr>
          <w:highlight w:val="none"/>
        </w:rPr>
      </w:r>
    </w:p>
    <w:p>
      <w:pPr>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物业的平稳过渡、无缝衔接、账物清晰、权责分明，杜绝管理空档与安全隐患。</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必须：1. 组建交接专班，对接甲方与原物业，确定交接时限。2. 逐项移交全套档案。3. 现场核验遗留问题；清点工具、应急物资、固定资产。4. 新旧物业分步接管各岗位，梳理遗留问题限期整改，平稳转入正常服务。</w:t>
      </w:r>
      <w:r>
        <w:rPr>
          <w:highlight w:val="none"/>
        </w:rPr>
      </w:r>
    </w:p>
    <w:p>
      <w:pPr>
        <w:ind w:left="42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合同到期退出要：1. 提前梳理全部档案、物资、财务、整理完整交接</w:t>
      </w:r>
      <w:r>
        <w:rPr>
          <w:highlight w:val="none"/>
        </w:rPr>
      </w:r>
    </w:p>
    <w:p>
      <w:pPr>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清单。2. 配合甲方、新物业现场逐项核验各类事项。3. 结清当期费用，移交收费台账。4. 完成人员岗位逐步撤离，交接全程留存影像记录，移交完毕后办结权责分割。</w:t>
      </w:r>
      <w:r>
        <w:rPr>
          <w:highlight w:val="none"/>
        </w:rPr>
      </w:r>
    </w:p>
    <w:p>
      <w:pPr>
        <w:numPr>
          <w:ilvl w:val="0"/>
          <w:numId w:val="0"/>
        </w:numPr>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bidi="ar-SA"/>
        </w:rPr>
        <w:t xml:space="preserve">（五）</w:t>
      </w:r>
      <w:r>
        <w:rPr>
          <w:rFonts w:hint="eastAsia" w:ascii="方正仿宋_GBK" w:hAnsi="方正仿宋_GBK" w:eastAsia="方正仿宋_GBK" w:cs="方正仿宋_GBK"/>
          <w:b/>
          <w:bCs/>
          <w:color w:val="000000"/>
          <w:sz w:val="28"/>
          <w:szCs w:val="28"/>
          <w:highlight w:val="none"/>
        </w:rPr>
        <w:t xml:space="preserve">日常保洁工作服务方案</w:t>
      </w:r>
      <w:r>
        <w:rPr>
          <w:highlight w:val="none"/>
        </w:rPr>
      </w:r>
    </w:p>
    <w:p>
      <w:pPr>
        <w:ind w:left="42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投标人按照项目特点制定日常保洁服务的实施方案、保洁特色方案、</w:t>
      </w:r>
      <w:r>
        <w:rPr>
          <w:highlight w:val="none"/>
        </w:rPr>
      </w:r>
    </w:p>
    <w:p>
      <w:pPr>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垃圾分类、四害消杀等。</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包含以下但不限于：办公区、楼道、卫生间、大厅、公共门窗、垃圾桶、外围通道、校园公共区域等全域日常清洁。按要求分区定岗，专人负责片区；日常巡查管控质量。1. 地面：无垃圾、无浮尘、无积水污渍，定时拖扫；2. 卫生间：勤冲洗、无异味、镜面台面无水渍，耗材及时补充；3. 公共设施：扶手、开关、窗台每日除尘擦拭；4. 垃圾：日产日清，垃圾桶内外冲洗，无满溢、无异味；5. 死角：每周深度清理一次，杜绝积垢蛛网；错峰保洁，避开上下班高峰，不影响通行办公。</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统一配备清洁剂、拖把、尘推、垃圾袋等；工具定点存放，定期清洗保养。1. 每日巡查，发现问题立即整改；2. 文明作业，规范着装，礼貌待人；3. 安全操作，防滑防腐蚀，做好警示。</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积水、大面积污渍、呕吐物、垃圾爆溢10分钟内到场清理。</w:t>
      </w:r>
      <w:r>
        <w:rPr>
          <w:highlight w:val="none"/>
        </w:rPr>
      </w:r>
    </w:p>
    <w:p>
      <w:pPr>
        <w:numPr>
          <w:ilvl w:val="0"/>
          <w:numId w:val="0"/>
        </w:numPr>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bidi="ar-SA"/>
        </w:rPr>
        <w:t xml:space="preserve">（六）</w:t>
      </w:r>
      <w:r>
        <w:rPr>
          <w:rFonts w:hint="eastAsia" w:ascii="方正仿宋_GBK" w:hAnsi="方正仿宋_GBK" w:eastAsia="方正仿宋_GBK" w:cs="方正仿宋_GBK"/>
          <w:b/>
          <w:bCs/>
          <w:color w:val="000000"/>
          <w:sz w:val="28"/>
          <w:szCs w:val="28"/>
          <w:highlight w:val="none"/>
        </w:rPr>
        <w:t xml:space="preserve">楼宇服务方案</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投标人根据招标文件中楼宇物业服务的相关要求制定楼宇服务方案</w:t>
      </w:r>
      <w:r>
        <w:rPr>
          <w:highlight w:val="none"/>
        </w:rPr>
      </w:r>
    </w:p>
    <w:p>
      <w:pPr>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（门岗管理、巡查管理、会务服务、大型考试等活动保障、接报修方案）特色举措等方案等。</w:t>
      </w:r>
      <w:r>
        <w:rPr>
          <w:highlight w:val="none"/>
        </w:rPr>
      </w:r>
    </w:p>
    <w:p>
      <w:pPr>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具体要求： 24小时在岗，着装规范，文明执勤；内部人员正常通行，外来访客实名登记核实；管控门前车辆、大件物品进出，疏导出入口秩序；发现异常、突发事件第一时间上报处置。</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定时巡回检查，做好巡更记录；检查消防通道、水电门窗、公共设施；排查乱堆乱放、违规用电、可疑人员、卫生问题；小问题当场处理，隐患登记上报并跟进复查。</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会前：清洁会场，调试音响、空调、投影，摆放茶水座签；会中：场内值守，及时添水，快速协调处理设备故障；会后：清理垃圾、归位桌椅，关闭水电门窗。</w:t>
      </w:r>
      <w:r>
        <w:rPr>
          <w:highlight w:val="none"/>
        </w:rPr>
      </w:r>
    </w:p>
    <w:p>
      <w:pPr>
        <w:ind w:firstLine="562"/>
        <w:spacing w:line="440" w:lineRule="exact"/>
        <w:rPr>
          <w:rFonts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eastAsia="zh-CN"/>
        </w:rPr>
        <w:t xml:space="preserve">（</w:t>
      </w:r>
      <w:r>
        <w:rPr>
          <w:rFonts w:hint="eastAsia" w:ascii="方正仿宋_GBK" w:hAnsi="方正仿宋_GBK" w:eastAsia="方正仿宋_GBK" w:cs="方正仿宋_GBK"/>
          <w:b/>
          <w:bCs/>
          <w:color w:val="000000"/>
          <w:sz w:val="28"/>
          <w:szCs w:val="28"/>
          <w:highlight w:val="none"/>
          <w:lang w:val="en-US" w:eastAsia="zh-CN"/>
        </w:rPr>
        <w:t xml:space="preserve">七</w:t>
      </w:r>
      <w:r>
        <w:rPr>
          <w:rFonts w:hint="eastAsia" w:ascii="方正仿宋_GBK" w:hAnsi="方正仿宋_GBK" w:eastAsia="方正仿宋_GBK" w:cs="方正仿宋_GBK"/>
          <w:b/>
          <w:bCs/>
          <w:color w:val="000000"/>
          <w:sz w:val="28"/>
          <w:szCs w:val="28"/>
          <w:highlight w:val="none"/>
          <w:lang w:eastAsia="zh-CN"/>
        </w:rPr>
        <w:t xml:space="preserve">）</w:t>
      </w:r>
      <w:r>
        <w:rPr>
          <w:rFonts w:hint="eastAsia" w:ascii="方正仿宋_GBK" w:hAnsi="方正仿宋_GBK" w:eastAsia="方正仿宋_GBK" w:cs="方正仿宋_GBK"/>
          <w:b/>
          <w:bCs/>
          <w:color w:val="000000"/>
          <w:sz w:val="28"/>
          <w:szCs w:val="28"/>
          <w:highlight w:val="none"/>
          <w:lang w:val="en-US" w:eastAsia="zh-CN"/>
        </w:rPr>
        <w:t xml:space="preserve">电梯配合年审方案</w:t>
      </w:r>
      <w:r>
        <w:rPr>
          <w:highlight w:val="none"/>
        </w:rPr>
      </w:r>
    </w:p>
    <w:p>
      <w:pPr>
        <w:ind w:firstLine="560"/>
        <w:keepLines w:val="0"/>
        <w:keepNext w:val="0"/>
        <w:pageBreakBefore w:val="0"/>
        <w:spacing w:line="440" w:lineRule="exact"/>
        <w:widowControl w:val="off"/>
        <w:rPr>
          <w:rFonts w:eastAsia="方正仿宋_GBK"/>
          <w:color w:val="000000"/>
          <w:highlight w:val="none"/>
        </w:rPr>
      </w:pPr>
      <w:r>
        <w:rPr>
          <w:rFonts w:hint="eastAsia" w:ascii="方正仿宋_GBK" w:hAnsi="方正仿宋_GBK" w:eastAsia="方正仿宋_GBK" w:cs="方正仿宋_GBK"/>
          <w:color w:val="000000"/>
          <w:sz w:val="28"/>
          <w:szCs w:val="28"/>
          <w:highlight w:val="none"/>
        </w:rPr>
        <w:t xml:space="preserve">投标人拟派驻本项目的电梯管理员持特种设备作业人员证特种设备安全管理证A证</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能够高效配合学院完成年审工作。</w:t>
      </w:r>
      <w:r>
        <w:rPr>
          <w:highlight w:val="none"/>
        </w:rPr>
      </w:r>
    </w:p>
    <w:p>
      <w:pPr>
        <w:pStyle w:val="958"/>
        <w:ind w:firstLine="562"/>
        <w:keepLines w:val="0"/>
        <w:keepNext w:val="0"/>
        <w:pageBreakBefore w:val="0"/>
        <w:spacing w:before="0" w:after="0" w:line="440" w:lineRule="exact"/>
        <w:widowControl w:val="off"/>
        <w:rPr>
          <w:rFonts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eastAsia="zh-CN"/>
        </w:rPr>
        <w:t xml:space="preserve">（</w:t>
      </w:r>
      <w:r>
        <w:rPr>
          <w:rFonts w:hint="eastAsia" w:ascii="方正仿宋_GBK" w:hAnsi="方正仿宋_GBK" w:eastAsia="方正仿宋_GBK" w:cs="方正仿宋_GBK"/>
          <w:b/>
          <w:bCs/>
          <w:color w:val="000000"/>
          <w:sz w:val="28"/>
          <w:szCs w:val="28"/>
          <w:highlight w:val="none"/>
          <w:lang w:val="en-US" w:eastAsia="zh-CN"/>
        </w:rPr>
        <w:t xml:space="preserve">八</w:t>
      </w:r>
      <w:r>
        <w:rPr>
          <w:rFonts w:hint="eastAsia" w:ascii="方正仿宋_GBK" w:hAnsi="方正仿宋_GBK" w:eastAsia="方正仿宋_GBK" w:cs="方正仿宋_GBK"/>
          <w:b/>
          <w:bCs/>
          <w:color w:val="000000"/>
          <w:sz w:val="28"/>
          <w:szCs w:val="28"/>
          <w:highlight w:val="none"/>
          <w:lang w:eastAsia="zh-CN"/>
        </w:rPr>
        <w:t xml:space="preserve">）</w:t>
      </w:r>
      <w:r>
        <w:rPr>
          <w:rFonts w:hint="eastAsia" w:ascii="方正仿宋_GBK" w:hAnsi="方正仿宋_GBK" w:eastAsia="方正仿宋_GBK" w:cs="方正仿宋_GBK"/>
          <w:b/>
          <w:bCs/>
          <w:color w:val="000000"/>
          <w:sz w:val="28"/>
          <w:szCs w:val="28"/>
          <w:highlight w:val="none"/>
          <w:lang w:val="en-US" w:eastAsia="zh-CN"/>
        </w:rPr>
        <w:t xml:space="preserve">绿化养护方案</w:t>
      </w:r>
      <w:r>
        <w:rPr>
          <w:highlight w:val="none"/>
        </w:rPr>
      </w:r>
    </w:p>
    <w:p>
      <w:p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统筹管控，负责全校园绿植管护。教学办公区高标准保洁修剪，宿舍、道路、操场分区养护。春季补植施肥防病，夏季抗旱除虫排涝，秋季清落叶施冬肥，冬季修枝防冻。草坪、绿篱、乔木保持整洁无枯枝杂草，作业避开教学时段，每月检查整改。</w:t>
      </w:r>
      <w:r>
        <w:rPr>
          <w:highlight w:val="none"/>
        </w:rPr>
      </w:r>
    </w:p>
    <w:p>
      <w:p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特别是针对弘毅楼门前桂花养护有专门管养方案，尤其要做好复壮、梳叶、纠偏。</w:t>
      </w:r>
      <w:r>
        <w:rPr>
          <w:highlight w:val="none"/>
        </w:rPr>
      </w:r>
    </w:p>
    <w:p>
      <w:pPr>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团队内须有绿化工等专业人员。</w:t>
      </w:r>
      <w:r>
        <w:rPr>
          <w:highlight w:val="none"/>
        </w:rPr>
      </w:r>
    </w:p>
    <w:p>
      <w:pPr>
        <w:numPr>
          <w:ilvl w:val="0"/>
          <w:numId w:val="0"/>
        </w:numPr>
        <w:ind w:firstLine="562"/>
        <w:keepLines w:val="0"/>
        <w:keepNext w:val="0"/>
        <w:pageBreakBefore w:val="0"/>
        <w:spacing w:line="440" w:lineRule="exact"/>
        <w:widowControl w:val="off"/>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eastAsia="zh-CN"/>
        </w:rPr>
        <w:t xml:space="preserve">（</w:t>
      </w:r>
      <w:r>
        <w:rPr>
          <w:rFonts w:hint="eastAsia" w:ascii="方正仿宋_GBK" w:hAnsi="方正仿宋_GBK" w:eastAsia="方正仿宋_GBK" w:cs="方正仿宋_GBK"/>
          <w:b/>
          <w:bCs/>
          <w:color w:val="000000"/>
          <w:sz w:val="28"/>
          <w:szCs w:val="28"/>
          <w:highlight w:val="none"/>
          <w:lang w:val="en-US" w:eastAsia="zh-CN"/>
        </w:rPr>
        <w:t xml:space="preserve">九</w:t>
      </w:r>
      <w:r>
        <w:rPr>
          <w:rFonts w:hint="eastAsia" w:ascii="方正仿宋_GBK" w:hAnsi="方正仿宋_GBK" w:eastAsia="方正仿宋_GBK" w:cs="方正仿宋_GBK"/>
          <w:b/>
          <w:bCs/>
          <w:color w:val="000000"/>
          <w:sz w:val="28"/>
          <w:szCs w:val="28"/>
          <w:highlight w:val="none"/>
          <w:lang w:eastAsia="zh-CN"/>
        </w:rPr>
        <w:t xml:space="preserve">）</w:t>
      </w:r>
      <w:r>
        <w:rPr>
          <w:rFonts w:hint="eastAsia" w:ascii="方正仿宋_GBK" w:hAnsi="方正仿宋_GBK" w:eastAsia="方正仿宋_GBK" w:cs="方正仿宋_GBK"/>
          <w:b/>
          <w:bCs/>
          <w:color w:val="000000"/>
          <w:sz w:val="28"/>
          <w:szCs w:val="28"/>
          <w:highlight w:val="none"/>
        </w:rPr>
        <w:t xml:space="preserve">重要活动服务保障方案</w:t>
      </w:r>
      <w:r>
        <w:rPr>
          <w:highlight w:val="none"/>
        </w:rPr>
      </w:r>
    </w:p>
    <w:p>
      <w:pPr>
        <w:ind w:left="42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投标人根据招标文件中会务与重要活动保障服务的相关要求，针对会</w:t>
      </w:r>
      <w:r>
        <w:rPr>
          <w:highlight w:val="none"/>
        </w:rPr>
      </w:r>
    </w:p>
    <w:p>
      <w:pPr>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议服务以及重大活动保障制定方案。</w:t>
      </w:r>
      <w:r>
        <w:rPr>
          <w:highlight w:val="none"/>
        </w:rPr>
      </w:r>
    </w:p>
    <w:p>
      <w:pPr>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积极主动对接主办方，确认活动规模、流程、场地、需求；门岗、安保、保洁、会务人员提前定岗分工；全面清洁会场；备好茶水、座牌、纸巾、急救物资、隔离指示牌。</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增设值守人员，加密巡场频次，及时清理垃圾、疏导人流，消除安全隐患发现突发情况第一时间上报处置。</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会前摆好物资、通风调温；会中全程值守，及时续水、协助处理设备故障维持会场安静，不随意进出干扰活动。</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安排专人巡回保洁，及时清理果皮、垃圾、水渍，保持场地整洁。</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有序疏散人员，引导离场；清理全场，桌椅物资归位，关闭水电门窗</w:t>
      </w:r>
      <w:r>
        <w:rPr>
          <w:highlight w:val="none"/>
        </w:rPr>
      </w:r>
    </w:p>
    <w:p>
      <w:pPr>
        <w:spacing w:line="44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清点物资，复盘本次保障问题优化流程。</w:t>
      </w:r>
      <w:r>
        <w:rPr>
          <w:highlight w:val="none"/>
        </w:rPr>
      </w:r>
    </w:p>
    <w:p>
      <w:pPr>
        <w:numPr>
          <w:ilvl w:val="0"/>
          <w:numId w:val="0"/>
        </w:numPr>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eastAsia="zh-CN"/>
        </w:rPr>
        <w:t xml:space="preserve">（</w:t>
      </w:r>
      <w:r>
        <w:rPr>
          <w:rFonts w:hint="eastAsia" w:ascii="方正仿宋_GBK" w:hAnsi="方正仿宋_GBK" w:eastAsia="方正仿宋_GBK" w:cs="方正仿宋_GBK"/>
          <w:b/>
          <w:bCs/>
          <w:color w:val="000000"/>
          <w:sz w:val="28"/>
          <w:szCs w:val="28"/>
          <w:highlight w:val="none"/>
          <w:lang w:val="en-US" w:eastAsia="zh-CN"/>
        </w:rPr>
        <w:t xml:space="preserve">十</w:t>
      </w:r>
      <w:r>
        <w:rPr>
          <w:rFonts w:hint="eastAsia" w:ascii="方正仿宋_GBK" w:hAnsi="方正仿宋_GBK" w:eastAsia="方正仿宋_GBK" w:cs="方正仿宋_GBK"/>
          <w:b/>
          <w:bCs/>
          <w:color w:val="000000"/>
          <w:sz w:val="28"/>
          <w:szCs w:val="28"/>
          <w:highlight w:val="none"/>
          <w:lang w:eastAsia="zh-CN"/>
        </w:rPr>
        <w:t xml:space="preserve">）</w:t>
      </w:r>
      <w:r>
        <w:rPr>
          <w:rFonts w:hint="eastAsia" w:ascii="方正仿宋_GBK" w:hAnsi="方正仿宋_GBK" w:eastAsia="方正仿宋_GBK" w:cs="方正仿宋_GBK"/>
          <w:b/>
          <w:bCs/>
          <w:color w:val="000000"/>
          <w:sz w:val="28"/>
          <w:szCs w:val="28"/>
          <w:highlight w:val="none"/>
        </w:rPr>
        <w:t xml:space="preserve">应急事件处置方案</w:t>
      </w:r>
      <w:r>
        <w:rPr>
          <w:highlight w:val="none"/>
        </w:rPr>
      </w:r>
    </w:p>
    <w:p>
      <w:pPr>
        <w:ind w:left="42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投标人根据招标文件相关要求，制定包括但不限于处理停水、停电、</w:t>
      </w:r>
      <w:r>
        <w:rPr>
          <w:highlight w:val="none"/>
        </w:rPr>
      </w:r>
    </w:p>
    <w:p>
      <w:pPr>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电梯故障、群体事件、火灾等应急事件处置方案。</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坚持快速响应、分工处置、及时上报、闭环处理的原则，做好：第一时间控场、疏散、初步处置；上报上级，统筹调配人员物资；维持秩序、封锁现场、引导救援。事后记录事件经过，复盘整改隐患。</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所有事件登记台账，定期组织应急演练，完善隐患排查。</w:t>
      </w:r>
      <w:r>
        <w:rPr>
          <w:highlight w:val="none"/>
        </w:rPr>
      </w:r>
    </w:p>
    <w:p>
      <w:pPr>
        <w:numPr>
          <w:ilvl w:val="0"/>
          <w:numId w:val="0"/>
        </w:numPr>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eastAsia="zh-CN"/>
        </w:rPr>
        <w:t xml:space="preserve">（</w:t>
      </w:r>
      <w:r>
        <w:rPr>
          <w:rFonts w:hint="eastAsia" w:ascii="方正仿宋_GBK" w:hAnsi="方正仿宋_GBK" w:eastAsia="方正仿宋_GBK" w:cs="方正仿宋_GBK"/>
          <w:b/>
          <w:bCs/>
          <w:color w:val="000000"/>
          <w:sz w:val="28"/>
          <w:szCs w:val="28"/>
          <w:highlight w:val="none"/>
          <w:lang w:val="en-US" w:eastAsia="zh-CN"/>
        </w:rPr>
        <w:t xml:space="preserve">十一</w:t>
      </w:r>
      <w:r>
        <w:rPr>
          <w:rFonts w:hint="eastAsia" w:ascii="方正仿宋_GBK" w:hAnsi="方正仿宋_GBK" w:eastAsia="方正仿宋_GBK" w:cs="方正仿宋_GBK"/>
          <w:b/>
          <w:bCs/>
          <w:color w:val="000000"/>
          <w:sz w:val="28"/>
          <w:szCs w:val="28"/>
          <w:highlight w:val="none"/>
          <w:lang w:eastAsia="zh-CN"/>
        </w:rPr>
        <w:t xml:space="preserve">）</w:t>
      </w:r>
      <w:r>
        <w:rPr>
          <w:rFonts w:hint="eastAsia" w:ascii="方正仿宋_GBK" w:hAnsi="方正仿宋_GBK" w:eastAsia="方正仿宋_GBK" w:cs="方正仿宋_GBK"/>
          <w:b/>
          <w:bCs/>
          <w:color w:val="000000"/>
          <w:sz w:val="28"/>
          <w:szCs w:val="28"/>
          <w:highlight w:val="none"/>
        </w:rPr>
        <w:t xml:space="preserve">创新服务及文化建设方案</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投标人根据投标文件相关要求，制定包括担不限于校园文化建设、节</w:t>
      </w:r>
      <w:r>
        <w:rPr>
          <w:highlight w:val="none"/>
        </w:rPr>
      </w:r>
    </w:p>
    <w:p>
      <w:pPr>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假日氛围营造、学生劳动实践基地建设方案等创新服务方案。</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积极开展便民增值服务；开设数字化便捷服务；办公室定期绿植养护、公共区域氛围布置；错峰保洁减少办公干扰。</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积极支持后勤文化育人，强调统一仪容礼仪，推行文明服务用语，定期开展礼仪、安保、会务技能培训。</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定期开展服务复盘，收集甲方意见持续优化服务；组织技能比拼、文化学习活动。</w:t>
      </w:r>
      <w:r>
        <w:rPr>
          <w:highlight w:val="none"/>
        </w:rPr>
      </w:r>
    </w:p>
    <w:p>
      <w:pPr>
        <w:pStyle w:val="919"/>
        <w:ind w:firstLine="562"/>
        <w:spacing w:line="400" w:lineRule="exact"/>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rPr>
        <w:t xml:space="preserve">七、投标人履约能力</w:t>
      </w:r>
      <w:r>
        <w:rPr>
          <w:highlight w:val="none"/>
        </w:rPr>
      </w:r>
    </w:p>
    <w:p>
      <w:pPr>
        <w:pStyle w:val="919"/>
        <w:ind w:firstLine="562"/>
        <w:spacing w:line="400" w:lineRule="exact"/>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rPr>
        <w:t xml:space="preserve">（一）履约能力</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Bdr>
          <w:top w:val="none" w:color="auto" w:sz="0" w:space="0"/>
          <w:left w:val="none" w:color="auto" w:sz="0" w:space="0"/>
          <w:bottom w:val="none" w:color="auto" w:sz="0" w:space="0"/>
          <w:right w:val="none" w:color="auto" w:sz="0" w:space="0"/>
        </w:pBdr>
      </w:pPr>
      <w:r>
        <w:rPr>
          <w:rFonts w:hint="eastAsia" w:ascii="方正仿宋_GBK" w:hAnsi="方正仿宋_GBK" w:eastAsia="方正仿宋_GBK" w:cs="方正仿宋_GBK"/>
          <w:color w:val="000000"/>
          <w:sz w:val="28"/>
          <w:szCs w:val="28"/>
          <w:highlight w:val="none"/>
        </w:rPr>
        <w:t xml:space="preserve">投标人财务健康、专业人员保障、能提供项目需要的设备物资、管理体系与制度健全、诚实守信。</w:t>
      </w:r>
      <w:r>
        <w:rPr>
          <w:rFonts w:hint="eastAsia" w:ascii="方正仿宋_GBK" w:hAnsi="方正仿宋_GBK" w:eastAsia="方正仿宋_GBK" w:cs="方正仿宋_GBK"/>
          <w:color w:val="000000"/>
          <w:sz w:val="28"/>
          <w:szCs w:val="28"/>
          <w:highlight w:val="none"/>
          <w:u w:val="none"/>
        </w:rPr>
        <w:t xml:space="preserve">投标人具有国家认监委认可的机构颁发的有效期内的：（1）ISO9001质量管理体系认证证书；（2）ISO14001环境管理体系认证证书；（3）ISO45001职业健康安全管理体系认证证书</w:t>
      </w:r>
      <w:r>
        <w:rPr>
          <w:rFonts w:hint="eastAsia" w:ascii="方正仿宋_GBK" w:hAnsi="方正仿宋_GBK" w:eastAsia="方正仿宋_GBK" w:cs="方正仿宋_GBK"/>
          <w:color w:val="000000"/>
          <w:sz w:val="28"/>
          <w:szCs w:val="28"/>
          <w:highlight w:val="none"/>
          <w:u w:val="none"/>
          <w:lang w:eastAsia="zh-CN"/>
        </w:rPr>
        <w:t xml:space="preserve">。</w:t>
      </w:r>
      <w:r>
        <w:rPr>
          <w:highlight w:val="none"/>
        </w:rPr>
      </w:r>
    </w:p>
    <w:p>
      <w:pPr>
        <w:pStyle w:val="919"/>
        <w:numPr>
          <w:ilvl w:val="0"/>
          <w:numId w:val="0"/>
        </w:numPr>
        <w:ind w:firstLine="562"/>
        <w:spacing w:line="400" w:lineRule="exact"/>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lang w:val="en-US" w:eastAsia="zh-CN" w:bidi="ar-SA"/>
        </w:rPr>
        <w:t xml:space="preserve">（二）</w:t>
      </w:r>
      <w:r>
        <w:rPr>
          <w:rFonts w:hint="eastAsia" w:ascii="方正仿宋_GBK" w:hAnsi="方正仿宋_GBK" w:eastAsia="方正仿宋_GBK" w:cs="方正仿宋_GBK"/>
          <w:b/>
          <w:bCs w:val="0"/>
          <w:color w:val="000000"/>
          <w:sz w:val="28"/>
          <w:szCs w:val="28"/>
          <w:highlight w:val="none"/>
        </w:rPr>
        <w:t xml:space="preserve">业绩案例</w:t>
      </w:r>
      <w:r>
        <w:rPr>
          <w:highlight w:val="none"/>
        </w:rPr>
      </w:r>
    </w:p>
    <w:p>
      <w:pPr>
        <w:pStyle w:val="91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分包1、3：</w:t>
      </w:r>
      <w:r>
        <w:rPr>
          <w:rFonts w:hint="eastAsia" w:ascii="方正仿宋_GBK" w:hAnsi="方正仿宋_GBK" w:eastAsia="方正仿宋_GBK" w:cs="方正仿宋_GBK"/>
          <w:color w:val="000000"/>
          <w:sz w:val="28"/>
          <w:szCs w:val="28"/>
          <w:highlight w:val="none"/>
        </w:rPr>
        <w:t xml:space="preserve">投标人20</w:t>
      </w:r>
      <w:r>
        <w:rPr>
          <w:rFonts w:hint="eastAsia" w:ascii="方正仿宋_GBK" w:hAnsi="方正仿宋_GBK" w:eastAsia="方正仿宋_GBK" w:cs="方正仿宋_GBK"/>
          <w:color w:val="000000"/>
          <w:sz w:val="28"/>
          <w:szCs w:val="28"/>
          <w:highlight w:val="none"/>
          <w:lang w:val="en-US" w:eastAsia="zh-CN"/>
        </w:rPr>
        <w:t xml:space="preserve">23年7月</w:t>
      </w:r>
      <w:r>
        <w:rPr>
          <w:rFonts w:hint="eastAsia" w:ascii="方正仿宋_GBK" w:hAnsi="方正仿宋_GBK" w:eastAsia="方正仿宋_GBK" w:cs="方正仿宋_GBK"/>
          <w:color w:val="000000"/>
          <w:sz w:val="28"/>
          <w:szCs w:val="28"/>
          <w:highlight w:val="none"/>
        </w:rPr>
        <w:t xml:space="preserve">1日以来(以合同签订时间为准)承担的类似项目(非住宅类)管理的案例</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每个案例的服务内容</w:t>
      </w:r>
      <w:r>
        <w:rPr>
          <w:rFonts w:hint="eastAsia" w:ascii="方正仿宋_GBK" w:hAnsi="方正仿宋_GBK" w:eastAsia="方正仿宋_GBK" w:cs="方正仿宋_GBK"/>
          <w:color w:val="000000"/>
          <w:sz w:val="28"/>
          <w:szCs w:val="28"/>
          <w:highlight w:val="none"/>
          <w:lang w:val="en-US" w:eastAsia="zh-CN"/>
        </w:rPr>
        <w:t xml:space="preserve">应</w:t>
      </w:r>
      <w:r>
        <w:rPr>
          <w:rFonts w:hint="eastAsia" w:ascii="方正仿宋_GBK" w:hAnsi="方正仿宋_GBK" w:eastAsia="方正仿宋_GBK" w:cs="方正仿宋_GBK"/>
          <w:color w:val="000000"/>
          <w:sz w:val="28"/>
          <w:szCs w:val="28"/>
          <w:highlight w:val="none"/>
        </w:rPr>
        <w:t xml:space="preserve">包含: ①楼宇管理服务 ②保洁服务。</w:t>
      </w:r>
      <w:r>
        <w:rPr>
          <w:highlight w:val="none"/>
        </w:rPr>
      </w:r>
    </w:p>
    <w:p>
      <w:pPr>
        <w:pStyle w:val="91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分包2：</w:t>
      </w:r>
      <w:r>
        <w:rPr>
          <w:rFonts w:hint="eastAsia" w:ascii="方正仿宋_GBK" w:hAnsi="方正仿宋_GBK" w:eastAsia="方正仿宋_GBK" w:cs="方正仿宋_GBK"/>
          <w:color w:val="000000"/>
          <w:sz w:val="28"/>
          <w:szCs w:val="28"/>
          <w:highlight w:val="none"/>
        </w:rPr>
        <w:t xml:space="preserve">投标人20</w:t>
      </w:r>
      <w:r>
        <w:rPr>
          <w:rFonts w:hint="eastAsia" w:ascii="方正仿宋_GBK" w:hAnsi="方正仿宋_GBK" w:eastAsia="方正仿宋_GBK" w:cs="方正仿宋_GBK"/>
          <w:color w:val="000000"/>
          <w:sz w:val="28"/>
          <w:szCs w:val="28"/>
          <w:highlight w:val="none"/>
          <w:lang w:val="en-US" w:eastAsia="zh-CN"/>
        </w:rPr>
        <w:t xml:space="preserve">23年7月</w:t>
      </w:r>
      <w:r>
        <w:rPr>
          <w:rFonts w:hint="eastAsia" w:ascii="方正仿宋_GBK" w:hAnsi="方正仿宋_GBK" w:eastAsia="方正仿宋_GBK" w:cs="方正仿宋_GBK"/>
          <w:color w:val="000000"/>
          <w:sz w:val="28"/>
          <w:szCs w:val="28"/>
          <w:highlight w:val="none"/>
        </w:rPr>
        <w:t xml:space="preserve">1日以来(以合同签订时间为准)承担的类似项目(非住宅类)管理的案例</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每个案例的服务内容</w:t>
      </w:r>
      <w:r>
        <w:rPr>
          <w:rFonts w:hint="eastAsia" w:ascii="方正仿宋_GBK" w:hAnsi="方正仿宋_GBK" w:eastAsia="方正仿宋_GBK" w:cs="方正仿宋_GBK"/>
          <w:color w:val="000000"/>
          <w:sz w:val="28"/>
          <w:szCs w:val="28"/>
          <w:highlight w:val="none"/>
          <w:lang w:val="en-US" w:eastAsia="zh-CN"/>
        </w:rPr>
        <w:t xml:space="preserve">应</w:t>
      </w:r>
      <w:r>
        <w:rPr>
          <w:rFonts w:hint="eastAsia" w:ascii="方正仿宋_GBK" w:hAnsi="方正仿宋_GBK" w:eastAsia="方正仿宋_GBK" w:cs="方正仿宋_GBK"/>
          <w:color w:val="000000"/>
          <w:sz w:val="28"/>
          <w:szCs w:val="28"/>
          <w:highlight w:val="none"/>
        </w:rPr>
        <w:t xml:space="preserve">包含: ①楼宇管理服务 ②保洁服务 ③会议服务。</w:t>
      </w:r>
      <w:r>
        <w:rPr>
          <w:highlight w:val="none"/>
        </w:rPr>
      </w:r>
    </w:p>
    <w:p>
      <w:pPr>
        <w:pStyle w:val="919"/>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分包4：</w:t>
      </w:r>
      <w:r>
        <w:rPr>
          <w:rFonts w:hint="eastAsia" w:ascii="方正仿宋_GBK" w:hAnsi="方正仿宋_GBK" w:eastAsia="方正仿宋_GBK" w:cs="方正仿宋_GBK"/>
          <w:color w:val="000000"/>
          <w:sz w:val="28"/>
          <w:szCs w:val="28"/>
          <w:highlight w:val="none"/>
        </w:rPr>
        <w:t xml:space="preserve">投标人202</w:t>
      </w:r>
      <w:r>
        <w:rPr>
          <w:rFonts w:hint="eastAsia" w:ascii="方正仿宋_GBK" w:hAnsi="方正仿宋_GBK" w:eastAsia="方正仿宋_GBK" w:cs="方正仿宋_GBK"/>
          <w:color w:val="000000"/>
          <w:sz w:val="28"/>
          <w:szCs w:val="28"/>
          <w:highlight w:val="none"/>
          <w:lang w:val="en-US" w:eastAsia="zh-CN"/>
        </w:rPr>
        <w:t xml:space="preserve">3年7</w:t>
      </w:r>
      <w:r>
        <w:rPr>
          <w:rFonts w:hint="eastAsia" w:ascii="方正仿宋_GBK" w:hAnsi="方正仿宋_GBK" w:eastAsia="方正仿宋_GBK" w:cs="方正仿宋_GBK"/>
          <w:color w:val="000000"/>
          <w:sz w:val="28"/>
          <w:szCs w:val="28"/>
          <w:highlight w:val="none"/>
        </w:rPr>
        <w:t xml:space="preserve">月1日以来(以合同签订时间为准)承担的类似项目(非住宅类)管理的案例</w:t>
      </w:r>
      <w:r>
        <w:rPr>
          <w:rFonts w:hint="eastAsia" w:ascii="方正仿宋_GBK" w:hAnsi="方正仿宋_GBK" w:eastAsia="方正仿宋_GBK" w:cs="方正仿宋_GBK"/>
          <w:color w:val="000000"/>
          <w:sz w:val="28"/>
          <w:szCs w:val="28"/>
          <w:highlight w:val="none"/>
          <w:lang w:val="en-US" w:eastAsia="zh-CN"/>
        </w:rPr>
        <w:t xml:space="preserve">，每个案例的服务内容应</w:t>
      </w:r>
      <w:r>
        <w:rPr>
          <w:rFonts w:hint="eastAsia" w:ascii="方正仿宋_GBK" w:hAnsi="方正仿宋_GBK" w:eastAsia="方正仿宋_GBK" w:cs="方正仿宋_GBK"/>
          <w:color w:val="000000"/>
          <w:sz w:val="28"/>
          <w:szCs w:val="28"/>
          <w:highlight w:val="none"/>
        </w:rPr>
        <w:t xml:space="preserve">包含</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①绿化服务②</w:t>
      </w:r>
      <w:r>
        <w:rPr>
          <w:rFonts w:hint="eastAsia" w:ascii="方正仿宋_GBK" w:hAnsi="方正仿宋_GBK" w:eastAsia="方正仿宋_GBK" w:cs="方正仿宋_GBK"/>
          <w:color w:val="000000"/>
          <w:sz w:val="28"/>
          <w:szCs w:val="28"/>
          <w:highlight w:val="none"/>
          <w:lang w:val="en-US" w:eastAsia="zh-CN"/>
        </w:rPr>
        <w:t xml:space="preserve">保洁服务</w:t>
      </w:r>
      <w:r>
        <w:rPr>
          <w:rFonts w:hint="eastAsia" w:ascii="方正仿宋_GBK" w:hAnsi="方正仿宋_GBK" w:eastAsia="方正仿宋_GBK" w:cs="方正仿宋_GBK"/>
          <w:color w:val="000000"/>
          <w:sz w:val="28"/>
          <w:szCs w:val="28"/>
          <w:highlight w:val="none"/>
        </w:rPr>
        <w:t xml:space="preserve"> 。</w:t>
      </w:r>
      <w:r>
        <w:rPr>
          <w:highlight w:val="none"/>
        </w:rPr>
      </w:r>
    </w:p>
    <w:p>
      <w:pPr>
        <w:pStyle w:val="919"/>
        <w:ind w:firstLine="562"/>
        <w:spacing w:line="400" w:lineRule="exact"/>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rPr>
        <w:t xml:space="preserve">八、服务质量考核</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highlight w:val="none"/>
        </w:rPr>
      </w:r>
      <w:bookmarkStart w:id="90" w:name="_Toc13055"/>
      <w:r>
        <w:rPr>
          <w:rFonts w:hint="eastAsia" w:ascii="方正仿宋_GBK" w:hAnsi="方正仿宋_GBK" w:eastAsia="方正仿宋_GBK" w:cs="方正仿宋_GBK"/>
          <w:color w:val="000000"/>
          <w:sz w:val="28"/>
          <w:szCs w:val="28"/>
          <w:highlight w:val="none"/>
        </w:rPr>
        <w:t xml:space="preserve">1.</w:t>
      </w:r>
      <w:bookmarkEnd w:id="90"/>
      <w:r>
        <w:rPr>
          <w:rFonts w:hint="eastAsia" w:ascii="方正仿宋_GBK" w:hAnsi="方正仿宋_GBK" w:eastAsia="方正仿宋_GBK" w:cs="方正仿宋_GBK"/>
          <w:color w:val="000000"/>
          <w:sz w:val="28"/>
          <w:szCs w:val="28"/>
          <w:highlight w:val="none"/>
        </w:rPr>
        <w:t xml:space="preserve">考核目的：通过建立科学、公正、可量化的考核机制，督促供应商持续提升服务质量，保障学院师生享受优质、高效的物业服务环境。</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2.考核原则：</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客观公正原则：考核依据事实数据和量化指标，避免主观臆断。</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公开透明原则：考核标准、考核程序、考核结果公开，供应商有权知悉考核情况。</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奖惩分明原则：考核结果与服务费用挂钩，优奖劣罚。</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持续改进原则：以考核促改进，引导供应商不断提升服务能力和管理水平。</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3.考核组织：</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考核工作由学院后勤基建处牵头组织实施，学院物业服务质量考核小组评分。</w:t>
      </w:r>
      <w:r>
        <w:rPr>
          <w:highlight w:val="none"/>
        </w:rPr>
      </w:r>
    </w:p>
    <w:p>
      <w:pPr>
        <w:ind w:firstLine="560"/>
        <w:jc w:val="left"/>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学院成立物业管理考核工作小组（以下简称"考核小组"），成员由后勤基建处、各使用部门代表、教师代表、学生代表等组成，考核小组负责制定考核方案、组织考核实施、审定考核结果。</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考核表详见附件1-附件5</w:t>
      </w:r>
      <w:r>
        <w:rPr>
          <w:rFonts w:hint="eastAsia" w:ascii="方正仿宋_GBK" w:hAnsi="方正仿宋_GBK" w:eastAsia="方正仿宋_GBK" w:cs="方正仿宋_GBK"/>
          <w:color w:val="000000"/>
          <w:sz w:val="28"/>
          <w:szCs w:val="28"/>
          <w:highlight w:val="none"/>
          <w:lang w:eastAsia="zh-CN"/>
        </w:rPr>
        <w:t xml:space="preserve">）</w:t>
      </w:r>
      <w:r>
        <w:rPr>
          <w:highlight w:val="none"/>
        </w:rPr>
      </w:r>
    </w:p>
    <w:p>
      <w:pPr>
        <w:pStyle w:val="919"/>
        <w:ind w:firstLine="560"/>
        <w:spacing w:before="120" w:after="120"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九、商务要求</w:t>
      </w:r>
      <w:r>
        <w:rPr>
          <w:highlight w:val="none"/>
        </w:rPr>
      </w:r>
    </w:p>
    <w:p>
      <w:pPr>
        <w:ind w:firstLine="560"/>
        <w:spacing w:line="40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或加*号条款为实质性要求。</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（一）报价要求</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1.供应商的投标报价须为含增值税全包价格，涵盖本采购包技术要求所列全部费用项目。供应商须在投标文件中提供详细的报价明细，包括但不限于以下内容：</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人员费用明细表：含各岗位人数、基本工资、社会保险、住房公积金、商业保险等。</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设备费用明细表：含设备名称、数量、来源（自有/新购/租赁）、金额等。</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耗材费用明细表：含主要耗材名称、规格、年用量、单价、金额等。</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管理费用及利润明细表：含企业管理费、项目管理费、税金、利润等。</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其他费用明细表：含应急保障、节假日加班、团队建设等。</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2.报价明细中的数据须真实、合理，与实际市场价格相符。采购人有权在评标或合同履行期间对报价合理性进行核查。</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3.投标报价不得超过本采购包的最高限价，超过限价的投标文件将被判定为无效投标文件。</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4.供应商的报价应充分反映市场行情和自身管理水平，不得以低于成本的恶意低价投标。采购人发现可能低于成本的异常低价时，有权要求供应商提供书面说明及相关证明材料。</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（二）付款条件</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1.支付周期</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各标段合同价款按季度支付。学院于合同签订时间开始的每季度末完成服务验收及考核评分后，在满足付款条件20个工作日内，由学院财务通过银行转账向供应商支付当季度服务费用，即合同价款额度1/4。</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2、付款条件</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付款前，供应商须提交以下材料并经学院后勤基建处审核确认：</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（1）当季度服务考核评分表（由学院后勤基建处出具）；（2）合规的增值税发票；（3）学院要求的其他材料（如大型活动保障确认单等）。</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3.预付款</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本项目不设预付款。</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4.支付方式</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银行对公转账。供应商须在合同签订后10个工作日内，向采购人提供与营业执照登记信息一致的对公账户信息（含开户行、账号、户名等），如因账户信息错误导致付款延误，由供应商自行承担责任。</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5.活动加班费用</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临时保障服务</w:t>
      </w:r>
      <w:bookmarkStart w:id="98" w:name="_GoBack"/>
      <w:r>
        <w:rPr>
          <w:rFonts w:hint="eastAsia" w:ascii="方正仿宋_GBK" w:hAnsi="方正仿宋_GBK" w:eastAsia="方正仿宋_GBK" w:cs="方正仿宋_GBK"/>
          <w:color w:val="000000"/>
          <w:sz w:val="21"/>
          <w:szCs w:val="21"/>
          <w:highlight w:val="none"/>
        </w:rPr>
        <w:t xml:space="preserve">（</w:t>
      </w:r>
      <w:r>
        <w:rPr>
          <w:rFonts w:hint="eastAsia" w:ascii="方正仿宋_GBK" w:hAnsi="方正仿宋_GBK" w:eastAsia="方正仿宋_GBK" w:cs="方正仿宋_GBK"/>
          <w:color w:val="000000"/>
          <w:sz w:val="21"/>
          <w:szCs w:val="21"/>
          <w:highlight w:val="none"/>
          <w:lang w:val="en-US" w:eastAsia="zh-CN"/>
        </w:rPr>
        <w:t xml:space="preserve">按照前述需求超出部分采购人</w:t>
      </w:r>
      <w:r>
        <w:rPr>
          <w:rFonts w:hint="eastAsia" w:ascii="方正仿宋_GBK" w:hAnsi="方正仿宋_GBK" w:eastAsia="方正仿宋_GBK" w:cs="方正仿宋_GBK"/>
          <w:color w:val="000000"/>
          <w:sz w:val="21"/>
          <w:szCs w:val="21"/>
          <w:highlight w:val="none"/>
        </w:rPr>
        <w:t xml:space="preserve">按实结算</w:t>
      </w:r>
      <w:bookmarkEnd w:id="98"/>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，供应商须提交《活动保障服务确认单》（含服务日期、人数、时长、工作内容和学院确认签字），由学院按年度一并核销。</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6.税费承担</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本合同价款为含增值税价格，供应商须按国家税收法律法规足额申报纳税，并向采购人开具合法有效的增值税发票。供应商不得因税务政策调整而要求调整合同价款（国家政策明确规定可以调整的除外）。</w:t>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p>
      <w:pPr>
        <w:spacing w:line="400" w:lineRule="exact"/>
        <w:rPr>
          <w:rFonts w:ascii="宋体" w:hAnsi="宋体" w:cs="仿宋_GB2312"/>
          <w:b/>
          <w:color w:val="000000"/>
          <w:sz w:val="24"/>
          <w:highlight w:val="none"/>
        </w:rPr>
      </w:pPr>
      <w:r>
        <w:rPr>
          <w:rFonts w:hint="eastAsia" w:ascii="宋体" w:hAnsi="宋体" w:cs="仿宋_GB2312"/>
          <w:b/>
          <w:color w:val="000000"/>
          <w:sz w:val="24"/>
          <w:highlight w:val="none"/>
        </w:rPr>
        <w:br w:type="page" w:clear="all"/>
      </w:r>
      <w:r>
        <w:rPr>
          <w:rFonts w:hint="eastAsia" w:ascii="宋体" w:hAnsi="宋体" w:cs="仿宋_GB2312"/>
          <w:b/>
          <w:color w:val="000000"/>
          <w:sz w:val="24"/>
          <w:highlight w:val="none"/>
          <w:lang w:val="en-US" w:eastAsia="zh-CN"/>
        </w:rPr>
        <w:t xml:space="preserve">附件</w:t>
      </w:r>
      <w:r>
        <w:rPr>
          <w:rFonts w:hint="eastAsia" w:ascii="宋体" w:hAnsi="宋体" w:cs="仿宋_GB2312"/>
          <w:b/>
          <w:color w:val="000000"/>
          <w:sz w:val="24"/>
          <w:highlight w:val="none"/>
        </w:rPr>
        <w:t xml:space="preserve">1：</w:t>
      </w:r>
      <w:r>
        <w:rPr>
          <w:highlight w:val="none"/>
        </w:rPr>
      </w:r>
    </w:p>
    <w:p>
      <w:pPr>
        <w:jc w:val="center"/>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南京交通职业技术学院教学</w:t>
      </w:r>
      <w:r>
        <w:rPr>
          <w:rFonts w:hint="eastAsia" w:ascii="宋体" w:hAnsi="宋体" w:cs="宋体"/>
          <w:b/>
          <w:bCs/>
          <w:color w:val="000000"/>
          <w:sz w:val="28"/>
          <w:szCs w:val="28"/>
          <w:highlight w:val="none"/>
          <w:u w:val="single"/>
        </w:rPr>
        <w:t xml:space="preserve">楼宇</w:t>
      </w:r>
      <w:r>
        <w:rPr>
          <w:rFonts w:hint="eastAsia" w:ascii="宋体" w:hAnsi="宋体" w:cs="宋体"/>
          <w:b/>
          <w:bCs/>
          <w:color w:val="000000"/>
          <w:sz w:val="28"/>
          <w:szCs w:val="28"/>
          <w:highlight w:val="none"/>
        </w:rPr>
        <w:t xml:space="preserve">物业服务质量考核表</w:t>
      </w:r>
      <w:r>
        <w:rPr>
          <w:highlight w:val="none"/>
        </w:rPr>
      </w:r>
    </w:p>
    <w:p>
      <w:pPr>
        <w:jc w:val="center"/>
        <w:keepLines w:val="0"/>
        <w:keepNext w:val="0"/>
        <w:pageBreakBefore w:val="0"/>
        <w:spacing w:line="2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考核人：                                                   考核时间    年 月  日</w:t>
      </w:r>
      <w:r>
        <w:rPr>
          <w:highlight w:val="none"/>
        </w:rPr>
      </w:r>
    </w:p>
    <w:tbl>
      <w:tblPr>
        <w:tblStyle w:val="711"/>
        <w:tblW w:w="10027" w:type="dxa"/>
        <w:jc w:val="center"/>
        <w:tblLayout w:type="fixed"/>
        <w:tblCellMar>
          <w:left w:w="108" w:type="dxa"/>
          <w:top w:w="0" w:type="dxa"/>
          <w:right w:w="108" w:type="dxa"/>
          <w:bottom w:w="0" w:type="dxa"/>
        </w:tblCellMar>
        <w:tblLook w:val="04A0" w:firstRow="1" w:lastRow="0" w:firstColumn="1" w:lastColumn="0" w:noHBand="0" w:noVBand="1"/>
      </w:tblPr>
      <w:tblGrid>
        <w:gridCol w:w="552"/>
        <w:gridCol w:w="4969"/>
        <w:gridCol w:w="682"/>
        <w:gridCol w:w="3265"/>
        <w:gridCol w:w="559"/>
      </w:tblGrid>
      <w:tr>
        <w:trPr>
          <w:jc w:val="center"/>
          <w:trHeight w:val="444"/>
        </w:trPr>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ind w:left="-105" w:right="-105"/>
              <w:jc w:val="center"/>
              <w:keepLines w:val="0"/>
              <w:keepNext w:val="0"/>
              <w:pageBreakBefore w:val="0"/>
              <w:spacing w:line="280" w:lineRule="exact"/>
              <w:widowControl/>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t xml:space="preserve">项目</w:t>
            </w:r>
            <w:r>
              <w:rPr>
                <w:highlight w:val="none"/>
              </w:rPr>
            </w:r>
          </w:p>
        </w:tc>
        <w:tc>
          <w:tcPr>
            <w:tcBorders>
              <w:top w:val="single" w:color="000000" w:sz="4" w:space="0"/>
              <w:left w:val="none" w:color="000000" w:sz="4" w:space="0"/>
              <w:bottom w:val="single" w:color="000000" w:sz="4" w:space="0"/>
              <w:right w:val="single" w:color="000000" w:sz="4" w:space="0"/>
            </w:tcBorders>
            <w:tcW w:w="4969" w:type="dxa"/>
            <w:vAlign w:val="center"/>
            <w:textDirection w:val="lrTb"/>
            <w:noWrap w:val="false"/>
          </w:tcPr>
          <w:p>
            <w:pPr>
              <w:ind w:left="-105" w:right="-105"/>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考核内容</w:t>
            </w:r>
            <w:r>
              <w:rPr>
                <w:highlight w:val="none"/>
              </w:rPr>
            </w:r>
          </w:p>
        </w:tc>
        <w:tc>
          <w:tcPr>
            <w:tcBorders>
              <w:top w:val="single" w:color="000000" w:sz="4" w:space="0"/>
              <w:left w:val="none" w:color="000000" w:sz="4" w:space="0"/>
              <w:bottom w:val="single" w:color="000000" w:sz="4" w:space="0"/>
              <w:right w:val="single" w:color="000000" w:sz="4" w:space="0"/>
            </w:tcBorders>
            <w:tcW w:w="682" w:type="dxa"/>
            <w:vAlign w:val="center"/>
            <w:textDirection w:val="lrTb"/>
            <w:noWrap w:val="false"/>
          </w:tcPr>
          <w:p>
            <w:pPr>
              <w:ind w:left="-105" w:right="-105"/>
              <w:jc w:val="center"/>
              <w:keepLines w:val="0"/>
              <w:keepNext w:val="0"/>
              <w:pageBreakBefore w:val="0"/>
              <w:spacing w:line="280" w:lineRule="exact"/>
              <w:widowControl/>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t xml:space="preserve">分值</w:t>
            </w:r>
            <w:r>
              <w:rPr>
                <w:highlight w:val="none"/>
              </w:rP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ind w:left="-105" w:right="-105"/>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评分标准</w:t>
            </w:r>
            <w:r>
              <w:rPr>
                <w:highlight w:val="none"/>
              </w:rPr>
            </w:r>
          </w:p>
        </w:tc>
        <w:tc>
          <w:tcPr>
            <w:tcBorders>
              <w:top w:val="single" w:color="000000" w:sz="4" w:space="0"/>
              <w:left w:val="none" w:color="000000" w:sz="4" w:space="0"/>
              <w:bottom w:val="single" w:color="000000" w:sz="4" w:space="0"/>
              <w:right w:val="single" w:color="000000" w:sz="4" w:space="0"/>
            </w:tcBorders>
            <w:tcW w:w="559" w:type="dxa"/>
            <w:vAlign w:val="center"/>
            <w:textDirection w:val="lrTb"/>
            <w:noWrap w:val="false"/>
          </w:tcPr>
          <w:p>
            <w:pPr>
              <w:ind w:left="-105" w:right="-105"/>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得分</w:t>
            </w:r>
            <w:r>
              <w:rPr>
                <w:highlight w:val="none"/>
              </w:rPr>
            </w:r>
          </w:p>
        </w:tc>
      </w:tr>
      <w:tr>
        <w:trPr>
          <w:jc w:val="center"/>
          <w:trHeight w:val="120"/>
        </w:trPr>
        <w:tc>
          <w:tcPr>
            <w:tcBorders>
              <w:top w:val="none" w:color="000000" w:sz="4" w:space="0"/>
              <w:left w:val="single" w:color="000000" w:sz="4" w:space="0"/>
              <w:bottom w:val="single" w:color="000000" w:sz="4" w:space="0"/>
              <w:right w:val="single" w:color="000000" w:sz="4" w:space="0"/>
            </w:tcBorders>
            <w:tcW w:w="552" w:type="dxa"/>
            <w:vAlign w:val="center"/>
            <w:vMerge w:val="restart"/>
            <w:textDirection w:val="tbRlV"/>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常  规  范</w:t>
            </w:r>
            <w:r>
              <w:rPr>
                <w:highlight w:val="none"/>
              </w:rPr>
            </w:r>
          </w:p>
        </w:tc>
        <w:tc>
          <w:tcPr>
            <w:tcBorders>
              <w:top w:val="none" w:color="000000" w:sz="4" w:space="0"/>
              <w:left w:val="none" w:color="000000" w:sz="4" w:space="0"/>
              <w:bottom w:val="single" w:color="000000" w:sz="4" w:space="0"/>
              <w:right w:val="single" w:color="000000" w:sz="4" w:space="0"/>
            </w:tcBorders>
            <w:tcW w:w="496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1、工作人员服装统一、整齐，佩戴统一标识，仪表端庄、大方，衣着整洁，挂牌持证上岗。</w:t>
            </w:r>
            <w:r>
              <w:rPr>
                <w:highlight w:val="none"/>
              </w:rP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highlight w:val="none"/>
              </w:rP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服装不统一、佩戴不统一一人一次扣0.2分；没挂牌持证上岗一人一次扣0.2分。</w:t>
            </w:r>
            <w:r>
              <w:rPr>
                <w:highlight w:val="none"/>
              </w:rP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70"/>
        </w:trPr>
        <w:tc>
          <w:tcPr>
            <w:tcBorders>
              <w:top w:val="non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2、设立值班牌、值班电话。随时接受投诉，监督服务工作，提高服务质量。</w:t>
            </w:r>
            <w:r>
              <w:rPr>
                <w:highlight w:val="none"/>
              </w:rP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highlight w:val="none"/>
              </w:rP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未设值班牌、值班电话一项扣0.5分。</w:t>
            </w:r>
            <w:r>
              <w:rPr>
                <w:highlight w:val="none"/>
              </w:rP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863"/>
        </w:trPr>
        <w:tc>
          <w:tcPr>
            <w:tcBorders>
              <w:top w:val="non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员工工作纪律严明,不缺勤、不脱岗。对业主（使用人）一视同仁；接待时主动、热情、规范；迎送接待业主(使用人)时，用语准确，称呼恰当，问候亲切，语气诚恳，耐心细致；使用文明用语，不应使用服务忌语。文明用语见附录A，服务忌语附录B。</w:t>
            </w:r>
            <w:r>
              <w:rPr>
                <w:highlight w:val="none"/>
              </w:rP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highlight w:val="none"/>
              </w:rP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缺勤、脱岗、业主有效投诉等一人一次扣0.2分。</w:t>
            </w:r>
            <w:r>
              <w:rPr>
                <w:highlight w:val="none"/>
              </w:rP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70"/>
        </w:trPr>
        <w:tc>
          <w:tcPr>
            <w:tcBorders>
              <w:top w:val="non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4、保洁人员相对稳定，有人员更换情况及时上报后勤管理与服务中心备案。</w:t>
            </w:r>
            <w:r>
              <w:rPr>
                <w:highlight w:val="none"/>
              </w:rP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highlight w:val="none"/>
              </w:rP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人员更换没报后勤备案一次扣0.5分 。</w:t>
            </w:r>
            <w:r>
              <w:rPr>
                <w:highlight w:val="none"/>
              </w:rP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70"/>
        </w:trPr>
        <w:tc>
          <w:tcPr>
            <w:tcBorders>
              <w:top w:val="non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5、工作人员的岗位职责明确，管理工作台帐完备，有详细的记录；</w:t>
            </w:r>
            <w:r>
              <w:rPr>
                <w:highlight w:val="none"/>
              </w:rP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highlight w:val="none"/>
              </w:rP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人员岗位不明确、台帐不完备、学院重大活动不配合一项扣0.5分。</w:t>
            </w:r>
            <w:r>
              <w:rPr>
                <w:highlight w:val="none"/>
              </w:rP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389"/>
        </w:trPr>
        <w:tc>
          <w:tcPr>
            <w:tcBorders>
              <w:top w:val="non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6、积极主动做好学院重大活动及其它工作。</w:t>
            </w:r>
            <w:r>
              <w:rPr>
                <w:highlight w:val="none"/>
              </w:rP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highlight w:val="none"/>
              </w:rP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未积极主动做好一次扣1分。</w:t>
            </w:r>
            <w:r>
              <w:rPr>
                <w:highlight w:val="none"/>
              </w:rP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1144"/>
        </w:trPr>
        <w:tc>
          <w:tcPr>
            <w:tcBorders>
              <w:top w:val="none" w:color="000000" w:sz="4" w:space="0"/>
              <w:left w:val="single" w:color="000000" w:sz="4" w:space="0"/>
              <w:bottom w:val="none" w:color="000000" w:sz="4" w:space="0"/>
              <w:right w:val="single" w:color="000000" w:sz="4" w:space="0"/>
            </w:tcBorders>
            <w:tcW w:w="552" w:type="dxa"/>
            <w:vAlign w:val="center"/>
            <w:vMerge w:val="restart"/>
            <w:textDirection w:val="tbRlV"/>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保   洁  服  务</w:t>
            </w:r>
            <w:r>
              <w:rPr>
                <w:highlight w:val="none"/>
              </w:rPr>
            </w:r>
          </w:p>
        </w:tc>
        <w:tc>
          <w:tcPr>
            <w:tcBorders>
              <w:top w:val="none" w:color="000000" w:sz="4" w:space="0"/>
              <w:left w:val="none" w:color="000000" w:sz="4" w:space="0"/>
              <w:bottom w:val="single" w:color="000000" w:sz="4" w:space="0"/>
              <w:right w:val="single" w:color="000000" w:sz="4" w:space="0"/>
            </w:tcBorders>
            <w:tcW w:w="496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要求做好普通教室日常保洁工作,保证室内多媒体仪器设备的安全,及时提供粉笔、黑板擦等教辅用品，同时做到每日清扫两次；大厅及过道门窗玻璃每周擦拭2次；教室黑板（灰槽）早、中、晚课前、课后擦拭3次。</w:t>
            </w:r>
            <w:r>
              <w:rPr>
                <w:highlight w:val="none"/>
              </w:rP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highlight w:val="none"/>
              </w:rP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开关门不及时、保洁不到位、教具提供不及时及业主有效投诉等不符合要求的一次扣0.5分。</w:t>
            </w:r>
            <w:r>
              <w:rPr>
                <w:highlight w:val="none"/>
              </w:rP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70"/>
        </w:trPr>
        <w:tc>
          <w:tcPr>
            <w:tcBorders>
              <w:top w:val="none" w:color="000000" w:sz="4" w:space="0"/>
              <w:left w:val="single" w:color="000000" w:sz="4" w:space="0"/>
              <w:bottom w:val="none" w:color="000000" w:sz="4" w:space="0"/>
              <w:right w:val="single" w:color="000000" w:sz="4" w:space="0"/>
            </w:tcBorders>
            <w:tcW w:w="552" w:type="dxa"/>
            <w:vAlign w:val="center"/>
            <w:vMerge w:val="continue"/>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2、每日负责各楼层垃圾清运工作,垃圾要实行袋装化并运至规定地点存放，垃圾沿途不得抛洒。</w:t>
            </w:r>
            <w:r>
              <w:rPr>
                <w:highlight w:val="none"/>
              </w:rP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highlight w:val="none"/>
              </w:rP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垃圾没清运未实行袋装化，沿途抛洒等一次一处扣0.5分。</w:t>
            </w:r>
            <w:r>
              <w:rPr>
                <w:highlight w:val="none"/>
              </w:rP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639"/>
        </w:trPr>
        <w:tc>
          <w:tcPr>
            <w:tcBorders>
              <w:top w:val="none" w:color="000000" w:sz="4" w:space="0"/>
              <w:left w:val="single" w:color="000000" w:sz="4" w:space="0"/>
              <w:bottom w:val="none" w:color="000000" w:sz="4" w:space="0"/>
              <w:right w:val="single" w:color="000000" w:sz="4" w:space="0"/>
            </w:tcBorders>
            <w:tcW w:w="552" w:type="dxa"/>
            <w:vAlign w:val="center"/>
            <w:vMerge w:val="continue"/>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9" w:type="dxa"/>
            <w:vAlign w:val="center"/>
            <w:textDirection w:val="lrTb"/>
            <w:noWrap w:val="false"/>
          </w:tcPr>
          <w:p>
            <w:pP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3、保证走廊、楼梯、栏杆、墙壁、门窗等公共区域的卫生清洁，无灰尘，无蜘蛛网；建筑物内外无乱写、乱划、乱粘贴，无残标；公共设施、牌匾、路标、雕塑等应定期擦拭；厕所无污垢、无异味。</w:t>
            </w:r>
            <w:r>
              <w:rPr>
                <w:highlight w:val="none"/>
              </w:rP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highlight w:val="none"/>
              </w:rP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未达到一项扣0.5分。</w:t>
            </w:r>
            <w:r>
              <w:rPr>
                <w:highlight w:val="none"/>
              </w:rP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314"/>
        </w:trPr>
        <w:tc>
          <w:tcPr>
            <w:tcBorders>
              <w:top w:val="none" w:color="000000" w:sz="4" w:space="0"/>
              <w:left w:val="single" w:color="000000" w:sz="4" w:space="0"/>
              <w:bottom w:val="none" w:color="000000" w:sz="4" w:space="0"/>
              <w:right w:val="single" w:color="000000" w:sz="4" w:space="0"/>
            </w:tcBorders>
            <w:tcW w:w="552" w:type="dxa"/>
            <w:vAlign w:val="center"/>
            <w:vMerge w:val="continue"/>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9" w:type="dxa"/>
            <w:vAlign w:val="center"/>
            <w:textDirection w:val="lrTb"/>
            <w:noWrap w:val="false"/>
          </w:tcPr>
          <w:p>
            <w:pP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4、负责做好教师休息室内的卫生日常保洁。</w:t>
            </w:r>
            <w:r>
              <w:rPr>
                <w:highlight w:val="none"/>
              </w:rP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highlight w:val="none"/>
              </w:rP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保洁不符合要求或有效投诉一处一次扣0.5分。</w:t>
            </w:r>
            <w:r>
              <w:rPr>
                <w:highlight w:val="none"/>
              </w:rP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453"/>
        </w:trPr>
        <w:tc>
          <w:tcPr>
            <w:tcBorders>
              <w:top w:val="none" w:color="000000" w:sz="4" w:space="0"/>
              <w:left w:val="single" w:color="000000" w:sz="4" w:space="0"/>
              <w:bottom w:val="none" w:color="000000" w:sz="4" w:space="0"/>
              <w:right w:val="single" w:color="000000" w:sz="4" w:space="0"/>
            </w:tcBorders>
            <w:tcW w:w="552" w:type="dxa"/>
            <w:vAlign w:val="center"/>
            <w:vMerge w:val="continue"/>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9" w:type="dxa"/>
            <w:vAlign w:val="center"/>
            <w:textDirection w:val="lrTb"/>
            <w:noWrap w:val="false"/>
          </w:tcPr>
          <w:p>
            <w:pP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5、负责要管理好各楼宇内开水器，及时发现问题及时报修。</w:t>
            </w:r>
            <w:r>
              <w:rPr>
                <w:highlight w:val="none"/>
              </w:rP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highlight w:val="none"/>
              </w:rP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发现问题没报修一次扣0.5分。</w:t>
            </w:r>
            <w:r>
              <w:rPr>
                <w:highlight w:val="none"/>
              </w:rP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294"/>
        </w:trPr>
        <w:tc>
          <w:tcPr>
            <w:tcBorders>
              <w:top w:val="none" w:color="000000" w:sz="4" w:space="0"/>
              <w:left w:val="single" w:color="000000" w:sz="4" w:space="0"/>
              <w:bottom w:val="none" w:color="000000" w:sz="4" w:space="0"/>
              <w:right w:val="single" w:color="000000" w:sz="4" w:space="0"/>
            </w:tcBorders>
            <w:tcW w:w="552" w:type="dxa"/>
            <w:vAlign w:val="center"/>
            <w:vMerge w:val="continue"/>
            <w:textDirection w:val="tbRlV"/>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9" w:type="dxa"/>
            <w:vAlign w:val="center"/>
            <w:textDirection w:val="lrTb"/>
            <w:noWrap w:val="false"/>
          </w:tcPr>
          <w:p>
            <w:pP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6、负责各楼宇的屋面及各楼层的下水疏通清理工作，确保下水顺畅，无蓄水。</w:t>
            </w:r>
            <w:r>
              <w:rPr>
                <w:highlight w:val="none"/>
              </w:rP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highlight w:val="none"/>
              </w:rP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下水堵塞蓄水一处一次扣0.5分。</w:t>
            </w:r>
            <w:r>
              <w:rPr>
                <w:highlight w:val="none"/>
              </w:rP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286"/>
        </w:trPr>
        <w:tc>
          <w:tcPr>
            <w:tcBorders>
              <w:top w:val="none" w:color="000000" w:sz="4" w:space="0"/>
              <w:left w:val="single" w:color="000000" w:sz="4" w:space="0"/>
              <w:bottom w:val="none" w:color="000000" w:sz="4" w:space="0"/>
              <w:right w:val="single" w:color="000000" w:sz="4" w:space="0"/>
            </w:tcBorders>
            <w:tcW w:w="552" w:type="dxa"/>
            <w:vAlign w:val="center"/>
            <w:vMerge w:val="continue"/>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9" w:type="dxa"/>
            <w:vAlign w:val="center"/>
            <w:textDirection w:val="lrTb"/>
            <w:noWrap w:val="false"/>
          </w:tcPr>
          <w:p>
            <w:pP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7、确保各楼宇水、电设施设备的日常完好使用；发现未关闭无人使用的水龙头，要及时关闭，各楼道及其他公共区域照明灯按要求及时开关，坚决杜绝“跑、冒、滴、漏”及“长明灯”现象发生。</w:t>
            </w:r>
            <w:r>
              <w:rPr>
                <w:highlight w:val="none"/>
              </w:rP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highlight w:val="none"/>
              </w:rP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未达到一次扣0.5分。</w:t>
            </w:r>
            <w:r>
              <w:rPr>
                <w:highlight w:val="none"/>
              </w:rP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303"/>
        </w:trPr>
        <w:tc>
          <w:tcPr>
            <w:tcBorders>
              <w:top w:val="none" w:color="000000" w:sz="4" w:space="0"/>
              <w:left w:val="single" w:color="000000" w:sz="4" w:space="0"/>
              <w:bottom w:val="none" w:color="000000" w:sz="4" w:space="0"/>
              <w:right w:val="single" w:color="000000" w:sz="4" w:space="0"/>
            </w:tcBorders>
            <w:tcW w:w="552" w:type="dxa"/>
            <w:vAlign w:val="center"/>
            <w:vMerge w:val="continue"/>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8、楼宇范围内公共区域的日常保洁工作。</w:t>
            </w:r>
            <w:r>
              <w:rPr>
                <w:highlight w:val="none"/>
              </w:rP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highlight w:val="none"/>
              </w:rP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不符合要求或有效投诉一次扣0.5分</w:t>
            </w:r>
            <w:r>
              <w:rPr>
                <w:highlight w:val="none"/>
              </w:rP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825"/>
        </w:trPr>
        <w:tc>
          <w:tcPr>
            <w:tcBorders>
              <w:top w:val="non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9、楼宇屋面天台门的常规管理工作，以《天台门管理规定》为标准执行。</w:t>
            </w:r>
            <w:r>
              <w:rPr>
                <w:highlight w:val="none"/>
              </w:rP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highlight w:val="none"/>
              </w:rP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不符合一项一次扣0.5分 。</w:t>
            </w:r>
            <w:r>
              <w:rPr>
                <w:highlight w:val="none"/>
              </w:rP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301"/>
        </w:trPr>
        <w:tc>
          <w:tcPr>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496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10、楼宇内强电井日常管理工作，执行《教学楼强电井管理规定》和《学生公寓强电井管理规定》。</w:t>
            </w:r>
            <w:r>
              <w:rPr>
                <w:highlight w:val="none"/>
              </w:rPr>
            </w:r>
          </w:p>
        </w:tc>
        <w:tc>
          <w:tcPr>
            <w:tcBorders>
              <w:top w:val="singl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highlight w:val="none"/>
              </w:rP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不符合一项一次扣0.5分 。</w:t>
            </w:r>
            <w:r>
              <w:rPr>
                <w:highlight w:val="none"/>
              </w:rPr>
            </w:r>
          </w:p>
        </w:tc>
        <w:tc>
          <w:tcPr>
            <w:tcBorders>
              <w:top w:val="single" w:color="000000" w:sz="4" w:space="0"/>
              <w:left w:val="none" w:color="000000" w:sz="4" w:space="0"/>
              <w:bottom w:val="single" w:color="000000" w:sz="4" w:space="0"/>
              <w:right w:val="single" w:color="000000" w:sz="4" w:space="0"/>
            </w:tcBorders>
            <w:tcW w:w="55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70"/>
        </w:trPr>
        <w:tc>
          <w:tcPr>
            <w:tcBorders>
              <w:top w:val="non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11、楼宇内公共区域不得摆放个人物品，如自行车等。</w:t>
            </w:r>
            <w:r>
              <w:rPr>
                <w:highlight w:val="none"/>
              </w:rP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highlight w:val="none"/>
              </w:rP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不符合一处一次扣0.5分。</w:t>
            </w:r>
            <w:r>
              <w:rPr>
                <w:highlight w:val="none"/>
              </w:rP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304"/>
        </w:trPr>
        <w:tc>
          <w:tcPr>
            <w:tcBorders>
              <w:top w:val="none" w:color="000000" w:sz="4" w:space="0"/>
              <w:left w:val="single" w:color="000000" w:sz="4" w:space="0"/>
              <w:bottom w:val="single" w:color="000000" w:sz="4" w:space="0"/>
              <w:right w:val="single" w:color="000000" w:sz="4" w:space="0"/>
            </w:tcBorders>
            <w:tcW w:w="552" w:type="dxa"/>
            <w:vAlign w:val="center"/>
            <w:vMerge w:val="restart"/>
            <w:textDirection w:val="tbRlV"/>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零  星  维  修 </w:t>
            </w:r>
            <w:r>
              <w:rPr>
                <w:highlight w:val="none"/>
              </w:rPr>
            </w:r>
          </w:p>
        </w:tc>
        <w:tc>
          <w:tcPr>
            <w:tcBorders>
              <w:top w:val="none" w:color="000000" w:sz="4" w:space="0"/>
              <w:left w:val="none" w:color="000000" w:sz="4" w:space="0"/>
              <w:bottom w:val="single" w:color="000000" w:sz="4" w:space="0"/>
              <w:right w:val="single" w:color="000000" w:sz="4" w:space="0"/>
            </w:tcBorders>
            <w:tcW w:w="496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1、有严格的维修和管理制度，配备专业维修人员，维修人员须持证上岗。</w:t>
            </w:r>
            <w:r>
              <w:rPr>
                <w:highlight w:val="none"/>
              </w:rP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highlight w:val="none"/>
              </w:rP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不符合一项一次扣0.5分。</w:t>
            </w:r>
            <w:r>
              <w:rPr>
                <w:highlight w:val="none"/>
              </w:rP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129"/>
        </w:trPr>
        <w:tc>
          <w:tcPr>
            <w:tcBorders>
              <w:top w:val="non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2、物业服务范围内单件材料费200元以内项目的维修（土建除外）及时有效。</w:t>
            </w:r>
            <w:r>
              <w:rPr>
                <w:highlight w:val="none"/>
              </w:rP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highlight w:val="none"/>
              </w:rP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未达到一次扣0.5分。</w:t>
            </w:r>
            <w:r>
              <w:rPr>
                <w:highlight w:val="none"/>
              </w:rP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122"/>
        </w:trPr>
        <w:tc>
          <w:tcPr>
            <w:tcBorders>
              <w:top w:val="non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3、在合同维修范围内接到报修后即时做出反应，报修承接后1日内修复，不能及时修复的，要有处理措施，并对业主（使用人）作出合理解释和限时承诺。</w:t>
            </w:r>
            <w:r>
              <w:rPr>
                <w:highlight w:val="none"/>
              </w:rP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highlight w:val="none"/>
              </w:rP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接报、维修不及时或业主有效投诉一次扣1分。</w:t>
            </w:r>
            <w:r>
              <w:rPr>
                <w:highlight w:val="none"/>
              </w:rP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106"/>
        </w:trPr>
        <w:tc>
          <w:tcPr>
            <w:tcBorders>
              <w:top w:val="non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4、教室课桌椅等设施设备维修维护。</w:t>
            </w:r>
            <w:r>
              <w:rPr>
                <w:highlight w:val="none"/>
              </w:rP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highlight w:val="none"/>
              </w:rP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维修不及时或师生有效投诉一次扣0.5分。</w:t>
            </w:r>
            <w:r>
              <w:rPr>
                <w:highlight w:val="none"/>
              </w:rP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100"/>
        </w:trPr>
        <w:tc>
          <w:tcPr>
            <w:tcBorders>
              <w:top w:val="non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5、楼宇内公共部位的照明、安全指示灯和应急灯具确保完好无损。</w:t>
            </w:r>
            <w:r>
              <w:rPr>
                <w:highlight w:val="none"/>
              </w:rP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highlight w:val="none"/>
              </w:rP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未达到一次扣0.5分 。</w:t>
            </w:r>
            <w:r>
              <w:rPr>
                <w:highlight w:val="none"/>
              </w:rP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80"/>
        </w:trPr>
        <w:tc>
          <w:tcPr>
            <w:tcBorders>
              <w:top w:val="non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6、超出维修范围的,应报甲方核准并由甲方指定维修部门进行维修,乙方应予积极配合。</w:t>
            </w:r>
            <w:r>
              <w:rPr>
                <w:highlight w:val="none"/>
              </w:rP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highlight w:val="none"/>
              </w:rP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未达到一次扣0.5分 。</w:t>
            </w:r>
            <w:r>
              <w:rPr>
                <w:highlight w:val="none"/>
              </w:rP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511"/>
        </w:trPr>
        <w:tc>
          <w:tcPr>
            <w:tcBorders>
              <w:top w:val="non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7、做好接报记录、维修记录、回访记录和养护记录。</w:t>
            </w:r>
            <w:r>
              <w:rPr>
                <w:highlight w:val="none"/>
              </w:rP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highlight w:val="none"/>
              </w:rP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不符合一项扣0.5分。</w:t>
            </w:r>
            <w:r>
              <w:rPr>
                <w:highlight w:val="none"/>
              </w:rP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78"/>
        </w:trPr>
        <w:tc>
          <w:tcPr>
            <w:tcBorders>
              <w:top w:val="none" w:color="000000" w:sz="4" w:space="0"/>
              <w:left w:val="single" w:color="000000" w:sz="4" w:space="0"/>
              <w:bottom w:val="none" w:color="000000" w:sz="4" w:space="0"/>
              <w:right w:val="single" w:color="000000" w:sz="4" w:space="0"/>
            </w:tcBorders>
            <w:tcW w:w="552" w:type="dxa"/>
            <w:vAlign w:val="center"/>
            <w:vMerge w:val="restart"/>
            <w:textDirection w:val="tbRlV"/>
            <w:noWrap w:val="false"/>
          </w:tcPr>
          <w:p>
            <w:pPr>
              <w:jc w:val="center"/>
              <w:keepLines w:val="0"/>
              <w:keepNext w:val="0"/>
              <w:pageBreakBefore w:val="0"/>
              <w:spacing w:line="2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  保  服  务</w:t>
            </w:r>
            <w:r>
              <w:rPr>
                <w:highlight w:val="none"/>
              </w:rPr>
            </w:r>
          </w:p>
        </w:tc>
        <w:tc>
          <w:tcPr>
            <w:tcBorders>
              <w:top w:val="none" w:color="000000" w:sz="4" w:space="0"/>
              <w:left w:val="none" w:color="000000" w:sz="4" w:space="0"/>
              <w:bottom w:val="single" w:color="000000" w:sz="4" w:space="0"/>
              <w:right w:val="single" w:color="000000" w:sz="4" w:space="0"/>
            </w:tcBorders>
            <w:tcW w:w="496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1、值班员要坚守岗位，熟悉楼宇环境，认真负责、言行规范、文明值勤，训练有素，并做好值班和巡逻记录。</w:t>
            </w:r>
            <w:r>
              <w:rPr>
                <w:highlight w:val="none"/>
              </w:rP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highlight w:val="none"/>
              </w:rP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不符合一项扣0.5分。</w:t>
            </w:r>
            <w:r>
              <w:rPr>
                <w:highlight w:val="none"/>
              </w:rP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70"/>
        </w:trPr>
        <w:tc>
          <w:tcPr>
            <w:tcBorders>
              <w:top w:val="none" w:color="000000" w:sz="4" w:space="0"/>
              <w:left w:val="single" w:color="000000" w:sz="4" w:space="0"/>
              <w:bottom w:val="none" w:color="000000" w:sz="4" w:space="0"/>
              <w:right w:val="single" w:color="000000" w:sz="4" w:space="0"/>
            </w:tcBorders>
            <w:tcW w:w="552" w:type="dxa"/>
            <w:vAlign w:val="center"/>
            <w:vMerge w:val="continue"/>
            <w:textDirection w:val="lrTb"/>
            <w:noWrap w:val="false"/>
          </w:tcPr>
          <w:p>
            <w:pPr>
              <w:jc w:val="center"/>
              <w:keepLines w:val="0"/>
              <w:keepNext w:val="0"/>
              <w:pageBreakBefore w:val="0"/>
              <w:spacing w:line="2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2、按规定作息时间和教学上的要求开关大门。保证教学、科研、办公正常进行。</w:t>
            </w:r>
            <w:r>
              <w:rPr>
                <w:highlight w:val="none"/>
              </w:rP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highlight w:val="none"/>
              </w:rP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没按时开关大门影响办公或业主有效投诉一次扣1分。</w:t>
            </w:r>
            <w:r>
              <w:rPr>
                <w:highlight w:val="none"/>
              </w:rP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505"/>
        </w:trPr>
        <w:tc>
          <w:tcPr>
            <w:tcBorders>
              <w:top w:val="none" w:color="000000" w:sz="4" w:space="0"/>
              <w:left w:val="single" w:color="000000" w:sz="4" w:space="0"/>
              <w:bottom w:val="none" w:color="000000" w:sz="4" w:space="0"/>
              <w:right w:val="single" w:color="000000" w:sz="4" w:space="0"/>
            </w:tcBorders>
            <w:tcW w:w="552" w:type="dxa"/>
            <w:vAlign w:val="center"/>
            <w:vMerge w:val="continue"/>
            <w:textDirection w:val="tbRlV"/>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3、对楼宇内人流、物流进行规范化、系统化管理，杜绝闲杂人员进入。按照要求进行进出人员登记，谢绝未经业主批准的人员入内，实行大件物品进出登记制度。</w:t>
            </w:r>
            <w:r>
              <w:rPr>
                <w:highlight w:val="none"/>
              </w:rP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highlight w:val="none"/>
              </w:rP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不符合要求，没有人员、物品进出登记一次扣0.5分。</w:t>
            </w:r>
            <w:r>
              <w:rPr>
                <w:highlight w:val="none"/>
              </w:rP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192"/>
        </w:trPr>
        <w:tc>
          <w:tcPr>
            <w:tcBorders>
              <w:top w:val="none" w:color="000000" w:sz="4" w:space="0"/>
              <w:left w:val="single" w:color="000000" w:sz="4" w:space="0"/>
              <w:bottom w:val="none" w:color="000000" w:sz="4" w:space="0"/>
              <w:right w:val="single" w:color="000000" w:sz="4" w:space="0"/>
            </w:tcBorders>
            <w:tcW w:w="552" w:type="dxa"/>
            <w:vAlign w:val="center"/>
            <w:vMerge w:val="continue"/>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4、及时发现和处理不安全隐患；接受师生投诉和求助，主动回答用户的询问。</w:t>
            </w:r>
            <w:r>
              <w:rPr>
                <w:highlight w:val="none"/>
              </w:rP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highlight w:val="none"/>
              </w:rP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检查时发现有安全隐患、师生有效投诉一次扣1分。</w:t>
            </w:r>
            <w:r>
              <w:rPr>
                <w:highlight w:val="none"/>
              </w:rP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186"/>
        </w:trPr>
        <w:tc>
          <w:tcPr>
            <w:tcBorders>
              <w:top w:val="none" w:color="000000" w:sz="4" w:space="0"/>
              <w:left w:val="single" w:color="000000" w:sz="4" w:space="0"/>
              <w:bottom w:val="none" w:color="000000" w:sz="4" w:space="0"/>
              <w:right w:val="single" w:color="000000" w:sz="4" w:space="0"/>
            </w:tcBorders>
            <w:tcW w:w="552" w:type="dxa"/>
            <w:vAlign w:val="center"/>
            <w:vMerge w:val="continue"/>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5、在遇到突发事件时，及时报告学校保卫部门，必要时采取正当防卫，防止事态扩大，协助保护现场和证据。</w:t>
            </w:r>
            <w:r>
              <w:rPr>
                <w:highlight w:val="none"/>
              </w:rP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highlight w:val="none"/>
              </w:rP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突发事件没上报私自处理或造成后果的除追究相关责任外一次扣1分</w:t>
            </w:r>
            <w:r>
              <w:rPr>
                <w:highlight w:val="none"/>
              </w:rP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885"/>
        </w:trPr>
        <w:tc>
          <w:tcPr>
            <w:tcBorders>
              <w:top w:val="none" w:color="000000" w:sz="4" w:space="0"/>
              <w:left w:val="single" w:color="000000" w:sz="4" w:space="0"/>
              <w:bottom w:val="none" w:color="000000" w:sz="4" w:space="0"/>
              <w:right w:val="single" w:color="000000" w:sz="4" w:space="0"/>
            </w:tcBorders>
            <w:tcW w:w="552" w:type="dxa"/>
            <w:vAlign w:val="center"/>
            <w:vMerge w:val="continue"/>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6、楼宇内各种教学﹑实验、办公、体育器材及其它设备设施的安全防盗工作，明确责任人。</w:t>
            </w:r>
            <w:r>
              <w:rPr>
                <w:highlight w:val="none"/>
              </w:rP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highlight w:val="none"/>
              </w:rP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责任人不明确或发生盗窃事故一次扣0.5分 。</w:t>
            </w:r>
            <w:r>
              <w:rPr>
                <w:highlight w:val="none"/>
              </w:rP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362"/>
        </w:trPr>
        <w:tc>
          <w:tcPr>
            <w:tcBorders>
              <w:top w:val="non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6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7、防火工作和消防设施完好，定期巡回检查，不得挪用和丢失。</w:t>
            </w:r>
            <w:r>
              <w:rPr>
                <w:highlight w:val="none"/>
              </w:rP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highlight w:val="none"/>
              </w:rP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未达到一次扣0.5分 。</w:t>
            </w:r>
            <w:r>
              <w:rPr>
                <w:highlight w:val="none"/>
              </w:rPr>
            </w:r>
          </w:p>
        </w:tc>
        <w:tc>
          <w:tcPr>
            <w:tcBorders>
              <w:top w:val="none" w:color="000000" w:sz="4" w:space="0"/>
              <w:left w:val="none" w:color="000000" w:sz="4" w:space="0"/>
              <w:bottom w:val="single" w:color="000000" w:sz="4" w:space="0"/>
              <w:right w:val="single" w:color="000000" w:sz="4" w:space="0"/>
            </w:tcBorders>
            <w:tcW w:w="559"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bl>
    <w:p>
      <w:pPr>
        <w:keepLines w:val="0"/>
        <w:keepNext w:val="0"/>
        <w:pageBreakBefore w:val="0"/>
        <w:spacing w:line="2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p>
      <w:pPr>
        <w:keepLines w:val="0"/>
        <w:keepNext w:val="0"/>
        <w:pageBreakBefore w:val="0"/>
        <w:spacing w:line="2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被考核单位（签字）：                                             得分合计：</w:t>
      </w:r>
      <w:r>
        <w:rPr>
          <w:highlight w:val="none"/>
        </w:rPr>
      </w:r>
    </w:p>
    <w:p>
      <w:pPr>
        <w:rPr>
          <w:rFonts w:ascii="仿宋_GB2312" w:hAnsi="仿宋_GB2312" w:eastAsia="仿宋_GB2312" w:cs="仿宋_GB2312"/>
          <w:color w:val="000000"/>
          <w:sz w:val="32"/>
          <w:szCs w:val="32"/>
          <w:highlight w:val="none"/>
        </w:rPr>
      </w:pPr>
      <w:r>
        <w:rPr>
          <w:rFonts w:ascii="仿宋_GB2312" w:hAnsi="仿宋_GB2312" w:eastAsia="仿宋_GB2312" w:cs="仿宋_GB2312"/>
          <w:color w:val="000000"/>
          <w:sz w:val="32"/>
          <w:szCs w:val="32"/>
          <w:highlight w:val="none"/>
        </w:rPr>
      </w:r>
      <w:r>
        <w:rPr>
          <w:highlight w:val="none"/>
        </w:rPr>
      </w:r>
    </w:p>
    <w:p>
      <w:pPr>
        <w:jc w:val="left"/>
        <w:spacing w:line="400" w:lineRule="exact"/>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附件</w:t>
      </w:r>
      <w:r>
        <w:rPr>
          <w:rFonts w:hint="eastAsia" w:ascii="宋体" w:hAnsi="宋体" w:cs="宋体"/>
          <w:b/>
          <w:color w:val="000000"/>
          <w:sz w:val="24"/>
          <w:highlight w:val="none"/>
        </w:rPr>
        <w:t xml:space="preserve">2：</w:t>
      </w:r>
      <w:r>
        <w:rPr>
          <w:highlight w:val="none"/>
        </w:rPr>
      </w:r>
    </w:p>
    <w:p>
      <w:pPr>
        <w:jc w:val="center"/>
        <w:spacing w:line="32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南京交通职业技术学院弘毅楼物业服务质量考核表</w:t>
      </w:r>
      <w:r>
        <w:rPr>
          <w:highlight w:val="none"/>
        </w:rPr>
      </w:r>
    </w:p>
    <w:p>
      <w:pPr>
        <w:jc w:val="center"/>
        <w:spacing w:line="320" w:lineRule="exact"/>
        <w:rPr>
          <w:color w:val="000000"/>
          <w:highlight w:val="none"/>
        </w:rPr>
      </w:pPr>
      <w:r>
        <w:rPr>
          <w:rFonts w:hint="eastAsia" w:ascii="宋体" w:hAnsi="宋体" w:cs="宋体"/>
          <w:color w:val="000000"/>
          <w:sz w:val="20"/>
          <w:szCs w:val="20"/>
          <w:highlight w:val="none"/>
        </w:rPr>
        <w:t xml:space="preserve">考核人：                                                 考核时间：    年   月     日</w:t>
      </w:r>
      <w:r>
        <w:rPr>
          <w:highlight w:val="none"/>
        </w:rPr>
      </w:r>
    </w:p>
    <w:tbl>
      <w:tblPr>
        <w:tblStyle w:val="711"/>
        <w:tblW w:w="9840" w:type="dxa"/>
        <w:jc w:val="center"/>
        <w:tblLayout w:type="fixed"/>
        <w:tblCellMar>
          <w:left w:w="108" w:type="dxa"/>
          <w:top w:w="0" w:type="dxa"/>
          <w:right w:w="108" w:type="dxa"/>
          <w:bottom w:w="0" w:type="dxa"/>
        </w:tblCellMar>
        <w:tblLook w:val="04A0" w:firstRow="1" w:lastRow="0" w:firstColumn="1" w:lastColumn="0" w:noHBand="0" w:noVBand="1"/>
      </w:tblPr>
      <w:tblGrid>
        <w:gridCol w:w="518"/>
        <w:gridCol w:w="6253"/>
        <w:gridCol w:w="696"/>
        <w:gridCol w:w="1704"/>
        <w:gridCol w:w="669"/>
      </w:tblGrid>
      <w:tr>
        <w:trPr>
          <w:jc w:val="center"/>
          <w:trHeight w:val="7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ind w:left="-105" w:right="-105"/>
              <w:jc w:val="center"/>
              <w:spacing w:line="22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项目</w:t>
            </w:r>
            <w:r>
              <w:rPr>
                <w:highlight w:val="none"/>
              </w:rPr>
            </w:r>
          </w:p>
        </w:tc>
        <w:tc>
          <w:tcPr>
            <w:tcBorders>
              <w:top w:val="single" w:color="000000" w:sz="4" w:space="0"/>
              <w:left w:val="none" w:color="000000" w:sz="4" w:space="0"/>
              <w:bottom w:val="single" w:color="000000" w:sz="4" w:space="0"/>
              <w:right w:val="single" w:color="000000" w:sz="4" w:space="0"/>
            </w:tcBorders>
            <w:tcW w:w="6253" w:type="dxa"/>
            <w:vAlign w:val="center"/>
            <w:textDirection w:val="lrTb"/>
            <w:noWrap w:val="false"/>
          </w:tcPr>
          <w:p>
            <w:pPr>
              <w:jc w:val="center"/>
              <w:spacing w:line="22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考核内容</w:t>
            </w:r>
            <w:r>
              <w:rPr>
                <w:highlight w:val="none"/>
              </w:rP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ind w:left="-105" w:right="-105"/>
              <w:jc w:val="center"/>
              <w:spacing w:line="22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分值</w:t>
            </w:r>
            <w:r>
              <w:rPr>
                <w:highlight w:val="none"/>
              </w:rPr>
            </w:r>
          </w:p>
        </w:tc>
        <w:tc>
          <w:tcPr>
            <w:tcBorders>
              <w:top w:val="single" w:color="000000" w:sz="4" w:space="0"/>
              <w:left w:val="none" w:color="000000" w:sz="4" w:space="0"/>
              <w:bottom w:val="single" w:color="000000" w:sz="4" w:space="0"/>
              <w:right w:val="single" w:color="000000" w:sz="4" w:space="0"/>
            </w:tcBorders>
            <w:tcW w:w="1704" w:type="dxa"/>
            <w:vAlign w:val="center"/>
            <w:textDirection w:val="lrTb"/>
            <w:noWrap w:val="false"/>
          </w:tcPr>
          <w:p>
            <w:pPr>
              <w:jc w:val="center"/>
              <w:spacing w:line="22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评分标准</w:t>
            </w:r>
            <w:r>
              <w:rPr>
                <w:highlight w:val="none"/>
              </w:rPr>
            </w:r>
          </w:p>
        </w:tc>
        <w:tc>
          <w:tcPr>
            <w:tcBorders>
              <w:top w:val="single" w:color="000000" w:sz="4" w:space="0"/>
              <w:left w:val="none" w:color="000000" w:sz="4" w:space="0"/>
              <w:bottom w:val="single" w:color="000000" w:sz="4" w:space="0"/>
              <w:right w:val="single" w:color="000000" w:sz="4" w:space="0"/>
            </w:tcBorders>
            <w:tcW w:w="669" w:type="dxa"/>
            <w:vAlign w:val="center"/>
            <w:textDirection w:val="lrTb"/>
            <w:noWrap w:val="false"/>
          </w:tcPr>
          <w:p>
            <w:pPr>
              <w:ind w:left="-105" w:right="-105"/>
              <w:jc w:val="center"/>
              <w:spacing w:line="220" w:lineRule="exac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得分</w:t>
            </w:r>
            <w:r>
              <w:rPr>
                <w:highlight w:val="none"/>
              </w:rPr>
            </w:r>
          </w:p>
        </w:tc>
      </w:tr>
      <w:tr>
        <w:trPr>
          <w:jc w:val="center"/>
          <w:trHeight w:val="303"/>
        </w:trPr>
        <w:tc>
          <w:tcPr>
            <w:tcBorders>
              <w:top w:val="none" w:color="000000" w:sz="4" w:space="0"/>
              <w:left w:val="single" w:color="000000" w:sz="4" w:space="0"/>
              <w:bottom w:val="single" w:color="000000" w:sz="4" w:space="0"/>
              <w:right w:val="single" w:color="000000" w:sz="4" w:space="0"/>
            </w:tcBorders>
            <w:tcW w:w="518" w:type="dxa"/>
            <w:vAlign w:val="center"/>
            <w:vMerge w:val="restart"/>
            <w:textDirection w:val="tbRlV"/>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常 规 范</w:t>
            </w:r>
            <w:r>
              <w:rPr>
                <w:highlight w:val="none"/>
              </w:rPr>
            </w:r>
          </w:p>
        </w:tc>
        <w:tc>
          <w:tcPr>
            <w:tcBorders>
              <w:top w:val="none" w:color="000000" w:sz="4" w:space="0"/>
              <w:left w:val="none" w:color="000000" w:sz="4" w:space="0"/>
              <w:bottom w:val="single" w:color="000000" w:sz="4" w:space="0"/>
              <w:right w:val="single" w:color="000000" w:sz="4" w:space="0"/>
            </w:tcBorders>
            <w:tcW w:w="6253"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1、工作人员服装统一、整齐，佩戴统一标识，仪表端庄、大方，衣着整洁，挂牌持证上岗。</w:t>
            </w:r>
            <w:r>
              <w:rPr>
                <w:highlight w:val="none"/>
              </w:rP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highlight w:val="none"/>
              </w:rPr>
            </w:r>
          </w:p>
        </w:tc>
        <w:tc>
          <w:tcPr>
            <w:tcBorders>
              <w:top w:val="none" w:color="000000" w:sz="4" w:space="0"/>
              <w:left w:val="none" w:color="000000" w:sz="4" w:space="0"/>
              <w:bottom w:val="single" w:color="000000" w:sz="4" w:space="0"/>
              <w:right w:val="single" w:color="000000" w:sz="4" w:space="0"/>
            </w:tcBorders>
            <w:tcW w:w="1704"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一项不符合扣0.2分。</w:t>
            </w:r>
            <w:r>
              <w:rPr>
                <w:highlight w:val="none"/>
              </w:rP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297"/>
        </w:trPr>
        <w:tc>
          <w:tcPr>
            <w:tcBorders>
              <w:top w:val="none" w:color="000000" w:sz="4" w:space="0"/>
              <w:left w:val="single" w:color="000000" w:sz="4" w:space="0"/>
              <w:bottom w:val="single" w:color="000000" w:sz="4" w:space="0"/>
              <w:right w:val="single" w:color="000000" w:sz="4" w:space="0"/>
            </w:tcBorders>
            <w:tcW w:w="518" w:type="dxa"/>
            <w:vAlign w:val="center"/>
            <w:vMerge w:val="continue"/>
            <w:textDirection w:val="lrTb"/>
            <w:noWrap w:val="false"/>
          </w:tcPr>
          <w:p>
            <w:pPr>
              <w:ind w:left="-105" w:right="-105"/>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6253"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2、设立值班牌、值班电话。随时接受投诉，监督服务工作，提高服务质量。</w:t>
            </w:r>
            <w:r>
              <w:rPr>
                <w:highlight w:val="none"/>
              </w:rP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highlight w:val="none"/>
              </w:rPr>
            </w:r>
          </w:p>
        </w:tc>
        <w:tc>
          <w:tcPr>
            <w:tcBorders>
              <w:top w:val="none" w:color="000000" w:sz="4" w:space="0"/>
              <w:left w:val="none" w:color="000000" w:sz="4" w:space="0"/>
              <w:bottom w:val="single" w:color="000000" w:sz="4" w:space="0"/>
              <w:right w:val="single" w:color="000000" w:sz="4" w:space="0"/>
            </w:tcBorders>
            <w:tcW w:w="1704"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未设值班牌、值班电话一项扣0.5分。</w:t>
            </w:r>
            <w:r>
              <w:rPr>
                <w:highlight w:val="none"/>
              </w:rP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174"/>
        </w:trPr>
        <w:tc>
          <w:tcPr>
            <w:tcBorders>
              <w:top w:val="none" w:color="000000" w:sz="4" w:space="0"/>
              <w:left w:val="single" w:color="000000" w:sz="4" w:space="0"/>
              <w:bottom w:val="single" w:color="000000" w:sz="4" w:space="0"/>
              <w:right w:val="single" w:color="000000" w:sz="4" w:space="0"/>
            </w:tcBorders>
            <w:tcW w:w="518" w:type="dxa"/>
            <w:vAlign w:val="center"/>
            <w:vMerge w:val="continue"/>
            <w:textDirection w:val="lrTb"/>
            <w:noWrap w:val="false"/>
          </w:tcPr>
          <w:p>
            <w:pPr>
              <w:ind w:left="-105" w:right="-105"/>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6253"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3、员工工作纪律严明,不缺勤、不脱岗。接待主动、热情、规范；用语准确，称呼恰当，问候亲切，语气诚恳，耐心细致；使用文明用语，不使用服务忌语。</w:t>
            </w:r>
            <w:r>
              <w:rPr>
                <w:highlight w:val="none"/>
              </w:rP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highlight w:val="none"/>
              </w:rPr>
            </w:r>
          </w:p>
        </w:tc>
        <w:tc>
          <w:tcPr>
            <w:tcBorders>
              <w:top w:val="none" w:color="000000" w:sz="4" w:space="0"/>
              <w:left w:val="none" w:color="000000" w:sz="4" w:space="0"/>
              <w:bottom w:val="single" w:color="000000" w:sz="4" w:space="0"/>
              <w:right w:val="single" w:color="000000" w:sz="4" w:space="0"/>
            </w:tcBorders>
            <w:tcW w:w="1704"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未达到一人一次扣0.2分。</w:t>
            </w:r>
            <w:r>
              <w:rPr>
                <w:highlight w:val="none"/>
              </w:rP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72"/>
        </w:trPr>
        <w:tc>
          <w:tcPr>
            <w:tcBorders>
              <w:top w:val="none" w:color="000000" w:sz="4" w:space="0"/>
              <w:left w:val="single" w:color="000000" w:sz="4" w:space="0"/>
              <w:bottom w:val="single" w:color="000000" w:sz="4" w:space="0"/>
              <w:right w:val="single" w:color="000000" w:sz="4" w:space="0"/>
            </w:tcBorders>
            <w:tcW w:w="518" w:type="dxa"/>
            <w:vAlign w:val="center"/>
            <w:vMerge w:val="continue"/>
            <w:textDirection w:val="lrTb"/>
            <w:noWrap w:val="false"/>
          </w:tcPr>
          <w:p>
            <w:pPr>
              <w:ind w:left="-105" w:right="-105"/>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6253"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4、保洁人员相对稳定，有人员更换及时上报后勤管理与服务中心备案。</w:t>
            </w:r>
            <w:r>
              <w:rPr>
                <w:highlight w:val="none"/>
              </w:rP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highlight w:val="none"/>
              </w:rPr>
            </w:r>
          </w:p>
        </w:tc>
        <w:tc>
          <w:tcPr>
            <w:tcBorders>
              <w:top w:val="none" w:color="000000" w:sz="4" w:space="0"/>
              <w:left w:val="none" w:color="000000" w:sz="4" w:space="0"/>
              <w:bottom w:val="single" w:color="000000" w:sz="4" w:space="0"/>
              <w:right w:val="single" w:color="000000" w:sz="4" w:space="0"/>
            </w:tcBorders>
            <w:tcW w:w="1704"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未达到一次扣0.5分 。</w:t>
            </w:r>
            <w:r>
              <w:rPr>
                <w:highlight w:val="none"/>
              </w:rP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335"/>
        </w:trPr>
        <w:tc>
          <w:tcPr>
            <w:tcBorders>
              <w:top w:val="none" w:color="000000" w:sz="4" w:space="0"/>
              <w:left w:val="single" w:color="000000" w:sz="4" w:space="0"/>
              <w:bottom w:val="single" w:color="000000" w:sz="4" w:space="0"/>
              <w:right w:val="single" w:color="000000" w:sz="4" w:space="0"/>
            </w:tcBorders>
            <w:tcW w:w="518" w:type="dxa"/>
            <w:vAlign w:val="center"/>
            <w:vMerge w:val="continue"/>
            <w:textDirection w:val="lrTb"/>
            <w:noWrap w:val="false"/>
          </w:tcPr>
          <w:p>
            <w:pPr>
              <w:ind w:left="-105" w:right="-105"/>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6253"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5、工作人员的岗位职责明确，管理工作台帐完备，有详细的记录；积极主动做好学院重大活动及其它工作。</w:t>
            </w:r>
            <w:r>
              <w:rPr>
                <w:highlight w:val="none"/>
              </w:rP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highlight w:val="none"/>
              </w:rPr>
            </w:r>
          </w:p>
        </w:tc>
        <w:tc>
          <w:tcPr>
            <w:tcBorders>
              <w:top w:val="none" w:color="000000" w:sz="4" w:space="0"/>
              <w:left w:val="none" w:color="000000" w:sz="4" w:space="0"/>
              <w:bottom w:val="single" w:color="000000" w:sz="4" w:space="0"/>
              <w:right w:val="single" w:color="000000" w:sz="4" w:space="0"/>
            </w:tcBorders>
            <w:tcW w:w="1704"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未达到一项扣0.5分。</w:t>
            </w:r>
            <w:r>
              <w:rPr>
                <w:highlight w:val="none"/>
              </w:rP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1012"/>
        </w:trPr>
        <w:tc>
          <w:tcPr>
            <w:tcBorders>
              <w:top w:val="none" w:color="000000" w:sz="4" w:space="0"/>
              <w:left w:val="single" w:color="000000" w:sz="4" w:space="0"/>
              <w:bottom w:val="none" w:color="000000" w:sz="4" w:space="0"/>
              <w:right w:val="single" w:color="000000" w:sz="4" w:space="0"/>
            </w:tcBorders>
            <w:tcW w:w="518" w:type="dxa"/>
            <w:vAlign w:val="center"/>
            <w:vMerge w:val="restart"/>
            <w:textDirection w:val="tbRlV"/>
            <w:noWrap w:val="false"/>
          </w:tcPr>
          <w:p>
            <w:pPr>
              <w:ind w:left="-105" w:right="-105"/>
              <w:jc w:val="center"/>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楼 宇 保 洁</w:t>
            </w:r>
            <w:r>
              <w:rPr>
                <w:highlight w:val="none"/>
              </w:rPr>
            </w:r>
          </w:p>
        </w:tc>
        <w:tc>
          <w:tcPr>
            <w:tcBorders>
              <w:top w:val="none" w:color="000000" w:sz="4" w:space="0"/>
              <w:left w:val="none" w:color="000000" w:sz="4" w:space="0"/>
              <w:bottom w:val="single" w:color="000000" w:sz="4" w:space="0"/>
              <w:right w:val="single" w:color="000000" w:sz="4" w:space="0"/>
            </w:tcBorders>
            <w:tcW w:w="6253"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1、每日打扫各楼层通道和</w:t>
            </w:r>
            <w:r>
              <w:rPr>
                <w:rFonts w:hint="eastAsia" w:ascii="宋体" w:hAnsi="宋体" w:eastAsia="宋体" w:cs="宋体"/>
                <w:color w:val="000000"/>
                <w:sz w:val="24"/>
                <w:szCs w:val="24"/>
                <w:highlight w:val="none"/>
              </w:rPr>
              <w:t xml:space="preserve">楼梯台阶，大理石和抛光砖每日进行牵尘清洁，每日用干净的抹布擦抹楼梯扶手、各层和通道的防火门、消防栓、玻璃箱内侧、灯具、墙面、踢脚线、指示牌等公共设施；各梯间墙面、天花板每周除尘1次；每周擦1次楼梯道外墙及共用门窗玻璃。地面、梯间洁净，无污渍、水渍、灰尘，无乱贴乱划，无擅自占用现象，无乱堆乱放；检查楼梯内纸屑、扶手护拦干净、光亮，清洁结束用干净纸巾擦拭检查无显著脏污；梯间顶面无蜘蛛网、灰尘，踢脚线干净无灰尘，大理石地面干净无灰尘，水磨石、水泥地面干净无杂物、污迹；楼梯道内外玻璃，玻璃、门窗等要保持明亮、干净。</w:t>
            </w:r>
            <w:r>
              <w:rPr>
                <w:highlight w:val="none"/>
              </w:rP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highlight w:val="none"/>
              </w:rPr>
            </w:r>
          </w:p>
        </w:tc>
        <w:tc>
          <w:tcPr>
            <w:tcBorders>
              <w:top w:val="none" w:color="000000" w:sz="4" w:space="0"/>
              <w:left w:val="none" w:color="000000" w:sz="4" w:space="0"/>
              <w:bottom w:val="single" w:color="000000" w:sz="4" w:space="0"/>
              <w:right w:val="single" w:color="000000" w:sz="4" w:space="0"/>
            </w:tcBorders>
            <w:tcW w:w="1704"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未按时间规定打扫一次一处扣0.5分，楼梯走道等保洁不符合要求一处一次扣0.5分</w:t>
            </w:r>
            <w:r>
              <w:rPr>
                <w:highlight w:val="none"/>
              </w:rP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958"/>
        </w:trPr>
        <w:tc>
          <w:tcPr>
            <w:tcBorders>
              <w:top w:val="none" w:color="000000" w:sz="4" w:space="0"/>
              <w:left w:val="single" w:color="000000" w:sz="4" w:space="0"/>
              <w:bottom w:val="none" w:color="000000" w:sz="4" w:space="0"/>
              <w:right w:val="single" w:color="000000" w:sz="4" w:space="0"/>
            </w:tcBorders>
            <w:tcW w:w="518" w:type="dxa"/>
            <w:vAlign w:val="center"/>
            <w:vMerge w:val="continue"/>
            <w:textDirection w:val="lrTb"/>
            <w:noWrap w:val="false"/>
          </w:tcPr>
          <w:p>
            <w:pPr>
              <w:ind w:left="-105" w:right="-105"/>
              <w:jc w:val="center"/>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6253"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2、校</w:t>
            </w:r>
            <w:r>
              <w:rPr>
                <w:rFonts w:hint="eastAsia" w:ascii="宋体" w:hAnsi="宋体" w:eastAsia="宋体" w:cs="宋体"/>
                <w:color w:val="000000"/>
                <w:sz w:val="24"/>
                <w:szCs w:val="24"/>
                <w:highlight w:val="none"/>
              </w:rPr>
              <w:t xml:space="preserve">领导办公室每天上班之前打好开水，办公室的门、门面、门缝、门把手、表面无尘土、无污渍、手印。桌椅摆放整齐，干净无尘土；椅子布面干净无污渍、无头发、无尘土；椅子腿无尘土；电话无污渍，摆放整齐。墙面、布面无尘土、无污渍；各种器材摆放整齐、无尘积。 窗玻璃及窗框无手印、无尘土；窗帘拉伸整齐。垃圾筒内外干净，垃圾及时清倒。地毯上无尘土、头发、无杂物、无污迹。灯罩无尘土、无手印。空气清新，无不当气味；办公室摆放的绿植等盆体干净无尘土，绿叶无浮尘，盆内无烟头纸屑等杂物,并对摆放的盆景勤养护、浇水、修剪，确保花木生长旺盛。</w:t>
            </w:r>
            <w:r>
              <w:rPr>
                <w:highlight w:val="none"/>
              </w:rP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highlight w:val="none"/>
              </w:rPr>
            </w:r>
          </w:p>
        </w:tc>
        <w:tc>
          <w:tcPr>
            <w:tcBorders>
              <w:top w:val="none" w:color="000000" w:sz="4" w:space="0"/>
              <w:left w:val="none" w:color="000000" w:sz="4" w:space="0"/>
              <w:bottom w:val="single" w:color="000000" w:sz="4" w:space="0"/>
              <w:right w:val="single" w:color="000000" w:sz="4" w:space="0"/>
            </w:tcBorders>
            <w:tcW w:w="1704"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未按时间要求完成一次一处扣0.5分，未达到要求一次一处扣0.5分。</w:t>
            </w:r>
            <w:r>
              <w:rPr>
                <w:highlight w:val="none"/>
              </w:rP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133"/>
        </w:trPr>
        <w:tc>
          <w:tcPr>
            <w:tcBorders>
              <w:top w:val="none" w:color="000000" w:sz="4" w:space="0"/>
              <w:left w:val="single" w:color="000000" w:sz="4" w:space="0"/>
              <w:bottom w:val="none" w:color="000000" w:sz="4" w:space="0"/>
              <w:right w:val="single" w:color="000000" w:sz="4" w:space="0"/>
            </w:tcBorders>
            <w:tcW w:w="518" w:type="dxa"/>
            <w:vAlign w:val="center"/>
            <w:vMerge w:val="continue"/>
            <w:textDirection w:val="lrTb"/>
            <w:noWrap w:val="false"/>
          </w:tcPr>
          <w:p>
            <w:pPr>
              <w:ind w:left="-105" w:right="-105"/>
              <w:jc w:val="center"/>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6253"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3、大厅应有专人负责接待，负责前台接听电话和来访客人的登记、接待、指引工作，严格执行学院接待服务规范，保持良好的礼节礼貌。24小时值班，确保人员在岗在位，无脱岗离岗现象。</w:t>
            </w:r>
            <w:r>
              <w:rPr>
                <w:highlight w:val="none"/>
              </w:rP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highlight w:val="none"/>
              </w:rPr>
            </w:r>
          </w:p>
        </w:tc>
        <w:tc>
          <w:tcPr>
            <w:tcBorders>
              <w:top w:val="none" w:color="000000" w:sz="4" w:space="0"/>
              <w:left w:val="none" w:color="000000" w:sz="4" w:space="0"/>
              <w:bottom w:val="single" w:color="000000" w:sz="4" w:space="0"/>
              <w:right w:val="single" w:color="000000" w:sz="4" w:space="0"/>
            </w:tcBorders>
            <w:tcW w:w="1704"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不符合一次扣0.5分。</w:t>
            </w:r>
            <w:r>
              <w:rPr>
                <w:highlight w:val="none"/>
              </w:rP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951"/>
        </w:trPr>
        <w:tc>
          <w:tcPr>
            <w:tcBorders>
              <w:top w:val="none" w:color="000000" w:sz="4" w:space="0"/>
              <w:left w:val="single" w:color="000000" w:sz="4" w:space="0"/>
              <w:bottom w:val="none" w:color="000000" w:sz="4" w:space="0"/>
              <w:right w:val="single" w:color="000000" w:sz="4" w:space="0"/>
            </w:tcBorders>
            <w:tcW w:w="518" w:type="dxa"/>
            <w:vAlign w:val="center"/>
            <w:vMerge w:val="continue"/>
            <w:textDirection w:val="lrTb"/>
            <w:noWrap w:val="false"/>
          </w:tcPr>
          <w:p>
            <w:pPr>
              <w:ind w:left="-105" w:right="-105"/>
              <w:jc w:val="center"/>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6253"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保持大厅卫生清洁及桌椅摆放，并保持整洁干净；地面、天花板、灯罩、空调排风口干净无尘土、无污迹；墙面及踢脚线干净、无尘土、无污渍；大厅玻璃门及窗体玻璃干净无手印、无污迹，窗框无尘土，平时应擦拭，每学期安排清洗一次；大厅内摆放的绿植等盆体干净无尘土，绿叶无浮尘，盆内无烟头纸屑等杂物,并对摆放的盆景勤养护、勤修剪，确保花木旺盛，大厅电梯内每天更换星期标识。</w:t>
            </w:r>
            <w:r>
              <w:rPr>
                <w:highlight w:val="none"/>
              </w:rP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highlight w:val="none"/>
              </w:rPr>
            </w:r>
          </w:p>
        </w:tc>
        <w:tc>
          <w:tcPr>
            <w:tcBorders>
              <w:top w:val="none" w:color="000000" w:sz="4" w:space="0"/>
              <w:left w:val="none" w:color="000000" w:sz="4" w:space="0"/>
              <w:bottom w:val="single" w:color="000000" w:sz="4" w:space="0"/>
              <w:right w:val="single" w:color="000000" w:sz="4" w:space="0"/>
            </w:tcBorders>
            <w:tcW w:w="1704"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未达到一次扣1分。</w:t>
            </w:r>
            <w:r>
              <w:rPr>
                <w:highlight w:val="none"/>
              </w:rP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669"/>
        </w:trPr>
        <w:tc>
          <w:tcPr>
            <w:tcBorders>
              <w:top w:val="none" w:color="000000" w:sz="4" w:space="0"/>
              <w:left w:val="single" w:color="000000" w:sz="4" w:space="0"/>
              <w:bottom w:val="none" w:color="000000" w:sz="4" w:space="0"/>
              <w:right w:val="single" w:color="000000" w:sz="4" w:space="0"/>
            </w:tcBorders>
            <w:tcW w:w="518" w:type="dxa"/>
            <w:vAlign w:val="center"/>
            <w:vMerge w:val="continue"/>
            <w:textDirection w:val="tbRlV"/>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6253"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5、每</w:t>
            </w:r>
            <w:r>
              <w:rPr>
                <w:rFonts w:hint="eastAsia" w:ascii="宋体" w:hAnsi="宋体" w:eastAsia="宋体" w:cs="宋体"/>
                <w:color w:val="000000"/>
                <w:sz w:val="24"/>
                <w:szCs w:val="24"/>
                <w:highlight w:val="none"/>
              </w:rPr>
              <w:t xml:space="preserve">日对共用卫生间清洁，保洁时悬挂醒目标识；（清洁内容包括：通风换气；洁具；清扫地面垃圾、清倒垃圾篓垃圾、换新的垃圾袋；用洗洁剂清洗大、小便器；用抹布擦洗洗手盆并冲洗干净；用毛巾抹墙面、台面、开关、门牌；用毛巾擦干净玻璃、镜面；用拖把拖干净地面；补充卷纸、擦手纸、洗手液；喷洒空气清新剂或香水，小便器内放置香球等）；每日早上用玻璃清洁工具清洁共用卫生间的玻璃镜；每月2次对共用卫生间进行消杀，发现墙壁有字及时清洁。室内无异味、臭味；地面无烟头、纸屑、污渍、积水，天花板、墙面无灰尘、蜘蛛网，墙壁干净，便器洁净无黄渍。</w:t>
            </w:r>
            <w:r>
              <w:rPr>
                <w:highlight w:val="none"/>
              </w:rP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highlight w:val="none"/>
              </w:rPr>
            </w:r>
          </w:p>
        </w:tc>
        <w:tc>
          <w:tcPr>
            <w:tcBorders>
              <w:top w:val="none" w:color="000000" w:sz="4" w:space="0"/>
              <w:left w:val="none" w:color="000000" w:sz="4" w:space="0"/>
              <w:bottom w:val="single" w:color="000000" w:sz="4" w:space="0"/>
              <w:right w:val="single" w:color="000000" w:sz="4" w:space="0"/>
            </w:tcBorders>
            <w:tcW w:w="1704"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未达到一次扣1分。</w:t>
            </w:r>
            <w:r>
              <w:rPr>
                <w:highlight w:val="none"/>
              </w:rP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155"/>
        </w:trPr>
        <w:tc>
          <w:tcPr>
            <w:tcBorders>
              <w:top w:val="none" w:color="000000" w:sz="4" w:space="0"/>
              <w:left w:val="single" w:color="000000" w:sz="4" w:space="0"/>
              <w:bottom w:val="none" w:color="000000" w:sz="4" w:space="0"/>
              <w:right w:val="single" w:color="000000" w:sz="4" w:space="0"/>
            </w:tcBorders>
            <w:tcW w:w="518" w:type="dxa"/>
            <w:vAlign w:val="center"/>
            <w:vMerge w:val="continue"/>
            <w:textDirection w:val="lrTb"/>
            <w:noWrap w:val="false"/>
          </w:tcPr>
          <w:p>
            <w:pPr>
              <w:ind w:left="-105" w:right="-105"/>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6253"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6、电热开水机时刻保证有水，且机身干净，标签朝正前方；机身及出水口处干净无污点；水槽内无污水、残渣并干净整洁；龙头、水池内干净、光亮无污物； 墙面和电源插座、插板干净无污点、无污物。地面干净、无污物、无污水迹。 </w:t>
            </w:r>
            <w:r>
              <w:rPr>
                <w:highlight w:val="none"/>
              </w:rP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highlight w:val="none"/>
              </w:rPr>
            </w:r>
          </w:p>
        </w:tc>
        <w:tc>
          <w:tcPr>
            <w:tcBorders>
              <w:top w:val="none" w:color="000000" w:sz="4" w:space="0"/>
              <w:left w:val="none" w:color="000000" w:sz="4" w:space="0"/>
              <w:bottom w:val="single" w:color="000000" w:sz="4" w:space="0"/>
              <w:right w:val="single" w:color="000000" w:sz="4" w:space="0"/>
            </w:tcBorders>
            <w:tcW w:w="1704"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不符合一处一次扣1分。</w:t>
            </w:r>
            <w:r>
              <w:rPr>
                <w:highlight w:val="none"/>
              </w:rP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1836"/>
        </w:trPr>
        <w:tc>
          <w:tcPr>
            <w:tcBorders>
              <w:top w:val="none" w:color="000000" w:sz="4" w:space="0"/>
              <w:left w:val="single" w:color="000000" w:sz="4" w:space="0"/>
              <w:bottom w:val="single" w:color="000000" w:sz="4" w:space="0"/>
              <w:right w:val="single" w:color="000000" w:sz="4" w:space="0"/>
            </w:tcBorders>
            <w:tcW w:w="518" w:type="dxa"/>
            <w:vAlign w:val="center"/>
            <w:vMerge w:val="continue"/>
            <w:textDirection w:val="lrTb"/>
            <w:noWrap w:val="false"/>
          </w:tcPr>
          <w:p>
            <w:pPr>
              <w:ind w:left="-105" w:right="-105"/>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6253"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7、会议室的门、门面、门缝、门把手、表面无尘土、无污渍、手印；桌椅摆放整齐，干净无尘土；椅子布面干</w:t>
            </w:r>
            <w:r>
              <w:rPr>
                <w:rFonts w:hint="eastAsia" w:ascii="宋体" w:hAnsi="宋体" w:eastAsia="宋体" w:cs="宋体"/>
                <w:color w:val="000000"/>
                <w:sz w:val="24"/>
                <w:szCs w:val="24"/>
                <w:highlight w:val="none"/>
              </w:rPr>
              <w:t xml:space="preserve">净无污渍、无头发、无尘土；椅子腿无尘土；电话无污渍，摆放整齐；墙面、布面无尘土、无污渍；各种器材摆放整齐、无尘积；白板干净无尘、无墨迹，会后如没有特殊情况及时清擦；；投影布会后及时复位；窗玻璃及窗框无手印、无尘土；窗帘拉伸整齐； 垃圾筒内外干净，垃圾及时清倒； 地毯上使用吸尘器吸尘，确保无尘土、头发、无杂物、无污迹；灯罩无尘土、无手印；空气清新，无不当气味；；会议前半小时打好开水，会议期间服务人员要做好跟踪服务，会后及时清扫干净，并及时关闭电源门窗；真皮沙发需要专业清洗济清洗擦试，每年至少打蜡保养1－2次。</w:t>
            </w:r>
            <w:r>
              <w:rPr>
                <w:highlight w:val="none"/>
              </w:rP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highlight w:val="none"/>
              </w:rPr>
            </w:r>
          </w:p>
        </w:tc>
        <w:tc>
          <w:tcPr>
            <w:tcBorders>
              <w:top w:val="none" w:color="000000" w:sz="4" w:space="0"/>
              <w:left w:val="none" w:color="000000" w:sz="4" w:space="0"/>
              <w:bottom w:val="single" w:color="000000" w:sz="4" w:space="0"/>
              <w:right w:val="single" w:color="000000" w:sz="4" w:space="0"/>
            </w:tcBorders>
            <w:tcW w:w="1704"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不符合或未达到一次扣0.5分。</w:t>
            </w:r>
            <w:r>
              <w:rPr>
                <w:highlight w:val="none"/>
              </w:rP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313"/>
        </w:trPr>
        <w:tc>
          <w:tcPr>
            <w:tcBorders>
              <w:top w:val="single" w:color="000000" w:sz="4" w:space="0"/>
              <w:left w:val="single" w:color="000000" w:sz="4" w:space="0"/>
              <w:bottom w:val="none" w:color="000000" w:sz="4" w:space="0"/>
              <w:right w:val="single" w:color="000000" w:sz="4" w:space="0"/>
            </w:tcBorders>
            <w:tcW w:w="518" w:type="dxa"/>
            <w:vAlign w:val="center"/>
            <w:vMerge w:val="restart"/>
            <w:textDirection w:val="lrTb"/>
            <w:noWrap w:val="false"/>
          </w:tcPr>
          <w:p>
            <w:pPr>
              <w:ind w:left="-105" w:right="-105"/>
              <w:jc w:val="left"/>
              <w:spacing w:line="220" w:lineRule="exact"/>
              <w:widowControl/>
              <w:rPr>
                <w:rFonts w:ascii="宋体" w:hAnsi="宋体" w:cs="宋体"/>
                <w:color w:val="000000"/>
                <w:sz w:val="20"/>
                <w:szCs w:val="20"/>
                <w:highlight w:val="none"/>
              </w:rPr>
            </w:pPr>
            <w:r>
              <w:rPr>
                <w:rFonts w:ascii="宋体" w:hAnsi="宋体" w:cs="宋体"/>
                <w:color w:val="000000"/>
                <w:sz w:val="20"/>
                <w:szCs w:val="20"/>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6253"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每日巡回清扫车库纸屑和垃圾；每周用水清洗1次场地；每周将墙面的灰尘掸掉，用湿布擦拭1-2次；发现油迹、污迹、锈迹，应及时擦洗干净；每月擦洗2次门窗、消防栓、指示牌、指示灯、车位档、防火门等公共设施；地面无垃圾、果皮、纸屑、无积水、无油迹、无污迹和杂物。室外每日循环保洁，路面、广场无垃圾、无杂物、积水、积、污渍、泥沙；纸屑平均不超过3个，无直径1cm以上的石子；地面垃圾滞留时间不能超过1小时。</w:t>
            </w:r>
            <w:r>
              <w:rPr>
                <w:highlight w:val="none"/>
              </w:rP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highlight w:val="none"/>
              </w:rPr>
            </w:r>
          </w:p>
        </w:tc>
        <w:tc>
          <w:tcPr>
            <w:tcBorders>
              <w:top w:val="single" w:color="000000" w:sz="4" w:space="0"/>
              <w:left w:val="none" w:color="000000" w:sz="4" w:space="0"/>
              <w:bottom w:val="single" w:color="000000" w:sz="4" w:space="0"/>
              <w:right w:val="single" w:color="000000" w:sz="4" w:space="0"/>
            </w:tcBorders>
            <w:tcW w:w="1704"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不符合或未达到一次一处扣0.5分</w:t>
            </w:r>
            <w:r>
              <w:rPr>
                <w:highlight w:val="none"/>
              </w:rPr>
            </w:r>
          </w:p>
        </w:tc>
        <w:tc>
          <w:tcPr>
            <w:tcBorders>
              <w:top w:val="single" w:color="000000" w:sz="4" w:space="0"/>
              <w:left w:val="none" w:color="000000" w:sz="4" w:space="0"/>
              <w:bottom w:val="single" w:color="000000" w:sz="4" w:space="0"/>
              <w:right w:val="single" w:color="000000" w:sz="4" w:space="0"/>
            </w:tcBorders>
            <w:tcW w:w="669" w:type="dxa"/>
            <w:vAlign w:val="center"/>
            <w:textDirection w:val="lrTb"/>
            <w:noWrap w:val="false"/>
          </w:tcPr>
          <w:p>
            <w:pPr>
              <w:jc w:val="center"/>
              <w:spacing w:line="220" w:lineRule="exact"/>
              <w:widowControl/>
              <w:rPr>
                <w:rFonts w:ascii="宋体" w:hAnsi="宋体" w:cs="宋体"/>
                <w:color w:val="000000"/>
                <w:sz w:val="20"/>
                <w:szCs w:val="20"/>
                <w:highlight w:val="none"/>
              </w:rPr>
            </w:pPr>
            <w:r>
              <w:rPr>
                <w:rFonts w:ascii="宋体" w:hAnsi="宋体" w:cs="宋体"/>
                <w:color w:val="000000"/>
                <w:sz w:val="20"/>
                <w:szCs w:val="20"/>
                <w:highlight w:val="none"/>
              </w:rPr>
            </w:r>
            <w:r>
              <w:rPr>
                <w:highlight w:val="none"/>
              </w:rPr>
            </w:r>
          </w:p>
        </w:tc>
      </w:tr>
      <w:tr>
        <w:trPr>
          <w:jc w:val="center"/>
          <w:trHeight w:val="70"/>
        </w:trPr>
        <w:tc>
          <w:tcPr>
            <w:tcBorders>
              <w:top w:val="none" w:color="000000" w:sz="4" w:space="0"/>
              <w:left w:val="single" w:color="000000" w:sz="4" w:space="0"/>
              <w:bottom w:val="none" w:color="000000" w:sz="4" w:space="0"/>
              <w:right w:val="single" w:color="000000" w:sz="4" w:space="0"/>
            </w:tcBorders>
            <w:tcW w:w="518" w:type="dxa"/>
            <w:vAlign w:val="center"/>
            <w:vMerge w:val="continue"/>
            <w:textDirection w:val="lrTb"/>
            <w:noWrap w:val="false"/>
          </w:tcPr>
          <w:p>
            <w:pPr>
              <w:ind w:left="-105" w:right="-105"/>
              <w:jc w:val="left"/>
              <w:spacing w:line="220" w:lineRule="exac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253"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9、标识牌每2日擦拭1次。清洁后检查无污渍、无积灰，不损伤被清洁物。</w:t>
            </w:r>
            <w:r>
              <w:rPr>
                <w:highlight w:val="none"/>
              </w:rP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highlight w:val="none"/>
              </w:rPr>
            </w:r>
          </w:p>
        </w:tc>
        <w:tc>
          <w:tcPr>
            <w:tcBorders>
              <w:top w:val="none" w:color="000000" w:sz="4" w:space="0"/>
              <w:left w:val="none" w:color="000000" w:sz="4" w:space="0"/>
              <w:bottom w:val="single" w:color="000000" w:sz="4" w:space="0"/>
              <w:right w:val="single" w:color="000000" w:sz="4" w:space="0"/>
            </w:tcBorders>
            <w:tcW w:w="1704"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不符合一处一次扣0.5分。</w:t>
            </w:r>
            <w:r>
              <w:rPr>
                <w:highlight w:val="none"/>
              </w:rP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jc w:val="center"/>
              <w:spacing w:line="220" w:lineRule="exact"/>
              <w:widowControl/>
              <w:rPr>
                <w:rFonts w:ascii="宋体" w:hAnsi="宋体" w:cs="宋体"/>
                <w:color w:val="000000"/>
                <w:sz w:val="20"/>
                <w:szCs w:val="20"/>
                <w:highlight w:val="none"/>
              </w:rPr>
            </w:pPr>
            <w:r>
              <w:rPr>
                <w:rFonts w:ascii="宋体" w:hAnsi="宋体" w:cs="宋体"/>
                <w:color w:val="000000"/>
                <w:sz w:val="20"/>
                <w:szCs w:val="20"/>
                <w:highlight w:val="none"/>
              </w:rPr>
            </w:r>
            <w:r>
              <w:rPr>
                <w:highlight w:val="none"/>
              </w:rPr>
            </w:r>
          </w:p>
        </w:tc>
      </w:tr>
      <w:tr>
        <w:trPr>
          <w:jc w:val="center"/>
          <w:trHeight w:val="70"/>
        </w:trPr>
        <w:tc>
          <w:tcPr>
            <w:tcBorders>
              <w:top w:val="none" w:color="000000" w:sz="4" w:space="0"/>
              <w:left w:val="single" w:color="000000" w:sz="4" w:space="0"/>
              <w:bottom w:val="none" w:color="000000" w:sz="4" w:space="0"/>
              <w:right w:val="single" w:color="000000" w:sz="4" w:space="0"/>
            </w:tcBorders>
            <w:tcW w:w="518" w:type="dxa"/>
            <w:vAlign w:val="center"/>
            <w:vMerge w:val="continue"/>
            <w:textDirection w:val="lrTb"/>
            <w:noWrap w:val="false"/>
          </w:tcPr>
          <w:p>
            <w:pPr>
              <w:ind w:left="-105" w:right="-105"/>
              <w:jc w:val="left"/>
              <w:spacing w:line="220" w:lineRule="exac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253"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10、垃圾桶、果壳箱；每日抹布抹1次；每周清洗1次，垃圾桶、果壳箱周围地面无散落垃圾、无污水、无明显污迹、无油污；经常喷洒药水，防止发生虫害。</w:t>
            </w:r>
            <w:r>
              <w:rPr>
                <w:highlight w:val="none"/>
              </w:rP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highlight w:val="none"/>
              </w:rPr>
            </w:r>
          </w:p>
        </w:tc>
        <w:tc>
          <w:tcPr>
            <w:tcBorders>
              <w:top w:val="none" w:color="000000" w:sz="4" w:space="0"/>
              <w:left w:val="none" w:color="000000" w:sz="4" w:space="0"/>
              <w:bottom w:val="single" w:color="000000" w:sz="4" w:space="0"/>
              <w:right w:val="single" w:color="000000" w:sz="4" w:space="0"/>
            </w:tcBorders>
            <w:tcW w:w="1704"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不符合或未达到一次一处扣0.5分。</w:t>
            </w:r>
            <w:r>
              <w:rPr>
                <w:highlight w:val="none"/>
              </w:rP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jc w:val="center"/>
              <w:spacing w:line="220" w:lineRule="exact"/>
              <w:widowControl/>
              <w:rPr>
                <w:rFonts w:ascii="宋体" w:hAnsi="宋体" w:cs="宋体"/>
                <w:color w:val="000000"/>
                <w:sz w:val="20"/>
                <w:szCs w:val="20"/>
                <w:highlight w:val="none"/>
              </w:rPr>
            </w:pPr>
            <w:r>
              <w:rPr>
                <w:rFonts w:ascii="宋体" w:hAnsi="宋体" w:cs="宋体"/>
                <w:color w:val="000000"/>
                <w:sz w:val="20"/>
                <w:szCs w:val="20"/>
                <w:highlight w:val="none"/>
              </w:rPr>
            </w:r>
            <w:r>
              <w:rPr>
                <w:highlight w:val="none"/>
              </w:rPr>
            </w:r>
          </w:p>
        </w:tc>
      </w:tr>
      <w:tr>
        <w:trPr>
          <w:jc w:val="center"/>
          <w:trHeight w:val="136"/>
        </w:trPr>
        <w:tc>
          <w:tcPr>
            <w:tcBorders>
              <w:top w:val="none" w:color="000000" w:sz="4" w:space="0"/>
              <w:left w:val="single" w:color="000000" w:sz="4" w:space="0"/>
              <w:bottom w:val="single" w:color="000000" w:sz="4" w:space="0"/>
              <w:right w:val="single" w:color="000000" w:sz="4" w:space="0"/>
            </w:tcBorders>
            <w:tcW w:w="518" w:type="dxa"/>
            <w:vAlign w:val="center"/>
            <w:vMerge w:val="continue"/>
            <w:textDirection w:val="lrTb"/>
            <w:noWrap w:val="false"/>
          </w:tcPr>
          <w:p>
            <w:pPr>
              <w:ind w:left="-105" w:right="-105"/>
              <w:jc w:val="left"/>
              <w:spacing w:line="220" w:lineRule="exact"/>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253"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回收垃圾桶垃圾后重新铺好新的垃圾袋，铺垃圾袋时垃圾袋口完全张开，袋口反卷5cm折贴在垃圾箱外沿，再盖好垃圾桶盖；垃圾分类收集，对于可回收物资应当回收利用，对有毒物质分离特殊处理，建筑垃圾定点堆放。</w:t>
            </w:r>
            <w:r>
              <w:rPr>
                <w:highlight w:val="none"/>
              </w:rP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highlight w:val="none"/>
              </w:rPr>
            </w:r>
          </w:p>
        </w:tc>
        <w:tc>
          <w:tcPr>
            <w:tcBorders>
              <w:top w:val="none" w:color="000000" w:sz="4" w:space="0"/>
              <w:left w:val="none" w:color="000000" w:sz="4" w:space="0"/>
              <w:bottom w:val="single" w:color="000000" w:sz="4" w:space="0"/>
              <w:right w:val="single" w:color="000000" w:sz="4" w:space="0"/>
            </w:tcBorders>
            <w:tcW w:w="1704"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不符合一次扣0.5分。</w:t>
            </w:r>
            <w:r>
              <w:rPr>
                <w:highlight w:val="none"/>
              </w:rP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jc w:val="center"/>
              <w:spacing w:line="220" w:lineRule="exact"/>
              <w:widowControl/>
              <w:rPr>
                <w:rFonts w:ascii="宋体" w:hAnsi="宋体" w:cs="宋体"/>
                <w:color w:val="000000"/>
                <w:sz w:val="20"/>
                <w:szCs w:val="20"/>
                <w:highlight w:val="none"/>
              </w:rPr>
            </w:pPr>
            <w:r>
              <w:rPr>
                <w:rFonts w:ascii="宋体" w:hAnsi="宋体" w:cs="宋体"/>
                <w:color w:val="000000"/>
                <w:sz w:val="20"/>
                <w:szCs w:val="20"/>
                <w:highlight w:val="none"/>
              </w:rPr>
            </w:r>
            <w:r>
              <w:rPr>
                <w:highlight w:val="none"/>
              </w:rPr>
            </w:r>
          </w:p>
        </w:tc>
      </w:tr>
      <w:tr>
        <w:trPr>
          <w:jc w:val="center"/>
          <w:trHeight w:val="669"/>
        </w:trPr>
        <w:tc>
          <w:tcPr>
            <w:tcBorders>
              <w:top w:val="none" w:color="000000" w:sz="4" w:space="0"/>
              <w:left w:val="single" w:color="000000" w:sz="4" w:space="0"/>
              <w:bottom w:val="none" w:color="000000" w:sz="4" w:space="0"/>
              <w:right w:val="single" w:color="000000" w:sz="4" w:space="0"/>
            </w:tcBorders>
            <w:tcW w:w="518" w:type="dxa"/>
            <w:vAlign w:val="center"/>
            <w:vMerge w:val="restart"/>
            <w:textDirection w:val="tbRlV"/>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中央空调及电梯</w:t>
            </w:r>
            <w:r>
              <w:rPr>
                <w:highlight w:val="none"/>
              </w:rPr>
            </w:r>
          </w:p>
        </w:tc>
        <w:tc>
          <w:tcPr>
            <w:tcBorders>
              <w:top w:val="none" w:color="000000" w:sz="4" w:space="0"/>
              <w:left w:val="none" w:color="000000" w:sz="4" w:space="0"/>
              <w:bottom w:val="single" w:color="000000" w:sz="4" w:space="0"/>
              <w:right w:val="single" w:color="000000" w:sz="4" w:space="0"/>
            </w:tcBorders>
            <w:tcW w:w="6253"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1、维保人员具有一定中央空调维修经验及相关资格证书，具有独立处理应急突发事故能力。</w:t>
            </w:r>
            <w:r>
              <w:rPr>
                <w:highlight w:val="none"/>
              </w:rP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highlight w:val="none"/>
              </w:rPr>
            </w:r>
          </w:p>
        </w:tc>
        <w:tc>
          <w:tcPr>
            <w:tcBorders>
              <w:top w:val="none" w:color="000000" w:sz="4" w:space="0"/>
              <w:left w:val="none" w:color="000000" w:sz="4" w:space="0"/>
              <w:bottom w:val="single" w:color="000000" w:sz="4" w:space="0"/>
              <w:right w:val="single" w:color="000000" w:sz="4" w:space="0"/>
            </w:tcBorders>
            <w:tcW w:w="1704"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未达到一项扣1分</w:t>
            </w:r>
            <w:r>
              <w:rPr>
                <w:highlight w:val="none"/>
              </w:rP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262"/>
        </w:trPr>
        <w:tc>
          <w:tcPr>
            <w:tcBorders>
              <w:top w:val="none" w:color="000000" w:sz="4" w:space="0"/>
              <w:left w:val="single" w:color="000000" w:sz="4" w:space="0"/>
              <w:bottom w:val="none" w:color="000000" w:sz="4" w:space="0"/>
              <w:right w:val="single" w:color="000000" w:sz="4" w:space="0"/>
            </w:tcBorders>
            <w:tcW w:w="518"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6253"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2、及时巡视、发现故障或隐患及时报修</w:t>
            </w:r>
            <w:r>
              <w:rPr>
                <w:highlight w:val="none"/>
              </w:rP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highlight w:val="none"/>
              </w:rPr>
            </w:r>
          </w:p>
        </w:tc>
        <w:tc>
          <w:tcPr>
            <w:tcBorders>
              <w:top w:val="none" w:color="000000" w:sz="4" w:space="0"/>
              <w:left w:val="none" w:color="000000" w:sz="4" w:space="0"/>
              <w:bottom w:val="single" w:color="000000" w:sz="4" w:space="0"/>
              <w:right w:val="single" w:color="000000" w:sz="4" w:space="0"/>
            </w:tcBorders>
            <w:tcW w:w="1704"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未达到一次扣1分。</w:t>
            </w:r>
            <w:r>
              <w:rPr>
                <w:highlight w:val="none"/>
              </w:rP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585"/>
        </w:trPr>
        <w:tc>
          <w:tcPr>
            <w:tcBorders>
              <w:top w:val="none" w:color="000000" w:sz="4" w:space="0"/>
              <w:left w:val="single" w:color="000000" w:sz="4" w:space="0"/>
              <w:bottom w:val="none" w:color="000000" w:sz="4" w:space="0"/>
              <w:right w:val="single" w:color="000000" w:sz="4" w:space="0"/>
            </w:tcBorders>
            <w:tcW w:w="518" w:type="dxa"/>
            <w:vAlign w:val="center"/>
            <w:vMerge w:val="continue"/>
            <w:textDirection w:val="tbRlV"/>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6253"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3、维保人员进行电梯维修保养时，应积极配合维保人员在电梯基站门口处放置“检修停用”标牌等警示标志，防止无关人员进入电梯轿厢或进入电梯井道</w:t>
            </w:r>
            <w:r>
              <w:rPr>
                <w:highlight w:val="none"/>
              </w:rP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highlight w:val="none"/>
              </w:rPr>
            </w:r>
          </w:p>
        </w:tc>
        <w:tc>
          <w:tcPr>
            <w:tcBorders>
              <w:top w:val="none" w:color="000000" w:sz="4" w:space="0"/>
              <w:left w:val="none" w:color="000000" w:sz="4" w:space="0"/>
              <w:bottom w:val="single" w:color="000000" w:sz="4" w:space="0"/>
              <w:right w:val="single" w:color="000000" w:sz="4" w:space="0"/>
            </w:tcBorders>
            <w:tcW w:w="1704"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不符合一次扣1分</w:t>
            </w:r>
            <w:r>
              <w:rPr>
                <w:highlight w:val="none"/>
              </w:rP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468"/>
        </w:trPr>
        <w:tc>
          <w:tcPr>
            <w:tcBorders>
              <w:top w:val="none" w:color="000000" w:sz="4" w:space="0"/>
              <w:left w:val="single" w:color="000000" w:sz="4" w:space="0"/>
              <w:bottom w:val="single" w:color="000000" w:sz="4" w:space="0"/>
              <w:right w:val="single" w:color="000000" w:sz="4" w:space="0"/>
            </w:tcBorders>
            <w:tcW w:w="518"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6253"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做好电梯日常保洁工作，每日对电梯内墙面和地面进行全面擦拭清洁；每天对电梯栏杆和扶手及地面进行全面擦拭清洗；每日更换星期标识；每周对电梯消毒不少于2次。标准：玻璃保持光亮，无手印、无污迹、灯具、扶手无灰尘，用纸巾擦拭无明显污迹；不锈钢表面光亮，无灰尘、污迹。</w:t>
            </w:r>
            <w:r>
              <w:rPr>
                <w:highlight w:val="none"/>
              </w:rP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highlight w:val="none"/>
              </w:rPr>
            </w:r>
          </w:p>
        </w:tc>
        <w:tc>
          <w:tcPr>
            <w:tcBorders>
              <w:top w:val="none" w:color="000000" w:sz="4" w:space="0"/>
              <w:left w:val="none" w:color="000000" w:sz="4" w:space="0"/>
              <w:bottom w:val="single" w:color="000000" w:sz="4" w:space="0"/>
              <w:right w:val="single" w:color="000000" w:sz="4" w:space="0"/>
            </w:tcBorders>
            <w:tcW w:w="1704"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不符合一处一次扣0.5分.</w:t>
            </w:r>
            <w:r>
              <w:rPr>
                <w:highlight w:val="none"/>
              </w:rP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809"/>
        </w:trPr>
        <w:tc>
          <w:tcPr>
            <w:tcBorders>
              <w:top w:val="none" w:color="000000" w:sz="4" w:space="0"/>
              <w:left w:val="single" w:color="000000" w:sz="4" w:space="0"/>
              <w:bottom w:val="single" w:color="000000" w:sz="4" w:space="0"/>
              <w:right w:val="single" w:color="000000" w:sz="4" w:space="0"/>
            </w:tcBorders>
            <w:tcW w:w="518" w:type="dxa"/>
            <w:vAlign w:val="center"/>
            <w:vMerge w:val="restart"/>
            <w:textDirection w:val="tbRlV"/>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 议 服 务</w:t>
            </w:r>
            <w:r>
              <w:rPr>
                <w:highlight w:val="none"/>
              </w:rPr>
            </w:r>
          </w:p>
        </w:tc>
        <w:tc>
          <w:tcPr>
            <w:tcBorders>
              <w:top w:val="none" w:color="000000" w:sz="4" w:space="0"/>
              <w:left w:val="none" w:color="000000" w:sz="4" w:space="0"/>
              <w:bottom w:val="single" w:color="000000" w:sz="4" w:space="0"/>
              <w:right w:val="single" w:color="000000" w:sz="4" w:space="0"/>
            </w:tcBorders>
            <w:tcW w:w="6253"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1、会前的准备工作：首先要掌握主办会议单位、</w:t>
            </w:r>
            <w:r>
              <w:rPr>
                <w:rFonts w:hint="eastAsia" w:ascii="宋体" w:hAnsi="宋体" w:eastAsia="宋体" w:cs="宋体"/>
                <w:color w:val="000000"/>
                <w:sz w:val="24"/>
                <w:szCs w:val="24"/>
                <w:highlight w:val="none"/>
              </w:rPr>
              <w:t xml:space="preserve">人数、时间、要客及具体要求；按要求布置会议室，摆放好用品用具。根据人数和要求摆放桌椅，将多余的桌椅撤去；搞好会场内外的清洁卫生；摆放的用具（茶杯、杯垫），盘距桌边6CM，茶杯柄向右，图案要统一；按要求摆放告示牌，挂横幅、贴背板等；按要求酌情摆放签到台：提供用具，桌椅，签到牌，铺设台裙；如果提供自助茶水或饮料，需提前准备好服务台，提供相应的用品用具，派专人服务；按要求铺好会议桌布，注意垂边整齐等；调节好室内空气、温度；负责检查电源，负责调试音响、调试灯光效果、调试电器设备（话筒、音响、灯具、电脑、投影仪等）。</w:t>
            </w:r>
            <w:r>
              <w:rPr>
                <w:highlight w:val="none"/>
              </w:rP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highlight w:val="none"/>
              </w:rPr>
            </w:r>
          </w:p>
        </w:tc>
        <w:tc>
          <w:tcPr>
            <w:tcBorders>
              <w:top w:val="none" w:color="000000" w:sz="4" w:space="0"/>
              <w:left w:val="none" w:color="000000" w:sz="4" w:space="0"/>
              <w:bottom w:val="single" w:color="000000" w:sz="4" w:space="0"/>
              <w:right w:val="single" w:color="000000" w:sz="4" w:space="0"/>
            </w:tcBorders>
            <w:tcW w:w="1704"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未达到一处一次扣0.5分.</w:t>
            </w:r>
            <w:r>
              <w:rPr>
                <w:highlight w:val="none"/>
              </w:rP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139"/>
        </w:trPr>
        <w:tc>
          <w:tcPr>
            <w:tcBorders>
              <w:top w:val="none" w:color="000000" w:sz="4" w:space="0"/>
              <w:left w:val="single" w:color="000000" w:sz="4" w:space="0"/>
              <w:bottom w:val="single" w:color="000000" w:sz="4" w:space="0"/>
              <w:right w:val="single" w:color="000000" w:sz="4" w:space="0"/>
            </w:tcBorders>
            <w:tcW w:w="518"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6253"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2、会议迎宾工作：服务员着装整齐，提前3 0分钟到岗，在会议室门口迎接与会者入场；客人入座后，由服务员为客倒茶，上毛巾，不得有遗漏。贵宾室中若需摆放水果，需在客人进场前1 0分钟上齐，并包有保鲜膜；与会人员全部进入会议室后，酌情在门外把手上挂“会议进行中、保持安静”的牌子。</w:t>
            </w:r>
            <w:r>
              <w:rPr>
                <w:highlight w:val="none"/>
              </w:rP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highlight w:val="none"/>
              </w:rPr>
            </w:r>
          </w:p>
        </w:tc>
        <w:tc>
          <w:tcPr>
            <w:tcBorders>
              <w:top w:val="none" w:color="000000" w:sz="4" w:space="0"/>
              <w:left w:val="none" w:color="000000" w:sz="4" w:space="0"/>
              <w:bottom w:val="single" w:color="000000" w:sz="4" w:space="0"/>
              <w:right w:val="single" w:color="000000" w:sz="4" w:space="0"/>
            </w:tcBorders>
            <w:tcW w:w="1704"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未达到一处一次扣0.5分.</w:t>
            </w:r>
            <w:r>
              <w:rPr>
                <w:highlight w:val="none"/>
              </w:rP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407"/>
        </w:trPr>
        <w:tc>
          <w:tcPr>
            <w:tcBorders>
              <w:top w:val="none" w:color="000000" w:sz="4" w:space="0"/>
              <w:left w:val="single" w:color="000000" w:sz="4" w:space="0"/>
              <w:bottom w:val="single" w:color="000000" w:sz="4" w:space="0"/>
              <w:right w:val="single" w:color="000000" w:sz="4" w:space="0"/>
            </w:tcBorders>
            <w:tcW w:w="518"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6253"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会议过程的服务工作：服务员要坚守岗位，注意观察种控制会议室的门，维持秩序，保证会场周围安静，保证会议安全；注意观察会议情况，按时添加茶水；接听电话可通过会议工作人员，不得大声传呼；注意观察场内温度、空气，提请相关人员适时调整；确保会议中的音响效果，并及时为客人调整话筒位置（高、低）。</w:t>
            </w:r>
            <w:r>
              <w:rPr>
                <w:highlight w:val="none"/>
              </w:rP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highlight w:val="none"/>
              </w:rPr>
            </w:r>
          </w:p>
        </w:tc>
        <w:tc>
          <w:tcPr>
            <w:tcBorders>
              <w:top w:val="none" w:color="000000" w:sz="4" w:space="0"/>
              <w:left w:val="none" w:color="000000" w:sz="4" w:space="0"/>
              <w:bottom w:val="single" w:color="000000" w:sz="4" w:space="0"/>
              <w:right w:val="single" w:color="000000" w:sz="4" w:space="0"/>
            </w:tcBorders>
            <w:tcW w:w="1704"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未达到一处一次扣0.5分.</w:t>
            </w:r>
            <w:r>
              <w:rPr>
                <w:highlight w:val="none"/>
              </w:rP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70"/>
        </w:trPr>
        <w:tc>
          <w:tcPr>
            <w:tcBorders>
              <w:top w:val="none" w:color="000000" w:sz="4" w:space="0"/>
              <w:left w:val="single" w:color="000000" w:sz="4" w:space="0"/>
              <w:bottom w:val="single" w:color="000000" w:sz="4" w:space="0"/>
              <w:right w:val="single" w:color="000000" w:sz="4" w:space="0"/>
            </w:tcBorders>
            <w:tcW w:w="518"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6253"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会议结束时的服务工作：及时打开大门，在门口欢送客人；检查会场有无遗留文件及物品；检查室内用品有无短缺和损坏；进行安全检查，关闭所有电器、电源、收拾场内用品、用具；清扫会议室卫生，必要时进行消毒，关灯锁门。</w:t>
            </w:r>
            <w:r>
              <w:rPr>
                <w:highlight w:val="none"/>
              </w:rP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highlight w:val="none"/>
              </w:rPr>
            </w:r>
          </w:p>
        </w:tc>
        <w:tc>
          <w:tcPr>
            <w:tcBorders>
              <w:top w:val="none" w:color="000000" w:sz="4" w:space="0"/>
              <w:left w:val="none" w:color="000000" w:sz="4" w:space="0"/>
              <w:bottom w:val="single" w:color="000000" w:sz="4" w:space="0"/>
              <w:right w:val="single" w:color="000000" w:sz="4" w:space="0"/>
            </w:tcBorders>
            <w:tcW w:w="1704"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未达到一处一次扣0.5分.</w:t>
            </w:r>
            <w:r>
              <w:rPr>
                <w:highlight w:val="none"/>
              </w:rP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301"/>
        </w:trPr>
        <w:tc>
          <w:tcPr>
            <w:tcBorders>
              <w:top w:val="none" w:color="000000" w:sz="4" w:space="0"/>
              <w:left w:val="single" w:color="000000" w:sz="4" w:space="0"/>
              <w:bottom w:val="single" w:color="000000" w:sz="4" w:space="0"/>
              <w:right w:val="single" w:color="000000" w:sz="4" w:space="0"/>
            </w:tcBorders>
            <w:tcW w:w="518"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6253"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主席台、贵宾室的服务工作：主席台、贵宾室是会议服务的重点，要由专人服务；按要求及时做好主席台、贵宾室布置工作；按人数摆放椅子，以及其它用具，按要求摆放茶叶、席卡等；注意观察主席台上人员要求，按时添加茶水、递送烟缸或清理烟灰。</w:t>
            </w:r>
            <w:r>
              <w:rPr>
                <w:highlight w:val="none"/>
              </w:rP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highlight w:val="none"/>
              </w:rPr>
            </w:r>
          </w:p>
        </w:tc>
        <w:tc>
          <w:tcPr>
            <w:tcBorders>
              <w:top w:val="none" w:color="000000" w:sz="4" w:space="0"/>
              <w:left w:val="none" w:color="000000" w:sz="4" w:space="0"/>
              <w:bottom w:val="single" w:color="000000" w:sz="4" w:space="0"/>
              <w:right w:val="single" w:color="000000" w:sz="4" w:space="0"/>
            </w:tcBorders>
            <w:tcW w:w="1704"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未达到一处一次扣0.5分.</w:t>
            </w:r>
            <w:r>
              <w:rPr>
                <w:highlight w:val="none"/>
              </w:rP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540"/>
        </w:trPr>
        <w:tc>
          <w:tcPr>
            <w:tcBorders>
              <w:top w:val="none" w:color="000000" w:sz="4" w:space="0"/>
              <w:left w:val="single" w:color="000000" w:sz="4" w:space="0"/>
              <w:bottom w:val="none" w:color="000000" w:sz="4" w:space="0"/>
              <w:right w:val="single" w:color="000000" w:sz="4" w:space="0"/>
            </w:tcBorders>
            <w:tcW w:w="518" w:type="dxa"/>
            <w:vAlign w:val="center"/>
            <w:vMerge w:val="restart"/>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维修</w:t>
            </w:r>
            <w:r>
              <w:rPr>
                <w:highlight w:val="none"/>
              </w:rPr>
            </w:r>
          </w:p>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w:t>
            </w:r>
            <w:r>
              <w:rPr>
                <w:highlight w:val="none"/>
              </w:rPr>
            </w:r>
          </w:p>
        </w:tc>
        <w:tc>
          <w:tcPr>
            <w:tcBorders>
              <w:top w:val="none" w:color="000000" w:sz="4" w:space="0"/>
              <w:left w:val="none" w:color="000000" w:sz="4" w:space="0"/>
              <w:bottom w:val="single" w:color="000000" w:sz="4" w:space="0"/>
              <w:right w:val="single" w:color="000000" w:sz="4" w:space="0"/>
            </w:tcBorders>
            <w:tcW w:w="6253"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1、有严格的维修和管理制度，配备专业维修人员，维修人员须持证上岗。</w:t>
            </w:r>
            <w:r>
              <w:rPr>
                <w:highlight w:val="none"/>
              </w:rP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highlight w:val="none"/>
              </w:rPr>
            </w:r>
          </w:p>
        </w:tc>
        <w:tc>
          <w:tcPr>
            <w:tcBorders>
              <w:top w:val="none" w:color="000000" w:sz="4" w:space="0"/>
              <w:left w:val="none" w:color="000000" w:sz="4" w:space="0"/>
              <w:bottom w:val="single" w:color="000000" w:sz="4" w:space="0"/>
              <w:right w:val="single" w:color="000000" w:sz="4" w:space="0"/>
            </w:tcBorders>
            <w:tcW w:w="1704"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一项不符合一次扣0.5分。</w:t>
            </w:r>
            <w:r>
              <w:rPr>
                <w:highlight w:val="none"/>
              </w:rP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333"/>
        </w:trPr>
        <w:tc>
          <w:tcPr>
            <w:tcBorders>
              <w:top w:val="none" w:color="000000" w:sz="4" w:space="0"/>
              <w:left w:val="single" w:color="000000" w:sz="4" w:space="0"/>
              <w:bottom w:val="none" w:color="000000" w:sz="4" w:space="0"/>
              <w:right w:val="single" w:color="000000" w:sz="4" w:space="0"/>
            </w:tcBorders>
            <w:tcW w:w="518"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253"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2、在合同维修范围内接到报修后即时做出反应，报修承接后1日内修复，不能及时修复的，要有处理措施，并对业主（使用人）作出合理解释和限时承诺。</w:t>
            </w:r>
            <w:r>
              <w:rPr>
                <w:highlight w:val="none"/>
              </w:rP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highlight w:val="none"/>
              </w:rPr>
            </w:r>
          </w:p>
        </w:tc>
        <w:tc>
          <w:tcPr>
            <w:tcBorders>
              <w:top w:val="single" w:color="000000" w:sz="4" w:space="0"/>
              <w:left w:val="none" w:color="000000" w:sz="4" w:space="0"/>
              <w:bottom w:val="single" w:color="000000" w:sz="4" w:space="0"/>
              <w:right w:val="single" w:color="000000" w:sz="4" w:space="0"/>
            </w:tcBorders>
            <w:tcW w:w="1704"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接报、维修不及时或业主有效投诉一次扣0.5分。</w:t>
            </w:r>
            <w:r>
              <w:rPr>
                <w:highlight w:val="none"/>
              </w:rPr>
            </w:r>
          </w:p>
        </w:tc>
        <w:tc>
          <w:tcPr>
            <w:tcBorders>
              <w:top w:val="single" w:color="000000" w:sz="4" w:space="0"/>
              <w:left w:val="none" w:color="000000" w:sz="4" w:space="0"/>
              <w:bottom w:val="single" w:color="000000" w:sz="4" w:space="0"/>
              <w:right w:val="single" w:color="000000" w:sz="4" w:space="0"/>
            </w:tcBorders>
            <w:tcW w:w="66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261"/>
        </w:trPr>
        <w:tc>
          <w:tcPr>
            <w:tcBorders>
              <w:top w:val="none" w:color="000000" w:sz="4" w:space="0"/>
              <w:left w:val="single" w:color="000000" w:sz="4" w:space="0"/>
              <w:bottom w:val="none" w:color="000000" w:sz="4" w:space="0"/>
              <w:right w:val="single" w:color="000000" w:sz="4" w:space="0"/>
            </w:tcBorders>
            <w:tcW w:w="518"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253"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3、超出维修范围的,应报甲方核准并由甲方指定维修部门进行维修,乙方应予积极配合。</w:t>
            </w:r>
            <w:r>
              <w:rPr>
                <w:highlight w:val="none"/>
              </w:rP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highlight w:val="none"/>
              </w:rPr>
            </w:r>
          </w:p>
        </w:tc>
        <w:tc>
          <w:tcPr>
            <w:tcBorders>
              <w:top w:val="single" w:color="000000" w:sz="4" w:space="0"/>
              <w:left w:val="none" w:color="000000" w:sz="4" w:space="0"/>
              <w:bottom w:val="single" w:color="000000" w:sz="4" w:space="0"/>
              <w:right w:val="single" w:color="000000" w:sz="4" w:space="0"/>
            </w:tcBorders>
            <w:tcW w:w="1704"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未达到一次扣0.5分 。</w:t>
            </w:r>
            <w:r>
              <w:rPr>
                <w:highlight w:val="none"/>
              </w:rPr>
            </w:r>
          </w:p>
        </w:tc>
        <w:tc>
          <w:tcPr>
            <w:tcBorders>
              <w:top w:val="single" w:color="000000" w:sz="4" w:space="0"/>
              <w:left w:val="none" w:color="000000" w:sz="4" w:space="0"/>
              <w:bottom w:val="single" w:color="000000" w:sz="4" w:space="0"/>
              <w:right w:val="single" w:color="000000" w:sz="4" w:space="0"/>
            </w:tcBorders>
            <w:tcW w:w="66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516"/>
        </w:trPr>
        <w:tc>
          <w:tcPr>
            <w:tcBorders>
              <w:top w:val="none" w:color="000000" w:sz="4" w:space="0"/>
              <w:left w:val="single" w:color="000000" w:sz="4" w:space="0"/>
              <w:bottom w:val="single" w:color="000000" w:sz="4" w:space="0"/>
              <w:right w:val="single" w:color="000000" w:sz="4" w:space="0"/>
            </w:tcBorders>
            <w:tcW w:w="518"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253"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4、做好接报记录、维修记录、回访记录和养护记录。</w:t>
            </w:r>
            <w:r>
              <w:rPr>
                <w:highlight w:val="none"/>
              </w:rP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highlight w:val="none"/>
              </w:rPr>
            </w:r>
          </w:p>
        </w:tc>
        <w:tc>
          <w:tcPr>
            <w:tcBorders>
              <w:top w:val="single" w:color="000000" w:sz="4" w:space="0"/>
              <w:left w:val="none" w:color="000000" w:sz="4" w:space="0"/>
              <w:bottom w:val="single" w:color="000000" w:sz="4" w:space="0"/>
              <w:right w:val="single" w:color="000000" w:sz="4" w:space="0"/>
            </w:tcBorders>
            <w:tcW w:w="1704"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未达到一次扣0.5分。</w:t>
            </w:r>
            <w:r>
              <w:rPr>
                <w:highlight w:val="none"/>
              </w:rPr>
            </w:r>
          </w:p>
        </w:tc>
        <w:tc>
          <w:tcPr>
            <w:tcBorders>
              <w:top w:val="single" w:color="000000" w:sz="4" w:space="0"/>
              <w:left w:val="none" w:color="000000" w:sz="4" w:space="0"/>
              <w:bottom w:val="single" w:color="000000" w:sz="4" w:space="0"/>
              <w:right w:val="single" w:color="000000" w:sz="4" w:space="0"/>
            </w:tcBorders>
            <w:tcW w:w="66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bl>
    <w:p>
      <w:pPr>
        <w:jc w:val="left"/>
        <w:keepLines w:val="0"/>
        <w:keepNext w:val="0"/>
        <w:pageBreakBefore w:val="0"/>
        <w:spacing w:line="300" w:lineRule="exact"/>
        <w:widowControl/>
        <w:rPr>
          <w:color w:val="000000"/>
          <w:highlight w:val="none"/>
        </w:rPr>
      </w:pPr>
      <w:r>
        <w:rPr>
          <w:rFonts w:hint="eastAsia" w:ascii="宋体" w:hAnsi="宋体" w:eastAsia="宋体" w:cs="宋体"/>
          <w:color w:val="000000"/>
          <w:sz w:val="24"/>
          <w:szCs w:val="24"/>
          <w:highlight w:val="none"/>
        </w:rPr>
        <w:t xml:space="preserve">被考核单位：                                                  得分合计：</w:t>
      </w:r>
      <w:r>
        <w:rPr>
          <w:highlight w:val="none"/>
        </w:rPr>
      </w:r>
    </w:p>
    <w:p>
      <w:pPr>
        <w:spacing w:line="400" w:lineRule="exact"/>
        <w:rPr>
          <w:rFonts w:ascii="宋体" w:hAnsi="宋体"/>
          <w:b/>
          <w:color w:val="000000"/>
          <w:sz w:val="24"/>
          <w:highlight w:val="none"/>
        </w:rPr>
      </w:pPr>
      <w:r>
        <w:rPr>
          <w:rFonts w:hint="eastAsia" w:ascii="宋体" w:hAnsi="宋体"/>
          <w:b/>
          <w:color w:val="000000"/>
          <w:sz w:val="24"/>
          <w:highlight w:val="none"/>
        </w:rPr>
        <w:br w:type="page" w:clear="all"/>
      </w:r>
      <w:r>
        <w:rPr>
          <w:rFonts w:hint="eastAsia" w:ascii="宋体" w:hAnsi="宋体"/>
          <w:b/>
          <w:color w:val="000000"/>
          <w:sz w:val="24"/>
          <w:highlight w:val="none"/>
          <w:lang w:val="en-US" w:eastAsia="zh-CN"/>
        </w:rPr>
        <w:t xml:space="preserve">附件</w:t>
      </w:r>
      <w:r>
        <w:rPr>
          <w:rFonts w:hint="eastAsia" w:ascii="宋体" w:hAnsi="宋体"/>
          <w:b/>
          <w:color w:val="000000"/>
          <w:sz w:val="24"/>
          <w:highlight w:val="none"/>
        </w:rPr>
        <w:t xml:space="preserve">3：</w:t>
      </w:r>
      <w:r>
        <w:rPr>
          <w:highlight w:val="none"/>
        </w:rPr>
      </w:r>
    </w:p>
    <w:p>
      <w:pPr>
        <w:jc w:val="center"/>
        <w:spacing w:line="36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南京交通职业技术学院图文信息楼物业服务质量考核表</w:t>
      </w:r>
      <w:r>
        <w:rPr>
          <w:highlight w:val="none"/>
        </w:rPr>
      </w:r>
    </w:p>
    <w:p>
      <w:pPr>
        <w:keepLines w:val="0"/>
        <w:keepNext w:val="0"/>
        <w:pageBreakBefore w:val="0"/>
        <w:spacing w:before="145"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考核人：                                            考核时间：     年     月      日</w:t>
      </w:r>
      <w:r>
        <w:rPr>
          <w:highlight w:val="none"/>
        </w:rPr>
      </w:r>
    </w:p>
    <w:tbl>
      <w:tblPr>
        <w:tblStyle w:val="711"/>
        <w:tblW w:w="9866" w:type="dxa"/>
        <w:jc w:val="center"/>
        <w:tblLayout w:type="fixed"/>
        <w:tblCellMar>
          <w:left w:w="108" w:type="dxa"/>
          <w:top w:w="0" w:type="dxa"/>
          <w:right w:w="108" w:type="dxa"/>
          <w:bottom w:w="0" w:type="dxa"/>
        </w:tblCellMar>
        <w:tblLook w:val="04A0" w:firstRow="1" w:lastRow="0" w:firstColumn="1" w:lastColumn="0" w:noHBand="0" w:noVBand="1"/>
      </w:tblPr>
      <w:tblGrid>
        <w:gridCol w:w="520"/>
        <w:gridCol w:w="4984"/>
        <w:gridCol w:w="818"/>
        <w:gridCol w:w="2687"/>
        <w:gridCol w:w="857"/>
      </w:tblGrid>
      <w:tr>
        <w:trPr>
          <w:jc w:val="center"/>
          <w:trHeight w:val="429"/>
        </w:trPr>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105" w:right="-105"/>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rPr>
                <w:highlight w:val="none"/>
              </w:rPr>
            </w:r>
          </w:p>
        </w:tc>
        <w:tc>
          <w:tcPr>
            <w:tcBorders>
              <w:top w:val="single" w:color="000000" w:sz="4" w:space="0"/>
              <w:left w:val="none" w:color="000000" w:sz="4" w:space="0"/>
              <w:bottom w:val="single" w:color="000000" w:sz="4" w:space="0"/>
              <w:right w:val="single" w:color="000000" w:sz="4" w:space="0"/>
            </w:tcBorders>
            <w:tcW w:w="4984" w:type="dxa"/>
            <w:vAlign w:val="center"/>
            <w:textDirection w:val="lrTb"/>
            <w:noWrap w:val="false"/>
          </w:tcPr>
          <w:p>
            <w:pPr>
              <w:ind w:left="-105" w:right="-105"/>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考核内容</w:t>
            </w:r>
            <w:r>
              <w:rPr>
                <w:highlight w:val="none"/>
              </w:rPr>
            </w:r>
          </w:p>
        </w:tc>
        <w:tc>
          <w:tcPr>
            <w:tcBorders>
              <w:top w:val="single" w:color="000000" w:sz="4" w:space="0"/>
              <w:left w:val="none" w:color="000000" w:sz="4" w:space="0"/>
              <w:bottom w:val="single" w:color="000000" w:sz="4" w:space="0"/>
              <w:right w:val="single" w:color="000000" w:sz="4" w:space="0"/>
            </w:tcBorders>
            <w:tcW w:w="818" w:type="dxa"/>
            <w:vAlign w:val="center"/>
            <w:textDirection w:val="lrTb"/>
            <w:noWrap w:val="false"/>
          </w:tcPr>
          <w:p>
            <w:pPr>
              <w:ind w:left="-105" w:right="-105"/>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rPr>
                <w:highlight w:val="none"/>
              </w:rPr>
            </w:r>
          </w:p>
        </w:tc>
        <w:tc>
          <w:tcPr>
            <w:tcBorders>
              <w:top w:val="single" w:color="000000" w:sz="4" w:space="0"/>
              <w:left w:val="none" w:color="000000" w:sz="4" w:space="0"/>
              <w:bottom w:val="single" w:color="000000" w:sz="4" w:space="0"/>
              <w:right w:val="single" w:color="000000" w:sz="4" w:space="0"/>
            </w:tcBorders>
            <w:tcW w:w="2687" w:type="dxa"/>
            <w:vAlign w:val="center"/>
            <w:textDirection w:val="lrTb"/>
            <w:noWrap w:val="false"/>
          </w:tcPr>
          <w:p>
            <w:pPr>
              <w:ind w:left="-105" w:right="-105"/>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评分标准</w:t>
            </w:r>
            <w:r>
              <w:rPr>
                <w:highlight w:val="none"/>
              </w:rPr>
            </w:r>
          </w:p>
        </w:tc>
        <w:tc>
          <w:tcPr>
            <w:tcBorders>
              <w:top w:val="single" w:color="000000" w:sz="4" w:space="0"/>
              <w:left w:val="none" w:color="000000" w:sz="4" w:space="0"/>
              <w:bottom w:val="single" w:color="000000" w:sz="4" w:space="0"/>
              <w:right w:val="single" w:color="000000" w:sz="4" w:space="0"/>
            </w:tcBorders>
            <w:tcW w:w="857" w:type="dxa"/>
            <w:vAlign w:val="center"/>
            <w:textDirection w:val="lrTb"/>
            <w:noWrap w:val="false"/>
          </w:tcPr>
          <w:p>
            <w:pPr>
              <w:ind w:left="-105" w:right="-105"/>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得分</w:t>
            </w:r>
            <w:r>
              <w:rPr>
                <w:highlight w:val="none"/>
              </w:rPr>
            </w:r>
          </w:p>
        </w:tc>
      </w:tr>
      <w:tr>
        <w:trPr>
          <w:jc w:val="center"/>
          <w:trHeight w:val="285"/>
        </w:trPr>
        <w:tc>
          <w:tcPr>
            <w:tcBorders>
              <w:top w:val="none" w:color="000000" w:sz="4" w:space="0"/>
              <w:left w:val="single" w:color="000000" w:sz="4" w:space="0"/>
              <w:bottom w:val="single" w:color="000000" w:sz="4" w:space="0"/>
              <w:right w:val="single" w:color="000000" w:sz="4" w:space="0"/>
            </w:tcBorders>
            <w:tcW w:w="520" w:type="dxa"/>
            <w:vAlign w:val="center"/>
            <w:vMerge w:val="restart"/>
            <w:textDirection w:val="tbRlV"/>
            <w:noWrap w:val="false"/>
          </w:tcPr>
          <w:p>
            <w:pPr>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 全 管 理 </w:t>
            </w:r>
            <w:r>
              <w:rPr>
                <w:highlight w:val="none"/>
              </w:rPr>
            </w:r>
          </w:p>
        </w:tc>
        <w:tc>
          <w:tcPr>
            <w:tcBorders>
              <w:top w:val="none" w:color="000000" w:sz="4" w:space="0"/>
              <w:left w:val="none" w:color="000000" w:sz="4" w:space="0"/>
              <w:bottom w:val="single" w:color="000000" w:sz="4" w:space="0"/>
              <w:right w:val="single" w:color="000000" w:sz="4" w:space="0"/>
            </w:tcBorders>
            <w:tcW w:w="4984"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1、楼宇实行24小时值班制度，每天做好值班和交接班记录；维护馆内秩序，</w:t>
            </w:r>
            <w:r>
              <w:rPr>
                <w:rFonts w:hint="eastAsia" w:ascii="宋体" w:hAnsi="宋体" w:eastAsia="宋体" w:cs="宋体"/>
                <w:color w:val="000000"/>
                <w:sz w:val="24"/>
                <w:szCs w:val="24"/>
                <w:highlight w:val="none"/>
                <w:u w:val="single"/>
              </w:rPr>
              <w:t xml:space="preserve">保安员保持定时巡视，并做好记录</w:t>
            </w:r>
            <w:r>
              <w:rPr>
                <w:rFonts w:hint="eastAsia" w:ascii="宋体" w:hAnsi="宋体" w:eastAsia="宋体" w:cs="宋体"/>
                <w:color w:val="000000"/>
                <w:sz w:val="24"/>
                <w:szCs w:val="24"/>
                <w:highlight w:val="none"/>
              </w:rPr>
              <w:t xml:space="preserve">。楼门前无乱停，乱放车辆的现象。</w:t>
            </w:r>
            <w:r>
              <w:rPr>
                <w:highlight w:val="none"/>
              </w:rP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highlight w:val="none"/>
              </w:rPr>
            </w:r>
          </w:p>
        </w:tc>
        <w:tc>
          <w:tcPr>
            <w:tcBorders>
              <w:top w:val="none" w:color="000000" w:sz="4" w:space="0"/>
              <w:left w:val="none" w:color="000000" w:sz="4" w:space="0"/>
              <w:bottom w:val="single" w:color="000000" w:sz="4" w:space="0"/>
              <w:right w:val="single" w:color="000000" w:sz="4" w:space="0"/>
            </w:tcBorders>
            <w:tcW w:w="268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不符合或未达到一次扣1分。</w:t>
            </w:r>
            <w:r>
              <w:rPr>
                <w:highlight w:val="none"/>
              </w:rPr>
            </w:r>
          </w:p>
        </w:tc>
        <w:tc>
          <w:tcPr>
            <w:tcBorders>
              <w:top w:val="none" w:color="000000" w:sz="4" w:space="0"/>
              <w:left w:val="none" w:color="000000" w:sz="4" w:space="0"/>
              <w:bottom w:val="single" w:color="000000" w:sz="4" w:space="0"/>
              <w:right w:val="single" w:color="000000" w:sz="4" w:space="0"/>
            </w:tcBorders>
            <w:tcW w:w="85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435"/>
        </w:trPr>
        <w:tc>
          <w:tcPr>
            <w:tcBorders>
              <w:top w:val="non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84"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2、实行封闭式管理。按学院规定定时开关大门；外来访客需凭本人有效证件，安保员要同时做好核实登记；大件物品出门问询和</w:t>
            </w:r>
            <w:r>
              <w:rPr>
                <w:rFonts w:hint="eastAsia" w:ascii="宋体" w:hAnsi="宋体" w:eastAsia="宋体" w:cs="宋体"/>
                <w:color w:val="000000"/>
                <w:sz w:val="24"/>
                <w:szCs w:val="24"/>
                <w:highlight w:val="none"/>
                <w:u w:val="single"/>
              </w:rPr>
              <w:t xml:space="preserve">检查登记</w:t>
            </w:r>
            <w:r>
              <w:rPr>
                <w:rFonts w:hint="eastAsia" w:ascii="宋体" w:hAnsi="宋体" w:eastAsia="宋体" w:cs="宋体"/>
                <w:color w:val="000000"/>
                <w:sz w:val="24"/>
                <w:szCs w:val="24"/>
                <w:highlight w:val="none"/>
              </w:rPr>
              <w:t xml:space="preserve">等工作；杜绝闲杂人员入内。</w:t>
            </w:r>
            <w:r>
              <w:rPr>
                <w:highlight w:val="none"/>
              </w:rP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highlight w:val="none"/>
              </w:rPr>
            </w:r>
          </w:p>
        </w:tc>
        <w:tc>
          <w:tcPr>
            <w:tcBorders>
              <w:top w:val="none" w:color="000000" w:sz="4" w:space="0"/>
              <w:left w:val="none" w:color="000000" w:sz="4" w:space="0"/>
              <w:bottom w:val="single" w:color="000000" w:sz="4" w:space="0"/>
              <w:right w:val="single" w:color="000000" w:sz="4" w:space="0"/>
            </w:tcBorders>
            <w:tcW w:w="268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不符合或未达到一次扣1分。</w:t>
            </w:r>
            <w:r>
              <w:rPr>
                <w:highlight w:val="none"/>
              </w:rPr>
            </w:r>
          </w:p>
        </w:tc>
        <w:tc>
          <w:tcPr>
            <w:tcBorders>
              <w:top w:val="none" w:color="000000" w:sz="4" w:space="0"/>
              <w:left w:val="none" w:color="000000" w:sz="4" w:space="0"/>
              <w:bottom w:val="single" w:color="000000" w:sz="4" w:space="0"/>
              <w:right w:val="single" w:color="000000" w:sz="4" w:space="0"/>
            </w:tcBorders>
            <w:tcW w:w="85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741"/>
        </w:trPr>
        <w:tc>
          <w:tcPr>
            <w:tcBorders>
              <w:top w:val="non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84"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3、无火灾，无治安，刑事案件发生。每周1次以上安全、消防检查记录；及时消除安全隐患，</w:t>
            </w:r>
            <w:r>
              <w:rPr>
                <w:rFonts w:hint="eastAsia" w:ascii="宋体" w:hAnsi="宋体" w:eastAsia="宋体" w:cs="宋体"/>
                <w:color w:val="000000"/>
                <w:sz w:val="24"/>
                <w:szCs w:val="24"/>
                <w:highlight w:val="none"/>
                <w:u w:val="single"/>
              </w:rPr>
              <w:t xml:space="preserve">并做好相关记录</w:t>
            </w:r>
            <w:r>
              <w:rPr>
                <w:rFonts w:hint="eastAsia" w:ascii="宋体" w:hAnsi="宋体" w:eastAsia="宋体" w:cs="宋体"/>
                <w:color w:val="000000"/>
                <w:sz w:val="24"/>
                <w:szCs w:val="24"/>
                <w:highlight w:val="none"/>
              </w:rPr>
              <w:t xml:space="preserve">。</w:t>
            </w:r>
            <w:r>
              <w:rPr>
                <w:highlight w:val="none"/>
              </w:rP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highlight w:val="none"/>
              </w:rPr>
            </w:r>
          </w:p>
        </w:tc>
        <w:tc>
          <w:tcPr>
            <w:tcBorders>
              <w:top w:val="none" w:color="000000" w:sz="4" w:space="0"/>
              <w:left w:val="none" w:color="000000" w:sz="4" w:space="0"/>
              <w:bottom w:val="single" w:color="000000" w:sz="4" w:space="0"/>
              <w:right w:val="single" w:color="000000" w:sz="4" w:space="0"/>
            </w:tcBorders>
            <w:tcW w:w="268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不符合或未达到一次扣1分。</w:t>
            </w:r>
            <w:r>
              <w:rPr>
                <w:highlight w:val="none"/>
              </w:rPr>
            </w:r>
          </w:p>
        </w:tc>
        <w:tc>
          <w:tcPr>
            <w:tcBorders>
              <w:top w:val="none" w:color="000000" w:sz="4" w:space="0"/>
              <w:left w:val="none" w:color="000000" w:sz="4" w:space="0"/>
              <w:bottom w:val="single" w:color="000000" w:sz="4" w:space="0"/>
              <w:right w:val="single" w:color="000000" w:sz="4" w:space="0"/>
            </w:tcBorders>
            <w:tcW w:w="85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257"/>
        </w:trPr>
        <w:tc>
          <w:tcPr>
            <w:tcBorders>
              <w:top w:val="non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84"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4、制订物业管理各类突发事件的处理预案，定期进行消防演练；物业人员熟悉消防设施器材使用，熟悉报警报案电话，程序；消防，应急灯，疏散标志，安全实施完好。</w:t>
            </w:r>
            <w:r>
              <w:rPr>
                <w:highlight w:val="none"/>
              </w:rP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highlight w:val="none"/>
              </w:rPr>
            </w:r>
          </w:p>
        </w:tc>
        <w:tc>
          <w:tcPr>
            <w:tcBorders>
              <w:top w:val="none" w:color="000000" w:sz="4" w:space="0"/>
              <w:left w:val="none" w:color="000000" w:sz="4" w:space="0"/>
              <w:bottom w:val="single" w:color="000000" w:sz="4" w:space="0"/>
              <w:right w:val="single" w:color="000000" w:sz="4" w:space="0"/>
            </w:tcBorders>
            <w:tcW w:w="268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不符合或未达到一次扣1分。</w:t>
            </w:r>
            <w:r>
              <w:rPr>
                <w:highlight w:val="none"/>
              </w:rPr>
            </w:r>
          </w:p>
        </w:tc>
        <w:tc>
          <w:tcPr>
            <w:tcBorders>
              <w:top w:val="none" w:color="000000" w:sz="4" w:space="0"/>
              <w:left w:val="none" w:color="000000" w:sz="4" w:space="0"/>
              <w:bottom w:val="single" w:color="000000" w:sz="4" w:space="0"/>
              <w:right w:val="single" w:color="000000" w:sz="4" w:space="0"/>
            </w:tcBorders>
            <w:tcW w:w="85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521"/>
        </w:trPr>
        <w:tc>
          <w:tcPr>
            <w:tcBorders>
              <w:top w:val="non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84"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5、无火灾事故；无重大盗窃案件；无学生意外伤害事故。</w:t>
            </w:r>
            <w:r>
              <w:rPr>
                <w:highlight w:val="none"/>
              </w:rP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highlight w:val="none"/>
              </w:rPr>
            </w:r>
          </w:p>
        </w:tc>
        <w:tc>
          <w:tcPr>
            <w:tcBorders>
              <w:top w:val="none" w:color="000000" w:sz="4" w:space="0"/>
              <w:left w:val="none" w:color="000000" w:sz="4" w:space="0"/>
              <w:bottom w:val="single" w:color="000000" w:sz="4" w:space="0"/>
              <w:right w:val="single" w:color="000000" w:sz="4" w:space="0"/>
            </w:tcBorders>
            <w:tcW w:w="268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未达到一次扣2分。</w:t>
            </w:r>
            <w:r>
              <w:rPr>
                <w:highlight w:val="none"/>
              </w:rPr>
            </w:r>
          </w:p>
        </w:tc>
        <w:tc>
          <w:tcPr>
            <w:tcBorders>
              <w:top w:val="none" w:color="000000" w:sz="4" w:space="0"/>
              <w:left w:val="none" w:color="000000" w:sz="4" w:space="0"/>
              <w:bottom w:val="single" w:color="000000" w:sz="4" w:space="0"/>
              <w:right w:val="single" w:color="000000" w:sz="4" w:space="0"/>
            </w:tcBorders>
            <w:tcW w:w="85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1015"/>
        </w:trPr>
        <w:tc>
          <w:tcPr>
            <w:tcBorders>
              <w:top w:val="non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84"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6、设备良好，运作正常，无事故隐患；保养，检修制度完备，运行人员遵守操作规程及保养规范；危及师生安全处设有明显标志和防范措施。</w:t>
            </w:r>
            <w:r>
              <w:rPr>
                <w:highlight w:val="none"/>
              </w:rP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highlight w:val="none"/>
              </w:rPr>
            </w:r>
          </w:p>
        </w:tc>
        <w:tc>
          <w:tcPr>
            <w:tcBorders>
              <w:top w:val="none" w:color="000000" w:sz="4" w:space="0"/>
              <w:left w:val="none" w:color="000000" w:sz="4" w:space="0"/>
              <w:bottom w:val="single" w:color="000000" w:sz="4" w:space="0"/>
              <w:right w:val="single" w:color="000000" w:sz="4" w:space="0"/>
            </w:tcBorders>
            <w:tcW w:w="268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设备问题一次扣1分，保养检修不完备，未按要求设置标志一次扣1分。</w:t>
            </w:r>
            <w:r>
              <w:rPr>
                <w:highlight w:val="none"/>
              </w:rPr>
            </w:r>
          </w:p>
        </w:tc>
        <w:tc>
          <w:tcPr>
            <w:tcBorders>
              <w:top w:val="none" w:color="000000" w:sz="4" w:space="0"/>
              <w:left w:val="none" w:color="000000" w:sz="4" w:space="0"/>
              <w:bottom w:val="single" w:color="000000" w:sz="4" w:space="0"/>
              <w:right w:val="single" w:color="000000" w:sz="4" w:space="0"/>
            </w:tcBorders>
            <w:tcW w:w="85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70"/>
        </w:trPr>
        <w:tc>
          <w:tcPr>
            <w:tcBorders>
              <w:top w:val="none" w:color="000000" w:sz="4" w:space="0"/>
              <w:left w:val="single" w:color="000000" w:sz="4" w:space="0"/>
              <w:bottom w:val="single" w:color="000000" w:sz="4" w:space="0"/>
              <w:right w:val="single" w:color="000000" w:sz="4" w:space="0"/>
            </w:tcBorders>
            <w:tcW w:w="520" w:type="dxa"/>
            <w:vAlign w:val="center"/>
            <w:vMerge w:val="restart"/>
            <w:textDirection w:val="tbRlV"/>
            <w:noWrap w:val="false"/>
          </w:tcPr>
          <w:p>
            <w:pPr>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 议 服 务</w:t>
            </w:r>
            <w:r>
              <w:rPr>
                <w:highlight w:val="none"/>
              </w:rPr>
            </w:r>
          </w:p>
        </w:tc>
        <w:tc>
          <w:tcPr>
            <w:tcBorders>
              <w:top w:val="none" w:color="000000" w:sz="4" w:space="0"/>
              <w:left w:val="none" w:color="000000" w:sz="4" w:space="0"/>
              <w:bottom w:val="single" w:color="000000" w:sz="4" w:space="0"/>
              <w:right w:val="single" w:color="000000" w:sz="4" w:space="0"/>
            </w:tcBorders>
            <w:tcW w:w="4984"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1、服务员应着装整齐，文明，礼貌，热情的服务会议室内的宾客，做好会议前的迎接和会议结束的欢送工作。</w:t>
            </w:r>
            <w:r>
              <w:rPr>
                <w:highlight w:val="none"/>
              </w:rP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highlight w:val="none"/>
              </w:rPr>
            </w:r>
          </w:p>
        </w:tc>
        <w:tc>
          <w:tcPr>
            <w:tcBorders>
              <w:top w:val="none" w:color="000000" w:sz="4" w:space="0"/>
              <w:left w:val="none" w:color="000000" w:sz="4" w:space="0"/>
              <w:bottom w:val="single" w:color="000000" w:sz="4" w:space="0"/>
              <w:right w:val="single" w:color="000000" w:sz="4" w:space="0"/>
            </w:tcBorders>
            <w:tcW w:w="268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不符合或未达到一次扣1分。</w:t>
            </w:r>
            <w:r>
              <w:rPr>
                <w:highlight w:val="none"/>
              </w:rPr>
            </w:r>
          </w:p>
        </w:tc>
        <w:tc>
          <w:tcPr>
            <w:tcBorders>
              <w:top w:val="none" w:color="000000" w:sz="4" w:space="0"/>
              <w:left w:val="none" w:color="000000" w:sz="4" w:space="0"/>
              <w:bottom w:val="single" w:color="000000" w:sz="4" w:space="0"/>
              <w:right w:val="single" w:color="000000" w:sz="4" w:space="0"/>
            </w:tcBorders>
            <w:tcW w:w="85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70"/>
        </w:trPr>
        <w:tc>
          <w:tcPr>
            <w:tcBorders>
              <w:top w:val="non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84"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2、按要求布置会议室，摆放好用品用具，做好会议室的卫生，调节好室内的音响，空气，温度。</w:t>
            </w:r>
            <w:r>
              <w:rPr>
                <w:highlight w:val="none"/>
              </w:rP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highlight w:val="none"/>
              </w:rPr>
            </w:r>
          </w:p>
        </w:tc>
        <w:tc>
          <w:tcPr>
            <w:tcBorders>
              <w:top w:val="none" w:color="000000" w:sz="4" w:space="0"/>
              <w:left w:val="none" w:color="000000" w:sz="4" w:space="0"/>
              <w:bottom w:val="single" w:color="000000" w:sz="4" w:space="0"/>
              <w:right w:val="single" w:color="000000" w:sz="4" w:space="0"/>
            </w:tcBorders>
            <w:tcW w:w="268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未达到一次扣1分。</w:t>
            </w:r>
            <w:r>
              <w:rPr>
                <w:highlight w:val="none"/>
              </w:rPr>
            </w:r>
          </w:p>
        </w:tc>
        <w:tc>
          <w:tcPr>
            <w:tcBorders>
              <w:top w:val="none" w:color="000000" w:sz="4" w:space="0"/>
              <w:left w:val="none" w:color="000000" w:sz="4" w:space="0"/>
              <w:bottom w:val="single" w:color="000000" w:sz="4" w:space="0"/>
              <w:right w:val="single" w:color="000000" w:sz="4" w:space="0"/>
            </w:tcBorders>
            <w:tcW w:w="85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413"/>
        </w:trPr>
        <w:tc>
          <w:tcPr>
            <w:tcBorders>
              <w:top w:val="non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84"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3、掌握每次会议的单位，人数，时间，要客及具体要求。</w:t>
            </w:r>
            <w:r>
              <w:rPr>
                <w:highlight w:val="none"/>
              </w:rP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highlight w:val="none"/>
              </w:rPr>
            </w:r>
          </w:p>
        </w:tc>
        <w:tc>
          <w:tcPr>
            <w:tcBorders>
              <w:top w:val="none" w:color="000000" w:sz="4" w:space="0"/>
              <w:left w:val="none" w:color="000000" w:sz="4" w:space="0"/>
              <w:bottom w:val="single" w:color="000000" w:sz="4" w:space="0"/>
              <w:right w:val="single" w:color="000000" w:sz="4" w:space="0"/>
            </w:tcBorders>
            <w:tcW w:w="268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未达到一次扣1分。</w:t>
            </w:r>
            <w:r>
              <w:rPr>
                <w:highlight w:val="none"/>
              </w:rPr>
            </w:r>
          </w:p>
        </w:tc>
        <w:tc>
          <w:tcPr>
            <w:tcBorders>
              <w:top w:val="none" w:color="000000" w:sz="4" w:space="0"/>
              <w:left w:val="none" w:color="000000" w:sz="4" w:space="0"/>
              <w:bottom w:val="single" w:color="000000" w:sz="4" w:space="0"/>
              <w:right w:val="single" w:color="000000" w:sz="4" w:space="0"/>
            </w:tcBorders>
            <w:tcW w:w="85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184"/>
        </w:trPr>
        <w:tc>
          <w:tcPr>
            <w:tcBorders>
              <w:top w:val="non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84"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4、会议时服务员要坚守岗位，注意观察控制会议室的门，维持秩序，保证会场周围安静，保证会议安全。</w:t>
            </w:r>
            <w:r>
              <w:rPr>
                <w:highlight w:val="none"/>
              </w:rP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highlight w:val="none"/>
              </w:rPr>
            </w:r>
          </w:p>
        </w:tc>
        <w:tc>
          <w:tcPr>
            <w:tcBorders>
              <w:top w:val="none" w:color="000000" w:sz="4" w:space="0"/>
              <w:left w:val="none" w:color="000000" w:sz="4" w:space="0"/>
              <w:bottom w:val="single" w:color="000000" w:sz="4" w:space="0"/>
              <w:right w:val="single" w:color="000000" w:sz="4" w:space="0"/>
            </w:tcBorders>
            <w:tcW w:w="268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未达到一次扣1分。</w:t>
            </w:r>
            <w:r>
              <w:rPr>
                <w:highlight w:val="none"/>
              </w:rPr>
            </w:r>
          </w:p>
        </w:tc>
        <w:tc>
          <w:tcPr>
            <w:tcBorders>
              <w:top w:val="none" w:color="000000" w:sz="4" w:space="0"/>
              <w:left w:val="none" w:color="000000" w:sz="4" w:space="0"/>
              <w:bottom w:val="single" w:color="000000" w:sz="4" w:space="0"/>
              <w:right w:val="single" w:color="000000" w:sz="4" w:space="0"/>
            </w:tcBorders>
            <w:tcW w:w="85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355"/>
        </w:trPr>
        <w:tc>
          <w:tcPr>
            <w:tcBorders>
              <w:top w:val="non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84"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5、按要求做好主席台，贵宾室的专人服务工作。</w:t>
            </w:r>
            <w:r>
              <w:rPr>
                <w:highlight w:val="none"/>
              </w:rP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highlight w:val="none"/>
              </w:rPr>
            </w:r>
          </w:p>
        </w:tc>
        <w:tc>
          <w:tcPr>
            <w:tcBorders>
              <w:top w:val="none" w:color="000000" w:sz="4" w:space="0"/>
              <w:left w:val="none" w:color="000000" w:sz="4" w:space="0"/>
              <w:bottom w:val="single" w:color="000000" w:sz="4" w:space="0"/>
              <w:right w:val="single" w:color="000000" w:sz="4" w:space="0"/>
            </w:tcBorders>
            <w:tcW w:w="268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未达到一次扣1分。</w:t>
            </w:r>
            <w:r>
              <w:rPr>
                <w:highlight w:val="none"/>
              </w:rPr>
            </w:r>
          </w:p>
        </w:tc>
        <w:tc>
          <w:tcPr>
            <w:tcBorders>
              <w:top w:val="none" w:color="000000" w:sz="4" w:space="0"/>
              <w:left w:val="none" w:color="000000" w:sz="4" w:space="0"/>
              <w:bottom w:val="single" w:color="000000" w:sz="4" w:space="0"/>
              <w:right w:val="single" w:color="000000" w:sz="4" w:space="0"/>
            </w:tcBorders>
            <w:tcW w:w="85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465"/>
        </w:trPr>
        <w:tc>
          <w:tcPr>
            <w:tcBorders>
              <w:top w:val="none" w:color="000000" w:sz="4" w:space="0"/>
              <w:left w:val="single" w:color="000000" w:sz="4" w:space="0"/>
              <w:bottom w:val="single" w:color="000000" w:sz="4" w:space="0"/>
              <w:right w:val="single" w:color="000000" w:sz="4" w:space="0"/>
            </w:tcBorders>
            <w:tcW w:w="520" w:type="dxa"/>
            <w:vAlign w:val="center"/>
            <w:vMerge w:val="restart"/>
            <w:textDirection w:val="tbRlV"/>
            <w:noWrap w:val="false"/>
          </w:tcPr>
          <w:p>
            <w:pPr>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卫 生 保 洁 </w:t>
            </w:r>
            <w:r>
              <w:rPr>
                <w:highlight w:val="none"/>
              </w:rPr>
            </w:r>
          </w:p>
        </w:tc>
        <w:tc>
          <w:tcPr>
            <w:tcBorders>
              <w:top w:val="none" w:color="000000" w:sz="4" w:space="0"/>
              <w:left w:val="none" w:color="000000" w:sz="4" w:space="0"/>
              <w:bottom w:val="single" w:color="000000" w:sz="4" w:space="0"/>
              <w:right w:val="single" w:color="000000" w:sz="4" w:space="0"/>
            </w:tcBorders>
            <w:tcW w:w="4984"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1、走廊，楼梯等公共部位每天清扫2次以上，拖洗1次，楼梯扶手每天抹一次以上，并全天保持整洁；做到地面无积水，无杂物，无垃圾，无痰迹。</w:t>
            </w:r>
            <w:r>
              <w:rPr>
                <w:highlight w:val="none"/>
              </w:rP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highlight w:val="none"/>
              </w:rPr>
            </w:r>
          </w:p>
        </w:tc>
        <w:tc>
          <w:tcPr>
            <w:tcBorders>
              <w:top w:val="none" w:color="000000" w:sz="4" w:space="0"/>
              <w:left w:val="none" w:color="000000" w:sz="4" w:space="0"/>
              <w:bottom w:val="single" w:color="000000" w:sz="4" w:space="0"/>
              <w:right w:val="single" w:color="000000" w:sz="4" w:space="0"/>
            </w:tcBorders>
            <w:tcW w:w="268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未按规定打扫一次一处扣0.5分，楼梯走道等保洁不符合要求一处扣0.5分</w:t>
            </w:r>
            <w:r>
              <w:rPr>
                <w:highlight w:val="none"/>
              </w:rPr>
            </w:r>
          </w:p>
        </w:tc>
        <w:tc>
          <w:tcPr>
            <w:tcBorders>
              <w:top w:val="none" w:color="000000" w:sz="4" w:space="0"/>
              <w:left w:val="none" w:color="000000" w:sz="4" w:space="0"/>
              <w:bottom w:val="single" w:color="000000" w:sz="4" w:space="0"/>
              <w:right w:val="single" w:color="000000" w:sz="4" w:space="0"/>
            </w:tcBorders>
            <w:tcW w:w="85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798"/>
        </w:trPr>
        <w:tc>
          <w:tcPr>
            <w:tcBorders>
              <w:top w:val="non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84"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2、门窗玻璃明亮窗台无杂物；墙面无划损，无灰尘，无蜘蛛网，无污迹，无乱张贴。</w:t>
            </w:r>
            <w:r>
              <w:rPr>
                <w:highlight w:val="none"/>
              </w:rP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highlight w:val="none"/>
              </w:rPr>
            </w:r>
          </w:p>
        </w:tc>
        <w:tc>
          <w:tcPr>
            <w:tcBorders>
              <w:top w:val="none" w:color="000000" w:sz="4" w:space="0"/>
              <w:left w:val="none" w:color="000000" w:sz="4" w:space="0"/>
              <w:bottom w:val="single" w:color="000000" w:sz="4" w:space="0"/>
              <w:right w:val="single" w:color="000000" w:sz="4" w:space="0"/>
            </w:tcBorders>
            <w:tcW w:w="268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未达到一次一处扣0.5分。</w:t>
            </w:r>
            <w:r>
              <w:rPr>
                <w:highlight w:val="none"/>
              </w:rPr>
            </w:r>
          </w:p>
        </w:tc>
        <w:tc>
          <w:tcPr>
            <w:tcBorders>
              <w:top w:val="none" w:color="000000" w:sz="4" w:space="0"/>
              <w:left w:val="none" w:color="000000" w:sz="4" w:space="0"/>
              <w:bottom w:val="single" w:color="000000" w:sz="4" w:space="0"/>
              <w:right w:val="single" w:color="000000" w:sz="4" w:space="0"/>
            </w:tcBorders>
            <w:tcW w:w="85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603"/>
        </w:trPr>
        <w:tc>
          <w:tcPr>
            <w:tcBorders>
              <w:top w:val="non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84"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3、馆内四周环境优美，责任区每天清扫2次以上，并全天保持整洁；绿化区内做到无杂物，无杂草，整齐美观，绿化设施完好。</w:t>
            </w:r>
            <w:r>
              <w:rPr>
                <w:highlight w:val="none"/>
              </w:rP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highlight w:val="none"/>
              </w:rPr>
            </w:r>
          </w:p>
        </w:tc>
        <w:tc>
          <w:tcPr>
            <w:tcBorders>
              <w:top w:val="none" w:color="000000" w:sz="4" w:space="0"/>
              <w:left w:val="none" w:color="000000" w:sz="4" w:space="0"/>
              <w:bottom w:val="single" w:color="000000" w:sz="4" w:space="0"/>
              <w:right w:val="single" w:color="000000" w:sz="4" w:space="0"/>
            </w:tcBorders>
            <w:tcW w:w="268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未按规定次数打扫一次一处扣0.5分；绿化区有杂物等一次一处扣0.5分。</w:t>
            </w:r>
            <w:r>
              <w:rPr>
                <w:highlight w:val="none"/>
              </w:rPr>
            </w:r>
          </w:p>
        </w:tc>
        <w:tc>
          <w:tcPr>
            <w:tcBorders>
              <w:top w:val="none" w:color="000000" w:sz="4" w:space="0"/>
              <w:left w:val="none" w:color="000000" w:sz="4" w:space="0"/>
              <w:bottom w:val="single" w:color="000000" w:sz="4" w:space="0"/>
              <w:right w:val="single" w:color="000000" w:sz="4" w:space="0"/>
            </w:tcBorders>
            <w:tcW w:w="85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591"/>
        </w:trPr>
        <w:tc>
          <w:tcPr>
            <w:tcBorders>
              <w:top w:val="non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84"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4、馆内四周定期灭杀蚊子，苍蝇，老鼠等害虫；灭“四害”等台账全；做好传染病的预防和防止传染病扩散的预案。</w:t>
            </w:r>
            <w:r>
              <w:rPr>
                <w:highlight w:val="none"/>
              </w:rP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highlight w:val="none"/>
              </w:rPr>
            </w:r>
          </w:p>
        </w:tc>
        <w:tc>
          <w:tcPr>
            <w:tcBorders>
              <w:top w:val="none" w:color="000000" w:sz="4" w:space="0"/>
              <w:left w:val="none" w:color="000000" w:sz="4" w:space="0"/>
              <w:bottom w:val="single" w:color="000000" w:sz="4" w:space="0"/>
              <w:right w:val="single" w:color="000000" w:sz="4" w:space="0"/>
            </w:tcBorders>
            <w:tcW w:w="268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未按规定除“四害”等一次一处0.5分；未及时预防传染病等一次2分。</w:t>
            </w:r>
            <w:r>
              <w:rPr>
                <w:highlight w:val="none"/>
              </w:rPr>
            </w:r>
          </w:p>
        </w:tc>
        <w:tc>
          <w:tcPr>
            <w:tcBorders>
              <w:top w:val="none" w:color="000000" w:sz="4" w:space="0"/>
              <w:left w:val="none" w:color="000000" w:sz="4" w:space="0"/>
              <w:bottom w:val="single" w:color="000000" w:sz="4" w:space="0"/>
              <w:right w:val="single" w:color="000000" w:sz="4" w:space="0"/>
            </w:tcBorders>
            <w:tcW w:w="85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70"/>
        </w:trPr>
        <w:tc>
          <w:tcPr>
            <w:tcBorders>
              <w:top w:val="non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84"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5、楼宇值班室干净，整洁，制度上墙，无乱悬挂，无乱张贴。</w:t>
            </w:r>
            <w:r>
              <w:rPr>
                <w:highlight w:val="none"/>
              </w:rP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highlight w:val="none"/>
              </w:rPr>
            </w:r>
          </w:p>
        </w:tc>
        <w:tc>
          <w:tcPr>
            <w:tcBorders>
              <w:top w:val="none" w:color="000000" w:sz="4" w:space="0"/>
              <w:left w:val="none" w:color="000000" w:sz="4" w:space="0"/>
              <w:bottom w:val="single" w:color="000000" w:sz="4" w:space="0"/>
              <w:right w:val="single" w:color="000000" w:sz="4" w:space="0"/>
            </w:tcBorders>
            <w:tcW w:w="268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未达到一次扣0.5分。</w:t>
            </w:r>
            <w:r>
              <w:rPr>
                <w:highlight w:val="none"/>
              </w:rPr>
            </w:r>
          </w:p>
        </w:tc>
        <w:tc>
          <w:tcPr>
            <w:tcBorders>
              <w:top w:val="none" w:color="000000" w:sz="4" w:space="0"/>
              <w:left w:val="none" w:color="000000" w:sz="4" w:space="0"/>
              <w:bottom w:val="single" w:color="000000" w:sz="4" w:space="0"/>
              <w:right w:val="single" w:color="000000" w:sz="4" w:space="0"/>
            </w:tcBorders>
            <w:tcW w:w="85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1239"/>
        </w:trPr>
        <w:tc>
          <w:tcPr>
            <w:tcBorders>
              <w:top w:val="single" w:color="000000" w:sz="4" w:space="0"/>
              <w:left w:val="single" w:color="000000" w:sz="4" w:space="0"/>
              <w:bottom w:val="single" w:color="000000" w:sz="4" w:space="0"/>
              <w:right w:val="single" w:color="000000" w:sz="4" w:space="0"/>
            </w:tcBorders>
            <w:tcW w:w="520" w:type="dxa"/>
            <w:vAlign w:val="center"/>
            <w:vMerge w:val="restart"/>
            <w:textDirection w:val="tbRlV"/>
            <w:noWrap w:val="false"/>
          </w:tcPr>
          <w:p>
            <w:pPr>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维 修 服 务</w:t>
            </w:r>
            <w:r>
              <w:rPr>
                <w:highlight w:val="none"/>
              </w:rPr>
            </w:r>
          </w:p>
        </w:tc>
        <w:tc>
          <w:tcPr>
            <w:tcBorders>
              <w:top w:val="single" w:color="000000" w:sz="4" w:space="0"/>
              <w:left w:val="none" w:color="000000" w:sz="4" w:space="0"/>
              <w:bottom w:val="single" w:color="000000" w:sz="4" w:space="0"/>
              <w:right w:val="single" w:color="000000" w:sz="4" w:space="0"/>
            </w:tcBorders>
            <w:tcW w:w="4984"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1、建立严格的维修制度，配备专业维修人员，维修人员需持证上岗；实行24小时值班制度，</w:t>
            </w:r>
            <w:r>
              <w:rPr>
                <w:rFonts w:hint="eastAsia" w:ascii="宋体" w:hAnsi="宋体" w:eastAsia="宋体" w:cs="宋体"/>
                <w:color w:val="000000"/>
                <w:sz w:val="24"/>
                <w:szCs w:val="24"/>
                <w:highlight w:val="none"/>
                <w:u w:val="single"/>
              </w:rPr>
              <w:t xml:space="preserve">建立报修档案</w:t>
            </w:r>
            <w:r>
              <w:rPr>
                <w:rFonts w:hint="eastAsia" w:ascii="宋体" w:hAnsi="宋体" w:eastAsia="宋体" w:cs="宋体"/>
                <w:color w:val="000000"/>
                <w:sz w:val="24"/>
                <w:szCs w:val="24"/>
                <w:highlight w:val="none"/>
              </w:rPr>
              <w:t xml:space="preserve">。</w:t>
            </w:r>
            <w:r>
              <w:rPr>
                <w:highlight w:val="none"/>
              </w:rPr>
            </w:r>
          </w:p>
        </w:tc>
        <w:tc>
          <w:tcPr>
            <w:tcBorders>
              <w:top w:val="single" w:color="000000" w:sz="4" w:space="0"/>
              <w:left w:val="none" w:color="000000" w:sz="4" w:space="0"/>
              <w:bottom w:val="single" w:color="000000" w:sz="4" w:space="0"/>
              <w:right w:val="single" w:color="000000" w:sz="4" w:space="0"/>
            </w:tcBorders>
            <w:tcW w:w="818"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highlight w:val="none"/>
              </w:rPr>
            </w:r>
          </w:p>
        </w:tc>
        <w:tc>
          <w:tcPr>
            <w:tcBorders>
              <w:top w:val="single" w:color="000000" w:sz="4" w:space="0"/>
              <w:left w:val="none" w:color="000000" w:sz="4" w:space="0"/>
              <w:bottom w:val="single" w:color="000000" w:sz="4" w:space="0"/>
              <w:right w:val="single" w:color="000000" w:sz="4" w:space="0"/>
            </w:tcBorders>
            <w:tcW w:w="268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未建立严格维修制度一次扣1分；未持证上岗，无报修档案一次扣1分。</w:t>
            </w:r>
            <w:r>
              <w:rPr>
                <w:highlight w:val="none"/>
              </w:rPr>
            </w:r>
          </w:p>
        </w:tc>
        <w:tc>
          <w:tcPr>
            <w:tcBorders>
              <w:top w:val="single" w:color="000000" w:sz="4" w:space="0"/>
              <w:left w:val="none" w:color="000000" w:sz="4" w:space="0"/>
              <w:bottom w:val="none" w:color="000000" w:sz="4" w:space="0"/>
              <w:right w:val="single" w:color="000000" w:sz="4" w:space="0"/>
            </w:tcBorders>
            <w:tcW w:w="85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1238"/>
        </w:trPr>
        <w:tc>
          <w:tcPr>
            <w:tcBorders>
              <w:top w:val="non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84"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2、楼宇的零修，急修及时完成；水电等零修不过夜，门窗家具零修不过天，土建零修不过周；影响师生正常工作学习的报修必须在10分内赶到现场进行抢修；并做好</w:t>
            </w:r>
            <w:r>
              <w:rPr>
                <w:rFonts w:hint="eastAsia" w:ascii="宋体" w:hAnsi="宋体" w:eastAsia="宋体" w:cs="宋体"/>
                <w:color w:val="000000"/>
                <w:sz w:val="24"/>
                <w:szCs w:val="24"/>
                <w:highlight w:val="none"/>
                <w:u w:val="single"/>
              </w:rPr>
              <w:t xml:space="preserve">维修记录和回访</w:t>
            </w:r>
            <w:r>
              <w:rPr>
                <w:rFonts w:hint="eastAsia" w:ascii="宋体" w:hAnsi="宋体" w:eastAsia="宋体" w:cs="宋体"/>
                <w:color w:val="000000"/>
                <w:sz w:val="24"/>
                <w:szCs w:val="24"/>
                <w:highlight w:val="none"/>
              </w:rPr>
              <w:t xml:space="preserve">。</w:t>
            </w:r>
            <w:r>
              <w:rPr>
                <w:highlight w:val="none"/>
              </w:rP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highlight w:val="none"/>
              </w:rPr>
            </w:r>
          </w:p>
        </w:tc>
        <w:tc>
          <w:tcPr>
            <w:tcBorders>
              <w:top w:val="none" w:color="000000" w:sz="4" w:space="0"/>
              <w:left w:val="none" w:color="000000" w:sz="4" w:space="0"/>
              <w:bottom w:val="single" w:color="000000" w:sz="4" w:space="0"/>
              <w:right w:val="single" w:color="000000" w:sz="4" w:space="0"/>
            </w:tcBorders>
            <w:tcW w:w="268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未达到一次1分。</w:t>
            </w:r>
            <w:r>
              <w:rPr>
                <w:highlight w:val="none"/>
              </w:rPr>
            </w:r>
          </w:p>
        </w:tc>
        <w:tc>
          <w:tcPr>
            <w:tcBorders>
              <w:top w:val="single" w:color="000000" w:sz="4" w:space="0"/>
              <w:left w:val="none" w:color="000000" w:sz="4" w:space="0"/>
              <w:bottom w:val="single" w:color="000000" w:sz="4" w:space="0"/>
              <w:right w:val="single" w:color="000000" w:sz="4" w:space="0"/>
            </w:tcBorders>
            <w:tcW w:w="85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675"/>
        </w:trPr>
        <w:tc>
          <w:tcPr>
            <w:tcBorders>
              <w:top w:val="non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84"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3、公共部位的照明和应急灯具必须每天巡查保证完好无缺。 </w:t>
            </w:r>
            <w:r>
              <w:rPr>
                <w:highlight w:val="none"/>
              </w:rP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highlight w:val="none"/>
              </w:rPr>
            </w:r>
          </w:p>
        </w:tc>
        <w:tc>
          <w:tcPr>
            <w:tcBorders>
              <w:top w:val="none" w:color="000000" w:sz="4" w:space="0"/>
              <w:left w:val="none" w:color="000000" w:sz="4" w:space="0"/>
              <w:bottom w:val="single" w:color="000000" w:sz="4" w:space="0"/>
              <w:right w:val="single" w:color="000000" w:sz="4" w:space="0"/>
            </w:tcBorders>
            <w:tcW w:w="268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未达到一次一处扣0.5分。</w:t>
            </w:r>
            <w:r>
              <w:rPr>
                <w:highlight w:val="none"/>
              </w:rPr>
            </w:r>
          </w:p>
        </w:tc>
        <w:tc>
          <w:tcPr>
            <w:tcBorders>
              <w:top w:val="none" w:color="000000" w:sz="4" w:space="0"/>
              <w:left w:val="none" w:color="000000" w:sz="4" w:space="0"/>
              <w:bottom w:val="single" w:color="000000" w:sz="4" w:space="0"/>
              <w:right w:val="single" w:color="000000" w:sz="4" w:space="0"/>
            </w:tcBorders>
            <w:tcW w:w="85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679"/>
        </w:trPr>
        <w:tc>
          <w:tcPr>
            <w:tcBorders>
              <w:top w:val="non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84"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4、楼宇有规范醒目的节能告示牌，警示牌等。</w:t>
            </w:r>
            <w:r>
              <w:rPr>
                <w:highlight w:val="none"/>
              </w:rP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highlight w:val="none"/>
              </w:rPr>
            </w:r>
          </w:p>
        </w:tc>
        <w:tc>
          <w:tcPr>
            <w:tcBorders>
              <w:top w:val="none" w:color="000000" w:sz="4" w:space="0"/>
              <w:left w:val="none" w:color="000000" w:sz="4" w:space="0"/>
              <w:bottom w:val="single" w:color="000000" w:sz="4" w:space="0"/>
              <w:right w:val="single" w:color="000000" w:sz="4" w:space="0"/>
            </w:tcBorders>
            <w:tcW w:w="268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未达到一次扣1分</w:t>
            </w:r>
            <w:r>
              <w:rPr>
                <w:highlight w:val="none"/>
              </w:rPr>
            </w:r>
          </w:p>
        </w:tc>
        <w:tc>
          <w:tcPr>
            <w:tcBorders>
              <w:top w:val="none" w:color="000000" w:sz="4" w:space="0"/>
              <w:left w:val="none" w:color="000000" w:sz="4" w:space="0"/>
              <w:bottom w:val="single" w:color="000000" w:sz="4" w:space="0"/>
              <w:right w:val="single" w:color="000000" w:sz="4" w:space="0"/>
            </w:tcBorders>
            <w:tcW w:w="85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1080"/>
        </w:trPr>
        <w:tc>
          <w:tcPr>
            <w:tcBorders>
              <w:top w:val="none" w:color="000000" w:sz="4" w:space="0"/>
              <w:left w:val="single" w:color="000000" w:sz="4" w:space="0"/>
              <w:bottom w:val="single" w:color="000000" w:sz="4" w:space="0"/>
              <w:right w:val="single" w:color="000000" w:sz="4" w:space="0"/>
            </w:tcBorders>
            <w:tcW w:w="520" w:type="dxa"/>
            <w:vAlign w:val="center"/>
            <w:vMerge w:val="restart"/>
            <w:textDirection w:val="tbRlV"/>
            <w:noWrap w:val="false"/>
          </w:tcPr>
          <w:p>
            <w:pPr>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 管 站 内 部 管 理</w:t>
            </w:r>
            <w:r>
              <w:rPr>
                <w:highlight w:val="none"/>
              </w:rPr>
            </w:r>
          </w:p>
        </w:tc>
        <w:tc>
          <w:tcPr>
            <w:tcBorders>
              <w:top w:val="none" w:color="000000" w:sz="4" w:space="0"/>
              <w:left w:val="none" w:color="000000" w:sz="4" w:space="0"/>
              <w:bottom w:val="single" w:color="000000" w:sz="4" w:space="0"/>
              <w:right w:val="single" w:color="000000" w:sz="4" w:space="0"/>
            </w:tcBorders>
            <w:tcW w:w="4984"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1、管理处人员配备齐全，高中以上学历；管理人员挂牌上岗，持证上岗，服装统一，整齐。</w:t>
            </w:r>
            <w:r>
              <w:rPr>
                <w:highlight w:val="none"/>
              </w:rP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highlight w:val="none"/>
              </w:rPr>
            </w:r>
          </w:p>
        </w:tc>
        <w:tc>
          <w:tcPr>
            <w:tcBorders>
              <w:top w:val="none" w:color="000000" w:sz="4" w:space="0"/>
              <w:left w:val="none" w:color="000000" w:sz="4" w:space="0"/>
              <w:bottom w:val="single" w:color="000000" w:sz="4" w:space="0"/>
              <w:right w:val="single" w:color="000000" w:sz="4" w:space="0"/>
            </w:tcBorders>
            <w:tcW w:w="268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服装不统一、佩戴不统一一人一次扣0.5分；没挂牌持证上岗一人一次扣0.5分。</w:t>
            </w:r>
            <w:r>
              <w:rPr>
                <w:highlight w:val="none"/>
              </w:rPr>
            </w:r>
          </w:p>
        </w:tc>
        <w:tc>
          <w:tcPr>
            <w:tcBorders>
              <w:top w:val="none" w:color="000000" w:sz="4" w:space="0"/>
              <w:left w:val="none" w:color="000000" w:sz="4" w:space="0"/>
              <w:bottom w:val="single" w:color="000000" w:sz="4" w:space="0"/>
              <w:right w:val="single" w:color="000000" w:sz="4" w:space="0"/>
            </w:tcBorders>
            <w:tcW w:w="85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1005"/>
        </w:trPr>
        <w:tc>
          <w:tcPr>
            <w:tcBorders>
              <w:top w:val="non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84"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2、管理处内部各项规章制度，岗位责任制度齐全并挂在醒目的地方。管理站建立，健全各种管理档案，如“员工档案”“考核制度”等。</w:t>
            </w:r>
            <w:r>
              <w:rPr>
                <w:highlight w:val="none"/>
              </w:rP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highlight w:val="none"/>
              </w:rPr>
            </w:r>
          </w:p>
        </w:tc>
        <w:tc>
          <w:tcPr>
            <w:tcBorders>
              <w:top w:val="none" w:color="000000" w:sz="4" w:space="0"/>
              <w:left w:val="none" w:color="000000" w:sz="4" w:space="0"/>
              <w:bottom w:val="single" w:color="000000" w:sz="4" w:space="0"/>
              <w:right w:val="single" w:color="000000" w:sz="4" w:space="0"/>
            </w:tcBorders>
            <w:tcW w:w="268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不符合要求一次扣1分。</w:t>
            </w:r>
            <w:r>
              <w:rPr>
                <w:highlight w:val="none"/>
              </w:rPr>
            </w:r>
          </w:p>
        </w:tc>
        <w:tc>
          <w:tcPr>
            <w:tcBorders>
              <w:top w:val="none" w:color="000000" w:sz="4" w:space="0"/>
              <w:left w:val="none" w:color="000000" w:sz="4" w:space="0"/>
              <w:bottom w:val="single" w:color="000000" w:sz="4" w:space="0"/>
              <w:right w:val="single" w:color="000000" w:sz="4" w:space="0"/>
            </w:tcBorders>
            <w:tcW w:w="85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975"/>
        </w:trPr>
        <w:tc>
          <w:tcPr>
            <w:tcBorders>
              <w:top w:val="non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84"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3、管理处有员工年度培训计划，每学期至少进行一次员工培训，每周有员工工作例会。</w:t>
            </w:r>
            <w:r>
              <w:rPr>
                <w:highlight w:val="none"/>
              </w:rP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highlight w:val="none"/>
              </w:rPr>
            </w:r>
          </w:p>
        </w:tc>
        <w:tc>
          <w:tcPr>
            <w:tcBorders>
              <w:top w:val="none" w:color="000000" w:sz="4" w:space="0"/>
              <w:left w:val="none" w:color="000000" w:sz="4" w:space="0"/>
              <w:bottom w:val="single" w:color="000000" w:sz="4" w:space="0"/>
              <w:right w:val="single" w:color="000000" w:sz="4" w:space="0"/>
            </w:tcBorders>
            <w:tcW w:w="268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未进行培训、例会等一次扣1分。</w:t>
            </w:r>
            <w:r>
              <w:rPr>
                <w:highlight w:val="none"/>
              </w:rPr>
            </w:r>
          </w:p>
        </w:tc>
        <w:tc>
          <w:tcPr>
            <w:tcBorders>
              <w:top w:val="none" w:color="000000" w:sz="4" w:space="0"/>
              <w:left w:val="none" w:color="000000" w:sz="4" w:space="0"/>
              <w:bottom w:val="single" w:color="000000" w:sz="4" w:space="0"/>
              <w:right w:val="single" w:color="000000" w:sz="4" w:space="0"/>
            </w:tcBorders>
            <w:tcW w:w="85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795"/>
        </w:trPr>
        <w:tc>
          <w:tcPr>
            <w:tcBorders>
              <w:top w:val="non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84"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4、管理员对待师生态度要谦和，服务热情，师生对管理站的满意率达到85%以上。</w:t>
            </w:r>
            <w:r>
              <w:rPr>
                <w:highlight w:val="none"/>
              </w:rP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highlight w:val="none"/>
              </w:rPr>
            </w:r>
          </w:p>
        </w:tc>
        <w:tc>
          <w:tcPr>
            <w:tcBorders>
              <w:top w:val="none" w:color="000000" w:sz="4" w:space="0"/>
              <w:left w:val="none" w:color="000000" w:sz="4" w:space="0"/>
              <w:bottom w:val="single" w:color="000000" w:sz="4" w:space="0"/>
              <w:right w:val="single" w:color="000000" w:sz="4" w:space="0"/>
            </w:tcBorders>
            <w:tcW w:w="268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态度不谦和，服务不热情一次扣2分；师生满意率未达到85%一次扣2分。</w:t>
            </w:r>
            <w:r>
              <w:rPr>
                <w:highlight w:val="none"/>
              </w:rPr>
            </w:r>
          </w:p>
        </w:tc>
        <w:tc>
          <w:tcPr>
            <w:tcBorders>
              <w:top w:val="none" w:color="000000" w:sz="4" w:space="0"/>
              <w:left w:val="none" w:color="000000" w:sz="4" w:space="0"/>
              <w:bottom w:val="single" w:color="000000" w:sz="4" w:space="0"/>
              <w:right w:val="single" w:color="000000" w:sz="4" w:space="0"/>
            </w:tcBorders>
            <w:tcW w:w="85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710"/>
        </w:trPr>
        <w:tc>
          <w:tcPr>
            <w:tcBorders>
              <w:top w:val="non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984"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5、设立服务台，为师生提供便民服务项目，服务登记完整。</w:t>
            </w:r>
            <w:r>
              <w:rPr>
                <w:highlight w:val="none"/>
              </w:rP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highlight w:val="none"/>
              </w:rPr>
            </w:r>
          </w:p>
        </w:tc>
        <w:tc>
          <w:tcPr>
            <w:tcBorders>
              <w:top w:val="none" w:color="000000" w:sz="4" w:space="0"/>
              <w:left w:val="none" w:color="000000" w:sz="4" w:space="0"/>
              <w:bottom w:val="single" w:color="000000" w:sz="4" w:space="0"/>
              <w:right w:val="single" w:color="000000" w:sz="4" w:space="0"/>
            </w:tcBorders>
            <w:tcW w:w="268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未达到要求一次1分。</w:t>
            </w:r>
            <w:r>
              <w:rPr>
                <w:highlight w:val="none"/>
              </w:rPr>
            </w:r>
          </w:p>
        </w:tc>
        <w:tc>
          <w:tcPr>
            <w:tcBorders>
              <w:top w:val="none" w:color="000000" w:sz="4" w:space="0"/>
              <w:left w:val="none" w:color="000000" w:sz="4" w:space="0"/>
              <w:bottom w:val="single" w:color="000000" w:sz="4" w:space="0"/>
              <w:right w:val="single" w:color="000000" w:sz="4" w:space="0"/>
            </w:tcBorders>
            <w:tcW w:w="85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bl>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p>
      <w:pP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被考核单位（签字）：                               得分合计：</w:t>
      </w:r>
      <w:r>
        <w:rPr>
          <w:highlight w:val="none"/>
        </w:rPr>
      </w:r>
    </w:p>
    <w:p>
      <w:pPr>
        <w:rPr>
          <w:rFonts w:ascii="宋体" w:hAnsi="宋体"/>
          <w:b/>
          <w:color w:val="000000"/>
          <w:sz w:val="24"/>
          <w:highlight w:val="none"/>
        </w:rPr>
      </w:pPr>
      <w:r>
        <w:rPr>
          <w:rFonts w:hint="eastAsia" w:ascii="宋体" w:hAnsi="宋体" w:cs="宋体"/>
          <w:color w:val="000000"/>
          <w:sz w:val="24"/>
          <w:szCs w:val="24"/>
          <w:highlight w:val="none"/>
          <w:lang w:val="en-US" w:eastAsia="zh-CN"/>
        </w:rPr>
        <w:t xml:space="preserve">附件</w:t>
      </w:r>
      <w:r>
        <w:rPr>
          <w:rFonts w:hint="eastAsia" w:ascii="宋体" w:hAnsi="宋体"/>
          <w:b/>
          <w:color w:val="000000"/>
          <w:sz w:val="24"/>
          <w:highlight w:val="none"/>
        </w:rPr>
        <w:t xml:space="preserve">4：</w:t>
      </w:r>
      <w:r>
        <w:rPr>
          <w:highlight w:val="none"/>
        </w:rPr>
      </w:r>
    </w:p>
    <w:p>
      <w:pPr>
        <w:jc w:val="center"/>
        <w:rPr>
          <w:color w:val="000000"/>
          <w:sz w:val="28"/>
          <w:szCs w:val="28"/>
          <w:highlight w:val="none"/>
        </w:rPr>
      </w:pPr>
      <w:r>
        <w:rPr>
          <w:rFonts w:hint="eastAsia" w:ascii="宋体" w:hAnsi="宋体" w:cs="宋体"/>
          <w:b/>
          <w:bCs/>
          <w:color w:val="000000"/>
          <w:sz w:val="28"/>
          <w:szCs w:val="28"/>
          <w:highlight w:val="none"/>
        </w:rPr>
        <w:t xml:space="preserve">南京交通职业技术学院校园保洁服务质量考核表</w:t>
      </w:r>
      <w:r>
        <w:rPr>
          <w:highlight w:val="none"/>
        </w:rPr>
      </w:r>
    </w:p>
    <w:p>
      <w:pPr>
        <w:keepLines w:val="0"/>
        <w:keepNext w:val="0"/>
        <w:pageBreakBefore w:val="0"/>
        <w:spacing w:before="290"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考核人：                             考核时间：       年     月      日</w:t>
      </w:r>
      <w:r>
        <w:rPr>
          <w:highlight w:val="none"/>
        </w:rPr>
      </w:r>
    </w:p>
    <w:tbl>
      <w:tblPr>
        <w:tblStyle w:val="711"/>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476"/>
        <w:gridCol w:w="5400"/>
        <w:gridCol w:w="540"/>
        <w:gridCol w:w="2340"/>
        <w:gridCol w:w="540"/>
      </w:tblGrid>
      <w:tr>
        <w:trPr>
          <w:trHeight w:val="126"/>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 </w:t>
            </w:r>
            <w:r>
              <w:rPr>
                <w:highlight w:val="none"/>
              </w:rPr>
            </w:r>
          </w:p>
        </w:tc>
        <w:tc>
          <w:tcPr>
            <w:tcBorders>
              <w:top w:val="single" w:color="000000" w:sz="4" w:space="0"/>
              <w:left w:val="none" w:color="000000" w:sz="4" w:space="0"/>
              <w:bottom w:val="single" w:color="000000" w:sz="4" w:space="0"/>
              <w:right w:val="single" w:color="000000" w:sz="4" w:space="0"/>
            </w:tcBorders>
            <w:tcW w:w="540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考核内容</w:t>
            </w:r>
            <w:r>
              <w:rPr>
                <w:highlight w:val="none"/>
              </w:rPr>
            </w:r>
          </w:p>
        </w:tc>
        <w:tc>
          <w:tcPr>
            <w:tcBorders>
              <w:top w:val="single" w:color="000000" w:sz="4" w:space="0"/>
              <w:left w:val="none" w:color="000000" w:sz="4" w:space="0"/>
              <w:bottom w:val="single" w:color="000000" w:sz="4" w:space="0"/>
              <w:right w:val="single" w:color="000000" w:sz="4" w:space="0"/>
            </w:tcBorders>
            <w:tcW w:w="54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rPr>
                <w:highlight w:val="none"/>
              </w:rPr>
            </w:r>
          </w:p>
        </w:tc>
        <w:tc>
          <w:tcPr>
            <w:tcBorders>
              <w:top w:val="single" w:color="000000" w:sz="4" w:space="0"/>
              <w:left w:val="none" w:color="000000" w:sz="4" w:space="0"/>
              <w:bottom w:val="single" w:color="000000" w:sz="4" w:space="0"/>
              <w:right w:val="single" w:color="000000" w:sz="4" w:space="0"/>
            </w:tcBorders>
            <w:tcW w:w="234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评分标准</w:t>
            </w:r>
            <w:r>
              <w:rPr>
                <w:highlight w:val="none"/>
              </w:rPr>
            </w:r>
          </w:p>
        </w:tc>
        <w:tc>
          <w:tcPr>
            <w:tcBorders>
              <w:top w:val="single" w:color="000000" w:sz="4" w:space="0"/>
              <w:left w:val="none" w:color="000000" w:sz="4" w:space="0"/>
              <w:bottom w:val="single" w:color="000000" w:sz="4" w:space="0"/>
              <w:right w:val="single" w:color="000000" w:sz="4" w:space="0"/>
            </w:tcBorders>
            <w:tcW w:w="54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得分</w:t>
            </w:r>
            <w:r>
              <w:rPr>
                <w:highlight w:val="none"/>
              </w:rPr>
            </w:r>
          </w:p>
        </w:tc>
      </w:tr>
      <w:tr>
        <w:trPr>
          <w:trHeight w:val="571"/>
        </w:trPr>
        <w:tc>
          <w:tcPr>
            <w:tcBorders>
              <w:top w:val="none" w:color="000000" w:sz="4" w:space="0"/>
              <w:left w:val="single" w:color="000000" w:sz="4" w:space="0"/>
              <w:bottom w:val="single" w:color="000000" w:sz="4" w:space="0"/>
              <w:right w:val="single" w:color="000000" w:sz="4" w:space="0"/>
            </w:tcBorders>
            <w:tcW w:w="476" w:type="dxa"/>
            <w:vAlign w:val="center"/>
            <w:vMerge w:val="restart"/>
            <w:textDirection w:val="tbRlV"/>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常 规 范</w:t>
            </w:r>
            <w:r>
              <w:rPr>
                <w:highlight w:val="none"/>
              </w:rPr>
            </w:r>
          </w:p>
        </w:tc>
        <w:tc>
          <w:tcPr>
            <w:tcBorders>
              <w:top w:val="none" w:color="000000" w:sz="4" w:space="0"/>
              <w:left w:val="none" w:color="000000" w:sz="4" w:space="0"/>
              <w:bottom w:val="single" w:color="000000" w:sz="4" w:space="0"/>
              <w:right w:val="single" w:color="000000" w:sz="4" w:space="0"/>
            </w:tcBorders>
            <w:tcW w:w="540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1、工作人员服装统一、整齐，佩戴统一标识，仪表端庄、大方，衣着整洁，挂牌持证上岗。</w:t>
            </w:r>
            <w:r>
              <w:rPr>
                <w:highlight w:val="none"/>
              </w:rP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highlight w:val="none"/>
              </w:rP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服装不统一、佩戴不统一一人一次扣1分；没挂牌持证上岗一人一次扣1分。</w:t>
            </w:r>
            <w:r>
              <w:rPr>
                <w:highlight w:val="none"/>
              </w:rP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rHeight w:val="1034"/>
        </w:trPr>
        <w:tc>
          <w:tcPr>
            <w:tcBorders>
              <w:top w:val="non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40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2、员工工作纪律严明，不缺勤、不脱岗，不发生不文明行为。</w:t>
            </w:r>
            <w:r>
              <w:rPr>
                <w:highlight w:val="none"/>
              </w:rP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highlight w:val="none"/>
              </w:rP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缺勤、脱岗、师生有效投诉等一人一次扣1分。</w:t>
            </w:r>
            <w:r>
              <w:rPr>
                <w:highlight w:val="none"/>
              </w:rP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rHeight w:val="615"/>
        </w:trPr>
        <w:tc>
          <w:tcPr>
            <w:tcBorders>
              <w:top w:val="non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40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3、保洁人员相对稳定，有人员更换情况及时上报后勤管理与服务中心备案。</w:t>
            </w:r>
            <w:r>
              <w:rPr>
                <w:highlight w:val="none"/>
              </w:rP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highlight w:val="none"/>
              </w:rP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人员更换没报后勤备案一次扣1分 。</w:t>
            </w:r>
            <w:r>
              <w:rPr>
                <w:highlight w:val="none"/>
              </w:rP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rHeight w:val="393"/>
        </w:trPr>
        <w:tc>
          <w:tcPr>
            <w:tcBorders>
              <w:top w:val="non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40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4、工作人员的岗位职责明确，管理工作台帐完备，有详细的记录；积极主动做好学院重大活动及其它工作。</w:t>
            </w:r>
            <w:r>
              <w:rPr>
                <w:highlight w:val="none"/>
              </w:rP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highlight w:val="none"/>
              </w:rP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人员岗位不明确、台帐不完备、学院重大活动不配合一次一项扣1分。</w:t>
            </w:r>
            <w:r>
              <w:rPr>
                <w:highlight w:val="none"/>
              </w:rP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rHeight w:val="660"/>
        </w:trPr>
        <w:tc>
          <w:tcPr>
            <w:tcBorders>
              <w:top w:val="none" w:color="000000" w:sz="4" w:space="0"/>
              <w:left w:val="single" w:color="000000" w:sz="4" w:space="0"/>
              <w:bottom w:val="single" w:color="000000" w:sz="4" w:space="0"/>
              <w:right w:val="single" w:color="000000" w:sz="4" w:space="0"/>
            </w:tcBorders>
            <w:tcW w:w="476" w:type="dxa"/>
            <w:vAlign w:val="center"/>
            <w:vMerge w:val="restart"/>
            <w:textDirection w:val="tbRlV"/>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 洁 服 务</w:t>
            </w:r>
            <w:r>
              <w:rPr>
                <w:highlight w:val="none"/>
              </w:rPr>
            </w:r>
          </w:p>
        </w:tc>
        <w:tc>
          <w:tcPr>
            <w:tcBorders>
              <w:top w:val="none" w:color="000000" w:sz="4" w:space="0"/>
              <w:left w:val="none" w:color="000000" w:sz="4" w:space="0"/>
              <w:bottom w:val="single" w:color="000000" w:sz="4" w:space="0"/>
              <w:right w:val="single" w:color="000000" w:sz="4" w:space="0"/>
            </w:tcBorders>
            <w:tcW w:w="540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1、校园环境（楼宇外区域）应保持整洁，及时清扫，做到无杂物、废纸、烟头、果皮、痰迹、积水等。</w:t>
            </w:r>
            <w:r>
              <w:rPr>
                <w:highlight w:val="none"/>
              </w:rP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highlight w:val="none"/>
              </w:rP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每400平方米内有垃圾数量大于3件扣1分。</w:t>
            </w:r>
            <w:r>
              <w:rPr>
                <w:highlight w:val="none"/>
              </w:rP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rHeight w:val="612"/>
        </w:trPr>
        <w:tc>
          <w:tcPr>
            <w:tcBorders>
              <w:top w:val="non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40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2、排水设施应通畅，无污水外溢，排水口处无淤泥和杂物，各井口盖完好。</w:t>
            </w:r>
            <w:r>
              <w:rPr>
                <w:highlight w:val="none"/>
              </w:rP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highlight w:val="none"/>
              </w:rP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未达到一处一次扣1分。</w:t>
            </w:r>
            <w:r>
              <w:rPr>
                <w:highlight w:val="none"/>
              </w:rP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rHeight w:val="932"/>
        </w:trPr>
        <w:tc>
          <w:tcPr>
            <w:tcBorders>
              <w:top w:val="non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40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3、院内垃圾应日产日清,保持无蛆、无蝇，无暴露垃圾,无卫生死角，垃圾箱及果壳箱应完好四壁清洁,周围地面无污渍和杂物。</w:t>
            </w:r>
            <w:r>
              <w:rPr>
                <w:highlight w:val="none"/>
              </w:rP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highlight w:val="none"/>
              </w:rP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一项不符合要求一次扣1分。</w:t>
            </w:r>
            <w:r>
              <w:rPr>
                <w:highlight w:val="none"/>
              </w:rP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rHeight w:val="283"/>
        </w:trPr>
        <w:tc>
          <w:tcPr>
            <w:tcBorders>
              <w:top w:val="non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40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4、校园主要干道的地面卫生应在每日早晨7：30以前清扫完毕。公共场所应定期清扫，保持清洁。</w:t>
            </w:r>
            <w:r>
              <w:rPr>
                <w:highlight w:val="none"/>
              </w:rP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highlight w:val="none"/>
              </w:rP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打扫不及时一次扣1分，每400平方米内有垃圾数量大于3件扣1分。</w:t>
            </w:r>
            <w:r>
              <w:rPr>
                <w:highlight w:val="none"/>
              </w:rP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rHeight w:val="730"/>
        </w:trPr>
        <w:tc>
          <w:tcPr>
            <w:tcBorders>
              <w:top w:val="non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40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5、做好周边环境（楼宇与周围道路与路牙之间）沟、池的维护保洁工作和物业范围内各种车辆停放管理工作。</w:t>
            </w:r>
            <w:r>
              <w:rPr>
                <w:highlight w:val="none"/>
              </w:rP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highlight w:val="none"/>
              </w:rP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不符合要求一处一次扣1分。</w:t>
            </w:r>
            <w:r>
              <w:rPr>
                <w:highlight w:val="none"/>
              </w:rP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rHeight w:val="1079"/>
        </w:trPr>
        <w:tc>
          <w:tcPr>
            <w:tcBorders>
              <w:top w:val="non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40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6、监督施工单位不得在道路、地面直接搅拌水泥沙浆，建筑材料按指定地点摆放整齐。建筑垃圾按指定地点堆放并及时清运，对建筑垃圾影响道路通畅和环境卫生的现象要及时处理。</w:t>
            </w:r>
            <w:r>
              <w:rPr>
                <w:highlight w:val="none"/>
              </w:rP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highlight w:val="none"/>
              </w:rP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监督不到位、处理不及时一次扣1分 。</w:t>
            </w:r>
            <w:r>
              <w:rPr>
                <w:highlight w:val="none"/>
              </w:rP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rHeight w:val="924"/>
        </w:trPr>
        <w:tc>
          <w:tcPr>
            <w:tcBorders>
              <w:top w:val="non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40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7、冬季及时清理校园内主要干道的垃圾与积雪，保证道路通畅和安全（如洒盐水除雪）不得将积雪清扫堆放到绿篱和绿地内。</w:t>
            </w:r>
            <w:r>
              <w:rPr>
                <w:highlight w:val="none"/>
              </w:rP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highlight w:val="none"/>
              </w:rP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未达到一次扣1分 。</w:t>
            </w:r>
            <w:r>
              <w:rPr>
                <w:highlight w:val="none"/>
              </w:rP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highlight w:val="none"/>
              </w:rPr>
            </w:r>
          </w:p>
        </w:tc>
      </w:tr>
    </w:tbl>
    <w:p>
      <w:pPr>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p>
      <w:pPr>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被考核单位（签字）：                                     得分合计：</w:t>
      </w:r>
      <w:r>
        <w:rPr>
          <w:highlight w:val="none"/>
        </w:rPr>
      </w:r>
    </w:p>
    <w:p>
      <w:pPr>
        <w:keepLines w:val="0"/>
        <w:keepNext w:val="0"/>
        <w:pageBreakBefore w:val="0"/>
        <w:spacing w:line="300" w:lineRule="exact"/>
        <w:rPr>
          <w:rFonts w:ascii="微软雅黑" w:hAnsi="微软雅黑" w:eastAsia="微软雅黑"/>
          <w:b/>
          <w:color w:val="000000"/>
          <w:sz w:val="24"/>
          <w:highlight w:val="none"/>
        </w:rPr>
      </w:pPr>
      <w:r>
        <w:rPr>
          <w:rFonts w:hint="eastAsia" w:ascii="宋体" w:hAnsi="宋体" w:eastAsia="宋体" w:cs="宋体"/>
          <w:color w:val="000000"/>
          <w:sz w:val="24"/>
          <w:szCs w:val="24"/>
          <w:highlight w:val="none"/>
        </w:rPr>
        <w:br w:type="page" w:clear="all"/>
      </w:r>
      <w:r>
        <w:rPr>
          <w:rFonts w:hint="eastAsia" w:ascii="宋体" w:hAnsi="宋体" w:cs="宋体"/>
          <w:b/>
          <w:color w:val="000000"/>
          <w:sz w:val="24"/>
          <w:highlight w:val="none"/>
          <w:lang w:val="en-US" w:eastAsia="zh-CN"/>
        </w:rPr>
        <w:t xml:space="preserve">附件</w:t>
      </w:r>
      <w:r>
        <w:rPr>
          <w:rFonts w:hint="eastAsia" w:ascii="宋体" w:hAnsi="宋体" w:cs="宋体"/>
          <w:b/>
          <w:color w:val="000000"/>
          <w:sz w:val="24"/>
          <w:highlight w:val="none"/>
        </w:rPr>
        <w:t xml:space="preserve">5：</w:t>
      </w:r>
      <w:r>
        <w:rPr>
          <w:highlight w:val="none"/>
        </w:rPr>
      </w:r>
    </w:p>
    <w:p>
      <w:pPr>
        <w:jc w:val="center"/>
        <w:rPr>
          <w:rFonts w:ascii="宋体" w:hAnsi="宋体"/>
          <w:b/>
          <w:color w:val="000000"/>
          <w:sz w:val="28"/>
          <w:szCs w:val="28"/>
          <w:highlight w:val="none"/>
        </w:rPr>
      </w:pPr>
      <w:r>
        <w:rPr>
          <w:rFonts w:hint="eastAsia" w:ascii="宋体" w:hAnsi="宋体"/>
          <w:b/>
          <w:color w:val="000000"/>
          <w:sz w:val="28"/>
          <w:szCs w:val="28"/>
          <w:highlight w:val="none"/>
        </w:rPr>
        <w:t xml:space="preserve">南京交通职业技术学院绿化养护服务质量考核表</w:t>
      </w:r>
      <w:r>
        <w:rPr>
          <w:highlight w:val="none"/>
        </w:rPr>
      </w:r>
    </w:p>
    <w:p>
      <w:pPr>
        <w:keepLines w:val="0"/>
        <w:keepNext w:val="0"/>
        <w:pageBreakBefore w:val="0"/>
        <w:spacing w:before="290"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考核人：                                          考核时间：       年     月      日</w:t>
      </w:r>
      <w:r>
        <w:rPr>
          <w:highlight w:val="none"/>
        </w:rPr>
      </w:r>
    </w:p>
    <w:tbl>
      <w:tblPr>
        <w:tblStyle w:val="711"/>
        <w:tblW w:w="9476" w:type="dxa"/>
        <w:jc w:val="center"/>
        <w:tblLayout w:type="fixed"/>
        <w:tblCellMar>
          <w:left w:w="108" w:type="dxa"/>
          <w:top w:w="0" w:type="dxa"/>
          <w:right w:w="108" w:type="dxa"/>
          <w:bottom w:w="0" w:type="dxa"/>
        </w:tblCellMar>
        <w:tblLook w:val="04A0" w:firstRow="1" w:lastRow="0" w:firstColumn="1" w:lastColumn="0" w:noHBand="0" w:noVBand="1"/>
      </w:tblPr>
      <w:tblGrid>
        <w:gridCol w:w="579"/>
        <w:gridCol w:w="5637"/>
        <w:gridCol w:w="461"/>
        <w:gridCol w:w="2239"/>
        <w:gridCol w:w="560"/>
      </w:tblGrid>
      <w:tr>
        <w:trPr>
          <w:jc w:val="center"/>
          <w:trHeight w:val="128"/>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rPr>
                <w:highlight w:val="none"/>
              </w:rPr>
            </w:r>
          </w:p>
        </w:tc>
        <w:tc>
          <w:tcPr>
            <w:tcBorders>
              <w:top w:val="single" w:color="000000" w:sz="4" w:space="0"/>
              <w:left w:val="none" w:color="000000" w:sz="4" w:space="0"/>
              <w:bottom w:val="single" w:color="000000" w:sz="4" w:space="0"/>
              <w:right w:val="single" w:color="000000" w:sz="4" w:space="0"/>
            </w:tcBorders>
            <w:tcW w:w="5637"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考核内容</w:t>
            </w:r>
            <w:r>
              <w:rPr>
                <w:highlight w:val="none"/>
              </w:rPr>
            </w:r>
          </w:p>
        </w:tc>
        <w:tc>
          <w:tcPr>
            <w:tcBorders>
              <w:top w:val="single" w:color="000000" w:sz="4" w:space="0"/>
              <w:left w:val="none" w:color="000000" w:sz="4" w:space="0"/>
              <w:bottom w:val="single" w:color="000000" w:sz="4" w:space="0"/>
              <w:right w:val="single" w:color="000000" w:sz="4" w:space="0"/>
            </w:tcBorders>
            <w:tcW w:w="461"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rPr>
                <w:highlight w:val="none"/>
              </w:rPr>
            </w:r>
          </w:p>
        </w:tc>
        <w:tc>
          <w:tcPr>
            <w:tcBorders>
              <w:top w:val="single" w:color="000000" w:sz="4" w:space="0"/>
              <w:left w:val="none" w:color="000000" w:sz="4" w:space="0"/>
              <w:bottom w:val="single" w:color="000000" w:sz="4" w:space="0"/>
              <w:right w:val="single" w:color="000000" w:sz="4" w:space="0"/>
            </w:tcBorders>
            <w:tcW w:w="2239"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评分标准</w:t>
            </w:r>
            <w:r>
              <w:rPr>
                <w:highlight w:val="none"/>
              </w:rPr>
            </w:r>
          </w:p>
        </w:tc>
        <w:tc>
          <w:tcPr>
            <w:tcBorders>
              <w:top w:val="single" w:color="000000" w:sz="4" w:space="0"/>
              <w:left w:val="none" w:color="000000" w:sz="4" w:space="0"/>
              <w:bottom w:val="single" w:color="000000" w:sz="4" w:space="0"/>
              <w:right w:val="single" w:color="000000" w:sz="4" w:space="0"/>
            </w:tcBorders>
            <w:tcW w:w="56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得分</w:t>
            </w:r>
            <w:r>
              <w:rPr>
                <w:highlight w:val="none"/>
              </w:rPr>
            </w:r>
          </w:p>
        </w:tc>
      </w:tr>
      <w:tr>
        <w:trPr>
          <w:jc w:val="center"/>
          <w:trHeight w:val="247"/>
        </w:trPr>
        <w:tc>
          <w:tcPr>
            <w:tcBorders>
              <w:top w:val="none" w:color="000000" w:sz="4" w:space="0"/>
              <w:left w:val="single" w:color="000000" w:sz="4" w:space="0"/>
              <w:bottom w:val="none" w:color="000000" w:sz="4" w:space="0"/>
              <w:right w:val="single" w:color="000000" w:sz="4" w:space="0"/>
            </w:tcBorders>
            <w:tcW w:w="579" w:type="dxa"/>
            <w:vAlign w:val="center"/>
            <w:vMerge w:val="restart"/>
            <w:textDirection w:val="tbRlV"/>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 化 养 护</w:t>
            </w:r>
            <w:r>
              <w:rPr>
                <w:highlight w:val="none"/>
              </w:rPr>
            </w:r>
          </w:p>
        </w:tc>
        <w:tc>
          <w:tcPr>
            <w:tcBorders>
              <w:top w:val="none" w:color="000000" w:sz="4" w:space="0"/>
              <w:left w:val="none" w:color="000000" w:sz="4" w:space="0"/>
              <w:bottom w:val="single" w:color="000000" w:sz="4" w:space="0"/>
              <w:right w:val="single" w:color="000000" w:sz="4" w:space="0"/>
            </w:tcBorders>
            <w:tcW w:w="5637"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1、树木及草坪保存率不低于95%。</w:t>
            </w:r>
            <w:r>
              <w:rPr>
                <w:highlight w:val="none"/>
              </w:rP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highlight w:val="none"/>
              </w:rPr>
            </w:r>
          </w:p>
        </w:tc>
        <w:tc>
          <w:tcPr>
            <w:tcBorders>
              <w:top w:val="none" w:color="000000" w:sz="4" w:space="0"/>
              <w:left w:val="none" w:color="000000" w:sz="4" w:space="0"/>
              <w:bottom w:val="single" w:color="000000" w:sz="4" w:space="0"/>
              <w:right w:val="single" w:color="000000" w:sz="4" w:space="0"/>
            </w:tcBorders>
            <w:tcW w:w="223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每低于1个百分点扣2分</w:t>
            </w:r>
            <w:r>
              <w:rPr>
                <w:highlight w:val="none"/>
              </w:rP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399"/>
        </w:trPr>
        <w:tc>
          <w:tcPr>
            <w:tcBorders>
              <w:top w:val="none" w:color="000000" w:sz="4" w:space="0"/>
              <w:left w:val="single" w:color="000000" w:sz="4" w:space="0"/>
              <w:bottom w:val="none" w:color="000000" w:sz="4" w:space="0"/>
              <w:right w:val="single" w:color="000000" w:sz="4" w:space="0"/>
            </w:tcBorders>
            <w:tcW w:w="579"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637"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2、草坪保证适时修剪，修剪后留6-7公分左右的长度，超过15公分必须修剪，草坪修剪后要保证整齐美观。</w:t>
            </w:r>
            <w:r>
              <w:rPr>
                <w:highlight w:val="none"/>
              </w:rP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highlight w:val="none"/>
              </w:rPr>
            </w:r>
          </w:p>
        </w:tc>
        <w:tc>
          <w:tcPr>
            <w:tcBorders>
              <w:top w:val="none" w:color="000000" w:sz="4" w:space="0"/>
              <w:left w:val="none" w:color="000000" w:sz="4" w:space="0"/>
              <w:bottom w:val="single" w:color="000000" w:sz="4" w:space="0"/>
              <w:right w:val="single" w:color="000000" w:sz="4" w:space="0"/>
            </w:tcBorders>
            <w:tcW w:w="223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未达到一次扣1分。</w:t>
            </w:r>
            <w:r>
              <w:rPr>
                <w:highlight w:val="none"/>
              </w:rP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217"/>
        </w:trPr>
        <w:tc>
          <w:tcPr>
            <w:tcBorders>
              <w:top w:val="none" w:color="000000" w:sz="4" w:space="0"/>
              <w:left w:val="single" w:color="000000" w:sz="4" w:space="0"/>
              <w:bottom w:val="none" w:color="000000" w:sz="4" w:space="0"/>
              <w:right w:val="single" w:color="000000" w:sz="4" w:space="0"/>
            </w:tcBorders>
            <w:tcW w:w="579"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637"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3、草坪内常年清除杂草，树下无大面积杂草，每年适时除杂草，保证杂草高度不超过10厘米，每平方米杂草单株数不超过10%。</w:t>
            </w:r>
            <w:r>
              <w:rPr>
                <w:highlight w:val="none"/>
              </w:rP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highlight w:val="none"/>
              </w:rPr>
            </w:r>
          </w:p>
        </w:tc>
        <w:tc>
          <w:tcPr>
            <w:tcBorders>
              <w:top w:val="none" w:color="000000" w:sz="4" w:space="0"/>
              <w:left w:val="none" w:color="000000" w:sz="4" w:space="0"/>
              <w:bottom w:val="single" w:color="000000" w:sz="4" w:space="0"/>
              <w:right w:val="single" w:color="000000" w:sz="4" w:space="0"/>
            </w:tcBorders>
            <w:tcW w:w="223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不符合一次扣1分。</w:t>
            </w:r>
            <w:r>
              <w:rPr>
                <w:highlight w:val="none"/>
              </w:rP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685"/>
        </w:trPr>
        <w:tc>
          <w:tcPr>
            <w:tcBorders>
              <w:top w:val="none" w:color="000000" w:sz="4" w:space="0"/>
              <w:left w:val="single" w:color="000000" w:sz="4" w:space="0"/>
              <w:bottom w:val="none" w:color="000000" w:sz="4" w:space="0"/>
              <w:right w:val="single" w:color="000000" w:sz="4" w:space="0"/>
            </w:tcBorders>
            <w:tcW w:w="579"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637"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4、灌木、篱、球每年适时整形修剪，保证基本平齐度，新芽枝不超过基准平齐线6厘米，长势旺盛季节增加修剪次数。常年保持完整，曲线清晰流畅，无缺株、无空洞。</w:t>
            </w:r>
            <w:r>
              <w:rPr>
                <w:highlight w:val="none"/>
              </w:rP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highlight w:val="none"/>
              </w:rPr>
            </w:r>
          </w:p>
        </w:tc>
        <w:tc>
          <w:tcPr>
            <w:tcBorders>
              <w:top w:val="none" w:color="000000" w:sz="4" w:space="0"/>
              <w:left w:val="none" w:color="000000" w:sz="4" w:space="0"/>
              <w:bottom w:val="single" w:color="000000" w:sz="4" w:space="0"/>
              <w:right w:val="single" w:color="000000" w:sz="4" w:space="0"/>
            </w:tcBorders>
            <w:tcW w:w="223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不符合一次扣1分。</w:t>
            </w:r>
            <w:r>
              <w:rPr>
                <w:highlight w:val="none"/>
              </w:rP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365"/>
        </w:trPr>
        <w:tc>
          <w:tcPr>
            <w:tcBorders>
              <w:top w:val="none" w:color="000000" w:sz="4" w:space="0"/>
              <w:left w:val="single" w:color="000000" w:sz="4" w:space="0"/>
              <w:bottom w:val="none" w:color="000000" w:sz="4" w:space="0"/>
              <w:right w:val="single" w:color="000000" w:sz="4" w:space="0"/>
            </w:tcBorders>
            <w:tcW w:w="579"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637"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5、修剪后树枝及时清走，无枯枝、枯草，行道树的主干萌蘖长于10厘米，必须及时清除。</w:t>
            </w:r>
            <w:r>
              <w:rPr>
                <w:highlight w:val="none"/>
              </w:rP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highlight w:val="none"/>
              </w:rPr>
            </w:r>
          </w:p>
        </w:tc>
        <w:tc>
          <w:tcPr>
            <w:tcBorders>
              <w:top w:val="none" w:color="000000" w:sz="4" w:space="0"/>
              <w:left w:val="none" w:color="000000" w:sz="4" w:space="0"/>
              <w:bottom w:val="single" w:color="000000" w:sz="4" w:space="0"/>
              <w:right w:val="single" w:color="000000" w:sz="4" w:space="0"/>
            </w:tcBorders>
            <w:tcW w:w="223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未达到一次扣1分。</w:t>
            </w:r>
            <w:r>
              <w:rPr>
                <w:highlight w:val="none"/>
              </w:rP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70"/>
        </w:trPr>
        <w:tc>
          <w:tcPr>
            <w:tcBorders>
              <w:top w:val="none" w:color="000000" w:sz="4" w:space="0"/>
              <w:left w:val="single" w:color="000000" w:sz="4" w:space="0"/>
              <w:bottom w:val="none" w:color="000000" w:sz="4" w:space="0"/>
              <w:right w:val="single" w:color="000000" w:sz="4" w:space="0"/>
            </w:tcBorders>
            <w:tcW w:w="579"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637"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6、养护中发生死树必须清除后及时补种，并保证成活率。</w:t>
            </w:r>
            <w:r>
              <w:rPr>
                <w:highlight w:val="none"/>
              </w:rP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highlight w:val="none"/>
              </w:rPr>
            </w:r>
          </w:p>
        </w:tc>
        <w:tc>
          <w:tcPr>
            <w:tcBorders>
              <w:top w:val="none" w:color="000000" w:sz="4" w:space="0"/>
              <w:left w:val="none" w:color="000000" w:sz="4" w:space="0"/>
              <w:bottom w:val="single" w:color="000000" w:sz="4" w:space="0"/>
              <w:right w:val="single" w:color="000000" w:sz="4" w:space="0"/>
            </w:tcBorders>
            <w:tcW w:w="223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未达到一处一次扣1分。</w:t>
            </w:r>
            <w:r>
              <w:rPr>
                <w:highlight w:val="none"/>
              </w:rP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307"/>
        </w:trPr>
        <w:tc>
          <w:tcPr>
            <w:tcBorders>
              <w:top w:val="none" w:color="000000" w:sz="4" w:space="0"/>
              <w:left w:val="single" w:color="000000" w:sz="4" w:space="0"/>
              <w:bottom w:val="none" w:color="000000" w:sz="4" w:space="0"/>
              <w:right w:val="single" w:color="000000" w:sz="4" w:space="0"/>
            </w:tcBorders>
            <w:tcW w:w="579"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637"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7、绿篱树木发现虫害应当及时除虫，保证单株树木病树受虫咬食枝叶面积不超过30%，整体树木、绿篱受害少于1%。</w:t>
            </w:r>
            <w:r>
              <w:rPr>
                <w:highlight w:val="none"/>
              </w:rP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highlight w:val="none"/>
              </w:rPr>
            </w:r>
          </w:p>
        </w:tc>
        <w:tc>
          <w:tcPr>
            <w:tcBorders>
              <w:top w:val="none" w:color="000000" w:sz="4" w:space="0"/>
              <w:left w:val="none" w:color="000000" w:sz="4" w:space="0"/>
              <w:bottom w:val="single" w:color="000000" w:sz="4" w:space="0"/>
              <w:right w:val="single" w:color="000000" w:sz="4" w:space="0"/>
            </w:tcBorders>
            <w:tcW w:w="223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未达到一次扣2分。</w:t>
            </w:r>
            <w:r>
              <w:rPr>
                <w:highlight w:val="none"/>
              </w:rP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265"/>
        </w:trPr>
        <w:tc>
          <w:tcPr>
            <w:tcBorders>
              <w:top w:val="none" w:color="000000" w:sz="4" w:space="0"/>
              <w:left w:val="single" w:color="000000" w:sz="4" w:space="0"/>
              <w:bottom w:val="none" w:color="000000" w:sz="4" w:space="0"/>
              <w:right w:val="single" w:color="000000" w:sz="4" w:space="0"/>
            </w:tcBorders>
            <w:tcW w:w="579"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637"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8、原有枯树根桩及时清除。</w:t>
            </w:r>
            <w:r>
              <w:rPr>
                <w:highlight w:val="none"/>
              </w:rP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highlight w:val="none"/>
              </w:rPr>
            </w:r>
          </w:p>
        </w:tc>
        <w:tc>
          <w:tcPr>
            <w:tcBorders>
              <w:top w:val="none" w:color="000000" w:sz="4" w:space="0"/>
              <w:left w:val="none" w:color="000000" w:sz="4" w:space="0"/>
              <w:bottom w:val="single" w:color="000000" w:sz="4" w:space="0"/>
              <w:right w:val="single" w:color="000000" w:sz="4" w:space="0"/>
            </w:tcBorders>
            <w:tcW w:w="223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一处没清除扣0.5分</w:t>
            </w:r>
            <w:r>
              <w:rPr>
                <w:highlight w:val="none"/>
              </w:rP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676"/>
        </w:trPr>
        <w:tc>
          <w:tcPr>
            <w:tcBorders>
              <w:top w:val="none" w:color="000000" w:sz="4" w:space="0"/>
              <w:left w:val="single" w:color="000000" w:sz="4" w:space="0"/>
              <w:bottom w:val="none" w:color="000000" w:sz="4" w:space="0"/>
              <w:right w:val="single" w:color="000000" w:sz="4" w:space="0"/>
            </w:tcBorders>
            <w:tcW w:w="579"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637"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9、干旱、高温季节保持有效供水；雨季保证树木草坪无淹死，大面积草坪有排水沟。不得出现因缺水或水分过多而导致花木的枯萎、腐烂或其他生长不良现象。</w:t>
            </w:r>
            <w:r>
              <w:rPr>
                <w:highlight w:val="none"/>
              </w:rP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highlight w:val="none"/>
              </w:rPr>
            </w:r>
          </w:p>
        </w:tc>
        <w:tc>
          <w:tcPr>
            <w:tcBorders>
              <w:top w:val="none" w:color="000000" w:sz="4" w:space="0"/>
              <w:left w:val="none" w:color="000000" w:sz="4" w:space="0"/>
              <w:bottom w:val="single" w:color="000000" w:sz="4" w:space="0"/>
              <w:right w:val="single" w:color="000000" w:sz="4" w:space="0"/>
            </w:tcBorders>
            <w:tcW w:w="223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未达到一处一次扣1分。</w:t>
            </w:r>
            <w:r>
              <w:rPr>
                <w:highlight w:val="none"/>
              </w:rP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191"/>
        </w:trPr>
        <w:tc>
          <w:tcPr>
            <w:tcBorders>
              <w:top w:val="none" w:color="000000" w:sz="4" w:space="0"/>
              <w:left w:val="single" w:color="000000" w:sz="4" w:space="0"/>
              <w:bottom w:val="none" w:color="000000" w:sz="4" w:space="0"/>
              <w:right w:val="single" w:color="000000" w:sz="4" w:space="0"/>
            </w:tcBorders>
            <w:tcW w:w="579"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637"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10、灌木、篱、球等植物定期冲洗蒙尘，保持植物叶面清洁卫生，色泽光洁。</w:t>
            </w:r>
            <w:r>
              <w:rPr>
                <w:highlight w:val="none"/>
              </w:rP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highlight w:val="none"/>
              </w:rPr>
            </w:r>
          </w:p>
        </w:tc>
        <w:tc>
          <w:tcPr>
            <w:tcBorders>
              <w:top w:val="none" w:color="000000" w:sz="4" w:space="0"/>
              <w:left w:val="none" w:color="000000" w:sz="4" w:space="0"/>
              <w:bottom w:val="single" w:color="000000" w:sz="4" w:space="0"/>
              <w:right w:val="single" w:color="000000" w:sz="4" w:space="0"/>
            </w:tcBorders>
            <w:tcW w:w="223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未达到一次扣0.5分。</w:t>
            </w:r>
            <w:r>
              <w:rPr>
                <w:highlight w:val="none"/>
              </w:rP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70"/>
        </w:trPr>
        <w:tc>
          <w:tcPr>
            <w:tcBorders>
              <w:top w:val="none" w:color="000000" w:sz="4" w:space="0"/>
              <w:left w:val="single" w:color="000000" w:sz="4" w:space="0"/>
              <w:bottom w:val="none" w:color="000000" w:sz="4" w:space="0"/>
              <w:right w:val="single" w:color="000000" w:sz="4" w:space="0"/>
            </w:tcBorders>
            <w:tcW w:w="579"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637"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11、冬季对当年的种植的树木做好有效的防冻保暖。</w:t>
            </w:r>
            <w:r>
              <w:rPr>
                <w:highlight w:val="none"/>
              </w:rP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highlight w:val="none"/>
              </w:rPr>
            </w:r>
          </w:p>
        </w:tc>
        <w:tc>
          <w:tcPr>
            <w:tcBorders>
              <w:top w:val="none" w:color="000000" w:sz="4" w:space="0"/>
              <w:left w:val="none" w:color="000000" w:sz="4" w:space="0"/>
              <w:bottom w:val="single" w:color="000000" w:sz="4" w:space="0"/>
              <w:right w:val="single" w:color="000000" w:sz="4" w:space="0"/>
            </w:tcBorders>
            <w:tcW w:w="223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未达到一处一次扣0.5分</w:t>
            </w:r>
            <w:r>
              <w:rPr>
                <w:highlight w:val="none"/>
              </w:rP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341"/>
        </w:trPr>
        <w:tc>
          <w:tcPr>
            <w:tcBorders>
              <w:top w:val="none" w:color="000000" w:sz="4" w:space="0"/>
              <w:left w:val="single" w:color="000000" w:sz="4" w:space="0"/>
              <w:bottom w:val="none" w:color="000000" w:sz="4" w:space="0"/>
              <w:right w:val="single" w:color="000000" w:sz="4" w:space="0"/>
            </w:tcBorders>
            <w:tcW w:w="579"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637"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12、发生病虫害时及时灭治，控制大面积病虫害发生。冬季对树木（除绿篱、松树等）做好防虫越冬工作，涂生石灰特别是行道树、梅花、桃树等。</w:t>
            </w:r>
            <w:r>
              <w:rPr>
                <w:highlight w:val="none"/>
              </w:rP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highlight w:val="none"/>
              </w:rPr>
            </w:r>
          </w:p>
        </w:tc>
        <w:tc>
          <w:tcPr>
            <w:tcBorders>
              <w:top w:val="none" w:color="000000" w:sz="4" w:space="0"/>
              <w:left w:val="none" w:color="000000" w:sz="4" w:space="0"/>
              <w:bottom w:val="single" w:color="000000" w:sz="4" w:space="0"/>
              <w:right w:val="single" w:color="000000" w:sz="4" w:space="0"/>
            </w:tcBorders>
            <w:tcW w:w="223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未达到一处一次扣0.5分。</w:t>
            </w:r>
            <w:r>
              <w:rPr>
                <w:highlight w:val="none"/>
              </w:rP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425"/>
        </w:trPr>
        <w:tc>
          <w:tcPr>
            <w:tcBorders>
              <w:top w:val="none" w:color="000000" w:sz="4" w:space="0"/>
              <w:left w:val="single" w:color="000000" w:sz="4" w:space="0"/>
              <w:bottom w:val="none" w:color="000000" w:sz="4" w:space="0"/>
              <w:right w:val="single" w:color="000000" w:sz="4" w:space="0"/>
            </w:tcBorders>
            <w:tcW w:w="579"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637"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13、有有效地防台风、抗风暴预防措施，所用材料应坚固、耐用、美观，风害过后应及时采取措施补救。</w:t>
            </w:r>
            <w:r>
              <w:rPr>
                <w:highlight w:val="none"/>
              </w:rP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highlight w:val="none"/>
              </w:rPr>
            </w:r>
          </w:p>
        </w:tc>
        <w:tc>
          <w:tcPr>
            <w:tcBorders>
              <w:top w:val="none" w:color="000000" w:sz="4" w:space="0"/>
              <w:left w:val="none" w:color="000000" w:sz="4" w:space="0"/>
              <w:bottom w:val="single" w:color="000000" w:sz="4" w:space="0"/>
              <w:right w:val="single" w:color="000000" w:sz="4" w:space="0"/>
            </w:tcBorders>
            <w:tcW w:w="223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未达到一处一次扣1分。</w:t>
            </w:r>
            <w:r>
              <w:rPr>
                <w:highlight w:val="none"/>
              </w:rP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70"/>
        </w:trPr>
        <w:tc>
          <w:tcPr>
            <w:tcBorders>
              <w:top w:val="none" w:color="000000" w:sz="4" w:space="0"/>
              <w:left w:val="single" w:color="000000" w:sz="4" w:space="0"/>
              <w:bottom w:val="none" w:color="000000" w:sz="4" w:space="0"/>
              <w:right w:val="single" w:color="000000" w:sz="4" w:space="0"/>
            </w:tcBorders>
            <w:tcW w:w="579"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637"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14、绿地无改变使用用途的破坏、践踏、占用现象，草坪无纸屑、烟头、塑料袋、石头等杂物，对践踏草坪绿篱等及时修复；绿地及草坪不得停放和摆放各种广告牌和自行车等。</w:t>
            </w:r>
            <w:r>
              <w:rPr>
                <w:highlight w:val="none"/>
              </w:rP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highlight w:val="none"/>
              </w:rPr>
            </w:r>
          </w:p>
        </w:tc>
        <w:tc>
          <w:tcPr>
            <w:tcBorders>
              <w:top w:val="none" w:color="000000" w:sz="4" w:space="0"/>
              <w:left w:val="none" w:color="000000" w:sz="4" w:space="0"/>
              <w:bottom w:val="single" w:color="000000" w:sz="4" w:space="0"/>
              <w:right w:val="single" w:color="000000" w:sz="4" w:space="0"/>
            </w:tcBorders>
            <w:tcW w:w="223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有破坏、践踏、占用现象一处一次扣1分，绿地内每300平方米内有垃圾、杂物数量3件一次扣0.5分。</w:t>
            </w:r>
            <w:r>
              <w:rPr>
                <w:highlight w:val="none"/>
              </w:rP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jc w:val="center"/>
          <w:trHeight w:val="614"/>
        </w:trPr>
        <w:tc>
          <w:tcPr>
            <w:tcBorders>
              <w:top w:val="none" w:color="000000" w:sz="4" w:space="0"/>
              <w:left w:val="single" w:color="000000" w:sz="4" w:space="0"/>
              <w:bottom w:val="none" w:color="000000" w:sz="4" w:space="0"/>
              <w:right w:val="single" w:color="000000" w:sz="4" w:space="0"/>
            </w:tcBorders>
            <w:tcW w:w="579"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637"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15、对各楼宇内部绿化的管理，草坪、花木及时浇灌和修剪，无枯枝落叶、无杂草杂物；花盆清洁、美观大方。</w:t>
            </w:r>
            <w:r>
              <w:rPr>
                <w:highlight w:val="none"/>
              </w:rP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highlight w:val="none"/>
              </w:rPr>
            </w:r>
          </w:p>
        </w:tc>
        <w:tc>
          <w:tcPr>
            <w:tcBorders>
              <w:top w:val="none" w:color="000000" w:sz="4" w:space="0"/>
              <w:left w:val="none" w:color="000000" w:sz="4" w:space="0"/>
              <w:bottom w:val="single" w:color="000000" w:sz="4" w:space="0"/>
              <w:right w:val="single" w:color="000000" w:sz="4" w:space="0"/>
            </w:tcBorders>
            <w:tcW w:w="223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未达到一处一次扣1分.</w:t>
            </w:r>
            <w:r>
              <w:rPr>
                <w:highlight w:val="none"/>
              </w:rP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jc w:val="center"/>
          <w:trHeight w:val="205"/>
        </w:trPr>
        <w:tc>
          <w:tcPr>
            <w:tcBorders>
              <w:top w:val="none" w:color="000000" w:sz="4" w:space="0"/>
              <w:left w:val="single" w:color="000000" w:sz="4" w:space="0"/>
              <w:bottom w:val="none" w:color="000000" w:sz="4" w:space="0"/>
              <w:right w:val="single" w:color="000000" w:sz="4" w:space="0"/>
            </w:tcBorders>
            <w:tcW w:w="579"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637"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16、保持、维护区域内供水、喇叭、景观灯等完好</w:t>
            </w:r>
            <w:r>
              <w:rPr>
                <w:highlight w:val="none"/>
              </w:rP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highlight w:val="none"/>
              </w:rPr>
            </w:r>
          </w:p>
        </w:tc>
        <w:tc>
          <w:tcPr>
            <w:tcBorders>
              <w:top w:val="none" w:color="000000" w:sz="4" w:space="0"/>
              <w:left w:val="none" w:color="000000" w:sz="4" w:space="0"/>
              <w:bottom w:val="single" w:color="000000" w:sz="4" w:space="0"/>
              <w:right w:val="single" w:color="000000" w:sz="4" w:space="0"/>
            </w:tcBorders>
            <w:tcW w:w="223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未达到一处一次扣0.5分.</w:t>
            </w:r>
            <w:r>
              <w:rPr>
                <w:highlight w:val="none"/>
              </w:rP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jc w:val="center"/>
          <w:trHeight w:val="205"/>
        </w:trPr>
        <w:tc>
          <w:tcPr>
            <w:tcBorders>
              <w:top w:val="non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637"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17、建立绿化养护档案、按月做好养护计划并按计划执行，协助管理部门做好绿化宣传教育等相关工作。</w:t>
            </w:r>
            <w:r>
              <w:rPr>
                <w:highlight w:val="none"/>
              </w:rP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highlight w:val="none"/>
              </w:rPr>
            </w:r>
          </w:p>
        </w:tc>
        <w:tc>
          <w:tcPr>
            <w:tcBorders>
              <w:top w:val="none" w:color="000000" w:sz="4" w:space="0"/>
              <w:left w:val="none" w:color="000000" w:sz="4" w:space="0"/>
              <w:bottom w:val="single" w:color="000000" w:sz="4" w:space="0"/>
              <w:right w:val="single" w:color="000000" w:sz="4" w:space="0"/>
            </w:tcBorders>
            <w:tcW w:w="2239"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未达到一次扣0.5分。</w:t>
            </w:r>
            <w:r>
              <w:rPr>
                <w:highlight w:val="none"/>
              </w:rP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bl>
    <w:p>
      <w:pPr>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p>
      <w:pPr>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被考核单位（签字）：                                              得分合计：</w:t>
      </w:r>
      <w:r>
        <w:rPr>
          <w:highlight w:val="none"/>
        </w:rPr>
      </w:r>
    </w:p>
    <w:p>
      <w:pPr>
        <w:ind w:firstLine="3840"/>
        <w:rPr>
          <w:rFonts w:hint="eastAsia" w:ascii="仿宋_GB2312" w:hAnsi="仿宋_GB2312" w:eastAsia="仿宋_GB2312" w:cs="仿宋_GB2312"/>
          <w:bCs/>
          <w:color w:val="000000"/>
          <w:sz w:val="32"/>
          <w:szCs w:val="32"/>
          <w:highlight w:val="none"/>
        </w:rPr>
      </w:pPr>
      <w:r>
        <w:rPr>
          <w:rFonts w:hint="eastAsia" w:ascii="仿宋_GB2312" w:hAnsi="仿宋_GB2312" w:eastAsia="仿宋_GB2312" w:cs="仿宋_GB2312"/>
          <w:bCs/>
          <w:color w:val="000000"/>
          <w:sz w:val="32"/>
          <w:szCs w:val="32"/>
          <w:highlight w:val="none"/>
        </w:rPr>
      </w:r>
      <w:r>
        <w:rPr>
          <w:highlight w:val="none"/>
        </w:rPr>
      </w:r>
    </w:p>
    <w:p>
      <w:pPr>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p>
      <w:p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黑体_GBK" w:hAnsi="方正黑体_GBK" w:eastAsia="方正黑体_GBK" w:cs="方正黑体_GBK"/>
          <w:bCs/>
          <w:color w:val="000000"/>
          <w:sz w:val="28"/>
          <w:szCs w:val="28"/>
          <w:highlight w:val="none"/>
        </w:rPr>
        <w:br w:type="page" w:clear="all"/>
      </w:r>
      <w:r>
        <w:rPr>
          <w:highlight w:val="none"/>
        </w:rPr>
      </w:r>
    </w:p>
    <w:p>
      <w:pPr>
        <w:pStyle w:val="883"/>
        <w:spacing w:line="400" w:lineRule="exact"/>
        <w:rPr>
          <w:rFonts w:hint="eastAsia" w:ascii="黑体" w:hAnsi="黑体" w:eastAsia="黑体"/>
          <w:color w:val="000000"/>
          <w:sz w:val="28"/>
          <w:szCs w:val="28"/>
          <w:highlight w:val="none"/>
        </w:rPr>
      </w:pPr>
      <w:r>
        <w:rPr>
          <w:highlight w:val="none"/>
        </w:rPr>
      </w:r>
      <w:bookmarkStart w:id="91" w:name="_Toc120614281"/>
      <w:r>
        <w:rPr>
          <w:rFonts w:hint="eastAsia" w:ascii="黑体" w:hAnsi="黑体" w:eastAsia="黑体"/>
          <w:color w:val="000000"/>
          <w:sz w:val="28"/>
          <w:szCs w:val="28"/>
          <w:highlight w:val="none"/>
        </w:rPr>
        <w:t xml:space="preserve">第五章  评标方法与评标标准</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采用综合评分法的，评标结果按评审后得分由高到低顺序排列。得分相同的，按投标报价由低到高顺序排列。得分且投标报价相同的并列。</w:t>
      </w:r>
      <w:r>
        <w:rPr>
          <w:highlight w:val="none"/>
        </w:rPr>
      </w:r>
    </w:p>
    <w:tbl>
      <w:tblPr>
        <w:tblStyle w:val="711"/>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采购包号</w:t>
            </w:r>
            <w:r>
              <w:rPr>
                <w:highlight w:val="none"/>
              </w:rPr>
            </w:r>
          </w:p>
        </w:tc>
        <w:tc>
          <w:tcPr>
            <w:tcW w:w="2183"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选取中标候选人数量</w:t>
            </w:r>
            <w:r>
              <w:rPr>
                <w:highlight w:val="none"/>
              </w:rPr>
            </w:r>
          </w:p>
        </w:tc>
        <w:tc>
          <w:tcPr>
            <w:tcW w:w="5134"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选取中标候选人的原则</w:t>
            </w:r>
            <w:r>
              <w:rPr>
                <w:highlight w:val="none"/>
              </w:rPr>
            </w:r>
          </w:p>
        </w:tc>
      </w:tr>
      <w:tr>
        <w:trPr/>
        <w:tc>
          <w:tcPr>
            <w:tcW w:w="1608"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highlight w:val="none"/>
              </w:rPr>
            </w:r>
          </w:p>
        </w:tc>
        <w:tc>
          <w:tcPr>
            <w:tcW w:w="2183"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highlight w:val="none"/>
              </w:rPr>
            </w:r>
          </w:p>
        </w:tc>
        <w:tc>
          <w:tcPr>
            <w:tcW w:w="5134" w:type="dxa"/>
            <w:vAlign w:val="top"/>
            <w:vMerge w:val="restart"/>
            <w:textDirection w:val="lrTb"/>
            <w:noWrap w:val="false"/>
          </w:tcPr>
          <w:p>
            <w:pPr>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满足招标文件全部实质性要求，且按照评审因素的量化指标评审得分最高的投标人为中标候选人。</w:t>
            </w:r>
            <w:r>
              <w:rPr>
                <w:highlight w:val="none"/>
              </w:rPr>
            </w:r>
          </w:p>
          <w:p>
            <w:pPr>
              <w:jc w:val="left"/>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本项目四个分包兼投不兼中</w:t>
            </w:r>
            <w:r>
              <w:rPr>
                <w:highlight w:val="none"/>
              </w:rPr>
            </w:r>
          </w:p>
          <w:p>
            <w:pPr>
              <w:spacing w:line="400" w:lineRule="exact"/>
              <w:tabs>
                <w:tab w:val="left" w:pos="2020" w:leader="none"/>
              </w:tabs>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本项目按照分包1至分包</w:t>
            </w:r>
            <w:r>
              <w:rPr>
                <w:rFonts w:hint="eastAsia" w:ascii="方正仿宋_GBK" w:hAnsi="方正仿宋_GBK" w:eastAsia="方正仿宋_GBK" w:cs="方正仿宋_GBK"/>
                <w:color w:val="000000"/>
                <w:sz w:val="28"/>
                <w:szCs w:val="28"/>
                <w:highlight w:val="none"/>
                <w:lang w:val="en-US" w:eastAsia="zh-CN"/>
              </w:rPr>
              <w:t xml:space="preserve">4</w:t>
            </w:r>
            <w:r>
              <w:rPr>
                <w:rFonts w:hint="eastAsia" w:ascii="方正仿宋_GBK" w:hAnsi="方正仿宋_GBK" w:eastAsia="方正仿宋_GBK" w:cs="方正仿宋_GBK"/>
                <w:color w:val="000000"/>
                <w:sz w:val="28"/>
                <w:szCs w:val="28"/>
                <w:highlight w:val="none"/>
              </w:rPr>
              <w:t xml:space="preserve">的顺序依次评审，已被推荐为分包1中标候选人的投标人不再参与分包2、3</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4</w:t>
            </w:r>
            <w:r>
              <w:rPr>
                <w:rFonts w:hint="eastAsia" w:ascii="方正仿宋_GBK" w:hAnsi="方正仿宋_GBK" w:eastAsia="方正仿宋_GBK" w:cs="方正仿宋_GBK"/>
                <w:color w:val="000000"/>
                <w:sz w:val="28"/>
                <w:szCs w:val="28"/>
                <w:highlight w:val="none"/>
              </w:rPr>
              <w:t xml:space="preserve">的评审</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依次类推。</w:t>
            </w:r>
            <w:r>
              <w:rPr>
                <w:highlight w:val="none"/>
              </w:rPr>
            </w:r>
          </w:p>
        </w:tc>
      </w:tr>
      <w:tr>
        <w:trPr/>
        <w:tc>
          <w:tcPr>
            <w:tcW w:w="1608"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highlight w:val="none"/>
              </w:rPr>
            </w:r>
          </w:p>
        </w:tc>
        <w:tc>
          <w:tcPr>
            <w:tcW w:w="2183" w:type="dxa"/>
            <w:vAlign w:val="top"/>
            <w:textDirection w:val="lrTb"/>
            <w:noWrap w:val="false"/>
          </w:tcPr>
          <w:p>
            <w:pPr>
              <w:jc w:val="center"/>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eastAsia="方正仿宋_GBK"/>
                <w:color w:val="000000"/>
                <w:sz w:val="28"/>
                <w:szCs w:val="28"/>
                <w:highlight w:val="none"/>
              </w:rPr>
              <w:t xml:space="preserve">1</w:t>
            </w:r>
            <w:r>
              <w:rPr>
                <w:highlight w:val="none"/>
              </w:rPr>
            </w:r>
          </w:p>
        </w:tc>
        <w:tc>
          <w:tcPr>
            <w:tcW w:w="5134" w:type="dxa"/>
            <w:vAlign w:val="top"/>
            <w:vMerge w:val="continue"/>
            <w:textDirection w:val="lrTb"/>
            <w:noWrap w:val="false"/>
          </w:tcPr>
          <w:p>
            <w:pPr>
              <w:jc w:val="center"/>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tc>
          <w:tcPr>
            <w:tcW w:w="1608"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highlight w:val="none"/>
              </w:rPr>
            </w:r>
          </w:p>
        </w:tc>
        <w:tc>
          <w:tcPr>
            <w:tcW w:w="2183" w:type="dxa"/>
            <w:vAlign w:val="top"/>
            <w:textDirection w:val="lrTb"/>
            <w:noWrap w:val="false"/>
          </w:tcPr>
          <w:p>
            <w:pPr>
              <w:jc w:val="center"/>
              <w:spacing w:line="400" w:lineRule="exact"/>
              <w:tabs>
                <w:tab w:val="left" w:pos="2020" w:leader="none"/>
              </w:tabs>
              <w:rPr>
                <w:rFonts w:eastAsia="方正仿宋_GBK"/>
                <w:color w:val="000000"/>
                <w:sz w:val="28"/>
                <w:szCs w:val="28"/>
                <w:highlight w:val="none"/>
              </w:rPr>
            </w:pPr>
            <w:r>
              <w:rPr>
                <w:rFonts w:hint="eastAsia" w:eastAsia="方正仿宋_GBK"/>
                <w:color w:val="000000"/>
                <w:sz w:val="28"/>
                <w:szCs w:val="28"/>
                <w:highlight w:val="none"/>
              </w:rPr>
              <w:t xml:space="preserve">1</w:t>
            </w:r>
            <w:r>
              <w:rPr>
                <w:highlight w:val="none"/>
              </w:rPr>
            </w:r>
          </w:p>
        </w:tc>
        <w:tc>
          <w:tcPr>
            <w:tcW w:w="5134" w:type="dxa"/>
            <w:vAlign w:val="top"/>
            <w:vMerge w:val="continue"/>
            <w:textDirection w:val="lrTb"/>
            <w:noWrap w:val="false"/>
          </w:tcPr>
          <w:p>
            <w:pPr>
              <w:jc w:val="center"/>
              <w:spacing w:line="400" w:lineRule="exact"/>
              <w:tabs>
                <w:tab w:val="left" w:pos="2020" w:leader="none"/>
              </w:tabs>
              <w:rPr>
                <w:rFonts w:hint="eastAsia" w:eastAsia="方正仿宋_GBK"/>
                <w:color w:val="000000"/>
                <w:sz w:val="28"/>
                <w:szCs w:val="28"/>
                <w:highlight w:val="none"/>
              </w:rPr>
            </w:pPr>
            <w:r>
              <w:rPr>
                <w:rFonts w:hint="eastAsia" w:eastAsia="方正仿宋_GBK"/>
                <w:color w:val="000000"/>
                <w:sz w:val="28"/>
                <w:szCs w:val="28"/>
                <w:highlight w:val="none"/>
              </w:rPr>
            </w:r>
            <w:r/>
          </w:p>
        </w:tc>
      </w:tr>
      <w:tr>
        <w:trPr/>
        <w:tc>
          <w:tcPr>
            <w:tcW w:w="1608"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rPr>
                <w:highlight w:val="none"/>
              </w:rPr>
            </w:r>
          </w:p>
        </w:tc>
        <w:tc>
          <w:tcPr>
            <w:tcW w:w="2183" w:type="dxa"/>
            <w:vAlign w:val="top"/>
            <w:textDirection w:val="lrTb"/>
            <w:noWrap w:val="false"/>
          </w:tcPr>
          <w:p>
            <w:pPr>
              <w:jc w:val="center"/>
              <w:spacing w:line="400" w:lineRule="exact"/>
              <w:tabs>
                <w:tab w:val="left" w:pos="2020" w:leader="none"/>
              </w:tabs>
              <w:rPr>
                <w:rFonts w:eastAsia="方正仿宋_GBK"/>
                <w:color w:val="000000"/>
                <w:sz w:val="28"/>
                <w:szCs w:val="28"/>
                <w:highlight w:val="none"/>
              </w:rPr>
            </w:pPr>
            <w:r>
              <w:rPr>
                <w:rFonts w:hint="eastAsia" w:eastAsia="方正仿宋_GBK"/>
                <w:color w:val="000000"/>
                <w:sz w:val="28"/>
                <w:szCs w:val="28"/>
                <w:highlight w:val="none"/>
              </w:rPr>
              <w:t xml:space="preserve">1</w:t>
            </w:r>
            <w:r>
              <w:rPr>
                <w:highlight w:val="none"/>
              </w:rPr>
            </w:r>
          </w:p>
        </w:tc>
        <w:tc>
          <w:tcPr>
            <w:tcW w:w="5134" w:type="dxa"/>
            <w:vAlign w:val="top"/>
            <w:vMerge w:val="continue"/>
            <w:textDirection w:val="lrTb"/>
            <w:noWrap w:val="false"/>
          </w:tcPr>
          <w:p>
            <w:pPr>
              <w:jc w:val="center"/>
              <w:spacing w:line="400" w:lineRule="exact"/>
              <w:tabs>
                <w:tab w:val="left" w:pos="2020" w:leader="none"/>
              </w:tabs>
              <w:rPr>
                <w:rFonts w:hint="eastAsia" w:eastAsia="方正仿宋_GBK"/>
                <w:color w:val="000000"/>
                <w:sz w:val="28"/>
                <w:szCs w:val="28"/>
                <w:highlight w:val="none"/>
              </w:rPr>
            </w:pPr>
            <w:r>
              <w:rPr>
                <w:rFonts w:hint="eastAsia" w:eastAsia="方正仿宋_GBK"/>
                <w:color w:val="000000"/>
                <w:sz w:val="28"/>
                <w:szCs w:val="28"/>
                <w:highlight w:val="none"/>
              </w:rPr>
            </w:r>
            <w:r/>
          </w:p>
        </w:tc>
      </w:tr>
    </w:tbl>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p>
      <w:pPr>
        <w:pStyle w:val="969"/>
        <w:ind w:firstLine="562"/>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政府采购政策功能落实</w:t>
      </w:r>
      <w:r>
        <w:rPr>
          <w:highlight w:val="none"/>
        </w:rPr>
      </w:r>
    </w:p>
    <w:p>
      <w:pPr>
        <w:pStyle w:val="96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1.小微型企业价格扣除</w:t>
      </w:r>
      <w:r>
        <w:rPr>
          <w:highlight w:val="none"/>
        </w:rPr>
      </w:r>
    </w:p>
    <w:p>
      <w:pPr>
        <w:pStyle w:val="969"/>
        <w:ind w:firstLine="560"/>
        <w:spacing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（1）本项目对小型和微型企业提供的服务给予10%的扣除价格，用扣除后的价格参与评审。</w:t>
      </w:r>
      <w:r>
        <w:rPr>
          <w:highlight w:val="none"/>
        </w:rPr>
      </w:r>
    </w:p>
    <w:p>
      <w:pPr>
        <w:pStyle w:val="96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（2）供应商需按照采购文件的要求提供相应的《中小微企业声明函》。</w:t>
      </w:r>
      <w:r>
        <w:rPr>
          <w:highlight w:val="none"/>
        </w:rPr>
      </w:r>
    </w:p>
    <w:p>
      <w:pPr>
        <w:pStyle w:val="96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2.残疾人福利单位价格扣除</w:t>
      </w:r>
      <w:r>
        <w:rPr>
          <w:highlight w:val="none"/>
        </w:rPr>
      </w:r>
    </w:p>
    <w:p>
      <w:pPr>
        <w:pStyle w:val="969"/>
        <w:ind w:left="120" w:firstLine="560"/>
        <w:spacing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（1）本项目对残疾人福利性单位视同小型、微型企业，给予10%的价格扣除，用扣除后的价格参与评审。</w:t>
      </w:r>
      <w:r>
        <w:rPr>
          <w:highlight w:val="none"/>
        </w:rPr>
      </w:r>
    </w:p>
    <w:p>
      <w:pPr>
        <w:pStyle w:val="969"/>
        <w:ind w:left="120"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（2）残疾人福利单位需按照采购文件的要求提供《残疾人福利性单位声明函》。</w:t>
      </w:r>
      <w:r>
        <w:rPr>
          <w:highlight w:val="none"/>
        </w:rPr>
      </w:r>
    </w:p>
    <w:p>
      <w:pPr>
        <w:pStyle w:val="969"/>
        <w:ind w:left="120"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（3）残疾人福利单位标准请参照《关于促进残疾人就业政府采购政策的通知》（财库〔2017〕141号）。</w:t>
      </w:r>
      <w:r>
        <w:rPr>
          <w:highlight w:val="none"/>
        </w:rPr>
      </w:r>
    </w:p>
    <w:p>
      <w:pPr>
        <w:pStyle w:val="96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3.监狱和戒毒企业价格扣除</w:t>
      </w:r>
      <w:r>
        <w:rPr>
          <w:highlight w:val="none"/>
        </w:rPr>
      </w:r>
    </w:p>
    <w:p>
      <w:pPr>
        <w:pStyle w:val="96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（1）本项目对监狱和戒毒企业（简称监狱企业）视同小型、微型企业，给予10%的价格扣除，用扣除后的价格参与评审。</w:t>
      </w:r>
      <w:r>
        <w:rPr>
          <w:highlight w:val="none"/>
        </w:rPr>
      </w:r>
    </w:p>
    <w:p>
      <w:pPr>
        <w:pStyle w:val="96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none"/>
        </w:rPr>
      </w:r>
    </w:p>
    <w:p>
      <w:pPr>
        <w:pStyle w:val="96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（3）监狱企业标准请参照《关于政府采购支持监狱企业发展有关问题的通知》（财库〔2014〕68号）。</w:t>
      </w:r>
      <w:r>
        <w:rPr>
          <w:highlight w:val="none"/>
        </w:rPr>
      </w:r>
    </w:p>
    <w:p>
      <w:pPr>
        <w:pStyle w:val="96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4.残疾人福利单位、监狱企业属于小型、微型企业的，不重复享受政策。</w:t>
      </w:r>
      <w:r>
        <w:rPr>
          <w:highlight w:val="none"/>
        </w:rPr>
      </w:r>
    </w:p>
    <w:p>
      <w:pPr>
        <w:pStyle w:val="969"/>
        <w:ind w:firstLine="560"/>
        <w:spacing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highlight w:val="none"/>
        </w:rPr>
      </w:r>
    </w:p>
    <w:p>
      <w:pPr>
        <w:pStyle w:val="969"/>
        <w:ind w:firstLine="560"/>
        <w:spacing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6.联合体各方均为小型、微型企业（残疾人福利单位、监狱企业）的，联合体享受10%价格扣除，用扣除后的价格参与评审。</w:t>
      </w:r>
      <w:r>
        <w:rPr>
          <w:highlight w:val="none"/>
        </w:rP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7.采购本国产品的支持政策</w:t>
      </w:r>
      <w:r>
        <w:rPr>
          <w:highlight w:val="none"/>
        </w:rP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color w:val="000000"/>
          <w:sz w:val="28"/>
          <w:szCs w:val="28"/>
          <w:highlight w:val="none"/>
          <w:u w:val="single"/>
        </w:rPr>
        <w:t xml:space="preserve">80%</w:t>
      </w:r>
      <w:r>
        <w:rPr>
          <w:rFonts w:hint="eastAsia" w:ascii="方正仿宋_GBK" w:hAnsi="方正仿宋_GBK" w:eastAsia="方正仿宋_GBK" w:cs="方正仿宋_GBK"/>
          <w:color w:val="000000"/>
          <w:sz w:val="28"/>
          <w:szCs w:val="28"/>
          <w:highlight w:val="none"/>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color w:val="000000"/>
          <w:sz w:val="28"/>
          <w:szCs w:val="28"/>
          <w:highlight w:val="none"/>
          <w:u w:val="single"/>
        </w:rPr>
        <w:t xml:space="preserve">20%</w:t>
      </w:r>
      <w:r>
        <w:rPr>
          <w:rFonts w:hint="eastAsia" w:ascii="方正仿宋_GBK" w:hAnsi="方正仿宋_GBK" w:eastAsia="方正仿宋_GBK" w:cs="方正仿宋_GBK"/>
          <w:color w:val="000000"/>
          <w:sz w:val="28"/>
          <w:szCs w:val="28"/>
          <w:highlight w:val="none"/>
        </w:rPr>
        <w:t xml:space="preserve">的价格扣除，用扣除后的价格参与评审。供应商未填写比例数值，或比例数值不足</w:t>
      </w:r>
      <w:r>
        <w:rPr>
          <w:rFonts w:hint="eastAsia" w:ascii="方正仿宋_GBK" w:hAnsi="方正仿宋_GBK" w:eastAsia="方正仿宋_GBK" w:cs="方正仿宋_GBK"/>
          <w:color w:val="000000"/>
          <w:sz w:val="28"/>
          <w:szCs w:val="28"/>
          <w:highlight w:val="none"/>
          <w:u w:val="single"/>
        </w:rPr>
        <w:t xml:space="preserve">80%</w:t>
      </w:r>
      <w:r>
        <w:rPr>
          <w:rFonts w:hint="eastAsia" w:ascii="方正仿宋_GBK" w:hAnsi="方正仿宋_GBK" w:eastAsia="方正仿宋_GBK" w:cs="方正仿宋_GBK"/>
          <w:color w:val="000000"/>
          <w:sz w:val="28"/>
          <w:szCs w:val="28"/>
          <w:highlight w:val="none"/>
        </w:rPr>
        <w:t xml:space="preserve">的，将不享受本国产品价格评审优惠。</w:t>
      </w:r>
      <w:r>
        <w:rPr>
          <w:highlight w:val="none"/>
        </w:rP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7.2 供应商需按照招标文件的要求提供《关于符合本国产品标准的声明函》（以下简称《声明函》），如不提供将不享受本国产品价格评审优惠。</w:t>
      </w:r>
      <w:r>
        <w:rPr>
          <w:highlight w:val="none"/>
        </w:rP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7.3 供应商需在《声明函》中逐一、准确填写产品名称、厂名、生产厂址三项信息（《声明函》中标注</w:t>
      </w:r>
      <w:r>
        <w:rPr>
          <w:rFonts w:hint="eastAsia" w:ascii="方正仿宋_GBK" w:hAnsi="方正仿宋_GBK" w:eastAsia="方正仿宋_GBK" w:cs="方正仿宋_GBK"/>
          <w:color w:val="000000"/>
          <w:sz w:val="28"/>
          <w:szCs w:val="28"/>
          <w:highlight w:val="none"/>
          <w:u w:val="single"/>
        </w:rPr>
        <w:t xml:space="preserve">“  /  ”</w:t>
      </w:r>
      <w:r>
        <w:rPr>
          <w:rFonts w:hint="eastAsia" w:ascii="方正仿宋_GBK" w:hAnsi="方正仿宋_GBK" w:eastAsia="方正仿宋_GBK" w:cs="方正仿宋_GBK"/>
          <w:color w:val="000000"/>
          <w:sz w:val="28"/>
          <w:szCs w:val="28"/>
          <w:highlight w:val="none"/>
        </w:rPr>
        <w:t xml:space="preserve">的地方无需填写），三项信息中任意一项未填写的视为该项产品不符合本国产品标准，不享受本国产品价格评审优惠。</w:t>
      </w:r>
      <w:r>
        <w:rPr>
          <w:highlight w:val="none"/>
        </w:rP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none"/>
        </w:rPr>
      </w:r>
    </w:p>
    <w:p>
      <w:pPr>
        <w:ind w:firstLine="562"/>
        <w:jc w:val="left"/>
        <w:spacing w:before="120" w:after="120"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评标方法与评标标准</w:t>
      </w:r>
      <w:r>
        <w:rPr>
          <w:highlight w:val="none"/>
        </w:rPr>
      </w:r>
    </w:p>
    <w:p>
      <w:pPr>
        <w:ind w:firstLine="562"/>
        <w:jc w:val="left"/>
        <w:spacing w:before="120" w:after="120" w:line="400" w:lineRule="exact"/>
        <w:rPr>
          <w:rFonts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分包一</w:t>
      </w:r>
      <w:r>
        <w:rPr>
          <w:highlight w:val="none"/>
        </w:rPr>
      </w:r>
    </w:p>
    <w:tbl>
      <w:tblPr>
        <w:tblStyle w:val="711"/>
        <w:tblW w:w="9368"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8"/>
        <w:gridCol w:w="1595"/>
        <w:gridCol w:w="1010"/>
        <w:gridCol w:w="5885"/>
      </w:tblGrid>
      <w:tr>
        <w:trPr>
          <w:trHeight w:val="40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textDirection w:val="lrTb"/>
            <w:noWrap w:val="false"/>
          </w:tcPr>
          <w:p>
            <w:pPr>
              <w:jc w:val="cente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序号</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5" w:type="dxa"/>
            <w:vAlign w:val="center"/>
            <w:textDirection w:val="lrTb"/>
            <w:noWrap w:val="false"/>
          </w:tcPr>
          <w:p>
            <w:pPr>
              <w:jc w:val="cente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评审因素</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0" w:type="dxa"/>
            <w:vAlign w:val="center"/>
            <w:textDirection w:val="lrTb"/>
            <w:noWrap w:val="false"/>
          </w:tcPr>
          <w:p>
            <w:pPr>
              <w:jc w:val="cente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分数</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85" w:type="dxa"/>
            <w:vAlign w:val="center"/>
            <w:textDirection w:val="lrTb"/>
            <w:noWrap w:val="false"/>
          </w:tcPr>
          <w:p>
            <w:pPr>
              <w:jc w:val="cente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评审标准</w:t>
            </w:r>
            <w:r>
              <w:rPr>
                <w:highlight w:val="none"/>
              </w:rP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textDirection w:val="lrTb"/>
            <w:noWrap w:val="false"/>
          </w:tcPr>
          <w:p>
            <w:pPr>
              <w:jc w:val="cente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5" w:type="dxa"/>
            <w:vAlign w:val="center"/>
            <w:textDirection w:val="lrTb"/>
            <w:noWrap w:val="false"/>
          </w:tcPr>
          <w:p>
            <w:pP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价格（</w:t>
            </w:r>
            <w:r>
              <w:rPr>
                <w:rFonts w:hint="eastAsia" w:ascii="方正仿宋_GBK" w:hAnsi="方正仿宋_GBK" w:eastAsia="方正仿宋_GBK" w:cs="方正仿宋_GBK"/>
                <w:b/>
                <w:color w:val="auto"/>
                <w:sz w:val="28"/>
                <w:szCs w:val="28"/>
                <w:highlight w:val="none"/>
                <w:lang w:val="en-US" w:eastAsia="zh-CN"/>
              </w:rPr>
              <w:t xml:space="preserve">22</w:t>
            </w:r>
            <w:r>
              <w:rPr>
                <w:rFonts w:hint="eastAsia" w:ascii="方正仿宋_GBK" w:hAnsi="方正仿宋_GBK" w:eastAsia="方正仿宋_GBK" w:cs="方正仿宋_GBK"/>
                <w:b/>
                <w:color w:val="auto"/>
                <w:sz w:val="28"/>
                <w:szCs w:val="28"/>
                <w:highlight w:val="none"/>
              </w:rPr>
              <w:t xml:space="preserve">分）</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0" w:type="dxa"/>
            <w:vAlign w:val="center"/>
            <w:textDirection w:val="lrTb"/>
            <w:noWrap w:val="false"/>
          </w:tcPr>
          <w:p>
            <w:pPr>
              <w:jc w:val="center"/>
              <w:spacing w:line="360" w:lineRule="exact"/>
              <w:rPr>
                <w:rFonts w:hint="default"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lang w:val="en-US" w:eastAsia="zh-CN"/>
              </w:rPr>
              <w:t xml:space="preserve">22</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85" w:type="dxa"/>
            <w:vAlign w:val="center"/>
            <w:textDirection w:val="lrTb"/>
            <w:noWrap w:val="false"/>
          </w:tcPr>
          <w:p>
            <w:pP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价格分采用低价优先法计算，即满足招标文件要求且报价最低的供应商报价为评标基准价，其价格分为满分</w:t>
            </w:r>
            <w:r>
              <w:rPr>
                <w:rFonts w:hint="eastAsia" w:ascii="方正仿宋_GBK" w:hAnsi="方正仿宋_GBK" w:eastAsia="方正仿宋_GBK" w:cs="方正仿宋_GBK"/>
                <w:color w:val="auto"/>
                <w:sz w:val="28"/>
                <w:szCs w:val="28"/>
                <w:highlight w:val="none"/>
                <w:lang w:val="en-US" w:eastAsia="zh-CN"/>
              </w:rPr>
              <w:t xml:space="preserve">22</w:t>
            </w:r>
            <w:r>
              <w:rPr>
                <w:rFonts w:hint="eastAsia" w:ascii="方正仿宋_GBK" w:hAnsi="方正仿宋_GBK" w:eastAsia="方正仿宋_GBK" w:cs="方正仿宋_GBK"/>
                <w:color w:val="auto"/>
                <w:sz w:val="28"/>
                <w:szCs w:val="28"/>
                <w:highlight w:val="none"/>
              </w:rPr>
              <w:t xml:space="preserve">分，其他投标人的价格分统一按照以下公式计算：投标报价得分=（评标基准价/该投标人的投标报价）×</w:t>
            </w:r>
            <w:r>
              <w:rPr>
                <w:rFonts w:hint="eastAsia" w:ascii="方正仿宋_GBK" w:hAnsi="方正仿宋_GBK" w:eastAsia="方正仿宋_GBK" w:cs="方正仿宋_GBK"/>
                <w:color w:val="auto"/>
                <w:sz w:val="28"/>
                <w:szCs w:val="28"/>
                <w:highlight w:val="none"/>
                <w:lang w:val="en-US" w:eastAsia="zh-CN"/>
              </w:rPr>
              <w:t xml:space="preserve">22</w:t>
            </w:r>
            <w:r>
              <w:rPr>
                <w:rFonts w:hint="eastAsia" w:ascii="方正仿宋_GBK" w:hAnsi="方正仿宋_GBK" w:eastAsia="方正仿宋_GBK" w:cs="方正仿宋_GBK"/>
                <w:color w:val="auto"/>
                <w:sz w:val="28"/>
                <w:szCs w:val="28"/>
                <w:highlight w:val="none"/>
              </w:rPr>
              <w:t xml:space="preserve">分。四舍五入保留小数点后两位。</w:t>
            </w:r>
            <w:r>
              <w:rPr>
                <w:highlight w:val="none"/>
              </w:rPr>
            </w:r>
          </w:p>
        </w:tc>
      </w:tr>
      <w:tr>
        <w:trPr>
          <w:trHeight w:val="18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vMerge w:val="restart"/>
            <w:textDirection w:val="lrTb"/>
            <w:noWrap w:val="false"/>
          </w:tcPr>
          <w:p>
            <w:pPr>
              <w:jc w:val="cente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5" w:type="dxa"/>
            <w:vAlign w:val="center"/>
            <w:vMerge w:val="restart"/>
            <w:textDirection w:val="lrTb"/>
            <w:noWrap w:val="false"/>
          </w:tcPr>
          <w:p>
            <w:pP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技术服务方案（4</w:t>
            </w:r>
            <w:r>
              <w:rPr>
                <w:rFonts w:hint="eastAsia" w:ascii="方正仿宋_GBK" w:hAnsi="方正仿宋_GBK" w:eastAsia="方正仿宋_GBK" w:cs="方正仿宋_GBK"/>
                <w:b/>
                <w:color w:val="auto"/>
                <w:sz w:val="28"/>
                <w:szCs w:val="28"/>
                <w:highlight w:val="none"/>
                <w:lang w:val="en-US" w:eastAsia="zh-CN"/>
              </w:rPr>
              <w:t xml:space="preserve">5</w:t>
            </w:r>
            <w:r>
              <w:rPr>
                <w:rFonts w:hint="eastAsia" w:ascii="方正仿宋_GBK" w:hAnsi="方正仿宋_GBK" w:eastAsia="方正仿宋_GBK" w:cs="方正仿宋_GBK"/>
                <w:b/>
                <w:color w:val="auto"/>
                <w:sz w:val="28"/>
                <w:szCs w:val="28"/>
                <w:highlight w:val="none"/>
              </w:rPr>
              <w:t xml:space="preserve">分）</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0" w:type="dxa"/>
            <w:vAlign w:val="center"/>
            <w:textDirection w:val="lrTb"/>
            <w:noWrap w:val="false"/>
          </w:tcPr>
          <w:p>
            <w:pPr>
              <w:jc w:val="cente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85" w:type="dxa"/>
            <w:vAlign w:val="center"/>
            <w:textDirection w:val="lrTb"/>
            <w:noWrap w:val="false"/>
          </w:tcPr>
          <w:p>
            <w:pPr>
              <w:spacing w:line="360" w:lineRule="exact"/>
              <w:rPr>
                <w:rFonts w:hint="eastAsia" w:ascii="方正仿宋_GBK" w:hAnsi="方正仿宋_GBK" w:eastAsia="方正仿宋_GBK" w:cs="方正仿宋_GBK"/>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2.1项目整体设想及重难点分析（5分）</w:t>
            </w:r>
            <w:r>
              <w:rPr>
                <w:highlight w:val="none"/>
              </w:rPr>
            </w:r>
          </w:p>
          <w:p>
            <w:pPr>
              <w:jc w:val="left"/>
              <w:spacing w:line="360" w:lineRule="exact"/>
              <w:rPr>
                <w:rFonts w:hint="eastAsia"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评委根据投标文件对第四章“采购需求”中“</w:t>
            </w:r>
            <w:r>
              <w:rPr>
                <w:rFonts w:hint="eastAsia" w:ascii="方正仿宋_GBK" w:hAnsi="方正仿宋_GBK" w:eastAsia="方正仿宋_GBK" w:cs="方正仿宋_GBK"/>
                <w:color w:val="auto"/>
                <w:sz w:val="28"/>
                <w:szCs w:val="28"/>
                <w:highlight w:val="none"/>
              </w:rPr>
              <w:t xml:space="preserve">项目整体设想及重难点分析</w:t>
            </w:r>
            <w:r>
              <w:rPr>
                <w:rFonts w:ascii="方正仿宋_GBK" w:hAnsi="方正仿宋_GBK" w:eastAsia="方正仿宋_GBK" w:cs="方正仿宋_GBK"/>
                <w:color w:val="auto"/>
                <w:sz w:val="28"/>
                <w:szCs w:val="28"/>
                <w:highlight w:val="none"/>
              </w:rPr>
              <w:t xml:space="preserve">”响应情况进行评审</w:t>
            </w:r>
            <w:r>
              <w:rPr>
                <w:rFonts w:hint="eastAsia" w:ascii="方正仿宋_GBK" w:hAnsi="方正仿宋_GBK" w:eastAsia="方正仿宋_GBK" w:cs="方正仿宋_GBK"/>
                <w:color w:val="auto"/>
                <w:sz w:val="28"/>
                <w:szCs w:val="28"/>
                <w:highlight w:val="none"/>
                <w:lang w:eastAsia="zh-CN"/>
              </w:rPr>
              <w:t xml:space="preserve">：</w:t>
            </w:r>
            <w:r>
              <w:rPr>
                <w:highlight w:val="none"/>
              </w:rPr>
            </w:r>
          </w:p>
          <w:p>
            <w:pPr>
              <w:jc w:val="left"/>
              <w:spacing w:line="36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（1）经评委认定，投标文件对</w:t>
            </w:r>
            <w:r>
              <w:rPr>
                <w:rFonts w:hint="eastAsia" w:ascii="方正仿宋_GBK" w:hAnsi="方正仿宋_GBK" w:eastAsia="方正仿宋_GBK" w:cs="方正仿宋_GBK"/>
                <w:color w:val="auto"/>
                <w:sz w:val="28"/>
                <w:szCs w:val="28"/>
                <w:highlight w:val="none"/>
              </w:rPr>
              <w:t xml:space="preserve">整体分析和设想、重点和难点</w:t>
            </w:r>
            <w:r>
              <w:rPr>
                <w:rFonts w:ascii="方正仿宋_GBK" w:hAnsi="方正仿宋_GBK" w:eastAsia="方正仿宋_GBK" w:cs="方正仿宋_GBK"/>
                <w:color w:val="auto"/>
                <w:sz w:val="28"/>
                <w:szCs w:val="28"/>
                <w:highlight w:val="none"/>
              </w:rPr>
              <w:t xml:space="preserve">三项要求的响应内容全部优于招标文件要求的本项得5分。</w:t>
            </w:r>
            <w:r>
              <w:rPr>
                <w:highlight w:val="none"/>
              </w:rPr>
            </w:r>
          </w:p>
          <w:p>
            <w:pPr>
              <w:jc w:val="left"/>
              <w:spacing w:line="36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（2）投标文件符合“设计方案”中全部条款要求的，视为符合招标文件，本项得3分。</w:t>
            </w:r>
            <w:r>
              <w:rPr>
                <w:highlight w:val="none"/>
              </w:rPr>
            </w:r>
          </w:p>
          <w:p>
            <w:pPr>
              <w:jc w:val="left"/>
              <w:spacing w:line="360" w:lineRule="exact"/>
              <w:rPr>
                <w:rFonts w:hint="eastAsia"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（3）投标文件未符合“设计方案”中全部条款要求的，视为不符合招标文件，本项得0分。</w:t>
            </w:r>
            <w:r>
              <w:rPr>
                <w:highlight w:val="none"/>
              </w:rPr>
            </w:r>
          </w:p>
        </w:tc>
      </w:tr>
      <w:tr>
        <w:trPr>
          <w:trHeight w:val="425"/>
        </w:trPr>
        <w:tc>
          <w:tcPr>
            <w:tcBorders>
              <w:top w:val="single" w:color="000000" w:sz="4" w:space="0"/>
              <w:left w:val="single" w:color="000000" w:sz="4" w:space="0"/>
              <w:bottom w:val="single" w:color="000000" w:sz="4" w:space="0"/>
              <w:right w:val="single" w:color="000000" w:sz="4" w:space="0"/>
            </w:tcBorders>
            <w:tcW w:w="878" w:type="dxa"/>
            <w:vAlign w:val="center"/>
            <w:vMerge w:val="continue"/>
            <w:textDirection w:val="lrTb"/>
            <w:noWrap w:val="false"/>
          </w:tcPr>
          <w:p>
            <w:pPr>
              <w:jc w:val="center"/>
              <w:spacing w:line="3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95" w:type="dxa"/>
            <w:vAlign w:val="center"/>
            <w:vMerge w:val="continue"/>
            <w:textDirection w:val="lrTb"/>
            <w:noWrap w:val="false"/>
          </w:tcPr>
          <w:p>
            <w:pPr>
              <w:spacing w:line="3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0" w:type="dxa"/>
            <w:vAlign w:val="center"/>
            <w:textDirection w:val="lrTb"/>
            <w:noWrap w:val="false"/>
          </w:tcPr>
          <w:p>
            <w:pPr>
              <w:jc w:val="cente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85" w:type="dxa"/>
            <w:vAlign w:val="center"/>
            <w:textDirection w:val="lrTb"/>
            <w:noWrap w:val="false"/>
          </w:tcPr>
          <w:p>
            <w:pPr>
              <w:jc w:val="left"/>
              <w:spacing w:line="3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b/>
                <w:color w:val="auto"/>
                <w:sz w:val="28"/>
                <w:szCs w:val="28"/>
                <w:highlight w:val="none"/>
              </w:rPr>
              <w:t xml:space="preserve">2.2组织架构及人员管理方案（5分）</w:t>
            </w:r>
            <w:r>
              <w:rPr>
                <w:highlight w:val="none"/>
              </w:rPr>
            </w:r>
          </w:p>
          <w:p>
            <w:pPr>
              <w:jc w:val="left"/>
              <w:spacing w:line="360" w:lineRule="exact"/>
              <w:rPr>
                <w:rFonts w:hint="eastAsia"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评委根据投标文件对第四章“采购需求”中“</w:t>
            </w:r>
            <w:r>
              <w:rPr>
                <w:rFonts w:hint="eastAsia" w:ascii="方正仿宋_GBK" w:hAnsi="方正仿宋_GBK" w:eastAsia="方正仿宋_GBK" w:cs="方正仿宋_GBK"/>
                <w:color w:val="auto"/>
                <w:sz w:val="28"/>
                <w:szCs w:val="28"/>
                <w:highlight w:val="none"/>
              </w:rPr>
              <w:t xml:space="preserve">组织架构及人员管理方案</w:t>
            </w:r>
            <w:r>
              <w:rPr>
                <w:rFonts w:ascii="方正仿宋_GBK" w:hAnsi="方正仿宋_GBK" w:eastAsia="方正仿宋_GBK" w:cs="方正仿宋_GBK"/>
                <w:color w:val="auto"/>
                <w:sz w:val="28"/>
                <w:szCs w:val="28"/>
                <w:highlight w:val="none"/>
              </w:rPr>
              <w:t xml:space="preserve">”响应情况进行评审</w:t>
            </w:r>
            <w:r>
              <w:rPr>
                <w:rFonts w:hint="eastAsia" w:ascii="方正仿宋_GBK" w:hAnsi="方正仿宋_GBK" w:eastAsia="方正仿宋_GBK" w:cs="方正仿宋_GBK"/>
                <w:color w:val="auto"/>
                <w:sz w:val="28"/>
                <w:szCs w:val="28"/>
                <w:highlight w:val="none"/>
                <w:lang w:eastAsia="zh-CN"/>
              </w:rPr>
              <w:t xml:space="preserve">：</w:t>
            </w:r>
            <w:r>
              <w:rPr>
                <w:highlight w:val="none"/>
              </w:rPr>
            </w:r>
          </w:p>
          <w:p>
            <w:pPr>
              <w:jc w:val="left"/>
              <w:spacing w:line="36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（1）经评委认定，投标文件对</w:t>
            </w:r>
            <w:r>
              <w:rPr>
                <w:rFonts w:hint="eastAsia" w:ascii="方正仿宋_GBK" w:hAnsi="方正仿宋_GBK" w:eastAsia="方正仿宋_GBK" w:cs="方正仿宋_GBK"/>
                <w:color w:val="auto"/>
                <w:sz w:val="28"/>
                <w:szCs w:val="28"/>
                <w:highlight w:val="none"/>
              </w:rPr>
              <w:t xml:space="preserve">用工方案、培训计划和奖惩制度</w:t>
            </w:r>
            <w:r>
              <w:rPr>
                <w:rFonts w:ascii="方正仿宋_GBK" w:hAnsi="方正仿宋_GBK" w:eastAsia="方正仿宋_GBK" w:cs="方正仿宋_GBK"/>
                <w:color w:val="auto"/>
                <w:sz w:val="28"/>
                <w:szCs w:val="28"/>
                <w:highlight w:val="none"/>
              </w:rPr>
              <w:t xml:space="preserve">三项要求的响应内容全部优于招标文件要求的本项得5分。</w:t>
            </w:r>
            <w:r>
              <w:rPr>
                <w:highlight w:val="none"/>
              </w:rPr>
            </w:r>
          </w:p>
          <w:p>
            <w:pPr>
              <w:jc w:val="left"/>
              <w:spacing w:line="36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（2）投标文件符合“设计方案”中全部条款要求的，视为符合招标文件，本项得3分。</w:t>
            </w:r>
            <w:r>
              <w:rPr>
                <w:highlight w:val="none"/>
              </w:rPr>
            </w:r>
          </w:p>
          <w:p>
            <w:pPr>
              <w:jc w:val="left"/>
              <w:spacing w:line="360" w:lineRule="exact"/>
              <w:rPr>
                <w:rFonts w:hint="eastAsia"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（3）投标文件未符合“设计方案”中全部条款要求的，视为不符合招标文件，本项得0分。</w:t>
            </w:r>
            <w:r>
              <w:rPr>
                <w:highlight w:val="none"/>
              </w:rPr>
            </w:r>
          </w:p>
        </w:tc>
      </w:tr>
      <w:tr>
        <w:trPr>
          <w:trHeight w:val="599"/>
        </w:trPr>
        <w:tc>
          <w:tcPr>
            <w:tcBorders>
              <w:top w:val="single" w:color="000000" w:sz="4" w:space="0"/>
              <w:left w:val="single" w:color="000000" w:sz="4" w:space="0"/>
              <w:bottom w:val="single" w:color="000000" w:sz="4" w:space="0"/>
              <w:right w:val="single" w:color="000000" w:sz="4" w:space="0"/>
            </w:tcBorders>
            <w:tcW w:w="878" w:type="dxa"/>
            <w:vAlign w:val="center"/>
            <w:vMerge w:val="continue"/>
            <w:textDirection w:val="lrTb"/>
            <w:noWrap w:val="false"/>
          </w:tcPr>
          <w:p>
            <w:pPr>
              <w:jc w:val="center"/>
              <w:spacing w:line="3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95" w:type="dxa"/>
            <w:vAlign w:val="center"/>
            <w:vMerge w:val="continue"/>
            <w:textDirection w:val="lrTb"/>
            <w:noWrap w:val="false"/>
          </w:tcPr>
          <w:p>
            <w:pPr>
              <w:spacing w:line="3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0" w:type="dxa"/>
            <w:vAlign w:val="center"/>
            <w:textDirection w:val="lrTb"/>
            <w:noWrap w:val="false"/>
          </w:tcPr>
          <w:p>
            <w:pPr>
              <w:jc w:val="cente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85" w:type="dxa"/>
            <w:vAlign w:val="center"/>
            <w:textDirection w:val="lrTb"/>
            <w:noWrap w:val="false"/>
          </w:tcPr>
          <w:p>
            <w:pP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2.3物资装备方案（5分）</w:t>
            </w:r>
            <w:r>
              <w:rPr>
                <w:highlight w:val="none"/>
              </w:rPr>
            </w:r>
          </w:p>
          <w:p>
            <w:pPr>
              <w:jc w:val="left"/>
              <w:spacing w:line="360" w:lineRule="exact"/>
              <w:rPr>
                <w:rFonts w:hint="eastAsia"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评委根据投标文件对第四章“采购需求”中“</w:t>
            </w:r>
            <w:r>
              <w:rPr>
                <w:rFonts w:hint="eastAsia" w:ascii="方正仿宋_GBK" w:hAnsi="方正仿宋_GBK" w:eastAsia="方正仿宋_GBK" w:cs="方正仿宋_GBK"/>
                <w:color w:val="auto"/>
                <w:sz w:val="28"/>
                <w:szCs w:val="28"/>
                <w:highlight w:val="none"/>
              </w:rPr>
              <w:t xml:space="preserve">物资装备方案</w:t>
            </w:r>
            <w:r>
              <w:rPr>
                <w:rFonts w:ascii="方正仿宋_GBK" w:hAnsi="方正仿宋_GBK" w:eastAsia="方正仿宋_GBK" w:cs="方正仿宋_GBK"/>
                <w:color w:val="auto"/>
                <w:sz w:val="28"/>
                <w:szCs w:val="28"/>
                <w:highlight w:val="none"/>
              </w:rPr>
              <w:t xml:space="preserve">”响应情况进行评审</w:t>
            </w:r>
            <w:r>
              <w:rPr>
                <w:rFonts w:hint="eastAsia" w:ascii="方正仿宋_GBK" w:hAnsi="方正仿宋_GBK" w:eastAsia="方正仿宋_GBK" w:cs="方正仿宋_GBK"/>
                <w:color w:val="auto"/>
                <w:sz w:val="28"/>
                <w:szCs w:val="28"/>
                <w:highlight w:val="none"/>
                <w:lang w:eastAsia="zh-CN"/>
              </w:rPr>
              <w:t xml:space="preserve">：</w:t>
            </w:r>
            <w:r>
              <w:rPr>
                <w:highlight w:val="none"/>
              </w:rPr>
            </w:r>
          </w:p>
          <w:p>
            <w:pPr>
              <w:jc w:val="left"/>
              <w:spacing w:line="36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（1）经评委认定，投标文件对</w:t>
            </w:r>
            <w:r>
              <w:rPr>
                <w:rFonts w:hint="eastAsia" w:ascii="方正仿宋_GBK" w:hAnsi="方正仿宋_GBK" w:eastAsia="方正仿宋_GBK" w:cs="方正仿宋_GBK"/>
                <w:color w:val="auto"/>
                <w:sz w:val="28"/>
                <w:szCs w:val="28"/>
                <w:highlight w:val="none"/>
              </w:rPr>
              <w:t xml:space="preserve">现场勘察情况、设备和机械投入情况</w:t>
            </w:r>
            <w:r>
              <w:rPr>
                <w:rFonts w:ascii="方正仿宋_GBK" w:hAnsi="方正仿宋_GBK" w:eastAsia="方正仿宋_GBK" w:cs="方正仿宋_GBK"/>
                <w:color w:val="auto"/>
                <w:sz w:val="28"/>
                <w:szCs w:val="28"/>
                <w:highlight w:val="none"/>
              </w:rPr>
              <w:t xml:space="preserve">三项要求的响应内容全部优于招标文件要求的本项得5分。</w:t>
            </w:r>
            <w:r>
              <w:rPr>
                <w:highlight w:val="none"/>
              </w:rPr>
            </w:r>
          </w:p>
          <w:p>
            <w:pPr>
              <w:jc w:val="left"/>
              <w:spacing w:line="36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（2）投标文件符合“设计方案”中全部条款要求的，视为符合招标文件，本项得3分。</w:t>
            </w:r>
            <w:r>
              <w:rPr>
                <w:highlight w:val="none"/>
              </w:rPr>
            </w:r>
          </w:p>
          <w:p>
            <w:pPr>
              <w:jc w:val="left"/>
              <w:spacing w:line="360" w:lineRule="exact"/>
              <w:rPr>
                <w:rFonts w:hint="eastAsia"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（3）投标文件未符合“设计方案”中全部条款要求的，视为不符合招标文件，本项得0分。</w:t>
            </w:r>
            <w:r>
              <w:rPr>
                <w:highlight w:val="none"/>
              </w:rPr>
            </w:r>
          </w:p>
        </w:tc>
      </w:tr>
      <w:tr>
        <w:trPr>
          <w:trHeight w:val="1294"/>
        </w:trPr>
        <w:tc>
          <w:tcPr>
            <w:tcBorders>
              <w:top w:val="single" w:color="000000" w:sz="4" w:space="0"/>
              <w:left w:val="single" w:color="000000" w:sz="4" w:space="0"/>
              <w:bottom w:val="single" w:color="000000" w:sz="4" w:space="0"/>
              <w:right w:val="single" w:color="000000" w:sz="4" w:space="0"/>
            </w:tcBorders>
            <w:tcW w:w="878" w:type="dxa"/>
            <w:vAlign w:val="center"/>
            <w:vMerge w:val="continue"/>
            <w:textDirection w:val="lrTb"/>
            <w:noWrap w:val="false"/>
          </w:tcPr>
          <w:p>
            <w:pPr>
              <w:jc w:val="center"/>
              <w:spacing w:line="3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95" w:type="dxa"/>
            <w:vAlign w:val="center"/>
            <w:vMerge w:val="continue"/>
            <w:textDirection w:val="lrTb"/>
            <w:noWrap w:val="false"/>
          </w:tcPr>
          <w:p>
            <w:pPr>
              <w:spacing w:line="3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0" w:type="dxa"/>
            <w:vAlign w:val="center"/>
            <w:textDirection w:val="lrTb"/>
            <w:noWrap w:val="false"/>
          </w:tcPr>
          <w:p>
            <w:pPr>
              <w:jc w:val="cente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lang w:val="en-US" w:eastAsia="zh-CN"/>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85" w:type="dxa"/>
            <w:vAlign w:val="center"/>
            <w:textDirection w:val="lrTb"/>
            <w:noWrap w:val="false"/>
          </w:tcPr>
          <w:p>
            <w:pP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2.4物业服务开始及合同到期时的交接方案（</w:t>
            </w:r>
            <w:r>
              <w:rPr>
                <w:rFonts w:hint="eastAsia" w:ascii="方正仿宋_GBK" w:hAnsi="方正仿宋_GBK" w:eastAsia="方正仿宋_GBK" w:cs="方正仿宋_GBK"/>
                <w:b/>
                <w:color w:val="auto"/>
                <w:sz w:val="28"/>
                <w:szCs w:val="28"/>
                <w:highlight w:val="none"/>
                <w:lang w:val="en-US" w:eastAsia="zh-CN"/>
              </w:rPr>
              <w:t xml:space="preserve">5</w:t>
            </w:r>
            <w:r>
              <w:rPr>
                <w:rFonts w:hint="eastAsia" w:ascii="方正仿宋_GBK" w:hAnsi="方正仿宋_GBK" w:eastAsia="方正仿宋_GBK" w:cs="方正仿宋_GBK"/>
                <w:b/>
                <w:color w:val="auto"/>
                <w:sz w:val="28"/>
                <w:szCs w:val="28"/>
                <w:highlight w:val="none"/>
              </w:rPr>
              <w:t xml:space="preserve">分）</w:t>
            </w:r>
            <w:r>
              <w:rPr>
                <w:highlight w:val="none"/>
              </w:rPr>
            </w:r>
          </w:p>
          <w:p>
            <w:pPr>
              <w:jc w:val="left"/>
              <w:spacing w:line="360" w:lineRule="exact"/>
              <w:rPr>
                <w:rFonts w:hint="eastAsia"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评委根据投标文件对第四章“采购需求”中“</w:t>
            </w:r>
            <w:r>
              <w:rPr>
                <w:rFonts w:hint="eastAsia" w:ascii="方正仿宋_GBK" w:hAnsi="方正仿宋_GBK" w:eastAsia="方正仿宋_GBK" w:cs="方正仿宋_GBK"/>
                <w:color w:val="auto"/>
                <w:sz w:val="28"/>
                <w:szCs w:val="28"/>
                <w:highlight w:val="none"/>
              </w:rPr>
              <w:t xml:space="preserve">物业开始及交接方案</w:t>
            </w:r>
            <w:r>
              <w:rPr>
                <w:rFonts w:ascii="方正仿宋_GBK" w:hAnsi="方正仿宋_GBK" w:eastAsia="方正仿宋_GBK" w:cs="方正仿宋_GBK"/>
                <w:color w:val="auto"/>
                <w:sz w:val="28"/>
                <w:szCs w:val="28"/>
                <w:highlight w:val="none"/>
              </w:rPr>
              <w:t xml:space="preserve">”响应情况进行评审</w:t>
            </w:r>
            <w:r>
              <w:rPr>
                <w:rFonts w:hint="eastAsia" w:ascii="方正仿宋_GBK" w:hAnsi="方正仿宋_GBK" w:eastAsia="方正仿宋_GBK" w:cs="方正仿宋_GBK"/>
                <w:color w:val="auto"/>
                <w:sz w:val="28"/>
                <w:szCs w:val="28"/>
                <w:highlight w:val="none"/>
                <w:lang w:eastAsia="zh-CN"/>
              </w:rPr>
              <w:t xml:space="preserve">：</w:t>
            </w:r>
            <w:r>
              <w:rPr>
                <w:highlight w:val="none"/>
              </w:rPr>
            </w:r>
          </w:p>
          <w:p>
            <w:pPr>
              <w:jc w:val="left"/>
              <w:spacing w:line="36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（1）经评委认定，投标文件对</w:t>
            </w:r>
            <w:r>
              <w:rPr>
                <w:rFonts w:hint="eastAsia" w:ascii="方正仿宋_GBK" w:hAnsi="方正仿宋_GBK" w:eastAsia="方正仿宋_GBK" w:cs="方正仿宋_GBK"/>
                <w:color w:val="auto"/>
                <w:sz w:val="28"/>
                <w:szCs w:val="28"/>
                <w:highlight w:val="none"/>
              </w:rPr>
              <w:t xml:space="preserve">开始接收、到期退场二</w:t>
            </w:r>
            <w:r>
              <w:rPr>
                <w:rFonts w:ascii="方正仿宋_GBK" w:hAnsi="方正仿宋_GBK" w:eastAsia="方正仿宋_GBK" w:cs="方正仿宋_GBK"/>
                <w:color w:val="auto"/>
                <w:sz w:val="28"/>
                <w:szCs w:val="28"/>
                <w:highlight w:val="none"/>
              </w:rPr>
              <w:t xml:space="preserve">项要求的响应内容全部优于招标文件要求的本项得</w:t>
            </w:r>
            <w:r>
              <w:rPr>
                <w:rFonts w:hint="eastAsia" w:ascii="方正仿宋_GBK" w:hAnsi="方正仿宋_GBK" w:eastAsia="方正仿宋_GBK" w:cs="方正仿宋_GBK"/>
                <w:color w:val="auto"/>
                <w:sz w:val="28"/>
                <w:szCs w:val="28"/>
                <w:highlight w:val="none"/>
                <w:lang w:val="en-US" w:eastAsia="zh-CN"/>
              </w:rPr>
              <w:t xml:space="preserve">5</w:t>
            </w:r>
            <w:r>
              <w:rPr>
                <w:rFonts w:ascii="方正仿宋_GBK" w:hAnsi="方正仿宋_GBK" w:eastAsia="方正仿宋_GBK" w:cs="方正仿宋_GBK"/>
                <w:color w:val="auto"/>
                <w:sz w:val="28"/>
                <w:szCs w:val="28"/>
                <w:highlight w:val="none"/>
              </w:rPr>
              <w:t xml:space="preserve">分。</w:t>
            </w:r>
            <w:r>
              <w:rPr>
                <w:highlight w:val="none"/>
              </w:rPr>
            </w:r>
          </w:p>
          <w:p>
            <w:pPr>
              <w:jc w:val="left"/>
              <w:spacing w:line="36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（2）投标文件符合“设计方案”中全部条款要求的，视为符合招标文件，本项得</w:t>
            </w:r>
            <w:r>
              <w:rPr>
                <w:rFonts w:hint="eastAsia" w:ascii="方正仿宋_GBK" w:hAnsi="方正仿宋_GBK" w:eastAsia="方正仿宋_GBK" w:cs="方正仿宋_GBK"/>
                <w:color w:val="auto"/>
                <w:sz w:val="28"/>
                <w:szCs w:val="28"/>
                <w:highlight w:val="none"/>
                <w:lang w:val="en-US" w:eastAsia="zh-CN"/>
              </w:rPr>
              <w:t xml:space="preserve">3</w:t>
            </w:r>
            <w:r>
              <w:rPr>
                <w:rFonts w:ascii="方正仿宋_GBK" w:hAnsi="方正仿宋_GBK" w:eastAsia="方正仿宋_GBK" w:cs="方正仿宋_GBK"/>
                <w:color w:val="auto"/>
                <w:sz w:val="28"/>
                <w:szCs w:val="28"/>
                <w:highlight w:val="none"/>
              </w:rPr>
              <w:t xml:space="preserve">分。</w:t>
            </w:r>
            <w:r>
              <w:rPr>
                <w:highlight w:val="none"/>
              </w:rPr>
            </w:r>
          </w:p>
          <w:p>
            <w:pPr>
              <w:jc w:val="left"/>
              <w:spacing w:line="360" w:lineRule="exact"/>
              <w:rPr>
                <w:rFonts w:hint="eastAsia"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（3）投标文件未符合“设计方案”中全部条款要求的，视为不符合招标文件，本项得</w:t>
            </w:r>
            <w:r>
              <w:rPr>
                <w:rFonts w:hint="eastAsia" w:ascii="方正仿宋_GBK" w:hAnsi="方正仿宋_GBK" w:eastAsia="方正仿宋_GBK" w:cs="方正仿宋_GBK"/>
                <w:color w:val="auto"/>
                <w:sz w:val="28"/>
                <w:szCs w:val="28"/>
                <w:highlight w:val="none"/>
                <w:lang w:val="en-US" w:eastAsia="zh-CN"/>
              </w:rPr>
              <w:t xml:space="preserve">0</w:t>
            </w:r>
            <w:r>
              <w:rPr>
                <w:rFonts w:ascii="方正仿宋_GBK" w:hAnsi="方正仿宋_GBK" w:eastAsia="方正仿宋_GBK" w:cs="方正仿宋_GBK"/>
                <w:color w:val="auto"/>
                <w:sz w:val="28"/>
                <w:szCs w:val="28"/>
                <w:highlight w:val="none"/>
              </w:rPr>
              <w:t xml:space="preserve">分。</w:t>
            </w:r>
            <w:r>
              <w:rPr>
                <w:highlight w:val="none"/>
              </w:rPr>
            </w:r>
          </w:p>
        </w:tc>
      </w:tr>
      <w:tr>
        <w:trPr>
          <w:trHeight w:val="590"/>
        </w:trPr>
        <w:tc>
          <w:tcPr>
            <w:tcBorders>
              <w:top w:val="single" w:color="000000" w:sz="4" w:space="0"/>
              <w:left w:val="single" w:color="000000" w:sz="4" w:space="0"/>
              <w:bottom w:val="single" w:color="000000" w:sz="4" w:space="0"/>
              <w:right w:val="single" w:color="000000" w:sz="4" w:space="0"/>
            </w:tcBorders>
            <w:tcW w:w="878" w:type="dxa"/>
            <w:vAlign w:val="center"/>
            <w:vMerge w:val="continue"/>
            <w:textDirection w:val="lrTb"/>
            <w:noWrap w:val="false"/>
          </w:tcPr>
          <w:p>
            <w:pPr>
              <w:jc w:val="center"/>
              <w:spacing w:line="3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95" w:type="dxa"/>
            <w:vAlign w:val="center"/>
            <w:vMerge w:val="continue"/>
            <w:textDirection w:val="lrTb"/>
            <w:noWrap w:val="false"/>
          </w:tcPr>
          <w:p>
            <w:pPr>
              <w:spacing w:line="3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0" w:type="dxa"/>
            <w:vAlign w:val="center"/>
            <w:textDirection w:val="lrTb"/>
            <w:noWrap w:val="false"/>
          </w:tcPr>
          <w:p>
            <w:pPr>
              <w:jc w:val="cente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85" w:type="dxa"/>
            <w:vAlign w:val="center"/>
            <w:textDirection w:val="lrTb"/>
            <w:noWrap w:val="false"/>
          </w:tcPr>
          <w:p>
            <w:pP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2.5日常保洁工作服务方案（5分）</w:t>
            </w:r>
            <w:r>
              <w:rPr>
                <w:highlight w:val="none"/>
              </w:rPr>
            </w:r>
          </w:p>
          <w:p>
            <w:pPr>
              <w:jc w:val="left"/>
              <w:spacing w:line="360" w:lineRule="exact"/>
              <w:rPr>
                <w:rFonts w:hint="eastAsia"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评委根据投标文件对第四章“采购需求”中“</w:t>
            </w:r>
            <w:r>
              <w:rPr>
                <w:rFonts w:hint="eastAsia" w:ascii="方正仿宋_GBK" w:hAnsi="方正仿宋_GBK" w:eastAsia="方正仿宋_GBK" w:cs="方正仿宋_GBK"/>
                <w:color w:val="auto"/>
                <w:sz w:val="28"/>
                <w:szCs w:val="28"/>
                <w:highlight w:val="none"/>
              </w:rPr>
              <w:t xml:space="preserve">日常保洁工作服务方案</w:t>
            </w:r>
            <w:r>
              <w:rPr>
                <w:rFonts w:ascii="方正仿宋_GBK" w:hAnsi="方正仿宋_GBK" w:eastAsia="方正仿宋_GBK" w:cs="方正仿宋_GBK"/>
                <w:color w:val="auto"/>
                <w:sz w:val="28"/>
                <w:szCs w:val="28"/>
                <w:highlight w:val="none"/>
              </w:rPr>
              <w:t xml:space="preserve">”响应情况进行评审</w:t>
            </w:r>
            <w:r>
              <w:rPr>
                <w:rFonts w:hint="eastAsia" w:ascii="方正仿宋_GBK" w:hAnsi="方正仿宋_GBK" w:eastAsia="方正仿宋_GBK" w:cs="方正仿宋_GBK"/>
                <w:color w:val="auto"/>
                <w:sz w:val="28"/>
                <w:szCs w:val="28"/>
                <w:highlight w:val="none"/>
                <w:lang w:eastAsia="zh-CN"/>
              </w:rPr>
              <w:t xml:space="preserve">：</w:t>
            </w:r>
            <w:r>
              <w:rPr>
                <w:highlight w:val="none"/>
              </w:rPr>
            </w:r>
          </w:p>
          <w:p>
            <w:pPr>
              <w:jc w:val="left"/>
              <w:spacing w:line="36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（1）经评委认定，投标文件对</w:t>
            </w:r>
            <w:r>
              <w:rPr>
                <w:rFonts w:hint="eastAsia" w:ascii="方正仿宋_GBK" w:hAnsi="方正仿宋_GBK" w:eastAsia="方正仿宋_GBK" w:cs="方正仿宋_GBK"/>
                <w:color w:val="auto"/>
                <w:sz w:val="28"/>
                <w:szCs w:val="28"/>
                <w:highlight w:val="none"/>
              </w:rPr>
              <w:t xml:space="preserve">日常保洁、垃圾分类和四害消杀</w:t>
            </w:r>
            <w:r>
              <w:rPr>
                <w:rFonts w:ascii="方正仿宋_GBK" w:hAnsi="方正仿宋_GBK" w:eastAsia="方正仿宋_GBK" w:cs="方正仿宋_GBK"/>
                <w:color w:val="auto"/>
                <w:sz w:val="28"/>
                <w:szCs w:val="28"/>
                <w:highlight w:val="none"/>
              </w:rPr>
              <w:t xml:space="preserve">三项要求的响应内容全部优于招标文件要求的本项得5分。</w:t>
            </w:r>
            <w:r>
              <w:rPr>
                <w:highlight w:val="none"/>
              </w:rPr>
            </w:r>
          </w:p>
          <w:p>
            <w:pPr>
              <w:jc w:val="left"/>
              <w:spacing w:line="36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（2）投标文件符合“设计方案”中全部条款要求的，视为符合招标文件，本项得3分。</w:t>
            </w:r>
            <w:r>
              <w:rPr>
                <w:highlight w:val="none"/>
              </w:rPr>
            </w:r>
          </w:p>
          <w:p>
            <w:pPr>
              <w:jc w:val="left"/>
              <w:spacing w:line="360" w:lineRule="exact"/>
              <w:rPr>
                <w:rFonts w:hint="eastAsia"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（3）投标文件未符合“设计方案”中全部条款要求的，视为不符合招标文件，本项得0分。</w:t>
            </w:r>
            <w:r>
              <w:rPr>
                <w:highlight w:val="none"/>
              </w:rPr>
            </w:r>
          </w:p>
        </w:tc>
      </w:tr>
      <w:tr>
        <w:trPr>
          <w:trHeight w:val="1659"/>
        </w:trPr>
        <w:tc>
          <w:tcPr>
            <w:tcBorders>
              <w:top w:val="single" w:color="000000" w:sz="4" w:space="0"/>
              <w:left w:val="single" w:color="000000" w:sz="4" w:space="0"/>
              <w:bottom w:val="single" w:color="000000" w:sz="4" w:space="0"/>
              <w:right w:val="single" w:color="000000" w:sz="4" w:space="0"/>
            </w:tcBorders>
            <w:tcW w:w="878" w:type="dxa"/>
            <w:vAlign w:val="center"/>
            <w:vMerge w:val="continue"/>
            <w:textDirection w:val="lrTb"/>
            <w:noWrap w:val="false"/>
          </w:tcPr>
          <w:p>
            <w:pPr>
              <w:jc w:val="center"/>
              <w:spacing w:line="3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95" w:type="dxa"/>
            <w:vAlign w:val="center"/>
            <w:vMerge w:val="continue"/>
            <w:textDirection w:val="lrTb"/>
            <w:noWrap w:val="false"/>
          </w:tcPr>
          <w:p>
            <w:pPr>
              <w:spacing w:line="3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0" w:type="dxa"/>
            <w:vAlign w:val="center"/>
            <w:textDirection w:val="lrTb"/>
            <w:noWrap w:val="false"/>
          </w:tcPr>
          <w:p>
            <w:pPr>
              <w:jc w:val="cente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85" w:type="dxa"/>
            <w:vAlign w:val="center"/>
            <w:textDirection w:val="lrTb"/>
            <w:noWrap w:val="false"/>
          </w:tcPr>
          <w:p>
            <w:pP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2.6楼宇服务方案（5分）</w:t>
            </w:r>
            <w:r>
              <w:rPr>
                <w:highlight w:val="none"/>
              </w:rPr>
            </w:r>
          </w:p>
          <w:p>
            <w:pPr>
              <w:jc w:val="left"/>
              <w:spacing w:line="360" w:lineRule="exact"/>
              <w:rPr>
                <w:rFonts w:hint="eastAsia"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评委根据投标文件对第四章“采购需求”中“</w:t>
            </w:r>
            <w:r>
              <w:rPr>
                <w:rFonts w:hint="eastAsia" w:ascii="方正仿宋_GBK" w:hAnsi="方正仿宋_GBK" w:eastAsia="方正仿宋_GBK" w:cs="方正仿宋_GBK"/>
                <w:color w:val="auto"/>
                <w:sz w:val="28"/>
                <w:szCs w:val="28"/>
                <w:highlight w:val="none"/>
              </w:rPr>
              <w:t xml:space="preserve">楼宇服务方案</w:t>
            </w:r>
            <w:r>
              <w:rPr>
                <w:rFonts w:ascii="方正仿宋_GBK" w:hAnsi="方正仿宋_GBK" w:eastAsia="方正仿宋_GBK" w:cs="方正仿宋_GBK"/>
                <w:color w:val="auto"/>
                <w:sz w:val="28"/>
                <w:szCs w:val="28"/>
                <w:highlight w:val="none"/>
              </w:rPr>
              <w:t xml:space="preserve">”响应情况进行评审</w:t>
            </w:r>
            <w:r>
              <w:rPr>
                <w:rFonts w:hint="eastAsia" w:ascii="方正仿宋_GBK" w:hAnsi="方正仿宋_GBK" w:eastAsia="方正仿宋_GBK" w:cs="方正仿宋_GBK"/>
                <w:color w:val="auto"/>
                <w:sz w:val="28"/>
                <w:szCs w:val="28"/>
                <w:highlight w:val="none"/>
                <w:lang w:eastAsia="zh-CN"/>
              </w:rPr>
              <w:t xml:space="preserve">：</w:t>
            </w:r>
            <w:r>
              <w:rPr>
                <w:highlight w:val="none"/>
              </w:rPr>
            </w:r>
          </w:p>
          <w:p>
            <w:pPr>
              <w:jc w:val="left"/>
              <w:spacing w:line="36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（1）经评委认定，投标文件对</w:t>
            </w:r>
            <w:r>
              <w:rPr>
                <w:rFonts w:hint="eastAsia" w:ascii="方正仿宋_GBK" w:hAnsi="方正仿宋_GBK" w:eastAsia="方正仿宋_GBK" w:cs="方正仿宋_GBK"/>
                <w:color w:val="auto"/>
                <w:sz w:val="28"/>
                <w:szCs w:val="28"/>
                <w:highlight w:val="none"/>
              </w:rPr>
              <w:t xml:space="preserve">门岗管理、巡查管理</w:t>
            </w:r>
            <w:r>
              <w:rPr>
                <w:rFonts w:hint="eastAsia" w:ascii="方正仿宋_GBK" w:hAnsi="方正仿宋_GBK" w:eastAsia="方正仿宋_GBK" w:cs="方正仿宋_GBK"/>
                <w:color w:val="auto"/>
                <w:sz w:val="28"/>
                <w:szCs w:val="28"/>
                <w:highlight w:val="none"/>
                <w:lang w:val="en-US" w:eastAsia="zh-CN"/>
              </w:rPr>
              <w:t xml:space="preserve">两</w:t>
            </w:r>
            <w:r>
              <w:rPr>
                <w:rFonts w:ascii="方正仿宋_GBK" w:hAnsi="方正仿宋_GBK" w:eastAsia="方正仿宋_GBK" w:cs="方正仿宋_GBK"/>
                <w:color w:val="auto"/>
                <w:sz w:val="28"/>
                <w:szCs w:val="28"/>
                <w:highlight w:val="none"/>
              </w:rPr>
              <w:t xml:space="preserve">项要求的响应内容全部优于招标文件要求的本项得5分。</w:t>
            </w:r>
            <w:r>
              <w:rPr>
                <w:highlight w:val="none"/>
              </w:rPr>
            </w:r>
          </w:p>
          <w:p>
            <w:pPr>
              <w:jc w:val="left"/>
              <w:spacing w:line="36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（2）投标文件符合“设计方案”中全部条款要求的，视为符合招标文件，本项得3分。</w:t>
            </w:r>
            <w:r>
              <w:rPr>
                <w:highlight w:val="none"/>
              </w:rPr>
            </w:r>
          </w:p>
          <w:p>
            <w:pPr>
              <w:jc w:val="left"/>
              <w:spacing w:line="360" w:lineRule="exact"/>
              <w:rPr>
                <w:rFonts w:hint="eastAsia"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（3）投标文件未符合“设计方案”中全部条款要求的，视为不符合招标文件，本项得0分。</w:t>
            </w:r>
            <w:r>
              <w:rPr>
                <w:highlight w:val="none"/>
              </w:rPr>
            </w:r>
          </w:p>
        </w:tc>
      </w:tr>
      <w:tr>
        <w:trPr>
          <w:trHeight w:val="1438"/>
        </w:trPr>
        <w:tc>
          <w:tcPr>
            <w:tcBorders>
              <w:top w:val="single" w:color="000000" w:sz="4" w:space="0"/>
              <w:left w:val="single" w:color="000000" w:sz="4" w:space="0"/>
              <w:bottom w:val="single" w:color="000000" w:sz="4" w:space="0"/>
              <w:right w:val="single" w:color="000000" w:sz="4" w:space="0"/>
            </w:tcBorders>
            <w:tcW w:w="878" w:type="dxa"/>
            <w:vAlign w:val="center"/>
            <w:vMerge w:val="continue"/>
            <w:textDirection w:val="lrTb"/>
            <w:noWrap w:val="false"/>
          </w:tcPr>
          <w:p>
            <w:pPr>
              <w:jc w:val="center"/>
              <w:spacing w:line="3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95" w:type="dxa"/>
            <w:vAlign w:val="center"/>
            <w:vMerge w:val="continue"/>
            <w:textDirection w:val="lrTb"/>
            <w:noWrap w:val="false"/>
          </w:tcPr>
          <w:p>
            <w:pPr>
              <w:spacing w:line="3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0" w:type="dxa"/>
            <w:vAlign w:val="center"/>
            <w:textDirection w:val="lrTb"/>
            <w:noWrap w:val="false"/>
          </w:tcPr>
          <w:p>
            <w:pPr>
              <w:jc w:val="cente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85" w:type="dxa"/>
            <w:vAlign w:val="center"/>
            <w:textDirection w:val="lrTb"/>
            <w:noWrap w:val="false"/>
          </w:tcPr>
          <w:p>
            <w:pP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2.7重要活动保障服务方案（5分）</w:t>
            </w:r>
            <w:r>
              <w:rPr>
                <w:highlight w:val="none"/>
              </w:rPr>
            </w:r>
          </w:p>
          <w:p>
            <w:pPr>
              <w:jc w:val="left"/>
              <w:spacing w:line="360" w:lineRule="exact"/>
              <w:rPr>
                <w:rFonts w:hint="eastAsia"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评委根据投标文件对第四章“采购需求”中“</w:t>
            </w:r>
            <w:r>
              <w:rPr>
                <w:rFonts w:hint="eastAsia" w:ascii="方正仿宋_GBK" w:hAnsi="方正仿宋_GBK" w:eastAsia="方正仿宋_GBK" w:cs="方正仿宋_GBK"/>
                <w:color w:val="auto"/>
                <w:sz w:val="28"/>
                <w:szCs w:val="28"/>
                <w:highlight w:val="none"/>
              </w:rPr>
              <w:t xml:space="preserve">重要活动保障方案</w:t>
            </w:r>
            <w:r>
              <w:rPr>
                <w:rFonts w:ascii="方正仿宋_GBK" w:hAnsi="方正仿宋_GBK" w:eastAsia="方正仿宋_GBK" w:cs="方正仿宋_GBK"/>
                <w:color w:val="auto"/>
                <w:sz w:val="28"/>
                <w:szCs w:val="28"/>
                <w:highlight w:val="none"/>
              </w:rPr>
              <w:t xml:space="preserve">”响应情况进行评审</w:t>
            </w:r>
            <w:r>
              <w:rPr>
                <w:rFonts w:hint="eastAsia" w:ascii="方正仿宋_GBK" w:hAnsi="方正仿宋_GBK" w:eastAsia="方正仿宋_GBK" w:cs="方正仿宋_GBK"/>
                <w:color w:val="auto"/>
                <w:sz w:val="28"/>
                <w:szCs w:val="28"/>
                <w:highlight w:val="none"/>
                <w:lang w:eastAsia="zh-CN"/>
              </w:rPr>
              <w:t xml:space="preserve">：</w:t>
            </w:r>
            <w:r>
              <w:rPr>
                <w:highlight w:val="none"/>
              </w:rPr>
            </w:r>
          </w:p>
          <w:p>
            <w:pPr>
              <w:jc w:val="left"/>
              <w:spacing w:line="36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（1）经评委认定，投标文件对</w:t>
            </w:r>
            <w:r>
              <w:rPr>
                <w:rFonts w:hint="eastAsia" w:ascii="方正仿宋_GBK" w:hAnsi="方正仿宋_GBK" w:eastAsia="方正仿宋_GBK" w:cs="方正仿宋_GBK"/>
                <w:color w:val="auto"/>
                <w:sz w:val="28"/>
                <w:szCs w:val="28"/>
                <w:highlight w:val="none"/>
              </w:rPr>
              <w:t xml:space="preserve">重要会议及活动</w:t>
            </w:r>
            <w:r>
              <w:rPr>
                <w:rFonts w:ascii="方正仿宋_GBK" w:hAnsi="方正仿宋_GBK" w:eastAsia="方正仿宋_GBK" w:cs="方正仿宋_GBK"/>
                <w:color w:val="auto"/>
                <w:sz w:val="28"/>
                <w:szCs w:val="28"/>
                <w:highlight w:val="none"/>
              </w:rPr>
              <w:t xml:space="preserve">要求的响应内容全部优于招标文件要求的本项得5分。</w:t>
            </w:r>
            <w:r>
              <w:rPr>
                <w:highlight w:val="none"/>
              </w:rPr>
            </w:r>
          </w:p>
          <w:p>
            <w:pPr>
              <w:jc w:val="left"/>
              <w:spacing w:line="36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（2）投标文件符合“设计方案”中全部条款要求的，视为符合招标文件，本项得3分。</w:t>
            </w:r>
            <w:r>
              <w:rPr>
                <w:highlight w:val="none"/>
              </w:rPr>
            </w:r>
          </w:p>
          <w:p>
            <w:pPr>
              <w:jc w:val="left"/>
              <w:spacing w:line="360" w:lineRule="exact"/>
              <w:rPr>
                <w:rFonts w:hint="eastAsia"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（3）投标文件未符合“设计方案”中全部条款要求的，视为不符合招标文件，本项得0分。</w:t>
            </w:r>
            <w:r>
              <w:rPr>
                <w:highlight w:val="none"/>
              </w:rPr>
            </w:r>
          </w:p>
        </w:tc>
      </w:tr>
      <w:tr>
        <w:trPr/>
        <w:tc>
          <w:tcPr>
            <w:tcBorders>
              <w:top w:val="single" w:color="000000" w:sz="4" w:space="0"/>
              <w:left w:val="single" w:color="000000" w:sz="4" w:space="0"/>
              <w:bottom w:val="single" w:color="000000" w:sz="4" w:space="0"/>
              <w:right w:val="single" w:color="000000" w:sz="4" w:space="0"/>
            </w:tcBorders>
            <w:tcW w:w="878" w:type="dxa"/>
            <w:vAlign w:val="center"/>
            <w:vMerge w:val="continue"/>
            <w:textDirection w:val="lrTb"/>
            <w:noWrap w:val="false"/>
          </w:tcPr>
          <w:p>
            <w:pPr>
              <w:jc w:val="center"/>
              <w:spacing w:line="3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95" w:type="dxa"/>
            <w:vAlign w:val="center"/>
            <w:vMerge w:val="continue"/>
            <w:textDirection w:val="lrTb"/>
            <w:noWrap w:val="false"/>
          </w:tcPr>
          <w:p>
            <w:pPr>
              <w:spacing w:line="3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0" w:type="dxa"/>
            <w:vAlign w:val="center"/>
            <w:textDirection w:val="lrTb"/>
            <w:noWrap w:val="false"/>
          </w:tcPr>
          <w:p>
            <w:pPr>
              <w:jc w:val="cente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85" w:type="dxa"/>
            <w:vAlign w:val="center"/>
            <w:textDirection w:val="lrTb"/>
            <w:noWrap w:val="false"/>
          </w:tcPr>
          <w:p>
            <w:pP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2.8应急事件处置方案（5分）</w:t>
            </w:r>
            <w:r>
              <w:rPr>
                <w:highlight w:val="none"/>
              </w:rPr>
            </w:r>
          </w:p>
          <w:p>
            <w:pPr>
              <w:jc w:val="left"/>
              <w:spacing w:line="360" w:lineRule="exact"/>
              <w:rPr>
                <w:rFonts w:hint="eastAsia"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评委根据投标文件对第四章“采购需求”中“</w:t>
            </w:r>
            <w:r>
              <w:rPr>
                <w:rFonts w:hint="eastAsia" w:ascii="方正仿宋_GBK" w:hAnsi="方正仿宋_GBK" w:eastAsia="方正仿宋_GBK" w:cs="方正仿宋_GBK"/>
                <w:color w:val="auto"/>
                <w:sz w:val="28"/>
                <w:szCs w:val="28"/>
                <w:highlight w:val="none"/>
              </w:rPr>
              <w:t xml:space="preserve">应急事件处置方案</w:t>
            </w:r>
            <w:r>
              <w:rPr>
                <w:rFonts w:ascii="方正仿宋_GBK" w:hAnsi="方正仿宋_GBK" w:eastAsia="方正仿宋_GBK" w:cs="方正仿宋_GBK"/>
                <w:color w:val="auto"/>
                <w:sz w:val="28"/>
                <w:szCs w:val="28"/>
                <w:highlight w:val="none"/>
              </w:rPr>
              <w:t xml:space="preserve">”响应情况进行评审</w:t>
            </w:r>
            <w:r>
              <w:rPr>
                <w:rFonts w:hint="eastAsia" w:ascii="方正仿宋_GBK" w:hAnsi="方正仿宋_GBK" w:eastAsia="方正仿宋_GBK" w:cs="方正仿宋_GBK"/>
                <w:color w:val="auto"/>
                <w:sz w:val="28"/>
                <w:szCs w:val="28"/>
                <w:highlight w:val="none"/>
                <w:lang w:eastAsia="zh-CN"/>
              </w:rPr>
              <w:t xml:space="preserve">：</w:t>
            </w:r>
            <w:r>
              <w:rPr>
                <w:highlight w:val="none"/>
              </w:rPr>
            </w:r>
          </w:p>
          <w:p>
            <w:pPr>
              <w:jc w:val="left"/>
              <w:spacing w:line="36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（1）经评委认定，投标文件对</w:t>
            </w:r>
            <w:r>
              <w:rPr>
                <w:rFonts w:hint="eastAsia" w:ascii="方正仿宋_GBK" w:hAnsi="方正仿宋_GBK" w:eastAsia="方正仿宋_GBK" w:cs="方正仿宋_GBK"/>
                <w:color w:val="auto"/>
                <w:sz w:val="28"/>
                <w:szCs w:val="28"/>
                <w:highlight w:val="none"/>
              </w:rPr>
              <w:t xml:space="preserve">出现的应急事件处置</w:t>
            </w:r>
            <w:r>
              <w:rPr>
                <w:rFonts w:ascii="方正仿宋_GBK" w:hAnsi="方正仿宋_GBK" w:eastAsia="方正仿宋_GBK" w:cs="方正仿宋_GBK"/>
                <w:color w:val="auto"/>
                <w:sz w:val="28"/>
                <w:szCs w:val="28"/>
                <w:highlight w:val="none"/>
              </w:rPr>
              <w:t xml:space="preserve">要求的响应内容全部优于招标文件要求的本项得5分。</w:t>
            </w:r>
            <w:r>
              <w:rPr>
                <w:highlight w:val="none"/>
              </w:rPr>
            </w:r>
          </w:p>
          <w:p>
            <w:pPr>
              <w:jc w:val="left"/>
              <w:spacing w:line="36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（2）投标文件符合“设计方案”中全部条款要求的，视为符合招标文件，本项得3分。</w:t>
            </w:r>
            <w:r>
              <w:rPr>
                <w:highlight w:val="none"/>
              </w:rPr>
            </w:r>
          </w:p>
          <w:p>
            <w:pPr>
              <w:jc w:val="left"/>
              <w:spacing w:line="360" w:lineRule="exact"/>
              <w:rPr>
                <w:rFonts w:hint="eastAsia"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（3）投标文件未符合“设计方案”中全部条款要求的，视为不符合招标文件，本项得0分。</w:t>
            </w:r>
            <w:r>
              <w:rPr>
                <w:highlight w:val="none"/>
              </w:rPr>
            </w:r>
          </w:p>
        </w:tc>
      </w:tr>
      <w:tr>
        <w:trPr>
          <w:trHeight w:val="1280"/>
        </w:trPr>
        <w:tc>
          <w:tcPr>
            <w:tcBorders>
              <w:top w:val="single" w:color="000000" w:sz="4" w:space="0"/>
              <w:left w:val="single" w:color="000000" w:sz="4" w:space="0"/>
              <w:bottom w:val="single" w:color="000000" w:sz="4" w:space="0"/>
              <w:right w:val="single" w:color="000000" w:sz="4" w:space="0"/>
            </w:tcBorders>
            <w:tcW w:w="878" w:type="dxa"/>
            <w:vAlign w:val="center"/>
            <w:vMerge w:val="continue"/>
            <w:textDirection w:val="lrTb"/>
            <w:noWrap w:val="false"/>
          </w:tcPr>
          <w:p>
            <w:pPr>
              <w:jc w:val="center"/>
              <w:spacing w:line="3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95" w:type="dxa"/>
            <w:vAlign w:val="center"/>
            <w:vMerge w:val="continue"/>
            <w:textDirection w:val="lrTb"/>
            <w:noWrap w:val="false"/>
          </w:tcPr>
          <w:p>
            <w:pPr>
              <w:spacing w:line="3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0" w:type="dxa"/>
            <w:vAlign w:val="center"/>
            <w:textDirection w:val="lrTb"/>
            <w:noWrap w:val="false"/>
          </w:tcPr>
          <w:p>
            <w:pPr>
              <w:jc w:val="cente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85" w:type="dxa"/>
            <w:vAlign w:val="center"/>
            <w:textDirection w:val="lrTb"/>
            <w:noWrap w:val="false"/>
          </w:tcPr>
          <w:p>
            <w:pP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2.9创新服务及文化建设方案（5分）</w:t>
            </w:r>
            <w:r>
              <w:rPr>
                <w:highlight w:val="none"/>
              </w:rPr>
            </w:r>
          </w:p>
          <w:p>
            <w:pPr>
              <w:jc w:val="left"/>
              <w:spacing w:line="360" w:lineRule="exact"/>
              <w:rPr>
                <w:rFonts w:hint="eastAsia"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评委根据投标文件对第四章“采购需求”中“</w:t>
            </w:r>
            <w:r>
              <w:rPr>
                <w:rFonts w:hint="eastAsia" w:ascii="方正仿宋_GBK" w:hAnsi="方正仿宋_GBK" w:eastAsia="方正仿宋_GBK" w:cs="方正仿宋_GBK"/>
                <w:color w:val="auto"/>
                <w:sz w:val="28"/>
                <w:szCs w:val="28"/>
                <w:highlight w:val="none"/>
              </w:rPr>
              <w:t xml:space="preserve">创新服务及文化建设</w:t>
            </w:r>
            <w:r>
              <w:rPr>
                <w:rFonts w:ascii="方正仿宋_GBK" w:hAnsi="方正仿宋_GBK" w:eastAsia="方正仿宋_GBK" w:cs="方正仿宋_GBK"/>
                <w:color w:val="auto"/>
                <w:sz w:val="28"/>
                <w:szCs w:val="28"/>
                <w:highlight w:val="none"/>
              </w:rPr>
              <w:t xml:space="preserve">”响应情况进行评审</w:t>
            </w:r>
            <w:r>
              <w:rPr>
                <w:rFonts w:hint="eastAsia" w:ascii="方正仿宋_GBK" w:hAnsi="方正仿宋_GBK" w:eastAsia="方正仿宋_GBK" w:cs="方正仿宋_GBK"/>
                <w:color w:val="auto"/>
                <w:sz w:val="28"/>
                <w:szCs w:val="28"/>
                <w:highlight w:val="none"/>
                <w:lang w:eastAsia="zh-CN"/>
              </w:rPr>
              <w:t xml:space="preserve">：</w:t>
            </w:r>
            <w:r>
              <w:rPr>
                <w:highlight w:val="none"/>
              </w:rPr>
            </w:r>
          </w:p>
          <w:p>
            <w:pPr>
              <w:jc w:val="left"/>
              <w:spacing w:line="36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（1）经评委认定，投标文件对</w:t>
            </w:r>
            <w:r>
              <w:rPr>
                <w:rFonts w:hint="eastAsia" w:ascii="方正仿宋_GBK" w:hAnsi="方正仿宋_GBK" w:eastAsia="方正仿宋_GBK" w:cs="方正仿宋_GBK"/>
                <w:color w:val="auto"/>
                <w:sz w:val="28"/>
                <w:szCs w:val="28"/>
                <w:highlight w:val="none"/>
              </w:rPr>
              <w:t xml:space="preserve">校园文化建设、节日氛围营造和学生劳动实践服务</w:t>
            </w:r>
            <w:r>
              <w:rPr>
                <w:rFonts w:ascii="方正仿宋_GBK" w:hAnsi="方正仿宋_GBK" w:eastAsia="方正仿宋_GBK" w:cs="方正仿宋_GBK"/>
                <w:color w:val="auto"/>
                <w:sz w:val="28"/>
                <w:szCs w:val="28"/>
                <w:highlight w:val="none"/>
              </w:rPr>
              <w:t xml:space="preserve">三项要求的响应内容全部优于招标文件要求的本项得5分。</w:t>
            </w:r>
            <w:r>
              <w:rPr>
                <w:highlight w:val="none"/>
              </w:rPr>
            </w:r>
          </w:p>
          <w:p>
            <w:pPr>
              <w:jc w:val="left"/>
              <w:spacing w:line="36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（2）投标文件符合“设计方案”中全部条款要求的，视为符合招标文件，本项得3分。</w:t>
            </w:r>
            <w:r>
              <w:rPr>
                <w:highlight w:val="none"/>
              </w:rPr>
            </w:r>
          </w:p>
          <w:p>
            <w:pPr>
              <w:jc w:val="left"/>
              <w:spacing w:line="360" w:lineRule="exact"/>
              <w:rPr>
                <w:rFonts w:hint="eastAsia"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t xml:space="preserve">（3）投标文件未符合“设计方案”中全部条款要求的，视为不符合招标文件，本项得0分。</w:t>
            </w:r>
            <w:r>
              <w:rPr>
                <w:highlight w:val="none"/>
              </w:rPr>
            </w:r>
          </w:p>
        </w:tc>
      </w:tr>
      <w:tr>
        <w:trPr>
          <w:trHeight w:val="7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vMerge w:val="restart"/>
            <w:textDirection w:val="lrTb"/>
            <w:noWrap w:val="false"/>
          </w:tcPr>
          <w:p>
            <w:pPr>
              <w:jc w:val="cente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3</w:t>
            </w:r>
            <w:r>
              <w:rPr>
                <w:highlight w:val="none"/>
              </w:rPr>
            </w:r>
          </w:p>
          <w:p>
            <w:pPr>
              <w:jc w:val="cente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5" w:type="dxa"/>
            <w:vAlign w:val="center"/>
            <w:vMerge w:val="restart"/>
            <w:textDirection w:val="lrTb"/>
            <w:noWrap w:val="false"/>
          </w:tcPr>
          <w:p>
            <w:pPr>
              <w:spacing w:line="360" w:lineRule="exact"/>
              <w:rPr>
                <w:rFonts w:ascii="方正仿宋_GBK" w:hAnsi="方正仿宋_GBK" w:eastAsia="方正仿宋_GBK" w:cs="方正仿宋_GBK"/>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人员资质及人员投入</w:t>
            </w:r>
            <w:r>
              <w:rPr>
                <w:highlight w:val="none"/>
              </w:rPr>
            </w:r>
          </w:p>
          <w:p>
            <w:pP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w:t>
            </w:r>
            <w:r>
              <w:rPr>
                <w:rFonts w:hint="eastAsia" w:ascii="方正仿宋_GBK" w:hAnsi="方正仿宋_GBK" w:eastAsia="方正仿宋_GBK" w:cs="方正仿宋_GBK"/>
                <w:b/>
                <w:color w:val="auto"/>
                <w:sz w:val="28"/>
                <w:szCs w:val="28"/>
                <w:highlight w:val="none"/>
                <w:lang w:val="en-US" w:eastAsia="zh-CN"/>
              </w:rPr>
              <w:t xml:space="preserve">20</w:t>
            </w:r>
            <w:r>
              <w:rPr>
                <w:rFonts w:hint="eastAsia" w:ascii="方正仿宋_GBK" w:hAnsi="方正仿宋_GBK" w:eastAsia="方正仿宋_GBK" w:cs="方正仿宋_GBK"/>
                <w:b/>
                <w:color w:val="auto"/>
                <w:sz w:val="28"/>
                <w:szCs w:val="28"/>
                <w:highlight w:val="none"/>
              </w:rPr>
              <w:t xml:space="preserve">分）</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0" w:type="dxa"/>
            <w:vAlign w:val="center"/>
            <w:textDirection w:val="lrTb"/>
            <w:noWrap w:val="false"/>
          </w:tcPr>
          <w:p>
            <w:pPr>
              <w:jc w:val="cente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lang w:val="en-US" w:eastAsia="zh-CN"/>
              </w:rPr>
              <w:t xml:space="preserve">6</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85" w:type="dxa"/>
            <w:vAlign w:val="center"/>
            <w:textDirection w:val="lrTb"/>
            <w:noWrap w:val="false"/>
          </w:tcPr>
          <w:p>
            <w:pPr>
              <w:spacing w:line="360" w:lineRule="exact"/>
              <w:rPr>
                <w:rFonts w:hint="eastAsia" w:ascii="方正仿宋_GBK" w:hAnsi="方正仿宋_GBK" w:eastAsia="方正仿宋_GBK" w:cs="方正仿宋_GBK"/>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3.1项目经理（</w:t>
            </w:r>
            <w:r>
              <w:rPr>
                <w:rFonts w:hint="eastAsia" w:ascii="方正仿宋_GBK" w:hAnsi="方正仿宋_GBK" w:eastAsia="方正仿宋_GBK" w:cs="方正仿宋_GBK"/>
                <w:b/>
                <w:color w:val="auto"/>
                <w:sz w:val="28"/>
                <w:szCs w:val="28"/>
                <w:highlight w:val="none"/>
                <w:lang w:val="en-US" w:eastAsia="zh-CN"/>
              </w:rPr>
              <w:t xml:space="preserve">6</w:t>
            </w:r>
            <w:r>
              <w:rPr>
                <w:rFonts w:hint="eastAsia" w:ascii="方正仿宋_GBK" w:hAnsi="方正仿宋_GBK" w:eastAsia="方正仿宋_GBK" w:cs="方正仿宋_GBK"/>
                <w:b/>
                <w:color w:val="auto"/>
                <w:sz w:val="28"/>
                <w:szCs w:val="28"/>
                <w:highlight w:val="none"/>
              </w:rPr>
              <w:t xml:space="preserve">分）</w:t>
            </w:r>
            <w:r>
              <w:rPr>
                <w:highlight w:val="none"/>
              </w:rPr>
            </w:r>
          </w:p>
          <w:p>
            <w:pP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拟派驻本项目的项目经理具有本科及以上学历，得2分；</w:t>
            </w:r>
            <w:r>
              <w:rPr>
                <w:highlight w:val="none"/>
              </w:rPr>
            </w:r>
          </w:p>
          <w:p>
            <w:pP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具有类似物业项目（非住宅类）的管理经验，3年以上（含3年）不满5年的，得3分；5年及以上的，得</w:t>
            </w:r>
            <w:r>
              <w:rPr>
                <w:rFonts w:hint="eastAsia" w:ascii="方正仿宋_GBK" w:hAnsi="方正仿宋_GBK" w:eastAsia="方正仿宋_GBK" w:cs="方正仿宋_GBK"/>
                <w:color w:val="auto"/>
                <w:sz w:val="28"/>
                <w:szCs w:val="28"/>
                <w:highlight w:val="none"/>
                <w:lang w:val="en-US" w:eastAsia="zh-CN"/>
              </w:rPr>
              <w:t xml:space="preserve">4</w:t>
            </w:r>
            <w:r>
              <w:rPr>
                <w:rFonts w:hint="eastAsia" w:ascii="方正仿宋_GBK" w:hAnsi="方正仿宋_GBK" w:eastAsia="方正仿宋_GBK" w:cs="方正仿宋_GBK"/>
                <w:color w:val="auto"/>
                <w:sz w:val="28"/>
                <w:szCs w:val="28"/>
                <w:highlight w:val="none"/>
              </w:rPr>
              <w:t xml:space="preserve">分。未提供或未按要求提供的不得分。</w:t>
            </w:r>
            <w:r>
              <w:rPr>
                <w:highlight w:val="none"/>
              </w:rPr>
            </w:r>
          </w:p>
          <w:p>
            <w:pP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（须提交清晰的证书复印件</w:t>
            </w:r>
            <w:r>
              <w:rPr>
                <w:rFonts w:hint="eastAsia" w:ascii="方正仿宋_GBK" w:hAnsi="方正仿宋_GBK" w:eastAsia="方正仿宋_GBK" w:cs="方正仿宋_GBK"/>
                <w:color w:val="auto"/>
                <w:sz w:val="28"/>
                <w:szCs w:val="28"/>
                <w:highlight w:val="none"/>
                <w:lang w:val="en-US" w:eastAsia="zh-CN"/>
              </w:rPr>
              <w:t xml:space="preserve">或扫描件</w:t>
            </w:r>
            <w:r>
              <w:rPr>
                <w:rFonts w:hint="eastAsia" w:ascii="方正仿宋_GBK" w:hAnsi="方正仿宋_GBK" w:eastAsia="方正仿宋_GBK" w:cs="方正仿宋_GBK"/>
                <w:color w:val="auto"/>
                <w:sz w:val="28"/>
                <w:szCs w:val="28"/>
                <w:highlight w:val="none"/>
              </w:rPr>
              <w:t xml:space="preserve">和业主或业主单位管理部门开具的类似项目管理经验证明材料以及开标前由投标人为其缴纳的近六个月（不含投标当月）中任意一个月的社保证明材料复印件并加盖投标人公章）</w:t>
            </w:r>
            <w:r>
              <w:rPr>
                <w:highlight w:val="none"/>
              </w:rPr>
            </w:r>
          </w:p>
        </w:tc>
      </w:tr>
      <w:tr>
        <w:trPr>
          <w:trHeight w:val="7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vMerge w:val="continue"/>
            <w:textDirection w:val="lrTb"/>
            <w:noWrap w:val="false"/>
          </w:tcPr>
          <w:p>
            <w:pPr>
              <w:jc w:val="center"/>
              <w:spacing w:line="360" w:lineRule="exact"/>
              <w:rPr>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5" w:type="dxa"/>
            <w:vAlign w:val="center"/>
            <w:vMerge w:val="continue"/>
            <w:textDirection w:val="lrTb"/>
            <w:noWrap w:val="false"/>
          </w:tcPr>
          <w:p>
            <w:pPr>
              <w:spacing w:line="360" w:lineRule="exact"/>
              <w:rPr>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0" w:type="dxa"/>
            <w:vAlign w:val="center"/>
            <w:textDirection w:val="lrTb"/>
            <w:noWrap w:val="false"/>
          </w:tcPr>
          <w:p>
            <w:pPr>
              <w:jc w:val="cente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lang w:val="en-US" w:eastAsia="zh-CN"/>
              </w:rPr>
              <w:t xml:space="preserve">7</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85" w:type="dxa"/>
            <w:vAlign w:val="top"/>
            <w:textDirection w:val="lrTb"/>
            <w:noWrap w:val="false"/>
          </w:tcPr>
          <w:p>
            <w:pPr>
              <w:spacing w:line="360" w:lineRule="exact"/>
              <w:rPr>
                <w:rFonts w:hint="eastAsia" w:ascii="方正仿宋_GBK" w:hAnsi="方正仿宋_GBK" w:eastAsia="方正仿宋_GBK" w:cs="方正仿宋_GBK"/>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3.2楼宇主管（</w:t>
            </w:r>
            <w:r>
              <w:rPr>
                <w:rFonts w:hint="eastAsia" w:ascii="方正仿宋_GBK" w:hAnsi="方正仿宋_GBK" w:eastAsia="方正仿宋_GBK" w:cs="方正仿宋_GBK"/>
                <w:b/>
                <w:color w:val="auto"/>
                <w:sz w:val="28"/>
                <w:szCs w:val="28"/>
                <w:highlight w:val="none"/>
                <w:lang w:val="en-US" w:eastAsia="zh-CN"/>
              </w:rPr>
              <w:t xml:space="preserve">7</w:t>
            </w:r>
            <w:r>
              <w:rPr>
                <w:rFonts w:hint="eastAsia" w:ascii="方正仿宋_GBK" w:hAnsi="方正仿宋_GBK" w:eastAsia="方正仿宋_GBK" w:cs="方正仿宋_GBK"/>
                <w:b/>
                <w:color w:val="auto"/>
                <w:sz w:val="28"/>
                <w:szCs w:val="28"/>
                <w:highlight w:val="none"/>
              </w:rPr>
              <w:t xml:space="preserve">分）</w:t>
            </w:r>
            <w:r>
              <w:rPr>
                <w:highlight w:val="none"/>
              </w:rPr>
            </w:r>
          </w:p>
          <w:p>
            <w:pP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（1）具有专科及以上学历得</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rPr>
              <w:t xml:space="preserve">分；</w:t>
            </w:r>
            <w:r>
              <w:rPr>
                <w:highlight w:val="none"/>
              </w:rPr>
            </w:r>
          </w:p>
          <w:p>
            <w:pPr>
              <w:pStyle w:val="943"/>
              <w:ind w:left="0" w:right="0"/>
              <w:jc w:val="both"/>
              <w:keepLines w:val="0"/>
              <w:keepNext w:val="0"/>
              <w:spacing w:before="0" w:beforeAutospacing="0" w:after="0" w:afterAutospacing="0" w:line="0" w:lineRule="atLeas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K" w:hAnsi="方正仿宋_GBK" w:eastAsia="方正仿宋_GBK" w:cs="方正仿宋_GBK"/>
                <w:color w:val="auto"/>
                <w:sz w:val="28"/>
                <w:szCs w:val="28"/>
                <w:highlight w:val="none"/>
                <w:lang w:val="en-US" w:eastAsia="zh-CN" w:bidi="ar-SA"/>
              </w:rPr>
              <w:t xml:space="preserve">（2）具有与本项目类似的楼宇管理经验，3年以上（含3年）不满5年（不含5年）的，得3分；5年及以上的，得5分，未提供或未按要求提供的不得分。</w:t>
            </w:r>
            <w:r>
              <w:rPr>
                <w:highlight w:val="none"/>
              </w:rPr>
            </w:r>
          </w:p>
          <w:p>
            <w:pP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（须提交清晰的证书复印件和业主开具的类似项目管理经验证明材料以及开标前由投标人为其缴纳的近六个月（不含投标当月）中任意一个月的社保证明材料复印件并加盖投标人公章）</w:t>
            </w:r>
            <w:r>
              <w:rPr>
                <w:highlight w:val="none"/>
              </w:rPr>
            </w:r>
          </w:p>
        </w:tc>
      </w:tr>
      <w:tr>
        <w:trPr>
          <w:trHeight w:val="634"/>
        </w:trPr>
        <w:tc>
          <w:tcPr>
            <w:tcBorders>
              <w:top w:val="single" w:color="000000" w:sz="4" w:space="0"/>
              <w:left w:val="single" w:color="000000" w:sz="4" w:space="0"/>
              <w:bottom w:val="single" w:color="000000" w:sz="4" w:space="0"/>
              <w:right w:val="single" w:color="000000" w:sz="4" w:space="0"/>
            </w:tcBorders>
            <w:tcW w:w="878" w:type="dxa"/>
            <w:vAlign w:val="center"/>
            <w:vMerge w:val="continue"/>
            <w:textDirection w:val="lrTb"/>
            <w:noWrap w:val="false"/>
          </w:tcPr>
          <w:p>
            <w:pPr>
              <w:jc w:val="center"/>
              <w:spacing w:line="3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95" w:type="dxa"/>
            <w:vAlign w:val="center"/>
            <w:vMerge w:val="continue"/>
            <w:textDirection w:val="lrTb"/>
            <w:noWrap w:val="false"/>
          </w:tcPr>
          <w:p>
            <w:pPr>
              <w:spacing w:line="3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0" w:type="dxa"/>
            <w:vAlign w:val="center"/>
            <w:textDirection w:val="lrTb"/>
            <w:noWrap w:val="false"/>
          </w:tcPr>
          <w:p>
            <w:pPr>
              <w:jc w:val="cente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lang w:val="en-US" w:eastAsia="zh-CN"/>
              </w:rPr>
              <w:t xml:space="preserve">7</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85" w:type="dxa"/>
            <w:vAlign w:val="center"/>
            <w:textDirection w:val="lrTb"/>
            <w:noWrap w:val="false"/>
          </w:tcPr>
          <w:p>
            <w:pPr>
              <w:spacing w:line="360" w:lineRule="exact"/>
              <w:rPr>
                <w:rFonts w:hint="eastAsia" w:ascii="方正仿宋_GBK" w:hAnsi="方正仿宋_GBK" w:eastAsia="方正仿宋_GBK" w:cs="方正仿宋_GBK"/>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val="0"/>
                <w:color w:val="auto"/>
                <w:sz w:val="28"/>
                <w:szCs w:val="28"/>
                <w:highlight w:val="none"/>
              </w:rPr>
              <w:t xml:space="preserve">3.3 楼宇巡查员（</w:t>
            </w:r>
            <w:r>
              <w:rPr>
                <w:rFonts w:hint="eastAsia" w:ascii="方正仿宋_GBK" w:hAnsi="方正仿宋_GBK" w:eastAsia="方正仿宋_GBK" w:cs="方正仿宋_GBK"/>
                <w:b/>
                <w:bCs w:val="0"/>
                <w:color w:val="auto"/>
                <w:sz w:val="28"/>
                <w:szCs w:val="28"/>
                <w:highlight w:val="none"/>
                <w:lang w:val="en-US" w:eastAsia="zh-CN"/>
              </w:rPr>
              <w:t xml:space="preserve">7</w:t>
            </w:r>
            <w:r>
              <w:rPr>
                <w:rFonts w:hint="eastAsia" w:ascii="方正仿宋_GBK" w:hAnsi="方正仿宋_GBK" w:eastAsia="方正仿宋_GBK" w:cs="方正仿宋_GBK"/>
                <w:b/>
                <w:bCs w:val="0"/>
                <w:color w:val="auto"/>
                <w:sz w:val="28"/>
                <w:szCs w:val="28"/>
                <w:highlight w:val="none"/>
              </w:rPr>
              <w:t xml:space="preserve">分）</w:t>
            </w:r>
            <w:r>
              <w:rPr>
                <w:highlight w:val="none"/>
              </w:rPr>
            </w:r>
          </w:p>
          <w:p>
            <w:pP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（1）具有</w:t>
            </w:r>
            <w:r>
              <w:rPr>
                <w:rFonts w:hint="eastAsia" w:ascii="方正仿宋_GBK" w:hAnsi="方正仿宋_GBK" w:eastAsia="方正仿宋_GBK" w:cs="方正仿宋_GBK"/>
                <w:color w:val="auto"/>
                <w:sz w:val="28"/>
                <w:szCs w:val="28"/>
                <w:highlight w:val="none"/>
                <w:lang w:val="en-US" w:eastAsia="zh-CN"/>
              </w:rPr>
              <w:t xml:space="preserve">专科</w:t>
            </w:r>
            <w:r>
              <w:rPr>
                <w:rFonts w:hint="eastAsia" w:ascii="方正仿宋_GBK" w:hAnsi="方正仿宋_GBK" w:eastAsia="方正仿宋_GBK" w:cs="方正仿宋_GBK"/>
                <w:color w:val="auto"/>
                <w:sz w:val="28"/>
                <w:szCs w:val="28"/>
                <w:highlight w:val="none"/>
              </w:rPr>
              <w:t xml:space="preserve">及以上学历</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每满足一人得</w:t>
            </w:r>
            <w:r>
              <w:rPr>
                <w:rFonts w:hint="eastAsia" w:ascii="方正仿宋_GBK" w:hAnsi="方正仿宋_GBK" w:eastAsia="方正仿宋_GBK" w:cs="方正仿宋_GBK"/>
                <w:color w:val="auto"/>
                <w:sz w:val="28"/>
                <w:szCs w:val="28"/>
                <w:highlight w:val="none"/>
                <w:lang w:val="en-US" w:eastAsia="zh-CN"/>
              </w:rPr>
              <w:t xml:space="preserve">1.5</w:t>
            </w:r>
            <w:r>
              <w:rPr>
                <w:rFonts w:hint="eastAsia" w:ascii="方正仿宋_GBK" w:hAnsi="方正仿宋_GBK" w:eastAsia="方正仿宋_GBK" w:cs="方正仿宋_GBK"/>
                <w:color w:val="auto"/>
                <w:sz w:val="28"/>
                <w:szCs w:val="28"/>
                <w:highlight w:val="none"/>
              </w:rPr>
              <w:t xml:space="preserve">分，最高得</w:t>
            </w:r>
            <w:r>
              <w:rPr>
                <w:rFonts w:hint="eastAsia" w:ascii="方正仿宋_GBK" w:hAnsi="方正仿宋_GBK" w:eastAsia="方正仿宋_GBK" w:cs="方正仿宋_GBK"/>
                <w:color w:val="auto"/>
                <w:sz w:val="28"/>
                <w:szCs w:val="28"/>
                <w:highlight w:val="none"/>
                <w:lang w:val="en-US" w:eastAsia="zh-CN"/>
              </w:rPr>
              <w:t xml:space="preserve">3</w:t>
            </w:r>
            <w:r>
              <w:rPr>
                <w:rFonts w:hint="eastAsia" w:ascii="方正仿宋_GBK" w:hAnsi="方正仿宋_GBK" w:eastAsia="方正仿宋_GBK" w:cs="方正仿宋_GBK"/>
                <w:color w:val="auto"/>
                <w:sz w:val="28"/>
                <w:szCs w:val="28"/>
                <w:highlight w:val="none"/>
              </w:rPr>
              <w:t xml:space="preserve">分；</w:t>
            </w:r>
            <w:r>
              <w:rPr>
                <w:highlight w:val="none"/>
              </w:rPr>
            </w:r>
          </w:p>
          <w:p>
            <w:pP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（2）具有3年及以上</w:t>
            </w:r>
            <w:r>
              <w:rPr>
                <w:rFonts w:hint="eastAsia" w:ascii="方正仿宋_GBK" w:hAnsi="方正仿宋_GBK" w:eastAsia="方正仿宋_GBK" w:cs="方正仿宋_GBK"/>
                <w:color w:val="auto"/>
                <w:sz w:val="28"/>
                <w:szCs w:val="28"/>
                <w:highlight w:val="none"/>
                <w:lang w:val="en-US" w:eastAsia="zh-CN"/>
              </w:rPr>
              <w:t xml:space="preserve">与本项目</w:t>
            </w:r>
            <w:r>
              <w:rPr>
                <w:rFonts w:hint="eastAsia" w:ascii="方正仿宋_GBK" w:hAnsi="方正仿宋_GBK" w:eastAsia="方正仿宋_GBK" w:cs="方正仿宋_GBK"/>
                <w:color w:val="auto"/>
                <w:sz w:val="28"/>
                <w:szCs w:val="28"/>
                <w:highlight w:val="none"/>
              </w:rPr>
              <w:t xml:space="preserve">类似</w:t>
            </w:r>
            <w:r>
              <w:rPr>
                <w:rFonts w:hint="eastAsia" w:ascii="方正仿宋_GBK" w:hAnsi="方正仿宋_GBK" w:eastAsia="方正仿宋_GBK" w:cs="方正仿宋_GBK"/>
                <w:color w:val="auto"/>
                <w:sz w:val="28"/>
                <w:szCs w:val="28"/>
                <w:highlight w:val="none"/>
                <w:lang w:val="en-US" w:eastAsia="zh-CN"/>
              </w:rPr>
              <w:t xml:space="preserve">的</w:t>
            </w:r>
            <w:r>
              <w:rPr>
                <w:rFonts w:hint="eastAsia" w:ascii="方正仿宋_GBK" w:hAnsi="方正仿宋_GBK" w:eastAsia="方正仿宋_GBK" w:cs="方正仿宋_GBK"/>
                <w:color w:val="auto"/>
                <w:sz w:val="28"/>
                <w:szCs w:val="28"/>
                <w:highlight w:val="none"/>
              </w:rPr>
              <w:t xml:space="preserve">管理经验</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每满足一人得2分，最高得4分；</w:t>
            </w:r>
            <w:r>
              <w:rPr>
                <w:highlight w:val="none"/>
              </w:rPr>
            </w:r>
          </w:p>
          <w:p>
            <w:pP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（须提交清晰的证书复印件和业主或业主单位管理部门开具的类似项目管理经验证明材料以及开标前由投标人为其缴纳的近六个月（不含投标当月）中任意一个月的社保证明材料复印件并加盖投标人公章）</w:t>
            </w:r>
            <w:r>
              <w:rPr>
                <w:highlight w:val="none"/>
              </w:rPr>
            </w:r>
          </w:p>
        </w:tc>
      </w:tr>
      <w:tr>
        <w:trPr>
          <w:trHeight w:val="25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vMerge w:val="restart"/>
            <w:textDirection w:val="lrTb"/>
            <w:noWrap w:val="false"/>
          </w:tcPr>
          <w:p>
            <w:pPr>
              <w:jc w:val="cente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4</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5" w:type="dxa"/>
            <w:vAlign w:val="center"/>
            <w:vMerge w:val="restart"/>
            <w:textDirection w:val="lrTb"/>
            <w:noWrap w:val="false"/>
          </w:tcPr>
          <w:p>
            <w:pPr>
              <w:spacing w:line="360" w:lineRule="exact"/>
              <w:rPr>
                <w:rFonts w:hint="eastAsia" w:ascii="方正仿宋_GBK" w:hAnsi="方正仿宋_GBK" w:eastAsia="方正仿宋_GBK" w:cs="方正仿宋_GBK"/>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r>
            <w:r>
              <w:rPr>
                <w:highlight w:val="none"/>
              </w:rPr>
            </w:r>
          </w:p>
          <w:p>
            <w:pPr>
              <w:spacing w:line="360" w:lineRule="exact"/>
              <w:rPr>
                <w:rFonts w:hint="eastAsia" w:ascii="方正仿宋_GBK" w:hAnsi="方正仿宋_GBK" w:eastAsia="方正仿宋_GBK" w:cs="方正仿宋_GBK"/>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企业履约能力与成功案例</w:t>
            </w:r>
            <w:r>
              <w:rPr>
                <w:highlight w:val="none"/>
              </w:rPr>
            </w:r>
          </w:p>
          <w:p>
            <w:pP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w:t>
            </w:r>
            <w:r>
              <w:rPr>
                <w:rFonts w:hint="eastAsia" w:ascii="方正仿宋_GBK" w:hAnsi="方正仿宋_GBK" w:eastAsia="方正仿宋_GBK" w:cs="方正仿宋_GBK"/>
                <w:b/>
                <w:color w:val="auto"/>
                <w:sz w:val="28"/>
                <w:szCs w:val="28"/>
                <w:highlight w:val="none"/>
                <w:lang w:val="en-US" w:eastAsia="zh-CN"/>
              </w:rPr>
              <w:t xml:space="preserve">13</w:t>
            </w:r>
            <w:r>
              <w:rPr>
                <w:rFonts w:hint="eastAsia" w:ascii="方正仿宋_GBK" w:hAnsi="方正仿宋_GBK" w:eastAsia="方正仿宋_GBK" w:cs="方正仿宋_GBK"/>
                <w:b/>
                <w:color w:val="auto"/>
                <w:sz w:val="28"/>
                <w:szCs w:val="28"/>
                <w:highlight w:val="none"/>
              </w:rPr>
              <w:t xml:space="preserve">分）</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0" w:type="dxa"/>
            <w:vAlign w:val="center"/>
            <w:vMerge w:val="restart"/>
            <w:textDirection w:val="lrTb"/>
            <w:noWrap w:val="false"/>
          </w:tcPr>
          <w:p>
            <w:pPr>
              <w:jc w:val="center"/>
              <w:spacing w:line="360" w:lineRule="exact"/>
              <w:rPr>
                <w:rFonts w:hint="default"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lang w:val="en-US" w:eastAsia="zh-CN"/>
              </w:rPr>
              <w:t xml:space="preserve">10</w:t>
            </w:r>
            <w:r>
              <w:rPr>
                <w:highlight w:val="none"/>
              </w:rP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5885" w:type="dxa"/>
            <w:vAlign w:val="center"/>
            <w:textDirection w:val="lrTb"/>
            <w:noWrap w:val="false"/>
          </w:tcPr>
          <w:p>
            <w:pPr>
              <w:spacing w:line="360" w:lineRule="exact"/>
              <w:rPr>
                <w:rFonts w:hint="eastAsia" w:ascii="方正仿宋_GBK" w:hAnsi="方正仿宋_GBK" w:eastAsia="方正仿宋_GBK" w:cs="方正仿宋_GBK"/>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val="0"/>
                <w:color w:val="auto"/>
                <w:sz w:val="28"/>
                <w:szCs w:val="28"/>
                <w:highlight w:val="none"/>
              </w:rPr>
              <w:t xml:space="preserve">4.1成功案例（</w:t>
            </w:r>
            <w:r>
              <w:rPr>
                <w:rFonts w:hint="eastAsia" w:ascii="方正仿宋_GBK" w:hAnsi="方正仿宋_GBK" w:eastAsia="方正仿宋_GBK" w:cs="方正仿宋_GBK"/>
                <w:b/>
                <w:bCs w:val="0"/>
                <w:color w:val="auto"/>
                <w:sz w:val="28"/>
                <w:szCs w:val="28"/>
                <w:highlight w:val="none"/>
                <w:lang w:val="en-US" w:eastAsia="zh-CN"/>
              </w:rPr>
              <w:t xml:space="preserve">5</w:t>
            </w:r>
            <w:r>
              <w:rPr>
                <w:rFonts w:hint="eastAsia" w:ascii="方正仿宋_GBK" w:hAnsi="方正仿宋_GBK" w:eastAsia="方正仿宋_GBK" w:cs="方正仿宋_GBK"/>
                <w:b/>
                <w:bCs w:val="0"/>
                <w:color w:val="auto"/>
                <w:sz w:val="28"/>
                <w:szCs w:val="28"/>
                <w:highlight w:val="none"/>
              </w:rPr>
              <w:t xml:space="preserve">分）</w:t>
            </w:r>
            <w:r>
              <w:rPr>
                <w:highlight w:val="none"/>
              </w:rPr>
            </w:r>
          </w:p>
          <w:p>
            <w:pP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投标人202</w:t>
            </w:r>
            <w:r>
              <w:rPr>
                <w:rFonts w:hint="eastAsia" w:ascii="方正仿宋_GBK" w:hAnsi="方正仿宋_GBK" w:eastAsia="方正仿宋_GBK" w:cs="方正仿宋_GBK"/>
                <w:color w:val="auto"/>
                <w:sz w:val="28"/>
                <w:szCs w:val="28"/>
                <w:highlight w:val="none"/>
                <w:lang w:eastAsia="zh-CN"/>
              </w:rPr>
              <w:t xml:space="preserve">3</w:t>
            </w:r>
            <w:r>
              <w:rPr>
                <w:rFonts w:hint="eastAsia" w:ascii="方正仿宋_GBK" w:hAnsi="方正仿宋_GBK" w:eastAsia="方正仿宋_GBK" w:cs="方正仿宋_GBK"/>
                <w:color w:val="auto"/>
                <w:sz w:val="28"/>
                <w:szCs w:val="28"/>
                <w:highlight w:val="none"/>
              </w:rPr>
              <w:t xml:space="preserve">年</w:t>
            </w:r>
            <w:r>
              <w:rPr>
                <w:rFonts w:hint="eastAsia" w:ascii="方正仿宋_GBK" w:hAnsi="方正仿宋_GBK" w:eastAsia="方正仿宋_GBK" w:cs="方正仿宋_GBK"/>
                <w:color w:val="auto"/>
                <w:sz w:val="28"/>
                <w:szCs w:val="28"/>
                <w:highlight w:val="none"/>
                <w:lang w:eastAsia="zh-CN"/>
              </w:rPr>
              <w:t xml:space="preserve">7</w:t>
            </w:r>
            <w:r>
              <w:rPr>
                <w:rFonts w:hint="eastAsia" w:ascii="方正仿宋_GBK" w:hAnsi="方正仿宋_GBK" w:eastAsia="方正仿宋_GBK" w:cs="方正仿宋_GBK"/>
                <w:color w:val="auto"/>
                <w:sz w:val="28"/>
                <w:szCs w:val="28"/>
                <w:highlight w:val="none"/>
              </w:rPr>
              <w:t xml:space="preserve">月1日以来(以合同签订时间为准)承担的类似项目(非住宅类)管理的案例</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每个案例的服务内容</w:t>
            </w:r>
            <w:r>
              <w:rPr>
                <w:rFonts w:hint="eastAsia" w:ascii="方正仿宋_GBK" w:hAnsi="方正仿宋_GBK" w:eastAsia="方正仿宋_GBK" w:cs="方正仿宋_GBK"/>
                <w:color w:val="auto"/>
                <w:sz w:val="28"/>
                <w:szCs w:val="28"/>
                <w:highlight w:val="none"/>
                <w:lang w:val="en-US" w:eastAsia="zh-CN"/>
              </w:rPr>
              <w:t xml:space="preserve">应</w:t>
            </w:r>
            <w:r>
              <w:rPr>
                <w:rFonts w:hint="eastAsia" w:ascii="方正仿宋_GBK" w:hAnsi="方正仿宋_GBK" w:eastAsia="方正仿宋_GBK" w:cs="方正仿宋_GBK"/>
                <w:color w:val="auto"/>
                <w:sz w:val="28"/>
                <w:szCs w:val="28"/>
                <w:highlight w:val="none"/>
              </w:rPr>
              <w:t xml:space="preserve">包含: ①楼宇管理服务 ②保洁服务。</w:t>
            </w:r>
            <w:r>
              <w:rPr>
                <w:rFonts w:hint="eastAsia" w:ascii="方正仿宋_GBK" w:hAnsi="方正仿宋_GBK" w:eastAsia="方正仿宋_GBK" w:cs="方正仿宋_GBK"/>
                <w:color w:val="auto"/>
                <w:sz w:val="28"/>
                <w:szCs w:val="28"/>
                <w:highlight w:val="none"/>
                <w:lang w:val="en-US" w:eastAsia="zh-CN"/>
              </w:rPr>
              <w:t xml:space="preserve">上述案例按要求每</w:t>
            </w:r>
            <w:r>
              <w:rPr>
                <w:rFonts w:hint="eastAsia" w:ascii="方正仿宋_GBK" w:hAnsi="方正仿宋_GBK" w:eastAsia="方正仿宋_GBK" w:cs="方正仿宋_GBK"/>
                <w:color w:val="auto"/>
                <w:sz w:val="28"/>
                <w:szCs w:val="28"/>
                <w:highlight w:val="none"/>
              </w:rPr>
              <w:t xml:space="preserve">提供一个得</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rPr>
              <w:t xml:space="preserve">分，满分</w:t>
            </w:r>
            <w:r>
              <w:rPr>
                <w:rFonts w:hint="eastAsia" w:ascii="方正仿宋_GBK" w:hAnsi="方正仿宋_GBK" w:eastAsia="方正仿宋_GBK" w:cs="方正仿宋_GBK"/>
                <w:color w:val="auto"/>
                <w:sz w:val="28"/>
                <w:szCs w:val="28"/>
                <w:highlight w:val="none"/>
                <w:lang w:val="en-US" w:eastAsia="zh-CN"/>
              </w:rPr>
              <w:t xml:space="preserve">5</w:t>
            </w:r>
            <w:r>
              <w:rPr>
                <w:rFonts w:hint="eastAsia" w:ascii="方正仿宋_GBK" w:hAnsi="方正仿宋_GBK" w:eastAsia="方正仿宋_GBK" w:cs="方正仿宋_GBK"/>
                <w:color w:val="auto"/>
                <w:sz w:val="28"/>
                <w:szCs w:val="28"/>
                <w:highlight w:val="none"/>
              </w:rPr>
              <w:t xml:space="preserve">分。</w:t>
            </w:r>
            <w:r>
              <w:rPr>
                <w:highlight w:val="none"/>
              </w:rPr>
            </w:r>
          </w:p>
          <w:p>
            <w:pP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注：</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rPr>
              <w:t xml:space="preserve">需提供合同复印件以及合同期内任意一期的物业费银行回单复印件并加盖公章，在同一家单位服务的不同物业合同只算一个业绩。</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rPr>
              <w:t xml:space="preserve">服务内容以合同体现内容为准（合同至少包含合同首页、体现服务内容页、服务起始时间页、甲乙方盖章页，合同期限至少一年），服务内容相同，表述不同视为相同。</w:t>
            </w:r>
            <w:r>
              <w:rPr>
                <w:highlight w:val="none"/>
              </w:rPr>
            </w:r>
          </w:p>
        </w:tc>
      </w:tr>
      <w:tr>
        <w:trPr>
          <w:trHeight w:val="20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vMerge w:val="continue"/>
            <w:textDirection w:val="lrTb"/>
            <w:noWrap w:val="false"/>
          </w:tcPr>
          <w:p>
            <w:pPr>
              <w:jc w:val="center"/>
              <w:spacing w:line="3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5" w:type="dxa"/>
            <w:vAlign w:val="center"/>
            <w:vMerge w:val="continue"/>
            <w:textDirection w:val="lrTb"/>
            <w:noWrap w:val="false"/>
          </w:tcPr>
          <w:p>
            <w:pPr>
              <w:jc w:val="center"/>
              <w:spacing w:line="3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1010" w:type="dxa"/>
            <w:vAlign w:val="center"/>
            <w:vMerge w:val="continue"/>
            <w:textDirection w:val="lrTb"/>
            <w:noWrap w:val="false"/>
          </w:tcPr>
          <w:p>
            <w:pPr>
              <w:jc w:val="cente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85" w:type="dxa"/>
            <w:vAlign w:val="center"/>
            <w:textDirection w:val="lrTb"/>
            <w:noWrap w:val="false"/>
          </w:tcPr>
          <w:p>
            <w:pPr>
              <w:spacing w:line="360" w:lineRule="exact"/>
              <w:rPr>
                <w:rFonts w:ascii="方正仿宋_GBK" w:hAnsi="方正仿宋_GBK" w:eastAsia="方正仿宋_GBK" w:cs="方正仿宋_GBK"/>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auto"/>
                <w:sz w:val="28"/>
                <w:szCs w:val="28"/>
                <w:highlight w:val="none"/>
                <w:lang w:val="en-US" w:eastAsia="zh-CN"/>
              </w:rPr>
              <w:t xml:space="preserve">4.2业主评价（5分）</w:t>
            </w:r>
            <w:r>
              <w:rPr>
                <w:highlight w:val="none"/>
              </w:rPr>
            </w:r>
          </w:p>
          <w:p>
            <w:pP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满足上述要求的案例业绩中，业主单位评价为优秀或满意的，每有一个得</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rPr>
              <w:t xml:space="preserve">分，本小项满分</w:t>
            </w:r>
            <w:r>
              <w:rPr>
                <w:rFonts w:hint="eastAsia" w:ascii="方正仿宋_GBK" w:hAnsi="方正仿宋_GBK" w:eastAsia="方正仿宋_GBK" w:cs="方正仿宋_GBK"/>
                <w:color w:val="auto"/>
                <w:sz w:val="28"/>
                <w:szCs w:val="28"/>
                <w:highlight w:val="none"/>
                <w:lang w:val="en-US" w:eastAsia="zh-CN"/>
              </w:rPr>
              <w:t xml:space="preserve">5</w:t>
            </w:r>
            <w:r>
              <w:rPr>
                <w:rFonts w:hint="eastAsia" w:ascii="方正仿宋_GBK" w:hAnsi="方正仿宋_GBK" w:eastAsia="方正仿宋_GBK" w:cs="方正仿宋_GBK"/>
                <w:color w:val="auto"/>
                <w:sz w:val="28"/>
                <w:szCs w:val="28"/>
                <w:highlight w:val="none"/>
              </w:rPr>
              <w:t xml:space="preserve">分。</w:t>
            </w:r>
            <w:r>
              <w:rPr>
                <w:highlight w:val="none"/>
              </w:rPr>
            </w:r>
          </w:p>
          <w:p>
            <w:pP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注：提供业主或业主单位管理部门盖章的评价为优秀或满意的证明材料，同一服务单位的业绩不重复计分。</w:t>
            </w:r>
            <w:r>
              <w:rPr>
                <w:highlight w:val="none"/>
              </w:rPr>
            </w:r>
          </w:p>
        </w:tc>
      </w:tr>
      <w:tr>
        <w:trPr>
          <w:trHeight w:val="76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vMerge w:val="continue"/>
            <w:textDirection w:val="lrTb"/>
            <w:noWrap w:val="false"/>
          </w:tcPr>
          <w:p>
            <w:pPr>
              <w:jc w:val="center"/>
              <w:spacing w:line="360" w:lineRule="exact"/>
              <w:rPr>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5" w:type="dxa"/>
            <w:vAlign w:val="center"/>
            <w:vMerge w:val="continue"/>
            <w:textDirection w:val="lrTb"/>
            <w:noWrap w:val="false"/>
          </w:tcPr>
          <w:p>
            <w:pPr>
              <w:spacing w:line="360" w:lineRule="exact"/>
              <w:rPr>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1010" w:type="dxa"/>
            <w:vAlign w:val="center"/>
            <w:textDirection w:val="lrTb"/>
            <w:noWrap w:val="false"/>
          </w:tcPr>
          <w:p>
            <w:pPr>
              <w:jc w:val="cente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3</w:t>
            </w:r>
            <w:r>
              <w:rPr>
                <w:highlight w:val="none"/>
              </w:rP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85" w:type="dxa"/>
            <w:vAlign w:val="center"/>
            <w:textDirection w:val="lrTb"/>
            <w:noWrap w:val="false"/>
          </w:tcPr>
          <w:p>
            <w:pPr>
              <w:spacing w:line="360" w:lineRule="exact"/>
              <w:rPr>
                <w:rFonts w:hint="eastAsia" w:ascii="方正仿宋_GBK" w:hAnsi="方正仿宋_GBK" w:eastAsia="方正仿宋_GBK" w:cs="方正仿宋_GBK"/>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4.</w:t>
            </w:r>
            <w:r>
              <w:rPr>
                <w:rFonts w:hint="eastAsia" w:ascii="方正仿宋_GBK" w:hAnsi="方正仿宋_GBK" w:eastAsia="方正仿宋_GBK" w:cs="方正仿宋_GBK"/>
                <w:b/>
                <w:color w:val="auto"/>
                <w:sz w:val="28"/>
                <w:szCs w:val="28"/>
                <w:highlight w:val="none"/>
                <w:lang w:val="en-US" w:eastAsia="zh-CN"/>
              </w:rPr>
              <w:t xml:space="preserve">3</w:t>
            </w:r>
            <w:r>
              <w:rPr>
                <w:rFonts w:hint="eastAsia" w:ascii="方正仿宋_GBK" w:hAnsi="方正仿宋_GBK" w:eastAsia="方正仿宋_GBK" w:cs="方正仿宋_GBK"/>
                <w:b/>
                <w:color w:val="auto"/>
                <w:sz w:val="28"/>
                <w:szCs w:val="28"/>
                <w:highlight w:val="none"/>
              </w:rPr>
              <w:t xml:space="preserve">管理体系（3分）</w:t>
            </w:r>
            <w:r>
              <w:rPr>
                <w:highlight w:val="none"/>
              </w:rPr>
            </w:r>
          </w:p>
          <w:p>
            <w:pP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投标人具有国家认可的机构颁发的有效期内的：</w:t>
            </w:r>
            <w:r>
              <w:rPr>
                <w:highlight w:val="none"/>
              </w:rPr>
            </w:r>
          </w:p>
          <w:p>
            <w:pP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（1）ISO9001质量管理体系认证证书；</w:t>
            </w:r>
            <w:r>
              <w:rPr>
                <w:highlight w:val="none"/>
              </w:rPr>
            </w:r>
          </w:p>
          <w:p>
            <w:pP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（2）ISO14001环境管理体系认证证书；</w:t>
            </w:r>
            <w:r>
              <w:rPr>
                <w:highlight w:val="none"/>
              </w:rPr>
            </w:r>
          </w:p>
          <w:p>
            <w:pP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（3）ISO45001职业健康安全管理体系认证证书；</w:t>
            </w:r>
            <w:r>
              <w:rPr>
                <w:highlight w:val="none"/>
              </w:rPr>
            </w:r>
          </w:p>
          <w:p>
            <w:pPr>
              <w:spacing w:line="360" w:lineRule="exact"/>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上述证书每提供一个得1分，满分3分。（认证证书需在有效期内，提供清晰的证书复印件</w:t>
            </w:r>
            <w:r>
              <w:rPr>
                <w:rFonts w:hint="eastAsia" w:ascii="方正仿宋_GBK" w:hAnsi="方正仿宋_GBK" w:eastAsia="方正仿宋_GBK" w:cs="方正仿宋_GBK"/>
                <w:color w:val="auto"/>
                <w:sz w:val="28"/>
                <w:szCs w:val="28"/>
                <w:highlight w:val="none"/>
                <w:lang w:val="en-US" w:eastAsia="zh-CN"/>
              </w:rPr>
              <w:t xml:space="preserve">或扫描件并加盖投标人公章，</w:t>
            </w:r>
            <w:r>
              <w:rPr>
                <w:rFonts w:hint="eastAsia" w:ascii="方正仿宋_GBK" w:hAnsi="方正仿宋_GBK" w:eastAsia="方正仿宋_GBK" w:cs="方正仿宋_GBK"/>
                <w:color w:val="auto"/>
                <w:sz w:val="28"/>
                <w:szCs w:val="28"/>
                <w:highlight w:val="none"/>
              </w:rPr>
              <w:t xml:space="preserve">否则不得分）</w:t>
            </w:r>
            <w:r>
              <w:rPr>
                <w:highlight w:val="none"/>
              </w:rPr>
            </w:r>
          </w:p>
        </w:tc>
      </w:tr>
    </w:tbl>
    <w:p>
      <w:pPr>
        <w:rPr>
          <w:rFonts w:hint="eastAsia" w:ascii="方正仿宋_GBK" w:hAnsi="方正仿宋_GBK" w:eastAsia="方正仿宋_GBK" w:cs="方正仿宋_GBK"/>
          <w:b/>
          <w:bCs/>
          <w:color w:val="000000"/>
          <w:sz w:val="32"/>
          <w:szCs w:val="32"/>
          <w:highlight w:val="none"/>
        </w:rPr>
      </w:pPr>
      <w:r>
        <w:rPr>
          <w:rFonts w:hint="eastAsia" w:ascii="方正仿宋_GBK" w:hAnsi="方正仿宋_GBK" w:eastAsia="方正仿宋_GBK" w:cs="方正仿宋_GBK"/>
          <w:b/>
          <w:bCs/>
          <w:color w:val="000000"/>
          <w:sz w:val="32"/>
          <w:szCs w:val="32"/>
          <w:highlight w:val="none"/>
        </w:rPr>
        <w:br w:type="page" w:clear="all"/>
      </w:r>
      <w:r>
        <w:rPr>
          <w:highlight w:val="none"/>
        </w:rPr>
      </w:r>
    </w:p>
    <w:p>
      <w:pPr>
        <w:rPr>
          <w:rFonts w:hint="eastAsia" w:ascii="方正仿宋_GBK" w:hAnsi="方正仿宋_GBK" w:eastAsia="方正仿宋_GBK" w:cs="方正仿宋_GBK"/>
          <w:b/>
          <w:bCs/>
          <w:color w:val="000000"/>
          <w:sz w:val="32"/>
          <w:szCs w:val="32"/>
          <w:highlight w:val="none"/>
        </w:rPr>
      </w:pPr>
      <w:r>
        <w:rPr>
          <w:rFonts w:hint="eastAsia" w:ascii="方正仿宋_GBK" w:hAnsi="方正仿宋_GBK" w:eastAsia="方正仿宋_GBK" w:cs="方正仿宋_GBK"/>
          <w:b/>
          <w:bCs/>
          <w:color w:val="000000"/>
          <w:sz w:val="32"/>
          <w:szCs w:val="32"/>
          <w:highlight w:val="none"/>
        </w:rPr>
        <w:t xml:space="preserve">分包二：</w:t>
      </w:r>
      <w:r>
        <w:rPr>
          <w:highlight w:val="none"/>
        </w:rPr>
      </w:r>
    </w:p>
    <w:tbl>
      <w:tblPr>
        <w:tblStyle w:val="711"/>
        <w:tblW w:w="9791" w:type="dxa"/>
        <w:tblInd w:w="-63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1350"/>
        <w:gridCol w:w="941"/>
        <w:gridCol w:w="6613"/>
      </w:tblGrid>
      <w:tr>
        <w:trPr>
          <w:trHeight w:val="40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center"/>
            <w:textDirection w:val="lrTb"/>
            <w:noWrap w:val="false"/>
          </w:tcPr>
          <w:p>
            <w:pPr>
              <w:jc w:val="center"/>
              <w:keepLines w:val="0"/>
              <w:keepNext w:val="0"/>
              <w:pageBreakBefore w:val="0"/>
              <w:spacing w:line="360" w:lineRule="exact"/>
              <w:widowControl w:val="o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szCs w:val="28"/>
                <w:highlight w:val="none"/>
              </w:rPr>
              <w:t xml:space="preserve">序号</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0" w:type="dxa"/>
            <w:vAlign w:val="center"/>
            <w:textDirection w:val="lrTb"/>
            <w:noWrap w:val="false"/>
          </w:tcPr>
          <w:p>
            <w:pPr>
              <w:jc w:val="center"/>
              <w:keepLines w:val="0"/>
              <w:keepNext w:val="0"/>
              <w:pageBreakBefore w:val="0"/>
              <w:spacing w:line="360" w:lineRule="exact"/>
              <w:widowControl w:val="o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szCs w:val="28"/>
                <w:highlight w:val="none"/>
              </w:rPr>
              <w:t xml:space="preserve">评审因素</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jc w:val="center"/>
              <w:keepLines w:val="0"/>
              <w:keepNext w:val="0"/>
              <w:pageBreakBefore w:val="0"/>
              <w:spacing w:line="360" w:lineRule="exact"/>
              <w:widowControl w:val="o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szCs w:val="28"/>
                <w:highlight w:val="none"/>
              </w:rPr>
              <w:t xml:space="preserve">分数</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3" w:type="dxa"/>
            <w:vAlign w:val="center"/>
            <w:textDirection w:val="lrTb"/>
            <w:noWrap w:val="false"/>
          </w:tcPr>
          <w:p>
            <w:pPr>
              <w:jc w:val="center"/>
              <w:keepLines w:val="0"/>
              <w:keepNext w:val="0"/>
              <w:pageBreakBefore w:val="0"/>
              <w:spacing w:line="360" w:lineRule="exact"/>
              <w:widowControl w:val="o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szCs w:val="28"/>
                <w:highlight w:val="none"/>
              </w:rPr>
              <w:t xml:space="preserve">评审标准</w:t>
            </w:r>
            <w:r>
              <w:rPr>
                <w:highlight w:val="none"/>
              </w:rPr>
            </w:r>
          </w:p>
        </w:tc>
      </w:tr>
      <w:tr>
        <w:trPr>
          <w:trHeight w:val="12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center"/>
            <w:textDirection w:val="lrTb"/>
            <w:noWrap w:val="false"/>
          </w:tcPr>
          <w:p>
            <w:pPr>
              <w:jc w:val="center"/>
              <w:keepLines w:val="0"/>
              <w:keepNext w:val="0"/>
              <w:pageBreakBefore w:val="0"/>
              <w:spacing w:line="360" w:lineRule="exact"/>
              <w:widowControl w:val="o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8"/>
                <w:highlight w:val="none"/>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0" w:type="dxa"/>
            <w:vAlign w:val="center"/>
            <w:textDirection w:val="lrTb"/>
            <w:noWrap w:val="false"/>
          </w:tcPr>
          <w:p>
            <w:pPr>
              <w:jc w:val="center"/>
              <w:keepLines w:val="0"/>
              <w:keepNext w:val="0"/>
              <w:pageBreakBefore w:val="0"/>
              <w:spacing w:line="360" w:lineRule="exact"/>
              <w:widowControl w:val="off"/>
              <w:rPr>
                <w:rFonts w:hint="eastAsia" w:ascii="方正仿宋_GBK" w:hAnsi="方正仿宋_GBK" w:eastAsia="方正仿宋_GBK" w:cs="方正仿宋_GBK"/>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价格</w:t>
            </w:r>
            <w:r>
              <w:rPr>
                <w:highlight w:val="none"/>
              </w:rPr>
            </w:r>
          </w:p>
          <w:p>
            <w:pPr>
              <w:jc w:val="center"/>
              <w:keepLines w:val="0"/>
              <w:keepNext w:val="0"/>
              <w:pageBreakBefore w:val="0"/>
              <w:spacing w:line="360" w:lineRule="exact"/>
              <w:widowControl w:val="off"/>
              <w:rPr>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（2</w:t>
            </w:r>
            <w:r>
              <w:rPr>
                <w:rFonts w:hint="eastAsia" w:ascii="方正仿宋_GBK" w:hAnsi="方正仿宋_GBK" w:eastAsia="方正仿宋_GBK" w:cs="方正仿宋_GBK"/>
                <w:b/>
                <w:color w:val="000000"/>
                <w:sz w:val="28"/>
                <w:szCs w:val="28"/>
                <w:highlight w:val="none"/>
                <w:lang w:val="en-US" w:eastAsia="zh-CN"/>
              </w:rPr>
              <w:t xml:space="preserve">2</w:t>
            </w:r>
            <w:r>
              <w:rPr>
                <w:rFonts w:hint="eastAsia" w:ascii="方正仿宋_GBK" w:hAnsi="方正仿宋_GBK" w:eastAsia="方正仿宋_GBK" w:cs="方正仿宋_GBK"/>
                <w:b/>
                <w:color w:val="000000"/>
                <w:sz w:val="28"/>
                <w:szCs w:val="28"/>
                <w:highlight w:val="none"/>
              </w:rPr>
              <w:t xml:space="preserve">分）</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jc w:val="center"/>
              <w:keepLines w:val="0"/>
              <w:keepNext w:val="0"/>
              <w:pageBreakBefore w:val="0"/>
              <w:spacing w:line="360" w:lineRule="exact"/>
              <w:widowControl w:val="off"/>
              <w:rPr>
                <w:rFonts w:hint="eastAsia" w:eastAsia="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2</w:t>
            </w:r>
            <w:r>
              <w:rPr>
                <w:rFonts w:hint="eastAsia" w:ascii="方正仿宋_GBK" w:hAnsi="方正仿宋_GBK" w:eastAsia="方正仿宋_GBK" w:cs="方正仿宋_GBK"/>
                <w:b/>
                <w:color w:val="000000"/>
                <w:sz w:val="28"/>
                <w:szCs w:val="28"/>
                <w:highlight w:val="none"/>
                <w:lang w:val="en-US" w:eastAsia="zh-CN"/>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3" w:type="dxa"/>
            <w:vAlign w:val="center"/>
            <w:textDirection w:val="lrTb"/>
            <w:noWrap w:val="false"/>
          </w:tcPr>
          <w:p>
            <w:pPr>
              <w:keepLines w:val="0"/>
              <w:keepNext w:val="0"/>
              <w:pageBreakBefore w:val="0"/>
              <w:spacing w:line="360" w:lineRule="exact"/>
              <w:widowControl w:val="off"/>
              <w:rPr>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价格分采用低价优先法计算，即满足招标文件要求且报价最低的供应商报价为评标基准价，其价格分为满分2</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分，其他投标人的价格分统一按照以下公式计算：投标报价得分=（评标基准价/该投标人的投标报价）×2</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分。四舍五入保留小数点后两位。</w:t>
            </w:r>
            <w:r>
              <w:rPr>
                <w:highlight w:val="none"/>
              </w:rPr>
            </w:r>
          </w:p>
        </w:tc>
      </w:tr>
      <w:tr>
        <w:trPr>
          <w:trHeight w:val="6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center"/>
            <w:vMerge w:val="restart"/>
            <w:textDirection w:val="lrTb"/>
            <w:noWrap w:val="false"/>
          </w:tcPr>
          <w:p>
            <w:pPr>
              <w:jc w:val="center"/>
              <w:keepLines w:val="0"/>
              <w:keepNext w:val="0"/>
              <w:pageBreakBefore w:val="0"/>
              <w:spacing w:line="360" w:lineRule="exact"/>
              <w:widowControl w:val="o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8"/>
                <w:highlight w:val="none"/>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0" w:type="dxa"/>
            <w:vAlign w:val="center"/>
            <w:vMerge w:val="restart"/>
            <w:textDirection w:val="lrTb"/>
            <w:noWrap w:val="false"/>
          </w:tcPr>
          <w:p>
            <w:pPr>
              <w:jc w:val="center"/>
              <w:keepLines w:val="0"/>
              <w:keepNext w:val="0"/>
              <w:pageBreakBefore w:val="0"/>
              <w:spacing w:line="360" w:lineRule="exact"/>
              <w:widowControl w:val="off"/>
              <w:rPr>
                <w:rFonts w:hint="eastAsia" w:ascii="方正仿宋_GBK" w:hAnsi="方正仿宋_GBK" w:eastAsia="方正仿宋_GBK" w:cs="方正仿宋_GBK"/>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技术服务方案</w:t>
            </w:r>
            <w:r>
              <w:rPr>
                <w:highlight w:val="none"/>
              </w:rPr>
            </w:r>
          </w:p>
          <w:p>
            <w:pPr>
              <w:jc w:val="center"/>
              <w:keepLines w:val="0"/>
              <w:keepNext w:val="0"/>
              <w:pageBreakBefore w:val="0"/>
              <w:spacing w:line="360" w:lineRule="exact"/>
              <w:widowControl w:val="off"/>
              <w:rPr>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w:t>
            </w:r>
            <w:r>
              <w:rPr>
                <w:rFonts w:hint="eastAsia" w:ascii="方正仿宋_GBK" w:hAnsi="方正仿宋_GBK" w:eastAsia="方正仿宋_GBK" w:cs="方正仿宋_GBK"/>
                <w:b/>
                <w:color w:val="000000"/>
                <w:sz w:val="28"/>
                <w:szCs w:val="28"/>
                <w:highlight w:val="none"/>
                <w:lang w:val="en-US" w:eastAsia="zh-CN"/>
              </w:rPr>
              <w:t xml:space="preserve">45</w:t>
            </w:r>
            <w:r>
              <w:rPr>
                <w:rFonts w:hint="eastAsia" w:ascii="方正仿宋_GBK" w:hAnsi="方正仿宋_GBK" w:eastAsia="方正仿宋_GBK" w:cs="方正仿宋_GBK"/>
                <w:b/>
                <w:color w:val="000000"/>
                <w:sz w:val="28"/>
                <w:szCs w:val="28"/>
                <w:highlight w:val="none"/>
              </w:rPr>
              <w:t xml:space="preserve">分）</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jc w:val="center"/>
              <w:keepLines w:val="0"/>
              <w:keepNext w:val="0"/>
              <w:pageBreakBefore w:val="0"/>
              <w:spacing w:line="360" w:lineRule="exact"/>
              <w:widowControl w:val="off"/>
              <w:rPr>
                <w:rFonts w:hint="eastAsia"/>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3" w:type="dxa"/>
            <w:vAlign w:val="center"/>
            <w:textDirection w:val="lrTb"/>
            <w:noWrap w:val="false"/>
          </w:tcPr>
          <w:p>
            <w:pPr>
              <w:keepLines w:val="0"/>
              <w:keepNext w:val="0"/>
              <w:pageBreakBefore w:val="0"/>
              <w:spacing w:line="360" w:lineRule="exact"/>
              <w:widowControl w:val="off"/>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2.1项目整体设想及重难点分析（5分）</w:t>
            </w:r>
            <w:r>
              <w:rPr>
                <w:highlight w:val="none"/>
              </w:rPr>
            </w:r>
          </w:p>
          <w:p>
            <w:pPr>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评委根据投标文件对第四章“采购需求”中“</w:t>
            </w:r>
            <w:r>
              <w:rPr>
                <w:rFonts w:hint="eastAsia" w:ascii="方正仿宋_GBK" w:hAnsi="方正仿宋_GBK" w:eastAsia="方正仿宋_GBK" w:cs="方正仿宋_GBK"/>
                <w:color w:val="000000"/>
                <w:sz w:val="28"/>
                <w:szCs w:val="28"/>
                <w:highlight w:val="none"/>
              </w:rPr>
              <w:t xml:space="preserve">项目整体设想及重难点分析</w:t>
            </w:r>
            <w:r>
              <w:rPr>
                <w:rFonts w:ascii="方正仿宋_GBK" w:hAnsi="方正仿宋_GBK" w:eastAsia="方正仿宋_GBK" w:cs="方正仿宋_GBK"/>
                <w:color w:val="000000"/>
                <w:sz w:val="28"/>
                <w:szCs w:val="28"/>
                <w:highlight w:val="none"/>
              </w:rPr>
              <w:t xml:space="preserve">”响应情况进行评审</w:t>
            </w:r>
            <w:r>
              <w:rPr>
                <w:rFonts w:hint="eastAsia" w:ascii="方正仿宋_GBK" w:hAnsi="方正仿宋_GBK" w:eastAsia="方正仿宋_GBK" w:cs="方正仿宋_GBK"/>
                <w:color w:val="000000"/>
                <w:sz w:val="28"/>
                <w:szCs w:val="28"/>
                <w:highlight w:val="none"/>
                <w:lang w:eastAsia="zh-CN"/>
              </w:rPr>
              <w:t xml:space="preserve">：</w:t>
            </w:r>
            <w:r>
              <w:rPr>
                <w:highlight w:val="none"/>
              </w:rPr>
            </w:r>
          </w:p>
          <w:p>
            <w:pPr>
              <w:jc w:val="left"/>
              <w:keepLines w:val="0"/>
              <w:keepNext w:val="0"/>
              <w:pageBreakBefore w:val="0"/>
              <w:spacing w:line="360" w:lineRule="exact"/>
              <w:widowControl w:val="off"/>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（1）经评委认定，投标文件对</w:t>
            </w:r>
            <w:r>
              <w:rPr>
                <w:rFonts w:hint="eastAsia" w:ascii="方正仿宋_GBK" w:hAnsi="方正仿宋_GBK" w:eastAsia="方正仿宋_GBK" w:cs="方正仿宋_GBK"/>
                <w:color w:val="000000"/>
                <w:sz w:val="28"/>
                <w:szCs w:val="28"/>
                <w:highlight w:val="none"/>
              </w:rPr>
              <w:t xml:space="preserve">整体分析和设想、重点和难点</w:t>
            </w:r>
            <w:r>
              <w:rPr>
                <w:rFonts w:ascii="方正仿宋_GBK" w:hAnsi="方正仿宋_GBK" w:eastAsia="方正仿宋_GBK" w:cs="方正仿宋_GBK"/>
                <w:color w:val="000000"/>
                <w:sz w:val="28"/>
                <w:szCs w:val="28"/>
                <w:highlight w:val="none"/>
              </w:rPr>
              <w:t xml:space="preserve">三项要求的响应内容全部优于招标文件要求的本项得5分。</w:t>
            </w:r>
            <w:r>
              <w:rPr>
                <w:highlight w:val="none"/>
              </w:rPr>
            </w:r>
          </w:p>
          <w:p>
            <w:pPr>
              <w:jc w:val="left"/>
              <w:keepLines w:val="0"/>
              <w:keepNext w:val="0"/>
              <w:pageBreakBefore w:val="0"/>
              <w:spacing w:line="360" w:lineRule="exact"/>
              <w:widowControl w:val="off"/>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（2）投标文件符合“设计方案”中全部条款要求的，视为符合招标文件，本项得3分。</w:t>
            </w:r>
            <w:r>
              <w:rPr>
                <w:highlight w:val="none"/>
              </w:rPr>
            </w:r>
          </w:p>
          <w:p>
            <w:pPr>
              <w:jc w:val="left"/>
              <w:keepLines w:val="0"/>
              <w:keepNext w:val="0"/>
              <w:pageBreakBefore w:val="0"/>
              <w:spacing w:line="360" w:lineRule="exact"/>
              <w:widowControl w:val="off"/>
              <w:rPr>
                <w:color w:val="000000"/>
                <w:sz w:val="28"/>
                <w:szCs w:val="28"/>
                <w:highlight w:val="none"/>
              </w:rPr>
            </w:pPr>
            <w:r>
              <w:rPr>
                <w:rFonts w:ascii="方正仿宋_GBK" w:hAnsi="方正仿宋_GBK" w:eastAsia="方正仿宋_GBK" w:cs="方正仿宋_GBK"/>
                <w:color w:val="000000"/>
                <w:sz w:val="28"/>
                <w:szCs w:val="28"/>
                <w:highlight w:val="none"/>
              </w:rPr>
              <w:t xml:space="preserve">（3）投标文件未符合“设计方案”中全部条款要求的，视为不符合招标文件，本项得0分。</w:t>
            </w:r>
            <w:r>
              <w:rPr>
                <w:highlight w:val="none"/>
              </w:rPr>
            </w:r>
          </w:p>
        </w:tc>
      </w:tr>
      <w:tr>
        <w:trPr>
          <w:trHeight w:val="90"/>
        </w:trPr>
        <w:tc>
          <w:tcPr>
            <w:tcBorders>
              <w:top w:val="single" w:color="000000" w:sz="4" w:space="0"/>
              <w:left w:val="single" w:color="000000" w:sz="4" w:space="0"/>
              <w:bottom w:val="single" w:color="000000" w:sz="4" w:space="0"/>
              <w:right w:val="single" w:color="000000" w:sz="4" w:space="0"/>
            </w:tcBorders>
            <w:tcW w:w="887" w:type="dxa"/>
            <w:vAlign w:val="top"/>
            <w:vMerge w:val="continue"/>
            <w:textDirection w:val="lrTb"/>
            <w:noWrap w:val="false"/>
          </w:tcPr>
          <w:p>
            <w:pPr>
              <w:keepLines w:val="0"/>
              <w:keepNext w:val="0"/>
              <w:pageBreakBefore w:val="0"/>
              <w:spacing w:line="360" w:lineRule="exact"/>
              <w:widowControl w:val="off"/>
              <w:rPr>
                <w:color w:val="000000"/>
                <w:sz w:val="28"/>
                <w:szCs w:val="28"/>
                <w:highlight w:val="none"/>
              </w:rPr>
            </w:pPr>
            <w:r>
              <w:rPr>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350" w:type="dxa"/>
            <w:vAlign w:val="top"/>
            <w:vMerge w:val="continue"/>
            <w:textDirection w:val="lrTb"/>
            <w:noWrap w:val="false"/>
          </w:tcPr>
          <w:p>
            <w:pPr>
              <w:keepLines w:val="0"/>
              <w:keepNext w:val="0"/>
              <w:pageBreakBefore w:val="0"/>
              <w:spacing w:line="360" w:lineRule="exact"/>
              <w:widowControl w:val="off"/>
              <w:rPr>
                <w:color w:val="000000"/>
                <w:sz w:val="28"/>
                <w:szCs w:val="28"/>
                <w:highlight w:val="none"/>
              </w:rPr>
            </w:pPr>
            <w:r>
              <w:rPr>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jc w:val="center"/>
              <w:keepLines w:val="0"/>
              <w:keepNext w:val="0"/>
              <w:pageBreakBefore w:val="0"/>
              <w:spacing w:line="360" w:lineRule="exact"/>
              <w:widowControl w:val="off"/>
              <w:rPr>
                <w:rFonts w:hint="eastAsia"/>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3" w:type="dxa"/>
            <w:vAlign w:val="center"/>
            <w:textDirection w:val="lrTb"/>
            <w:noWrap w:val="false"/>
          </w:tcPr>
          <w:p>
            <w:pPr>
              <w:keepLines w:val="0"/>
              <w:keepNext w:val="0"/>
              <w:pageBreakBefore w:val="0"/>
              <w:spacing w:line="36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2.2组织架构及人员管理方案（5分）</w:t>
            </w:r>
            <w:r>
              <w:rPr>
                <w:highlight w:val="none"/>
              </w:rPr>
            </w:r>
          </w:p>
          <w:p>
            <w:pPr>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评委根据投标文件对第四章“采购需求”中“</w:t>
            </w:r>
            <w:r>
              <w:rPr>
                <w:rFonts w:hint="eastAsia" w:ascii="方正仿宋_GBK" w:hAnsi="方正仿宋_GBK" w:eastAsia="方正仿宋_GBK" w:cs="方正仿宋_GBK"/>
                <w:color w:val="000000"/>
                <w:sz w:val="28"/>
                <w:szCs w:val="28"/>
                <w:highlight w:val="none"/>
              </w:rPr>
              <w:t xml:space="preserve">组织架构及人员管理方案</w:t>
            </w:r>
            <w:r>
              <w:rPr>
                <w:rFonts w:ascii="方正仿宋_GBK" w:hAnsi="方正仿宋_GBK" w:eastAsia="方正仿宋_GBK" w:cs="方正仿宋_GBK"/>
                <w:color w:val="000000"/>
                <w:sz w:val="28"/>
                <w:szCs w:val="28"/>
                <w:highlight w:val="none"/>
              </w:rPr>
              <w:t xml:space="preserve">”响应情况进行评审</w:t>
            </w:r>
            <w:r>
              <w:rPr>
                <w:rFonts w:hint="eastAsia" w:ascii="方正仿宋_GBK" w:hAnsi="方正仿宋_GBK" w:eastAsia="方正仿宋_GBK" w:cs="方正仿宋_GBK"/>
                <w:color w:val="000000"/>
                <w:sz w:val="28"/>
                <w:szCs w:val="28"/>
                <w:highlight w:val="none"/>
                <w:lang w:eastAsia="zh-CN"/>
              </w:rPr>
              <w:t xml:space="preserve">：</w:t>
            </w:r>
            <w:r>
              <w:rPr>
                <w:highlight w:val="none"/>
              </w:rPr>
            </w:r>
          </w:p>
          <w:p>
            <w:pPr>
              <w:jc w:val="left"/>
              <w:keepLines w:val="0"/>
              <w:keepNext w:val="0"/>
              <w:pageBreakBefore w:val="0"/>
              <w:spacing w:line="360" w:lineRule="exact"/>
              <w:widowControl w:val="off"/>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（1）经评委认定，投标文件对</w:t>
            </w:r>
            <w:r>
              <w:rPr>
                <w:rFonts w:hint="eastAsia" w:ascii="方正仿宋_GBK" w:hAnsi="方正仿宋_GBK" w:eastAsia="方正仿宋_GBK" w:cs="方正仿宋_GBK"/>
                <w:color w:val="000000"/>
                <w:sz w:val="28"/>
                <w:szCs w:val="28"/>
                <w:highlight w:val="none"/>
              </w:rPr>
              <w:t xml:space="preserve">用工方案、培训计划和奖惩制度</w:t>
            </w:r>
            <w:r>
              <w:rPr>
                <w:rFonts w:ascii="方正仿宋_GBK" w:hAnsi="方正仿宋_GBK" w:eastAsia="方正仿宋_GBK" w:cs="方正仿宋_GBK"/>
                <w:color w:val="000000"/>
                <w:sz w:val="28"/>
                <w:szCs w:val="28"/>
                <w:highlight w:val="none"/>
              </w:rPr>
              <w:t xml:space="preserve">三项要求的响应内容全部优于招标文件要求的本项得5分。</w:t>
            </w:r>
            <w:r>
              <w:rPr>
                <w:highlight w:val="none"/>
              </w:rPr>
            </w:r>
          </w:p>
          <w:p>
            <w:pPr>
              <w:jc w:val="left"/>
              <w:keepLines w:val="0"/>
              <w:keepNext w:val="0"/>
              <w:pageBreakBefore w:val="0"/>
              <w:spacing w:line="360" w:lineRule="exact"/>
              <w:widowControl w:val="off"/>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（2）投标文件符合“设计方案”中全部条款要求的，视为符合招标文件，本项得3分。</w:t>
            </w:r>
            <w:r>
              <w:rPr>
                <w:highlight w:val="none"/>
              </w:rPr>
            </w:r>
          </w:p>
          <w:p>
            <w:pPr>
              <w:jc w:val="left"/>
              <w:keepLines w:val="0"/>
              <w:keepNext w:val="0"/>
              <w:pageBreakBefore w:val="0"/>
              <w:spacing w:line="360" w:lineRule="exact"/>
              <w:widowControl w:val="off"/>
              <w:rPr>
                <w:color w:val="000000"/>
                <w:sz w:val="28"/>
                <w:szCs w:val="28"/>
                <w:highlight w:val="none"/>
              </w:rPr>
            </w:pPr>
            <w:r>
              <w:rPr>
                <w:rFonts w:ascii="方正仿宋_GBK" w:hAnsi="方正仿宋_GBK" w:eastAsia="方正仿宋_GBK" w:cs="方正仿宋_GBK"/>
                <w:color w:val="000000"/>
                <w:sz w:val="28"/>
                <w:szCs w:val="28"/>
                <w:highlight w:val="none"/>
              </w:rPr>
              <w:t xml:space="preserve">（3）投标文件未符合“设计方案”中全部条款要求的，视为不符合招标文件，本项得0分。</w:t>
            </w:r>
            <w:r>
              <w:rPr>
                <w:highlight w:val="none"/>
              </w:rPr>
            </w:r>
          </w:p>
        </w:tc>
      </w:tr>
      <w:tr>
        <w:trPr>
          <w:trHeight w:val="1609"/>
        </w:trPr>
        <w:tc>
          <w:tcPr>
            <w:tcBorders>
              <w:top w:val="single" w:color="000000" w:sz="4" w:space="0"/>
              <w:left w:val="single" w:color="000000" w:sz="4" w:space="0"/>
              <w:bottom w:val="single" w:color="000000" w:sz="4" w:space="0"/>
              <w:right w:val="single" w:color="000000" w:sz="4" w:space="0"/>
            </w:tcBorders>
            <w:tcW w:w="887" w:type="dxa"/>
            <w:vAlign w:val="top"/>
            <w:vMerge w:val="continue"/>
            <w:textDirection w:val="lrTb"/>
            <w:noWrap w:val="false"/>
          </w:tcPr>
          <w:p>
            <w:pPr>
              <w:keepLines w:val="0"/>
              <w:keepNext w:val="0"/>
              <w:pageBreakBefore w:val="0"/>
              <w:spacing w:line="360" w:lineRule="exact"/>
              <w:widowControl w:val="off"/>
              <w:rPr>
                <w:color w:val="000000"/>
                <w:sz w:val="28"/>
                <w:szCs w:val="28"/>
                <w:highlight w:val="none"/>
              </w:rPr>
            </w:pPr>
            <w:r>
              <w:rPr>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350" w:type="dxa"/>
            <w:vAlign w:val="top"/>
            <w:vMerge w:val="continue"/>
            <w:textDirection w:val="lrTb"/>
            <w:noWrap w:val="false"/>
          </w:tcPr>
          <w:p>
            <w:pPr>
              <w:keepLines w:val="0"/>
              <w:keepNext w:val="0"/>
              <w:pageBreakBefore w:val="0"/>
              <w:spacing w:line="360" w:lineRule="exact"/>
              <w:widowControl w:val="off"/>
              <w:rPr>
                <w:color w:val="000000"/>
                <w:sz w:val="28"/>
                <w:szCs w:val="28"/>
                <w:highlight w:val="none"/>
              </w:rPr>
            </w:pPr>
            <w:r>
              <w:rPr>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jc w:val="center"/>
              <w:keepLines w:val="0"/>
              <w:keepNext w:val="0"/>
              <w:pageBreakBefore w:val="0"/>
              <w:spacing w:line="360" w:lineRule="exact"/>
              <w:widowControl w:val="off"/>
              <w:rPr>
                <w:rFonts w:hint="eastAsia"/>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3" w:type="dxa"/>
            <w:vAlign w:val="center"/>
            <w:textDirection w:val="lrTb"/>
            <w:noWrap w:val="false"/>
          </w:tcPr>
          <w:p>
            <w:pPr>
              <w:keepLines w:val="0"/>
              <w:keepNext w:val="0"/>
              <w:pageBreakBefore w:val="0"/>
              <w:spacing w:line="36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2.3物资装备方案（5分）</w:t>
            </w:r>
            <w:r>
              <w:rPr>
                <w:highlight w:val="none"/>
              </w:rPr>
            </w:r>
          </w:p>
          <w:p>
            <w:pPr>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评委根据投标文件对第四章“采购需求”中“</w:t>
            </w:r>
            <w:r>
              <w:rPr>
                <w:rFonts w:hint="eastAsia" w:ascii="方正仿宋_GBK" w:hAnsi="方正仿宋_GBK" w:eastAsia="方正仿宋_GBK" w:cs="方正仿宋_GBK"/>
                <w:color w:val="000000"/>
                <w:sz w:val="28"/>
                <w:szCs w:val="28"/>
                <w:highlight w:val="none"/>
              </w:rPr>
              <w:t xml:space="preserve">物资装备方案</w:t>
            </w:r>
            <w:r>
              <w:rPr>
                <w:rFonts w:ascii="方正仿宋_GBK" w:hAnsi="方正仿宋_GBK" w:eastAsia="方正仿宋_GBK" w:cs="方正仿宋_GBK"/>
                <w:color w:val="000000"/>
                <w:sz w:val="28"/>
                <w:szCs w:val="28"/>
                <w:highlight w:val="none"/>
              </w:rPr>
              <w:t xml:space="preserve">”响应情况进行评审</w:t>
            </w:r>
            <w:r>
              <w:rPr>
                <w:rFonts w:hint="eastAsia" w:ascii="方正仿宋_GBK" w:hAnsi="方正仿宋_GBK" w:eastAsia="方正仿宋_GBK" w:cs="方正仿宋_GBK"/>
                <w:color w:val="000000"/>
                <w:sz w:val="28"/>
                <w:szCs w:val="28"/>
                <w:highlight w:val="none"/>
                <w:lang w:eastAsia="zh-CN"/>
              </w:rPr>
              <w:t xml:space="preserve">：</w:t>
            </w:r>
            <w:r>
              <w:rPr>
                <w:highlight w:val="none"/>
              </w:rPr>
            </w:r>
          </w:p>
          <w:p>
            <w:pPr>
              <w:jc w:val="left"/>
              <w:keepLines w:val="0"/>
              <w:keepNext w:val="0"/>
              <w:pageBreakBefore w:val="0"/>
              <w:spacing w:line="360" w:lineRule="exact"/>
              <w:widowControl w:val="off"/>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（1）经评委认定，投标文件对</w:t>
            </w:r>
            <w:r>
              <w:rPr>
                <w:rFonts w:hint="eastAsia" w:ascii="方正仿宋_GBK" w:hAnsi="方正仿宋_GBK" w:eastAsia="方正仿宋_GBK" w:cs="方正仿宋_GBK"/>
                <w:color w:val="000000"/>
                <w:sz w:val="28"/>
                <w:szCs w:val="28"/>
                <w:highlight w:val="none"/>
              </w:rPr>
              <w:t xml:space="preserve">现场勘察情况、设备和机械投入情况</w:t>
            </w:r>
            <w:r>
              <w:rPr>
                <w:rFonts w:ascii="方正仿宋_GBK" w:hAnsi="方正仿宋_GBK" w:eastAsia="方正仿宋_GBK" w:cs="方正仿宋_GBK"/>
                <w:color w:val="000000"/>
                <w:sz w:val="28"/>
                <w:szCs w:val="28"/>
                <w:highlight w:val="none"/>
              </w:rPr>
              <w:t xml:space="preserve">三项要求的响应内容全部优于招标文件要求的本项得5分。</w:t>
            </w:r>
            <w:r>
              <w:rPr>
                <w:highlight w:val="none"/>
              </w:rPr>
            </w:r>
          </w:p>
          <w:p>
            <w:pPr>
              <w:jc w:val="left"/>
              <w:keepLines w:val="0"/>
              <w:keepNext w:val="0"/>
              <w:pageBreakBefore w:val="0"/>
              <w:spacing w:line="360" w:lineRule="exact"/>
              <w:widowControl w:val="off"/>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（2）投标文件符合“设计方案”中全部条款要求的，视为符合招标文件，本项得3分。</w:t>
            </w:r>
            <w:r>
              <w:rPr>
                <w:highlight w:val="none"/>
              </w:rPr>
            </w:r>
          </w:p>
          <w:p>
            <w:pPr>
              <w:jc w:val="left"/>
              <w:keepLines w:val="0"/>
              <w:keepNext w:val="0"/>
              <w:pageBreakBefore w:val="0"/>
              <w:spacing w:line="360" w:lineRule="exact"/>
              <w:widowControl w:val="off"/>
              <w:rPr>
                <w:color w:val="000000"/>
                <w:sz w:val="28"/>
                <w:szCs w:val="28"/>
                <w:highlight w:val="none"/>
              </w:rPr>
            </w:pPr>
            <w:r>
              <w:rPr>
                <w:rFonts w:ascii="方正仿宋_GBK" w:hAnsi="方正仿宋_GBK" w:eastAsia="方正仿宋_GBK" w:cs="方正仿宋_GBK"/>
                <w:color w:val="000000"/>
                <w:sz w:val="28"/>
                <w:szCs w:val="28"/>
                <w:highlight w:val="none"/>
              </w:rPr>
              <w:t xml:space="preserve">（3）投标文件未符合“设计方案”中全部条款要求的，视为不符合招标文件，本项得0分。</w:t>
            </w:r>
            <w:r>
              <w:rPr>
                <w:highlight w:val="none"/>
              </w:rPr>
            </w:r>
          </w:p>
        </w:tc>
      </w:tr>
      <w:tr>
        <w:trPr>
          <w:trHeight w:val="1294"/>
        </w:trPr>
        <w:tc>
          <w:tcPr>
            <w:tcBorders>
              <w:top w:val="single" w:color="000000" w:sz="4" w:space="0"/>
              <w:left w:val="single" w:color="000000" w:sz="4" w:space="0"/>
              <w:bottom w:val="single" w:color="000000" w:sz="4" w:space="0"/>
              <w:right w:val="single" w:color="000000" w:sz="4" w:space="0"/>
            </w:tcBorders>
            <w:tcW w:w="887" w:type="dxa"/>
            <w:vAlign w:val="top"/>
            <w:vMerge w:val="continue"/>
            <w:textDirection w:val="lrTb"/>
            <w:noWrap w:val="false"/>
          </w:tcPr>
          <w:p>
            <w:pPr>
              <w:keepLines w:val="0"/>
              <w:keepNext w:val="0"/>
              <w:pageBreakBefore w:val="0"/>
              <w:spacing w:line="360" w:lineRule="exact"/>
              <w:widowControl w:val="off"/>
              <w:rPr>
                <w:color w:val="000000"/>
                <w:sz w:val="28"/>
                <w:szCs w:val="28"/>
                <w:highlight w:val="none"/>
              </w:rPr>
            </w:pPr>
            <w:r>
              <w:rPr>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350" w:type="dxa"/>
            <w:vAlign w:val="top"/>
            <w:vMerge w:val="continue"/>
            <w:textDirection w:val="lrTb"/>
            <w:noWrap w:val="false"/>
          </w:tcPr>
          <w:p>
            <w:pPr>
              <w:keepLines w:val="0"/>
              <w:keepNext w:val="0"/>
              <w:pageBreakBefore w:val="0"/>
              <w:spacing w:line="360" w:lineRule="exact"/>
              <w:widowControl w:val="off"/>
              <w:rPr>
                <w:color w:val="000000"/>
                <w:sz w:val="28"/>
                <w:szCs w:val="28"/>
                <w:highlight w:val="none"/>
              </w:rPr>
            </w:pPr>
            <w:r>
              <w:rPr>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jc w:val="center"/>
              <w:keepLines w:val="0"/>
              <w:keepNext w:val="0"/>
              <w:pageBreakBefore w:val="0"/>
              <w:spacing w:line="360" w:lineRule="exact"/>
              <w:widowControl w:val="off"/>
              <w:rPr>
                <w:rFonts w:hint="eastAsia" w:eastAsia="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lang w:val="en-US" w:eastAsia="zh-CN"/>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3" w:type="dxa"/>
            <w:vAlign w:val="center"/>
            <w:textDirection w:val="lrTb"/>
            <w:noWrap w:val="false"/>
          </w:tcPr>
          <w:p>
            <w:pPr>
              <w:keepLines w:val="0"/>
              <w:keepNext w:val="0"/>
              <w:pageBreakBefore w:val="0"/>
              <w:spacing w:line="36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2.4物业服务开始及合同到期时的交接方案（</w:t>
            </w:r>
            <w:r>
              <w:rPr>
                <w:rFonts w:hint="eastAsia" w:ascii="方正仿宋_GBK" w:hAnsi="方正仿宋_GBK" w:eastAsia="方正仿宋_GBK" w:cs="方正仿宋_GBK"/>
                <w:b/>
                <w:color w:val="000000"/>
                <w:sz w:val="28"/>
                <w:szCs w:val="28"/>
                <w:highlight w:val="none"/>
                <w:lang w:val="en-US" w:eastAsia="zh-CN"/>
              </w:rPr>
              <w:t xml:space="preserve">5</w:t>
            </w:r>
            <w:r>
              <w:rPr>
                <w:rFonts w:hint="eastAsia" w:ascii="方正仿宋_GBK" w:hAnsi="方正仿宋_GBK" w:eastAsia="方正仿宋_GBK" w:cs="方正仿宋_GBK"/>
                <w:b/>
                <w:color w:val="000000"/>
                <w:sz w:val="28"/>
                <w:szCs w:val="28"/>
                <w:highlight w:val="none"/>
              </w:rPr>
              <w:t xml:space="preserve">分）</w:t>
            </w:r>
            <w:r>
              <w:rPr>
                <w:highlight w:val="none"/>
              </w:rPr>
            </w:r>
          </w:p>
          <w:p>
            <w:pPr>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评委根据投标文件对第四章“采购需求”中“</w:t>
            </w:r>
            <w:r>
              <w:rPr>
                <w:rFonts w:hint="eastAsia" w:ascii="方正仿宋_GBK" w:hAnsi="方正仿宋_GBK" w:eastAsia="方正仿宋_GBK" w:cs="方正仿宋_GBK"/>
                <w:color w:val="000000"/>
                <w:sz w:val="28"/>
                <w:szCs w:val="28"/>
                <w:highlight w:val="none"/>
              </w:rPr>
              <w:t xml:space="preserve">物业开始及交接方案</w:t>
            </w:r>
            <w:r>
              <w:rPr>
                <w:rFonts w:ascii="方正仿宋_GBK" w:hAnsi="方正仿宋_GBK" w:eastAsia="方正仿宋_GBK" w:cs="方正仿宋_GBK"/>
                <w:color w:val="000000"/>
                <w:sz w:val="28"/>
                <w:szCs w:val="28"/>
                <w:highlight w:val="none"/>
              </w:rPr>
              <w:t xml:space="preserve">”响应情况进行评审</w:t>
            </w:r>
            <w:r>
              <w:rPr>
                <w:rFonts w:hint="eastAsia" w:ascii="方正仿宋_GBK" w:hAnsi="方正仿宋_GBK" w:eastAsia="方正仿宋_GBK" w:cs="方正仿宋_GBK"/>
                <w:color w:val="000000"/>
                <w:sz w:val="28"/>
                <w:szCs w:val="28"/>
                <w:highlight w:val="none"/>
                <w:lang w:eastAsia="zh-CN"/>
              </w:rPr>
              <w:t xml:space="preserve">：</w:t>
            </w:r>
            <w:r>
              <w:rPr>
                <w:highlight w:val="none"/>
              </w:rPr>
            </w:r>
          </w:p>
          <w:p>
            <w:pPr>
              <w:jc w:val="left"/>
              <w:keepLines w:val="0"/>
              <w:keepNext w:val="0"/>
              <w:pageBreakBefore w:val="0"/>
              <w:spacing w:line="360" w:lineRule="exact"/>
              <w:widowControl w:val="off"/>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（1）经评委认定，投标文件对</w:t>
            </w:r>
            <w:r>
              <w:rPr>
                <w:rFonts w:hint="eastAsia" w:ascii="方正仿宋_GBK" w:hAnsi="方正仿宋_GBK" w:eastAsia="方正仿宋_GBK" w:cs="方正仿宋_GBK"/>
                <w:color w:val="000000"/>
                <w:sz w:val="28"/>
                <w:szCs w:val="28"/>
                <w:highlight w:val="none"/>
              </w:rPr>
              <w:t xml:space="preserve">开始接收、到期退场二</w:t>
            </w:r>
            <w:r>
              <w:rPr>
                <w:rFonts w:ascii="方正仿宋_GBK" w:hAnsi="方正仿宋_GBK" w:eastAsia="方正仿宋_GBK" w:cs="方正仿宋_GBK"/>
                <w:color w:val="000000"/>
                <w:sz w:val="28"/>
                <w:szCs w:val="28"/>
                <w:highlight w:val="none"/>
              </w:rPr>
              <w:t xml:space="preserve">项要求的响应内容全部优于招标文件要求的本项得</w:t>
            </w:r>
            <w:r>
              <w:rPr>
                <w:rFonts w:hint="eastAsia" w:ascii="方正仿宋_GBK" w:hAnsi="方正仿宋_GBK" w:eastAsia="方正仿宋_GBK" w:cs="方正仿宋_GBK"/>
                <w:color w:val="000000"/>
                <w:sz w:val="28"/>
                <w:szCs w:val="28"/>
                <w:highlight w:val="none"/>
                <w:lang w:val="en-US" w:eastAsia="zh-CN"/>
              </w:rPr>
              <w:t xml:space="preserve">5</w:t>
            </w:r>
            <w:r>
              <w:rPr>
                <w:rFonts w:ascii="方正仿宋_GBK" w:hAnsi="方正仿宋_GBK" w:eastAsia="方正仿宋_GBK" w:cs="方正仿宋_GBK"/>
                <w:color w:val="000000"/>
                <w:sz w:val="28"/>
                <w:szCs w:val="28"/>
                <w:highlight w:val="none"/>
              </w:rPr>
              <w:t xml:space="preserve">分。</w:t>
            </w:r>
            <w:r>
              <w:rPr>
                <w:highlight w:val="none"/>
              </w:rPr>
            </w:r>
          </w:p>
          <w:p>
            <w:pPr>
              <w:jc w:val="left"/>
              <w:keepLines w:val="0"/>
              <w:keepNext w:val="0"/>
              <w:pageBreakBefore w:val="0"/>
              <w:spacing w:line="360" w:lineRule="exact"/>
              <w:widowControl w:val="off"/>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（2）投标文件符合“设计方案”中全部条款要求的，视为符合招标文件，本项得</w:t>
            </w:r>
            <w:r>
              <w:rPr>
                <w:rFonts w:hint="eastAsia" w:ascii="方正仿宋_GBK" w:hAnsi="方正仿宋_GBK" w:eastAsia="方正仿宋_GBK" w:cs="方正仿宋_GBK"/>
                <w:color w:val="000000"/>
                <w:sz w:val="28"/>
                <w:szCs w:val="28"/>
                <w:highlight w:val="none"/>
                <w:lang w:val="en-US" w:eastAsia="zh-CN"/>
              </w:rPr>
              <w:t xml:space="preserve">3</w:t>
            </w:r>
            <w:r>
              <w:rPr>
                <w:rFonts w:ascii="方正仿宋_GBK" w:hAnsi="方正仿宋_GBK" w:eastAsia="方正仿宋_GBK" w:cs="方正仿宋_GBK"/>
                <w:color w:val="000000"/>
                <w:sz w:val="28"/>
                <w:szCs w:val="28"/>
                <w:highlight w:val="none"/>
              </w:rPr>
              <w:t xml:space="preserve">分。</w:t>
            </w:r>
            <w:r>
              <w:rPr>
                <w:highlight w:val="none"/>
              </w:rPr>
            </w:r>
          </w:p>
          <w:p>
            <w:pPr>
              <w:jc w:val="left"/>
              <w:keepLines w:val="0"/>
              <w:keepNext w:val="0"/>
              <w:pageBreakBefore w:val="0"/>
              <w:spacing w:line="360" w:lineRule="exact"/>
              <w:widowControl w:val="off"/>
              <w:rPr>
                <w:color w:val="000000"/>
                <w:sz w:val="28"/>
                <w:szCs w:val="28"/>
                <w:highlight w:val="none"/>
              </w:rPr>
            </w:pPr>
            <w:r>
              <w:rPr>
                <w:rFonts w:ascii="方正仿宋_GBK" w:hAnsi="方正仿宋_GBK" w:eastAsia="方正仿宋_GBK" w:cs="方正仿宋_GBK"/>
                <w:color w:val="000000"/>
                <w:sz w:val="28"/>
                <w:szCs w:val="28"/>
                <w:highlight w:val="none"/>
              </w:rPr>
              <w:t xml:space="preserve">（3）投标文件未符合“设计方案”中全部条款要求的，视为不符合招标文件，本项得</w:t>
            </w:r>
            <w:r>
              <w:rPr>
                <w:rFonts w:hint="eastAsia" w:ascii="方正仿宋_GBK" w:hAnsi="方正仿宋_GBK" w:eastAsia="方正仿宋_GBK" w:cs="方正仿宋_GBK"/>
                <w:color w:val="000000"/>
                <w:sz w:val="28"/>
                <w:szCs w:val="28"/>
                <w:highlight w:val="none"/>
                <w:lang w:val="en-US" w:eastAsia="zh-CN"/>
              </w:rPr>
              <w:t xml:space="preserve">0</w:t>
            </w:r>
            <w:r>
              <w:rPr>
                <w:rFonts w:ascii="方正仿宋_GBK" w:hAnsi="方正仿宋_GBK" w:eastAsia="方正仿宋_GBK" w:cs="方正仿宋_GBK"/>
                <w:color w:val="000000"/>
                <w:sz w:val="28"/>
                <w:szCs w:val="28"/>
                <w:highlight w:val="none"/>
              </w:rPr>
              <w:t xml:space="preserve">分。</w:t>
            </w:r>
            <w:r>
              <w:rPr>
                <w:highlight w:val="none"/>
              </w:rPr>
            </w:r>
          </w:p>
        </w:tc>
      </w:tr>
      <w:tr>
        <w:trPr>
          <w:trHeight w:val="660"/>
        </w:trPr>
        <w:tc>
          <w:tcPr>
            <w:tcBorders>
              <w:top w:val="single" w:color="000000" w:sz="4" w:space="0"/>
              <w:left w:val="single" w:color="000000" w:sz="4" w:space="0"/>
              <w:bottom w:val="single" w:color="000000" w:sz="4" w:space="0"/>
              <w:right w:val="single" w:color="000000" w:sz="4" w:space="0"/>
            </w:tcBorders>
            <w:tcW w:w="887" w:type="dxa"/>
            <w:vAlign w:val="top"/>
            <w:vMerge w:val="continue"/>
            <w:textDirection w:val="lrTb"/>
            <w:noWrap w:val="false"/>
          </w:tcPr>
          <w:p>
            <w:pPr>
              <w:keepLines w:val="0"/>
              <w:keepNext w:val="0"/>
              <w:pageBreakBefore w:val="0"/>
              <w:spacing w:line="360" w:lineRule="exact"/>
              <w:widowControl w:val="off"/>
              <w:rPr>
                <w:color w:val="000000"/>
                <w:sz w:val="28"/>
                <w:szCs w:val="28"/>
                <w:highlight w:val="none"/>
              </w:rPr>
            </w:pPr>
            <w:r>
              <w:rPr>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350" w:type="dxa"/>
            <w:vAlign w:val="top"/>
            <w:vMerge w:val="continue"/>
            <w:textDirection w:val="lrTb"/>
            <w:noWrap w:val="false"/>
          </w:tcPr>
          <w:p>
            <w:pPr>
              <w:keepLines w:val="0"/>
              <w:keepNext w:val="0"/>
              <w:pageBreakBefore w:val="0"/>
              <w:spacing w:line="360" w:lineRule="exact"/>
              <w:widowControl w:val="off"/>
              <w:rPr>
                <w:color w:val="000000"/>
                <w:sz w:val="28"/>
                <w:szCs w:val="28"/>
                <w:highlight w:val="none"/>
              </w:rPr>
            </w:pPr>
            <w:r>
              <w:rPr>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jc w:val="center"/>
              <w:keepLines w:val="0"/>
              <w:keepNext w:val="0"/>
              <w:pageBreakBefore w:val="0"/>
              <w:spacing w:line="360" w:lineRule="exact"/>
              <w:widowControl w:val="off"/>
              <w:rPr>
                <w:rFonts w:hint="eastAsia"/>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3" w:type="dxa"/>
            <w:vAlign w:val="center"/>
            <w:textDirection w:val="lrTb"/>
            <w:noWrap w:val="false"/>
          </w:tcPr>
          <w:p>
            <w:pPr>
              <w:keepLines w:val="0"/>
              <w:keepNext w:val="0"/>
              <w:pageBreakBefore w:val="0"/>
              <w:spacing w:line="36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2.5日常保洁工作服务方案（5分）</w:t>
            </w:r>
            <w:r>
              <w:rPr>
                <w:highlight w:val="none"/>
              </w:rPr>
            </w:r>
          </w:p>
          <w:p>
            <w:pPr>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评委根据投标文件对第四章“采购需求”中“</w:t>
            </w:r>
            <w:r>
              <w:rPr>
                <w:rFonts w:hint="eastAsia" w:ascii="方正仿宋_GBK" w:hAnsi="方正仿宋_GBK" w:eastAsia="方正仿宋_GBK" w:cs="方正仿宋_GBK"/>
                <w:color w:val="000000"/>
                <w:sz w:val="28"/>
                <w:szCs w:val="28"/>
                <w:highlight w:val="none"/>
              </w:rPr>
              <w:t xml:space="preserve">日常保洁工作服务方案</w:t>
            </w:r>
            <w:r>
              <w:rPr>
                <w:rFonts w:ascii="方正仿宋_GBK" w:hAnsi="方正仿宋_GBK" w:eastAsia="方正仿宋_GBK" w:cs="方正仿宋_GBK"/>
                <w:color w:val="000000"/>
                <w:sz w:val="28"/>
                <w:szCs w:val="28"/>
                <w:highlight w:val="none"/>
              </w:rPr>
              <w:t xml:space="preserve">”响应情况进行评审</w:t>
            </w:r>
            <w:r>
              <w:rPr>
                <w:rFonts w:hint="eastAsia" w:ascii="方正仿宋_GBK" w:hAnsi="方正仿宋_GBK" w:eastAsia="方正仿宋_GBK" w:cs="方正仿宋_GBK"/>
                <w:color w:val="000000"/>
                <w:sz w:val="28"/>
                <w:szCs w:val="28"/>
                <w:highlight w:val="none"/>
                <w:lang w:eastAsia="zh-CN"/>
              </w:rPr>
              <w:t xml:space="preserve">：</w:t>
            </w:r>
            <w:r>
              <w:rPr>
                <w:highlight w:val="none"/>
              </w:rPr>
            </w:r>
          </w:p>
          <w:p>
            <w:pPr>
              <w:jc w:val="left"/>
              <w:keepLines w:val="0"/>
              <w:keepNext w:val="0"/>
              <w:pageBreakBefore w:val="0"/>
              <w:spacing w:line="360" w:lineRule="exact"/>
              <w:widowControl w:val="off"/>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（1）经评委认定，投标文件对</w:t>
            </w:r>
            <w:r>
              <w:rPr>
                <w:rFonts w:hint="eastAsia" w:ascii="方正仿宋_GBK" w:hAnsi="方正仿宋_GBK" w:eastAsia="方正仿宋_GBK" w:cs="方正仿宋_GBK"/>
                <w:color w:val="000000"/>
                <w:sz w:val="28"/>
                <w:szCs w:val="28"/>
                <w:highlight w:val="none"/>
              </w:rPr>
              <w:t xml:space="preserve">日常保洁、垃圾分类和四害消杀</w:t>
            </w:r>
            <w:r>
              <w:rPr>
                <w:rFonts w:ascii="方正仿宋_GBK" w:hAnsi="方正仿宋_GBK" w:eastAsia="方正仿宋_GBK" w:cs="方正仿宋_GBK"/>
                <w:color w:val="000000"/>
                <w:sz w:val="28"/>
                <w:szCs w:val="28"/>
                <w:highlight w:val="none"/>
              </w:rPr>
              <w:t xml:space="preserve">三项要求的响应内容全部优于招标文件要求的本项得5分。</w:t>
            </w:r>
            <w:r>
              <w:rPr>
                <w:highlight w:val="none"/>
              </w:rPr>
            </w:r>
          </w:p>
          <w:p>
            <w:pPr>
              <w:jc w:val="left"/>
              <w:keepLines w:val="0"/>
              <w:keepNext w:val="0"/>
              <w:pageBreakBefore w:val="0"/>
              <w:spacing w:line="360" w:lineRule="exact"/>
              <w:widowControl w:val="off"/>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（2）投标文件符合“设计方案”中全部条款要求的，视为符合招标文件，本项得3分。</w:t>
            </w:r>
            <w:r>
              <w:rPr>
                <w:highlight w:val="none"/>
              </w:rPr>
            </w:r>
          </w:p>
          <w:p>
            <w:pPr>
              <w:jc w:val="left"/>
              <w:keepLines w:val="0"/>
              <w:keepNext w:val="0"/>
              <w:pageBreakBefore w:val="0"/>
              <w:spacing w:line="360" w:lineRule="exact"/>
              <w:widowControl w:val="off"/>
              <w:rPr>
                <w:color w:val="000000"/>
                <w:sz w:val="28"/>
                <w:szCs w:val="28"/>
                <w:highlight w:val="none"/>
              </w:rPr>
            </w:pPr>
            <w:r>
              <w:rPr>
                <w:rFonts w:ascii="方正仿宋_GBK" w:hAnsi="方正仿宋_GBK" w:eastAsia="方正仿宋_GBK" w:cs="方正仿宋_GBK"/>
                <w:color w:val="000000"/>
                <w:sz w:val="28"/>
                <w:szCs w:val="28"/>
                <w:highlight w:val="none"/>
              </w:rPr>
              <w:t xml:space="preserve">（3）投标文件未符合“设计方案”中全部条款要求的，视为不符合招标文件，本项得0分。</w:t>
            </w:r>
            <w:r>
              <w:rPr>
                <w:highlight w:val="none"/>
              </w:rPr>
            </w:r>
          </w:p>
        </w:tc>
      </w:tr>
      <w:tr>
        <w:trPr>
          <w:trHeight w:val="1577"/>
        </w:trPr>
        <w:tc>
          <w:tcPr>
            <w:tcBorders>
              <w:top w:val="single" w:color="000000" w:sz="4" w:space="0"/>
              <w:left w:val="single" w:color="000000" w:sz="4" w:space="0"/>
              <w:bottom w:val="single" w:color="000000" w:sz="4" w:space="0"/>
              <w:right w:val="single" w:color="000000" w:sz="4" w:space="0"/>
            </w:tcBorders>
            <w:tcW w:w="887" w:type="dxa"/>
            <w:vAlign w:val="top"/>
            <w:vMerge w:val="continue"/>
            <w:textDirection w:val="lrTb"/>
            <w:noWrap w:val="false"/>
          </w:tcPr>
          <w:p>
            <w:pPr>
              <w:keepLines w:val="0"/>
              <w:keepNext w:val="0"/>
              <w:pageBreakBefore w:val="0"/>
              <w:spacing w:line="360" w:lineRule="exact"/>
              <w:widowControl w:val="off"/>
              <w:rPr>
                <w:color w:val="000000"/>
                <w:sz w:val="28"/>
                <w:szCs w:val="28"/>
                <w:highlight w:val="none"/>
              </w:rPr>
            </w:pPr>
            <w:r>
              <w:rPr>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350" w:type="dxa"/>
            <w:vAlign w:val="top"/>
            <w:vMerge w:val="continue"/>
            <w:textDirection w:val="lrTb"/>
            <w:noWrap w:val="false"/>
          </w:tcPr>
          <w:p>
            <w:pPr>
              <w:keepLines w:val="0"/>
              <w:keepNext w:val="0"/>
              <w:pageBreakBefore w:val="0"/>
              <w:spacing w:line="360" w:lineRule="exact"/>
              <w:widowControl w:val="off"/>
              <w:rPr>
                <w:color w:val="000000"/>
                <w:sz w:val="28"/>
                <w:szCs w:val="28"/>
                <w:highlight w:val="none"/>
              </w:rPr>
            </w:pPr>
            <w:r>
              <w:rPr>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jc w:val="center"/>
              <w:keepLines w:val="0"/>
              <w:keepNext w:val="0"/>
              <w:pageBreakBefore w:val="0"/>
              <w:spacing w:line="360" w:lineRule="exact"/>
              <w:widowControl w:val="off"/>
              <w:rPr>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3" w:type="dxa"/>
            <w:vAlign w:val="center"/>
            <w:textDirection w:val="lrTb"/>
            <w:noWrap w:val="false"/>
          </w:tcPr>
          <w:p>
            <w:pPr>
              <w:keepLines w:val="0"/>
              <w:keepNext w:val="0"/>
              <w:pageBreakBefore w:val="0"/>
              <w:spacing w:line="36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2.6楼宇服务方案（5分）</w:t>
            </w:r>
            <w:r>
              <w:rPr>
                <w:highlight w:val="none"/>
              </w:rPr>
            </w:r>
          </w:p>
          <w:p>
            <w:pPr>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评委根据投标文件对第四章“采购需求”中“</w:t>
            </w:r>
            <w:r>
              <w:rPr>
                <w:rFonts w:hint="eastAsia" w:ascii="方正仿宋_GBK" w:hAnsi="方正仿宋_GBK" w:eastAsia="方正仿宋_GBK" w:cs="方正仿宋_GBK"/>
                <w:color w:val="000000"/>
                <w:sz w:val="28"/>
                <w:szCs w:val="28"/>
                <w:highlight w:val="none"/>
              </w:rPr>
              <w:t xml:space="preserve">楼宇服务方案</w:t>
            </w:r>
            <w:r>
              <w:rPr>
                <w:rFonts w:ascii="方正仿宋_GBK" w:hAnsi="方正仿宋_GBK" w:eastAsia="方正仿宋_GBK" w:cs="方正仿宋_GBK"/>
                <w:color w:val="000000"/>
                <w:sz w:val="28"/>
                <w:szCs w:val="28"/>
                <w:highlight w:val="none"/>
              </w:rPr>
              <w:t xml:space="preserve">”响应情况进行评审</w:t>
            </w:r>
            <w:r>
              <w:rPr>
                <w:rFonts w:hint="eastAsia" w:ascii="方正仿宋_GBK" w:hAnsi="方正仿宋_GBK" w:eastAsia="方正仿宋_GBK" w:cs="方正仿宋_GBK"/>
                <w:color w:val="000000"/>
                <w:sz w:val="28"/>
                <w:szCs w:val="28"/>
                <w:highlight w:val="none"/>
                <w:lang w:eastAsia="zh-CN"/>
              </w:rPr>
              <w:t xml:space="preserve">：</w:t>
            </w:r>
            <w:r>
              <w:rPr>
                <w:highlight w:val="none"/>
              </w:rPr>
            </w:r>
          </w:p>
          <w:p>
            <w:pPr>
              <w:jc w:val="left"/>
              <w:keepLines w:val="0"/>
              <w:keepNext w:val="0"/>
              <w:pageBreakBefore w:val="0"/>
              <w:spacing w:line="360" w:lineRule="exact"/>
              <w:widowControl w:val="off"/>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（1）经评委认定，投标文件对</w:t>
            </w:r>
            <w:r>
              <w:rPr>
                <w:rFonts w:hint="eastAsia" w:ascii="方正仿宋_GBK" w:hAnsi="方正仿宋_GBK" w:eastAsia="方正仿宋_GBK" w:cs="方正仿宋_GBK"/>
                <w:color w:val="000000"/>
                <w:sz w:val="28"/>
                <w:szCs w:val="28"/>
                <w:highlight w:val="none"/>
              </w:rPr>
              <w:t xml:space="preserve">门岗管理、巡查管理和会务服务</w:t>
            </w:r>
            <w:r>
              <w:rPr>
                <w:rFonts w:ascii="方正仿宋_GBK" w:hAnsi="方正仿宋_GBK" w:eastAsia="方正仿宋_GBK" w:cs="方正仿宋_GBK"/>
                <w:color w:val="000000"/>
                <w:sz w:val="28"/>
                <w:szCs w:val="28"/>
                <w:highlight w:val="none"/>
              </w:rPr>
              <w:t xml:space="preserve">三项要求的响应内容全部优于招标文件要求的本项得5分。</w:t>
            </w:r>
            <w:r>
              <w:rPr>
                <w:highlight w:val="none"/>
              </w:rPr>
            </w:r>
          </w:p>
          <w:p>
            <w:pPr>
              <w:jc w:val="left"/>
              <w:keepLines w:val="0"/>
              <w:keepNext w:val="0"/>
              <w:pageBreakBefore w:val="0"/>
              <w:spacing w:line="360" w:lineRule="exact"/>
              <w:widowControl w:val="off"/>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（2）投标文件符合“设计方案”中全部条款要求的，视为符合招标文件，本项得3分。</w:t>
            </w:r>
            <w:r>
              <w:rPr>
                <w:highlight w:val="none"/>
              </w:rPr>
            </w:r>
          </w:p>
          <w:p>
            <w:pPr>
              <w:jc w:val="left"/>
              <w:keepLines w:val="0"/>
              <w:keepNext w:val="0"/>
              <w:pageBreakBefore w:val="0"/>
              <w:spacing w:line="360" w:lineRule="exact"/>
              <w:widowControl w:val="off"/>
              <w:rPr>
                <w:color w:val="000000"/>
                <w:sz w:val="28"/>
                <w:szCs w:val="28"/>
                <w:highlight w:val="none"/>
              </w:rPr>
            </w:pPr>
            <w:r>
              <w:rPr>
                <w:rFonts w:ascii="方正仿宋_GBK" w:hAnsi="方正仿宋_GBK" w:eastAsia="方正仿宋_GBK" w:cs="方正仿宋_GBK"/>
                <w:color w:val="000000"/>
                <w:sz w:val="28"/>
                <w:szCs w:val="28"/>
                <w:highlight w:val="none"/>
              </w:rPr>
              <w:t xml:space="preserve">（3）投标文件未符合“设计方案”中全部条款要求的，视为不符合招标文件，本项得0分。</w:t>
            </w:r>
            <w:r>
              <w:rPr>
                <w:highlight w:val="none"/>
              </w:rPr>
            </w:r>
          </w:p>
        </w:tc>
      </w:tr>
      <w:tr>
        <w:trPr>
          <w:trHeight w:val="302"/>
        </w:trPr>
        <w:tc>
          <w:tcPr>
            <w:tcBorders>
              <w:top w:val="single" w:color="000000" w:sz="4" w:space="0"/>
              <w:left w:val="single" w:color="000000" w:sz="4" w:space="0"/>
              <w:bottom w:val="single" w:color="000000" w:sz="4" w:space="0"/>
              <w:right w:val="single" w:color="000000" w:sz="4" w:space="0"/>
            </w:tcBorders>
            <w:tcW w:w="887" w:type="dxa"/>
            <w:vAlign w:val="top"/>
            <w:vMerge w:val="continue"/>
            <w:textDirection w:val="lrTb"/>
            <w:noWrap w:val="false"/>
          </w:tcPr>
          <w:p>
            <w:pPr>
              <w:keepLines w:val="0"/>
              <w:keepNext w:val="0"/>
              <w:pageBreakBefore w:val="0"/>
              <w:spacing w:line="360" w:lineRule="exact"/>
              <w:widowControl w:val="off"/>
              <w:rPr>
                <w:color w:val="000000"/>
                <w:sz w:val="28"/>
                <w:szCs w:val="28"/>
                <w:highlight w:val="none"/>
              </w:rPr>
            </w:pPr>
            <w:r>
              <w:rPr>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350" w:type="dxa"/>
            <w:vAlign w:val="top"/>
            <w:vMerge w:val="continue"/>
            <w:textDirection w:val="lrTb"/>
            <w:noWrap w:val="false"/>
          </w:tcPr>
          <w:p>
            <w:pPr>
              <w:keepLines w:val="0"/>
              <w:keepNext w:val="0"/>
              <w:pageBreakBefore w:val="0"/>
              <w:spacing w:line="360" w:lineRule="exact"/>
              <w:widowControl w:val="off"/>
              <w:rPr>
                <w:color w:val="000000"/>
                <w:sz w:val="28"/>
                <w:szCs w:val="28"/>
                <w:highlight w:val="none"/>
              </w:rPr>
            </w:pPr>
            <w:r>
              <w:rPr>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jc w:val="center"/>
              <w:keepLines w:val="0"/>
              <w:keepNext w:val="0"/>
              <w:pageBreakBefore w:val="0"/>
              <w:spacing w:line="360" w:lineRule="exact"/>
              <w:widowControl w:val="off"/>
              <w:rPr>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3" w:type="dxa"/>
            <w:vAlign w:val="center"/>
            <w:textDirection w:val="lrTb"/>
            <w:noWrap w:val="false"/>
          </w:tcPr>
          <w:p>
            <w:pPr>
              <w:keepLines w:val="0"/>
              <w:keepNext w:val="0"/>
              <w:pageBreakBefore w:val="0"/>
              <w:spacing w:line="36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2.7重要活动保障服务方案（5分）</w:t>
            </w:r>
            <w:r>
              <w:rPr>
                <w:highlight w:val="none"/>
              </w:rPr>
            </w:r>
          </w:p>
          <w:p>
            <w:pPr>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评委根据投标文件对第四章“采购需求”中“</w:t>
            </w:r>
            <w:r>
              <w:rPr>
                <w:rFonts w:hint="eastAsia" w:ascii="方正仿宋_GBK" w:hAnsi="方正仿宋_GBK" w:eastAsia="方正仿宋_GBK" w:cs="方正仿宋_GBK"/>
                <w:color w:val="000000"/>
                <w:sz w:val="28"/>
                <w:szCs w:val="28"/>
                <w:highlight w:val="none"/>
              </w:rPr>
              <w:t xml:space="preserve">重要活动保障方案</w:t>
            </w:r>
            <w:r>
              <w:rPr>
                <w:rFonts w:ascii="方正仿宋_GBK" w:hAnsi="方正仿宋_GBK" w:eastAsia="方正仿宋_GBK" w:cs="方正仿宋_GBK"/>
                <w:color w:val="000000"/>
                <w:sz w:val="28"/>
                <w:szCs w:val="28"/>
                <w:highlight w:val="none"/>
              </w:rPr>
              <w:t xml:space="preserve">”响应情况进行评审</w:t>
            </w:r>
            <w:r>
              <w:rPr>
                <w:rFonts w:hint="eastAsia" w:ascii="方正仿宋_GBK" w:hAnsi="方正仿宋_GBK" w:eastAsia="方正仿宋_GBK" w:cs="方正仿宋_GBK"/>
                <w:color w:val="000000"/>
                <w:sz w:val="28"/>
                <w:szCs w:val="28"/>
                <w:highlight w:val="none"/>
                <w:lang w:eastAsia="zh-CN"/>
              </w:rPr>
              <w:t xml:space="preserve">：</w:t>
            </w:r>
            <w:r>
              <w:rPr>
                <w:highlight w:val="none"/>
              </w:rPr>
            </w:r>
          </w:p>
          <w:p>
            <w:pPr>
              <w:jc w:val="left"/>
              <w:keepLines w:val="0"/>
              <w:keepNext w:val="0"/>
              <w:pageBreakBefore w:val="0"/>
              <w:spacing w:line="360" w:lineRule="exact"/>
              <w:widowControl w:val="off"/>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（1）经评委认定，投标文件对</w:t>
            </w:r>
            <w:r>
              <w:rPr>
                <w:rFonts w:hint="eastAsia" w:ascii="方正仿宋_GBK" w:hAnsi="方正仿宋_GBK" w:eastAsia="方正仿宋_GBK" w:cs="方正仿宋_GBK"/>
                <w:color w:val="000000"/>
                <w:sz w:val="28"/>
                <w:szCs w:val="28"/>
                <w:highlight w:val="none"/>
              </w:rPr>
              <w:t xml:space="preserve">重要会议及活动</w:t>
            </w:r>
            <w:r>
              <w:rPr>
                <w:rFonts w:ascii="方正仿宋_GBK" w:hAnsi="方正仿宋_GBK" w:eastAsia="方正仿宋_GBK" w:cs="方正仿宋_GBK"/>
                <w:color w:val="000000"/>
                <w:sz w:val="28"/>
                <w:szCs w:val="28"/>
                <w:highlight w:val="none"/>
              </w:rPr>
              <w:t xml:space="preserve">要求的响应内容全部优于招标文件要求的本项得5分。</w:t>
            </w:r>
            <w:r>
              <w:rPr>
                <w:highlight w:val="none"/>
              </w:rPr>
            </w:r>
          </w:p>
          <w:p>
            <w:pPr>
              <w:jc w:val="left"/>
              <w:keepLines w:val="0"/>
              <w:keepNext w:val="0"/>
              <w:pageBreakBefore w:val="0"/>
              <w:spacing w:line="360" w:lineRule="exact"/>
              <w:widowControl w:val="off"/>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（2）投标文件符合“设计方案”中全部条款要求的，视为符合招标文件，本项得3分。</w:t>
            </w:r>
            <w:r>
              <w:rPr>
                <w:highlight w:val="none"/>
              </w:rPr>
            </w:r>
          </w:p>
          <w:p>
            <w:pPr>
              <w:jc w:val="left"/>
              <w:keepLines w:val="0"/>
              <w:keepNext w:val="0"/>
              <w:pageBreakBefore w:val="0"/>
              <w:spacing w:line="360" w:lineRule="exact"/>
              <w:widowControl w:val="off"/>
              <w:rPr>
                <w:color w:val="000000"/>
                <w:sz w:val="28"/>
                <w:szCs w:val="28"/>
                <w:highlight w:val="none"/>
              </w:rPr>
            </w:pPr>
            <w:r>
              <w:rPr>
                <w:rFonts w:ascii="方正仿宋_GBK" w:hAnsi="方正仿宋_GBK" w:eastAsia="方正仿宋_GBK" w:cs="方正仿宋_GBK"/>
                <w:color w:val="000000"/>
                <w:sz w:val="28"/>
                <w:szCs w:val="28"/>
                <w:highlight w:val="none"/>
              </w:rPr>
              <w:t xml:space="preserve">（3）投标文件未符合“设计方案”中全部条款要求的，视为不符合招标文件，本项得0分。</w:t>
            </w:r>
            <w:r>
              <w:rPr>
                <w:highlight w:val="none"/>
              </w:rPr>
            </w:r>
          </w:p>
        </w:tc>
      </w:tr>
      <w:tr>
        <w:trPr/>
        <w:tc>
          <w:tcPr>
            <w:tcBorders>
              <w:top w:val="single" w:color="000000" w:sz="4" w:space="0"/>
              <w:left w:val="single" w:color="000000" w:sz="4" w:space="0"/>
              <w:bottom w:val="single" w:color="000000" w:sz="4" w:space="0"/>
              <w:right w:val="single" w:color="000000" w:sz="4" w:space="0"/>
            </w:tcBorders>
            <w:tcW w:w="887" w:type="dxa"/>
            <w:vAlign w:val="top"/>
            <w:vMerge w:val="continue"/>
            <w:textDirection w:val="lrTb"/>
            <w:noWrap w:val="false"/>
          </w:tcPr>
          <w:p>
            <w:pPr>
              <w:keepLines w:val="0"/>
              <w:keepNext w:val="0"/>
              <w:pageBreakBefore w:val="0"/>
              <w:spacing w:line="360" w:lineRule="exact"/>
              <w:widowControl w:val="off"/>
              <w:rPr>
                <w:color w:val="000000"/>
                <w:sz w:val="28"/>
                <w:szCs w:val="28"/>
                <w:highlight w:val="none"/>
              </w:rPr>
            </w:pPr>
            <w:r>
              <w:rPr>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350" w:type="dxa"/>
            <w:vAlign w:val="top"/>
            <w:vMerge w:val="continue"/>
            <w:textDirection w:val="lrTb"/>
            <w:noWrap w:val="false"/>
          </w:tcPr>
          <w:p>
            <w:pPr>
              <w:keepLines w:val="0"/>
              <w:keepNext w:val="0"/>
              <w:pageBreakBefore w:val="0"/>
              <w:spacing w:line="360" w:lineRule="exact"/>
              <w:widowControl w:val="off"/>
              <w:rPr>
                <w:color w:val="000000"/>
                <w:sz w:val="28"/>
                <w:szCs w:val="28"/>
                <w:highlight w:val="none"/>
              </w:rPr>
            </w:pPr>
            <w:r>
              <w:rPr>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jc w:val="center"/>
              <w:keepLines w:val="0"/>
              <w:keepNext w:val="0"/>
              <w:pageBreakBefore w:val="0"/>
              <w:spacing w:line="360" w:lineRule="exact"/>
              <w:widowControl w:val="off"/>
              <w:rPr>
                <w:rFonts w:hint="eastAsia" w:ascii="方正仿宋_GBK" w:hAnsi="方正仿宋_GBK" w:eastAsia="方正仿宋_GBK" w:cs="方正仿宋_GBK"/>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3" w:type="dxa"/>
            <w:vAlign w:val="center"/>
            <w:textDirection w:val="lrTb"/>
            <w:noWrap w:val="false"/>
          </w:tcPr>
          <w:p>
            <w:pPr>
              <w:keepLines w:val="0"/>
              <w:keepNext w:val="0"/>
              <w:pageBreakBefore w:val="0"/>
              <w:spacing w:line="36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2.8应急事件处置方案（5分）</w:t>
            </w:r>
            <w:r>
              <w:rPr>
                <w:highlight w:val="none"/>
              </w:rPr>
            </w:r>
          </w:p>
          <w:p>
            <w:pPr>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评委根据投标文件对第四章“采购需求”中“</w:t>
            </w:r>
            <w:r>
              <w:rPr>
                <w:rFonts w:hint="eastAsia" w:ascii="方正仿宋_GBK" w:hAnsi="方正仿宋_GBK" w:eastAsia="方正仿宋_GBK" w:cs="方正仿宋_GBK"/>
                <w:color w:val="000000"/>
                <w:sz w:val="28"/>
                <w:szCs w:val="28"/>
                <w:highlight w:val="none"/>
              </w:rPr>
              <w:t xml:space="preserve">应急事件处置方案</w:t>
            </w:r>
            <w:r>
              <w:rPr>
                <w:rFonts w:ascii="方正仿宋_GBK" w:hAnsi="方正仿宋_GBK" w:eastAsia="方正仿宋_GBK" w:cs="方正仿宋_GBK"/>
                <w:color w:val="000000"/>
                <w:sz w:val="28"/>
                <w:szCs w:val="28"/>
                <w:highlight w:val="none"/>
              </w:rPr>
              <w:t xml:space="preserve">”响应情况进行评审</w:t>
            </w:r>
            <w:r>
              <w:rPr>
                <w:rFonts w:hint="eastAsia" w:ascii="方正仿宋_GBK" w:hAnsi="方正仿宋_GBK" w:eastAsia="方正仿宋_GBK" w:cs="方正仿宋_GBK"/>
                <w:color w:val="000000"/>
                <w:sz w:val="28"/>
                <w:szCs w:val="28"/>
                <w:highlight w:val="none"/>
                <w:lang w:eastAsia="zh-CN"/>
              </w:rPr>
              <w:t xml:space="preserve">：</w:t>
            </w:r>
            <w:r>
              <w:rPr>
                <w:highlight w:val="none"/>
              </w:rPr>
            </w:r>
          </w:p>
          <w:p>
            <w:pPr>
              <w:jc w:val="left"/>
              <w:keepLines w:val="0"/>
              <w:keepNext w:val="0"/>
              <w:pageBreakBefore w:val="0"/>
              <w:spacing w:line="360" w:lineRule="exact"/>
              <w:widowControl w:val="off"/>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（1）经评委认定，投标文件对</w:t>
            </w:r>
            <w:r>
              <w:rPr>
                <w:rFonts w:hint="eastAsia" w:ascii="方正仿宋_GBK" w:hAnsi="方正仿宋_GBK" w:eastAsia="方正仿宋_GBK" w:cs="方正仿宋_GBK"/>
                <w:color w:val="000000"/>
                <w:sz w:val="28"/>
                <w:szCs w:val="28"/>
                <w:highlight w:val="none"/>
              </w:rPr>
              <w:t xml:space="preserve">出现的应急事件处置</w:t>
            </w:r>
            <w:r>
              <w:rPr>
                <w:rFonts w:ascii="方正仿宋_GBK" w:hAnsi="方正仿宋_GBK" w:eastAsia="方正仿宋_GBK" w:cs="方正仿宋_GBK"/>
                <w:color w:val="000000"/>
                <w:sz w:val="28"/>
                <w:szCs w:val="28"/>
                <w:highlight w:val="none"/>
              </w:rPr>
              <w:t xml:space="preserve">要求的响应内容全部优于招标文件要求的本项得5分。</w:t>
            </w:r>
            <w:r>
              <w:rPr>
                <w:highlight w:val="none"/>
              </w:rPr>
            </w:r>
          </w:p>
          <w:p>
            <w:pPr>
              <w:jc w:val="left"/>
              <w:keepLines w:val="0"/>
              <w:keepNext w:val="0"/>
              <w:pageBreakBefore w:val="0"/>
              <w:spacing w:line="360" w:lineRule="exact"/>
              <w:widowControl w:val="off"/>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（2）投标文件符合“设计方案”中全部条款要求的，视为符合招标文件，本项得3分。</w:t>
            </w:r>
            <w:r>
              <w:rPr>
                <w:highlight w:val="none"/>
              </w:rPr>
            </w:r>
          </w:p>
          <w:p>
            <w:pPr>
              <w:jc w:val="left"/>
              <w:keepLines w:val="0"/>
              <w:keepNext w:val="0"/>
              <w:pageBreakBefore w:val="0"/>
              <w:spacing w:line="360" w:lineRule="exact"/>
              <w:widowControl w:val="off"/>
              <w:rPr>
                <w:color w:val="000000"/>
                <w:sz w:val="28"/>
                <w:szCs w:val="28"/>
                <w:highlight w:val="none"/>
              </w:rPr>
            </w:pPr>
            <w:r>
              <w:rPr>
                <w:rFonts w:ascii="方正仿宋_GBK" w:hAnsi="方正仿宋_GBK" w:eastAsia="方正仿宋_GBK" w:cs="方正仿宋_GBK"/>
                <w:color w:val="000000"/>
                <w:sz w:val="28"/>
                <w:szCs w:val="28"/>
                <w:highlight w:val="none"/>
              </w:rPr>
              <w:t xml:space="preserve">（3）投标文件未符合“设计方案”中全部条款要求的，视为不符合招标文件，本项得0分。</w:t>
            </w:r>
            <w:r>
              <w:rPr>
                <w:highlight w:val="none"/>
              </w:rPr>
            </w:r>
          </w:p>
        </w:tc>
      </w:tr>
      <w:tr>
        <w:trPr/>
        <w:tc>
          <w:tcPr>
            <w:tcBorders>
              <w:top w:val="single" w:color="000000" w:sz="4" w:space="0"/>
              <w:left w:val="single" w:color="000000" w:sz="4" w:space="0"/>
              <w:bottom w:val="single" w:color="000000" w:sz="4" w:space="0"/>
              <w:right w:val="single" w:color="000000" w:sz="4" w:space="0"/>
            </w:tcBorders>
            <w:tcW w:w="887" w:type="dxa"/>
            <w:vAlign w:val="top"/>
            <w:vMerge w:val="continue"/>
            <w:textDirection w:val="lrTb"/>
            <w:noWrap w:val="false"/>
          </w:tcPr>
          <w:p>
            <w:pPr>
              <w:keepLines w:val="0"/>
              <w:keepNext w:val="0"/>
              <w:pageBreakBefore w:val="0"/>
              <w:spacing w:line="360" w:lineRule="exact"/>
              <w:widowControl w:val="off"/>
              <w:rPr>
                <w:color w:val="000000"/>
                <w:sz w:val="28"/>
                <w:szCs w:val="28"/>
                <w:highlight w:val="none"/>
              </w:rPr>
            </w:pPr>
            <w:r>
              <w:rPr>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350" w:type="dxa"/>
            <w:vAlign w:val="top"/>
            <w:vMerge w:val="continue"/>
            <w:textDirection w:val="lrTb"/>
            <w:noWrap w:val="false"/>
          </w:tcPr>
          <w:p>
            <w:pPr>
              <w:keepLines w:val="0"/>
              <w:keepNext w:val="0"/>
              <w:pageBreakBefore w:val="0"/>
              <w:spacing w:line="360" w:lineRule="exact"/>
              <w:widowControl w:val="off"/>
              <w:rPr>
                <w:color w:val="000000"/>
                <w:sz w:val="28"/>
                <w:szCs w:val="28"/>
                <w:highlight w:val="none"/>
              </w:rPr>
            </w:pPr>
            <w:r>
              <w:rPr>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jc w:val="center"/>
              <w:keepLines w:val="0"/>
              <w:keepNext w:val="0"/>
              <w:pageBreakBefore w:val="0"/>
              <w:spacing w:line="360" w:lineRule="exact"/>
              <w:widowControl w:val="off"/>
              <w:rPr>
                <w:rFonts w:hint="eastAsia" w:ascii="方正仿宋_GBK" w:hAnsi="方正仿宋_GBK" w:eastAsia="方正仿宋_GBK" w:cs="方正仿宋_GBK"/>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3" w:type="dxa"/>
            <w:vAlign w:val="center"/>
            <w:textDirection w:val="lrTb"/>
            <w:noWrap w:val="false"/>
          </w:tcPr>
          <w:p>
            <w:pPr>
              <w:keepLines w:val="0"/>
              <w:keepNext w:val="0"/>
              <w:pageBreakBefore w:val="0"/>
              <w:spacing w:line="36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2.</w:t>
            </w:r>
            <w:r>
              <w:rPr>
                <w:rFonts w:hint="eastAsia" w:ascii="方正仿宋_GBK" w:hAnsi="方正仿宋_GBK" w:eastAsia="方正仿宋_GBK" w:cs="方正仿宋_GBK"/>
                <w:b/>
                <w:color w:val="000000"/>
                <w:sz w:val="28"/>
                <w:szCs w:val="28"/>
                <w:highlight w:val="none"/>
                <w:lang w:val="en-US" w:eastAsia="zh-CN"/>
              </w:rPr>
              <w:t xml:space="preserve">9</w:t>
            </w:r>
            <w:r>
              <w:rPr>
                <w:rFonts w:hint="eastAsia" w:ascii="方正仿宋_GBK" w:hAnsi="方正仿宋_GBK" w:eastAsia="方正仿宋_GBK" w:cs="方正仿宋_GBK"/>
                <w:b/>
                <w:color w:val="000000"/>
                <w:sz w:val="28"/>
                <w:szCs w:val="28"/>
                <w:highlight w:val="none"/>
              </w:rPr>
              <w:t xml:space="preserve">创新服务及文化建设方案（5分）</w:t>
            </w:r>
            <w:r>
              <w:rPr>
                <w:highlight w:val="none"/>
              </w:rPr>
            </w:r>
          </w:p>
          <w:p>
            <w:pPr>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评委根据投标文件对第四章“采购需求”中“</w:t>
            </w:r>
            <w:r>
              <w:rPr>
                <w:rFonts w:hint="eastAsia" w:ascii="方正仿宋_GBK" w:hAnsi="方正仿宋_GBK" w:eastAsia="方正仿宋_GBK" w:cs="方正仿宋_GBK"/>
                <w:color w:val="000000"/>
                <w:sz w:val="28"/>
                <w:szCs w:val="28"/>
                <w:highlight w:val="none"/>
              </w:rPr>
              <w:t xml:space="preserve">创新服务及文化建设</w:t>
            </w:r>
            <w:r>
              <w:rPr>
                <w:rFonts w:ascii="方正仿宋_GBK" w:hAnsi="方正仿宋_GBK" w:eastAsia="方正仿宋_GBK" w:cs="方正仿宋_GBK"/>
                <w:color w:val="000000"/>
                <w:sz w:val="28"/>
                <w:szCs w:val="28"/>
                <w:highlight w:val="none"/>
              </w:rPr>
              <w:t xml:space="preserve">”响应情况进行评审</w:t>
            </w:r>
            <w:r>
              <w:rPr>
                <w:rFonts w:hint="eastAsia" w:ascii="方正仿宋_GBK" w:hAnsi="方正仿宋_GBK" w:eastAsia="方正仿宋_GBK" w:cs="方正仿宋_GBK"/>
                <w:color w:val="000000"/>
                <w:sz w:val="28"/>
                <w:szCs w:val="28"/>
                <w:highlight w:val="none"/>
                <w:lang w:eastAsia="zh-CN"/>
              </w:rPr>
              <w:t xml:space="preserve">：</w:t>
            </w:r>
            <w:r>
              <w:rPr>
                <w:highlight w:val="none"/>
              </w:rPr>
            </w:r>
          </w:p>
          <w:p>
            <w:pPr>
              <w:jc w:val="left"/>
              <w:keepLines w:val="0"/>
              <w:keepNext w:val="0"/>
              <w:pageBreakBefore w:val="0"/>
              <w:spacing w:line="360" w:lineRule="exact"/>
              <w:widowControl w:val="off"/>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（1）经评委认定，投标文件对</w:t>
            </w:r>
            <w:r>
              <w:rPr>
                <w:rFonts w:hint="eastAsia" w:ascii="方正仿宋_GBK" w:hAnsi="方正仿宋_GBK" w:eastAsia="方正仿宋_GBK" w:cs="方正仿宋_GBK"/>
                <w:color w:val="000000"/>
                <w:sz w:val="28"/>
                <w:szCs w:val="28"/>
                <w:highlight w:val="none"/>
              </w:rPr>
              <w:t xml:space="preserve">校园文化建设、节日氛围营造和学生劳动实践服务</w:t>
            </w:r>
            <w:r>
              <w:rPr>
                <w:rFonts w:ascii="方正仿宋_GBK" w:hAnsi="方正仿宋_GBK" w:eastAsia="方正仿宋_GBK" w:cs="方正仿宋_GBK"/>
                <w:color w:val="000000"/>
                <w:sz w:val="28"/>
                <w:szCs w:val="28"/>
                <w:highlight w:val="none"/>
              </w:rPr>
              <w:t xml:space="preserve">三项要求的响应内容全部优于招标文件要求的本项得5分。</w:t>
            </w:r>
            <w:r>
              <w:rPr>
                <w:highlight w:val="none"/>
              </w:rPr>
            </w:r>
          </w:p>
          <w:p>
            <w:pPr>
              <w:jc w:val="left"/>
              <w:keepLines w:val="0"/>
              <w:keepNext w:val="0"/>
              <w:pageBreakBefore w:val="0"/>
              <w:spacing w:line="360" w:lineRule="exact"/>
              <w:widowControl w:val="off"/>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（2）投标文件符合“设计方案”中全部条款要求的，视为符合招标文件，本项得3分。</w:t>
            </w:r>
            <w:r>
              <w:rPr>
                <w:highlight w:val="none"/>
              </w:rPr>
            </w:r>
          </w:p>
          <w:p>
            <w:pPr>
              <w:jc w:val="left"/>
              <w:keepLines w:val="0"/>
              <w:keepNext w:val="0"/>
              <w:pageBreakBefore w:val="0"/>
              <w:spacing w:line="360" w:lineRule="exact"/>
              <w:widowControl w:val="off"/>
              <w:rPr>
                <w:color w:val="000000"/>
                <w:sz w:val="28"/>
                <w:szCs w:val="28"/>
                <w:highlight w:val="none"/>
              </w:rPr>
            </w:pPr>
            <w:r>
              <w:rPr>
                <w:rFonts w:ascii="方正仿宋_GBK" w:hAnsi="方正仿宋_GBK" w:eastAsia="方正仿宋_GBK" w:cs="方正仿宋_GBK"/>
                <w:color w:val="000000"/>
                <w:sz w:val="28"/>
                <w:szCs w:val="28"/>
                <w:highlight w:val="none"/>
              </w:rPr>
              <w:t xml:space="preserve">（3）投标文件未符合“设计方案”中全部条款要求的，视为不符合招标文件，本项得0分。</w:t>
            </w:r>
            <w:r>
              <w:rPr>
                <w:highlight w:val="none"/>
              </w:rPr>
            </w:r>
          </w:p>
        </w:tc>
      </w:tr>
      <w:tr>
        <w:trPr>
          <w:trHeight w:val="12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center"/>
            <w:vMerge w:val="restart"/>
            <w:textDirection w:val="lrTb"/>
            <w:noWrap w:val="false"/>
          </w:tcPr>
          <w:p>
            <w:pPr>
              <w:jc w:val="center"/>
              <w:keepLines w:val="0"/>
              <w:keepNext w:val="0"/>
              <w:pageBreakBefore w:val="0"/>
              <w:spacing w:line="360" w:lineRule="exact"/>
              <w:widowControl w:val="o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8"/>
                <w:highlight w:val="none"/>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0" w:type="dxa"/>
            <w:vAlign w:val="center"/>
            <w:vMerge w:val="restart"/>
            <w:textDirection w:val="lrTb"/>
            <w:noWrap w:val="false"/>
          </w:tcPr>
          <w:p>
            <w:pPr>
              <w:jc w:val="center"/>
              <w:keepLines w:val="0"/>
              <w:keepNext w:val="0"/>
              <w:pageBreakBefore w:val="0"/>
              <w:spacing w:line="360" w:lineRule="exact"/>
              <w:widowControl w:val="off"/>
              <w:rPr>
                <w:rFonts w:ascii="方正仿宋_GBK" w:hAnsi="方正仿宋_GBK" w:eastAsia="方正仿宋_GBK" w:cs="方正仿宋_GBK"/>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人员资质及人员投入</w:t>
            </w:r>
            <w:r>
              <w:rPr>
                <w:highlight w:val="none"/>
              </w:rPr>
            </w:r>
          </w:p>
          <w:p>
            <w:pPr>
              <w:jc w:val="center"/>
              <w:keepLines w:val="0"/>
              <w:keepNext w:val="0"/>
              <w:pageBreakBefore w:val="0"/>
              <w:spacing w:line="360" w:lineRule="exact"/>
              <w:widowControl w:val="off"/>
              <w:rPr>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w:t>
            </w:r>
            <w:r>
              <w:rPr>
                <w:rFonts w:hint="eastAsia" w:ascii="方正仿宋_GBK" w:hAnsi="方正仿宋_GBK" w:eastAsia="方正仿宋_GBK" w:cs="方正仿宋_GBK"/>
                <w:b/>
                <w:color w:val="000000"/>
                <w:sz w:val="28"/>
                <w:szCs w:val="28"/>
                <w:highlight w:val="none"/>
                <w:lang w:val="en-US" w:eastAsia="zh-CN"/>
              </w:rPr>
              <w:t xml:space="preserve">20</w:t>
            </w:r>
            <w:r>
              <w:rPr>
                <w:rFonts w:hint="eastAsia" w:ascii="方正仿宋_GBK" w:hAnsi="方正仿宋_GBK" w:eastAsia="方正仿宋_GBK" w:cs="方正仿宋_GBK"/>
                <w:b/>
                <w:color w:val="000000"/>
                <w:sz w:val="28"/>
                <w:szCs w:val="28"/>
                <w:highlight w:val="none"/>
              </w:rPr>
              <w:t xml:space="preserve">分）</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jc w:val="center"/>
              <w:keepLines w:val="0"/>
              <w:keepNext w:val="0"/>
              <w:pageBreakBefore w:val="0"/>
              <w:spacing w:line="360" w:lineRule="exact"/>
              <w:widowControl w:val="off"/>
              <w:rPr>
                <w:rFonts w:hint="eastAsia" w:eastAsia="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lang w:val="en-US" w:eastAsia="zh-CN"/>
              </w:rPr>
              <w:t xml:space="preserve">6</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3" w:type="dxa"/>
            <w:vAlign w:val="center"/>
            <w:textDirection w:val="lrTb"/>
            <w:noWrap w:val="false"/>
          </w:tcPr>
          <w:p>
            <w:pPr>
              <w:keepLines w:val="0"/>
              <w:keepNext w:val="0"/>
              <w:pageBreakBefore w:val="0"/>
              <w:spacing w:line="360" w:lineRule="exact"/>
              <w:widowControl w:val="off"/>
              <w:rPr>
                <w:rFonts w:hint="eastAsia" w:ascii="方正仿宋_GBK" w:hAnsi="方正仿宋_GBK" w:eastAsia="方正仿宋_GBK" w:cs="方正仿宋_GBK"/>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3.1项目经理（</w:t>
            </w:r>
            <w:r>
              <w:rPr>
                <w:rFonts w:hint="eastAsia" w:ascii="方正仿宋_GBK" w:hAnsi="方正仿宋_GBK" w:eastAsia="方正仿宋_GBK" w:cs="方正仿宋_GBK"/>
                <w:b/>
                <w:color w:val="000000"/>
                <w:sz w:val="28"/>
                <w:szCs w:val="28"/>
                <w:highlight w:val="none"/>
                <w:lang w:val="en-US" w:eastAsia="zh-CN"/>
              </w:rPr>
              <w:t xml:space="preserve">6</w:t>
            </w:r>
            <w:r>
              <w:rPr>
                <w:rFonts w:hint="eastAsia" w:ascii="方正仿宋_GBK" w:hAnsi="方正仿宋_GBK" w:eastAsia="方正仿宋_GBK" w:cs="方正仿宋_GBK"/>
                <w:b/>
                <w:color w:val="000000"/>
                <w:sz w:val="28"/>
                <w:szCs w:val="28"/>
                <w:highlight w:val="none"/>
              </w:rPr>
              <w:t xml:space="preserve">分）</w:t>
            </w:r>
            <w:r>
              <w:rPr>
                <w:highlight w:val="none"/>
              </w:rPr>
            </w:r>
          </w:p>
          <w:p>
            <w:pPr>
              <w:keepLines w:val="0"/>
              <w:keepNext w:val="0"/>
              <w:pageBreakBefore w:val="0"/>
              <w:spacing w:line="36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拟派驻本项目的项目经理具有本科及以上学历，得2分；</w:t>
            </w:r>
            <w:r>
              <w:rPr>
                <w:highlight w:val="none"/>
              </w:rPr>
            </w:r>
          </w:p>
          <w:p>
            <w:pPr>
              <w:pStyle w:val="943"/>
              <w:ind w:left="0" w:right="0"/>
              <w:keepLines w:val="0"/>
              <w:keepNext w:val="0"/>
              <w:pageBreakBefore w:val="0"/>
              <w:spacing w:before="120" w:beforeAutospacing="0" w:after="120" w:afterAutospacing="0" w:line="360" w:lineRule="exact"/>
              <w:widowControl w:val="off"/>
              <w:tabs>
                <w:tab w:val="left" w:pos="8727" w:leader="none"/>
              </w:tabs>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（2）具有类似物业项目（非住宅类）的管理经验，3年以上（含3年）不满5年的，得3分；5年及以上的，得4分。未提供或未按要求提供的不得分。</w:t>
            </w:r>
            <w:r>
              <w:rPr>
                <w:highlight w:val="none"/>
              </w:rPr>
            </w:r>
          </w:p>
          <w:p>
            <w:pPr>
              <w:keepLines w:val="0"/>
              <w:keepNext w:val="0"/>
              <w:pageBreakBefore w:val="0"/>
              <w:spacing w:line="360" w:lineRule="exact"/>
              <w:widowControl w:val="off"/>
              <w:rPr>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（须提交清晰的证书复印件和业主或业主单位管理部门开具的类似项目管理经验证明材料以及开标前由投标人为其缴纳的近六个月（不含投标当月）中任意一个月的社保证明材料复印件并加盖投标人公章）</w:t>
            </w:r>
            <w:r>
              <w:rPr>
                <w:highlight w:val="none"/>
              </w:rPr>
            </w:r>
          </w:p>
        </w:tc>
      </w:tr>
      <w:tr>
        <w:trPr>
          <w:trHeight w:val="12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7" w:type="dxa"/>
            <w:vAlign w:val="center"/>
            <w:vMerge w:val="continue"/>
            <w:textDirection w:val="lrTb"/>
            <w:noWrap w:val="false"/>
          </w:tcPr>
          <w:p>
            <w:pPr>
              <w:jc w:val="center"/>
              <w:keepLines w:val="0"/>
              <w:keepNext w:val="0"/>
              <w:pageBreakBefore w:val="0"/>
              <w:spacing w:line="360" w:lineRule="exact"/>
              <w:widowControl w:val="off"/>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0" w:type="dxa"/>
            <w:vAlign w:val="center"/>
            <w:vMerge w:val="continue"/>
            <w:textDirection w:val="lrTb"/>
            <w:noWrap w:val="false"/>
          </w:tcPr>
          <w:p>
            <w:pPr>
              <w:jc w:val="center"/>
              <w:keepLines w:val="0"/>
              <w:keepNext w:val="0"/>
              <w:pageBreakBefore w:val="0"/>
              <w:spacing w:line="360" w:lineRule="exact"/>
              <w:widowControl w:val="off"/>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lang w:val="en-US" w:eastAsia="zh-CN"/>
              </w:rPr>
              <w:t xml:space="preserve">7</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3" w:type="dxa"/>
            <w:vAlign w:val="center"/>
            <w:textDirection w:val="lrTb"/>
            <w:noWrap w:val="false"/>
          </w:tcPr>
          <w:p>
            <w:pPr>
              <w:keepLines w:val="0"/>
              <w:keepNext w:val="0"/>
              <w:pageBreakBefore w:val="0"/>
              <w:spacing w:line="360" w:lineRule="exact"/>
              <w:widowControl w:val="off"/>
              <w:rPr>
                <w:rFonts w:hint="eastAsia" w:ascii="方正仿宋_GBK" w:hAnsi="方正仿宋_GBK" w:eastAsia="方正仿宋_GBK" w:cs="方正仿宋_GBK"/>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3.2楼宇主管（</w:t>
            </w:r>
            <w:r>
              <w:rPr>
                <w:rFonts w:hint="eastAsia" w:ascii="方正仿宋_GBK" w:hAnsi="方正仿宋_GBK" w:eastAsia="方正仿宋_GBK" w:cs="方正仿宋_GBK"/>
                <w:b/>
                <w:color w:val="000000"/>
                <w:sz w:val="28"/>
                <w:szCs w:val="28"/>
                <w:highlight w:val="none"/>
                <w:lang w:val="en-US" w:eastAsia="zh-CN"/>
              </w:rPr>
              <w:t xml:space="preserve">7</w:t>
            </w:r>
            <w:r>
              <w:rPr>
                <w:rFonts w:hint="eastAsia" w:ascii="方正仿宋_GBK" w:hAnsi="方正仿宋_GBK" w:eastAsia="方正仿宋_GBK" w:cs="方正仿宋_GBK"/>
                <w:b/>
                <w:color w:val="000000"/>
                <w:sz w:val="28"/>
                <w:szCs w:val="28"/>
                <w:highlight w:val="none"/>
              </w:rPr>
              <w:t xml:space="preserve">分）</w:t>
            </w:r>
            <w:r>
              <w:rPr>
                <w:highlight w:val="none"/>
              </w:rPr>
            </w:r>
          </w:p>
          <w:p>
            <w:pPr>
              <w:keepLines w:val="0"/>
              <w:keepNext w:val="0"/>
              <w:pageBreakBefore w:val="0"/>
              <w:spacing w:line="36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（1）具有专科及以上学历得</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分；</w:t>
            </w:r>
            <w:r>
              <w:rPr>
                <w:highlight w:val="none"/>
              </w:rPr>
            </w:r>
          </w:p>
          <w:p>
            <w:pPr>
              <w:pStyle w:val="943"/>
              <w:ind w:left="0" w:right="0"/>
              <w:keepLines w:val="0"/>
              <w:keepNext w:val="0"/>
              <w:pageBreakBefore w:val="0"/>
              <w:spacing w:before="120" w:beforeAutospacing="0" w:after="120" w:afterAutospacing="0" w:line="360" w:lineRule="exact"/>
              <w:widowControl w:val="off"/>
              <w:tabs>
                <w:tab w:val="left" w:pos="8727" w:leader="none"/>
              </w:tabs>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（2）具有与本项目类似的项目楼宇管理经验，3年以上（含3年）不满5年（不含5年）的，得3分；5年及以上的，得5分，未提供或未按要求提供的不得分。</w:t>
            </w:r>
            <w:r>
              <w:rPr>
                <w:highlight w:val="none"/>
              </w:rPr>
            </w:r>
          </w:p>
          <w:p>
            <w:pPr>
              <w:keepLines w:val="0"/>
              <w:keepNext w:val="0"/>
              <w:pageBreakBefore w:val="0"/>
              <w:spacing w:line="360" w:lineRule="exact"/>
              <w:widowControl w:val="off"/>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（须提交清晰的证书复印件和业主开具的类似项目管理经验证明材料以及开标前由投标人为其缴纳的近六个月（不含投标当月）中任意一个月的社保证明材料复印件并加盖投标人公章）</w:t>
            </w:r>
            <w:r>
              <w:rPr>
                <w:highlight w:val="none"/>
              </w:rPr>
            </w:r>
          </w:p>
        </w:tc>
      </w:tr>
      <w:tr>
        <w:trPr/>
        <w:tc>
          <w:tcPr>
            <w:tcBorders>
              <w:top w:val="single" w:color="000000" w:sz="4" w:space="0"/>
              <w:left w:val="single" w:color="000000" w:sz="4" w:space="0"/>
              <w:bottom w:val="single" w:color="000000" w:sz="4" w:space="0"/>
              <w:right w:val="single" w:color="000000" w:sz="4" w:space="0"/>
            </w:tcBorders>
            <w:tcW w:w="887" w:type="dxa"/>
            <w:vAlign w:val="top"/>
            <w:vMerge w:val="continue"/>
            <w:textDirection w:val="lrTb"/>
            <w:noWrap w:val="false"/>
          </w:tcPr>
          <w:p>
            <w:pPr>
              <w:keepLines w:val="0"/>
              <w:keepNext w:val="0"/>
              <w:pageBreakBefore w:val="0"/>
              <w:spacing w:line="360" w:lineRule="exact"/>
              <w:widowControl w:val="off"/>
              <w:rPr>
                <w:color w:val="000000"/>
                <w:sz w:val="28"/>
                <w:szCs w:val="28"/>
                <w:highlight w:val="none"/>
              </w:rPr>
            </w:pPr>
            <w:r>
              <w:rPr>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350" w:type="dxa"/>
            <w:vAlign w:val="top"/>
            <w:vMerge w:val="continue"/>
            <w:textDirection w:val="lrTb"/>
            <w:noWrap w:val="false"/>
          </w:tcPr>
          <w:p>
            <w:pPr>
              <w:keepLines w:val="0"/>
              <w:keepNext w:val="0"/>
              <w:pageBreakBefore w:val="0"/>
              <w:spacing w:line="360" w:lineRule="exact"/>
              <w:widowControl w:val="off"/>
              <w:rPr>
                <w:color w:val="000000"/>
                <w:sz w:val="28"/>
                <w:szCs w:val="28"/>
                <w:highlight w:val="none"/>
              </w:rPr>
            </w:pPr>
            <w:r>
              <w:rPr>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jc w:val="center"/>
              <w:keepLines w:val="0"/>
              <w:keepNext w:val="0"/>
              <w:pageBreakBefore w:val="0"/>
              <w:spacing w:line="360" w:lineRule="exact"/>
              <w:widowControl w:val="off"/>
              <w:rPr>
                <w:rFonts w:hint="eastAsia" w:eastAsia="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lang w:val="en-US" w:eastAsia="zh-CN"/>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3" w:type="dxa"/>
            <w:vAlign w:val="center"/>
            <w:textDirection w:val="lrTb"/>
            <w:noWrap w:val="false"/>
          </w:tcPr>
          <w:p>
            <w:pPr>
              <w:keepLines w:val="0"/>
              <w:keepNext w:val="0"/>
              <w:pageBreakBefore w:val="0"/>
              <w:spacing w:line="360" w:lineRule="exact"/>
              <w:widowControl w:val="off"/>
              <w:rPr>
                <w:rFonts w:hint="eastAsia" w:ascii="方正仿宋_GBK" w:hAnsi="方正仿宋_GBK" w:eastAsia="方正仿宋_GBK" w:cs="方正仿宋_GBK"/>
                <w:b/>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val="0"/>
                <w:color w:val="000000"/>
                <w:sz w:val="28"/>
                <w:szCs w:val="28"/>
                <w:highlight w:val="none"/>
              </w:rPr>
              <w:t xml:space="preserve">3.3 </w:t>
            </w:r>
            <w:r>
              <w:rPr>
                <w:rFonts w:hint="eastAsia" w:ascii="方正仿宋_GBK" w:hAnsi="方正仿宋_GBK" w:eastAsia="方正仿宋_GBK" w:cs="方正仿宋_GBK"/>
                <w:b/>
                <w:bCs w:val="0"/>
                <w:color w:val="000000"/>
                <w:sz w:val="28"/>
                <w:szCs w:val="28"/>
                <w:highlight w:val="none"/>
                <w:lang w:val="en-US" w:eastAsia="zh-CN"/>
              </w:rPr>
              <w:t xml:space="preserve">安保人员</w:t>
            </w:r>
            <w:r>
              <w:rPr>
                <w:rFonts w:hint="eastAsia" w:ascii="方正仿宋_GBK" w:hAnsi="方正仿宋_GBK" w:eastAsia="方正仿宋_GBK" w:cs="方正仿宋_GBK"/>
                <w:b/>
                <w:bCs w:val="0"/>
                <w:color w:val="000000"/>
                <w:sz w:val="28"/>
                <w:szCs w:val="28"/>
                <w:highlight w:val="none"/>
              </w:rPr>
              <w:t xml:space="preserve">（</w:t>
            </w:r>
            <w:r>
              <w:rPr>
                <w:rFonts w:hint="eastAsia" w:ascii="方正仿宋_GBK" w:hAnsi="方正仿宋_GBK" w:eastAsia="方正仿宋_GBK" w:cs="方正仿宋_GBK"/>
                <w:b/>
                <w:bCs w:val="0"/>
                <w:color w:val="000000"/>
                <w:sz w:val="28"/>
                <w:szCs w:val="28"/>
                <w:highlight w:val="none"/>
                <w:lang w:val="en-US" w:eastAsia="zh-CN"/>
              </w:rPr>
              <w:t xml:space="preserve">3</w:t>
            </w:r>
            <w:r>
              <w:rPr>
                <w:rFonts w:hint="eastAsia" w:ascii="方正仿宋_GBK" w:hAnsi="方正仿宋_GBK" w:eastAsia="方正仿宋_GBK" w:cs="方正仿宋_GBK"/>
                <w:b/>
                <w:bCs w:val="0"/>
                <w:color w:val="000000"/>
                <w:sz w:val="28"/>
                <w:szCs w:val="28"/>
                <w:highlight w:val="none"/>
              </w:rPr>
              <w:t xml:space="preserve">分）</w:t>
            </w:r>
            <w:r>
              <w:rPr>
                <w:highlight w:val="none"/>
              </w:rPr>
            </w:r>
          </w:p>
          <w:p>
            <w:pPr>
              <w:keepLines w:val="0"/>
              <w:keepNext w:val="0"/>
              <w:pageBreakBefore w:val="0"/>
              <w:spacing w:line="36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（1）投标人拟派驻本项目的</w:t>
            </w:r>
            <w:r>
              <w:rPr>
                <w:rFonts w:ascii="方正仿宋_GBK" w:hAnsi="方正仿宋_GBK" w:eastAsia="方正仿宋_GBK" w:cs="方正仿宋_GBK"/>
                <w:color w:val="000000"/>
                <w:sz w:val="28"/>
                <w:szCs w:val="28"/>
                <w:highlight w:val="none"/>
                <w:lang w:val="en-US"/>
              </w:rPr>
              <w:t xml:space="preserve">楼宇管理</w:t>
            </w:r>
            <w:r>
              <w:rPr>
                <w:rFonts w:hint="eastAsia" w:ascii="方正仿宋_GBK" w:hAnsi="方正仿宋_GBK" w:eastAsia="方正仿宋_GBK" w:cs="方正仿宋_GBK"/>
                <w:color w:val="000000"/>
                <w:sz w:val="28"/>
                <w:szCs w:val="28"/>
                <w:highlight w:val="none"/>
                <w:lang w:val="en-US" w:eastAsia="zh-CN"/>
              </w:rPr>
              <w:t xml:space="preserve">安保</w:t>
            </w:r>
            <w:r>
              <w:rPr>
                <w:rFonts w:hint="eastAsia" w:ascii="方正仿宋_GBK" w:hAnsi="方正仿宋_GBK" w:eastAsia="方正仿宋_GBK" w:cs="方正仿宋_GBK"/>
                <w:color w:val="000000"/>
                <w:sz w:val="28"/>
                <w:szCs w:val="28"/>
                <w:highlight w:val="none"/>
              </w:rPr>
              <w:t xml:space="preserve">人员具有</w:t>
            </w:r>
            <w:r>
              <w:rPr>
                <w:rFonts w:hint="eastAsia" w:ascii="方正仿宋_GBK" w:hAnsi="方正仿宋_GBK" w:eastAsia="方正仿宋_GBK" w:cs="方正仿宋_GBK"/>
                <w:color w:val="000000"/>
                <w:sz w:val="28"/>
                <w:szCs w:val="28"/>
                <w:highlight w:val="none"/>
                <w:lang w:val="en-US" w:eastAsia="zh-CN"/>
              </w:rPr>
              <w:t xml:space="preserve">高中</w:t>
            </w:r>
            <w:r>
              <w:rPr>
                <w:rFonts w:hint="eastAsia" w:ascii="方正仿宋_GBK" w:hAnsi="方正仿宋_GBK" w:eastAsia="方正仿宋_GBK" w:cs="方正仿宋_GBK"/>
                <w:color w:val="000000"/>
                <w:sz w:val="28"/>
                <w:szCs w:val="28"/>
                <w:highlight w:val="none"/>
              </w:rPr>
              <w:t xml:space="preserve">及以上学历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每满足一人</w:t>
            </w:r>
            <w:r>
              <w:rPr>
                <w:rFonts w:hint="eastAsia" w:ascii="方正仿宋_GBK" w:hAnsi="方正仿宋_GBK" w:eastAsia="方正仿宋_GBK" w:cs="方正仿宋_GBK"/>
                <w:color w:val="000000"/>
                <w:sz w:val="28"/>
                <w:szCs w:val="28"/>
                <w:highlight w:val="none"/>
              </w:rPr>
              <w:t xml:space="preserve">得</w:t>
            </w:r>
            <w:r>
              <w:rPr>
                <w:rFonts w:hint="eastAsia" w:ascii="方正仿宋_GBK" w:hAnsi="方正仿宋_GBK" w:eastAsia="方正仿宋_GBK" w:cs="方正仿宋_GBK"/>
                <w:color w:val="000000"/>
                <w:sz w:val="28"/>
                <w:szCs w:val="28"/>
                <w:highlight w:val="none"/>
                <w:lang w:val="en-US" w:eastAsia="zh-CN"/>
              </w:rPr>
              <w:t xml:space="preserve">0.5</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最高得1分</w:t>
            </w:r>
            <w:r>
              <w:rPr>
                <w:rFonts w:hint="eastAsia" w:ascii="方正仿宋_GBK" w:hAnsi="方正仿宋_GBK" w:eastAsia="方正仿宋_GBK" w:cs="方正仿宋_GBK"/>
                <w:color w:val="000000"/>
                <w:sz w:val="28"/>
                <w:szCs w:val="28"/>
                <w:highlight w:val="none"/>
              </w:rPr>
              <w:t xml:space="preserve">；</w:t>
            </w:r>
            <w:r>
              <w:rPr>
                <w:highlight w:val="none"/>
              </w:rPr>
            </w:r>
          </w:p>
          <w:p>
            <w:pPr>
              <w:keepLines w:val="0"/>
              <w:keepNext w:val="0"/>
              <w:pageBreakBefore w:val="0"/>
              <w:spacing w:line="36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（2）具有与本项目类似的项目管理经验，</w:t>
            </w:r>
            <w:r>
              <w:rPr>
                <w:rFonts w:hint="eastAsia" w:ascii="方正仿宋_GBK" w:hAnsi="方正仿宋_GBK" w:eastAsia="方正仿宋_GBK" w:cs="方正仿宋_GBK"/>
                <w:color w:val="000000"/>
                <w:sz w:val="28"/>
                <w:szCs w:val="28"/>
                <w:highlight w:val="none"/>
                <w:lang w:val="en-US" w:eastAsia="zh-CN"/>
              </w:rPr>
              <w:t xml:space="preserve">每满足一人得1分，最高得2分，</w:t>
            </w:r>
            <w:r>
              <w:rPr>
                <w:rFonts w:hint="eastAsia" w:ascii="方正仿宋_GBK" w:hAnsi="方正仿宋_GBK" w:eastAsia="方正仿宋_GBK" w:cs="方正仿宋_GBK"/>
                <w:color w:val="000000"/>
                <w:sz w:val="28"/>
                <w:szCs w:val="28"/>
                <w:highlight w:val="none"/>
              </w:rPr>
              <w:t xml:space="preserve">未提供或未按要求提供的不得分</w:t>
            </w:r>
            <w:r>
              <w:rPr>
                <w:rFonts w:hint="eastAsia" w:ascii="方正仿宋_GBK" w:hAnsi="方正仿宋_GBK" w:eastAsia="方正仿宋_GBK" w:cs="方正仿宋_GBK"/>
                <w:color w:val="000000"/>
                <w:sz w:val="28"/>
                <w:szCs w:val="28"/>
                <w:highlight w:val="none"/>
                <w:lang w:eastAsia="zh-CN"/>
              </w:rPr>
              <w:t xml:space="preserve">。</w:t>
            </w:r>
            <w:r>
              <w:rPr>
                <w:highlight w:val="none"/>
              </w:rPr>
            </w:r>
          </w:p>
          <w:p>
            <w:pPr>
              <w:keepLines w:val="0"/>
              <w:keepNext w:val="0"/>
              <w:pageBreakBefore w:val="0"/>
              <w:spacing w:line="360" w:lineRule="exact"/>
              <w:widowControl w:val="off"/>
              <w:rPr>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（须提交清晰的证书复印件和业主或业主单位管理部门开具的类似项目管理经验证明材料以及开标前由投标人为其缴纳的近六个月（不含投标当月）中任意一个月的社保证明材料复印件并加盖投标人公章）</w:t>
            </w:r>
            <w:r>
              <w:rPr>
                <w:highlight w:val="none"/>
              </w:rPr>
            </w:r>
          </w:p>
        </w:tc>
      </w:tr>
      <w:tr>
        <w:trPr>
          <w:trHeight w:val="3260"/>
        </w:trPr>
        <w:tc>
          <w:tcPr>
            <w:tcBorders>
              <w:top w:val="single" w:color="000000" w:sz="4" w:space="0"/>
              <w:left w:val="single" w:color="000000" w:sz="4" w:space="0"/>
              <w:bottom w:val="single" w:color="000000" w:sz="4" w:space="0"/>
              <w:right w:val="single" w:color="000000" w:sz="4" w:space="0"/>
            </w:tcBorders>
            <w:tcW w:w="887" w:type="dxa"/>
            <w:vAlign w:val="top"/>
            <w:vMerge w:val="continue"/>
            <w:textDirection w:val="lrTb"/>
            <w:noWrap w:val="false"/>
          </w:tcPr>
          <w:p>
            <w:pPr>
              <w:keepLines w:val="0"/>
              <w:keepNext w:val="0"/>
              <w:pageBreakBefore w:val="0"/>
              <w:spacing w:line="360" w:lineRule="exact"/>
              <w:widowControl w:val="off"/>
              <w:rPr>
                <w:color w:val="000000"/>
                <w:sz w:val="28"/>
                <w:szCs w:val="28"/>
                <w:highlight w:val="none"/>
              </w:rPr>
            </w:pPr>
            <w:r>
              <w:rPr>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350" w:type="dxa"/>
            <w:vAlign w:val="top"/>
            <w:vMerge w:val="continue"/>
            <w:textDirection w:val="lrTb"/>
            <w:noWrap w:val="false"/>
          </w:tcPr>
          <w:p>
            <w:pPr>
              <w:keepLines w:val="0"/>
              <w:keepNext w:val="0"/>
              <w:pageBreakBefore w:val="0"/>
              <w:spacing w:line="360" w:lineRule="exact"/>
              <w:widowControl w:val="off"/>
              <w:rPr>
                <w:color w:val="000000"/>
                <w:sz w:val="28"/>
                <w:szCs w:val="28"/>
                <w:highlight w:val="none"/>
              </w:rPr>
            </w:pPr>
            <w:r>
              <w:rPr>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lang w:val="en-US" w:eastAsia="zh-CN"/>
              </w:rPr>
              <w:t xml:space="preserve">4</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3" w:type="dxa"/>
            <w:vAlign w:val="center"/>
            <w:textDirection w:val="lrTb"/>
            <w:noWrap w:val="false"/>
          </w:tcPr>
          <w:p>
            <w:pPr>
              <w:keepLines w:val="0"/>
              <w:keepNext w:val="0"/>
              <w:pageBreakBefore w:val="0"/>
              <w:spacing w:line="360" w:lineRule="exact"/>
              <w:widowControl w:val="off"/>
              <w:rPr>
                <w:rFonts w:hint="eastAsia" w:ascii="方正仿宋_GBK" w:hAnsi="方正仿宋_GBK" w:eastAsia="方正仿宋_GBK" w:cs="方正仿宋_GBK"/>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3.4</w:t>
            </w:r>
            <w:r>
              <w:rPr>
                <w:rFonts w:hint="eastAsia" w:ascii="方正仿宋_GBK" w:hAnsi="方正仿宋_GBK" w:eastAsia="方正仿宋_GBK" w:cs="方正仿宋_GBK"/>
                <w:b/>
                <w:color w:val="000000"/>
                <w:sz w:val="28"/>
                <w:szCs w:val="28"/>
                <w:highlight w:val="none"/>
                <w:lang w:val="en-US" w:eastAsia="zh-CN"/>
              </w:rPr>
              <w:t xml:space="preserve"> 会务人</w:t>
            </w:r>
            <w:r>
              <w:rPr>
                <w:rFonts w:hint="eastAsia" w:ascii="方正仿宋_GBK" w:hAnsi="方正仿宋_GBK" w:eastAsia="方正仿宋_GBK" w:cs="方正仿宋_GBK"/>
                <w:b/>
                <w:color w:val="000000"/>
                <w:sz w:val="28"/>
                <w:szCs w:val="28"/>
                <w:highlight w:val="none"/>
              </w:rPr>
              <w:t xml:space="preserve">员（</w:t>
            </w:r>
            <w:r>
              <w:rPr>
                <w:rFonts w:hint="eastAsia" w:ascii="方正仿宋_GBK" w:hAnsi="方正仿宋_GBK" w:eastAsia="方正仿宋_GBK" w:cs="方正仿宋_GBK"/>
                <w:b/>
                <w:color w:val="000000"/>
                <w:sz w:val="28"/>
                <w:szCs w:val="28"/>
                <w:highlight w:val="none"/>
                <w:lang w:val="en-US" w:eastAsia="zh-CN"/>
              </w:rPr>
              <w:t xml:space="preserve">4</w:t>
            </w:r>
            <w:r>
              <w:rPr>
                <w:rFonts w:hint="eastAsia" w:ascii="方正仿宋_GBK" w:hAnsi="方正仿宋_GBK" w:eastAsia="方正仿宋_GBK" w:cs="方正仿宋_GBK"/>
                <w:b/>
                <w:color w:val="000000"/>
                <w:sz w:val="28"/>
                <w:szCs w:val="28"/>
                <w:highlight w:val="none"/>
              </w:rPr>
              <w:t xml:space="preserve">分）</w:t>
            </w:r>
            <w:r>
              <w:rPr>
                <w:highlight w:val="none"/>
              </w:rPr>
            </w:r>
          </w:p>
          <w:p>
            <w:pPr>
              <w:keepLines w:val="0"/>
              <w:keepNext w:val="0"/>
              <w:pageBreakBefore w:val="0"/>
              <w:spacing w:line="36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（1）具有专科及以上学历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每满足一人得1分，最高</w:t>
            </w:r>
            <w:r>
              <w:rPr>
                <w:rFonts w:hint="eastAsia" w:ascii="方正仿宋_GBK" w:hAnsi="方正仿宋_GBK" w:eastAsia="方正仿宋_GBK" w:cs="方正仿宋_GBK"/>
                <w:color w:val="000000"/>
                <w:sz w:val="28"/>
                <w:szCs w:val="28"/>
                <w:highlight w:val="none"/>
              </w:rPr>
              <w:t xml:space="preserve">得</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分；</w:t>
            </w:r>
            <w:r>
              <w:rPr>
                <w:highlight w:val="none"/>
              </w:rPr>
            </w:r>
          </w:p>
          <w:p>
            <w:pPr>
              <w:keepLines w:val="0"/>
              <w:keepNext w:val="0"/>
              <w:pageBreakBefore w:val="0"/>
              <w:spacing w:line="36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（2）具有1年及以上类似项目</w:t>
            </w:r>
            <w:r>
              <w:rPr>
                <w:rFonts w:hint="eastAsia" w:ascii="方正仿宋_GBK" w:hAnsi="方正仿宋_GBK" w:eastAsia="方正仿宋_GBK" w:cs="方正仿宋_GBK"/>
                <w:color w:val="000000"/>
                <w:sz w:val="28"/>
                <w:szCs w:val="28"/>
                <w:highlight w:val="none"/>
                <w:lang w:val="en-US" w:eastAsia="zh-CN"/>
              </w:rPr>
              <w:t xml:space="preserve">工作</w:t>
            </w:r>
            <w:r>
              <w:rPr>
                <w:rFonts w:hint="eastAsia" w:ascii="方正仿宋_GBK" w:hAnsi="方正仿宋_GBK" w:eastAsia="方正仿宋_GBK" w:cs="方正仿宋_GBK"/>
                <w:color w:val="000000"/>
                <w:sz w:val="28"/>
                <w:szCs w:val="28"/>
                <w:highlight w:val="none"/>
              </w:rPr>
              <w:t xml:space="preserve">经验</w:t>
            </w:r>
            <w:r>
              <w:rPr>
                <w:rFonts w:hint="eastAsia" w:ascii="方正仿宋_GBK" w:hAnsi="方正仿宋_GBK" w:eastAsia="方正仿宋_GBK" w:cs="方正仿宋_GBK"/>
                <w:color w:val="000000"/>
                <w:sz w:val="28"/>
                <w:szCs w:val="28"/>
                <w:highlight w:val="none"/>
                <w:lang w:val="en-US" w:eastAsia="zh-CN"/>
              </w:rPr>
              <w:t xml:space="preserve">的，每满足一人得1分，最高</w:t>
            </w:r>
            <w:r>
              <w:rPr>
                <w:rFonts w:hint="eastAsia" w:ascii="方正仿宋_GBK" w:hAnsi="方正仿宋_GBK" w:eastAsia="方正仿宋_GBK" w:cs="方正仿宋_GBK"/>
                <w:color w:val="000000"/>
                <w:sz w:val="28"/>
                <w:szCs w:val="28"/>
                <w:highlight w:val="none"/>
              </w:rPr>
              <w:t xml:space="preserve">得</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未提供或未按要求提供的不得分</w:t>
            </w:r>
            <w:r>
              <w:rPr>
                <w:rFonts w:hint="eastAsia" w:ascii="方正仿宋_GBK" w:hAnsi="方正仿宋_GBK" w:eastAsia="方正仿宋_GBK" w:cs="方正仿宋_GBK"/>
                <w:color w:val="000000"/>
                <w:sz w:val="28"/>
                <w:szCs w:val="28"/>
                <w:highlight w:val="none"/>
                <w:lang w:eastAsia="zh-CN"/>
              </w:rPr>
              <w:t xml:space="preserve">。</w:t>
            </w:r>
            <w:r>
              <w:rPr>
                <w:highlight w:val="none"/>
              </w:rPr>
            </w:r>
          </w:p>
          <w:p>
            <w:pPr>
              <w:keepLines w:val="0"/>
              <w:keepNext w:val="0"/>
              <w:pageBreakBefore w:val="0"/>
              <w:spacing w:line="360" w:lineRule="exact"/>
              <w:widowControl w:val="off"/>
              <w:rPr>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（须提交清晰的证书复印件和业主或业主单位管理部门开具的类似项目</w:t>
            </w:r>
            <w:r>
              <w:rPr>
                <w:rFonts w:hint="eastAsia" w:ascii="方正仿宋_GBK" w:hAnsi="方正仿宋_GBK" w:eastAsia="方正仿宋_GBK" w:cs="方正仿宋_GBK"/>
                <w:color w:val="000000"/>
                <w:sz w:val="28"/>
                <w:szCs w:val="28"/>
                <w:highlight w:val="none"/>
                <w:lang w:val="en-US" w:eastAsia="zh-CN"/>
              </w:rPr>
              <w:t xml:space="preserve">工作</w:t>
            </w:r>
            <w:r>
              <w:rPr>
                <w:rFonts w:hint="eastAsia" w:ascii="方正仿宋_GBK" w:hAnsi="方正仿宋_GBK" w:eastAsia="方正仿宋_GBK" w:cs="方正仿宋_GBK"/>
                <w:color w:val="000000"/>
                <w:sz w:val="28"/>
                <w:szCs w:val="28"/>
                <w:highlight w:val="none"/>
              </w:rPr>
              <w:t xml:space="preserve">经验证明材料以及开标前由投标人为其缴纳的近六个月（不含投标当月）中任意一个月的社保证明材料复印件并加盖投标人公章）</w:t>
            </w:r>
            <w:r>
              <w:rPr>
                <w:rFonts w:ascii="宋体" w:hAnsi="宋体" w:cs="宋体"/>
                <w:color w:val="000000"/>
                <w:sz w:val="28"/>
                <w:szCs w:val="28"/>
                <w:highlight w:val="none"/>
              </w:rPr>
              <w:t xml:space="preserve"> </w:t>
            </w:r>
            <w:r>
              <w:rPr>
                <w:highlight w:val="none"/>
              </w:rPr>
            </w:r>
          </w:p>
        </w:tc>
      </w:tr>
      <w:tr>
        <w:trPr>
          <w:trHeight w:val="1095"/>
        </w:trPr>
        <w:tc>
          <w:tcPr>
            <w:tcBorders>
              <w:top w:val="single" w:color="000000" w:sz="4" w:space="0"/>
              <w:left w:val="single" w:color="000000" w:sz="4" w:space="0"/>
              <w:bottom w:val="single" w:color="000000" w:sz="4" w:space="0"/>
              <w:right w:val="single" w:color="000000" w:sz="4" w:space="0"/>
            </w:tcBorders>
            <w:tcW w:w="887" w:type="dxa"/>
            <w:vAlign w:val="center"/>
            <w:vMerge w:val="restart"/>
            <w:textDirection w:val="lrTb"/>
            <w:noWrap w:val="false"/>
          </w:tcPr>
          <w:p>
            <w:pPr>
              <w:jc w:val="center"/>
              <w:keepLines w:val="0"/>
              <w:keepNext w:val="0"/>
              <w:pageBreakBefore w:val="0"/>
              <w:spacing w:line="360" w:lineRule="exact"/>
              <w:widowControl w:val="off"/>
              <w:rPr>
                <w:rFonts w:hint="eastAsia"/>
                <w:color w:val="000000"/>
                <w:sz w:val="28"/>
                <w:szCs w:val="28"/>
                <w:highlight w:val="none"/>
              </w:rPr>
            </w:pPr>
            <w:r>
              <w:rPr>
                <w:rFonts w:hint="eastAsia"/>
                <w:color w:val="000000"/>
                <w:sz w:val="28"/>
                <w:szCs w:val="28"/>
                <w:highlight w:val="none"/>
              </w:rPr>
              <w:t xml:space="preserve">4</w:t>
            </w:r>
            <w:r>
              <w:rPr>
                <w:highlight w:val="none"/>
              </w:rPr>
            </w:r>
          </w:p>
        </w:tc>
        <w:tc>
          <w:tcPr>
            <w:tcBorders>
              <w:top w:val="single" w:color="000000" w:sz="4" w:space="0"/>
              <w:left w:val="single" w:color="000000" w:sz="4" w:space="0"/>
              <w:bottom w:val="single" w:color="000000" w:sz="4" w:space="0"/>
              <w:right w:val="single" w:color="000000" w:sz="4" w:space="0"/>
            </w:tcBorders>
            <w:tcW w:w="1350" w:type="dxa"/>
            <w:vAlign w:val="center"/>
            <w:vMerge w:val="restart"/>
            <w:textDirection w:val="lrTb"/>
            <w:noWrap w:val="false"/>
          </w:tcPr>
          <w:p>
            <w:pPr>
              <w:jc w:val="center"/>
              <w:keepLines w:val="0"/>
              <w:keepNext w:val="0"/>
              <w:pageBreakBefore w:val="0"/>
              <w:spacing w:line="360" w:lineRule="exact"/>
              <w:widowControl w:val="off"/>
              <w:rPr>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企业履约能力与成功案例（</w:t>
            </w:r>
            <w:r>
              <w:rPr>
                <w:rFonts w:hint="eastAsia" w:ascii="方正仿宋_GBK" w:hAnsi="方正仿宋_GBK" w:eastAsia="方正仿宋_GBK" w:cs="方正仿宋_GBK"/>
                <w:b/>
                <w:color w:val="000000"/>
                <w:sz w:val="28"/>
                <w:szCs w:val="28"/>
                <w:highlight w:val="none"/>
                <w:lang w:val="en-US" w:eastAsia="zh-CN"/>
              </w:rPr>
              <w:t xml:space="preserve">13</w:t>
            </w:r>
            <w:r>
              <w:rPr>
                <w:rFonts w:hint="eastAsia" w:ascii="方正仿宋_GBK" w:hAnsi="方正仿宋_GBK" w:eastAsia="方正仿宋_GBK" w:cs="方正仿宋_GBK"/>
                <w:b/>
                <w:color w:val="000000"/>
                <w:sz w:val="28"/>
                <w:szCs w:val="28"/>
                <w:highlight w:val="none"/>
              </w:rPr>
              <w:t xml:space="preserve">分）</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vMerge w:val="restart"/>
            <w:textDirection w:val="lrTb"/>
            <w:noWrap w:val="false"/>
          </w:tcPr>
          <w:p>
            <w:pPr>
              <w:jc w:val="center"/>
              <w:keepLines w:val="0"/>
              <w:keepNext w:val="0"/>
              <w:pageBreakBefore w:val="0"/>
              <w:spacing w:line="360" w:lineRule="exact"/>
              <w:widowControl w:val="off"/>
              <w:rPr>
                <w:rFonts w:hint="default" w:eastAsia="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lang w:val="en-US" w:eastAsia="zh-CN"/>
              </w:rPr>
              <w:t xml:space="preserve">10</w:t>
            </w:r>
            <w:r>
              <w:rPr>
                <w:highlight w:val="none"/>
              </w:rP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6613" w:type="dxa"/>
            <w:vAlign w:val="center"/>
            <w:textDirection w:val="lrTb"/>
            <w:noWrap w:val="false"/>
          </w:tcPr>
          <w:p>
            <w:pPr>
              <w:keepLines w:val="0"/>
              <w:keepNext w:val="0"/>
              <w:pageBreakBefore w:val="0"/>
              <w:spacing w:line="360" w:lineRule="exact"/>
              <w:widowControl w:val="off"/>
              <w:rPr>
                <w:rFonts w:hint="eastAsia" w:ascii="方正仿宋_GBK" w:hAnsi="方正仿宋_GBK" w:eastAsia="方正仿宋_GBK" w:cs="方正仿宋_GBK"/>
                <w:b/>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val="0"/>
                <w:color w:val="000000"/>
                <w:sz w:val="28"/>
                <w:szCs w:val="28"/>
                <w:highlight w:val="none"/>
              </w:rPr>
              <w:t xml:space="preserve">4.1成功案例（</w:t>
            </w:r>
            <w:r>
              <w:rPr>
                <w:rFonts w:hint="eastAsia" w:ascii="方正仿宋_GBK" w:hAnsi="方正仿宋_GBK" w:eastAsia="方正仿宋_GBK" w:cs="方正仿宋_GBK"/>
                <w:b/>
                <w:bCs w:val="0"/>
                <w:color w:val="000000"/>
                <w:sz w:val="28"/>
                <w:szCs w:val="28"/>
                <w:highlight w:val="none"/>
                <w:lang w:val="en-US" w:eastAsia="zh-CN"/>
              </w:rPr>
              <w:t xml:space="preserve">5</w:t>
            </w:r>
            <w:r>
              <w:rPr>
                <w:rFonts w:hint="eastAsia" w:ascii="方正仿宋_GBK" w:hAnsi="方正仿宋_GBK" w:eastAsia="方正仿宋_GBK" w:cs="方正仿宋_GBK"/>
                <w:b/>
                <w:bCs w:val="0"/>
                <w:color w:val="000000"/>
                <w:sz w:val="28"/>
                <w:szCs w:val="28"/>
                <w:highlight w:val="none"/>
              </w:rPr>
              <w:t xml:space="preserve">分）</w:t>
            </w:r>
            <w:r>
              <w:rPr>
                <w:highlight w:val="none"/>
              </w:rPr>
            </w:r>
          </w:p>
          <w:p>
            <w:pPr>
              <w:keepLines w:val="0"/>
              <w:keepNext w:val="0"/>
              <w:pageBreakBefore w:val="0"/>
              <w:spacing w:line="36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投标人</w:t>
            </w:r>
            <w:r>
              <w:rPr>
                <w:rFonts w:hint="eastAsia" w:ascii="方正仿宋_GBK" w:hAnsi="方正仿宋_GBK" w:eastAsia="方正仿宋_GBK" w:cs="方正仿宋_GBK"/>
                <w:color w:val="ff0000"/>
                <w:sz w:val="28"/>
                <w:szCs w:val="28"/>
                <w:highlight w:val="none"/>
              </w:rPr>
              <w:t xml:space="preserve">202</w:t>
            </w:r>
            <w:r>
              <w:rPr>
                <w:rFonts w:hint="eastAsia" w:ascii="方正仿宋_GBK" w:hAnsi="方正仿宋_GBK" w:eastAsia="方正仿宋_GBK" w:cs="方正仿宋_GBK"/>
                <w:color w:val="ff0000"/>
                <w:sz w:val="28"/>
                <w:szCs w:val="28"/>
                <w:highlight w:val="none"/>
                <w:lang w:val="en-US" w:eastAsia="zh-CN"/>
              </w:rPr>
              <w:t xml:space="preserve">3</w:t>
            </w:r>
            <w:r>
              <w:rPr>
                <w:rFonts w:hint="eastAsia" w:ascii="方正仿宋_GBK" w:hAnsi="方正仿宋_GBK" w:eastAsia="方正仿宋_GBK" w:cs="方正仿宋_GBK"/>
                <w:color w:val="ff0000"/>
                <w:sz w:val="28"/>
                <w:szCs w:val="28"/>
                <w:highlight w:val="none"/>
              </w:rPr>
              <w:t xml:space="preserve">年</w:t>
            </w:r>
            <w:r>
              <w:rPr>
                <w:rFonts w:hint="eastAsia" w:ascii="方正仿宋_GBK" w:hAnsi="方正仿宋_GBK" w:eastAsia="方正仿宋_GBK" w:cs="方正仿宋_GBK"/>
                <w:color w:val="ff0000"/>
                <w:sz w:val="28"/>
                <w:szCs w:val="28"/>
                <w:highlight w:val="none"/>
                <w:lang w:val="en-US" w:eastAsia="zh-CN"/>
              </w:rPr>
              <w:t xml:space="preserve">7</w:t>
            </w:r>
            <w:r>
              <w:rPr>
                <w:rFonts w:hint="eastAsia" w:ascii="方正仿宋_GBK" w:hAnsi="方正仿宋_GBK" w:eastAsia="方正仿宋_GBK" w:cs="方正仿宋_GBK"/>
                <w:color w:val="ff0000"/>
                <w:sz w:val="28"/>
                <w:szCs w:val="28"/>
                <w:highlight w:val="none"/>
              </w:rPr>
              <w:t xml:space="preserve">月1日</w:t>
            </w:r>
            <w:r>
              <w:rPr>
                <w:rFonts w:hint="eastAsia" w:ascii="方正仿宋_GBK" w:hAnsi="方正仿宋_GBK" w:eastAsia="方正仿宋_GBK" w:cs="方正仿宋_GBK"/>
                <w:color w:val="000000"/>
                <w:sz w:val="28"/>
                <w:szCs w:val="28"/>
                <w:highlight w:val="none"/>
              </w:rPr>
              <w:t xml:space="preserve">以来(以合同签订时间为准)承担的类似项目(非住宅类)管理的案例</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每个案例的服务内容</w:t>
            </w:r>
            <w:r>
              <w:rPr>
                <w:rFonts w:hint="eastAsia" w:ascii="方正仿宋_GBK" w:hAnsi="方正仿宋_GBK" w:eastAsia="方正仿宋_GBK" w:cs="方正仿宋_GBK"/>
                <w:color w:val="000000"/>
                <w:sz w:val="28"/>
                <w:szCs w:val="28"/>
                <w:highlight w:val="none"/>
                <w:lang w:val="en-US" w:eastAsia="zh-CN"/>
              </w:rPr>
              <w:t xml:space="preserve">应</w:t>
            </w:r>
            <w:r>
              <w:rPr>
                <w:rFonts w:hint="eastAsia" w:ascii="方正仿宋_GBK" w:hAnsi="方正仿宋_GBK" w:eastAsia="方正仿宋_GBK" w:cs="方正仿宋_GBK"/>
                <w:color w:val="000000"/>
                <w:sz w:val="28"/>
                <w:szCs w:val="28"/>
                <w:highlight w:val="none"/>
              </w:rPr>
              <w:t xml:space="preserve">包含: ①楼宇管理服务 ②保洁服务 ③会议服务。</w:t>
            </w:r>
            <w:r>
              <w:rPr>
                <w:rFonts w:hint="eastAsia" w:ascii="方正仿宋_GBK" w:hAnsi="方正仿宋_GBK" w:eastAsia="方正仿宋_GBK" w:cs="方正仿宋_GBK"/>
                <w:color w:val="000000"/>
                <w:sz w:val="28"/>
                <w:szCs w:val="28"/>
                <w:highlight w:val="none"/>
                <w:lang w:val="en-US" w:eastAsia="zh-CN"/>
              </w:rPr>
              <w:t xml:space="preserve">上述案例按要求每</w:t>
            </w:r>
            <w:r>
              <w:rPr>
                <w:rFonts w:hint="eastAsia" w:ascii="方正仿宋_GBK" w:hAnsi="方正仿宋_GBK" w:eastAsia="方正仿宋_GBK" w:cs="方正仿宋_GBK"/>
                <w:color w:val="000000"/>
                <w:sz w:val="28"/>
                <w:szCs w:val="28"/>
                <w:highlight w:val="none"/>
              </w:rPr>
              <w:t xml:space="preserve">提供一个得</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分，满分</w:t>
            </w:r>
            <w:r>
              <w:rPr>
                <w:rFonts w:hint="eastAsia" w:ascii="方正仿宋_GBK" w:hAnsi="方正仿宋_GBK" w:eastAsia="方正仿宋_GBK" w:cs="方正仿宋_GBK"/>
                <w:color w:val="000000"/>
                <w:sz w:val="28"/>
                <w:szCs w:val="28"/>
                <w:highlight w:val="none"/>
                <w:lang w:val="en-US" w:eastAsia="zh-CN"/>
              </w:rPr>
              <w:t xml:space="preserve">5</w:t>
            </w:r>
            <w:r>
              <w:rPr>
                <w:rFonts w:hint="eastAsia" w:ascii="方正仿宋_GBK" w:hAnsi="方正仿宋_GBK" w:eastAsia="方正仿宋_GBK" w:cs="方正仿宋_GBK"/>
                <w:color w:val="000000"/>
                <w:sz w:val="28"/>
                <w:szCs w:val="28"/>
                <w:highlight w:val="none"/>
              </w:rPr>
              <w:t xml:space="preserve">分。</w:t>
            </w:r>
            <w:r>
              <w:rPr>
                <w:highlight w:val="none"/>
              </w:rPr>
            </w:r>
          </w:p>
          <w:p>
            <w:pPr>
              <w:keepLines w:val="0"/>
              <w:keepNext w:val="0"/>
              <w:pageBreakBefore w:val="0"/>
              <w:spacing w:line="360" w:lineRule="exact"/>
              <w:widowControl w:val="off"/>
              <w:rPr>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注：</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需提供合同复印件以及合同期内任意一期的物业费银行回单复印件并加盖公章，在同一家单位服务的不同物业合同只算一个业绩。</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服务内容以合同体现内容为准（合同至少包含合同首页、体现服务内容页、服务起始时间页、甲乙方盖章页，合同期限至少一年），服务内容相同，表述不同视为相同。</w:t>
            </w:r>
            <w:r>
              <w:rPr>
                <w:highlight w:val="none"/>
              </w:rPr>
            </w:r>
          </w:p>
        </w:tc>
      </w:tr>
      <w:tr>
        <w:trPr>
          <w:trHeight w:val="2321"/>
        </w:trPr>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keepLines w:val="0"/>
              <w:keepNext w:val="0"/>
              <w:pageBreakBefore w:val="0"/>
              <w:spacing w:line="360" w:lineRule="exact"/>
              <w:widowControl w:val="off"/>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val="false"/>
          </w:tcPr>
          <w:p>
            <w:pPr>
              <w:keepLines w:val="0"/>
              <w:keepNext w:val="0"/>
              <w:pageBreakBefore w:val="0"/>
              <w:spacing w:line="360" w:lineRule="exact"/>
              <w:widowControl w:val="off"/>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941" w:type="dxa"/>
            <w:vAlign w:val="center"/>
            <w:vMerge w:val="continue"/>
            <w:textDirection w:val="lrTb"/>
            <w:noWrap w:val="false"/>
          </w:tcPr>
          <w:p>
            <w:pPr>
              <w:keepLines w:val="0"/>
              <w:keepNext w:val="0"/>
              <w:pageBreakBefore w:val="0"/>
              <w:spacing w:line="360" w:lineRule="exact"/>
              <w:widowControl w:val="off"/>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13" w:type="dxa"/>
            <w:vAlign w:val="center"/>
            <w:textDirection w:val="lrTb"/>
            <w:noWrap w:val="false"/>
          </w:tcPr>
          <w:p>
            <w:pPr>
              <w:keepLines w:val="0"/>
              <w:keepNext w:val="0"/>
              <w:pageBreakBefore w:val="0"/>
              <w:spacing w:line="360" w:lineRule="exact"/>
              <w:widowControl w:val="off"/>
              <w:rPr>
                <w:rFonts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lang w:val="en-US" w:eastAsia="zh-CN"/>
              </w:rPr>
              <w:t xml:space="preserve">4.2业主评价（5分）</w:t>
            </w:r>
            <w:r>
              <w:rPr>
                <w:highlight w:val="none"/>
              </w:rPr>
            </w:r>
          </w:p>
          <w:p>
            <w:pPr>
              <w:keepLines w:val="0"/>
              <w:keepNext w:val="0"/>
              <w:pageBreakBefore w:val="0"/>
              <w:spacing w:line="36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满足上述要求的案例业绩中，业主单位评价为优秀或满意的，每有一个得</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分，本小项满分</w:t>
            </w:r>
            <w:r>
              <w:rPr>
                <w:rFonts w:hint="eastAsia" w:ascii="方正仿宋_GBK" w:hAnsi="方正仿宋_GBK" w:eastAsia="方正仿宋_GBK" w:cs="方正仿宋_GBK"/>
                <w:color w:val="000000"/>
                <w:sz w:val="28"/>
                <w:szCs w:val="28"/>
                <w:highlight w:val="none"/>
                <w:lang w:val="en-US" w:eastAsia="zh-CN"/>
              </w:rPr>
              <w:t xml:space="preserve">5</w:t>
            </w:r>
            <w:r>
              <w:rPr>
                <w:rFonts w:hint="eastAsia" w:ascii="方正仿宋_GBK" w:hAnsi="方正仿宋_GBK" w:eastAsia="方正仿宋_GBK" w:cs="方正仿宋_GBK"/>
                <w:color w:val="000000"/>
                <w:sz w:val="28"/>
                <w:szCs w:val="28"/>
                <w:highlight w:val="none"/>
              </w:rPr>
              <w:t xml:space="preserve">分。</w:t>
            </w:r>
            <w:r>
              <w:rPr>
                <w:highlight w:val="none"/>
              </w:rPr>
            </w:r>
          </w:p>
          <w:p>
            <w:pPr>
              <w:keepLines w:val="0"/>
              <w:keepNext w:val="0"/>
              <w:pageBreakBefore w:val="0"/>
              <w:spacing w:line="36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注：提供业主或业主单位管理部门盖章的评价为优秀或满意的证明材料，同一服务单位的业绩不重复计分。</w:t>
            </w:r>
            <w:r>
              <w:rPr>
                <w:highlight w:val="none"/>
              </w:rPr>
            </w:r>
          </w:p>
        </w:tc>
      </w:tr>
      <w:tr>
        <w:trPr>
          <w:trHeight w:val="653"/>
        </w:trPr>
        <w:tc>
          <w:tcPr>
            <w:tcBorders>
              <w:top w:val="single" w:color="000000" w:sz="4" w:space="0"/>
              <w:left w:val="single" w:color="000000" w:sz="4" w:space="0"/>
              <w:bottom w:val="single" w:color="000000" w:sz="4" w:space="0"/>
              <w:right w:val="single" w:color="000000" w:sz="4" w:space="0"/>
            </w:tcBorders>
            <w:tcW w:w="887" w:type="dxa"/>
            <w:vAlign w:val="top"/>
            <w:vMerge w:val="continue"/>
            <w:textDirection w:val="lrTb"/>
            <w:noWrap w:val="false"/>
          </w:tcPr>
          <w:p>
            <w:pPr>
              <w:keepLines w:val="0"/>
              <w:keepNext w:val="0"/>
              <w:pageBreakBefore w:val="0"/>
              <w:spacing w:line="360" w:lineRule="exact"/>
              <w:widowControl w:val="off"/>
              <w:rPr>
                <w:color w:val="000000"/>
                <w:sz w:val="28"/>
                <w:szCs w:val="28"/>
                <w:highlight w:val="none"/>
              </w:rPr>
            </w:pPr>
            <w:r>
              <w:rPr>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350" w:type="dxa"/>
            <w:vAlign w:val="top"/>
            <w:vMerge w:val="continue"/>
            <w:textDirection w:val="lrTb"/>
            <w:noWrap w:val="false"/>
          </w:tcPr>
          <w:p>
            <w:pPr>
              <w:keepLines w:val="0"/>
              <w:keepNext w:val="0"/>
              <w:pageBreakBefore w:val="0"/>
              <w:spacing w:line="360" w:lineRule="exact"/>
              <w:widowControl w:val="off"/>
              <w:rPr>
                <w:color w:val="000000"/>
                <w:sz w:val="28"/>
                <w:szCs w:val="28"/>
                <w:highlight w:val="none"/>
              </w:rPr>
            </w:pPr>
            <w:r>
              <w:rPr>
                <w:color w:val="000000"/>
                <w:sz w:val="28"/>
                <w:szCs w:val="28"/>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941" w:type="dxa"/>
            <w:vAlign w:val="center"/>
            <w:textDirection w:val="lrTb"/>
            <w:noWrap w:val="false"/>
          </w:tcPr>
          <w:p>
            <w:pPr>
              <w:jc w:val="center"/>
              <w:keepLines w:val="0"/>
              <w:keepNext w:val="0"/>
              <w:pageBreakBefore w:val="0"/>
              <w:spacing w:line="360" w:lineRule="exact"/>
              <w:widowControl w:val="o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8"/>
                <w:highlight w:val="none"/>
              </w:rPr>
              <w:t xml:space="preserve">3</w:t>
            </w:r>
            <w:r>
              <w:rPr>
                <w:highlight w:val="none"/>
              </w:rP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13" w:type="dxa"/>
            <w:vAlign w:val="center"/>
            <w:textDirection w:val="lrTb"/>
            <w:noWrap w:val="false"/>
          </w:tcPr>
          <w:p>
            <w:pPr>
              <w:keepLines w:val="0"/>
              <w:keepNext w:val="0"/>
              <w:pageBreakBefore w:val="0"/>
              <w:spacing w:line="360" w:lineRule="exact"/>
              <w:widowControl w:val="off"/>
              <w:rPr>
                <w:rFonts w:hint="eastAsia" w:ascii="方正仿宋_GBK" w:hAnsi="方正仿宋_GBK" w:eastAsia="方正仿宋_GBK" w:cs="方正仿宋_GBK"/>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4.</w:t>
            </w:r>
            <w:r>
              <w:rPr>
                <w:rFonts w:hint="eastAsia" w:ascii="方正仿宋_GBK" w:hAnsi="方正仿宋_GBK" w:eastAsia="方正仿宋_GBK" w:cs="方正仿宋_GBK"/>
                <w:b/>
                <w:color w:val="000000"/>
                <w:sz w:val="28"/>
                <w:szCs w:val="28"/>
                <w:highlight w:val="none"/>
                <w:lang w:val="en-US" w:eastAsia="zh-CN"/>
              </w:rPr>
              <w:t xml:space="preserve">3</w:t>
            </w:r>
            <w:r>
              <w:rPr>
                <w:rFonts w:hint="eastAsia" w:ascii="方正仿宋_GBK" w:hAnsi="方正仿宋_GBK" w:eastAsia="方正仿宋_GBK" w:cs="方正仿宋_GBK"/>
                <w:b/>
                <w:color w:val="000000"/>
                <w:sz w:val="28"/>
                <w:szCs w:val="28"/>
                <w:highlight w:val="none"/>
              </w:rPr>
              <w:t xml:space="preserve">管理体系（3分）</w:t>
            </w:r>
            <w:r>
              <w:rPr>
                <w:highlight w:val="none"/>
              </w:rPr>
            </w:r>
          </w:p>
          <w:p>
            <w:pPr>
              <w:keepLines w:val="0"/>
              <w:keepNext w:val="0"/>
              <w:pageBreakBefore w:val="0"/>
              <w:spacing w:line="36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投标人具有国家认可的机构颁发的有效期内的：</w:t>
            </w:r>
            <w:r>
              <w:rPr>
                <w:highlight w:val="none"/>
              </w:rPr>
            </w:r>
          </w:p>
          <w:p>
            <w:pPr>
              <w:keepLines w:val="0"/>
              <w:keepNext w:val="0"/>
              <w:pageBreakBefore w:val="0"/>
              <w:spacing w:line="36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（1）ISO9001质量管理体系认证证书；</w:t>
            </w:r>
            <w:r>
              <w:rPr>
                <w:highlight w:val="none"/>
              </w:rPr>
            </w:r>
          </w:p>
          <w:p>
            <w:pPr>
              <w:keepLines w:val="0"/>
              <w:keepNext w:val="0"/>
              <w:pageBreakBefore w:val="0"/>
              <w:spacing w:line="36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（2）ISO14001环境管理体系认证证书；</w:t>
            </w:r>
            <w:r>
              <w:rPr>
                <w:highlight w:val="none"/>
              </w:rPr>
            </w:r>
          </w:p>
          <w:p>
            <w:pPr>
              <w:keepLines w:val="0"/>
              <w:keepNext w:val="0"/>
              <w:pageBreakBefore w:val="0"/>
              <w:spacing w:line="36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（3）ISO45001职业健康安全管理体系认证证书；</w:t>
            </w:r>
            <w:r>
              <w:rPr>
                <w:highlight w:val="none"/>
              </w:rPr>
            </w:r>
          </w:p>
          <w:p>
            <w:pPr>
              <w:keepLines w:val="0"/>
              <w:keepNext w:val="0"/>
              <w:pageBreakBefore w:val="0"/>
              <w:spacing w:line="360" w:lineRule="exact"/>
              <w:widowControl w:val="off"/>
              <w:rPr>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上述证书每提供一个得1分，满分3分。（认证证书需在有效期内，提供清晰的证书复印件</w:t>
            </w:r>
            <w:r>
              <w:rPr>
                <w:rFonts w:hint="eastAsia" w:ascii="方正仿宋_GBK" w:hAnsi="方正仿宋_GBK" w:eastAsia="方正仿宋_GBK" w:cs="方正仿宋_GBK"/>
                <w:color w:val="000000"/>
                <w:sz w:val="28"/>
                <w:szCs w:val="28"/>
                <w:highlight w:val="none"/>
                <w:lang w:val="en-US" w:eastAsia="zh-CN"/>
              </w:rPr>
              <w:t xml:space="preserve">或扫描件并加盖投标人公章</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否则不得分）</w:t>
            </w:r>
            <w:r>
              <w:rPr>
                <w:highlight w:val="none"/>
              </w:rPr>
            </w:r>
          </w:p>
        </w:tc>
      </w:tr>
    </w:tbl>
    <w:p>
      <w:pPr>
        <w:keepLines w:val="0"/>
        <w:keepNext w:val="0"/>
        <w:pageBreakBefore w:val="0"/>
        <w:spacing w:line="360" w:lineRule="exact"/>
        <w:widowControl w:val="off"/>
        <w:rPr>
          <w:rFonts w:hint="eastAsia"/>
          <w:color w:val="000000"/>
          <w:sz w:val="28"/>
          <w:szCs w:val="28"/>
          <w:highlight w:val="none"/>
        </w:rPr>
      </w:pPr>
      <w:r>
        <w:rPr>
          <w:rFonts w:hint="eastAsia"/>
          <w:color w:val="000000"/>
          <w:sz w:val="28"/>
          <w:szCs w:val="28"/>
          <w:highlight w:val="none"/>
        </w:rPr>
      </w:r>
      <w:r>
        <w:rPr>
          <w:highlight w:val="none"/>
        </w:rPr>
      </w:r>
    </w:p>
    <w:p>
      <w:pPr>
        <w:rPr>
          <w:rFonts w:hint="eastAsia" w:ascii="黑体" w:hAnsi="黑体" w:eastAsia="黑体" w:cs="黑体"/>
          <w:sz w:val="32"/>
          <w:szCs w:val="32"/>
          <w:highlight w:val="none"/>
        </w:rPr>
      </w:pPr>
      <w:r>
        <w:rPr>
          <w:rFonts w:hint="eastAsia" w:ascii="黑体" w:hAnsi="黑体" w:eastAsia="黑体" w:cs="黑体"/>
          <w:sz w:val="32"/>
          <w:szCs w:val="32"/>
          <w:highlight w:val="none"/>
        </w:rPr>
        <w:br w:type="page" w:clear="all"/>
      </w:r>
      <w:r>
        <w:rPr>
          <w:highlight w:val="none"/>
        </w:rPr>
      </w:r>
    </w:p>
    <w:p>
      <w:pPr>
        <w:rPr>
          <w:rFonts w:hint="eastAsia" w:ascii="黑体" w:hAnsi="黑体" w:eastAsia="黑体" w:cs="黑体"/>
          <w:sz w:val="32"/>
          <w:szCs w:val="32"/>
          <w:highlight w:val="none"/>
        </w:rPr>
      </w:pPr>
      <w:r>
        <w:rPr>
          <w:rFonts w:hint="eastAsia" w:ascii="黑体" w:hAnsi="黑体" w:eastAsia="黑体" w:cs="黑体"/>
          <w:sz w:val="32"/>
          <w:szCs w:val="32"/>
          <w:highlight w:val="none"/>
        </w:rPr>
        <w:t xml:space="preserve">分包三：</w:t>
      </w:r>
      <w:r>
        <w:rPr>
          <w:highlight w:val="none"/>
        </w:rPr>
      </w:r>
    </w:p>
    <w:tbl>
      <w:tblPr>
        <w:tblStyle w:val="711"/>
        <w:tblpPr w:horzAnchor="page" w:tblpX="841" w:vertAnchor="text" w:tblpY="342" w:leftFromText="180" w:topFromText="0" w:rightFromText="180" w:bottomFromText="0"/>
        <w:tblW w:w="9878"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1490"/>
        <w:gridCol w:w="873"/>
        <w:gridCol w:w="6700"/>
      </w:tblGrid>
      <w:tr>
        <w:trPr>
          <w:trHeight w:val="40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5"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序号</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0"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评审因素</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3"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分数</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0"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评审标准</w:t>
            </w:r>
            <w:r>
              <w:rPr>
                <w:highlight w:val="none"/>
              </w:rP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5"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0"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价格</w:t>
            </w:r>
            <w:r>
              <w:rPr>
                <w:highlight w:val="none"/>
              </w:rPr>
            </w:r>
          </w:p>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w:t>
            </w:r>
            <w:r>
              <w:rPr>
                <w:rFonts w:hint="eastAsia" w:ascii="方正仿宋_GBK" w:hAnsi="方正仿宋_GBK" w:eastAsia="方正仿宋_GBK" w:cs="方正仿宋_GBK"/>
                <w:b/>
                <w:color w:val="auto"/>
                <w:sz w:val="28"/>
                <w:szCs w:val="28"/>
                <w:highlight w:val="none"/>
                <w:lang w:val="en-US" w:eastAsia="zh-CN"/>
              </w:rPr>
              <w:t xml:space="preserve">22</w:t>
            </w:r>
            <w:r>
              <w:rPr>
                <w:rFonts w:hint="eastAsia" w:ascii="方正仿宋_GBK" w:hAnsi="方正仿宋_GBK" w:eastAsia="方正仿宋_GBK" w:cs="方正仿宋_GBK"/>
                <w:b/>
                <w:color w:val="auto"/>
                <w:sz w:val="28"/>
                <w:szCs w:val="28"/>
                <w:highlight w:val="none"/>
              </w:rPr>
              <w:t xml:space="preserve">分）</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3" w:type="dxa"/>
            <w:vAlign w:val="center"/>
            <w:textDirection w:val="lrTb"/>
            <w:noWrap w:val="false"/>
          </w:tcPr>
          <w:p>
            <w:pPr>
              <w:jc w:val="center"/>
              <w:keepLines w:val="0"/>
              <w:keepNext w:val="0"/>
              <w:pageBreakBefore w:val="0"/>
              <w:spacing w:line="380" w:lineRule="exact"/>
              <w:widowControl w:val="off"/>
              <w:rPr>
                <w:rFonts w:hint="default"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lang w:val="en-US" w:eastAsia="zh-CN"/>
              </w:rPr>
              <w:t xml:space="preserve">22</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0" w:type="dxa"/>
            <w:vAlign w:val="center"/>
            <w:textDirection w:val="lrTb"/>
            <w:noWrap w:val="false"/>
          </w:tcPr>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价格分采用低价优先法计算，即满足招标文件要求且报价最低的供应商报价为评标基准价，其价格分为满分</w:t>
            </w:r>
            <w:r>
              <w:rPr>
                <w:rFonts w:hint="eastAsia" w:ascii="方正仿宋_GBK" w:hAnsi="方正仿宋_GBK" w:eastAsia="方正仿宋_GBK" w:cs="方正仿宋_GBK"/>
                <w:color w:val="auto"/>
                <w:sz w:val="28"/>
                <w:szCs w:val="28"/>
                <w:highlight w:val="none"/>
                <w:lang w:val="en-US" w:eastAsia="zh-CN"/>
              </w:rPr>
              <w:t xml:space="preserve">22</w:t>
            </w:r>
            <w:r>
              <w:rPr>
                <w:rFonts w:hint="eastAsia" w:ascii="方正仿宋_GBK" w:hAnsi="方正仿宋_GBK" w:eastAsia="方正仿宋_GBK" w:cs="方正仿宋_GBK"/>
                <w:color w:val="auto"/>
                <w:sz w:val="28"/>
                <w:szCs w:val="28"/>
                <w:highlight w:val="none"/>
              </w:rPr>
              <w:t xml:space="preserve">分，其他投标人的价格分统一按照以下公式计算：投标报价得分=（评标基准价/该投标人的投标报价）×</w:t>
            </w:r>
            <w:r>
              <w:rPr>
                <w:rFonts w:hint="eastAsia" w:ascii="方正仿宋_GBK" w:hAnsi="方正仿宋_GBK" w:eastAsia="方正仿宋_GBK" w:cs="方正仿宋_GBK"/>
                <w:color w:val="auto"/>
                <w:sz w:val="28"/>
                <w:szCs w:val="28"/>
                <w:highlight w:val="none"/>
                <w:lang w:val="en-US" w:eastAsia="zh-CN"/>
              </w:rPr>
              <w:t xml:space="preserve">22</w:t>
            </w:r>
            <w:r>
              <w:rPr>
                <w:rFonts w:hint="eastAsia" w:ascii="方正仿宋_GBK" w:hAnsi="方正仿宋_GBK" w:eastAsia="方正仿宋_GBK" w:cs="方正仿宋_GBK"/>
                <w:color w:val="auto"/>
                <w:sz w:val="28"/>
                <w:szCs w:val="28"/>
                <w:highlight w:val="none"/>
              </w:rPr>
              <w:t xml:space="preserve">分。四舍五入保留小数点后两位。</w:t>
            </w:r>
            <w:r>
              <w:rPr>
                <w:highlight w:val="none"/>
              </w:rP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5" w:type="dxa"/>
            <w:vAlign w:val="center"/>
            <w:vMerge w:val="restart"/>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0" w:type="dxa"/>
            <w:vAlign w:val="center"/>
            <w:vMerge w:val="restart"/>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技术服务方案</w:t>
            </w:r>
            <w:r>
              <w:rPr>
                <w:highlight w:val="none"/>
              </w:rPr>
            </w:r>
          </w:p>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（4</w:t>
            </w:r>
            <w:r>
              <w:rPr>
                <w:rFonts w:hint="eastAsia" w:ascii="方正仿宋_GBK" w:hAnsi="方正仿宋_GBK" w:eastAsia="方正仿宋_GBK" w:cs="方正仿宋_GBK"/>
                <w:b/>
                <w:color w:val="auto"/>
                <w:sz w:val="28"/>
                <w:szCs w:val="28"/>
                <w:highlight w:val="none"/>
                <w:lang w:val="en-US" w:eastAsia="zh-CN"/>
              </w:rPr>
              <w:t xml:space="preserve">5</w:t>
            </w:r>
            <w:r>
              <w:rPr>
                <w:rFonts w:hint="eastAsia" w:ascii="方正仿宋_GBK" w:hAnsi="方正仿宋_GBK" w:eastAsia="方正仿宋_GBK" w:cs="方正仿宋_GBK"/>
                <w:b/>
                <w:color w:val="auto"/>
                <w:sz w:val="28"/>
                <w:szCs w:val="28"/>
                <w:highlight w:val="none"/>
              </w:rPr>
              <w:t xml:space="preserve">分）</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3"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0" w:type="dxa"/>
            <w:vAlign w:val="center"/>
            <w:textDirection w:val="lrTb"/>
            <w:noWrap w:val="false"/>
          </w:tcPr>
          <w:p>
            <w:pPr>
              <w:keepLines w:val="0"/>
              <w:keepNext w:val="0"/>
              <w:pageBreakBefore w:val="0"/>
              <w:spacing w:line="380" w:lineRule="exact"/>
              <w:widowControl w:val="off"/>
              <w:rPr>
                <w:rFonts w:hint="eastAsia" w:ascii="方正仿宋_GBK" w:hAnsi="方正仿宋_GBK" w:eastAsia="方正仿宋_GBK" w:cs="方正仿宋_GBK"/>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2.1项目整体设想及重难点分析（5分）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评委根据投标文件对第四章“采购需求”中“</w:t>
            </w:r>
            <w:r>
              <w:rPr>
                <w:rFonts w:hint="eastAsia" w:ascii="方正仿宋_GBK" w:hAnsi="方正仿宋_GBK" w:eastAsia="方正仿宋_GBK" w:cs="方正仿宋_GBK"/>
                <w:color w:val="auto"/>
                <w:sz w:val="28"/>
                <w:szCs w:val="28"/>
                <w:highlight w:val="none"/>
              </w:rPr>
              <w:t xml:space="preserve">项目整体设想及重难点分析</w:t>
            </w:r>
            <w:r>
              <w:rPr>
                <w:rFonts w:ascii="方正仿宋_GBK" w:hAnsi="方正仿宋_GBK" w:eastAsia="方正仿宋_GBK" w:cs="方正仿宋_GBK"/>
                <w:color w:val="auto"/>
                <w:sz w:val="28"/>
                <w:szCs w:val="28"/>
                <w:highlight w:val="none"/>
              </w:rPr>
              <w:t xml:space="preserve">”响应情况进行评审</w:t>
            </w:r>
            <w:r>
              <w:rPr>
                <w:rFonts w:hint="eastAsia" w:ascii="方正仿宋_GBK" w:hAnsi="方正仿宋_GBK" w:eastAsia="方正仿宋_GBK" w:cs="方正仿宋_GBK"/>
                <w:color w:val="auto"/>
                <w:sz w:val="28"/>
                <w:szCs w:val="28"/>
                <w:highlight w:val="none"/>
                <w:lang w:eastAsia="zh-CN"/>
              </w:rPr>
              <w:t xml:space="preserve">：</w:t>
            </w:r>
            <w:r>
              <w:rPr>
                <w:highlight w:val="none"/>
              </w:rPr>
            </w:r>
          </w:p>
          <w:p>
            <w:pPr>
              <w:keepLines w:val="0"/>
              <w:keepNext w:val="0"/>
              <w:pageBreakBefore w:val="0"/>
              <w:spacing w:line="380" w:lineRule="exact"/>
              <w:widowControl w:val="off"/>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（1）经评委认定，投标文件对</w:t>
            </w:r>
            <w:r>
              <w:rPr>
                <w:rFonts w:hint="eastAsia" w:ascii="方正仿宋_GBK" w:hAnsi="方正仿宋_GBK" w:eastAsia="方正仿宋_GBK" w:cs="方正仿宋_GBK"/>
                <w:color w:val="auto"/>
                <w:sz w:val="28"/>
                <w:szCs w:val="28"/>
                <w:highlight w:val="none"/>
              </w:rPr>
              <w:t xml:space="preserve">整体分析和设想、重点和难点</w:t>
            </w:r>
            <w:r>
              <w:rPr>
                <w:rFonts w:ascii="方正仿宋_GBK" w:hAnsi="方正仿宋_GBK" w:eastAsia="方正仿宋_GBK" w:cs="方正仿宋_GBK"/>
                <w:color w:val="auto"/>
                <w:sz w:val="28"/>
                <w:szCs w:val="28"/>
                <w:highlight w:val="none"/>
              </w:rPr>
              <w:t xml:space="preserve">三项要求的响应内容全部优于招标文件要求的本项得5分。</w:t>
            </w:r>
            <w:r>
              <w:rPr>
                <w:highlight w:val="none"/>
              </w:rPr>
            </w:r>
          </w:p>
          <w:p>
            <w:pPr>
              <w:keepLines w:val="0"/>
              <w:keepNext w:val="0"/>
              <w:pageBreakBefore w:val="0"/>
              <w:spacing w:line="380" w:lineRule="exact"/>
              <w:widowControl w:val="off"/>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（2）投标文件符合“设计方案”中全部条款要求的，视为符合招标文件，本项得3分。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（3）投标文件未符合“设计方案”中全部条款要求的，视为不符合招标文件，本项得0分。</w:t>
            </w:r>
            <w:r>
              <w:rPr>
                <w:highlight w:val="none"/>
              </w:rPr>
            </w:r>
          </w:p>
        </w:tc>
      </w:tr>
      <w:tr>
        <w:trPr>
          <w:trHeight w:val="425"/>
        </w:trPr>
        <w:tc>
          <w:tcPr>
            <w:tcBorders>
              <w:top w:val="single" w:color="000000" w:sz="4" w:space="0"/>
              <w:left w:val="single" w:color="000000" w:sz="4" w:space="0"/>
              <w:bottom w:val="single" w:color="000000" w:sz="4" w:space="0"/>
              <w:right w:val="single" w:color="000000" w:sz="4" w:space="0"/>
            </w:tcBorders>
            <w:tcW w:w="815"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90"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3"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0" w:type="dxa"/>
            <w:vAlign w:val="center"/>
            <w:textDirection w:val="lrTb"/>
            <w:noWrap w:val="false"/>
          </w:tcPr>
          <w:p>
            <w:pPr>
              <w:keepLines w:val="0"/>
              <w:keepNext w:val="0"/>
              <w:pageBreakBefore w:val="0"/>
              <w:spacing w:line="360" w:lineRule="exact"/>
              <w:widowControl/>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2.2组织架构及人员管理方案（</w:t>
            </w:r>
            <w:r>
              <w:rPr>
                <w:rFonts w:hint="eastAsia" w:ascii="方正仿宋_GBK" w:hAnsi="方正仿宋_GBK" w:eastAsia="方正仿宋_GBK" w:cs="方正仿宋_GBK"/>
                <w:b/>
                <w:color w:val="000000"/>
                <w:sz w:val="28"/>
                <w:szCs w:val="28"/>
                <w:highlight w:val="none"/>
                <w:lang w:val="en-US" w:eastAsia="zh-CN"/>
              </w:rPr>
              <w:t xml:space="preserve">5</w:t>
            </w:r>
            <w:r>
              <w:rPr>
                <w:rFonts w:hint="eastAsia" w:ascii="方正仿宋_GBK" w:hAnsi="方正仿宋_GBK" w:eastAsia="方正仿宋_GBK" w:cs="方正仿宋_GBK"/>
                <w:b/>
                <w:color w:val="000000"/>
                <w:sz w:val="28"/>
                <w:szCs w:val="28"/>
                <w:highlight w:val="none"/>
              </w:rPr>
              <w:t xml:space="preserve">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评委根据投标文件对第四章“采购需求”中“</w:t>
            </w:r>
            <w:r>
              <w:rPr>
                <w:rFonts w:hint="eastAsia" w:ascii="方正仿宋_GBK" w:hAnsi="方正仿宋_GBK" w:eastAsia="方正仿宋_GBK" w:cs="方正仿宋_GBK"/>
                <w:color w:val="auto"/>
                <w:sz w:val="28"/>
                <w:szCs w:val="28"/>
                <w:highlight w:val="none"/>
              </w:rPr>
              <w:t xml:space="preserve">组织架构及人员管理方案</w:t>
            </w:r>
            <w:r>
              <w:rPr>
                <w:rFonts w:ascii="方正仿宋_GBK" w:hAnsi="方正仿宋_GBK" w:eastAsia="方正仿宋_GBK" w:cs="方正仿宋_GBK"/>
                <w:color w:val="auto"/>
                <w:sz w:val="28"/>
                <w:szCs w:val="28"/>
                <w:highlight w:val="none"/>
              </w:rPr>
              <w:t xml:space="preserve">”响应情况进行评审</w:t>
            </w:r>
            <w:r>
              <w:rPr>
                <w:rFonts w:hint="eastAsia" w:ascii="方正仿宋_GBK" w:hAnsi="方正仿宋_GBK" w:eastAsia="方正仿宋_GBK" w:cs="方正仿宋_GBK"/>
                <w:color w:val="auto"/>
                <w:sz w:val="28"/>
                <w:szCs w:val="28"/>
                <w:highlight w:val="none"/>
                <w:lang w:eastAsia="zh-CN"/>
              </w:rPr>
              <w:t xml:space="preserve">：</w:t>
            </w:r>
            <w:r>
              <w:rPr>
                <w:highlight w:val="none"/>
              </w:rPr>
            </w:r>
          </w:p>
          <w:p>
            <w:pPr>
              <w:keepLines w:val="0"/>
              <w:keepNext w:val="0"/>
              <w:pageBreakBefore w:val="0"/>
              <w:spacing w:line="380" w:lineRule="exact"/>
              <w:widowControl w:val="off"/>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（1）经评委认定，投标文件对</w:t>
            </w:r>
            <w:r>
              <w:rPr>
                <w:rFonts w:hint="eastAsia" w:ascii="方正仿宋_GBK" w:hAnsi="方正仿宋_GBK" w:eastAsia="方正仿宋_GBK" w:cs="方正仿宋_GBK"/>
                <w:color w:val="auto"/>
                <w:sz w:val="28"/>
                <w:szCs w:val="28"/>
                <w:highlight w:val="none"/>
              </w:rPr>
              <w:t xml:space="preserve">用工方案、培训计划和奖惩制度</w:t>
            </w:r>
            <w:r>
              <w:rPr>
                <w:rFonts w:ascii="方正仿宋_GBK" w:hAnsi="方正仿宋_GBK" w:eastAsia="方正仿宋_GBK" w:cs="方正仿宋_GBK"/>
                <w:color w:val="auto"/>
                <w:sz w:val="28"/>
                <w:szCs w:val="28"/>
                <w:highlight w:val="none"/>
              </w:rPr>
              <w:t xml:space="preserve">三项要求的响应内容全部优于招标文件要求的本项得5分。</w:t>
            </w:r>
            <w:r>
              <w:rPr>
                <w:highlight w:val="none"/>
              </w:rPr>
            </w:r>
          </w:p>
          <w:p>
            <w:pPr>
              <w:keepLines w:val="0"/>
              <w:keepNext w:val="0"/>
              <w:pageBreakBefore w:val="0"/>
              <w:spacing w:line="380" w:lineRule="exact"/>
              <w:widowControl w:val="off"/>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（2）投标文件符合“设计方案”中全部条款要求的，视为符合招标文件，本项得3分。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（3）投标文件未符合“设计方案”中全部条款要求的，视为不符合招标文件，本项得0分。</w:t>
            </w:r>
            <w:r>
              <w:rPr>
                <w:highlight w:val="none"/>
              </w:rPr>
            </w:r>
          </w:p>
        </w:tc>
      </w:tr>
      <w:tr>
        <w:trPr>
          <w:trHeight w:val="368"/>
        </w:trPr>
        <w:tc>
          <w:tcPr>
            <w:tcBorders>
              <w:top w:val="single" w:color="000000" w:sz="4" w:space="0"/>
              <w:left w:val="single" w:color="000000" w:sz="4" w:space="0"/>
              <w:bottom w:val="single" w:color="000000" w:sz="4" w:space="0"/>
              <w:right w:val="single" w:color="000000" w:sz="4" w:space="0"/>
            </w:tcBorders>
            <w:tcW w:w="815"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90"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3"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0" w:type="dxa"/>
            <w:vAlign w:val="center"/>
            <w:textDirection w:val="lrTb"/>
            <w:noWrap w:val="false"/>
          </w:tcPr>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2.3物资装备方案（5分）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评委根据投标文件对第四章“采购需求”中“</w:t>
            </w:r>
            <w:r>
              <w:rPr>
                <w:rFonts w:hint="eastAsia" w:ascii="方正仿宋_GBK" w:hAnsi="方正仿宋_GBK" w:eastAsia="方正仿宋_GBK" w:cs="方正仿宋_GBK"/>
                <w:color w:val="auto"/>
                <w:sz w:val="28"/>
                <w:szCs w:val="28"/>
                <w:highlight w:val="none"/>
              </w:rPr>
              <w:t xml:space="preserve">物资装备方案</w:t>
            </w:r>
            <w:r>
              <w:rPr>
                <w:rFonts w:ascii="方正仿宋_GBK" w:hAnsi="方正仿宋_GBK" w:eastAsia="方正仿宋_GBK" w:cs="方正仿宋_GBK"/>
                <w:color w:val="auto"/>
                <w:sz w:val="28"/>
                <w:szCs w:val="28"/>
                <w:highlight w:val="none"/>
              </w:rPr>
              <w:t xml:space="preserve">”响应情况进行评审</w:t>
            </w:r>
            <w:r>
              <w:rPr>
                <w:rFonts w:hint="eastAsia" w:ascii="方正仿宋_GBK" w:hAnsi="方正仿宋_GBK" w:eastAsia="方正仿宋_GBK" w:cs="方正仿宋_GBK"/>
                <w:color w:val="auto"/>
                <w:sz w:val="28"/>
                <w:szCs w:val="28"/>
                <w:highlight w:val="none"/>
                <w:lang w:eastAsia="zh-CN"/>
              </w:rPr>
              <w:t xml:space="preserve">：</w:t>
            </w:r>
            <w:r>
              <w:rPr>
                <w:highlight w:val="none"/>
              </w:rPr>
            </w:r>
          </w:p>
          <w:p>
            <w:pPr>
              <w:keepLines w:val="0"/>
              <w:keepNext w:val="0"/>
              <w:pageBreakBefore w:val="0"/>
              <w:spacing w:line="380" w:lineRule="exact"/>
              <w:widowControl w:val="off"/>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（1）经评委认定，投标文件对</w:t>
            </w:r>
            <w:r>
              <w:rPr>
                <w:rFonts w:hint="eastAsia" w:ascii="方正仿宋_GBK" w:hAnsi="方正仿宋_GBK" w:eastAsia="方正仿宋_GBK" w:cs="方正仿宋_GBK"/>
                <w:color w:val="auto"/>
                <w:sz w:val="28"/>
                <w:szCs w:val="28"/>
                <w:highlight w:val="none"/>
              </w:rPr>
              <w:t xml:space="preserve">现场勘察情况、设备和机械投入情况</w:t>
            </w:r>
            <w:r>
              <w:rPr>
                <w:rFonts w:ascii="方正仿宋_GBK" w:hAnsi="方正仿宋_GBK" w:eastAsia="方正仿宋_GBK" w:cs="方正仿宋_GBK"/>
                <w:color w:val="auto"/>
                <w:sz w:val="28"/>
                <w:szCs w:val="28"/>
                <w:highlight w:val="none"/>
              </w:rPr>
              <w:t xml:space="preserve">三项要求的响应内容全部优于招标文件要求的本项得5分。</w:t>
            </w:r>
            <w:r>
              <w:rPr>
                <w:highlight w:val="none"/>
              </w:rPr>
            </w:r>
          </w:p>
          <w:p>
            <w:pPr>
              <w:keepLines w:val="0"/>
              <w:keepNext w:val="0"/>
              <w:pageBreakBefore w:val="0"/>
              <w:spacing w:line="380" w:lineRule="exact"/>
              <w:widowControl w:val="off"/>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（2）投标文件符合“设计方案”中全部条款要求的，视为符合招标文件，本项得3分。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（3）投标文件未符合“设计方案”中全部条款要求的，视为不符合招标文件，本项得0分。</w:t>
            </w:r>
            <w:r>
              <w:rPr>
                <w:highlight w:val="none"/>
              </w:rPr>
            </w:r>
          </w:p>
        </w:tc>
      </w:tr>
      <w:tr>
        <w:trPr>
          <w:trHeight w:val="1294"/>
        </w:trPr>
        <w:tc>
          <w:tcPr>
            <w:tcBorders>
              <w:top w:val="single" w:color="000000" w:sz="4" w:space="0"/>
              <w:left w:val="single" w:color="000000" w:sz="4" w:space="0"/>
              <w:bottom w:val="single" w:color="000000" w:sz="4" w:space="0"/>
              <w:right w:val="single" w:color="000000" w:sz="4" w:space="0"/>
            </w:tcBorders>
            <w:tcW w:w="815"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90"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3"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lang w:val="en-US" w:eastAsia="zh-CN"/>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0" w:type="dxa"/>
            <w:vAlign w:val="center"/>
            <w:textDirection w:val="lrTb"/>
            <w:noWrap w:val="false"/>
          </w:tcPr>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2.4物业服务开始及合同到期时的交接方案（</w:t>
            </w:r>
            <w:r>
              <w:rPr>
                <w:rFonts w:hint="eastAsia" w:ascii="方正仿宋_GBK" w:hAnsi="方正仿宋_GBK" w:eastAsia="方正仿宋_GBK" w:cs="方正仿宋_GBK"/>
                <w:b/>
                <w:color w:val="auto"/>
                <w:sz w:val="28"/>
                <w:szCs w:val="28"/>
                <w:highlight w:val="none"/>
                <w:lang w:val="en-US" w:eastAsia="zh-CN"/>
              </w:rPr>
              <w:t xml:space="preserve">5</w:t>
            </w:r>
            <w:r>
              <w:rPr>
                <w:rFonts w:hint="eastAsia" w:ascii="方正仿宋_GBK" w:hAnsi="方正仿宋_GBK" w:eastAsia="方正仿宋_GBK" w:cs="方正仿宋_GBK"/>
                <w:b/>
                <w:color w:val="auto"/>
                <w:sz w:val="28"/>
                <w:szCs w:val="28"/>
                <w:highlight w:val="none"/>
              </w:rPr>
              <w:t xml:space="preserve">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评委根据投标文件对第四章“采购需求”中“</w:t>
            </w:r>
            <w:r>
              <w:rPr>
                <w:rFonts w:hint="eastAsia" w:ascii="方正仿宋_GBK" w:hAnsi="方正仿宋_GBK" w:eastAsia="方正仿宋_GBK" w:cs="方正仿宋_GBK"/>
                <w:color w:val="auto"/>
                <w:sz w:val="28"/>
                <w:szCs w:val="28"/>
                <w:highlight w:val="none"/>
              </w:rPr>
              <w:t xml:space="preserve">物业开始及交接方案</w:t>
            </w:r>
            <w:r>
              <w:rPr>
                <w:rFonts w:ascii="方正仿宋_GBK" w:hAnsi="方正仿宋_GBK" w:eastAsia="方正仿宋_GBK" w:cs="方正仿宋_GBK"/>
                <w:color w:val="auto"/>
                <w:sz w:val="28"/>
                <w:szCs w:val="28"/>
                <w:highlight w:val="none"/>
              </w:rPr>
              <w:t xml:space="preserve">”响应情况进行评审</w:t>
            </w:r>
            <w:r>
              <w:rPr>
                <w:rFonts w:hint="eastAsia" w:ascii="方正仿宋_GBK" w:hAnsi="方正仿宋_GBK" w:eastAsia="方正仿宋_GBK" w:cs="方正仿宋_GBK"/>
                <w:color w:val="auto"/>
                <w:sz w:val="28"/>
                <w:szCs w:val="28"/>
                <w:highlight w:val="none"/>
                <w:lang w:eastAsia="zh-CN"/>
              </w:rPr>
              <w:t xml:space="preserve">：</w:t>
            </w:r>
            <w:r>
              <w:rPr>
                <w:highlight w:val="none"/>
              </w:rPr>
            </w:r>
          </w:p>
          <w:p>
            <w:pPr>
              <w:keepLines w:val="0"/>
              <w:keepNext w:val="0"/>
              <w:pageBreakBefore w:val="0"/>
              <w:spacing w:line="380" w:lineRule="exact"/>
              <w:widowControl w:val="off"/>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（1）经评委认定，投标文件对</w:t>
            </w:r>
            <w:r>
              <w:rPr>
                <w:rFonts w:hint="eastAsia" w:ascii="方正仿宋_GBK" w:hAnsi="方正仿宋_GBK" w:eastAsia="方正仿宋_GBK" w:cs="方正仿宋_GBK"/>
                <w:color w:val="auto"/>
                <w:sz w:val="28"/>
                <w:szCs w:val="28"/>
                <w:highlight w:val="none"/>
              </w:rPr>
              <w:t xml:space="preserve">开始接收、到期退场二</w:t>
            </w:r>
            <w:r>
              <w:rPr>
                <w:rFonts w:ascii="方正仿宋_GBK" w:hAnsi="方正仿宋_GBK" w:eastAsia="方正仿宋_GBK" w:cs="方正仿宋_GBK"/>
                <w:color w:val="auto"/>
                <w:sz w:val="28"/>
                <w:szCs w:val="28"/>
                <w:highlight w:val="none"/>
              </w:rPr>
              <w:t xml:space="preserve">项要求的响应内容全部优于招标文件要求的本项得</w:t>
            </w:r>
            <w:r>
              <w:rPr>
                <w:rFonts w:hint="eastAsia" w:ascii="方正仿宋_GBK" w:hAnsi="方正仿宋_GBK" w:eastAsia="方正仿宋_GBK" w:cs="方正仿宋_GBK"/>
                <w:color w:val="auto"/>
                <w:sz w:val="28"/>
                <w:szCs w:val="28"/>
                <w:highlight w:val="none"/>
                <w:lang w:val="en-US" w:eastAsia="zh-CN"/>
              </w:rPr>
              <w:t xml:space="preserve">5</w:t>
            </w:r>
            <w:r>
              <w:rPr>
                <w:rFonts w:ascii="方正仿宋_GBK" w:hAnsi="方正仿宋_GBK" w:eastAsia="方正仿宋_GBK" w:cs="方正仿宋_GBK"/>
                <w:color w:val="auto"/>
                <w:sz w:val="28"/>
                <w:szCs w:val="28"/>
                <w:highlight w:val="none"/>
              </w:rPr>
              <w:t xml:space="preserve">分。</w:t>
            </w:r>
            <w:r>
              <w:rPr>
                <w:highlight w:val="none"/>
              </w:rPr>
            </w:r>
          </w:p>
          <w:p>
            <w:pPr>
              <w:keepLines w:val="0"/>
              <w:keepNext w:val="0"/>
              <w:pageBreakBefore w:val="0"/>
              <w:spacing w:line="380" w:lineRule="exact"/>
              <w:widowControl w:val="off"/>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（2）投标文件符合“设计方案”中全部条款要求的，视为符合招标文件，本项得</w:t>
            </w:r>
            <w:r>
              <w:rPr>
                <w:rFonts w:hint="eastAsia" w:ascii="方正仿宋_GBK" w:hAnsi="方正仿宋_GBK" w:eastAsia="方正仿宋_GBK" w:cs="方正仿宋_GBK"/>
                <w:color w:val="auto"/>
                <w:sz w:val="28"/>
                <w:szCs w:val="28"/>
                <w:highlight w:val="none"/>
                <w:lang w:val="en-US" w:eastAsia="zh-CN"/>
              </w:rPr>
              <w:t xml:space="preserve">3</w:t>
            </w:r>
            <w:r>
              <w:rPr>
                <w:rFonts w:ascii="方正仿宋_GBK" w:hAnsi="方正仿宋_GBK" w:eastAsia="方正仿宋_GBK" w:cs="方正仿宋_GBK"/>
                <w:color w:val="auto"/>
                <w:sz w:val="28"/>
                <w:szCs w:val="28"/>
                <w:highlight w:val="none"/>
              </w:rPr>
              <w:t xml:space="preserve">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（3）投标文件未符合“设计方案”中全部条款要求的，视为不符合招标文件，本项得</w:t>
            </w:r>
            <w:r>
              <w:rPr>
                <w:rFonts w:hint="eastAsia" w:ascii="方正仿宋_GBK" w:hAnsi="方正仿宋_GBK" w:eastAsia="方正仿宋_GBK" w:cs="方正仿宋_GBK"/>
                <w:color w:val="auto"/>
                <w:sz w:val="28"/>
                <w:szCs w:val="28"/>
                <w:highlight w:val="none"/>
                <w:lang w:val="en-US" w:eastAsia="zh-CN"/>
              </w:rPr>
              <w:t xml:space="preserve">0</w:t>
            </w:r>
            <w:r>
              <w:rPr>
                <w:rFonts w:ascii="方正仿宋_GBK" w:hAnsi="方正仿宋_GBK" w:eastAsia="方正仿宋_GBK" w:cs="方正仿宋_GBK"/>
                <w:color w:val="auto"/>
                <w:sz w:val="28"/>
                <w:szCs w:val="28"/>
                <w:highlight w:val="none"/>
              </w:rPr>
              <w:t xml:space="preserve">分。</w:t>
            </w:r>
            <w:r>
              <w:rPr>
                <w:highlight w:val="none"/>
              </w:rPr>
            </w:r>
          </w:p>
        </w:tc>
      </w:tr>
      <w:tr>
        <w:trPr>
          <w:trHeight w:val="780"/>
        </w:trPr>
        <w:tc>
          <w:tcPr>
            <w:tcBorders>
              <w:top w:val="single" w:color="000000" w:sz="4" w:space="0"/>
              <w:left w:val="single" w:color="000000" w:sz="4" w:space="0"/>
              <w:bottom w:val="single" w:color="000000" w:sz="4" w:space="0"/>
              <w:right w:val="single" w:color="000000" w:sz="4" w:space="0"/>
            </w:tcBorders>
            <w:tcW w:w="815"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90"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3"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0" w:type="dxa"/>
            <w:vAlign w:val="center"/>
            <w:textDirection w:val="lrTb"/>
            <w:noWrap w:val="false"/>
          </w:tcPr>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2.5日常保洁工作服务方案（5分）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评委根据投标文件对第四章“采购需求”中“</w:t>
            </w:r>
            <w:r>
              <w:rPr>
                <w:rFonts w:hint="eastAsia" w:ascii="方正仿宋_GBK" w:hAnsi="方正仿宋_GBK" w:eastAsia="方正仿宋_GBK" w:cs="方正仿宋_GBK"/>
                <w:color w:val="auto"/>
                <w:sz w:val="28"/>
                <w:szCs w:val="28"/>
                <w:highlight w:val="none"/>
              </w:rPr>
              <w:t xml:space="preserve">日常保洁工作服务方案</w:t>
            </w:r>
            <w:r>
              <w:rPr>
                <w:rFonts w:ascii="方正仿宋_GBK" w:hAnsi="方正仿宋_GBK" w:eastAsia="方正仿宋_GBK" w:cs="方正仿宋_GBK"/>
                <w:color w:val="auto"/>
                <w:sz w:val="28"/>
                <w:szCs w:val="28"/>
                <w:highlight w:val="none"/>
              </w:rPr>
              <w:t xml:space="preserve">”响应情况进行评审</w:t>
            </w:r>
            <w:r>
              <w:rPr>
                <w:rFonts w:hint="eastAsia" w:ascii="方正仿宋_GBK" w:hAnsi="方正仿宋_GBK" w:eastAsia="方正仿宋_GBK" w:cs="方正仿宋_GBK"/>
                <w:color w:val="auto"/>
                <w:sz w:val="28"/>
                <w:szCs w:val="28"/>
                <w:highlight w:val="none"/>
                <w:lang w:eastAsia="zh-CN"/>
              </w:rPr>
              <w:t xml:space="preserve">：</w:t>
            </w:r>
            <w:r>
              <w:rPr>
                <w:highlight w:val="none"/>
              </w:rPr>
            </w:r>
          </w:p>
          <w:p>
            <w:pPr>
              <w:keepLines w:val="0"/>
              <w:keepNext w:val="0"/>
              <w:pageBreakBefore w:val="0"/>
              <w:spacing w:line="380" w:lineRule="exact"/>
              <w:widowControl w:val="off"/>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（1）经评委认定，投标文件对</w:t>
            </w:r>
            <w:r>
              <w:rPr>
                <w:rFonts w:hint="eastAsia" w:ascii="方正仿宋_GBK" w:hAnsi="方正仿宋_GBK" w:eastAsia="方正仿宋_GBK" w:cs="方正仿宋_GBK"/>
                <w:color w:val="auto"/>
                <w:sz w:val="28"/>
                <w:szCs w:val="28"/>
                <w:highlight w:val="none"/>
              </w:rPr>
              <w:t xml:space="preserve">日常保洁、垃圾分类和四害消杀</w:t>
            </w:r>
            <w:r>
              <w:rPr>
                <w:rFonts w:ascii="方正仿宋_GBK" w:hAnsi="方正仿宋_GBK" w:eastAsia="方正仿宋_GBK" w:cs="方正仿宋_GBK"/>
                <w:color w:val="auto"/>
                <w:sz w:val="28"/>
                <w:szCs w:val="28"/>
                <w:highlight w:val="none"/>
              </w:rPr>
              <w:t xml:space="preserve">三项要求的响应内容全部优于招标文件要求的本项得5分。</w:t>
            </w:r>
            <w:r>
              <w:rPr>
                <w:highlight w:val="none"/>
              </w:rPr>
            </w:r>
          </w:p>
          <w:p>
            <w:pPr>
              <w:keepLines w:val="0"/>
              <w:keepNext w:val="0"/>
              <w:pageBreakBefore w:val="0"/>
              <w:spacing w:line="380" w:lineRule="exact"/>
              <w:widowControl w:val="off"/>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（2）投标文件符合“设计方案”中全部条款要求的，视为符合招标文件，本项得3分。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（3）投标文件未符合“设计方案”中全部条款要求的，视为不符合招标文件，本项得0分。</w:t>
            </w:r>
            <w:r>
              <w:rPr>
                <w:highlight w:val="none"/>
              </w:rPr>
            </w:r>
          </w:p>
        </w:tc>
      </w:tr>
      <w:tr>
        <w:trPr>
          <w:trHeight w:val="1031"/>
        </w:trPr>
        <w:tc>
          <w:tcPr>
            <w:tcBorders>
              <w:top w:val="single" w:color="000000" w:sz="4" w:space="0"/>
              <w:left w:val="single" w:color="000000" w:sz="4" w:space="0"/>
              <w:bottom w:val="single" w:color="000000" w:sz="4" w:space="0"/>
              <w:right w:val="single" w:color="000000" w:sz="4" w:space="0"/>
            </w:tcBorders>
            <w:tcW w:w="815"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90"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3"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0" w:type="dxa"/>
            <w:vAlign w:val="center"/>
            <w:textDirection w:val="lrTb"/>
            <w:noWrap w:val="false"/>
          </w:tcPr>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2.6楼宇服务方案（5分）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评委根据投标文件对第四章“采购需求”中“</w:t>
            </w:r>
            <w:r>
              <w:rPr>
                <w:rFonts w:hint="eastAsia" w:ascii="方正仿宋_GBK" w:hAnsi="方正仿宋_GBK" w:eastAsia="方正仿宋_GBK" w:cs="方正仿宋_GBK"/>
                <w:color w:val="auto"/>
                <w:sz w:val="28"/>
                <w:szCs w:val="28"/>
                <w:highlight w:val="none"/>
              </w:rPr>
              <w:t xml:space="preserve">楼宇服务方案</w:t>
            </w:r>
            <w:r>
              <w:rPr>
                <w:rFonts w:ascii="方正仿宋_GBK" w:hAnsi="方正仿宋_GBK" w:eastAsia="方正仿宋_GBK" w:cs="方正仿宋_GBK"/>
                <w:color w:val="auto"/>
                <w:sz w:val="28"/>
                <w:szCs w:val="28"/>
                <w:highlight w:val="none"/>
              </w:rPr>
              <w:t xml:space="preserve">”响应情况进行评审</w:t>
            </w:r>
            <w:r>
              <w:rPr>
                <w:rFonts w:hint="eastAsia" w:ascii="方正仿宋_GBK" w:hAnsi="方正仿宋_GBK" w:eastAsia="方正仿宋_GBK" w:cs="方正仿宋_GBK"/>
                <w:color w:val="auto"/>
                <w:sz w:val="28"/>
                <w:szCs w:val="28"/>
                <w:highlight w:val="none"/>
                <w:lang w:eastAsia="zh-CN"/>
              </w:rPr>
              <w:t xml:space="preserve">：</w:t>
            </w:r>
            <w:r>
              <w:rPr>
                <w:highlight w:val="none"/>
              </w:rPr>
            </w:r>
          </w:p>
          <w:p>
            <w:pPr>
              <w:keepLines w:val="0"/>
              <w:keepNext w:val="0"/>
              <w:pageBreakBefore w:val="0"/>
              <w:spacing w:line="380" w:lineRule="exact"/>
              <w:widowControl w:val="off"/>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（1）经评委认定，投标文件对</w:t>
            </w:r>
            <w:r>
              <w:rPr>
                <w:rFonts w:hint="eastAsia" w:ascii="方正仿宋_GBK" w:hAnsi="方正仿宋_GBK" w:eastAsia="方正仿宋_GBK" w:cs="方正仿宋_GBK"/>
                <w:color w:val="auto"/>
                <w:sz w:val="28"/>
                <w:szCs w:val="28"/>
                <w:highlight w:val="none"/>
              </w:rPr>
              <w:t xml:space="preserve">门岗管理、巡查管理</w:t>
            </w:r>
            <w:r>
              <w:rPr>
                <w:rFonts w:hint="eastAsia" w:ascii="方正仿宋_GBK" w:hAnsi="方正仿宋_GBK" w:eastAsia="方正仿宋_GBK" w:cs="方正仿宋_GBK"/>
                <w:color w:val="auto"/>
                <w:sz w:val="28"/>
                <w:szCs w:val="28"/>
                <w:highlight w:val="none"/>
                <w:lang w:val="en-US" w:eastAsia="zh-CN"/>
              </w:rPr>
              <w:t xml:space="preserve">两</w:t>
            </w:r>
            <w:r>
              <w:rPr>
                <w:rFonts w:ascii="方正仿宋_GBK" w:hAnsi="方正仿宋_GBK" w:eastAsia="方正仿宋_GBK" w:cs="方正仿宋_GBK"/>
                <w:color w:val="auto"/>
                <w:sz w:val="28"/>
                <w:szCs w:val="28"/>
                <w:highlight w:val="none"/>
              </w:rPr>
              <w:t xml:space="preserve">项要求的响应内容全部优于招标文件要求的本项得5分。</w:t>
            </w:r>
            <w:r>
              <w:rPr>
                <w:highlight w:val="none"/>
              </w:rPr>
            </w:r>
          </w:p>
          <w:p>
            <w:pPr>
              <w:keepLines w:val="0"/>
              <w:keepNext w:val="0"/>
              <w:pageBreakBefore w:val="0"/>
              <w:spacing w:line="380" w:lineRule="exact"/>
              <w:widowControl w:val="off"/>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（2）投标文件符合“设计方案”中全部条款要求的，视为符合招标文件，本项得3分。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（3）投标文件未符合“设计方案”中全部条款要求的，视为不符合招标文件，本项得0分。</w:t>
            </w:r>
            <w:r>
              <w:rPr>
                <w:highlight w:val="none"/>
              </w:rPr>
            </w:r>
          </w:p>
        </w:tc>
      </w:tr>
      <w:tr>
        <w:trPr>
          <w:trHeight w:val="1438"/>
        </w:trPr>
        <w:tc>
          <w:tcPr>
            <w:tcBorders>
              <w:top w:val="single" w:color="000000" w:sz="4" w:space="0"/>
              <w:left w:val="single" w:color="000000" w:sz="4" w:space="0"/>
              <w:bottom w:val="single" w:color="000000" w:sz="4" w:space="0"/>
              <w:right w:val="single" w:color="000000" w:sz="4" w:space="0"/>
            </w:tcBorders>
            <w:tcW w:w="815"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90"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3"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0" w:type="dxa"/>
            <w:vAlign w:val="center"/>
            <w:textDirection w:val="lrTb"/>
            <w:noWrap w:val="false"/>
          </w:tcPr>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2.7重要活动保障服务方案（5分）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评委根据投标文件对第四章“采购需求”中“</w:t>
            </w:r>
            <w:r>
              <w:rPr>
                <w:rFonts w:hint="eastAsia" w:ascii="方正仿宋_GBK" w:hAnsi="方正仿宋_GBK" w:eastAsia="方正仿宋_GBK" w:cs="方正仿宋_GBK"/>
                <w:color w:val="auto"/>
                <w:sz w:val="28"/>
                <w:szCs w:val="28"/>
                <w:highlight w:val="none"/>
              </w:rPr>
              <w:t xml:space="preserve">重要活动保障方案</w:t>
            </w:r>
            <w:r>
              <w:rPr>
                <w:rFonts w:ascii="方正仿宋_GBK" w:hAnsi="方正仿宋_GBK" w:eastAsia="方正仿宋_GBK" w:cs="方正仿宋_GBK"/>
                <w:color w:val="auto"/>
                <w:sz w:val="28"/>
                <w:szCs w:val="28"/>
                <w:highlight w:val="none"/>
              </w:rPr>
              <w:t xml:space="preserve">”响应情况进行评审</w:t>
            </w:r>
            <w:r>
              <w:rPr>
                <w:rFonts w:hint="eastAsia" w:ascii="方正仿宋_GBK" w:hAnsi="方正仿宋_GBK" w:eastAsia="方正仿宋_GBK" w:cs="方正仿宋_GBK"/>
                <w:color w:val="auto"/>
                <w:sz w:val="28"/>
                <w:szCs w:val="28"/>
                <w:highlight w:val="none"/>
                <w:lang w:eastAsia="zh-CN"/>
              </w:rPr>
              <w:t xml:space="preserve">：</w:t>
            </w:r>
            <w:r>
              <w:rPr>
                <w:highlight w:val="none"/>
              </w:rPr>
            </w:r>
          </w:p>
          <w:p>
            <w:pPr>
              <w:keepLines w:val="0"/>
              <w:keepNext w:val="0"/>
              <w:pageBreakBefore w:val="0"/>
              <w:spacing w:line="380" w:lineRule="exact"/>
              <w:widowControl w:val="off"/>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（1）经评委认定，投标文件对</w:t>
            </w:r>
            <w:r>
              <w:rPr>
                <w:rFonts w:hint="eastAsia" w:ascii="方正仿宋_GBK" w:hAnsi="方正仿宋_GBK" w:eastAsia="方正仿宋_GBK" w:cs="方正仿宋_GBK"/>
                <w:color w:val="auto"/>
                <w:sz w:val="28"/>
                <w:szCs w:val="28"/>
                <w:highlight w:val="none"/>
              </w:rPr>
              <w:t xml:space="preserve">重要会议及活动</w:t>
            </w:r>
            <w:r>
              <w:rPr>
                <w:rFonts w:ascii="方正仿宋_GBK" w:hAnsi="方正仿宋_GBK" w:eastAsia="方正仿宋_GBK" w:cs="方正仿宋_GBK"/>
                <w:color w:val="auto"/>
                <w:sz w:val="28"/>
                <w:szCs w:val="28"/>
                <w:highlight w:val="none"/>
              </w:rPr>
              <w:t xml:space="preserve">要求的响应内容全部优于招标文件要求的本项得5分。（2）投标文件符合“设计方案”中全部条款要求的，视为符合招标文件，本项得3分。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（3）投标文件未符合“设计方案”中全部条款要求的，视为不符合招标文件，本项得0分。</w:t>
            </w:r>
            <w:r>
              <w:rPr>
                <w:highlight w:val="none"/>
              </w:rPr>
            </w:r>
          </w:p>
        </w:tc>
      </w:tr>
      <w:tr>
        <w:trPr/>
        <w:tc>
          <w:tcPr>
            <w:tcBorders>
              <w:top w:val="single" w:color="000000" w:sz="4" w:space="0"/>
              <w:left w:val="single" w:color="000000" w:sz="4" w:space="0"/>
              <w:bottom w:val="single" w:color="000000" w:sz="4" w:space="0"/>
              <w:right w:val="single" w:color="000000" w:sz="4" w:space="0"/>
            </w:tcBorders>
            <w:tcW w:w="815"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90"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3"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0" w:type="dxa"/>
            <w:vAlign w:val="center"/>
            <w:textDirection w:val="lrTb"/>
            <w:noWrap w:val="false"/>
          </w:tcPr>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2.8应急事件处置方案（5分）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评委根据投标文件对第四章“采购需求”中“</w:t>
            </w:r>
            <w:r>
              <w:rPr>
                <w:rFonts w:hint="eastAsia" w:ascii="方正仿宋_GBK" w:hAnsi="方正仿宋_GBK" w:eastAsia="方正仿宋_GBK" w:cs="方正仿宋_GBK"/>
                <w:color w:val="auto"/>
                <w:sz w:val="28"/>
                <w:szCs w:val="28"/>
                <w:highlight w:val="none"/>
              </w:rPr>
              <w:t xml:space="preserve">应急事件处置方案</w:t>
            </w:r>
            <w:r>
              <w:rPr>
                <w:rFonts w:ascii="方正仿宋_GBK" w:hAnsi="方正仿宋_GBK" w:eastAsia="方正仿宋_GBK" w:cs="方正仿宋_GBK"/>
                <w:color w:val="auto"/>
                <w:sz w:val="28"/>
                <w:szCs w:val="28"/>
                <w:highlight w:val="none"/>
              </w:rPr>
              <w:t xml:space="preserve">”响应情况进行评审</w:t>
            </w:r>
            <w:r>
              <w:rPr>
                <w:rFonts w:hint="eastAsia" w:ascii="方正仿宋_GBK" w:hAnsi="方正仿宋_GBK" w:eastAsia="方正仿宋_GBK" w:cs="方正仿宋_GBK"/>
                <w:color w:val="auto"/>
                <w:sz w:val="28"/>
                <w:szCs w:val="28"/>
                <w:highlight w:val="none"/>
                <w:lang w:eastAsia="zh-CN"/>
              </w:rPr>
              <w:t xml:space="preserve">：</w:t>
            </w:r>
            <w:r>
              <w:rPr>
                <w:highlight w:val="none"/>
              </w:rPr>
            </w:r>
          </w:p>
          <w:p>
            <w:pPr>
              <w:keepLines w:val="0"/>
              <w:keepNext w:val="0"/>
              <w:pageBreakBefore w:val="0"/>
              <w:spacing w:line="380" w:lineRule="exact"/>
              <w:widowControl w:val="off"/>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（1）经评委认定，投标文件对</w:t>
            </w:r>
            <w:r>
              <w:rPr>
                <w:rFonts w:hint="eastAsia" w:ascii="方正仿宋_GBK" w:hAnsi="方正仿宋_GBK" w:eastAsia="方正仿宋_GBK" w:cs="方正仿宋_GBK"/>
                <w:color w:val="auto"/>
                <w:sz w:val="28"/>
                <w:szCs w:val="28"/>
                <w:highlight w:val="none"/>
              </w:rPr>
              <w:t xml:space="preserve">出现的应急事件处置</w:t>
            </w:r>
            <w:r>
              <w:rPr>
                <w:rFonts w:ascii="方正仿宋_GBK" w:hAnsi="方正仿宋_GBK" w:eastAsia="方正仿宋_GBK" w:cs="方正仿宋_GBK"/>
                <w:color w:val="auto"/>
                <w:sz w:val="28"/>
                <w:szCs w:val="28"/>
                <w:highlight w:val="none"/>
              </w:rPr>
              <w:t xml:space="preserve">要求的响应内容全部优于招标文件要求的本项得5分。</w:t>
            </w:r>
            <w:r>
              <w:rPr>
                <w:highlight w:val="none"/>
              </w:rPr>
            </w:r>
          </w:p>
          <w:p>
            <w:pPr>
              <w:keepLines w:val="0"/>
              <w:keepNext w:val="0"/>
              <w:pageBreakBefore w:val="0"/>
              <w:spacing w:line="380" w:lineRule="exact"/>
              <w:widowControl w:val="off"/>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（2）投标文件符合“设计方案”中全部条款要求的，视为符合招标文件，本项得3分。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（3）投标文件未符合“设计方案”中全部条款要求的，视为不符合招标文件，本项得0分。</w:t>
            </w:r>
            <w:r>
              <w:rPr>
                <w:highlight w:val="none"/>
              </w:rPr>
            </w:r>
          </w:p>
        </w:tc>
      </w:tr>
      <w:tr>
        <w:trPr>
          <w:trHeight w:val="700"/>
        </w:trPr>
        <w:tc>
          <w:tcPr>
            <w:tcBorders>
              <w:top w:val="single" w:color="000000" w:sz="4" w:space="0"/>
              <w:left w:val="single" w:color="000000" w:sz="4" w:space="0"/>
              <w:bottom w:val="single" w:color="000000" w:sz="4" w:space="0"/>
              <w:right w:val="single" w:color="000000" w:sz="4" w:space="0"/>
            </w:tcBorders>
            <w:tcW w:w="815"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90"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3"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0" w:type="dxa"/>
            <w:vAlign w:val="center"/>
            <w:textDirection w:val="lrTb"/>
            <w:noWrap w:val="false"/>
          </w:tcPr>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2.9创新服务及文化建设方案（5分）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评委根据投标文件对第四章“采购需求”中“</w:t>
            </w:r>
            <w:r>
              <w:rPr>
                <w:rFonts w:hint="eastAsia" w:ascii="方正仿宋_GBK" w:hAnsi="方正仿宋_GBK" w:eastAsia="方正仿宋_GBK" w:cs="方正仿宋_GBK"/>
                <w:color w:val="auto"/>
                <w:sz w:val="28"/>
                <w:szCs w:val="28"/>
                <w:highlight w:val="none"/>
              </w:rPr>
              <w:t xml:space="preserve">创新服务及文化建设</w:t>
            </w:r>
            <w:r>
              <w:rPr>
                <w:rFonts w:ascii="方正仿宋_GBK" w:hAnsi="方正仿宋_GBK" w:eastAsia="方正仿宋_GBK" w:cs="方正仿宋_GBK"/>
                <w:color w:val="auto"/>
                <w:sz w:val="28"/>
                <w:szCs w:val="28"/>
                <w:highlight w:val="none"/>
              </w:rPr>
              <w:t xml:space="preserve">”响应情况进行评审</w:t>
            </w:r>
            <w:r>
              <w:rPr>
                <w:rFonts w:hint="eastAsia" w:ascii="方正仿宋_GBK" w:hAnsi="方正仿宋_GBK" w:eastAsia="方正仿宋_GBK" w:cs="方正仿宋_GBK"/>
                <w:color w:val="auto"/>
                <w:sz w:val="28"/>
                <w:szCs w:val="28"/>
                <w:highlight w:val="none"/>
                <w:lang w:eastAsia="zh-CN"/>
              </w:rPr>
              <w:t xml:space="preserve">：</w:t>
            </w:r>
            <w:r>
              <w:rPr>
                <w:highlight w:val="none"/>
              </w:rPr>
            </w:r>
          </w:p>
          <w:p>
            <w:pPr>
              <w:keepLines w:val="0"/>
              <w:keepNext w:val="0"/>
              <w:pageBreakBefore w:val="0"/>
              <w:spacing w:line="380" w:lineRule="exact"/>
              <w:widowControl w:val="off"/>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（1）经评委认定，投标文件对</w:t>
            </w:r>
            <w:r>
              <w:rPr>
                <w:rFonts w:hint="eastAsia" w:ascii="方正仿宋_GBK" w:hAnsi="方正仿宋_GBK" w:eastAsia="方正仿宋_GBK" w:cs="方正仿宋_GBK"/>
                <w:color w:val="auto"/>
                <w:sz w:val="28"/>
                <w:szCs w:val="28"/>
                <w:highlight w:val="none"/>
              </w:rPr>
              <w:t xml:space="preserve">校园文化建设、节日氛围营造和学生劳动实践服务</w:t>
            </w:r>
            <w:r>
              <w:rPr>
                <w:rFonts w:ascii="方正仿宋_GBK" w:hAnsi="方正仿宋_GBK" w:eastAsia="方正仿宋_GBK" w:cs="方正仿宋_GBK"/>
                <w:color w:val="auto"/>
                <w:sz w:val="28"/>
                <w:szCs w:val="28"/>
                <w:highlight w:val="none"/>
              </w:rPr>
              <w:t xml:space="preserve">三项要求的响应内容全部优于招标文件要求的本项得5分。</w:t>
            </w:r>
            <w:r>
              <w:rPr>
                <w:highlight w:val="none"/>
              </w:rPr>
            </w:r>
          </w:p>
          <w:p>
            <w:pPr>
              <w:keepLines w:val="0"/>
              <w:keepNext w:val="0"/>
              <w:pageBreakBefore w:val="0"/>
              <w:spacing w:line="380" w:lineRule="exact"/>
              <w:widowControl w:val="off"/>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（2）投标文件符合“设计方案”中全部条款要求的，视为符合招标文件，本项得3分。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szCs w:val="28"/>
                <w:highlight w:val="none"/>
              </w:rPr>
              <w:t xml:space="preserve">（3）投标文件未符合“设计方案”中全部条款要求的，视为不符合招标文件，本项得0分。</w:t>
            </w:r>
            <w:r>
              <w:rPr>
                <w:highlight w:val="none"/>
              </w:rPr>
            </w:r>
          </w:p>
        </w:tc>
      </w:tr>
      <w:tr>
        <w:trPr>
          <w:trHeight w:val="7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5" w:type="dxa"/>
            <w:vAlign w:val="center"/>
            <w:vMerge w:val="restart"/>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3</w:t>
            </w:r>
            <w:r>
              <w:rPr>
                <w:highlight w:val="none"/>
              </w:rPr>
            </w:r>
          </w:p>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0" w:type="dxa"/>
            <w:vAlign w:val="center"/>
            <w:vMerge w:val="restart"/>
            <w:textDirection w:val="lrTb"/>
            <w:noWrap w:val="false"/>
          </w:tcPr>
          <w:p>
            <w:pPr>
              <w:jc w:val="center"/>
              <w:keepLines w:val="0"/>
              <w:keepNext w:val="0"/>
              <w:pageBreakBefore w:val="0"/>
              <w:spacing w:line="380" w:lineRule="exact"/>
              <w:widowControl w:val="off"/>
              <w:rPr>
                <w:rFonts w:ascii="方正仿宋_GBK" w:hAnsi="方正仿宋_GBK" w:eastAsia="方正仿宋_GBK" w:cs="方正仿宋_GBK"/>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人员资质及人员投入</w:t>
            </w:r>
            <w:r>
              <w:rPr>
                <w:highlight w:val="none"/>
              </w:rPr>
            </w:r>
          </w:p>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w:t>
            </w:r>
            <w:r>
              <w:rPr>
                <w:rFonts w:hint="eastAsia" w:ascii="方正仿宋_GBK" w:hAnsi="方正仿宋_GBK" w:eastAsia="方正仿宋_GBK" w:cs="方正仿宋_GBK"/>
                <w:b/>
                <w:color w:val="auto"/>
                <w:sz w:val="28"/>
                <w:szCs w:val="28"/>
                <w:highlight w:val="none"/>
                <w:lang w:val="en-US" w:eastAsia="zh-CN"/>
              </w:rPr>
              <w:t xml:space="preserve">20</w:t>
            </w:r>
            <w:r>
              <w:rPr>
                <w:rFonts w:hint="eastAsia" w:ascii="方正仿宋_GBK" w:hAnsi="方正仿宋_GBK" w:eastAsia="方正仿宋_GBK" w:cs="方正仿宋_GBK"/>
                <w:b/>
                <w:color w:val="auto"/>
                <w:sz w:val="28"/>
                <w:szCs w:val="28"/>
                <w:highlight w:val="none"/>
              </w:rPr>
              <w:t xml:space="preserve">分）</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3"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lang w:val="en-US" w:eastAsia="zh-CN"/>
              </w:rPr>
              <w:t xml:space="preserve">6</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0" w:type="dxa"/>
            <w:vAlign w:val="center"/>
            <w:textDirection w:val="lrTb"/>
            <w:noWrap w:val="false"/>
          </w:tcPr>
          <w:p>
            <w:pPr>
              <w:keepLines w:val="0"/>
              <w:keepNext w:val="0"/>
              <w:pageBreakBefore w:val="0"/>
              <w:spacing w:line="380" w:lineRule="exact"/>
              <w:widowControl w:val="off"/>
              <w:rPr>
                <w:rFonts w:hint="eastAsia" w:ascii="方正仿宋_GBK" w:hAnsi="方正仿宋_GBK" w:eastAsia="方正仿宋_GBK" w:cs="方正仿宋_GBK"/>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3.1项目经理（</w:t>
            </w:r>
            <w:r>
              <w:rPr>
                <w:rFonts w:hint="eastAsia" w:ascii="方正仿宋_GBK" w:hAnsi="方正仿宋_GBK" w:eastAsia="方正仿宋_GBK" w:cs="方正仿宋_GBK"/>
                <w:b/>
                <w:color w:val="auto"/>
                <w:sz w:val="28"/>
                <w:szCs w:val="28"/>
                <w:highlight w:val="none"/>
                <w:lang w:val="en-US" w:eastAsia="zh-CN"/>
              </w:rPr>
              <w:t xml:space="preserve">6</w:t>
            </w:r>
            <w:r>
              <w:rPr>
                <w:rFonts w:hint="eastAsia" w:ascii="方正仿宋_GBK" w:hAnsi="方正仿宋_GBK" w:eastAsia="方正仿宋_GBK" w:cs="方正仿宋_GBK"/>
                <w:b/>
                <w:color w:val="auto"/>
                <w:sz w:val="28"/>
                <w:szCs w:val="28"/>
                <w:highlight w:val="none"/>
              </w:rPr>
              <w:t xml:space="preserve">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具有本科及以上学历，得2分；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具有与本项目类似的物业项目管理工作经验，3年以上（含3年）不满5年（不含5年）的，得3分；5年及以上的，得</w:t>
            </w:r>
            <w:r>
              <w:rPr>
                <w:rFonts w:hint="eastAsia" w:ascii="方正仿宋_GBK" w:hAnsi="方正仿宋_GBK" w:eastAsia="方正仿宋_GBK" w:cs="方正仿宋_GBK"/>
                <w:color w:val="auto"/>
                <w:sz w:val="28"/>
                <w:szCs w:val="28"/>
                <w:highlight w:val="none"/>
                <w:lang w:val="en-US" w:eastAsia="zh-CN"/>
              </w:rPr>
              <w:t xml:space="preserve">4</w:t>
            </w:r>
            <w:r>
              <w:rPr>
                <w:rFonts w:hint="eastAsia" w:ascii="方正仿宋_GBK" w:hAnsi="方正仿宋_GBK" w:eastAsia="方正仿宋_GBK" w:cs="方正仿宋_GBK"/>
                <w:color w:val="auto"/>
                <w:sz w:val="28"/>
                <w:szCs w:val="28"/>
                <w:highlight w:val="none"/>
              </w:rPr>
              <w:t xml:space="preserve">分，未提供或未按要求提供的不得分。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（须提交清晰的证书复印件和业主或业主单位管理部门开具的类似项目管理经验证明材料以及开标前由投标人为其缴纳的近六个月（不含投标当月）中任意一个月的社保证明材料复印件并加盖投标人公章）</w:t>
            </w:r>
            <w:r>
              <w:rPr>
                <w:highlight w:val="none"/>
              </w:rPr>
            </w:r>
          </w:p>
        </w:tc>
      </w:tr>
      <w:tr>
        <w:trPr>
          <w:trHeight w:val="7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5" w:type="dxa"/>
            <w:vAlign w:val="center"/>
            <w:vMerge w:val="continue"/>
            <w:textDirection w:val="lrTb"/>
            <w:noWrap w:val="false"/>
          </w:tcPr>
          <w:p>
            <w:pPr>
              <w:jc w:val="center"/>
              <w:keepLines w:val="0"/>
              <w:keepNext w:val="0"/>
              <w:pageBreakBefore w:val="0"/>
              <w:spacing w:line="380" w:lineRule="exact"/>
              <w:widowControl w:val="off"/>
              <w:rPr>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0" w:type="dxa"/>
            <w:vAlign w:val="center"/>
            <w:vMerge w:val="continue"/>
            <w:textDirection w:val="lrTb"/>
            <w:noWrap w:val="false"/>
          </w:tcPr>
          <w:p>
            <w:pPr>
              <w:jc w:val="center"/>
              <w:keepLines w:val="0"/>
              <w:keepNext w:val="0"/>
              <w:pageBreakBefore w:val="0"/>
              <w:spacing w:line="380" w:lineRule="exact"/>
              <w:widowControl w:val="off"/>
              <w:rPr>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3"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lang w:val="en-US" w:eastAsia="zh-CN"/>
              </w:rPr>
              <w:t xml:space="preserve">7</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0" w:type="dxa"/>
            <w:vAlign w:val="top"/>
            <w:textDirection w:val="lrTb"/>
            <w:noWrap w:val="false"/>
          </w:tcPr>
          <w:p>
            <w:pPr>
              <w:keepLines w:val="0"/>
              <w:keepNext w:val="0"/>
              <w:pageBreakBefore w:val="0"/>
              <w:spacing w:line="380" w:lineRule="exact"/>
              <w:widowControl w:val="off"/>
              <w:rPr>
                <w:rFonts w:hint="eastAsia" w:ascii="方正仿宋_GBK" w:hAnsi="方正仿宋_GBK" w:eastAsia="方正仿宋_GBK" w:cs="方正仿宋_GBK"/>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3.2楼宇主管（</w:t>
            </w:r>
            <w:r>
              <w:rPr>
                <w:rFonts w:hint="eastAsia" w:ascii="方正仿宋_GBK" w:hAnsi="方正仿宋_GBK" w:eastAsia="方正仿宋_GBK" w:cs="方正仿宋_GBK"/>
                <w:b/>
                <w:color w:val="auto"/>
                <w:sz w:val="28"/>
                <w:szCs w:val="28"/>
                <w:highlight w:val="none"/>
                <w:lang w:val="en-US" w:eastAsia="zh-CN"/>
              </w:rPr>
              <w:t xml:space="preserve">7</w:t>
            </w:r>
            <w:r>
              <w:rPr>
                <w:rFonts w:hint="eastAsia" w:ascii="方正仿宋_GBK" w:hAnsi="方正仿宋_GBK" w:eastAsia="方正仿宋_GBK" w:cs="方正仿宋_GBK"/>
                <w:b/>
                <w:color w:val="auto"/>
                <w:sz w:val="28"/>
                <w:szCs w:val="28"/>
                <w:highlight w:val="none"/>
              </w:rPr>
              <w:t xml:space="preserve">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（1）具有专科及以上学历得</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rPr>
              <w:t xml:space="preserve">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（2）具有与本项目类似的楼宇管理经验，3年以上（含3年）不满5年（不含5年）的，得</w:t>
            </w:r>
            <w:r>
              <w:rPr>
                <w:rFonts w:hint="eastAsia" w:ascii="方正仿宋_GBK" w:hAnsi="方正仿宋_GBK" w:eastAsia="方正仿宋_GBK" w:cs="方正仿宋_GBK"/>
                <w:color w:val="auto"/>
                <w:sz w:val="28"/>
                <w:szCs w:val="28"/>
                <w:highlight w:val="none"/>
                <w:lang w:val="en-US" w:eastAsia="zh-CN"/>
              </w:rPr>
              <w:t xml:space="preserve">3</w:t>
            </w:r>
            <w:r>
              <w:rPr>
                <w:rFonts w:hint="eastAsia" w:ascii="方正仿宋_GBK" w:hAnsi="方正仿宋_GBK" w:eastAsia="方正仿宋_GBK" w:cs="方正仿宋_GBK"/>
                <w:color w:val="auto"/>
                <w:sz w:val="28"/>
                <w:szCs w:val="28"/>
                <w:highlight w:val="none"/>
              </w:rPr>
              <w:t xml:space="preserve">分；5年及以上的，得</w:t>
            </w:r>
            <w:r>
              <w:rPr>
                <w:rFonts w:hint="eastAsia" w:ascii="方正仿宋_GBK" w:hAnsi="方正仿宋_GBK" w:eastAsia="方正仿宋_GBK" w:cs="方正仿宋_GBK"/>
                <w:color w:val="auto"/>
                <w:sz w:val="28"/>
                <w:szCs w:val="28"/>
                <w:highlight w:val="none"/>
                <w:lang w:val="en-US" w:eastAsia="zh-CN"/>
              </w:rPr>
              <w:t xml:space="preserve">5</w:t>
            </w:r>
            <w:r>
              <w:rPr>
                <w:rFonts w:hint="eastAsia" w:ascii="方正仿宋_GBK" w:hAnsi="方正仿宋_GBK" w:eastAsia="方正仿宋_GBK" w:cs="方正仿宋_GBK"/>
                <w:color w:val="auto"/>
                <w:sz w:val="28"/>
                <w:szCs w:val="28"/>
                <w:highlight w:val="none"/>
              </w:rPr>
              <w:t xml:space="preserve">分，未提供或未按要求提供的不得分。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（须提交清晰的证书复印件和业主开具的类似项目管理经验证明材料以及开标前由投标人为其缴纳的近六个月（不含投标当月）中任意一个月的社保证明材料复印件并加盖投标人公章）</w:t>
            </w:r>
            <w:r>
              <w:rPr>
                <w:highlight w:val="none"/>
              </w:rPr>
            </w:r>
          </w:p>
        </w:tc>
      </w:tr>
      <w:tr>
        <w:trPr>
          <w:trHeight w:val="3073"/>
        </w:trPr>
        <w:tc>
          <w:tcPr>
            <w:tcBorders>
              <w:top w:val="single" w:color="000000" w:sz="4" w:space="0"/>
              <w:left w:val="single" w:color="000000" w:sz="4" w:space="0"/>
              <w:bottom w:val="single" w:color="000000" w:sz="4" w:space="0"/>
              <w:right w:val="single" w:color="000000" w:sz="4" w:space="0"/>
            </w:tcBorders>
            <w:tcW w:w="815"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90"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3"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lang w:val="en-US" w:eastAsia="zh-CN"/>
              </w:rPr>
              <w:t xml:space="preserve">7</w:t>
            </w:r>
            <w:r>
              <w:rPr>
                <w:highlight w:val="none"/>
              </w:rP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6700" w:type="dxa"/>
            <w:vAlign w:val="center"/>
            <w:textDirection w:val="lrTb"/>
            <w:noWrap w:val="false"/>
          </w:tcPr>
          <w:p>
            <w:pPr>
              <w:keepLines w:val="0"/>
              <w:keepNext w:val="0"/>
              <w:pageBreakBefore w:val="0"/>
              <w:spacing w:line="380" w:lineRule="exact"/>
              <w:widowControl w:val="off"/>
              <w:rPr>
                <w:rFonts w:hint="eastAsia" w:ascii="方正仿宋_GBK" w:hAnsi="方正仿宋_GBK" w:eastAsia="方正仿宋_GBK" w:cs="方正仿宋_GBK"/>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val="0"/>
                <w:color w:val="auto"/>
                <w:sz w:val="28"/>
                <w:szCs w:val="28"/>
                <w:highlight w:val="none"/>
              </w:rPr>
              <w:t xml:space="preserve">3.3 楼宇巡查员（</w:t>
            </w:r>
            <w:r>
              <w:rPr>
                <w:rFonts w:hint="eastAsia" w:ascii="方正仿宋_GBK" w:hAnsi="方正仿宋_GBK" w:eastAsia="方正仿宋_GBK" w:cs="方正仿宋_GBK"/>
                <w:b/>
                <w:bCs w:val="0"/>
                <w:color w:val="auto"/>
                <w:sz w:val="28"/>
                <w:szCs w:val="28"/>
                <w:highlight w:val="none"/>
                <w:lang w:val="en-US" w:eastAsia="zh-CN"/>
              </w:rPr>
              <w:t xml:space="preserve">7</w:t>
            </w:r>
            <w:r>
              <w:rPr>
                <w:rFonts w:hint="eastAsia" w:ascii="方正仿宋_GBK" w:hAnsi="方正仿宋_GBK" w:eastAsia="方正仿宋_GBK" w:cs="方正仿宋_GBK"/>
                <w:b/>
                <w:bCs w:val="0"/>
                <w:color w:val="auto"/>
                <w:sz w:val="28"/>
                <w:szCs w:val="28"/>
                <w:highlight w:val="none"/>
              </w:rPr>
              <w:t xml:space="preserve">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（1）具有</w:t>
            </w:r>
            <w:r>
              <w:rPr>
                <w:rFonts w:hint="eastAsia" w:ascii="方正仿宋_GBK" w:hAnsi="方正仿宋_GBK" w:eastAsia="方正仿宋_GBK" w:cs="方正仿宋_GBK"/>
                <w:color w:val="auto"/>
                <w:sz w:val="28"/>
                <w:szCs w:val="28"/>
                <w:highlight w:val="none"/>
                <w:lang w:val="en-US" w:eastAsia="zh-CN"/>
              </w:rPr>
              <w:t xml:space="preserve">专科</w:t>
            </w:r>
            <w:r>
              <w:rPr>
                <w:rFonts w:hint="eastAsia" w:ascii="方正仿宋_GBK" w:hAnsi="方正仿宋_GBK" w:eastAsia="方正仿宋_GBK" w:cs="方正仿宋_GBK"/>
                <w:color w:val="auto"/>
                <w:sz w:val="28"/>
                <w:szCs w:val="28"/>
                <w:highlight w:val="none"/>
              </w:rPr>
              <w:t xml:space="preserve">及以上学历，每满足一人得</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rPr>
              <w:t xml:space="preserve">分，最高得</w:t>
            </w:r>
            <w:r>
              <w:rPr>
                <w:rFonts w:hint="eastAsia" w:ascii="方正仿宋_GBK" w:hAnsi="方正仿宋_GBK" w:eastAsia="方正仿宋_GBK" w:cs="方正仿宋_GBK"/>
                <w:color w:val="auto"/>
                <w:sz w:val="28"/>
                <w:szCs w:val="28"/>
                <w:highlight w:val="none"/>
                <w:lang w:val="en-US" w:eastAsia="zh-CN"/>
              </w:rPr>
              <w:t xml:space="preserve">3</w:t>
            </w:r>
            <w:r>
              <w:rPr>
                <w:rFonts w:hint="eastAsia" w:ascii="方正仿宋_GBK" w:hAnsi="方正仿宋_GBK" w:eastAsia="方正仿宋_GBK" w:cs="方正仿宋_GBK"/>
                <w:color w:val="auto"/>
                <w:sz w:val="28"/>
                <w:szCs w:val="28"/>
                <w:highlight w:val="none"/>
              </w:rPr>
              <w:t xml:space="preserve">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（2）具有</w:t>
            </w:r>
            <w:r>
              <w:rPr>
                <w:rFonts w:hint="eastAsia" w:ascii="方正仿宋_GBK" w:hAnsi="方正仿宋_GBK" w:eastAsia="方正仿宋_GBK" w:cs="方正仿宋_GBK"/>
                <w:color w:val="auto"/>
                <w:sz w:val="28"/>
                <w:szCs w:val="28"/>
                <w:highlight w:val="none"/>
                <w:lang w:val="en-US" w:eastAsia="zh-CN"/>
              </w:rPr>
              <w:t xml:space="preserve">3年及以上</w:t>
            </w:r>
            <w:r>
              <w:rPr>
                <w:rFonts w:hint="eastAsia" w:ascii="方正仿宋_GBK" w:hAnsi="方正仿宋_GBK" w:eastAsia="方正仿宋_GBK" w:cs="方正仿宋_GBK"/>
                <w:color w:val="auto"/>
                <w:sz w:val="28"/>
                <w:szCs w:val="28"/>
                <w:highlight w:val="none"/>
              </w:rPr>
              <w:t xml:space="preserve">与本项目类似的管理经验的，</w:t>
            </w:r>
            <w:r>
              <w:rPr>
                <w:rFonts w:hint="eastAsia" w:ascii="方正仿宋_GBK" w:hAnsi="方正仿宋_GBK" w:eastAsia="方正仿宋_GBK" w:cs="方正仿宋_GBK"/>
                <w:color w:val="auto"/>
                <w:sz w:val="28"/>
                <w:szCs w:val="28"/>
                <w:highlight w:val="none"/>
                <w:lang w:val="en-US" w:eastAsia="zh-CN"/>
              </w:rPr>
              <w:t xml:space="preserve">每满足一人得1分，最高</w:t>
            </w:r>
            <w:r>
              <w:rPr>
                <w:rFonts w:hint="eastAsia" w:ascii="方正仿宋_GBK" w:hAnsi="方正仿宋_GBK" w:eastAsia="方正仿宋_GBK" w:cs="方正仿宋_GBK"/>
                <w:color w:val="auto"/>
                <w:sz w:val="28"/>
                <w:szCs w:val="28"/>
                <w:highlight w:val="none"/>
              </w:rPr>
              <w:t xml:space="preserve">得</w:t>
            </w:r>
            <w:r>
              <w:rPr>
                <w:rFonts w:hint="eastAsia" w:ascii="方正仿宋_GBK" w:hAnsi="方正仿宋_GBK" w:eastAsia="方正仿宋_GBK" w:cs="方正仿宋_GBK"/>
                <w:color w:val="auto"/>
                <w:sz w:val="28"/>
                <w:szCs w:val="28"/>
                <w:highlight w:val="none"/>
                <w:lang w:val="en-US" w:eastAsia="zh-CN"/>
              </w:rPr>
              <w:t xml:space="preserve">4</w:t>
            </w:r>
            <w:r>
              <w:rPr>
                <w:rFonts w:hint="eastAsia" w:ascii="方正仿宋_GBK" w:hAnsi="方正仿宋_GBK" w:eastAsia="方正仿宋_GBK" w:cs="方正仿宋_GBK"/>
                <w:color w:val="auto"/>
                <w:sz w:val="28"/>
                <w:szCs w:val="28"/>
                <w:highlight w:val="none"/>
              </w:rPr>
              <w:t xml:space="preserve">分，未提供或未按要求提供的不得分；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（须提交清晰的证书复印件和业主或业主单位管理部门开具的类似项目管理经验证明材料以及开标前由投标人为其缴纳的近六个月（不含投标当月）中任意一个月的社保证明材料复印件并加盖投标人公章）</w:t>
            </w:r>
            <w:r>
              <w:rPr>
                <w:highlight w:val="none"/>
              </w:rPr>
            </w:r>
          </w:p>
        </w:tc>
      </w:tr>
      <w:tr>
        <w:trPr>
          <w:trHeight w:val="9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5" w:type="dxa"/>
            <w:vAlign w:val="center"/>
            <w:vMerge w:val="restart"/>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4</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0" w:type="dxa"/>
            <w:vAlign w:val="center"/>
            <w:vMerge w:val="restart"/>
            <w:textDirection w:val="lrTb"/>
            <w:noWrap w:val="false"/>
          </w:tcPr>
          <w:p>
            <w:pPr>
              <w:keepLines w:val="0"/>
              <w:keepNext w:val="0"/>
              <w:pageBreakBefore w:val="0"/>
              <w:spacing w:line="380" w:lineRule="exact"/>
              <w:widowControl w:val="off"/>
              <w:rPr>
                <w:rFonts w:hint="eastAsia" w:ascii="方正仿宋_GBK" w:hAnsi="方正仿宋_GBK" w:eastAsia="方正仿宋_GBK" w:cs="方正仿宋_GBK"/>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企业履约能力与成功案例</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w:t>
            </w:r>
            <w:r>
              <w:rPr>
                <w:rFonts w:hint="eastAsia" w:ascii="方正仿宋_GBK" w:hAnsi="方正仿宋_GBK" w:eastAsia="方正仿宋_GBK" w:cs="方正仿宋_GBK"/>
                <w:b/>
                <w:color w:val="auto"/>
                <w:sz w:val="28"/>
                <w:szCs w:val="28"/>
                <w:highlight w:val="none"/>
                <w:lang w:val="en-US" w:eastAsia="zh-CN"/>
              </w:rPr>
              <w:t xml:space="preserve">13</w:t>
            </w:r>
            <w:r>
              <w:rPr>
                <w:rFonts w:hint="eastAsia" w:ascii="方正仿宋_GBK" w:hAnsi="方正仿宋_GBK" w:eastAsia="方正仿宋_GBK" w:cs="方正仿宋_GBK"/>
                <w:b/>
                <w:color w:val="auto"/>
                <w:sz w:val="28"/>
                <w:szCs w:val="28"/>
                <w:highlight w:val="none"/>
              </w:rPr>
              <w:t xml:space="preserve">分）</w:t>
            </w:r>
            <w:r>
              <w:rPr>
                <w:highlight w:val="none"/>
              </w:rP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873" w:type="dxa"/>
            <w:vAlign w:val="center"/>
            <w:vMerge w:val="restart"/>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lang w:val="en-US" w:eastAsia="zh-CN"/>
              </w:rPr>
              <w:t xml:space="preserve">10</w:t>
            </w:r>
            <w:r>
              <w:rPr>
                <w:highlight w:val="none"/>
              </w:rP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0" w:type="dxa"/>
            <w:vAlign w:val="center"/>
            <w:textDirection w:val="lrTb"/>
            <w:noWrap w:val="false"/>
          </w:tcPr>
          <w:p>
            <w:pPr>
              <w:keepLines w:val="0"/>
              <w:keepNext w:val="0"/>
              <w:pageBreakBefore w:val="0"/>
              <w:spacing w:line="380" w:lineRule="exact"/>
              <w:widowControl w:val="off"/>
              <w:rPr>
                <w:rFonts w:hint="eastAsia" w:ascii="方正仿宋_GBK" w:hAnsi="方正仿宋_GBK" w:eastAsia="方正仿宋_GBK" w:cs="方正仿宋_GBK"/>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val="0"/>
                <w:color w:val="auto"/>
                <w:sz w:val="28"/>
                <w:szCs w:val="28"/>
                <w:highlight w:val="none"/>
              </w:rPr>
              <w:t xml:space="preserve">4.1成功案例（</w:t>
            </w:r>
            <w:r>
              <w:rPr>
                <w:rFonts w:hint="eastAsia" w:ascii="方正仿宋_GBK" w:hAnsi="方正仿宋_GBK" w:eastAsia="方正仿宋_GBK" w:cs="方正仿宋_GBK"/>
                <w:b/>
                <w:bCs w:val="0"/>
                <w:color w:val="auto"/>
                <w:sz w:val="28"/>
                <w:szCs w:val="28"/>
                <w:highlight w:val="none"/>
                <w:lang w:val="en-US" w:eastAsia="zh-CN"/>
              </w:rPr>
              <w:t xml:space="preserve">5</w:t>
            </w:r>
            <w:r>
              <w:rPr>
                <w:rFonts w:hint="eastAsia" w:ascii="方正仿宋_GBK" w:hAnsi="方正仿宋_GBK" w:eastAsia="方正仿宋_GBK" w:cs="方正仿宋_GBK"/>
                <w:b/>
                <w:bCs w:val="0"/>
                <w:color w:val="auto"/>
                <w:sz w:val="28"/>
                <w:szCs w:val="28"/>
                <w:highlight w:val="none"/>
              </w:rPr>
              <w:t xml:space="preserve">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投标人202</w:t>
            </w:r>
            <w:r>
              <w:rPr>
                <w:rFonts w:hint="eastAsia" w:ascii="方正仿宋_GBK" w:hAnsi="方正仿宋_GBK" w:eastAsia="方正仿宋_GBK" w:cs="方正仿宋_GBK"/>
                <w:color w:val="auto"/>
                <w:sz w:val="28"/>
                <w:szCs w:val="28"/>
                <w:highlight w:val="none"/>
                <w:lang w:eastAsia="zh-CN"/>
              </w:rPr>
              <w:t xml:space="preserve">3</w:t>
            </w:r>
            <w:r>
              <w:rPr>
                <w:rFonts w:hint="eastAsia" w:ascii="方正仿宋_GBK" w:hAnsi="方正仿宋_GBK" w:eastAsia="方正仿宋_GBK" w:cs="方正仿宋_GBK"/>
                <w:color w:val="auto"/>
                <w:sz w:val="28"/>
                <w:szCs w:val="28"/>
                <w:highlight w:val="none"/>
              </w:rPr>
              <w:t xml:space="preserve">年</w:t>
            </w:r>
            <w:r>
              <w:rPr>
                <w:rFonts w:hint="eastAsia" w:ascii="方正仿宋_GBK" w:hAnsi="方正仿宋_GBK" w:eastAsia="方正仿宋_GBK" w:cs="方正仿宋_GBK"/>
                <w:color w:val="auto"/>
                <w:sz w:val="28"/>
                <w:szCs w:val="28"/>
                <w:highlight w:val="none"/>
                <w:lang w:eastAsia="zh-CN"/>
              </w:rPr>
              <w:t xml:space="preserve">7</w:t>
            </w:r>
            <w:r>
              <w:rPr>
                <w:rFonts w:hint="eastAsia" w:ascii="方正仿宋_GBK" w:hAnsi="方正仿宋_GBK" w:eastAsia="方正仿宋_GBK" w:cs="方正仿宋_GBK"/>
                <w:color w:val="auto"/>
                <w:sz w:val="28"/>
                <w:szCs w:val="28"/>
                <w:highlight w:val="none"/>
              </w:rPr>
              <w:t xml:space="preserve">月1日以来(以合同签订时间为准)承担的类似项目(非住宅类)管理的案例</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每个案例的服务内容</w:t>
            </w:r>
            <w:r>
              <w:rPr>
                <w:rFonts w:hint="eastAsia" w:ascii="方正仿宋_GBK" w:hAnsi="方正仿宋_GBK" w:eastAsia="方正仿宋_GBK" w:cs="方正仿宋_GBK"/>
                <w:color w:val="auto"/>
                <w:sz w:val="28"/>
                <w:szCs w:val="28"/>
                <w:highlight w:val="none"/>
                <w:lang w:val="en-US" w:eastAsia="zh-CN"/>
              </w:rPr>
              <w:t xml:space="preserve">应</w:t>
            </w:r>
            <w:r>
              <w:rPr>
                <w:rFonts w:hint="eastAsia" w:ascii="方正仿宋_GBK" w:hAnsi="方正仿宋_GBK" w:eastAsia="方正仿宋_GBK" w:cs="方正仿宋_GBK"/>
                <w:color w:val="auto"/>
                <w:sz w:val="28"/>
                <w:szCs w:val="28"/>
                <w:highlight w:val="none"/>
              </w:rPr>
              <w:t xml:space="preserve">包含: ①楼宇管理服务 ②保洁服务 。</w:t>
            </w:r>
            <w:r>
              <w:rPr>
                <w:rFonts w:hint="eastAsia" w:ascii="方正仿宋_GBK" w:hAnsi="方正仿宋_GBK" w:eastAsia="方正仿宋_GBK" w:cs="方正仿宋_GBK"/>
                <w:color w:val="auto"/>
                <w:sz w:val="28"/>
                <w:szCs w:val="28"/>
                <w:highlight w:val="none"/>
                <w:lang w:val="en-US" w:eastAsia="zh-CN"/>
              </w:rPr>
              <w:t xml:space="preserve">上述案例按要求每</w:t>
            </w:r>
            <w:r>
              <w:rPr>
                <w:rFonts w:hint="eastAsia" w:ascii="方正仿宋_GBK" w:hAnsi="方正仿宋_GBK" w:eastAsia="方正仿宋_GBK" w:cs="方正仿宋_GBK"/>
                <w:color w:val="auto"/>
                <w:sz w:val="28"/>
                <w:szCs w:val="28"/>
                <w:highlight w:val="none"/>
              </w:rPr>
              <w:t xml:space="preserve">提供一个得</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rPr>
              <w:t xml:space="preserve">分，满分</w:t>
            </w:r>
            <w:r>
              <w:rPr>
                <w:rFonts w:hint="eastAsia" w:ascii="方正仿宋_GBK" w:hAnsi="方正仿宋_GBK" w:eastAsia="方正仿宋_GBK" w:cs="方正仿宋_GBK"/>
                <w:color w:val="auto"/>
                <w:sz w:val="28"/>
                <w:szCs w:val="28"/>
                <w:highlight w:val="none"/>
                <w:lang w:val="en-US" w:eastAsia="zh-CN"/>
              </w:rPr>
              <w:t xml:space="preserve">5</w:t>
            </w:r>
            <w:r>
              <w:rPr>
                <w:rFonts w:hint="eastAsia" w:ascii="方正仿宋_GBK" w:hAnsi="方正仿宋_GBK" w:eastAsia="方正仿宋_GBK" w:cs="方正仿宋_GBK"/>
                <w:color w:val="auto"/>
                <w:sz w:val="28"/>
                <w:szCs w:val="28"/>
                <w:highlight w:val="none"/>
              </w:rPr>
              <w:t xml:space="preserve">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注：</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rPr>
              <w:t xml:space="preserve">需提供合同复印件以及合同期内任意一期的物业费银行回单复印件并加盖公章，在同一家单位服务的不同物业合同只算一个业绩。</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rPr>
              <w:t xml:space="preserve">服务内容以合同体现内容为准（合同至少包含合同首页、体现服务内容页、服务起始时间页、甲乙方盖章页，合同期限至少一年），服务内容相同，表述不同视为相同。</w:t>
            </w:r>
            <w:r>
              <w:rPr>
                <w:highlight w:val="none"/>
              </w:rPr>
            </w:r>
          </w:p>
        </w:tc>
      </w:tr>
      <w:tr>
        <w:trPr>
          <w:trHeight w:val="36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5" w:type="dxa"/>
            <w:vAlign w:val="center"/>
            <w:vMerge w:val="continue"/>
            <w:textDirection w:val="lrTb"/>
            <w:noWrap w:val="false"/>
          </w:tcPr>
          <w:p>
            <w:pPr>
              <w:jc w:val="center"/>
              <w:keepLines w:val="0"/>
              <w:keepNext w:val="0"/>
              <w:pageBreakBefore w:val="0"/>
              <w:spacing w:line="380" w:lineRule="exact"/>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0" w:type="dxa"/>
            <w:vAlign w:val="center"/>
            <w:vMerge w:val="continue"/>
            <w:textDirection w:val="lrTb"/>
            <w:noWrap w:val="false"/>
          </w:tcPr>
          <w:p>
            <w:pPr>
              <w:jc w:val="center"/>
              <w:keepLines w:val="0"/>
              <w:keepNext w:val="0"/>
              <w:pageBreakBefore w:val="0"/>
              <w:spacing w:line="380" w:lineRule="exact"/>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873" w:type="dxa"/>
            <w:vAlign w:val="center"/>
            <w:vMerge w:val="continue"/>
            <w:textDirection w:val="lrTb"/>
            <w:noWrap w:val="false"/>
          </w:tcPr>
          <w:p>
            <w:pPr>
              <w:jc w:val="center"/>
              <w:keepLines w:val="0"/>
              <w:keepNext w:val="0"/>
              <w:pageBreakBefore w:val="0"/>
              <w:spacing w:line="380" w:lineRule="exact"/>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0" w:type="dxa"/>
            <w:vAlign w:val="center"/>
            <w:textDirection w:val="lrTb"/>
            <w:noWrap w:val="false"/>
          </w:tcPr>
          <w:p>
            <w:pPr>
              <w:keepLines w:val="0"/>
              <w:keepNext w:val="0"/>
              <w:pageBreakBefore w:val="0"/>
              <w:spacing w:line="380" w:lineRule="exact"/>
              <w:widowControl w:val="off"/>
              <w:rPr>
                <w:rFonts w:ascii="方正仿宋_GBK" w:hAnsi="方正仿宋_GBK" w:eastAsia="方正仿宋_GBK" w:cs="方正仿宋_GBK"/>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auto"/>
                <w:sz w:val="28"/>
                <w:szCs w:val="28"/>
                <w:highlight w:val="none"/>
                <w:lang w:val="en-US" w:eastAsia="zh-CN"/>
              </w:rPr>
              <w:t xml:space="preserve">4.2业主评价（5分）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满足上述要求的案例业绩中，业主单位评价为优秀或满意的，每有一个得</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rPr>
              <w:t xml:space="preserve">分，本小项满分</w:t>
            </w:r>
            <w:r>
              <w:rPr>
                <w:rFonts w:hint="eastAsia" w:ascii="方正仿宋_GBK" w:hAnsi="方正仿宋_GBK" w:eastAsia="方正仿宋_GBK" w:cs="方正仿宋_GBK"/>
                <w:color w:val="auto"/>
                <w:sz w:val="28"/>
                <w:szCs w:val="28"/>
                <w:highlight w:val="none"/>
                <w:lang w:val="en-US" w:eastAsia="zh-CN"/>
              </w:rPr>
              <w:t xml:space="preserve">5</w:t>
            </w:r>
            <w:r>
              <w:rPr>
                <w:rFonts w:hint="eastAsia" w:ascii="方正仿宋_GBK" w:hAnsi="方正仿宋_GBK" w:eastAsia="方正仿宋_GBK" w:cs="方正仿宋_GBK"/>
                <w:color w:val="auto"/>
                <w:sz w:val="28"/>
                <w:szCs w:val="28"/>
                <w:highlight w:val="none"/>
              </w:rPr>
              <w:t xml:space="preserve">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注：提供业主或业主单位管理部门盖章的评价为优秀或满意的证明材料，同一服务单位的业绩不重复计分。</w:t>
            </w:r>
            <w:r>
              <w:rPr>
                <w:highlight w:val="none"/>
              </w:rPr>
            </w:r>
          </w:p>
        </w:tc>
      </w:tr>
      <w:tr>
        <w:trPr>
          <w:trHeight w:val="10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5" w:type="dxa"/>
            <w:vAlign w:val="center"/>
            <w:vMerge w:val="continue"/>
            <w:textDirection w:val="lrTb"/>
            <w:noWrap w:val="false"/>
          </w:tcPr>
          <w:p>
            <w:pPr>
              <w:jc w:val="center"/>
              <w:keepLines w:val="0"/>
              <w:keepNext w:val="0"/>
              <w:pageBreakBefore w:val="0"/>
              <w:spacing w:line="380" w:lineRule="exact"/>
              <w:widowControl w:val="off"/>
              <w:rPr>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0" w:type="dxa"/>
            <w:vAlign w:val="center"/>
            <w:vMerge w:val="continue"/>
            <w:textDirection w:val="lrTb"/>
            <w:noWrap w:val="false"/>
          </w:tcPr>
          <w:p>
            <w:pPr>
              <w:keepLines w:val="0"/>
              <w:keepNext w:val="0"/>
              <w:pageBreakBefore w:val="0"/>
              <w:spacing w:line="380" w:lineRule="exact"/>
              <w:widowControl w:val="off"/>
              <w:rPr>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873"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3</w:t>
            </w:r>
            <w:r>
              <w:rPr>
                <w:highlight w:val="none"/>
              </w:rP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0" w:type="dxa"/>
            <w:vAlign w:val="center"/>
            <w:textDirection w:val="lrTb"/>
            <w:noWrap w:val="false"/>
          </w:tcPr>
          <w:p>
            <w:pPr>
              <w:keepLines w:val="0"/>
              <w:keepNext w:val="0"/>
              <w:pageBreakBefore w:val="0"/>
              <w:spacing w:line="380" w:lineRule="exact"/>
              <w:widowControl w:val="off"/>
              <w:rPr>
                <w:rFonts w:hint="eastAsia" w:ascii="方正仿宋_GBK" w:hAnsi="方正仿宋_GBK" w:eastAsia="方正仿宋_GBK" w:cs="方正仿宋_GBK"/>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4.</w:t>
            </w:r>
            <w:r>
              <w:rPr>
                <w:rFonts w:hint="eastAsia" w:ascii="方正仿宋_GBK" w:hAnsi="方正仿宋_GBK" w:eastAsia="方正仿宋_GBK" w:cs="方正仿宋_GBK"/>
                <w:b/>
                <w:color w:val="auto"/>
                <w:sz w:val="28"/>
                <w:szCs w:val="28"/>
                <w:highlight w:val="none"/>
                <w:lang w:val="en-US" w:eastAsia="zh-CN"/>
              </w:rPr>
              <w:t xml:space="preserve">3</w:t>
            </w:r>
            <w:r>
              <w:rPr>
                <w:rFonts w:hint="eastAsia" w:ascii="方正仿宋_GBK" w:hAnsi="方正仿宋_GBK" w:eastAsia="方正仿宋_GBK" w:cs="方正仿宋_GBK"/>
                <w:b/>
                <w:color w:val="auto"/>
                <w:sz w:val="28"/>
                <w:szCs w:val="28"/>
                <w:highlight w:val="none"/>
              </w:rPr>
              <w:t xml:space="preserve">管理体系（3分）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投标人具有国家认可的机构颁发的有效期内的：</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（1）ISO9001质量管理体系认证证书；</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（2）ISO14001环境管理体系认证证书；</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（3）ISO45001职业健康安全管理体系认证证书；</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上述证书每提供一个得1分，满分3分。（认证证书需在有效期内，提供清晰的证书复印件</w:t>
            </w:r>
            <w:r>
              <w:rPr>
                <w:rFonts w:hint="eastAsia" w:ascii="方正仿宋_GBK" w:hAnsi="方正仿宋_GBK" w:eastAsia="方正仿宋_GBK" w:cs="方正仿宋_GBK"/>
                <w:color w:val="auto"/>
                <w:sz w:val="28"/>
                <w:szCs w:val="28"/>
                <w:highlight w:val="none"/>
                <w:lang w:val="en-US" w:eastAsia="zh-CN"/>
              </w:rPr>
              <w:t xml:space="preserve">或扫描件并加盖投标人公章，</w:t>
            </w:r>
            <w:r>
              <w:rPr>
                <w:rFonts w:hint="eastAsia" w:ascii="方正仿宋_GBK" w:hAnsi="方正仿宋_GBK" w:eastAsia="方正仿宋_GBK" w:cs="方正仿宋_GBK"/>
                <w:color w:val="auto"/>
                <w:sz w:val="28"/>
                <w:szCs w:val="28"/>
                <w:highlight w:val="none"/>
              </w:rPr>
              <w:t xml:space="preserve">否则不得分）</w:t>
            </w:r>
            <w:r>
              <w:rPr>
                <w:highlight w:val="none"/>
              </w:rPr>
            </w:r>
          </w:p>
        </w:tc>
      </w:tr>
    </w:tbl>
    <w:p>
      <w:pPr>
        <w:rPr>
          <w:rFonts w:hint="eastAsia"/>
          <w:b/>
          <w:bCs/>
          <w:color w:val="000000"/>
          <w:sz w:val="28"/>
          <w:szCs w:val="28"/>
          <w:highlight w:val="none"/>
        </w:rPr>
      </w:pPr>
      <w:r>
        <w:rPr>
          <w:rFonts w:hint="eastAsia"/>
          <w:b/>
          <w:bCs/>
          <w:color w:val="000000"/>
          <w:sz w:val="28"/>
          <w:szCs w:val="28"/>
          <w:highlight w:val="none"/>
        </w:rPr>
      </w:r>
      <w:r>
        <w:rPr>
          <w:highlight w:val="none"/>
        </w:rPr>
      </w:r>
    </w:p>
    <w:p>
      <w:pPr>
        <w:rPr>
          <w:rFonts w:hint="eastAsia"/>
          <w:b/>
          <w:bCs/>
          <w:color w:val="000000"/>
          <w:sz w:val="28"/>
          <w:szCs w:val="28"/>
          <w:highlight w:val="none"/>
        </w:rPr>
      </w:pPr>
      <w:r>
        <w:rPr>
          <w:rFonts w:hint="eastAsia"/>
          <w:b/>
          <w:bCs/>
          <w:color w:val="000000"/>
          <w:sz w:val="28"/>
          <w:szCs w:val="28"/>
          <w:highlight w:val="none"/>
        </w:rPr>
        <w:br w:type="page" w:clear="all"/>
      </w:r>
      <w:r>
        <w:rPr>
          <w:highlight w:val="none"/>
        </w:rPr>
      </w:r>
    </w:p>
    <w:p>
      <w:pPr>
        <w:rPr>
          <w:rFonts w:hint="eastAsia"/>
          <w:b/>
          <w:bCs/>
          <w:color w:val="000000"/>
          <w:sz w:val="28"/>
          <w:szCs w:val="28"/>
          <w:highlight w:val="none"/>
        </w:rPr>
      </w:pPr>
      <w:r>
        <w:rPr>
          <w:rFonts w:hint="eastAsia"/>
          <w:b/>
          <w:bCs/>
          <w:color w:val="000000"/>
          <w:sz w:val="28"/>
          <w:szCs w:val="28"/>
          <w:highlight w:val="none"/>
        </w:rPr>
        <w:t xml:space="preserve">分包四：</w:t>
      </w:r>
      <w:r>
        <w:rPr>
          <w:highlight w:val="none"/>
        </w:rPr>
      </w:r>
    </w:p>
    <w:tbl>
      <w:tblPr>
        <w:tblStyle w:val="711"/>
        <w:tblW w:w="9859" w:type="dxa"/>
        <w:tblInd w:w="-49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405"/>
        <w:gridCol w:w="846"/>
        <w:gridCol w:w="6709"/>
      </w:tblGrid>
      <w:tr>
        <w:trPr>
          <w:trHeight w:val="40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9"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序号</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5"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评审因素</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6"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分数</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9"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评审标准</w:t>
            </w:r>
            <w:r>
              <w:rPr>
                <w:highlight w:val="none"/>
              </w:rP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9"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5"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价格</w:t>
            </w:r>
            <w:r>
              <w:rPr>
                <w:highlight w:val="none"/>
              </w:rPr>
            </w:r>
          </w:p>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w:t>
            </w:r>
            <w:r>
              <w:rPr>
                <w:rFonts w:hint="eastAsia" w:ascii="方正仿宋_GBK" w:hAnsi="方正仿宋_GBK" w:eastAsia="方正仿宋_GBK" w:cs="方正仿宋_GBK"/>
                <w:b/>
                <w:color w:val="000000"/>
                <w:sz w:val="28"/>
                <w:szCs w:val="28"/>
                <w:highlight w:val="none"/>
                <w:lang w:val="en-US" w:eastAsia="zh-CN"/>
              </w:rPr>
              <w:t xml:space="preserve">22</w:t>
            </w:r>
            <w:r>
              <w:rPr>
                <w:rFonts w:hint="eastAsia" w:ascii="方正仿宋_GBK" w:hAnsi="方正仿宋_GBK" w:eastAsia="方正仿宋_GBK" w:cs="方正仿宋_GBK"/>
                <w:b/>
                <w:color w:val="000000"/>
                <w:sz w:val="28"/>
                <w:szCs w:val="28"/>
                <w:highlight w:val="none"/>
              </w:rPr>
              <w:t xml:space="preserve">分）</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6" w:type="dxa"/>
            <w:vAlign w:val="center"/>
            <w:textDirection w:val="lrTb"/>
            <w:noWrap w:val="false"/>
          </w:tcPr>
          <w:p>
            <w:pPr>
              <w:jc w:val="center"/>
              <w:keepLines w:val="0"/>
              <w:keepNext w:val="0"/>
              <w:pageBreakBefore w:val="0"/>
              <w:spacing w:line="380" w:lineRule="exact"/>
              <w:widowControl w:val="off"/>
              <w:rPr>
                <w:rFonts w:hint="default"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lang w:val="en-US" w:eastAsia="zh-CN"/>
              </w:rPr>
              <w:t xml:space="preserve">22</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9" w:type="dxa"/>
            <w:vAlign w:val="center"/>
            <w:textDirection w:val="lrTb"/>
            <w:noWrap w:val="false"/>
          </w:tcPr>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价格分采用低价优先法计算，即满足招标文件要求且报价最低的供应商报价为评标基准价，其价格分为满分</w:t>
            </w:r>
            <w:r>
              <w:rPr>
                <w:rFonts w:hint="eastAsia" w:ascii="方正仿宋_GBK" w:hAnsi="方正仿宋_GBK" w:eastAsia="方正仿宋_GBK" w:cs="方正仿宋_GBK"/>
                <w:color w:val="000000"/>
                <w:sz w:val="28"/>
                <w:szCs w:val="28"/>
                <w:highlight w:val="none"/>
                <w:lang w:val="en-US" w:eastAsia="zh-CN"/>
              </w:rPr>
              <w:t xml:space="preserve">22</w:t>
            </w:r>
            <w:r>
              <w:rPr>
                <w:rFonts w:hint="eastAsia" w:ascii="方正仿宋_GBK" w:hAnsi="方正仿宋_GBK" w:eastAsia="方正仿宋_GBK" w:cs="方正仿宋_GBK"/>
                <w:color w:val="000000"/>
                <w:sz w:val="28"/>
                <w:szCs w:val="28"/>
                <w:highlight w:val="none"/>
              </w:rPr>
              <w:t xml:space="preserve">分，其他投标人的价格分统一按照以下公式计算：投标报价得分=（评标基准价/该投标人的投标报价）×</w:t>
            </w:r>
            <w:r>
              <w:rPr>
                <w:rFonts w:hint="eastAsia" w:ascii="方正仿宋_GBK" w:hAnsi="方正仿宋_GBK" w:eastAsia="方正仿宋_GBK" w:cs="方正仿宋_GBK"/>
                <w:color w:val="000000"/>
                <w:sz w:val="28"/>
                <w:szCs w:val="28"/>
                <w:highlight w:val="none"/>
                <w:lang w:val="en-US" w:eastAsia="zh-CN"/>
              </w:rPr>
              <w:t xml:space="preserve">22</w:t>
            </w:r>
            <w:r>
              <w:rPr>
                <w:rFonts w:hint="eastAsia" w:ascii="方正仿宋_GBK" w:hAnsi="方正仿宋_GBK" w:eastAsia="方正仿宋_GBK" w:cs="方正仿宋_GBK"/>
                <w:color w:val="000000"/>
                <w:sz w:val="28"/>
                <w:szCs w:val="28"/>
                <w:highlight w:val="none"/>
              </w:rPr>
              <w:t xml:space="preserve">分。四舍五入保留小数点后两位。</w:t>
            </w:r>
            <w:r>
              <w:rPr>
                <w:highlight w:val="none"/>
              </w:rPr>
            </w:r>
          </w:p>
        </w:tc>
      </w:tr>
      <w:tr>
        <w:trPr>
          <w:trHeight w:val="6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9" w:type="dxa"/>
            <w:vAlign w:val="center"/>
            <w:vMerge w:val="restart"/>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5" w:type="dxa"/>
            <w:vAlign w:val="center"/>
            <w:vMerge w:val="restart"/>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技术服务方案</w:t>
            </w:r>
            <w:r>
              <w:rPr>
                <w:highlight w:val="none"/>
              </w:rPr>
            </w:r>
          </w:p>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（4</w:t>
            </w:r>
            <w:r>
              <w:rPr>
                <w:rFonts w:hint="eastAsia" w:ascii="方正仿宋_GBK" w:hAnsi="方正仿宋_GBK" w:eastAsia="方正仿宋_GBK" w:cs="方正仿宋_GBK"/>
                <w:b/>
                <w:color w:val="000000"/>
                <w:sz w:val="28"/>
                <w:szCs w:val="28"/>
                <w:highlight w:val="none"/>
                <w:lang w:val="en-US" w:eastAsia="zh-CN"/>
              </w:rPr>
              <w:t xml:space="preserve">5</w:t>
            </w:r>
            <w:r>
              <w:rPr>
                <w:rFonts w:hint="eastAsia" w:ascii="方正仿宋_GBK" w:hAnsi="方正仿宋_GBK" w:eastAsia="方正仿宋_GBK" w:cs="方正仿宋_GBK"/>
                <w:b/>
                <w:color w:val="000000"/>
                <w:sz w:val="28"/>
                <w:szCs w:val="28"/>
                <w:highlight w:val="none"/>
              </w:rPr>
              <w:t xml:space="preserve">分）</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6"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9" w:type="dxa"/>
            <w:vAlign w:val="center"/>
            <w:textDirection w:val="lrTb"/>
            <w:noWrap w:val="false"/>
          </w:tcPr>
          <w:p>
            <w:pPr>
              <w:keepLines w:val="0"/>
              <w:keepNext w:val="0"/>
              <w:pageBreakBefore w:val="0"/>
              <w:spacing w:line="380" w:lineRule="exact"/>
              <w:widowControl w:val="off"/>
              <w:rPr>
                <w:rFonts w:hint="eastAsia" w:ascii="方正仿宋_GBK" w:hAnsi="方正仿宋_GBK" w:eastAsia="方正仿宋_GBK" w:cs="方正仿宋_GBK"/>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2.1项目整体设想及重难点分析（5分）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000000"/>
                <w:sz w:val="28"/>
                <w:szCs w:val="28"/>
                <w:highlight w:val="none"/>
              </w:rPr>
              <w:t xml:space="preserve">评委根据投标文件对第四章“采购需求”中“</w:t>
            </w:r>
            <w:r>
              <w:rPr>
                <w:rFonts w:hint="eastAsia" w:ascii="方正仿宋_GBK" w:hAnsi="方正仿宋_GBK" w:eastAsia="方正仿宋_GBK" w:cs="方正仿宋_GBK"/>
                <w:color w:val="000000"/>
                <w:sz w:val="28"/>
                <w:szCs w:val="28"/>
                <w:highlight w:val="none"/>
              </w:rPr>
              <w:t xml:space="preserve">项目整体设想及重难点分析</w:t>
            </w:r>
            <w:r>
              <w:rPr>
                <w:rFonts w:ascii="方正仿宋_GBK" w:hAnsi="方正仿宋_GBK" w:eastAsia="方正仿宋_GBK" w:cs="方正仿宋_GBK"/>
                <w:color w:val="000000"/>
                <w:sz w:val="28"/>
                <w:szCs w:val="28"/>
                <w:highlight w:val="none"/>
              </w:rPr>
              <w:t xml:space="preserve">”响应情况进行评审</w:t>
            </w:r>
            <w:r>
              <w:rPr>
                <w:rFonts w:hint="eastAsia" w:ascii="方正仿宋_GBK" w:hAnsi="方正仿宋_GBK" w:eastAsia="方正仿宋_GBK" w:cs="方正仿宋_GBK"/>
                <w:color w:val="000000"/>
                <w:sz w:val="28"/>
                <w:szCs w:val="28"/>
                <w:highlight w:val="none"/>
                <w:lang w:eastAsia="zh-CN"/>
              </w:rPr>
              <w:t xml:space="preserve">：</w:t>
            </w:r>
            <w:r>
              <w:rPr>
                <w:highlight w:val="none"/>
              </w:rPr>
            </w:r>
          </w:p>
          <w:p>
            <w:pPr>
              <w:keepLines w:val="0"/>
              <w:keepNext w:val="0"/>
              <w:pageBreakBefore w:val="0"/>
              <w:spacing w:line="380" w:lineRule="exact"/>
              <w:widowControl w:val="off"/>
              <w:rPr>
                <w:rFonts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000000"/>
                <w:sz w:val="28"/>
                <w:szCs w:val="28"/>
                <w:highlight w:val="none"/>
              </w:rPr>
              <w:t xml:space="preserve">（1）经评委认定，投标文件对</w:t>
            </w:r>
            <w:r>
              <w:rPr>
                <w:rFonts w:hint="eastAsia" w:ascii="方正仿宋_GBK" w:hAnsi="方正仿宋_GBK" w:eastAsia="方正仿宋_GBK" w:cs="方正仿宋_GBK"/>
                <w:color w:val="000000"/>
                <w:sz w:val="28"/>
                <w:szCs w:val="28"/>
                <w:highlight w:val="none"/>
              </w:rPr>
              <w:t xml:space="preserve">整体分析和设想、重点和难点</w:t>
            </w:r>
            <w:r>
              <w:rPr>
                <w:rFonts w:ascii="方正仿宋_GBK" w:hAnsi="方正仿宋_GBK" w:eastAsia="方正仿宋_GBK" w:cs="方正仿宋_GBK"/>
                <w:color w:val="000000"/>
                <w:sz w:val="28"/>
                <w:szCs w:val="28"/>
                <w:highlight w:val="none"/>
              </w:rPr>
              <w:t xml:space="preserve">三项要求的响应内容全部优于招标文件要求的本项得5分。</w:t>
            </w:r>
            <w:r>
              <w:rPr>
                <w:highlight w:val="none"/>
              </w:rPr>
            </w:r>
          </w:p>
          <w:p>
            <w:pPr>
              <w:keepLines w:val="0"/>
              <w:keepNext w:val="0"/>
              <w:pageBreakBefore w:val="0"/>
              <w:spacing w:line="380" w:lineRule="exact"/>
              <w:widowControl w:val="off"/>
              <w:rPr>
                <w:rFonts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000000"/>
                <w:sz w:val="28"/>
                <w:szCs w:val="28"/>
                <w:highlight w:val="none"/>
              </w:rPr>
              <w:t xml:space="preserve">（2）投标文件符合“设计方案”中全部条款要求的，视为符合招标文件，本项得3分。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000000"/>
                <w:sz w:val="28"/>
                <w:szCs w:val="28"/>
                <w:highlight w:val="none"/>
              </w:rPr>
              <w:t xml:space="preserve">（3）投标文件未符合“设计方案”中全部条款要求的，视为不符合招标文件，本项得0分。</w:t>
            </w:r>
            <w:r>
              <w:rPr>
                <w:highlight w:val="none"/>
              </w:rPr>
            </w:r>
          </w:p>
        </w:tc>
      </w:tr>
      <w:tr>
        <w:trPr>
          <w:trHeight w:val="425"/>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6"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9" w:type="dxa"/>
            <w:vAlign w:val="center"/>
            <w:textDirection w:val="lrTb"/>
            <w:noWrap w:val="false"/>
          </w:tcPr>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2.2组织架构及人员管理方案（5分）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000000"/>
                <w:sz w:val="28"/>
                <w:szCs w:val="28"/>
                <w:highlight w:val="none"/>
              </w:rPr>
              <w:t xml:space="preserve">评委根据投标文件对第四章“采购需求”中“</w:t>
            </w:r>
            <w:r>
              <w:rPr>
                <w:rFonts w:hint="eastAsia" w:ascii="方正仿宋_GBK" w:hAnsi="方正仿宋_GBK" w:eastAsia="方正仿宋_GBK" w:cs="方正仿宋_GBK"/>
                <w:color w:val="000000"/>
                <w:sz w:val="28"/>
                <w:szCs w:val="28"/>
                <w:highlight w:val="none"/>
              </w:rPr>
              <w:t xml:space="preserve">组织架构及人员管理方案</w:t>
            </w:r>
            <w:r>
              <w:rPr>
                <w:rFonts w:ascii="方正仿宋_GBK" w:hAnsi="方正仿宋_GBK" w:eastAsia="方正仿宋_GBK" w:cs="方正仿宋_GBK"/>
                <w:color w:val="000000"/>
                <w:sz w:val="28"/>
                <w:szCs w:val="28"/>
                <w:highlight w:val="none"/>
              </w:rPr>
              <w:t xml:space="preserve">”响应情况进行评审</w:t>
            </w:r>
            <w:r>
              <w:rPr>
                <w:rFonts w:hint="eastAsia" w:ascii="方正仿宋_GBK" w:hAnsi="方正仿宋_GBK" w:eastAsia="方正仿宋_GBK" w:cs="方正仿宋_GBK"/>
                <w:color w:val="000000"/>
                <w:sz w:val="28"/>
                <w:szCs w:val="28"/>
                <w:highlight w:val="none"/>
                <w:lang w:eastAsia="zh-CN"/>
              </w:rPr>
              <w:t xml:space="preserve">：</w:t>
            </w:r>
            <w:r>
              <w:rPr>
                <w:highlight w:val="none"/>
              </w:rPr>
            </w:r>
          </w:p>
          <w:p>
            <w:pPr>
              <w:keepLines w:val="0"/>
              <w:keepNext w:val="0"/>
              <w:pageBreakBefore w:val="0"/>
              <w:spacing w:line="380" w:lineRule="exact"/>
              <w:widowControl w:val="off"/>
              <w:rPr>
                <w:rFonts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000000"/>
                <w:sz w:val="28"/>
                <w:szCs w:val="28"/>
                <w:highlight w:val="none"/>
              </w:rPr>
              <w:t xml:space="preserve">（1）经评委认定，投标文件对</w:t>
            </w:r>
            <w:r>
              <w:rPr>
                <w:rFonts w:hint="eastAsia" w:ascii="方正仿宋_GBK" w:hAnsi="方正仿宋_GBK" w:eastAsia="方正仿宋_GBK" w:cs="方正仿宋_GBK"/>
                <w:color w:val="000000"/>
                <w:sz w:val="28"/>
                <w:szCs w:val="28"/>
                <w:highlight w:val="none"/>
              </w:rPr>
              <w:t xml:space="preserve">用工方案、培训计划和奖惩制度</w:t>
            </w:r>
            <w:r>
              <w:rPr>
                <w:rFonts w:ascii="方正仿宋_GBK" w:hAnsi="方正仿宋_GBK" w:eastAsia="方正仿宋_GBK" w:cs="方正仿宋_GBK"/>
                <w:color w:val="000000"/>
                <w:sz w:val="28"/>
                <w:szCs w:val="28"/>
                <w:highlight w:val="none"/>
              </w:rPr>
              <w:t xml:space="preserve">三项要求的响应内容全部优于招标文件要求的本项得5分。</w:t>
            </w:r>
            <w:r>
              <w:rPr>
                <w:highlight w:val="none"/>
              </w:rPr>
            </w:r>
          </w:p>
          <w:p>
            <w:pPr>
              <w:keepLines w:val="0"/>
              <w:keepNext w:val="0"/>
              <w:pageBreakBefore w:val="0"/>
              <w:spacing w:line="380" w:lineRule="exact"/>
              <w:widowControl w:val="off"/>
              <w:rPr>
                <w:rFonts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000000"/>
                <w:sz w:val="28"/>
                <w:szCs w:val="28"/>
                <w:highlight w:val="none"/>
              </w:rPr>
              <w:t xml:space="preserve">（2）投标文件符合“设计方案”中全部条款要求的，视为符合招标文件，本项得3分。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000000"/>
                <w:sz w:val="28"/>
                <w:szCs w:val="28"/>
                <w:highlight w:val="none"/>
              </w:rPr>
              <w:t xml:space="preserve">（3）投标文件未符合“设计方案”中全部条款要求的，视为不符合招标文件，本项得0分。</w:t>
            </w:r>
            <w:r>
              <w:rPr>
                <w:highlight w:val="none"/>
              </w:rPr>
            </w:r>
          </w:p>
        </w:tc>
      </w:tr>
      <w:tr>
        <w:trPr>
          <w:trHeight w:val="367"/>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6"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9" w:type="dxa"/>
            <w:vAlign w:val="center"/>
            <w:textDirection w:val="lrTb"/>
            <w:noWrap w:val="false"/>
          </w:tcPr>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2.3物资装备方案（5分）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000000"/>
                <w:sz w:val="28"/>
                <w:szCs w:val="28"/>
                <w:highlight w:val="none"/>
              </w:rPr>
              <w:t xml:space="preserve">评委根据投标文件对第四章“采购需求”中“</w:t>
            </w:r>
            <w:r>
              <w:rPr>
                <w:rFonts w:hint="eastAsia" w:ascii="方正仿宋_GBK" w:hAnsi="方正仿宋_GBK" w:eastAsia="方正仿宋_GBK" w:cs="方正仿宋_GBK"/>
                <w:color w:val="000000"/>
                <w:sz w:val="28"/>
                <w:szCs w:val="28"/>
                <w:highlight w:val="none"/>
              </w:rPr>
              <w:t xml:space="preserve">物资装备方案</w:t>
            </w:r>
            <w:r>
              <w:rPr>
                <w:rFonts w:ascii="方正仿宋_GBK" w:hAnsi="方正仿宋_GBK" w:eastAsia="方正仿宋_GBK" w:cs="方正仿宋_GBK"/>
                <w:color w:val="000000"/>
                <w:sz w:val="28"/>
                <w:szCs w:val="28"/>
                <w:highlight w:val="none"/>
              </w:rPr>
              <w:t xml:space="preserve">”响应情况进行评审</w:t>
            </w:r>
            <w:r>
              <w:rPr>
                <w:rFonts w:hint="eastAsia" w:ascii="方正仿宋_GBK" w:hAnsi="方正仿宋_GBK" w:eastAsia="方正仿宋_GBK" w:cs="方正仿宋_GBK"/>
                <w:color w:val="000000"/>
                <w:sz w:val="28"/>
                <w:szCs w:val="28"/>
                <w:highlight w:val="none"/>
                <w:lang w:eastAsia="zh-CN"/>
              </w:rPr>
              <w:t xml:space="preserve">：</w:t>
            </w:r>
            <w:r>
              <w:rPr>
                <w:highlight w:val="none"/>
              </w:rPr>
            </w:r>
          </w:p>
          <w:p>
            <w:pPr>
              <w:keepLines w:val="0"/>
              <w:keepNext w:val="0"/>
              <w:pageBreakBefore w:val="0"/>
              <w:spacing w:line="380" w:lineRule="exact"/>
              <w:widowControl w:val="off"/>
              <w:rPr>
                <w:rFonts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000000"/>
                <w:sz w:val="28"/>
                <w:szCs w:val="28"/>
                <w:highlight w:val="none"/>
              </w:rPr>
              <w:t xml:space="preserve">（1）经评委认定，投标文件对</w:t>
            </w:r>
            <w:r>
              <w:rPr>
                <w:rFonts w:hint="eastAsia" w:ascii="方正仿宋_GBK" w:hAnsi="方正仿宋_GBK" w:eastAsia="方正仿宋_GBK" w:cs="方正仿宋_GBK"/>
                <w:color w:val="000000"/>
                <w:sz w:val="28"/>
                <w:szCs w:val="28"/>
                <w:highlight w:val="none"/>
              </w:rPr>
              <w:t xml:space="preserve">现场勘察情况、设备和机械投入情况</w:t>
            </w:r>
            <w:r>
              <w:rPr>
                <w:rFonts w:ascii="方正仿宋_GBK" w:hAnsi="方正仿宋_GBK" w:eastAsia="方正仿宋_GBK" w:cs="方正仿宋_GBK"/>
                <w:color w:val="000000"/>
                <w:sz w:val="28"/>
                <w:szCs w:val="28"/>
                <w:highlight w:val="none"/>
              </w:rPr>
              <w:t xml:space="preserve">三项要求的响应内容全部优于招标文件要求的本项得5分。</w:t>
            </w:r>
            <w:r>
              <w:rPr>
                <w:highlight w:val="none"/>
              </w:rPr>
            </w:r>
          </w:p>
          <w:p>
            <w:pPr>
              <w:keepLines w:val="0"/>
              <w:keepNext w:val="0"/>
              <w:pageBreakBefore w:val="0"/>
              <w:spacing w:line="380" w:lineRule="exact"/>
              <w:widowControl w:val="off"/>
              <w:rPr>
                <w:rFonts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000000"/>
                <w:sz w:val="28"/>
                <w:szCs w:val="28"/>
                <w:highlight w:val="none"/>
              </w:rPr>
              <w:t xml:space="preserve">（2）投标文件符合“设计方案”中全部条款要求的，视为符合招标文件，本项得3分。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000000"/>
                <w:sz w:val="28"/>
                <w:szCs w:val="28"/>
                <w:highlight w:val="none"/>
              </w:rPr>
              <w:t xml:space="preserve">（3）投标文件未符合“设计方案”中全部条款要求的，视为不符合招标文件，本项得0分</w:t>
            </w:r>
            <w:r>
              <w:rPr>
                <w:highlight w:val="none"/>
              </w:rPr>
            </w:r>
          </w:p>
        </w:tc>
      </w:tr>
      <w:tr>
        <w:trPr>
          <w:trHeight w:val="1294"/>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6"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lang w:val="en-US" w:eastAsia="zh-CN"/>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9" w:type="dxa"/>
            <w:vAlign w:val="center"/>
            <w:textDirection w:val="lrTb"/>
            <w:noWrap w:val="false"/>
          </w:tcPr>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2.4物业服务开始及合同到期时的交接方案（</w:t>
            </w:r>
            <w:r>
              <w:rPr>
                <w:rFonts w:hint="eastAsia" w:ascii="方正仿宋_GBK" w:hAnsi="方正仿宋_GBK" w:eastAsia="方正仿宋_GBK" w:cs="方正仿宋_GBK"/>
                <w:b/>
                <w:color w:val="000000"/>
                <w:sz w:val="28"/>
                <w:szCs w:val="28"/>
                <w:highlight w:val="none"/>
                <w:lang w:val="en-US" w:eastAsia="zh-CN"/>
              </w:rPr>
              <w:t xml:space="preserve">5</w:t>
            </w:r>
            <w:r>
              <w:rPr>
                <w:rFonts w:hint="eastAsia" w:ascii="方正仿宋_GBK" w:hAnsi="方正仿宋_GBK" w:eastAsia="方正仿宋_GBK" w:cs="方正仿宋_GBK"/>
                <w:b/>
                <w:color w:val="000000"/>
                <w:sz w:val="28"/>
                <w:szCs w:val="28"/>
                <w:highlight w:val="none"/>
              </w:rPr>
              <w:t xml:space="preserve">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000000"/>
                <w:sz w:val="28"/>
                <w:szCs w:val="28"/>
                <w:highlight w:val="none"/>
              </w:rPr>
              <w:t xml:space="preserve">评委根据投标文件对第四章“采购需求”中“</w:t>
            </w:r>
            <w:r>
              <w:rPr>
                <w:rFonts w:hint="eastAsia" w:ascii="方正仿宋_GBK" w:hAnsi="方正仿宋_GBK" w:eastAsia="方正仿宋_GBK" w:cs="方正仿宋_GBK"/>
                <w:color w:val="000000"/>
                <w:sz w:val="28"/>
                <w:szCs w:val="28"/>
                <w:highlight w:val="none"/>
              </w:rPr>
              <w:t xml:space="preserve">物业开始及交接方案</w:t>
            </w:r>
            <w:r>
              <w:rPr>
                <w:rFonts w:ascii="方正仿宋_GBK" w:hAnsi="方正仿宋_GBK" w:eastAsia="方正仿宋_GBK" w:cs="方正仿宋_GBK"/>
                <w:color w:val="000000"/>
                <w:sz w:val="28"/>
                <w:szCs w:val="28"/>
                <w:highlight w:val="none"/>
              </w:rPr>
              <w:t xml:space="preserve">”响应情况进行评审</w:t>
            </w:r>
            <w:r>
              <w:rPr>
                <w:rFonts w:hint="eastAsia" w:ascii="方正仿宋_GBK" w:hAnsi="方正仿宋_GBK" w:eastAsia="方正仿宋_GBK" w:cs="方正仿宋_GBK"/>
                <w:color w:val="000000"/>
                <w:sz w:val="28"/>
                <w:szCs w:val="28"/>
                <w:highlight w:val="none"/>
                <w:lang w:eastAsia="zh-CN"/>
              </w:rPr>
              <w:t xml:space="preserve">：</w:t>
            </w:r>
            <w:r>
              <w:rPr>
                <w:highlight w:val="none"/>
              </w:rPr>
            </w:r>
          </w:p>
          <w:p>
            <w:pPr>
              <w:keepLines w:val="0"/>
              <w:keepNext w:val="0"/>
              <w:pageBreakBefore w:val="0"/>
              <w:spacing w:line="380" w:lineRule="exact"/>
              <w:widowControl w:val="off"/>
              <w:rPr>
                <w:rFonts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000000"/>
                <w:sz w:val="28"/>
                <w:szCs w:val="28"/>
                <w:highlight w:val="none"/>
              </w:rPr>
              <w:t xml:space="preserve">（1）经评委认定，投标文件对</w:t>
            </w:r>
            <w:r>
              <w:rPr>
                <w:rFonts w:hint="eastAsia" w:ascii="方正仿宋_GBK" w:hAnsi="方正仿宋_GBK" w:eastAsia="方正仿宋_GBK" w:cs="方正仿宋_GBK"/>
                <w:color w:val="000000"/>
                <w:sz w:val="28"/>
                <w:szCs w:val="28"/>
                <w:highlight w:val="none"/>
              </w:rPr>
              <w:t xml:space="preserve">开始接收、到期退场二</w:t>
            </w:r>
            <w:r>
              <w:rPr>
                <w:rFonts w:ascii="方正仿宋_GBK" w:hAnsi="方正仿宋_GBK" w:eastAsia="方正仿宋_GBK" w:cs="方正仿宋_GBK"/>
                <w:color w:val="000000"/>
                <w:sz w:val="28"/>
                <w:szCs w:val="28"/>
                <w:highlight w:val="none"/>
              </w:rPr>
              <w:t xml:space="preserve">项要求的响应内容全部优于招标文件要求的本项得</w:t>
            </w:r>
            <w:r>
              <w:rPr>
                <w:rFonts w:hint="eastAsia" w:ascii="方正仿宋_GBK" w:hAnsi="方正仿宋_GBK" w:eastAsia="方正仿宋_GBK" w:cs="方正仿宋_GBK"/>
                <w:color w:val="000000"/>
                <w:sz w:val="28"/>
                <w:szCs w:val="28"/>
                <w:highlight w:val="none"/>
                <w:lang w:val="en-US" w:eastAsia="zh-CN"/>
              </w:rPr>
              <w:t xml:space="preserve">5</w:t>
            </w:r>
            <w:r>
              <w:rPr>
                <w:rFonts w:ascii="方正仿宋_GBK" w:hAnsi="方正仿宋_GBK" w:eastAsia="方正仿宋_GBK" w:cs="方正仿宋_GBK"/>
                <w:color w:val="000000"/>
                <w:sz w:val="28"/>
                <w:szCs w:val="28"/>
                <w:highlight w:val="none"/>
              </w:rPr>
              <w:t xml:space="preserve">分。</w:t>
            </w:r>
            <w:r>
              <w:rPr>
                <w:highlight w:val="none"/>
              </w:rPr>
            </w:r>
          </w:p>
          <w:p>
            <w:pPr>
              <w:keepLines w:val="0"/>
              <w:keepNext w:val="0"/>
              <w:pageBreakBefore w:val="0"/>
              <w:spacing w:line="380" w:lineRule="exact"/>
              <w:widowControl w:val="off"/>
              <w:rPr>
                <w:rFonts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000000"/>
                <w:sz w:val="28"/>
                <w:szCs w:val="28"/>
                <w:highlight w:val="none"/>
              </w:rPr>
              <w:t xml:space="preserve">（2）投标文件符合“设计方案”中全部条款要求的，视为符合招标文件，本项得</w:t>
            </w:r>
            <w:r>
              <w:rPr>
                <w:rFonts w:hint="eastAsia" w:ascii="方正仿宋_GBK" w:hAnsi="方正仿宋_GBK" w:eastAsia="方正仿宋_GBK" w:cs="方正仿宋_GBK"/>
                <w:color w:val="000000"/>
                <w:sz w:val="28"/>
                <w:szCs w:val="28"/>
                <w:highlight w:val="none"/>
                <w:lang w:val="en-US" w:eastAsia="zh-CN"/>
              </w:rPr>
              <w:t xml:space="preserve">3</w:t>
            </w:r>
            <w:r>
              <w:rPr>
                <w:rFonts w:ascii="方正仿宋_GBK" w:hAnsi="方正仿宋_GBK" w:eastAsia="方正仿宋_GBK" w:cs="方正仿宋_GBK"/>
                <w:color w:val="000000"/>
                <w:sz w:val="28"/>
                <w:szCs w:val="28"/>
                <w:highlight w:val="none"/>
              </w:rPr>
              <w:t xml:space="preserve">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000000"/>
                <w:sz w:val="28"/>
                <w:szCs w:val="28"/>
                <w:highlight w:val="none"/>
              </w:rPr>
              <w:t xml:space="preserve">（3）投标文件未符合“设计方案”中全部条款要求的，视为不符合招标文件，本项得</w:t>
            </w:r>
            <w:r>
              <w:rPr>
                <w:rFonts w:hint="eastAsia" w:ascii="方正仿宋_GBK" w:hAnsi="方正仿宋_GBK" w:eastAsia="方正仿宋_GBK" w:cs="方正仿宋_GBK"/>
                <w:color w:val="000000"/>
                <w:sz w:val="28"/>
                <w:szCs w:val="28"/>
                <w:highlight w:val="none"/>
                <w:lang w:val="en-US" w:eastAsia="zh-CN"/>
              </w:rPr>
              <w:t xml:space="preserve">0</w:t>
            </w:r>
            <w:r>
              <w:rPr>
                <w:rFonts w:ascii="方正仿宋_GBK" w:hAnsi="方正仿宋_GBK" w:eastAsia="方正仿宋_GBK" w:cs="方正仿宋_GBK"/>
                <w:color w:val="000000"/>
                <w:sz w:val="28"/>
                <w:szCs w:val="28"/>
                <w:highlight w:val="none"/>
              </w:rPr>
              <w:t xml:space="preserve">分。</w:t>
            </w:r>
            <w:r>
              <w:rPr>
                <w:highlight w:val="none"/>
              </w:rPr>
            </w:r>
          </w:p>
        </w:tc>
      </w:tr>
      <w:tr>
        <w:trPr>
          <w:trHeight w:val="1336"/>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6"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9" w:type="dxa"/>
            <w:vAlign w:val="center"/>
            <w:textDirection w:val="lrTb"/>
            <w:noWrap w:val="false"/>
          </w:tcPr>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2.5日常保洁及垃圾外运工作服务方案（5分）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000000"/>
                <w:sz w:val="28"/>
                <w:szCs w:val="28"/>
                <w:highlight w:val="none"/>
              </w:rPr>
              <w:t xml:space="preserve">评委根据投标文件对第四章“采购需求”中“</w:t>
            </w:r>
            <w:r>
              <w:rPr>
                <w:rFonts w:hint="eastAsia" w:ascii="方正仿宋_GBK" w:hAnsi="方正仿宋_GBK" w:eastAsia="方正仿宋_GBK" w:cs="方正仿宋_GBK"/>
                <w:color w:val="000000"/>
                <w:sz w:val="28"/>
                <w:szCs w:val="28"/>
                <w:highlight w:val="none"/>
              </w:rPr>
              <w:t xml:space="preserve">日常保洁工作服务方案</w:t>
            </w:r>
            <w:r>
              <w:rPr>
                <w:rFonts w:ascii="方正仿宋_GBK" w:hAnsi="方正仿宋_GBK" w:eastAsia="方正仿宋_GBK" w:cs="方正仿宋_GBK"/>
                <w:color w:val="000000"/>
                <w:sz w:val="28"/>
                <w:szCs w:val="28"/>
                <w:highlight w:val="none"/>
              </w:rPr>
              <w:t xml:space="preserve">”响应情况进行评审</w:t>
            </w:r>
            <w:r>
              <w:rPr>
                <w:rFonts w:hint="eastAsia" w:ascii="方正仿宋_GBK" w:hAnsi="方正仿宋_GBK" w:eastAsia="方正仿宋_GBK" w:cs="方正仿宋_GBK"/>
                <w:color w:val="000000"/>
                <w:sz w:val="28"/>
                <w:szCs w:val="28"/>
                <w:highlight w:val="none"/>
                <w:lang w:eastAsia="zh-CN"/>
              </w:rPr>
              <w:t xml:space="preserve">：</w:t>
            </w:r>
            <w:r>
              <w:rPr>
                <w:highlight w:val="none"/>
              </w:rPr>
            </w:r>
          </w:p>
          <w:p>
            <w:pPr>
              <w:keepLines w:val="0"/>
              <w:keepNext w:val="0"/>
              <w:pageBreakBefore w:val="0"/>
              <w:spacing w:line="380" w:lineRule="exact"/>
              <w:widowControl w:val="off"/>
              <w:rPr>
                <w:rFonts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000000"/>
                <w:sz w:val="28"/>
                <w:szCs w:val="28"/>
                <w:highlight w:val="none"/>
              </w:rPr>
              <w:t xml:space="preserve">（1）经评委认定，投标文件对</w:t>
            </w:r>
            <w:r>
              <w:rPr>
                <w:rFonts w:hint="eastAsia" w:ascii="方正仿宋_GBK" w:hAnsi="方正仿宋_GBK" w:eastAsia="方正仿宋_GBK" w:cs="方正仿宋_GBK"/>
                <w:color w:val="000000"/>
                <w:sz w:val="28"/>
                <w:szCs w:val="28"/>
                <w:highlight w:val="none"/>
              </w:rPr>
              <w:t xml:space="preserve">日常保洁、垃圾分类和四害消杀</w:t>
            </w:r>
            <w:r>
              <w:rPr>
                <w:rFonts w:ascii="方正仿宋_GBK" w:hAnsi="方正仿宋_GBK" w:eastAsia="方正仿宋_GBK" w:cs="方正仿宋_GBK"/>
                <w:color w:val="000000"/>
                <w:sz w:val="28"/>
                <w:szCs w:val="28"/>
                <w:highlight w:val="none"/>
              </w:rPr>
              <w:t xml:space="preserve">三项要求的响应内容全部优于招标文件要求的本项得5分。</w:t>
            </w:r>
            <w:r>
              <w:rPr>
                <w:highlight w:val="none"/>
              </w:rPr>
            </w:r>
          </w:p>
          <w:p>
            <w:pPr>
              <w:keepLines w:val="0"/>
              <w:keepNext w:val="0"/>
              <w:pageBreakBefore w:val="0"/>
              <w:spacing w:line="380" w:lineRule="exact"/>
              <w:widowControl w:val="off"/>
              <w:rPr>
                <w:rFonts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000000"/>
                <w:sz w:val="28"/>
                <w:szCs w:val="28"/>
                <w:highlight w:val="none"/>
              </w:rPr>
              <w:t xml:space="preserve">（2）投标文件符合“设计方案”中全部条款要求的，视为符合招标文件，本项得3分。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000000"/>
                <w:sz w:val="28"/>
                <w:szCs w:val="28"/>
                <w:highlight w:val="none"/>
              </w:rPr>
              <w:t xml:space="preserve">（3）投标文件未符合“设计方案”中全部条款要求的，视为不符合招标文件，本项得0分。</w:t>
            </w:r>
            <w:r>
              <w:rPr>
                <w:highlight w:val="none"/>
              </w:rPr>
            </w:r>
          </w:p>
        </w:tc>
      </w:tr>
      <w:tr>
        <w:trPr>
          <w:trHeight w:val="1015"/>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6"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9" w:type="dxa"/>
            <w:vAlign w:val="center"/>
            <w:textDirection w:val="lrTb"/>
            <w:noWrap w:val="false"/>
          </w:tcPr>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2.6绿化养护方案（5分）</w:t>
            </w:r>
            <w:r>
              <w:rPr>
                <w:highlight w:val="none"/>
              </w:rPr>
            </w:r>
          </w:p>
          <w:p>
            <w:pPr>
              <w:keepLines w:val="0"/>
              <w:keepNext w:val="0"/>
              <w:pageBreakBefore w:val="0"/>
              <w:spacing w:line="380" w:lineRule="exact"/>
              <w:widowControl w:val="off"/>
              <w:rPr>
                <w:rFonts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投标人根据招标文件中绿化养护服务的相关要求制定符合学院特点的、特色举措等方案（弘毅楼门前桂花的专项养护方案</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rPr>
              <w:t xml:space="preserve">评委根据投标文件对第四章“采购需求”中“</w:t>
            </w:r>
            <w:r>
              <w:rPr>
                <w:rFonts w:hint="eastAsia" w:ascii="方正仿宋_GBK" w:hAnsi="方正仿宋_GBK" w:eastAsia="方正仿宋_GBK" w:cs="方正仿宋_GBK"/>
                <w:color w:val="000000"/>
                <w:sz w:val="28"/>
                <w:szCs w:val="28"/>
                <w:highlight w:val="none"/>
              </w:rPr>
              <w:t xml:space="preserve">绿化养护方案</w:t>
            </w:r>
            <w:r>
              <w:rPr>
                <w:rFonts w:ascii="方正仿宋_GBK" w:hAnsi="方正仿宋_GBK" w:eastAsia="方正仿宋_GBK" w:cs="方正仿宋_GBK"/>
                <w:color w:val="000000"/>
                <w:sz w:val="28"/>
                <w:szCs w:val="28"/>
                <w:highlight w:val="none"/>
              </w:rPr>
              <w:t xml:space="preserve">”响应情况进行评审</w:t>
            </w:r>
            <w:r>
              <w:rPr>
                <w:rFonts w:hint="eastAsia" w:ascii="方正仿宋_GBK" w:hAnsi="方正仿宋_GBK" w:eastAsia="方正仿宋_GBK" w:cs="方正仿宋_GBK"/>
                <w:color w:val="000000"/>
                <w:sz w:val="28"/>
                <w:szCs w:val="28"/>
                <w:highlight w:val="none"/>
                <w:lang w:eastAsia="zh-CN"/>
              </w:rPr>
              <w:t xml:space="preserve">：</w:t>
            </w:r>
            <w:r>
              <w:rPr>
                <w:rFonts w:ascii="方正仿宋_GBK" w:hAnsi="方正仿宋_GBK" w:eastAsia="方正仿宋_GBK" w:cs="方正仿宋_GBK"/>
                <w:color w:val="000000"/>
                <w:sz w:val="28"/>
                <w:szCs w:val="28"/>
                <w:highlight w:val="none"/>
              </w:rPr>
              <w:t xml:space="preserve">（1）经评委认定，投标文件对</w:t>
            </w:r>
            <w:r>
              <w:rPr>
                <w:rFonts w:hint="eastAsia" w:ascii="方正仿宋_GBK" w:hAnsi="方正仿宋_GBK" w:eastAsia="方正仿宋_GBK" w:cs="方正仿宋_GBK"/>
                <w:color w:val="000000"/>
                <w:sz w:val="28"/>
                <w:szCs w:val="28"/>
                <w:highlight w:val="none"/>
              </w:rPr>
              <w:t xml:space="preserve">日常养护、特色举措</w:t>
            </w:r>
            <w:r>
              <w:rPr>
                <w:rFonts w:ascii="方正仿宋_GBK" w:hAnsi="方正仿宋_GBK" w:eastAsia="方正仿宋_GBK" w:cs="方正仿宋_GBK"/>
                <w:color w:val="000000"/>
                <w:sz w:val="28"/>
                <w:szCs w:val="28"/>
                <w:highlight w:val="none"/>
              </w:rPr>
              <w:t xml:space="preserve">要求的响应内容全部优于招标文件要求的本项得5分。（2）投标文件符合“设计方案”中全部条款要求的，视为符合招标文件，本项得3分。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000000"/>
                <w:sz w:val="28"/>
                <w:szCs w:val="28"/>
                <w:highlight w:val="none"/>
              </w:rPr>
              <w:t xml:space="preserve">（3）投标文件未符合“设计方案”中全部条款要求的，视为不符合招标文件，本项得0分。</w:t>
            </w:r>
            <w:r>
              <w:rPr>
                <w:highlight w:val="none"/>
              </w:rPr>
            </w:r>
          </w:p>
        </w:tc>
      </w:tr>
      <w:tr>
        <w:trPr>
          <w:trHeight w:val="1438"/>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6"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9" w:type="dxa"/>
            <w:vAlign w:val="center"/>
            <w:textDirection w:val="lrTb"/>
            <w:noWrap w:val="false"/>
          </w:tcPr>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2.7重要活动保障服务方案（5分）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000000"/>
                <w:sz w:val="28"/>
                <w:szCs w:val="28"/>
                <w:highlight w:val="none"/>
              </w:rPr>
              <w:t xml:space="preserve">评委根据投标文件对第四章“采购需求”中“</w:t>
            </w:r>
            <w:r>
              <w:rPr>
                <w:rFonts w:hint="eastAsia" w:ascii="方正仿宋_GBK" w:hAnsi="方正仿宋_GBK" w:eastAsia="方正仿宋_GBK" w:cs="方正仿宋_GBK"/>
                <w:color w:val="000000"/>
                <w:sz w:val="28"/>
                <w:szCs w:val="28"/>
                <w:highlight w:val="none"/>
              </w:rPr>
              <w:t xml:space="preserve">重要活动保障方案</w:t>
            </w:r>
            <w:r>
              <w:rPr>
                <w:rFonts w:ascii="方正仿宋_GBK" w:hAnsi="方正仿宋_GBK" w:eastAsia="方正仿宋_GBK" w:cs="方正仿宋_GBK"/>
                <w:color w:val="000000"/>
                <w:sz w:val="28"/>
                <w:szCs w:val="28"/>
                <w:highlight w:val="none"/>
              </w:rPr>
              <w:t xml:space="preserve">”响应情况进行评审</w:t>
            </w:r>
            <w:r>
              <w:rPr>
                <w:rFonts w:hint="eastAsia" w:ascii="方正仿宋_GBK" w:hAnsi="方正仿宋_GBK" w:eastAsia="方正仿宋_GBK" w:cs="方正仿宋_GBK"/>
                <w:color w:val="000000"/>
                <w:sz w:val="28"/>
                <w:szCs w:val="28"/>
                <w:highlight w:val="none"/>
                <w:lang w:eastAsia="zh-CN"/>
              </w:rPr>
              <w:t xml:space="preserve">：</w:t>
            </w:r>
            <w:r>
              <w:rPr>
                <w:highlight w:val="none"/>
              </w:rPr>
            </w:r>
          </w:p>
          <w:p>
            <w:pPr>
              <w:keepLines w:val="0"/>
              <w:keepNext w:val="0"/>
              <w:pageBreakBefore w:val="0"/>
              <w:spacing w:line="380" w:lineRule="exact"/>
              <w:widowControl w:val="off"/>
              <w:rPr>
                <w:rFonts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000000"/>
                <w:sz w:val="28"/>
                <w:szCs w:val="28"/>
                <w:highlight w:val="none"/>
              </w:rPr>
              <w:t xml:space="preserve">（1）经评委认定，投标文件对</w:t>
            </w:r>
            <w:r>
              <w:rPr>
                <w:rFonts w:hint="eastAsia" w:ascii="方正仿宋_GBK" w:hAnsi="方正仿宋_GBK" w:eastAsia="方正仿宋_GBK" w:cs="方正仿宋_GBK"/>
                <w:color w:val="000000"/>
                <w:sz w:val="28"/>
                <w:szCs w:val="28"/>
                <w:highlight w:val="none"/>
              </w:rPr>
              <w:t xml:space="preserve">重要会议及活动</w:t>
            </w:r>
            <w:r>
              <w:rPr>
                <w:rFonts w:ascii="方正仿宋_GBK" w:hAnsi="方正仿宋_GBK" w:eastAsia="方正仿宋_GBK" w:cs="方正仿宋_GBK"/>
                <w:color w:val="000000"/>
                <w:sz w:val="28"/>
                <w:szCs w:val="28"/>
                <w:highlight w:val="none"/>
              </w:rPr>
              <w:t xml:space="preserve">要求的响应内容全部优于招标文件要求的本项得5分。</w:t>
            </w:r>
            <w:r>
              <w:rPr>
                <w:highlight w:val="none"/>
              </w:rPr>
            </w:r>
          </w:p>
          <w:p>
            <w:pPr>
              <w:keepLines w:val="0"/>
              <w:keepNext w:val="0"/>
              <w:pageBreakBefore w:val="0"/>
              <w:spacing w:line="380" w:lineRule="exact"/>
              <w:widowControl w:val="off"/>
              <w:rPr>
                <w:rFonts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000000"/>
                <w:sz w:val="28"/>
                <w:szCs w:val="28"/>
                <w:highlight w:val="none"/>
              </w:rPr>
              <w:t xml:space="preserve">（2）投标文件符合“设计方案”中全部条款要求的，视为符合招标文件，本项得3分。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000000"/>
                <w:sz w:val="28"/>
                <w:szCs w:val="28"/>
                <w:highlight w:val="none"/>
              </w:rPr>
              <w:t xml:space="preserve">（3）投标文件未符合“设计方案”中全部条款要求的，视为不符合招标文件，本项得0分。</w:t>
            </w:r>
            <w:r>
              <w:rPr>
                <w:highlight w:val="none"/>
              </w:rPr>
            </w:r>
          </w:p>
        </w:tc>
      </w:tr>
      <w:tr>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6"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9" w:type="dxa"/>
            <w:vAlign w:val="center"/>
            <w:textDirection w:val="lrTb"/>
            <w:noWrap w:val="false"/>
          </w:tcPr>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2.8应急事件处置方案（5分）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000000"/>
                <w:sz w:val="28"/>
                <w:szCs w:val="28"/>
                <w:highlight w:val="none"/>
              </w:rPr>
              <w:t xml:space="preserve">评委根据投标文件对第四章“采购需求”中“</w:t>
            </w:r>
            <w:r>
              <w:rPr>
                <w:rFonts w:hint="eastAsia" w:ascii="方正仿宋_GBK" w:hAnsi="方正仿宋_GBK" w:eastAsia="方正仿宋_GBK" w:cs="方正仿宋_GBK"/>
                <w:color w:val="000000"/>
                <w:sz w:val="28"/>
                <w:szCs w:val="28"/>
                <w:highlight w:val="none"/>
              </w:rPr>
              <w:t xml:space="preserve">应急事件处置方案</w:t>
            </w:r>
            <w:r>
              <w:rPr>
                <w:rFonts w:ascii="方正仿宋_GBK" w:hAnsi="方正仿宋_GBK" w:eastAsia="方正仿宋_GBK" w:cs="方正仿宋_GBK"/>
                <w:color w:val="000000"/>
                <w:sz w:val="28"/>
                <w:szCs w:val="28"/>
                <w:highlight w:val="none"/>
              </w:rPr>
              <w:t xml:space="preserve">”响应情况进行评审</w:t>
            </w:r>
            <w:r>
              <w:rPr>
                <w:rFonts w:hint="eastAsia" w:ascii="方正仿宋_GBK" w:hAnsi="方正仿宋_GBK" w:eastAsia="方正仿宋_GBK" w:cs="方正仿宋_GBK"/>
                <w:color w:val="000000"/>
                <w:sz w:val="28"/>
                <w:szCs w:val="28"/>
                <w:highlight w:val="none"/>
                <w:lang w:eastAsia="zh-CN"/>
              </w:rPr>
              <w:t xml:space="preserve">：</w:t>
            </w:r>
            <w:r>
              <w:rPr>
                <w:highlight w:val="none"/>
              </w:rPr>
            </w:r>
          </w:p>
          <w:p>
            <w:pPr>
              <w:keepLines w:val="0"/>
              <w:keepNext w:val="0"/>
              <w:pageBreakBefore w:val="0"/>
              <w:spacing w:line="380" w:lineRule="exact"/>
              <w:widowControl w:val="off"/>
              <w:rPr>
                <w:rFonts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000000"/>
                <w:sz w:val="28"/>
                <w:szCs w:val="28"/>
                <w:highlight w:val="none"/>
              </w:rPr>
              <w:t xml:space="preserve">（1）经评委认定，投标文件对</w:t>
            </w:r>
            <w:r>
              <w:rPr>
                <w:rFonts w:hint="eastAsia" w:ascii="方正仿宋_GBK" w:hAnsi="方正仿宋_GBK" w:eastAsia="方正仿宋_GBK" w:cs="方正仿宋_GBK"/>
                <w:color w:val="000000"/>
                <w:sz w:val="28"/>
                <w:szCs w:val="28"/>
                <w:highlight w:val="none"/>
              </w:rPr>
              <w:t xml:space="preserve">出现的应急事件处置</w:t>
            </w:r>
            <w:r>
              <w:rPr>
                <w:rFonts w:ascii="方正仿宋_GBK" w:hAnsi="方正仿宋_GBK" w:eastAsia="方正仿宋_GBK" w:cs="方正仿宋_GBK"/>
                <w:color w:val="000000"/>
                <w:sz w:val="28"/>
                <w:szCs w:val="28"/>
                <w:highlight w:val="none"/>
              </w:rPr>
              <w:t xml:space="preserve">要求的响应内容全部优于招标文件要求的本项得5分。（2）投标文件符合“设计方案”中全部条款要求的，视为符合招标文件，本项得3分。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000000"/>
                <w:sz w:val="28"/>
                <w:szCs w:val="28"/>
                <w:highlight w:val="none"/>
              </w:rPr>
              <w:t xml:space="preserve">（3）投标文件未符合“设计方案”中全部条款要求的，视为不符合招标文件，本项得0分。</w:t>
            </w:r>
            <w:r>
              <w:rPr>
                <w:highlight w:val="none"/>
              </w:rPr>
            </w:r>
          </w:p>
        </w:tc>
      </w:tr>
      <w:tr>
        <w:trPr>
          <w:trHeight w:val="1280"/>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6"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9" w:type="dxa"/>
            <w:vAlign w:val="center"/>
            <w:textDirection w:val="lrTb"/>
            <w:noWrap w:val="false"/>
          </w:tcPr>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2.9创新服务及文化建设方案（5分）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000000"/>
                <w:sz w:val="28"/>
                <w:szCs w:val="28"/>
                <w:highlight w:val="none"/>
              </w:rPr>
              <w:t xml:space="preserve">评委根据投标文件对第四章“采购需求”中“</w:t>
            </w:r>
            <w:r>
              <w:rPr>
                <w:rFonts w:hint="eastAsia" w:ascii="方正仿宋_GBK" w:hAnsi="方正仿宋_GBK" w:eastAsia="方正仿宋_GBK" w:cs="方正仿宋_GBK"/>
                <w:color w:val="000000"/>
                <w:sz w:val="28"/>
                <w:szCs w:val="28"/>
                <w:highlight w:val="none"/>
              </w:rPr>
              <w:t xml:space="preserve">创新服务及文化建设</w:t>
            </w:r>
            <w:r>
              <w:rPr>
                <w:rFonts w:ascii="方正仿宋_GBK" w:hAnsi="方正仿宋_GBK" w:eastAsia="方正仿宋_GBK" w:cs="方正仿宋_GBK"/>
                <w:color w:val="000000"/>
                <w:sz w:val="28"/>
                <w:szCs w:val="28"/>
                <w:highlight w:val="none"/>
              </w:rPr>
              <w:t xml:space="preserve">”响应情况进行评审</w:t>
            </w:r>
            <w:r>
              <w:rPr>
                <w:rFonts w:hint="eastAsia" w:ascii="方正仿宋_GBK" w:hAnsi="方正仿宋_GBK" w:eastAsia="方正仿宋_GBK" w:cs="方正仿宋_GBK"/>
                <w:color w:val="000000"/>
                <w:sz w:val="28"/>
                <w:szCs w:val="28"/>
                <w:highlight w:val="none"/>
                <w:lang w:eastAsia="zh-CN"/>
              </w:rPr>
              <w:t xml:space="preserve">：</w:t>
            </w:r>
            <w:r>
              <w:rPr>
                <w:highlight w:val="none"/>
              </w:rPr>
            </w:r>
          </w:p>
          <w:p>
            <w:pPr>
              <w:keepLines w:val="0"/>
              <w:keepNext w:val="0"/>
              <w:pageBreakBefore w:val="0"/>
              <w:spacing w:line="380" w:lineRule="exact"/>
              <w:widowControl w:val="off"/>
              <w:rPr>
                <w:rFonts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000000"/>
                <w:sz w:val="28"/>
                <w:szCs w:val="28"/>
                <w:highlight w:val="none"/>
              </w:rPr>
              <w:t xml:space="preserve">（1）经评委认定，投标文件对</w:t>
            </w:r>
            <w:r>
              <w:rPr>
                <w:rFonts w:hint="eastAsia" w:ascii="方正仿宋_GBK" w:hAnsi="方正仿宋_GBK" w:eastAsia="方正仿宋_GBK" w:cs="方正仿宋_GBK"/>
                <w:color w:val="000000"/>
                <w:sz w:val="28"/>
                <w:szCs w:val="28"/>
                <w:highlight w:val="none"/>
              </w:rPr>
              <w:t xml:space="preserve">校园文化建设、节日氛围营造和学生劳动实践服务</w:t>
            </w:r>
            <w:r>
              <w:rPr>
                <w:rFonts w:ascii="方正仿宋_GBK" w:hAnsi="方正仿宋_GBK" w:eastAsia="方正仿宋_GBK" w:cs="方正仿宋_GBK"/>
                <w:color w:val="000000"/>
                <w:sz w:val="28"/>
                <w:szCs w:val="28"/>
                <w:highlight w:val="none"/>
              </w:rPr>
              <w:t xml:space="preserve">三项要求的响应内容全部优于招标文件要求的本项得5分。</w:t>
            </w:r>
            <w:r>
              <w:rPr>
                <w:highlight w:val="none"/>
              </w:rPr>
            </w:r>
          </w:p>
          <w:p>
            <w:pPr>
              <w:keepLines w:val="0"/>
              <w:keepNext w:val="0"/>
              <w:pageBreakBefore w:val="0"/>
              <w:spacing w:line="380" w:lineRule="exact"/>
              <w:widowControl w:val="off"/>
              <w:rPr>
                <w:rFonts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000000"/>
                <w:sz w:val="28"/>
                <w:szCs w:val="28"/>
                <w:highlight w:val="none"/>
              </w:rPr>
              <w:t xml:space="preserve">（2）投标文件符合“设计方案”中全部条款要求的，视为符合招标文件，本项得3分。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000000"/>
                <w:sz w:val="28"/>
                <w:szCs w:val="28"/>
                <w:highlight w:val="none"/>
              </w:rPr>
              <w:t xml:space="preserve">（3）投标文件未符合“设计方案”中全部条款要求的，视为不符合招标文件，本项得0分。</w:t>
            </w:r>
            <w:r>
              <w:rPr>
                <w:highlight w:val="none"/>
              </w:rPr>
            </w:r>
          </w:p>
        </w:tc>
      </w:tr>
      <w:tr>
        <w:trPr>
          <w:trHeight w:val="7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9" w:type="dxa"/>
            <w:vAlign w:val="center"/>
            <w:vMerge w:val="restart"/>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3</w:t>
            </w:r>
            <w:r>
              <w:rPr>
                <w:highlight w:val="none"/>
              </w:rPr>
            </w:r>
          </w:p>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5" w:type="dxa"/>
            <w:vAlign w:val="center"/>
            <w:vMerge w:val="restart"/>
            <w:textDirection w:val="lrTb"/>
            <w:noWrap w:val="false"/>
          </w:tcPr>
          <w:p>
            <w:pPr>
              <w:jc w:val="center"/>
              <w:keepLines w:val="0"/>
              <w:keepNext w:val="0"/>
              <w:pageBreakBefore w:val="0"/>
              <w:spacing w:line="380" w:lineRule="exact"/>
              <w:widowControl w:val="off"/>
              <w:rPr>
                <w:rFonts w:ascii="方正仿宋_GBK" w:hAnsi="方正仿宋_GBK" w:eastAsia="方正仿宋_GBK" w:cs="方正仿宋_GBK"/>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人员资质及人员投入</w:t>
            </w:r>
            <w:r>
              <w:rPr>
                <w:highlight w:val="none"/>
              </w:rPr>
            </w:r>
          </w:p>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w:t>
            </w:r>
            <w:r>
              <w:rPr>
                <w:rFonts w:hint="eastAsia" w:ascii="方正仿宋_GBK" w:hAnsi="方正仿宋_GBK" w:eastAsia="方正仿宋_GBK" w:cs="方正仿宋_GBK"/>
                <w:b/>
                <w:color w:val="000000"/>
                <w:sz w:val="28"/>
                <w:szCs w:val="28"/>
                <w:highlight w:val="none"/>
                <w:lang w:val="en-US" w:eastAsia="zh-CN"/>
              </w:rPr>
              <w:t xml:space="preserve">20</w:t>
            </w:r>
            <w:r>
              <w:rPr>
                <w:rFonts w:hint="eastAsia" w:ascii="方正仿宋_GBK" w:hAnsi="方正仿宋_GBK" w:eastAsia="方正仿宋_GBK" w:cs="方正仿宋_GBK"/>
                <w:b/>
                <w:color w:val="000000"/>
                <w:sz w:val="28"/>
                <w:szCs w:val="28"/>
                <w:highlight w:val="none"/>
              </w:rPr>
              <w:t xml:space="preserve">分）</w:t>
            </w:r>
            <w:r>
              <w:rPr>
                <w:highlight w:val="none"/>
              </w:rP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846"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lang w:val="en-US" w:eastAsia="zh-CN"/>
              </w:rPr>
              <w:t xml:space="preserve">6</w:t>
            </w:r>
            <w:r>
              <w:rPr>
                <w:highlight w:val="none"/>
              </w:rP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6709" w:type="dxa"/>
            <w:vAlign w:val="center"/>
            <w:textDirection w:val="lrTb"/>
            <w:noWrap w:val="false"/>
          </w:tcPr>
          <w:p>
            <w:pPr>
              <w:keepLines w:val="0"/>
              <w:keepNext w:val="0"/>
              <w:pageBreakBefore w:val="0"/>
              <w:spacing w:line="380" w:lineRule="exact"/>
              <w:widowControl w:val="off"/>
              <w:rPr>
                <w:rFonts w:hint="eastAsia" w:ascii="方正仿宋_GBK" w:hAnsi="方正仿宋_GBK" w:eastAsia="方正仿宋_GBK" w:cs="方正仿宋_GBK"/>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3.1项目经理（</w:t>
            </w:r>
            <w:r>
              <w:rPr>
                <w:rFonts w:hint="eastAsia" w:ascii="方正仿宋_GBK" w:hAnsi="方正仿宋_GBK" w:eastAsia="方正仿宋_GBK" w:cs="方正仿宋_GBK"/>
                <w:b/>
                <w:color w:val="000000"/>
                <w:sz w:val="28"/>
                <w:szCs w:val="28"/>
                <w:highlight w:val="none"/>
                <w:lang w:val="en-US" w:eastAsia="zh-CN"/>
              </w:rPr>
              <w:t xml:space="preserve">6</w:t>
            </w:r>
            <w:r>
              <w:rPr>
                <w:rFonts w:hint="eastAsia" w:ascii="方正仿宋_GBK" w:hAnsi="方正仿宋_GBK" w:eastAsia="方正仿宋_GBK" w:cs="方正仿宋_GBK"/>
                <w:b/>
                <w:color w:val="000000"/>
                <w:sz w:val="28"/>
                <w:szCs w:val="28"/>
                <w:highlight w:val="none"/>
              </w:rPr>
              <w:t xml:space="preserve">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具有园林绿化相关</w:t>
            </w:r>
            <w:r>
              <w:rPr>
                <w:rFonts w:hint="eastAsia" w:ascii="方正仿宋_GBK" w:hAnsi="方正仿宋_GBK" w:eastAsia="方正仿宋_GBK" w:cs="方正仿宋_GBK"/>
                <w:color w:val="000000"/>
                <w:sz w:val="28"/>
                <w:szCs w:val="28"/>
                <w:highlight w:val="none"/>
                <w:lang w:val="en-US" w:eastAsia="zh-CN"/>
              </w:rPr>
              <w:t xml:space="preserve">专业</w:t>
            </w:r>
            <w:r>
              <w:rPr>
                <w:rFonts w:hint="eastAsia" w:ascii="方正仿宋_GBK" w:hAnsi="方正仿宋_GBK" w:eastAsia="方正仿宋_GBK" w:cs="方正仿宋_GBK"/>
                <w:color w:val="000000"/>
                <w:sz w:val="28"/>
                <w:szCs w:val="28"/>
                <w:highlight w:val="none"/>
              </w:rPr>
              <w:t xml:space="preserve">本科及以上学历，得2分；</w:t>
            </w:r>
            <w:r>
              <w:rPr>
                <w:highlight w:val="none"/>
              </w:rPr>
            </w:r>
          </w:p>
          <w:p>
            <w:pPr>
              <w:pStyle w:val="943"/>
              <w:ind w:left="0" w:right="0"/>
              <w:jc w:val="both"/>
              <w:keepLines w:val="0"/>
              <w:keepNext w:val="0"/>
              <w:pageBreakBefore w:val="0"/>
              <w:spacing w:before="0" w:beforeAutospacing="0" w:after="0" w:afterAutospacing="0"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（2）具有园林绿化类的职称，中级职称得1分；副高级职称的，得2分，未提供或未按要求提供的不得分；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lang w:val="en-US" w:eastAsia="zh-CN" w:bidi="ar-SA"/>
              </w:rPr>
              <w:t xml:space="preserve">3.具有与本项目类似的或绿化养护项目管理工作经验，3年以上（含3年）不满5年（不含5年）的，得1分；5年及以上的，得2分，未提供或未按要求提供的不得分。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（须提交清晰的证书复印件和业主或业主单位管理部门开具的类似项目管理经验证明材料以及开标前由投标人为其缴纳的近六个月（不含投标当月）中任意一个月的社保证明材料复印件并加盖投标人公章）</w:t>
            </w:r>
            <w:r>
              <w:rPr>
                <w:highlight w:val="none"/>
              </w:rPr>
            </w:r>
          </w:p>
        </w:tc>
      </w:tr>
      <w:tr>
        <w:trPr>
          <w:trHeight w:val="30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9" w:type="dxa"/>
            <w:vAlign w:val="center"/>
            <w:vMerge w:val="continue"/>
            <w:textDirection w:val="lrTb"/>
            <w:noWrap w:val="false"/>
          </w:tcPr>
          <w:p>
            <w:pPr>
              <w:jc w:val="center"/>
              <w:keepLines w:val="0"/>
              <w:keepNext w:val="0"/>
              <w:pageBreakBefore w:val="0"/>
              <w:spacing w:line="380" w:lineRule="exact"/>
              <w:widowControl w:val="off"/>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1405" w:type="dxa"/>
            <w:vAlign w:val="center"/>
            <w:vMerge w:val="continue"/>
            <w:textDirection w:val="lrTb"/>
            <w:noWrap w:val="false"/>
          </w:tcPr>
          <w:p>
            <w:pPr>
              <w:jc w:val="center"/>
              <w:keepLines w:val="0"/>
              <w:keepNext w:val="0"/>
              <w:pageBreakBefore w:val="0"/>
              <w:spacing w:line="380" w:lineRule="exact"/>
              <w:widowControl w:val="off"/>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6"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lang w:val="en-US" w:eastAsia="zh-CN"/>
              </w:rPr>
              <w:t xml:space="preserve">7</w:t>
            </w:r>
            <w:r>
              <w:rPr>
                <w:highlight w:val="none"/>
              </w:rP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9" w:type="dxa"/>
            <w:vAlign w:val="top"/>
            <w:textDirection w:val="lrTb"/>
            <w:noWrap w:val="false"/>
          </w:tcPr>
          <w:p>
            <w:pPr>
              <w:keepLines w:val="0"/>
              <w:keepNext w:val="0"/>
              <w:pageBreakBefore w:val="0"/>
              <w:spacing w:line="380" w:lineRule="exact"/>
              <w:widowControl w:val="off"/>
              <w:rPr>
                <w:rFonts w:hint="eastAsia" w:ascii="方正仿宋_GBK" w:hAnsi="方正仿宋_GBK" w:eastAsia="方正仿宋_GBK" w:cs="方正仿宋_GBK"/>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3.2</w:t>
            </w:r>
            <w:r>
              <w:rPr>
                <w:rFonts w:hint="eastAsia" w:ascii="方正仿宋_GBK" w:hAnsi="方正仿宋_GBK" w:eastAsia="方正仿宋_GBK" w:cs="方正仿宋_GBK"/>
                <w:b/>
                <w:color w:val="000000"/>
                <w:sz w:val="28"/>
                <w:szCs w:val="28"/>
                <w:highlight w:val="none"/>
                <w:lang w:val="en-US" w:eastAsia="zh-CN"/>
              </w:rPr>
              <w:t xml:space="preserve"> 项目</w:t>
            </w:r>
            <w:r>
              <w:rPr>
                <w:rFonts w:hint="eastAsia" w:ascii="方正仿宋_GBK" w:hAnsi="方正仿宋_GBK" w:eastAsia="方正仿宋_GBK" w:cs="方正仿宋_GBK"/>
                <w:b/>
                <w:color w:val="000000"/>
                <w:sz w:val="28"/>
                <w:szCs w:val="28"/>
                <w:highlight w:val="none"/>
              </w:rPr>
              <w:t xml:space="preserve">主管（</w:t>
            </w:r>
            <w:r>
              <w:rPr>
                <w:rFonts w:hint="eastAsia" w:ascii="方正仿宋_GBK" w:hAnsi="方正仿宋_GBK" w:eastAsia="方正仿宋_GBK" w:cs="方正仿宋_GBK"/>
                <w:b/>
                <w:color w:val="000000"/>
                <w:sz w:val="28"/>
                <w:szCs w:val="28"/>
                <w:highlight w:val="none"/>
                <w:lang w:val="en-US" w:eastAsia="zh-CN"/>
              </w:rPr>
              <w:t xml:space="preserve">7</w:t>
            </w:r>
            <w:r>
              <w:rPr>
                <w:rFonts w:hint="eastAsia" w:ascii="方正仿宋_GBK" w:hAnsi="方正仿宋_GBK" w:eastAsia="方正仿宋_GBK" w:cs="方正仿宋_GBK"/>
                <w:b/>
                <w:color w:val="000000"/>
                <w:sz w:val="28"/>
                <w:szCs w:val="28"/>
                <w:highlight w:val="none"/>
              </w:rPr>
              <w:t xml:space="preserve">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（1）具有园林</w:t>
            </w:r>
            <w:r>
              <w:rPr>
                <w:rFonts w:hint="eastAsia" w:ascii="方正仿宋_GBK" w:hAnsi="方正仿宋_GBK" w:eastAsia="方正仿宋_GBK" w:cs="方正仿宋_GBK"/>
                <w:color w:val="000000"/>
                <w:sz w:val="28"/>
                <w:szCs w:val="28"/>
                <w:highlight w:val="none"/>
                <w:lang w:val="en-US" w:eastAsia="zh-CN"/>
              </w:rPr>
              <w:t xml:space="preserve">绿化</w:t>
            </w:r>
            <w:r>
              <w:rPr>
                <w:rFonts w:hint="eastAsia" w:ascii="方正仿宋_GBK" w:hAnsi="方正仿宋_GBK" w:eastAsia="方正仿宋_GBK" w:cs="方正仿宋_GBK"/>
                <w:color w:val="000000"/>
                <w:sz w:val="28"/>
                <w:szCs w:val="28"/>
                <w:highlight w:val="none"/>
              </w:rPr>
              <w:t xml:space="preserve">类相关</w:t>
            </w:r>
            <w:r>
              <w:rPr>
                <w:rFonts w:hint="eastAsia" w:ascii="方正仿宋_GBK" w:hAnsi="方正仿宋_GBK" w:eastAsia="方正仿宋_GBK" w:cs="方正仿宋_GBK"/>
                <w:color w:val="000000"/>
                <w:sz w:val="28"/>
                <w:szCs w:val="28"/>
                <w:highlight w:val="none"/>
                <w:lang w:val="en-US" w:eastAsia="zh-CN"/>
              </w:rPr>
              <w:t xml:space="preserve">专业</w:t>
            </w:r>
            <w:r>
              <w:rPr>
                <w:rFonts w:hint="eastAsia" w:ascii="方正仿宋_GBK" w:hAnsi="方正仿宋_GBK" w:eastAsia="方正仿宋_GBK" w:cs="方正仿宋_GBK"/>
                <w:color w:val="000000"/>
                <w:sz w:val="28"/>
                <w:szCs w:val="28"/>
                <w:highlight w:val="none"/>
              </w:rPr>
              <w:t xml:space="preserve">专科及以上学历得</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分；</w:t>
            </w:r>
            <w:r>
              <w:rPr>
                <w:highlight w:val="none"/>
              </w:rPr>
            </w:r>
          </w:p>
          <w:p>
            <w:pPr>
              <w:pStyle w:val="943"/>
              <w:ind w:left="0" w:right="0"/>
              <w:jc w:val="both"/>
              <w:keepLines w:val="0"/>
              <w:keepNext w:val="0"/>
              <w:pageBreakBefore w:val="0"/>
              <w:spacing w:before="0" w:beforeAutospacing="0" w:after="0" w:afterAutospacing="0"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（2）具有园林绿化类中级及以上职称得2分；</w:t>
            </w:r>
            <w:r>
              <w:rPr>
                <w:highlight w:val="none"/>
              </w:rPr>
            </w:r>
          </w:p>
          <w:p>
            <w:pPr>
              <w:pStyle w:val="943"/>
              <w:ind w:left="0" w:right="0"/>
              <w:jc w:val="both"/>
              <w:keepLines w:val="0"/>
              <w:keepNext w:val="0"/>
              <w:pageBreakBefore w:val="0"/>
              <w:spacing w:before="0" w:beforeAutospacing="0" w:after="0" w:afterAutospacing="0" w:line="380" w:lineRule="exact"/>
              <w:widowControl w:val="off"/>
              <w:rPr>
                <w:rFonts w:hint="default"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（3）具有与本项目类似的项目管理经验，3年以上（含3年）不满5年（不含5年）的，得2分；5年及以上的，得4分，未提供或未按要求提供的不得分。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（须提交清晰的证书复印件和业主开具的类似项目管理经验证明材料以及开标前由投标人为其缴纳的近六个月（不含投标当月）中任意一个月的社保证明材料复印件并加盖投标人公章）</w:t>
            </w:r>
            <w:r>
              <w:rPr>
                <w:highlight w:val="none"/>
              </w:rPr>
            </w:r>
          </w:p>
        </w:tc>
      </w:tr>
      <w:tr>
        <w:trPr>
          <w:trHeight w:val="30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9" w:type="dxa"/>
            <w:vAlign w:val="center"/>
            <w:textDirection w:val="lrTb"/>
            <w:noWrap w:val="false"/>
          </w:tcPr>
          <w:p>
            <w:pPr>
              <w:jc w:val="center"/>
              <w:keepLines w:val="0"/>
              <w:keepNext w:val="0"/>
              <w:pageBreakBefore w:val="0"/>
              <w:spacing w:line="380" w:lineRule="exact"/>
              <w:widowControl w:val="off"/>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rPr>
                <w:highlight w:val="none"/>
              </w:rP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1405" w:type="dxa"/>
            <w:vAlign w:val="center"/>
            <w:textDirection w:val="lrTb"/>
            <w:noWrap w:val="false"/>
          </w:tcPr>
          <w:p>
            <w:pPr>
              <w:jc w:val="center"/>
              <w:keepLines w:val="0"/>
              <w:keepNext w:val="0"/>
              <w:pageBreakBefore w:val="0"/>
              <w:spacing w:line="380" w:lineRule="exact"/>
              <w:widowControl w:val="off"/>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6" w:type="dxa"/>
            <w:vAlign w:val="center"/>
            <w:textDirection w:val="lrTb"/>
            <w:noWrap w:val="false"/>
          </w:tcPr>
          <w:p>
            <w:pPr>
              <w:jc w:val="center"/>
              <w:keepLines w:val="0"/>
              <w:keepNext w:val="0"/>
              <w:pageBreakBefore w:val="0"/>
              <w:spacing w:line="380" w:lineRule="exact"/>
              <w:widowControl w:val="off"/>
              <w:rPr>
                <w:rFonts w:hint="default"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lang w:val="en-US" w:eastAsia="zh-CN"/>
              </w:rPr>
              <w:t xml:space="preserve">7</w:t>
            </w:r>
            <w:r>
              <w:rPr>
                <w:highlight w:val="none"/>
              </w:rP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9" w:type="dxa"/>
            <w:vAlign w:val="top"/>
            <w:textDirection w:val="lrTb"/>
            <w:noWrap w:val="false"/>
          </w:tcPr>
          <w:p>
            <w:pPr>
              <w:keepLines w:val="0"/>
              <w:keepNext w:val="0"/>
              <w:pageBreakBefore w:val="0"/>
              <w:spacing w:line="380" w:lineRule="exact"/>
              <w:widowControl w:val="off"/>
              <w:rPr>
                <w:rFonts w:hint="eastAsia" w:ascii="方正仿宋_GBK" w:hAnsi="方正仿宋_GBK" w:eastAsia="方正仿宋_GBK" w:cs="方正仿宋_GBK"/>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val="0"/>
                <w:color w:val="000000"/>
                <w:sz w:val="28"/>
                <w:szCs w:val="28"/>
                <w:highlight w:val="none"/>
              </w:rPr>
              <w:t xml:space="preserve">3.3 </w:t>
            </w:r>
            <w:r>
              <w:rPr>
                <w:rFonts w:hint="eastAsia" w:ascii="方正仿宋_GBK" w:hAnsi="方正仿宋_GBK" w:eastAsia="方正仿宋_GBK" w:cs="方正仿宋_GBK"/>
                <w:b/>
                <w:bCs w:val="0"/>
                <w:color w:val="000000"/>
                <w:sz w:val="28"/>
                <w:szCs w:val="28"/>
                <w:highlight w:val="none"/>
                <w:lang w:val="en-US" w:eastAsia="zh-CN"/>
              </w:rPr>
              <w:t xml:space="preserve">绿化工</w:t>
            </w:r>
            <w:r>
              <w:rPr>
                <w:rFonts w:hint="eastAsia" w:ascii="方正仿宋_GBK" w:hAnsi="方正仿宋_GBK" w:eastAsia="方正仿宋_GBK" w:cs="方正仿宋_GBK"/>
                <w:b/>
                <w:bCs w:val="0"/>
                <w:color w:val="000000"/>
                <w:sz w:val="28"/>
                <w:szCs w:val="28"/>
                <w:highlight w:val="none"/>
              </w:rPr>
              <w:t xml:space="preserve">（7分）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（1）具有</w:t>
            </w:r>
            <w:r>
              <w:rPr>
                <w:rFonts w:hint="eastAsia" w:ascii="方正仿宋_GBK" w:hAnsi="方正仿宋_GBK" w:eastAsia="方正仿宋_GBK" w:cs="方正仿宋_GBK"/>
                <w:color w:val="000000"/>
                <w:sz w:val="28"/>
                <w:szCs w:val="28"/>
                <w:highlight w:val="none"/>
                <w:lang w:val="en-US" w:eastAsia="zh-CN"/>
              </w:rPr>
              <w:t xml:space="preserve">高中</w:t>
            </w:r>
            <w:r>
              <w:rPr>
                <w:rFonts w:hint="eastAsia" w:ascii="方正仿宋_GBK" w:hAnsi="方正仿宋_GBK" w:eastAsia="方正仿宋_GBK" w:cs="方正仿宋_GBK"/>
                <w:color w:val="000000"/>
                <w:sz w:val="28"/>
                <w:szCs w:val="28"/>
                <w:highlight w:val="none"/>
              </w:rPr>
              <w:t xml:space="preserve">及以上学历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每满足一人得</w:t>
            </w:r>
            <w:r>
              <w:rPr>
                <w:rFonts w:hint="eastAsia" w:ascii="方正仿宋_GBK" w:hAnsi="方正仿宋_GBK" w:eastAsia="方正仿宋_GBK" w:cs="方正仿宋_GBK"/>
                <w:color w:val="000000"/>
                <w:sz w:val="28"/>
                <w:szCs w:val="28"/>
                <w:highlight w:val="none"/>
                <w:lang w:val="en-US" w:eastAsia="zh-CN"/>
              </w:rPr>
              <w:t xml:space="preserve">0.5</w:t>
            </w:r>
            <w:r>
              <w:rPr>
                <w:rFonts w:hint="eastAsia" w:ascii="方正仿宋_GBK" w:hAnsi="方正仿宋_GBK" w:eastAsia="方正仿宋_GBK" w:cs="方正仿宋_GBK"/>
                <w:color w:val="000000"/>
                <w:sz w:val="28"/>
                <w:szCs w:val="28"/>
                <w:highlight w:val="none"/>
              </w:rPr>
              <w:t xml:space="preserve">分，最高得</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分；</w:t>
            </w:r>
            <w:r>
              <w:rPr>
                <w:highlight w:val="none"/>
              </w:rPr>
            </w:r>
          </w:p>
          <w:p>
            <w:pPr>
              <w:keepLines w:val="0"/>
              <w:keepNext w:val="0"/>
              <w:pageBreakBefore w:val="0"/>
              <w:spacing w:line="380" w:lineRule="exact"/>
              <w:widowControl w:val="off"/>
              <w:rPr>
                <w:rFonts w:hint="default"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持有</w:t>
            </w:r>
            <w:r>
              <w:rPr>
                <w:rFonts w:hint="eastAsia" w:ascii="方正仿宋_GBK" w:hAnsi="方正仿宋_GBK" w:eastAsia="方正仿宋_GBK" w:cs="方正仿宋_GBK"/>
                <w:color w:val="000000"/>
                <w:sz w:val="28"/>
                <w:szCs w:val="28"/>
                <w:highlight w:val="none"/>
              </w:rPr>
              <w:t xml:space="preserve">“园林绿化工职业技能等级证书”四级（中级工）及以上</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每满足一人得1分，最高得</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rPr>
              <w:t xml:space="preserve">）具有</w:t>
            </w:r>
            <w:r>
              <w:rPr>
                <w:rFonts w:hint="eastAsia" w:ascii="方正仿宋_GBK" w:hAnsi="方正仿宋_GBK" w:eastAsia="方正仿宋_GBK" w:cs="方正仿宋_GBK"/>
                <w:color w:val="000000"/>
                <w:sz w:val="28"/>
                <w:szCs w:val="28"/>
                <w:highlight w:val="none"/>
                <w:lang w:val="en-US" w:eastAsia="zh-CN"/>
              </w:rPr>
              <w:t xml:space="preserve">3年及以上</w:t>
            </w:r>
            <w:r>
              <w:rPr>
                <w:rFonts w:hint="eastAsia" w:ascii="方正仿宋_GBK" w:hAnsi="方正仿宋_GBK" w:eastAsia="方正仿宋_GBK" w:cs="方正仿宋_GBK"/>
                <w:color w:val="000000"/>
                <w:sz w:val="28"/>
                <w:szCs w:val="28"/>
                <w:highlight w:val="none"/>
              </w:rPr>
              <w:t xml:space="preserve">与本项目类似的</w:t>
            </w:r>
            <w:r>
              <w:rPr>
                <w:rFonts w:hint="eastAsia" w:ascii="方正仿宋_GBK" w:hAnsi="方正仿宋_GBK" w:eastAsia="方正仿宋_GBK" w:cs="方正仿宋_GBK"/>
                <w:color w:val="000000"/>
                <w:sz w:val="28"/>
                <w:szCs w:val="28"/>
                <w:highlight w:val="none"/>
                <w:lang w:val="en-US" w:eastAsia="zh-CN"/>
              </w:rPr>
              <w:t xml:space="preserve">工作</w:t>
            </w:r>
            <w:r>
              <w:rPr>
                <w:rFonts w:hint="eastAsia" w:ascii="方正仿宋_GBK" w:hAnsi="方正仿宋_GBK" w:eastAsia="方正仿宋_GBK" w:cs="方正仿宋_GBK"/>
                <w:color w:val="000000"/>
                <w:sz w:val="28"/>
                <w:szCs w:val="28"/>
                <w:highlight w:val="none"/>
              </w:rPr>
              <w:t xml:space="preserve">经验的，</w:t>
            </w:r>
            <w:r>
              <w:rPr>
                <w:rFonts w:hint="eastAsia" w:ascii="方正仿宋_GBK" w:hAnsi="方正仿宋_GBK" w:eastAsia="方正仿宋_GBK" w:cs="方正仿宋_GBK"/>
                <w:color w:val="000000"/>
                <w:sz w:val="28"/>
                <w:szCs w:val="28"/>
                <w:highlight w:val="none"/>
                <w:lang w:val="en-US" w:eastAsia="zh-CN"/>
              </w:rPr>
              <w:t xml:space="preserve">每满足一人得0.5分，最高</w:t>
            </w:r>
            <w:r>
              <w:rPr>
                <w:rFonts w:hint="eastAsia" w:ascii="方正仿宋_GBK" w:hAnsi="方正仿宋_GBK" w:eastAsia="方正仿宋_GBK" w:cs="方正仿宋_GBK"/>
                <w:color w:val="000000"/>
                <w:sz w:val="28"/>
                <w:szCs w:val="28"/>
                <w:highlight w:val="none"/>
              </w:rPr>
              <w:t xml:space="preserve">得3分，未提供或未按要求提供的不得分；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（须提交清晰的证书复印件和业主或业主单位管理部门开具的类似项目管理经验证明材料以及开标前由投标人为其缴纳的近六个月（不含投标当月）中任意一个月的社保证明材料复印件并加盖投标人公章）</w:t>
            </w:r>
            <w:r>
              <w:rPr>
                <w:highlight w:val="none"/>
              </w:rP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9" w:type="dxa"/>
            <w:vAlign w:val="center"/>
            <w:vMerge w:val="restart"/>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4</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5" w:type="dxa"/>
            <w:vAlign w:val="center"/>
            <w:vMerge w:val="restart"/>
            <w:textDirection w:val="lrTb"/>
            <w:noWrap w:val="false"/>
          </w:tcPr>
          <w:p>
            <w:pPr>
              <w:keepLines w:val="0"/>
              <w:keepNext w:val="0"/>
              <w:pageBreakBefore w:val="0"/>
              <w:spacing w:line="380" w:lineRule="exact"/>
              <w:widowControl w:val="off"/>
              <w:rPr>
                <w:rFonts w:hint="eastAsia" w:ascii="方正仿宋_GBK" w:hAnsi="方正仿宋_GBK" w:eastAsia="方正仿宋_GBK" w:cs="方正仿宋_GBK"/>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企业履约能力与成功案例</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w:t>
            </w:r>
            <w:r>
              <w:rPr>
                <w:rFonts w:hint="eastAsia" w:ascii="方正仿宋_GBK" w:hAnsi="方正仿宋_GBK" w:eastAsia="方正仿宋_GBK" w:cs="方正仿宋_GBK"/>
                <w:b/>
                <w:color w:val="000000"/>
                <w:sz w:val="28"/>
                <w:szCs w:val="28"/>
                <w:highlight w:val="none"/>
                <w:lang w:val="en-US" w:eastAsia="zh-CN"/>
              </w:rPr>
              <w:t xml:space="preserve">13</w:t>
            </w:r>
            <w:r>
              <w:rPr>
                <w:rFonts w:hint="eastAsia" w:ascii="方正仿宋_GBK" w:hAnsi="方正仿宋_GBK" w:eastAsia="方正仿宋_GBK" w:cs="方正仿宋_GBK"/>
                <w:b/>
                <w:color w:val="000000"/>
                <w:sz w:val="28"/>
                <w:szCs w:val="28"/>
                <w:highlight w:val="none"/>
              </w:rPr>
              <w:t xml:space="preserve">分）</w:t>
            </w:r>
            <w:r>
              <w:rPr>
                <w:highlight w:val="none"/>
              </w:rPr>
            </w:r>
          </w:p>
        </w:tc>
        <w:tc>
          <w:tcPr>
            <w:tcBorders>
              <w:top w:val="single" w:color="auto" w:sz="4" w:space="0"/>
              <w:left w:val="single" w:color="000000" w:sz="4" w:space="0"/>
              <w:bottom w:val="single" w:color="000000" w:sz="4" w:space="0"/>
              <w:right w:val="single" w:color="auto" w:sz="4" w:space="0"/>
            </w:tcBorders>
            <w:tcMar>
              <w:left w:w="108" w:type="dxa"/>
              <w:top w:w="0" w:type="dxa"/>
              <w:right w:w="108" w:type="dxa"/>
              <w:bottom w:w="0" w:type="dxa"/>
            </w:tcMar>
            <w:tcW w:w="846" w:type="dxa"/>
            <w:vAlign w:val="center"/>
            <w:vMerge w:val="restart"/>
            <w:textDirection w:val="lrTb"/>
            <w:noWrap w:val="false"/>
          </w:tcPr>
          <w:p>
            <w:pPr>
              <w:jc w:val="center"/>
              <w:keepLines w:val="0"/>
              <w:keepNext w:val="0"/>
              <w:pageBreakBefore w:val="0"/>
              <w:spacing w:line="380" w:lineRule="exact"/>
              <w:widowControl w:val="off"/>
              <w:rPr>
                <w:rFonts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lang w:val="en-US" w:eastAsia="zh-CN"/>
              </w:rPr>
              <w:t xml:space="preserve">10</w:t>
            </w:r>
            <w:r>
              <w:rPr>
                <w:highlight w:val="none"/>
              </w:rP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9" w:type="dxa"/>
            <w:vAlign w:val="center"/>
            <w:textDirection w:val="lrTb"/>
            <w:noWrap w:val="false"/>
          </w:tcPr>
          <w:p>
            <w:pPr>
              <w:keepLines w:val="0"/>
              <w:keepNext w:val="0"/>
              <w:pageBreakBefore w:val="0"/>
              <w:spacing w:line="380" w:lineRule="exact"/>
              <w:widowControl w:val="off"/>
              <w:rPr>
                <w:rFonts w:hint="eastAsia" w:ascii="方正仿宋_GBK" w:hAnsi="方正仿宋_GBK" w:eastAsia="方正仿宋_GBK" w:cs="方正仿宋_GBK"/>
                <w:b/>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val="0"/>
                <w:color w:val="000000"/>
                <w:sz w:val="28"/>
                <w:szCs w:val="28"/>
                <w:highlight w:val="none"/>
              </w:rPr>
              <w:t xml:space="preserve">4.1成功案例（</w:t>
            </w:r>
            <w:r>
              <w:rPr>
                <w:rFonts w:hint="eastAsia" w:ascii="方正仿宋_GBK" w:hAnsi="方正仿宋_GBK" w:eastAsia="方正仿宋_GBK" w:cs="方正仿宋_GBK"/>
                <w:b/>
                <w:bCs w:val="0"/>
                <w:color w:val="000000"/>
                <w:sz w:val="28"/>
                <w:szCs w:val="28"/>
                <w:highlight w:val="none"/>
                <w:lang w:val="en-US" w:eastAsia="zh-CN"/>
              </w:rPr>
              <w:t xml:space="preserve">5</w:t>
            </w:r>
            <w:r>
              <w:rPr>
                <w:rFonts w:hint="eastAsia" w:ascii="方正仿宋_GBK" w:hAnsi="方正仿宋_GBK" w:eastAsia="方正仿宋_GBK" w:cs="方正仿宋_GBK"/>
                <w:b/>
                <w:bCs w:val="0"/>
                <w:color w:val="000000"/>
                <w:sz w:val="28"/>
                <w:szCs w:val="28"/>
                <w:highlight w:val="none"/>
              </w:rPr>
              <w:t xml:space="preserve">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投标人</w:t>
            </w:r>
            <w:r>
              <w:rPr>
                <w:rFonts w:hint="eastAsia" w:ascii="方正仿宋_GBK" w:hAnsi="方正仿宋_GBK" w:eastAsia="方正仿宋_GBK" w:cs="方正仿宋_GBK"/>
                <w:color w:val="ff0000"/>
                <w:sz w:val="28"/>
                <w:szCs w:val="28"/>
                <w:highlight w:val="none"/>
              </w:rPr>
              <w:t xml:space="preserve">202</w:t>
            </w:r>
            <w:r>
              <w:rPr>
                <w:rFonts w:hint="eastAsia" w:ascii="方正仿宋_GBK" w:hAnsi="方正仿宋_GBK" w:eastAsia="方正仿宋_GBK" w:cs="方正仿宋_GBK"/>
                <w:color w:val="ff0000"/>
                <w:sz w:val="28"/>
                <w:szCs w:val="28"/>
                <w:highlight w:val="none"/>
                <w:lang w:eastAsia="zh-CN"/>
              </w:rPr>
              <w:t xml:space="preserve">3</w:t>
            </w:r>
            <w:r>
              <w:rPr>
                <w:rFonts w:hint="eastAsia" w:ascii="方正仿宋_GBK" w:hAnsi="方正仿宋_GBK" w:eastAsia="方正仿宋_GBK" w:cs="方正仿宋_GBK"/>
                <w:color w:val="ff0000"/>
                <w:sz w:val="28"/>
                <w:szCs w:val="28"/>
                <w:highlight w:val="none"/>
              </w:rPr>
              <w:t xml:space="preserve">年</w:t>
            </w:r>
            <w:r>
              <w:rPr>
                <w:rFonts w:hint="eastAsia" w:ascii="方正仿宋_GBK" w:hAnsi="方正仿宋_GBK" w:eastAsia="方正仿宋_GBK" w:cs="方正仿宋_GBK"/>
                <w:color w:val="ff0000"/>
                <w:sz w:val="28"/>
                <w:szCs w:val="28"/>
                <w:highlight w:val="none"/>
                <w:lang w:eastAsia="zh-CN"/>
              </w:rPr>
              <w:t xml:space="preserve">7</w:t>
            </w:r>
            <w:r>
              <w:rPr>
                <w:rFonts w:hint="eastAsia" w:ascii="方正仿宋_GBK" w:hAnsi="方正仿宋_GBK" w:eastAsia="方正仿宋_GBK" w:cs="方正仿宋_GBK"/>
                <w:color w:val="ff0000"/>
                <w:sz w:val="28"/>
                <w:szCs w:val="28"/>
                <w:highlight w:val="none"/>
              </w:rPr>
              <w:t xml:space="preserve">月1日</w:t>
            </w:r>
            <w:r>
              <w:rPr>
                <w:rFonts w:hint="eastAsia" w:ascii="方正仿宋_GBK" w:hAnsi="方正仿宋_GBK" w:eastAsia="方正仿宋_GBK" w:cs="方正仿宋_GBK"/>
                <w:color w:val="000000"/>
                <w:sz w:val="28"/>
                <w:szCs w:val="28"/>
                <w:highlight w:val="none"/>
              </w:rPr>
              <w:t xml:space="preserve">以来(以合同签订时间为准)承担的类似项目管理的案例</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每个案例的服务内容应包含: ①绿化服务 ②保洁服务。</w:t>
            </w:r>
            <w:r>
              <w:rPr>
                <w:rFonts w:hint="eastAsia" w:ascii="方正仿宋_GBK" w:hAnsi="方正仿宋_GBK" w:eastAsia="方正仿宋_GBK" w:cs="方正仿宋_GBK"/>
                <w:color w:val="000000"/>
                <w:sz w:val="28"/>
                <w:szCs w:val="28"/>
                <w:highlight w:val="none"/>
                <w:lang w:val="en-US" w:eastAsia="zh-CN"/>
              </w:rPr>
              <w:t xml:space="preserve">上述案例按要求每</w:t>
            </w:r>
            <w:r>
              <w:rPr>
                <w:rFonts w:hint="eastAsia" w:ascii="方正仿宋_GBK" w:hAnsi="方正仿宋_GBK" w:eastAsia="方正仿宋_GBK" w:cs="方正仿宋_GBK"/>
                <w:color w:val="000000"/>
                <w:sz w:val="28"/>
                <w:szCs w:val="28"/>
                <w:highlight w:val="none"/>
              </w:rPr>
              <w:t xml:space="preserve">提供一个得</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分，满分</w:t>
            </w:r>
            <w:r>
              <w:rPr>
                <w:rFonts w:hint="eastAsia" w:ascii="方正仿宋_GBK" w:hAnsi="方正仿宋_GBK" w:eastAsia="方正仿宋_GBK" w:cs="方正仿宋_GBK"/>
                <w:color w:val="000000"/>
                <w:sz w:val="28"/>
                <w:szCs w:val="28"/>
                <w:highlight w:val="none"/>
                <w:lang w:val="en-US" w:eastAsia="zh-CN"/>
              </w:rPr>
              <w:t xml:space="preserve">5</w:t>
            </w:r>
            <w:r>
              <w:rPr>
                <w:rFonts w:hint="eastAsia" w:ascii="方正仿宋_GBK" w:hAnsi="方正仿宋_GBK" w:eastAsia="方正仿宋_GBK" w:cs="方正仿宋_GBK"/>
                <w:color w:val="000000"/>
                <w:sz w:val="28"/>
                <w:szCs w:val="28"/>
                <w:highlight w:val="none"/>
              </w:rPr>
              <w:t xml:space="preserve">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注：</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需提供合同复印件以及合同期内任意一期的物业费银行回单复印件并加盖公章，在同一家单位服务的不同物业合同只算一个业绩。</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服务内容以合同体现内容为准（合同至少包含合同首页、体现服务内容页、服务起始时间页、甲乙方盖章页，合同期限至少一年），服务内容相同，表述不同视为相同。</w:t>
            </w:r>
            <w:r>
              <w:rPr>
                <w:highlight w:val="none"/>
              </w:rPr>
            </w:r>
          </w:p>
        </w:tc>
      </w:tr>
      <w:tr>
        <w:trPr>
          <w:trHeight w:val="19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9" w:type="dxa"/>
            <w:vAlign w:val="center"/>
            <w:vMerge w:val="continue"/>
            <w:textDirection w:val="lrTb"/>
            <w:noWrap w:val="false"/>
          </w:tcPr>
          <w:p>
            <w:pPr>
              <w:jc w:val="center"/>
              <w:keepLines w:val="0"/>
              <w:keepNext w:val="0"/>
              <w:pageBreakBefore w:val="0"/>
              <w:spacing w:line="380" w:lineRule="exact"/>
              <w:widowControl w:val="off"/>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5" w:type="dxa"/>
            <w:vAlign w:val="center"/>
            <w:vMerge w:val="continue"/>
            <w:textDirection w:val="lrTb"/>
            <w:noWrap w:val="false"/>
          </w:tcPr>
          <w:p>
            <w:pPr>
              <w:jc w:val="center"/>
              <w:keepLines w:val="0"/>
              <w:keepNext w:val="0"/>
              <w:pageBreakBefore w:val="0"/>
              <w:spacing w:line="380" w:lineRule="exact"/>
              <w:widowControl w:val="off"/>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846" w:type="dxa"/>
            <w:vAlign w:val="center"/>
            <w:vMerge w:val="continue"/>
            <w:textDirection w:val="lrTb"/>
            <w:noWrap w:val="false"/>
          </w:tcPr>
          <w:p>
            <w:pPr>
              <w:jc w:val="center"/>
              <w:keepLines w:val="0"/>
              <w:keepNext w:val="0"/>
              <w:pageBreakBefore w:val="0"/>
              <w:spacing w:line="380" w:lineRule="exact"/>
              <w:widowControl w:val="off"/>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9" w:type="dxa"/>
            <w:vAlign w:val="center"/>
            <w:textDirection w:val="lrTb"/>
            <w:noWrap w:val="false"/>
          </w:tcPr>
          <w:p>
            <w:pPr>
              <w:keepLines w:val="0"/>
              <w:keepNext w:val="0"/>
              <w:pageBreakBefore w:val="0"/>
              <w:spacing w:line="380" w:lineRule="exact"/>
              <w:widowControl w:val="off"/>
              <w:rPr>
                <w:rFonts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lang w:val="en-US" w:eastAsia="zh-CN"/>
              </w:rPr>
              <w:t xml:space="preserve">4.2业主评价（5分）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满足上述要求的案例业绩中，业主单位评价为优秀或满意的，每有一个得</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分，本小项满分</w:t>
            </w:r>
            <w:r>
              <w:rPr>
                <w:rFonts w:hint="eastAsia" w:ascii="方正仿宋_GBK" w:hAnsi="方正仿宋_GBK" w:eastAsia="方正仿宋_GBK" w:cs="方正仿宋_GBK"/>
                <w:color w:val="000000"/>
                <w:sz w:val="28"/>
                <w:szCs w:val="28"/>
                <w:highlight w:val="none"/>
                <w:lang w:val="en-US" w:eastAsia="zh-CN"/>
              </w:rPr>
              <w:t xml:space="preserve">5</w:t>
            </w:r>
            <w:r>
              <w:rPr>
                <w:rFonts w:hint="eastAsia" w:ascii="方正仿宋_GBK" w:hAnsi="方正仿宋_GBK" w:eastAsia="方正仿宋_GBK" w:cs="方正仿宋_GBK"/>
                <w:color w:val="000000"/>
                <w:sz w:val="28"/>
                <w:szCs w:val="28"/>
                <w:highlight w:val="none"/>
              </w:rPr>
              <w:t xml:space="preserve">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注：提供业主或业主单位管理部门盖章的评价为优秀或满意的证明材料，同一服务单位的业绩不重复计分。</w:t>
            </w:r>
            <w:r>
              <w:rPr>
                <w:highlight w:val="none"/>
              </w:rPr>
            </w:r>
          </w:p>
        </w:tc>
      </w:tr>
      <w:tr>
        <w:trPr>
          <w:trHeight w:val="66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9" w:type="dxa"/>
            <w:vAlign w:val="center"/>
            <w:vMerge w:val="continue"/>
            <w:textDirection w:val="lrTb"/>
            <w:noWrap w:val="false"/>
          </w:tcPr>
          <w:p>
            <w:pPr>
              <w:jc w:val="center"/>
              <w:keepLines w:val="0"/>
              <w:keepNext w:val="0"/>
              <w:pageBreakBefore w:val="0"/>
              <w:spacing w:line="380" w:lineRule="exact"/>
              <w:widowControl w:val="off"/>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5" w:type="dxa"/>
            <w:vAlign w:val="center"/>
            <w:vMerge w:val="continue"/>
            <w:textDirection w:val="lrTb"/>
            <w:noWrap w:val="false"/>
          </w:tcPr>
          <w:p>
            <w:pPr>
              <w:keepLines w:val="0"/>
              <w:keepNext w:val="0"/>
              <w:pageBreakBefore w:val="0"/>
              <w:spacing w:line="380" w:lineRule="exact"/>
              <w:widowControl w:val="off"/>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6" w:type="dxa"/>
            <w:vAlign w:val="center"/>
            <w:textDirection w:val="lrTb"/>
            <w:noWrap w:val="false"/>
          </w:tcPr>
          <w:p>
            <w:pPr>
              <w:jc w:val="cente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3</w:t>
            </w:r>
            <w:r>
              <w:rPr>
                <w:highlight w:val="none"/>
              </w:rPr>
            </w:r>
          </w:p>
        </w:tc>
        <w:tc>
          <w:tcPr>
            <w:tcBorders>
              <w:top w:val="single" w:color="auto" w:sz="4" w:space="0"/>
              <w:left w:val="single" w:color="000000" w:sz="4" w:space="0"/>
              <w:bottom w:val="single" w:color="000000" w:sz="4" w:space="0"/>
              <w:right w:val="single" w:color="000000" w:sz="4" w:space="0"/>
            </w:tcBorders>
            <w:tcMar>
              <w:left w:w="108" w:type="dxa"/>
              <w:top w:w="0" w:type="dxa"/>
              <w:right w:w="108" w:type="dxa"/>
              <w:bottom w:w="0" w:type="dxa"/>
            </w:tcMar>
            <w:tcW w:w="6709" w:type="dxa"/>
            <w:vAlign w:val="center"/>
            <w:textDirection w:val="lrTb"/>
            <w:noWrap w:val="false"/>
          </w:tcPr>
          <w:p>
            <w:pPr>
              <w:keepLines w:val="0"/>
              <w:keepNext w:val="0"/>
              <w:pageBreakBefore w:val="0"/>
              <w:spacing w:line="380" w:lineRule="exact"/>
              <w:widowControl w:val="off"/>
              <w:rPr>
                <w:rFonts w:hint="eastAsia" w:ascii="方正仿宋_GBK" w:hAnsi="方正仿宋_GBK" w:eastAsia="方正仿宋_GBK" w:cs="方正仿宋_GBK"/>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4.</w:t>
            </w:r>
            <w:r>
              <w:rPr>
                <w:rFonts w:hint="eastAsia" w:ascii="方正仿宋_GBK" w:hAnsi="方正仿宋_GBK" w:eastAsia="方正仿宋_GBK" w:cs="方正仿宋_GBK"/>
                <w:b/>
                <w:color w:val="000000"/>
                <w:sz w:val="28"/>
                <w:szCs w:val="28"/>
                <w:highlight w:val="none"/>
                <w:lang w:val="en-US" w:eastAsia="zh-CN"/>
              </w:rPr>
              <w:t xml:space="preserve">3</w:t>
            </w:r>
            <w:r>
              <w:rPr>
                <w:rFonts w:hint="eastAsia" w:ascii="方正仿宋_GBK" w:hAnsi="方正仿宋_GBK" w:eastAsia="方正仿宋_GBK" w:cs="方正仿宋_GBK"/>
                <w:b/>
                <w:color w:val="000000"/>
                <w:sz w:val="28"/>
                <w:szCs w:val="28"/>
                <w:highlight w:val="none"/>
              </w:rPr>
              <w:t xml:space="preserve">管理体系（3分）</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投标人具有国家认可的机构颁发的有效期内的：</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（1）ISO9001质量管理体系认证证书；</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（2）ISO14001环境管理体系认证证书；</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（3）ISO45001职业健康安全管理体系认证证书；</w:t>
            </w:r>
            <w:r>
              <w:rPr>
                <w:highlight w:val="none"/>
              </w:rPr>
            </w:r>
          </w:p>
          <w:p>
            <w:pPr>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上述证书每提供一个得1分，满分3分。（认证证书需在有效期内，提供清晰的证书复印件</w:t>
            </w:r>
            <w:r>
              <w:rPr>
                <w:rFonts w:hint="eastAsia" w:ascii="方正仿宋_GBK" w:hAnsi="方正仿宋_GBK" w:eastAsia="方正仿宋_GBK" w:cs="方正仿宋_GBK"/>
                <w:color w:val="000000"/>
                <w:sz w:val="28"/>
                <w:szCs w:val="28"/>
                <w:highlight w:val="none"/>
                <w:lang w:val="en-US" w:eastAsia="zh-CN"/>
              </w:rPr>
              <w:t xml:space="preserve">或扫描件并加盖投标人公章，</w:t>
            </w:r>
            <w:r>
              <w:rPr>
                <w:rFonts w:hint="eastAsia" w:ascii="方正仿宋_GBK" w:hAnsi="方正仿宋_GBK" w:eastAsia="方正仿宋_GBK" w:cs="方正仿宋_GBK"/>
                <w:color w:val="000000"/>
                <w:sz w:val="28"/>
                <w:szCs w:val="28"/>
                <w:highlight w:val="none"/>
              </w:rPr>
              <w:t xml:space="preserve">否则不得分）</w:t>
            </w:r>
            <w:r>
              <w:rPr>
                <w:highlight w:val="none"/>
              </w:rPr>
            </w:r>
          </w:p>
        </w:tc>
      </w:tr>
    </w:tbl>
    <w:p>
      <w:pPr>
        <w:ind w:firstLine="482"/>
        <w:rPr>
          <w:rFonts w:hint="eastAsia" w:ascii="方正仿宋_GBK" w:hAnsi="方正仿宋_GBK" w:eastAsia="方正仿宋_GBK" w:cs="方正仿宋_GBK"/>
          <w:b/>
          <w:bCs/>
          <w:color w:val="000000"/>
          <w:sz w:val="24"/>
          <w:szCs w:val="24"/>
          <w:highlight w:val="none"/>
        </w:rPr>
      </w:pPr>
      <w:r>
        <w:rPr>
          <w:rFonts w:hint="eastAsia" w:ascii="方正仿宋_GBK" w:hAnsi="方正仿宋_GBK" w:eastAsia="方正仿宋_GBK" w:cs="方正仿宋_GBK"/>
          <w:b/>
          <w:bCs/>
          <w:color w:val="000000"/>
          <w:sz w:val="24"/>
          <w:szCs w:val="24"/>
          <w:highlight w:val="none"/>
        </w:rPr>
      </w:r>
      <w:r>
        <w:rPr>
          <w:highlight w:val="none"/>
        </w:rPr>
      </w:r>
    </w:p>
    <w:p>
      <w:pPr>
        <w:ind w:right="839"/>
        <w:jc w:val="center"/>
        <w:spacing w:line="660" w:lineRule="exact"/>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r>
      <w:r>
        <w:rPr>
          <w:highlight w:val="none"/>
        </w:rPr>
      </w:r>
    </w:p>
    <w:p>
      <w:pPr>
        <w:ind w:right="839"/>
        <w:jc w:val="center"/>
        <w:spacing w:line="66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br w:type="page" w:clear="all"/>
      </w:r>
      <w:r>
        <w:rPr>
          <w:rFonts w:hint="eastAsia" w:ascii="方正黑体_GBK" w:hAnsi="方正黑体_GBK" w:eastAsia="方正黑体_GBK" w:cs="方正黑体_GBK"/>
          <w:color w:val="000000"/>
          <w:sz w:val="28"/>
          <w:szCs w:val="28"/>
          <w:highlight w:val="none"/>
        </w:rPr>
        <w:t xml:space="preserve">第六章  投标</w:t>
      </w:r>
      <w:bookmarkEnd w:id="60"/>
      <w:r>
        <w:rPr>
          <w:highlight w:val="none"/>
        </w:rPr>
      </w:r>
      <w:bookmarkEnd w:id="61"/>
      <w:r>
        <w:rPr>
          <w:highlight w:val="none"/>
        </w:rPr>
      </w:r>
      <w:bookmarkEnd w:id="91"/>
      <w:r>
        <w:rPr>
          <w:rFonts w:hint="eastAsia" w:ascii="方正黑体_GBK" w:hAnsi="方正黑体_GBK" w:eastAsia="方正黑体_GBK" w:cs="方正黑体_GBK"/>
          <w:color w:val="000000"/>
          <w:sz w:val="28"/>
          <w:szCs w:val="28"/>
          <w:highlight w:val="none"/>
        </w:rPr>
        <w:t xml:space="preserve">文件格式 </w:t>
      </w:r>
      <w:r>
        <w:rPr>
          <w:highlight w:val="none"/>
        </w:rPr>
      </w:r>
    </w:p>
    <w:p>
      <w:pPr>
        <w:jc w:val="center"/>
        <w:rPr>
          <w:rFonts w:hint="eastAsia" w:ascii="宋体" w:hAnsi="宋体"/>
          <w:b/>
          <w:color w:val="000000"/>
          <w:sz w:val="28"/>
          <w:szCs w:val="28"/>
          <w:highlight w:val="none"/>
        </w:rPr>
      </w:pPr>
      <w:r>
        <w:rPr>
          <w:highlight w:val="none"/>
        </w:rPr>
      </w:r>
      <w:bookmarkStart w:id="92" w:name="_Hlt26671244"/>
      <w:r>
        <w:rPr>
          <w:highlight w:val="none"/>
        </w:rPr>
      </w:r>
      <w:bookmarkEnd w:id="92"/>
      <w:r>
        <w:rPr>
          <w:highlight w:val="none"/>
        </w:rPr>
      </w:r>
      <w:bookmarkStart w:id="93" w:name="_Hlt26955039"/>
      <w:r>
        <w:rPr>
          <w:highlight w:val="none"/>
        </w:rPr>
      </w:r>
      <w:bookmarkEnd w:id="93"/>
      <w:r>
        <w:rPr>
          <w:highlight w:val="none"/>
        </w:rPr>
      </w:r>
      <w:bookmarkStart w:id="94" w:name="_Toc120614282"/>
      <w:r>
        <w:rPr>
          <w:highlight w:val="none"/>
        </w:rPr>
      </w:r>
      <w:bookmarkStart w:id="95" w:name="_Toc26554094"/>
      <w:r>
        <w:rPr>
          <w:highlight w:val="none"/>
        </w:rPr>
      </w:r>
      <w:bookmarkStart w:id="96" w:name="_Toc49090576"/>
      <w:r>
        <w:rPr>
          <w:highlight w:val="none"/>
        </w:rPr>
      </w:r>
      <w:r>
        <w:rPr>
          <w:highlight w:val="none"/>
        </w:rPr>
      </w:r>
    </w:p>
    <w:p>
      <w:pPr>
        <w:jc w:val="center"/>
        <w:rPr>
          <w:rFonts w:hint="eastAsia" w:ascii="方正小标宋_GBK" w:hAnsi="方正小标宋_GBK" w:eastAsia="方正小标宋_GBK" w:cs="方正小标宋_GBK"/>
          <w:bCs/>
          <w:color w:val="000000"/>
          <w:sz w:val="44"/>
          <w:szCs w:val="44"/>
          <w:highlight w:val="none"/>
        </w:rPr>
      </w:pPr>
      <w:r>
        <w:rPr>
          <w:rFonts w:hint="eastAsia" w:ascii="方正小标宋_GBK" w:hAnsi="方正小标宋_GBK" w:eastAsia="方正小标宋_GBK" w:cs="方正小标宋_GBK"/>
          <w:bCs/>
          <w:color w:val="000000"/>
          <w:sz w:val="44"/>
          <w:szCs w:val="44"/>
          <w:highlight w:val="none"/>
        </w:rPr>
      </w:r>
      <w:r>
        <w:rPr>
          <w:highlight w:val="none"/>
        </w:rPr>
      </w:r>
    </w:p>
    <w:p>
      <w:pPr>
        <w:jc w:val="center"/>
        <w:rPr>
          <w:rFonts w:hint="eastAsia" w:ascii="方正小标宋_GBK" w:hAnsi="方正小标宋_GBK" w:eastAsia="方正小标宋_GBK" w:cs="方正小标宋_GBK"/>
          <w:bCs/>
          <w:color w:val="000000"/>
          <w:sz w:val="32"/>
          <w:szCs w:val="32"/>
          <w:highlight w:val="none"/>
        </w:rPr>
      </w:pPr>
      <w:r>
        <w:rPr>
          <w:rFonts w:hint="eastAsia" w:ascii="方正小标宋_GBK" w:hAnsi="方正小标宋_GBK" w:eastAsia="方正小标宋_GBK" w:cs="方正小标宋_GBK"/>
          <w:bCs/>
          <w:color w:val="000000"/>
          <w:sz w:val="32"/>
          <w:szCs w:val="32"/>
          <w:highlight w:val="none"/>
        </w:rPr>
        <w:t xml:space="preserve">投  标  文  件</w:t>
      </w:r>
      <w:r>
        <w:rPr>
          <w:highlight w:val="none"/>
        </w:rPr>
      </w:r>
    </w:p>
    <w:p>
      <w:pPr>
        <w:jc w:val="center"/>
        <w:rPr>
          <w:rFonts w:hint="eastAsia" w:ascii="宋体" w:hAnsi="宋体"/>
          <w:b/>
          <w:color w:val="000000"/>
          <w:sz w:val="28"/>
          <w:szCs w:val="28"/>
          <w:highlight w:val="none"/>
        </w:rPr>
      </w:pPr>
      <w:r>
        <w:rPr>
          <w:rFonts w:hint="eastAsia" w:ascii="宋体" w:hAnsi="宋体"/>
          <w:b/>
          <w:color w:val="000000"/>
          <w:sz w:val="28"/>
          <w:szCs w:val="28"/>
          <w:highlight w:val="none"/>
        </w:rPr>
      </w:r>
      <w:r>
        <w:rPr>
          <w:highlight w:val="none"/>
        </w:rPr>
      </w:r>
    </w:p>
    <w:p>
      <w:pPr>
        <w:jc w:val="center"/>
        <w:rPr>
          <w:rFonts w:hint="eastAsia" w:ascii="宋体" w:hAnsi="宋体"/>
          <w:b/>
          <w:color w:val="000000"/>
          <w:sz w:val="28"/>
          <w:szCs w:val="28"/>
          <w:highlight w:val="none"/>
        </w:rPr>
      </w:pPr>
      <w:r>
        <w:rPr>
          <w:rFonts w:hint="eastAsia" w:ascii="宋体" w:hAnsi="宋体"/>
          <w:b/>
          <w:color w:val="000000"/>
          <w:sz w:val="28"/>
          <w:szCs w:val="28"/>
          <w:highlight w:val="none"/>
        </w:rPr>
      </w:r>
      <w:r>
        <w:rPr>
          <w:highlight w:val="none"/>
        </w:rPr>
      </w:r>
    </w:p>
    <w:p>
      <w:pPr>
        <w:jc w:val="center"/>
        <w:rPr>
          <w:rFonts w:hint="eastAsia" w:ascii="宋体" w:hAnsi="宋体"/>
          <w:b/>
          <w:color w:val="000000"/>
          <w:sz w:val="28"/>
          <w:szCs w:val="28"/>
          <w:highlight w:val="none"/>
        </w:rPr>
      </w:pPr>
      <w:r>
        <w:rPr>
          <w:rFonts w:hint="eastAsia" w:ascii="宋体" w:hAnsi="宋体"/>
          <w:b/>
          <w:color w:val="000000"/>
          <w:sz w:val="28"/>
          <w:szCs w:val="28"/>
          <w:highlight w:val="none"/>
        </w:rPr>
      </w:r>
      <w:r>
        <w:rPr>
          <w:highlight w:val="none"/>
        </w:rPr>
      </w:r>
    </w:p>
    <w:p>
      <w:pPr>
        <w:jc w:val="center"/>
        <w:rPr>
          <w:rFonts w:hint="eastAsia" w:ascii="宋体" w:hAnsi="宋体"/>
          <w:b/>
          <w:color w:val="000000"/>
          <w:sz w:val="28"/>
          <w:szCs w:val="28"/>
          <w:highlight w:val="none"/>
        </w:rPr>
      </w:pPr>
      <w:r>
        <w:rPr>
          <w:rFonts w:hint="eastAsia" w:ascii="宋体" w:hAnsi="宋体"/>
          <w:b/>
          <w:color w:val="000000"/>
          <w:sz w:val="28"/>
          <w:szCs w:val="28"/>
          <w:highlight w:val="none"/>
        </w:rPr>
      </w:r>
      <w:r>
        <w:rPr>
          <w:highlight w:val="none"/>
        </w:rPr>
      </w:r>
    </w:p>
    <w:p>
      <w:pPr>
        <w:jc w:val="center"/>
        <w:rPr>
          <w:rFonts w:hint="eastAsia" w:ascii="宋体" w:hAnsi="宋体"/>
          <w:b/>
          <w:color w:val="000000"/>
          <w:sz w:val="28"/>
          <w:szCs w:val="28"/>
          <w:highlight w:val="none"/>
        </w:rPr>
      </w:pPr>
      <w:r>
        <w:rPr>
          <w:rFonts w:hint="eastAsia" w:ascii="宋体" w:hAnsi="宋体"/>
          <w:b/>
          <w:color w:val="000000"/>
          <w:sz w:val="28"/>
          <w:szCs w:val="28"/>
          <w:highlight w:val="none"/>
        </w:rPr>
      </w:r>
      <w:r>
        <w:rPr>
          <w:highlight w:val="none"/>
        </w:rPr>
      </w:r>
    </w:p>
    <w:p>
      <w:pPr>
        <w:ind w:firstLine="840"/>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项 目 名 称：</w:t>
      </w:r>
      <w:r>
        <w:rPr>
          <w:rFonts w:hint="eastAsia" w:ascii="方正黑体_GBK" w:hAnsi="方正黑体_GBK" w:eastAsia="方正黑体_GBK" w:cs="方正黑体_GBK"/>
          <w:bCs/>
          <w:color w:val="000000"/>
          <w:sz w:val="28"/>
          <w:szCs w:val="28"/>
          <w:highlight w:val="none"/>
          <w:u w:val="single"/>
        </w:rPr>
        <w:t xml:space="preserve">               </w:t>
      </w:r>
      <w:r>
        <w:rPr>
          <w:highlight w:val="none"/>
        </w:rPr>
      </w:r>
    </w:p>
    <w:p>
      <w:pPr>
        <w:ind w:firstLine="840"/>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采 购 编 号：</w:t>
      </w:r>
      <w:r>
        <w:rPr>
          <w:rFonts w:hint="eastAsia" w:ascii="方正黑体_GBK" w:hAnsi="方正黑体_GBK" w:eastAsia="方正黑体_GBK" w:cs="方正黑体_GBK"/>
          <w:bCs/>
          <w:color w:val="000000"/>
          <w:sz w:val="28"/>
          <w:szCs w:val="28"/>
          <w:highlight w:val="none"/>
          <w:u w:val="single"/>
        </w:rPr>
        <w:t xml:space="preserve">               </w:t>
      </w:r>
      <w:r>
        <w:rPr>
          <w:highlight w:val="none"/>
        </w:rPr>
      </w:r>
    </w:p>
    <w:p>
      <w:pPr>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      投标人名称 ：</w:t>
      </w:r>
      <w:r>
        <w:rPr>
          <w:rFonts w:hint="eastAsia" w:ascii="方正黑体_GBK" w:hAnsi="方正黑体_GBK" w:eastAsia="方正黑体_GBK" w:cs="方正黑体_GBK"/>
          <w:bCs/>
          <w:color w:val="000000"/>
          <w:sz w:val="28"/>
          <w:szCs w:val="28"/>
          <w:highlight w:val="none"/>
          <w:u w:val="single"/>
        </w:rPr>
        <w:t xml:space="preserve">（加盖CA电子公章）</w:t>
      </w:r>
      <w:r>
        <w:rPr>
          <w:highlight w:val="none"/>
        </w:rPr>
      </w:r>
    </w:p>
    <w:p>
      <w:pPr>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      日      期 ：</w:t>
      </w:r>
      <w:r>
        <w:rPr>
          <w:rFonts w:hint="eastAsia" w:ascii="方正黑体_GBK" w:hAnsi="方正黑体_GBK" w:eastAsia="方正黑体_GBK" w:cs="方正黑体_GBK"/>
          <w:bCs/>
          <w:color w:val="000000"/>
          <w:sz w:val="28"/>
          <w:szCs w:val="28"/>
          <w:highlight w:val="none"/>
          <w:u w:val="single"/>
        </w:rPr>
        <w:t xml:space="preserve">               </w:t>
      </w:r>
      <w:r>
        <w:rPr>
          <w:highlight w:val="none"/>
        </w:rP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highlight w:val="none"/>
        </w:rPr>
      </w:r>
    </w:p>
    <w:p>
      <w:pPr>
        <w:spacing w:line="440" w:lineRule="exact"/>
        <w:rPr>
          <w:rFonts w:ascii="宋体" w:hAnsi="宋体"/>
          <w:color w:val="000000"/>
          <w:highlight w:val="none"/>
        </w:rPr>
      </w:pPr>
      <w:r>
        <w:rPr>
          <w:rFonts w:ascii="宋体" w:hAnsi="宋体"/>
          <w:color w:val="000000"/>
          <w:highlight w:val="none"/>
        </w:rPr>
      </w:r>
      <w:r>
        <w:rPr>
          <w:highlight w:val="none"/>
        </w:rPr>
      </w:r>
    </w:p>
    <w:p>
      <w:pPr>
        <w:ind w:firstLine="1084"/>
        <w:rPr>
          <w:rFonts w:ascii="宋体" w:hAnsi="宋体"/>
          <w:b/>
          <w:bCs/>
          <w:color w:val="000000"/>
          <w:sz w:val="32"/>
          <w:szCs w:val="32"/>
          <w:highlight w:val="none"/>
        </w:rPr>
      </w:pPr>
      <w:r>
        <w:rPr>
          <w:rFonts w:ascii="宋体" w:hAnsi="宋体"/>
          <w:b/>
          <w:color w:val="000000"/>
          <w:sz w:val="36"/>
          <w:highlight w:val="none"/>
          <w:u w:val="single"/>
        </w:rPr>
        <w:br w:type="page" w:clear="all"/>
      </w:r>
      <w:r>
        <w:rPr>
          <w:highlight w:val="none"/>
        </w:rPr>
      </w:r>
    </w:p>
    <w:p>
      <w:pPr>
        <w:jc w:val="center"/>
        <w:keepLines w:val="0"/>
        <w:keepNext w:val="0"/>
        <w:pageBreakBefore w:val="0"/>
        <w:spacing w:line="38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投标文件的组成</w:t>
      </w:r>
      <w:r>
        <w:rPr>
          <w:highlight w:val="none"/>
        </w:rPr>
      </w:r>
    </w:p>
    <w:p>
      <w:pPr>
        <w:jc w:val="center"/>
        <w:keepLines w:val="0"/>
        <w:keepNext w:val="0"/>
        <w:pageBreakBefore w:val="0"/>
        <w:spacing w:line="380" w:lineRule="exact"/>
        <w:widowControl w:val="off"/>
        <w:rPr>
          <w:rFonts w:hint="eastAsia" w:ascii="宋体" w:hAnsi="宋体"/>
          <w:b/>
          <w:bCs/>
          <w:color w:val="000000"/>
          <w:sz w:val="28"/>
          <w:szCs w:val="28"/>
          <w:highlight w:val="none"/>
        </w:rPr>
      </w:pPr>
      <w:r>
        <w:rPr>
          <w:rFonts w:hint="eastAsia" w:ascii="宋体" w:hAnsi="宋体"/>
          <w:b/>
          <w:bCs/>
          <w:color w:val="000000"/>
          <w:sz w:val="28"/>
          <w:szCs w:val="28"/>
          <w:highlight w:val="none"/>
        </w:rPr>
      </w:r>
      <w:r>
        <w:rPr>
          <w:highlight w:val="none"/>
        </w:rPr>
      </w:r>
    </w:p>
    <w:p>
      <w:pPr>
        <w:ind w:firstLine="560"/>
        <w:jc w:val="left"/>
        <w:keepLines w:val="0"/>
        <w:keepNext w:val="0"/>
        <w:pageBreakBefore w:val="0"/>
        <w:spacing w:line="38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一、基本目录</w:t>
      </w:r>
      <w:r>
        <w:rPr>
          <w:highlight w:val="none"/>
        </w:rPr>
      </w:r>
    </w:p>
    <w:p>
      <w:pPr>
        <w:ind w:firstLine="560"/>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1.开标一览表（格式见附件1）</w:t>
      </w:r>
      <w:r>
        <w:rPr>
          <w:highlight w:val="none"/>
        </w:rPr>
      </w:r>
    </w:p>
    <w:p>
      <w:pPr>
        <w:ind w:firstLine="560"/>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2.投标分项报价表（格式见附件2）</w:t>
      </w:r>
      <w:r>
        <w:rPr>
          <w:highlight w:val="none"/>
        </w:rPr>
      </w:r>
    </w:p>
    <w:p>
      <w:pPr>
        <w:ind w:firstLine="560"/>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3.技术要求响应及偏离表（格式见附件3）</w:t>
      </w:r>
      <w:r>
        <w:rPr>
          <w:highlight w:val="none"/>
        </w:rPr>
      </w:r>
    </w:p>
    <w:p>
      <w:pPr>
        <w:ind w:firstLine="560"/>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4.商务要求响应及偏离表（格式见附件4）</w:t>
      </w:r>
      <w:r>
        <w:rPr>
          <w:highlight w:val="none"/>
        </w:rPr>
      </w:r>
    </w:p>
    <w:p>
      <w:pPr>
        <w:ind w:firstLine="560"/>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rPr>
          <w:rFonts w:hint="eastAsia" w:eastAsia="方正仿宋_GBK"/>
          <w:color w:val="000000"/>
          <w:sz w:val="28"/>
          <w:szCs w:val="28"/>
          <w:highlight w:val="none"/>
        </w:rPr>
        <w:t xml:space="preserve">XXXX</w:t>
      </w:r>
      <w:r>
        <w:rPr>
          <w:rFonts w:hint="eastAsia" w:ascii="方正仿宋_GBK" w:hAnsi="方正仿宋_GBK" w:eastAsia="方正仿宋_GBK" w:cs="方正仿宋_GBK"/>
          <w:color w:val="000000"/>
          <w:sz w:val="28"/>
          <w:szCs w:val="28"/>
          <w:highlight w:val="none"/>
        </w:rPr>
        <w:t xml:space="preserve">（格式见附件</w:t>
      </w:r>
      <w:r>
        <w:rPr>
          <w:rFonts w:hint="eastAsia" w:eastAsia="方正仿宋_GBK"/>
          <w:color w:val="000000"/>
          <w:sz w:val="28"/>
          <w:szCs w:val="28"/>
          <w:highlight w:val="none"/>
        </w:rPr>
        <w:t xml:space="preserve">XX</w:t>
      </w:r>
      <w:r>
        <w:rPr>
          <w:rFonts w:hint="eastAsia" w:ascii="方正仿宋_GBK" w:hAnsi="方正仿宋_GBK" w:eastAsia="方正仿宋_GBK" w:cs="方正仿宋_GBK"/>
          <w:color w:val="000000"/>
          <w:sz w:val="28"/>
          <w:szCs w:val="28"/>
          <w:highlight w:val="none"/>
        </w:rPr>
        <w:t xml:space="preserve">）</w:t>
      </w:r>
      <w:r>
        <w:rPr>
          <w:highlight w:val="none"/>
        </w:rPr>
      </w:r>
    </w:p>
    <w:p>
      <w:pPr>
        <w:ind w:firstLine="560"/>
        <w:jc w:val="left"/>
        <w:keepLines w:val="0"/>
        <w:keepNext w:val="0"/>
        <w:pageBreakBefore w:val="0"/>
        <w:spacing w:line="38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二、资格审查内容</w:t>
      </w:r>
      <w:r>
        <w:rPr>
          <w:highlight w:val="none"/>
        </w:rPr>
      </w:r>
    </w:p>
    <w:p>
      <w:pPr>
        <w:ind w:firstLine="560"/>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1.法人或者其他组织的营业执照等证明文件，自然人的身份证明</w:t>
      </w:r>
      <w:r>
        <w:rPr>
          <w:highlight w:val="none"/>
        </w:rPr>
      </w:r>
    </w:p>
    <w:p>
      <w:pPr>
        <w:ind w:firstLine="560"/>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w:t>
      </w:r>
      <w:r>
        <w:rPr>
          <w:rFonts w:hint="eastAsia" w:ascii="方正仿宋_GBK" w:hAnsi="方正仿宋_GBK" w:eastAsia="方正仿宋_GBK" w:cs="方正仿宋_GBK"/>
          <w:color w:val="000000"/>
          <w:sz w:val="28"/>
          <w:szCs w:val="28"/>
          <w:highlight w:val="none"/>
          <w:lang w:val="en-US" w:eastAsia="zh-CN"/>
        </w:rPr>
        <w:t xml:space="preserve">上一</w:t>
      </w:r>
      <w:r>
        <w:rPr>
          <w:rFonts w:hint="eastAsia" w:ascii="方正仿宋_GBK" w:hAnsi="方正仿宋_GBK" w:eastAsia="方正仿宋_GBK" w:cs="方正仿宋_GBK"/>
          <w:color w:val="000000"/>
          <w:sz w:val="28"/>
          <w:szCs w:val="28"/>
          <w:highlight w:val="none"/>
        </w:rPr>
        <w:t xml:space="preserve">年度的财务状况报告（投标人成立不满一年无需提供）</w:t>
      </w:r>
      <w:r>
        <w:rPr>
          <w:highlight w:val="none"/>
        </w:rPr>
      </w:r>
    </w:p>
    <w:p>
      <w:pPr>
        <w:ind w:firstLine="560"/>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highlight w:val="none"/>
        </w:rPr>
      </w:r>
    </w:p>
    <w:p>
      <w:pPr>
        <w:ind w:firstLine="560"/>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4.具备履行合同所必需的设备和专业技术能力的书面声明（格式见附件5）</w:t>
      </w:r>
      <w:r>
        <w:rPr>
          <w:highlight w:val="none"/>
        </w:rPr>
      </w:r>
    </w:p>
    <w:p>
      <w:pPr>
        <w:ind w:firstLine="560"/>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5.参加政府采购活动前 3 年内在经营活动中没有重大违法记录的书面声明（格式见附件6）</w:t>
      </w:r>
      <w:r>
        <w:rPr>
          <w:highlight w:val="none"/>
        </w:rPr>
      </w:r>
    </w:p>
    <w:p>
      <w:pPr>
        <w:ind w:firstLine="560"/>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6.特定资格要求的证明文件（如果本项目对投标人做出特定资格要求的，必须提供）</w:t>
      </w:r>
      <w:r>
        <w:rPr>
          <w:highlight w:val="none"/>
        </w:rPr>
      </w:r>
    </w:p>
    <w:p>
      <w:pPr>
        <w:ind w:firstLine="560"/>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7.在“信用中国”网站（</w:t>
      </w:r>
      <w:r>
        <w:rPr>
          <w:rFonts w:hint="eastAsia" w:eastAsia="方正仿宋_GBK"/>
          <w:color w:val="000000"/>
          <w:sz w:val="28"/>
          <w:szCs w:val="28"/>
          <w:highlight w:val="none"/>
        </w:rPr>
        <w:t xml:space="preserve">www.creditchina.gov.cn</w:t>
      </w:r>
      <w:r>
        <w:rPr>
          <w:rFonts w:hint="eastAsia" w:ascii="方正仿宋_GBK" w:hAnsi="方正仿宋_GBK" w:eastAsia="方正仿宋_GBK" w:cs="方正仿宋_GBK"/>
          <w:color w:val="000000"/>
          <w:sz w:val="28"/>
          <w:szCs w:val="28"/>
          <w:highlight w:val="none"/>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highlight w:val="none"/>
        </w:rPr>
      </w:r>
    </w:p>
    <w:p>
      <w:pPr>
        <w:ind w:firstLine="560"/>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8.法人授权书（格式见附件7）</w:t>
      </w:r>
      <w:r>
        <w:rPr>
          <w:highlight w:val="none"/>
        </w:rPr>
      </w:r>
    </w:p>
    <w:p>
      <w:pPr>
        <w:ind w:firstLine="560"/>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9.投标函（格式见附件8）</w:t>
      </w:r>
      <w:r>
        <w:rPr>
          <w:highlight w:val="none"/>
        </w:rPr>
      </w:r>
    </w:p>
    <w:p>
      <w:pPr>
        <w:ind w:firstLine="560"/>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总备注：上述“资格审查内容”中1-6条、8、9条投标人必须在投标文件中提供相关材料，否则作无效投标处理。</w:t>
      </w:r>
      <w:r>
        <w:rPr>
          <w:highlight w:val="none"/>
        </w:rPr>
      </w:r>
    </w:p>
    <w:p>
      <w:pPr>
        <w:ind w:firstLine="560"/>
        <w:jc w:val="left"/>
        <w:keepLines w:val="0"/>
        <w:keepNext w:val="0"/>
        <w:pageBreakBefore w:val="0"/>
        <w:spacing w:line="38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三、符合性审查内容</w:t>
      </w:r>
      <w:r>
        <w:rPr>
          <w:highlight w:val="none"/>
        </w:rPr>
      </w:r>
    </w:p>
    <w:p>
      <w:pPr>
        <w:ind w:firstLine="560"/>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投标人必须对招标文件（含技术要求和商务要求）中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或加*号条款</w:t>
      </w:r>
      <w:r>
        <w:rPr>
          <w:rFonts w:hint="eastAsia" w:ascii="方正仿宋_GBK" w:hAnsi="方正仿宋_GBK" w:eastAsia="方正仿宋_GBK" w:cs="方正仿宋_GBK"/>
          <w:color w:val="000000"/>
          <w:sz w:val="28"/>
          <w:szCs w:val="28"/>
          <w:highlight w:val="none"/>
        </w:rPr>
        <w:t xml:space="preserve">的实质性要求逐条做出响应，并按照招标文件要求提供证明材料，否则作无效投标处理。（格式见附件11）</w:t>
      </w:r>
      <w:r>
        <w:rPr>
          <w:highlight w:val="none"/>
        </w:rPr>
      </w:r>
    </w:p>
    <w:p>
      <w:pPr>
        <w:ind w:firstLine="560"/>
        <w:jc w:val="left"/>
        <w:keepLines w:val="0"/>
        <w:keepNext w:val="0"/>
        <w:pageBreakBefore w:val="0"/>
        <w:spacing w:line="38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四、价格扣除证明文件</w:t>
      </w:r>
      <w:r>
        <w:rPr>
          <w:highlight w:val="none"/>
        </w:rPr>
      </w:r>
    </w:p>
    <w:p>
      <w:pPr>
        <w:ind w:firstLine="560"/>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1.中小微企业声明函（格式见附件9）</w:t>
      </w:r>
      <w:r>
        <w:rPr>
          <w:highlight w:val="none"/>
        </w:rPr>
      </w:r>
    </w:p>
    <w:p>
      <w:pPr>
        <w:ind w:firstLine="560"/>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2.残疾人福利性单位声明函（格式见附件10）</w:t>
      </w:r>
      <w:r>
        <w:rPr>
          <w:highlight w:val="none"/>
        </w:rPr>
      </w:r>
    </w:p>
    <w:p>
      <w:pPr>
        <w:ind w:firstLine="560"/>
        <w:keepLines w:val="0"/>
        <w:keepNext w:val="0"/>
        <w:pageBreakBefore w:val="0"/>
        <w:spacing w:line="38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3.关于符合本国产品标准的声明函（格式见附件12）</w:t>
      </w:r>
      <w:r>
        <w:rPr>
          <w:highlight w:val="none"/>
        </w:rPr>
      </w:r>
    </w:p>
    <w:p>
      <w:pPr>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附件1 开标一览表</w:t>
      </w:r>
      <w:r>
        <w:rPr>
          <w:highlight w:val="none"/>
        </w:rP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投标人全称（加盖CA电子签章）：</w:t>
      </w:r>
      <w:r>
        <w:rPr>
          <w:highlight w:val="none"/>
        </w:rPr>
      </w:r>
    </w:p>
    <w:p>
      <w:pPr>
        <w:ind w:firstLine="482"/>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项目名称：</w:t>
      </w:r>
      <w:r>
        <w:rPr>
          <w:rFonts w:hint="eastAsia" w:eastAsia="方正仿宋_GBK"/>
          <w:color w:val="000000"/>
          <w:sz w:val="28"/>
          <w:szCs w:val="28"/>
          <w:highlight w:val="none"/>
        </w:rPr>
        <w:t xml:space="preserve">XXXX</w:t>
      </w:r>
      <w:r>
        <w:rPr>
          <w:highlight w:val="none"/>
        </w:rP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采购编号：</w:t>
      </w:r>
      <w:r>
        <w:rPr>
          <w:rFonts w:hint="eastAsia" w:eastAsia="方正仿宋_GBK"/>
          <w:color w:val="000000"/>
          <w:sz w:val="28"/>
          <w:szCs w:val="28"/>
          <w:highlight w:val="none"/>
        </w:rPr>
        <w:t xml:space="preserve">JSZC-320000-SCZX-G20XX-XXXX    </w:t>
      </w:r>
      <w:r>
        <w:rPr>
          <w:rFonts w:hint="eastAsia" w:ascii="方正仿宋_GBK" w:hAnsi="方正仿宋_GBK" w:eastAsia="方正仿宋_GBK" w:cs="方正仿宋_GBK"/>
          <w:color w:val="000000"/>
          <w:sz w:val="28"/>
          <w:szCs w:val="28"/>
          <w:highlight w:val="none"/>
        </w:rPr>
        <w:t xml:space="preserve">                                  </w:t>
      </w:r>
      <w:r>
        <w:rPr>
          <w:highlight w:val="none"/>
        </w:rPr>
      </w:r>
    </w:p>
    <w:p>
      <w:pPr>
        <w:ind w:firstLine="482"/>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采购包号：</w:t>
      </w:r>
      <w:r>
        <w:rPr>
          <w:rFonts w:hint="eastAsia" w:eastAsia="方正仿宋_GBK"/>
          <w:color w:val="000000"/>
          <w:sz w:val="28"/>
          <w:szCs w:val="28"/>
          <w:highlight w:val="none"/>
        </w:rPr>
        <w:t xml:space="preserve">XX</w:t>
      </w:r>
      <w:r>
        <w:rPr>
          <w:highlight w:val="none"/>
        </w:rPr>
      </w:r>
    </w:p>
    <w:tbl>
      <w:tblPr>
        <w:tblStyle w:val="7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投标总报价</w:t>
            </w:r>
            <w:r>
              <w:rPr>
                <w:highlight w:val="none"/>
              </w:rPr>
            </w:r>
          </w:p>
        </w:tc>
      </w:tr>
      <w:tr>
        <w:trPr>
          <w:cantSplit/>
          <w:trHeight w:val="612"/>
        </w:trPr>
        <w:tc>
          <w:tcPr>
            <w:tcW w:w="8934" w:type="dxa"/>
            <w:vAlign w:val="center"/>
            <w:textDirection w:val="lrTb"/>
            <w:noWrap w:val="false"/>
          </w:tcPr>
          <w:p>
            <w:pPr>
              <w:pStyle w:val="969"/>
              <w:ind w:firstLine="0"/>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小写：                             （人民币：元）</w:t>
            </w:r>
            <w:r>
              <w:rPr>
                <w:highlight w:val="none"/>
              </w:rPr>
            </w:r>
          </w:p>
        </w:tc>
      </w:tr>
    </w:tbl>
    <w:p>
      <w:pPr>
        <w:ind w:firstLine="480"/>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p>
    <w:p>
      <w:pPr>
        <w:spacing w:line="400" w:lineRule="exact"/>
        <w:rPr>
          <w:rFonts w:ascii="宋体" w:hAnsi="宋体"/>
          <w:color w:val="000000"/>
          <w:sz w:val="28"/>
          <w:szCs w:val="28"/>
          <w:highlight w:val="none"/>
        </w:rPr>
      </w:pPr>
      <w:r>
        <w:rPr>
          <w:rFonts w:ascii="宋体" w:hAnsi="宋体"/>
          <w:color w:val="000000"/>
          <w:sz w:val="28"/>
          <w:szCs w:val="28"/>
          <w:highlight w:val="none"/>
        </w:rPr>
      </w:r>
      <w:r>
        <w:rPr>
          <w:highlight w:val="none"/>
        </w:rPr>
      </w:r>
    </w:p>
    <w:p>
      <w:pPr>
        <w:spacing w:line="400" w:lineRule="exact"/>
        <w:rPr>
          <w:rFonts w:ascii="宋体" w:hAnsi="宋体"/>
          <w:color w:val="000000"/>
          <w:sz w:val="28"/>
          <w:szCs w:val="28"/>
          <w:highlight w:val="none"/>
        </w:rPr>
      </w:pPr>
      <w:r>
        <w:rPr>
          <w:rFonts w:ascii="宋体" w:hAnsi="宋体"/>
          <w:color w:val="000000"/>
          <w:sz w:val="28"/>
          <w:szCs w:val="28"/>
          <w:highlight w:val="none"/>
        </w:rPr>
      </w:r>
      <w:r>
        <w:rPr>
          <w:highlight w:val="none"/>
        </w:rPr>
      </w:r>
    </w:p>
    <w:p>
      <w:pPr>
        <w:spacing w:line="400" w:lineRule="exact"/>
        <w:rPr>
          <w:rFonts w:ascii="宋体" w:hAnsi="宋体"/>
          <w:color w:val="000000"/>
          <w:sz w:val="28"/>
          <w:szCs w:val="28"/>
          <w:highlight w:val="none"/>
        </w:rPr>
      </w:pPr>
      <w:r>
        <w:rPr>
          <w:rFonts w:ascii="宋体" w:hAnsi="宋体"/>
          <w:color w:val="000000"/>
          <w:sz w:val="28"/>
          <w:szCs w:val="28"/>
          <w:highlight w:val="none"/>
        </w:rPr>
      </w:r>
      <w:r>
        <w:rPr>
          <w:highlight w:val="none"/>
        </w:rP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附件2 投标分项报价表（采购包号：</w:t>
      </w:r>
      <w:r>
        <w:rPr>
          <w:rFonts w:hint="eastAsia" w:eastAsia="方正仿宋_GBK"/>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rPr>
          <w:highlight w:val="none"/>
        </w:rPr>
      </w:r>
    </w:p>
    <w:tbl>
      <w:tblPr>
        <w:tblStyle w:val="711"/>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highlight w:val="none"/>
              </w:rP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highlight w:val="none"/>
              </w:rP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highlight w:val="none"/>
              </w:rP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highlight w:val="none"/>
              </w:rP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rPr>
                <w:highlight w:val="none"/>
              </w:rPr>
            </w:r>
          </w:p>
        </w:tc>
        <w:tc>
          <w:tcPr>
            <w:tcW w:w="104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rPr>
                <w:highlight w:val="none"/>
              </w:rP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w:t>
            </w:r>
            <w:r>
              <w:rPr>
                <w:highlight w:val="none"/>
              </w:rP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w:t>
            </w:r>
            <w:r>
              <w:rPr>
                <w:highlight w:val="none"/>
              </w:rP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w:t>
            </w:r>
            <w:r>
              <w:rPr>
                <w:highlight w:val="none"/>
              </w:rP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w:t>
            </w:r>
            <w:r>
              <w:rPr>
                <w:highlight w:val="none"/>
              </w:rPr>
            </w:r>
          </w:p>
        </w:tc>
      </w:tr>
      <w:tr>
        <w:trPr>
          <w:cantSplit/>
          <w:trHeight w:val="294"/>
        </w:trPr>
        <w:tc>
          <w:tcPr>
            <w:tcW w:w="72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highlight w:val="none"/>
              </w:rPr>
            </w:r>
          </w:p>
        </w:tc>
        <w:tc>
          <w:tcPr>
            <w:tcW w:w="1106" w:type="dxa"/>
            <w:vAlign w:val="center"/>
            <w:textDirection w:val="lrTb"/>
            <w:noWrap w:val="false"/>
          </w:tcPr>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分项服务名称/货物名称</w:t>
            </w:r>
            <w:r>
              <w:rPr>
                <w:highlight w:val="none"/>
              </w:rP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品牌</w:t>
            </w:r>
            <w:r>
              <w:rPr>
                <w:highlight w:val="none"/>
              </w:rP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规格</w:t>
            </w:r>
            <w:r>
              <w:rPr>
                <w:highlight w:val="none"/>
              </w:rP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型号</w:t>
            </w:r>
            <w:r>
              <w:rPr>
                <w:highlight w:val="none"/>
              </w:rP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制造商名称</w:t>
            </w:r>
            <w:r>
              <w:rPr>
                <w:highlight w:val="none"/>
              </w:rPr>
            </w:r>
          </w:p>
        </w:tc>
        <w:tc>
          <w:tcPr>
            <w:tcW w:w="104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产地</w:t>
            </w:r>
            <w:r>
              <w:rPr>
                <w:highlight w:val="none"/>
              </w:rP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交付期/服务期</w:t>
            </w:r>
            <w:r>
              <w:rPr>
                <w:highlight w:val="none"/>
              </w:rP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数量</w:t>
            </w:r>
            <w:r>
              <w:rPr>
                <w:highlight w:val="none"/>
              </w:rP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rPr>
                <w:highlight w:val="none"/>
              </w:rP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单价</w:t>
            </w:r>
            <w:r>
              <w:rPr>
                <w:highlight w:val="none"/>
              </w:rP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rPr>
                <w:highlight w:val="none"/>
              </w:rP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总价</w:t>
            </w:r>
            <w:r>
              <w:rPr>
                <w:highlight w:val="none"/>
              </w:rPr>
            </w:r>
          </w:p>
        </w:tc>
      </w:tr>
      <w:tr>
        <w:trPr>
          <w:cantSplit/>
          <w:trHeight w:val="696"/>
        </w:trPr>
        <w:tc>
          <w:tcPr>
            <w:tcW w:w="72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highlight w:val="none"/>
              </w:rP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1040"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合同签订后</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w:t>
            </w:r>
            <w:r>
              <w:rPr>
                <w:highlight w:val="none"/>
              </w:rP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r>
      <w:tr>
        <w:trPr>
          <w:cantSplit/>
          <w:trHeight w:val="724"/>
        </w:trPr>
        <w:tc>
          <w:tcPr>
            <w:tcW w:w="72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highlight w:val="none"/>
              </w:rP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1040"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r>
      <w:tr>
        <w:trPr>
          <w:cantSplit/>
          <w:trHeight w:val="640"/>
        </w:trPr>
        <w:tc>
          <w:tcPr>
            <w:tcW w:w="72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rPr>
                <w:highlight w:val="none"/>
              </w:rP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1040"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r>
      <w:tr>
        <w:trPr>
          <w:cantSplit/>
          <w:trHeight w:val="580"/>
        </w:trPr>
        <w:tc>
          <w:tcPr>
            <w:tcW w:w="72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highlight w:val="none"/>
              </w:rP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highlight w:val="none"/>
              </w:rP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1040"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r>
      <w:tr>
        <w:trPr>
          <w:cantSplit/>
          <w:trHeight w:val="434"/>
        </w:trPr>
        <w:tc>
          <w:tcPr>
            <w:gridSpan w:val="10"/>
            <w:tcW w:w="9861" w:type="dxa"/>
            <w:vAlign w:val="top"/>
            <w:textDirection w:val="lrTb"/>
            <w:noWrap w:val="false"/>
          </w:tcPr>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投标总报价（人民币：元）</w:t>
            </w:r>
            <w:r>
              <w:rPr>
                <w:rFonts w:hint="eastAsia" w:ascii="方正仿宋_GBK" w:hAnsi="方正仿宋_GBK" w:eastAsia="方正仿宋_GBK" w:cs="方正仿宋_GBK"/>
                <w:color w:val="000000"/>
                <w:sz w:val="28"/>
                <w:szCs w:val="28"/>
                <w:highlight w:val="none"/>
                <w:u w:val="single"/>
              </w:rPr>
              <w:t xml:space="preserve">                             </w:t>
            </w:r>
            <w:r>
              <w:rPr>
                <w:highlight w:val="none"/>
              </w:rPr>
            </w:r>
          </w:p>
        </w:tc>
      </w:tr>
      <w:tr>
        <w:trPr>
          <w:cantSplit/>
          <w:trHeight w:val="757"/>
        </w:trPr>
        <w:tc>
          <w:tcPr>
            <w:gridSpan w:val="10"/>
            <w:tcW w:w="9861" w:type="dxa"/>
            <w:vAlign w:val="top"/>
            <w:textDirection w:val="lrTb"/>
            <w:noWrap w:val="false"/>
          </w:tcPr>
          <w:p>
            <w:pPr>
              <w:pStyle w:val="943"/>
              <w:spacing w:before="0" w:beforeAutospacing="0" w:after="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本采购包中提供的符合本国产品标准的货物成本之和占该采购包全部成本之和的比例为</w:t>
            </w:r>
            <w:r>
              <w:rPr>
                <w:rFonts w:hint="eastAsia" w:ascii="方正仿宋_GBK" w:hAnsi="方正仿宋_GBK" w:eastAsia="方正仿宋_GBK" w:cs="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w:t>
            </w:r>
            <w:r>
              <w:rPr>
                <w:highlight w:val="none"/>
              </w:rPr>
            </w:r>
          </w:p>
        </w:tc>
      </w:tr>
    </w:tbl>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highlight w:val="none"/>
        </w:rP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highlight w:val="none"/>
        </w:rP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2.“投标分项报价表”中“投标总报价”数额应当与“开标一览表”中“投标总报价”数额一致。</w:t>
      </w:r>
      <w:r>
        <w:rPr>
          <w:highlight w:val="none"/>
        </w:rP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3.分项服务不需填写品牌、规格型号、制造商、产地。</w:t>
      </w:r>
      <w:r>
        <w:rPr>
          <w:highlight w:val="none"/>
        </w:rP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color w:val="000000"/>
          <w:sz w:val="28"/>
          <w:szCs w:val="28"/>
          <w:highlight w:val="none"/>
          <w:u w:val="single"/>
        </w:rPr>
        <w:t xml:space="preserve">80%</w:t>
      </w:r>
      <w:r>
        <w:rPr>
          <w:rFonts w:hint="eastAsia" w:ascii="方正仿宋_GBK" w:hAnsi="方正仿宋_GBK" w:eastAsia="方正仿宋_GBK" w:cs="方正仿宋_GBK"/>
          <w:color w:val="000000"/>
          <w:sz w:val="28"/>
          <w:szCs w:val="28"/>
          <w:highlight w:val="none"/>
        </w:rPr>
        <w:t xml:space="preserve">的，将不享受本国产品价格评审优惠。</w:t>
      </w:r>
      <w:r>
        <w:rPr>
          <w:highlight w:val="none"/>
        </w:rP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5.项目经办人可以根据项目实际需要对表格结构进行调整。</w:t>
      </w:r>
      <w:r>
        <w:rPr>
          <w:highlight w:val="none"/>
        </w:rP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人员工资、社会保险和公积金三项费用报价表（采购包号：</w:t>
      </w:r>
      <w:r>
        <w:rPr>
          <w:rFonts w:eastAsia="方正黑体_GBK"/>
          <w:bCs/>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rPr>
          <w:highlight w:val="none"/>
        </w:rPr>
      </w:r>
    </w:p>
    <w:tbl>
      <w:tblPr>
        <w:tblStyle w:val="711"/>
        <w:tblW w:w="497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1482"/>
        <w:gridCol w:w="704"/>
        <w:gridCol w:w="941"/>
        <w:gridCol w:w="1094"/>
        <w:gridCol w:w="1106"/>
        <w:gridCol w:w="2967"/>
      </w:tblGrid>
      <w:tr>
        <w:trPr>
          <w:trHeight w:val="369"/>
        </w:trPr>
        <w:tc>
          <w:tcPr>
            <w:tcW w:w="337" w:type="dxa"/>
            <w:vAlign w:val="center"/>
            <w:textDirection w:val="lrTb"/>
            <w:noWrap w:val="false"/>
          </w:tcPr>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序号</w:t>
            </w:r>
            <w:r>
              <w:rPr>
                <w:highlight w:val="none"/>
              </w:rPr>
            </w:r>
          </w:p>
        </w:tc>
        <w:tc>
          <w:tcPr>
            <w:tcW w:w="833" w:type="dxa"/>
            <w:vAlign w:val="center"/>
            <w:textDirection w:val="lrTb"/>
            <w:noWrap w:val="false"/>
          </w:tcPr>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分项名称</w:t>
            </w:r>
            <w:r>
              <w:rPr>
                <w:highlight w:val="none"/>
              </w:rPr>
            </w:r>
          </w:p>
        </w:tc>
        <w:tc>
          <w:tcPr>
            <w:tcW w:w="396" w:type="dxa"/>
            <w:vAlign w:val="center"/>
            <w:textDirection w:val="lrTb"/>
            <w:noWrap w:val="false"/>
          </w:tcPr>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数量</w:t>
            </w:r>
            <w:r>
              <w:rPr>
                <w:highlight w:val="none"/>
              </w:rPr>
            </w:r>
          </w:p>
        </w:tc>
        <w:tc>
          <w:tcPr>
            <w:tcW w:w="529" w:type="dxa"/>
            <w:vAlign w:val="center"/>
            <w:textDirection w:val="lrTb"/>
            <w:noWrap w:val="false"/>
          </w:tcPr>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分项</w:t>
            </w:r>
            <w:r>
              <w:rPr>
                <w:highlight w:val="none"/>
              </w:rPr>
            </w:r>
          </w:p>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单价</w:t>
            </w:r>
            <w:r>
              <w:rPr>
                <w:highlight w:val="none"/>
              </w:rPr>
            </w:r>
          </w:p>
        </w:tc>
        <w:tc>
          <w:tcPr>
            <w:tcW w:w="615" w:type="dxa"/>
            <w:vAlign w:val="center"/>
            <w:textDirection w:val="lrTb"/>
            <w:noWrap w:val="false"/>
          </w:tcPr>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期 限</w:t>
            </w:r>
            <w:r>
              <w:rPr>
                <w:highlight w:val="none"/>
              </w:rPr>
            </w:r>
          </w:p>
        </w:tc>
        <w:tc>
          <w:tcPr>
            <w:tcW w:w="622" w:type="dxa"/>
            <w:vAlign w:val="center"/>
            <w:textDirection w:val="lrTb"/>
            <w:noWrap w:val="false"/>
          </w:tcPr>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分项</w:t>
            </w:r>
            <w:r>
              <w:rPr>
                <w:highlight w:val="none"/>
              </w:rPr>
            </w:r>
          </w:p>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总价1</w:t>
            </w:r>
            <w:r>
              <w:rPr>
                <w:highlight w:val="none"/>
              </w:rPr>
            </w:r>
          </w:p>
        </w:tc>
        <w:tc>
          <w:tcPr>
            <w:tcW w:w="1663" w:type="dxa"/>
            <w:vAlign w:val="center"/>
            <w:vMerge w:val="restart"/>
            <w:textDirection w:val="lrTb"/>
            <w:noWrap w:val="false"/>
          </w:tcPr>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要求说明</w:t>
            </w:r>
            <w:r>
              <w:rPr>
                <w:highlight w:val="none"/>
              </w:rPr>
            </w:r>
          </w:p>
        </w:tc>
      </w:tr>
      <w:tr>
        <w:trPr>
          <w:trHeight w:val="369"/>
        </w:trPr>
        <w:tc>
          <w:tcPr>
            <w:tcW w:w="337" w:type="dxa"/>
            <w:vAlign w:val="center"/>
            <w:textDirection w:val="lrTb"/>
            <w:noWrap w:val="false"/>
          </w:tcPr>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1</w:t>
            </w:r>
            <w:r>
              <w:rPr>
                <w:highlight w:val="none"/>
              </w:rPr>
            </w:r>
          </w:p>
        </w:tc>
        <w:tc>
          <w:tcPr>
            <w:tcW w:w="833" w:type="dxa"/>
            <w:vAlign w:val="center"/>
            <w:textDirection w:val="lrTb"/>
            <w:noWrap w:val="false"/>
          </w:tcPr>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人员工资</w:t>
            </w:r>
            <w:r>
              <w:rPr>
                <w:highlight w:val="none"/>
              </w:rPr>
            </w:r>
          </w:p>
        </w:tc>
        <w:tc>
          <w:tcPr>
            <w:tcW w:w="396" w:type="dxa"/>
            <w:vAlign w:val="center"/>
            <w:textDirection w:val="lrTb"/>
            <w:noWrap w:val="false"/>
          </w:tcPr>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人数</w:t>
            </w:r>
            <w:r>
              <w:rPr>
                <w:highlight w:val="none"/>
              </w:rPr>
            </w:r>
          </w:p>
        </w:tc>
        <w:tc>
          <w:tcPr>
            <w:tcW w:w="529" w:type="dxa"/>
            <w:vAlign w:val="center"/>
            <w:textDirection w:val="lrTb"/>
            <w:noWrap w:val="false"/>
          </w:tcPr>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元/月·人</w:t>
            </w:r>
            <w:r>
              <w:rPr>
                <w:highlight w:val="none"/>
              </w:rPr>
            </w:r>
          </w:p>
        </w:tc>
        <w:tc>
          <w:tcPr>
            <w:tcW w:w="615" w:type="dxa"/>
            <w:vAlign w:val="center"/>
            <w:textDirection w:val="lrTb"/>
            <w:noWrap w:val="false"/>
          </w:tcPr>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月</w:t>
            </w:r>
            <w:r>
              <w:rPr>
                <w:highlight w:val="none"/>
              </w:rPr>
            </w:r>
          </w:p>
        </w:tc>
        <w:tc>
          <w:tcPr>
            <w:tcW w:w="622" w:type="dxa"/>
            <w:vAlign w:val="center"/>
            <w:textDirection w:val="lrTb"/>
            <w:noWrap w:val="false"/>
          </w:tcPr>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元</w:t>
            </w:r>
            <w:r>
              <w:rPr>
                <w:highlight w:val="none"/>
              </w:rPr>
            </w:r>
          </w:p>
        </w:tc>
        <w:tc>
          <w:tcPr>
            <w:tcW w:w="1663" w:type="dxa"/>
            <w:vAlign w:val="center"/>
            <w:vMerge w:val="continue"/>
            <w:textDirection w:val="lrTb"/>
            <w:noWrap w:val="false"/>
          </w:tcPr>
          <w:p>
            <w:pPr>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trHeight w:val="369"/>
        </w:trPr>
        <w:tc>
          <w:tcPr>
            <w:tcW w:w="337"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w:t>
            </w:r>
            <w:r>
              <w:rPr>
                <w:highlight w:val="none"/>
              </w:rPr>
            </w:r>
          </w:p>
        </w:tc>
        <w:tc>
          <w:tcPr>
            <w:tcW w:w="833"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岗位1（如：保洁员1）</w:t>
            </w:r>
            <w:r>
              <w:rPr>
                <w:highlight w:val="none"/>
              </w:rPr>
            </w:r>
          </w:p>
        </w:tc>
        <w:tc>
          <w:tcPr>
            <w:tcW w:w="396" w:type="dxa"/>
            <w:vAlign w:val="center"/>
            <w:textDirection w:val="lrTb"/>
            <w:noWrap w:val="false"/>
          </w:tcPr>
          <w:p>
            <w:pPr>
              <w:jc w:val="center"/>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rPr>
                <w:highlight w:val="none"/>
              </w:rPr>
            </w:r>
          </w:p>
        </w:tc>
        <w:tc>
          <w:tcPr>
            <w:tcW w:w="529" w:type="dxa"/>
            <w:vAlign w:val="center"/>
            <w:textDirection w:val="lrTb"/>
            <w:noWrap w:val="false"/>
          </w:tcPr>
          <w:p>
            <w:pPr>
              <w:jc w:val="center"/>
              <w:spacing w:line="40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r>
            <w:r>
              <w:rPr>
                <w:highlight w:val="none"/>
              </w:rPr>
            </w:r>
          </w:p>
        </w:tc>
        <w:tc>
          <w:tcPr>
            <w:tcW w:w="615" w:type="dxa"/>
            <w:vAlign w:val="top"/>
            <w:textDirection w:val="lrTb"/>
            <w:noWrap w:val="false"/>
          </w:tcPr>
          <w:p>
            <w:pPr>
              <w:jc w:val="center"/>
              <w:spacing w:line="40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r>
            <w:r>
              <w:rPr>
                <w:highlight w:val="none"/>
              </w:rPr>
            </w:r>
          </w:p>
        </w:tc>
        <w:tc>
          <w:tcPr>
            <w:tcW w:w="622" w:type="dxa"/>
            <w:vAlign w:val="center"/>
            <w:textDirection w:val="lrTb"/>
            <w:noWrap w:val="false"/>
          </w:tcPr>
          <w:p>
            <w:pPr>
              <w:jc w:val="center"/>
              <w:spacing w:line="40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r>
            <w:r>
              <w:rPr>
                <w:highlight w:val="none"/>
              </w:rPr>
            </w:r>
          </w:p>
        </w:tc>
        <w:tc>
          <w:tcPr>
            <w:tcW w:w="1663" w:type="dxa"/>
            <w:vAlign w:val="center"/>
            <w:textDirection w:val="lrTb"/>
            <w:noWrap w:val="false"/>
          </w:tcPr>
          <w:p>
            <w:pPr>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r>
      <w:tr>
        <w:trPr>
          <w:trHeight w:val="369"/>
        </w:trPr>
        <w:tc>
          <w:tcPr>
            <w:tcW w:w="337"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w:t>
            </w:r>
            <w:r>
              <w:rPr>
                <w:highlight w:val="none"/>
              </w:rPr>
            </w:r>
          </w:p>
        </w:tc>
        <w:tc>
          <w:tcPr>
            <w:tcW w:w="833"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岗位2（如：保洁员2）</w:t>
            </w:r>
            <w:r>
              <w:rPr>
                <w:highlight w:val="none"/>
              </w:rPr>
            </w:r>
          </w:p>
        </w:tc>
        <w:tc>
          <w:tcPr>
            <w:tcW w:w="396" w:type="dxa"/>
            <w:vAlign w:val="center"/>
            <w:textDirection w:val="lrTb"/>
            <w:noWrap w:val="false"/>
          </w:tcPr>
          <w:p>
            <w:pPr>
              <w:jc w:val="center"/>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rPr>
                <w:highlight w:val="none"/>
              </w:rPr>
            </w:r>
          </w:p>
        </w:tc>
        <w:tc>
          <w:tcPr>
            <w:tcW w:w="529" w:type="dxa"/>
            <w:vAlign w:val="center"/>
            <w:textDirection w:val="lrTb"/>
            <w:noWrap w:val="false"/>
          </w:tcPr>
          <w:p>
            <w:pPr>
              <w:jc w:val="center"/>
              <w:spacing w:line="40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r>
            <w:r>
              <w:rPr>
                <w:highlight w:val="none"/>
              </w:rPr>
            </w:r>
          </w:p>
        </w:tc>
        <w:tc>
          <w:tcPr>
            <w:tcW w:w="615" w:type="dxa"/>
            <w:vAlign w:val="top"/>
            <w:textDirection w:val="lrTb"/>
            <w:noWrap w:val="false"/>
          </w:tcPr>
          <w:p>
            <w:pPr>
              <w:jc w:val="center"/>
              <w:spacing w:line="40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r>
            <w:r>
              <w:rPr>
                <w:highlight w:val="none"/>
              </w:rPr>
            </w:r>
          </w:p>
        </w:tc>
        <w:tc>
          <w:tcPr>
            <w:tcW w:w="622" w:type="dxa"/>
            <w:vAlign w:val="center"/>
            <w:textDirection w:val="lrTb"/>
            <w:noWrap w:val="false"/>
          </w:tcPr>
          <w:p>
            <w:pPr>
              <w:jc w:val="center"/>
              <w:spacing w:line="40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r>
            <w:r>
              <w:rPr>
                <w:highlight w:val="none"/>
              </w:rPr>
            </w:r>
          </w:p>
        </w:tc>
        <w:tc>
          <w:tcPr>
            <w:tcW w:w="1663" w:type="dxa"/>
            <w:vAlign w:val="center"/>
            <w:textDirection w:val="lrTb"/>
            <w:noWrap w:val="false"/>
          </w:tcPr>
          <w:p>
            <w:pPr>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r>
      <w:tr>
        <w:trPr>
          <w:trHeight w:val="369"/>
        </w:trPr>
        <w:tc>
          <w:tcPr>
            <w:tcW w:w="337"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w:t>
            </w:r>
            <w:r>
              <w:rPr>
                <w:highlight w:val="none"/>
              </w:rPr>
            </w:r>
          </w:p>
        </w:tc>
        <w:tc>
          <w:tcPr>
            <w:tcW w:w="833"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highlight w:val="none"/>
              </w:rPr>
            </w:r>
          </w:p>
        </w:tc>
        <w:tc>
          <w:tcPr>
            <w:tcW w:w="396" w:type="dxa"/>
            <w:vAlign w:val="center"/>
            <w:textDirection w:val="lrTb"/>
            <w:noWrap w:val="false"/>
          </w:tcPr>
          <w:p>
            <w:pPr>
              <w:jc w:val="center"/>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rPr>
                <w:highlight w:val="none"/>
              </w:rPr>
            </w:r>
          </w:p>
        </w:tc>
        <w:tc>
          <w:tcPr>
            <w:tcW w:w="529" w:type="dxa"/>
            <w:vAlign w:val="center"/>
            <w:textDirection w:val="lrTb"/>
            <w:noWrap w:val="false"/>
          </w:tcPr>
          <w:p>
            <w:pPr>
              <w:jc w:val="center"/>
              <w:spacing w:line="40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r>
            <w:r>
              <w:rPr>
                <w:highlight w:val="none"/>
              </w:rPr>
            </w:r>
          </w:p>
        </w:tc>
        <w:tc>
          <w:tcPr>
            <w:tcW w:w="615" w:type="dxa"/>
            <w:vAlign w:val="top"/>
            <w:textDirection w:val="lrTb"/>
            <w:noWrap w:val="false"/>
          </w:tcPr>
          <w:p>
            <w:pPr>
              <w:jc w:val="center"/>
              <w:spacing w:line="40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r>
            <w:r>
              <w:rPr>
                <w:highlight w:val="none"/>
              </w:rPr>
            </w:r>
          </w:p>
        </w:tc>
        <w:tc>
          <w:tcPr>
            <w:tcW w:w="622" w:type="dxa"/>
            <w:vAlign w:val="center"/>
            <w:textDirection w:val="lrTb"/>
            <w:noWrap w:val="false"/>
          </w:tcPr>
          <w:p>
            <w:pPr>
              <w:jc w:val="center"/>
              <w:spacing w:line="40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r>
            <w:r>
              <w:rPr>
                <w:highlight w:val="none"/>
              </w:rPr>
            </w:r>
          </w:p>
        </w:tc>
        <w:tc>
          <w:tcPr>
            <w:tcW w:w="1663" w:type="dxa"/>
            <w:vAlign w:val="center"/>
            <w:textDirection w:val="lrTb"/>
            <w:noWrap w:val="false"/>
          </w:tcPr>
          <w:p>
            <w:pPr>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r>
      <w:tr>
        <w:trPr>
          <w:trHeight w:val="369"/>
        </w:trPr>
        <w:tc>
          <w:tcPr>
            <w:gridSpan w:val="7"/>
            <w:tcW w:w="9119" w:type="dxa"/>
            <w:vAlign w:val="center"/>
            <w:textDirection w:val="lrTb"/>
            <w:noWrap w:val="false"/>
          </w:tcPr>
          <w:p>
            <w:pPr>
              <w:jc w:val="left"/>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分项总价1 合计：</w:t>
            </w:r>
            <w:r>
              <w:rPr>
                <w:rFonts w:hint="eastAsia" w:ascii="方正仿宋_GBK" w:hAnsi="方正仿宋_GBK" w:eastAsia="方正仿宋_GBK" w:cs="方正仿宋_GBK"/>
                <w:b/>
                <w:color w:val="000000"/>
                <w:sz w:val="28"/>
                <w:szCs w:val="28"/>
                <w:highlight w:val="none"/>
                <w:u w:val="single"/>
              </w:rPr>
              <w:t xml:space="preserve">         </w:t>
            </w:r>
            <w:r>
              <w:rPr>
                <w:rFonts w:hint="eastAsia" w:ascii="方正仿宋_GBK" w:hAnsi="方正仿宋_GBK" w:eastAsia="方正仿宋_GBK" w:cs="方正仿宋_GBK"/>
                <w:b/>
                <w:color w:val="000000"/>
                <w:sz w:val="28"/>
                <w:szCs w:val="28"/>
                <w:highlight w:val="none"/>
              </w:rPr>
              <w:t xml:space="preserve">人民币（元）</w:t>
            </w:r>
            <w:r>
              <w:rPr>
                <w:highlight w:val="none"/>
              </w:rPr>
            </w:r>
          </w:p>
        </w:tc>
      </w:tr>
      <w:tr>
        <w:trPr>
          <w:trHeight w:val="369"/>
        </w:trPr>
        <w:tc>
          <w:tcPr>
            <w:tcW w:w="337" w:type="dxa"/>
            <w:vAlign w:val="center"/>
            <w:textDirection w:val="lrTb"/>
            <w:noWrap w:val="false"/>
          </w:tcPr>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序号</w:t>
            </w:r>
            <w:r>
              <w:rPr>
                <w:highlight w:val="none"/>
              </w:rPr>
            </w:r>
          </w:p>
        </w:tc>
        <w:tc>
          <w:tcPr>
            <w:tcW w:w="833" w:type="dxa"/>
            <w:vAlign w:val="center"/>
            <w:textDirection w:val="lrTb"/>
            <w:noWrap w:val="false"/>
          </w:tcPr>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分项名称</w:t>
            </w:r>
            <w:r>
              <w:rPr>
                <w:highlight w:val="none"/>
              </w:rPr>
            </w:r>
          </w:p>
        </w:tc>
        <w:tc>
          <w:tcPr>
            <w:tcW w:w="396" w:type="dxa"/>
            <w:vAlign w:val="center"/>
            <w:textDirection w:val="lrTb"/>
            <w:noWrap w:val="false"/>
          </w:tcPr>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数量</w:t>
            </w:r>
            <w:r>
              <w:rPr>
                <w:highlight w:val="none"/>
              </w:rPr>
            </w:r>
          </w:p>
        </w:tc>
        <w:tc>
          <w:tcPr>
            <w:tcW w:w="529" w:type="dxa"/>
            <w:vAlign w:val="center"/>
            <w:textDirection w:val="lrTb"/>
            <w:noWrap w:val="false"/>
          </w:tcPr>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分项</w:t>
            </w:r>
            <w:r>
              <w:rPr>
                <w:highlight w:val="none"/>
              </w:rPr>
            </w:r>
          </w:p>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单价</w:t>
            </w:r>
            <w:r>
              <w:rPr>
                <w:highlight w:val="none"/>
              </w:rPr>
            </w:r>
          </w:p>
        </w:tc>
        <w:tc>
          <w:tcPr>
            <w:tcW w:w="615" w:type="dxa"/>
            <w:vAlign w:val="center"/>
            <w:textDirection w:val="lrTb"/>
            <w:noWrap w:val="false"/>
          </w:tcPr>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 期 限</w:t>
            </w:r>
            <w:r>
              <w:rPr>
                <w:highlight w:val="none"/>
              </w:rPr>
            </w:r>
          </w:p>
        </w:tc>
        <w:tc>
          <w:tcPr>
            <w:tcW w:w="622" w:type="dxa"/>
            <w:vAlign w:val="center"/>
            <w:textDirection w:val="lrTb"/>
            <w:noWrap w:val="false"/>
          </w:tcPr>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分项</w:t>
            </w:r>
            <w:r>
              <w:rPr>
                <w:highlight w:val="none"/>
              </w:rPr>
            </w:r>
          </w:p>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总价2</w:t>
            </w:r>
            <w:r>
              <w:rPr>
                <w:highlight w:val="none"/>
              </w:rPr>
            </w:r>
          </w:p>
        </w:tc>
        <w:tc>
          <w:tcPr>
            <w:tcW w:w="1663" w:type="dxa"/>
            <w:vAlign w:val="center"/>
            <w:vMerge w:val="restart"/>
            <w:textDirection w:val="lrTb"/>
            <w:noWrap w:val="false"/>
          </w:tcPr>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要求说明</w:t>
            </w:r>
            <w:r>
              <w:rPr>
                <w:highlight w:val="none"/>
              </w:rPr>
            </w:r>
          </w:p>
        </w:tc>
      </w:tr>
      <w:tr>
        <w:trPr>
          <w:trHeight w:val="628"/>
        </w:trPr>
        <w:tc>
          <w:tcPr>
            <w:tcW w:w="337" w:type="dxa"/>
            <w:vAlign w:val="center"/>
            <w:textDirection w:val="lrTb"/>
            <w:noWrap w:val="false"/>
          </w:tcPr>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2</w:t>
            </w:r>
            <w:r>
              <w:rPr>
                <w:highlight w:val="none"/>
              </w:rPr>
            </w:r>
          </w:p>
        </w:tc>
        <w:tc>
          <w:tcPr>
            <w:tcW w:w="833" w:type="dxa"/>
            <w:vAlign w:val="center"/>
            <w:textDirection w:val="lrTb"/>
            <w:noWrap w:val="false"/>
          </w:tcPr>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社会保险</w:t>
            </w:r>
            <w:r>
              <w:rPr>
                <w:highlight w:val="none"/>
              </w:rPr>
            </w:r>
          </w:p>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费用</w:t>
            </w:r>
            <w:r>
              <w:rPr>
                <w:highlight w:val="none"/>
              </w:rPr>
            </w:r>
          </w:p>
        </w:tc>
        <w:tc>
          <w:tcPr>
            <w:tcW w:w="396" w:type="dxa"/>
            <w:vAlign w:val="center"/>
            <w:textDirection w:val="lrTb"/>
            <w:noWrap w:val="false"/>
          </w:tcPr>
          <w:p>
            <w:pPr>
              <w:jc w:val="center"/>
              <w:spacing w:line="40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人数</w:t>
            </w:r>
            <w:r>
              <w:rPr>
                <w:highlight w:val="none"/>
              </w:rPr>
            </w:r>
          </w:p>
        </w:tc>
        <w:tc>
          <w:tcPr>
            <w:tcW w:w="529" w:type="dxa"/>
            <w:vAlign w:val="center"/>
            <w:textDirection w:val="lrTb"/>
            <w:noWrap w:val="false"/>
          </w:tcPr>
          <w:p>
            <w:pPr>
              <w:jc w:val="center"/>
              <w:spacing w:line="40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元/月·人</w:t>
            </w:r>
            <w:r>
              <w:rPr>
                <w:highlight w:val="none"/>
              </w:rPr>
            </w:r>
          </w:p>
        </w:tc>
        <w:tc>
          <w:tcPr>
            <w:tcW w:w="615" w:type="dxa"/>
            <w:vAlign w:val="center"/>
            <w:textDirection w:val="lrTb"/>
            <w:noWrap w:val="false"/>
          </w:tcPr>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月</w:t>
            </w:r>
            <w:r>
              <w:rPr>
                <w:highlight w:val="none"/>
              </w:rPr>
            </w:r>
          </w:p>
        </w:tc>
        <w:tc>
          <w:tcPr>
            <w:tcW w:w="622" w:type="dxa"/>
            <w:vAlign w:val="center"/>
            <w:textDirection w:val="lrTb"/>
            <w:noWrap w:val="false"/>
          </w:tcPr>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元</w:t>
            </w:r>
            <w:r>
              <w:rPr>
                <w:highlight w:val="none"/>
              </w:rPr>
            </w:r>
          </w:p>
        </w:tc>
        <w:tc>
          <w:tcPr>
            <w:tcW w:w="1663" w:type="dxa"/>
            <w:vAlign w:val="center"/>
            <w:vMerge w:val="continue"/>
            <w:textDirection w:val="lrTb"/>
            <w:noWrap w:val="false"/>
          </w:tcPr>
          <w:p>
            <w:pPr>
              <w:jc w:val="left"/>
              <w:spacing w:line="400" w:lineRule="exact"/>
              <w:rPr>
                <w:rFonts w:hint="eastAsia" w:ascii="方正仿宋_GBK" w:hAnsi="方正仿宋_GBK" w:eastAsia="方正仿宋_GBK" w:cs="方正仿宋_GBK"/>
                <w:i/>
                <w:color w:val="000000"/>
                <w:sz w:val="28"/>
                <w:szCs w:val="28"/>
                <w:highlight w:val="none"/>
                <w:u w:val="single"/>
              </w:rPr>
            </w:pPr>
            <w:r>
              <w:rPr>
                <w:rFonts w:hint="eastAsia" w:ascii="方正仿宋_GBK" w:hAnsi="方正仿宋_GBK" w:eastAsia="方正仿宋_GBK" w:cs="方正仿宋_GBK"/>
                <w:i/>
                <w:color w:val="000000"/>
                <w:sz w:val="28"/>
                <w:szCs w:val="28"/>
                <w:highlight w:val="none"/>
                <w:u w:val="single"/>
              </w:rPr>
            </w:r>
            <w:r/>
          </w:p>
        </w:tc>
      </w:tr>
      <w:tr>
        <w:trPr>
          <w:trHeight w:val="563"/>
        </w:trPr>
        <w:tc>
          <w:tcPr>
            <w:tcW w:w="337"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w:t>
            </w:r>
            <w:r>
              <w:rPr>
                <w:highlight w:val="none"/>
              </w:rPr>
            </w:r>
          </w:p>
        </w:tc>
        <w:tc>
          <w:tcPr>
            <w:tcW w:w="833"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岗位1（如：保洁员1）</w:t>
            </w:r>
            <w:r>
              <w:rPr>
                <w:highlight w:val="none"/>
              </w:rPr>
            </w:r>
          </w:p>
        </w:tc>
        <w:tc>
          <w:tcPr>
            <w:tcW w:w="396"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529"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615"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622"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1663" w:type="dxa"/>
            <w:vAlign w:val="center"/>
            <w:vMerge w:val="restart"/>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该人员正常缴纳社会保</w:t>
            </w:r>
            <w:r>
              <w:rPr>
                <w:highlight w:val="none"/>
              </w:rPr>
            </w:r>
          </w:p>
          <w:p>
            <w:pP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险/</w:t>
            </w:r>
            <w:r>
              <w:rPr>
                <w:rFonts w:hint="eastAsia" w:ascii="方正仿宋_GBK" w:hAnsi="方正仿宋_GBK" w:eastAsia="方正仿宋_GBK" w:cs="方正仿宋_GBK"/>
                <w:iCs/>
                <w:color w:val="000000"/>
                <w:sz w:val="28"/>
                <w:szCs w:val="28"/>
                <w:highlight w:val="none"/>
              </w:rPr>
              <w:t xml:space="preserve">如该人员依法享受社会保险费用缴纳减免政策，请在此框内进行说明</w:t>
            </w:r>
            <w:r>
              <w:rPr>
                <w:highlight w:val="none"/>
              </w:rPr>
            </w:r>
          </w:p>
        </w:tc>
      </w:tr>
      <w:tr>
        <w:trPr>
          <w:trHeight w:val="261"/>
        </w:trPr>
        <w:tc>
          <w:tcPr>
            <w:tcW w:w="337"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w:t>
            </w:r>
            <w:r>
              <w:rPr>
                <w:highlight w:val="none"/>
              </w:rPr>
            </w:r>
          </w:p>
        </w:tc>
        <w:tc>
          <w:tcPr>
            <w:tcW w:w="833"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岗位2（如：保洁员2）</w:t>
            </w:r>
            <w:r>
              <w:rPr>
                <w:highlight w:val="none"/>
              </w:rPr>
            </w:r>
          </w:p>
        </w:tc>
        <w:tc>
          <w:tcPr>
            <w:tcW w:w="396"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529"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615"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622"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1663" w:type="dxa"/>
            <w:vAlign w:val="center"/>
            <w:vMerge w:val="continue"/>
            <w:textDirection w:val="lrTb"/>
            <w:noWrap w:val="false"/>
          </w:tcPr>
          <w:p>
            <w:pPr>
              <w:jc w:val="left"/>
              <w:spacing w:line="400" w:lineRule="exact"/>
              <w:widowControl/>
              <w:rPr>
                <w:rFonts w:hint="eastAsia" w:ascii="方正仿宋_GBK" w:hAnsi="方正仿宋_GBK" w:eastAsia="方正仿宋_GBK" w:cs="方正仿宋_GBK"/>
                <w:i/>
                <w:color w:val="000000"/>
                <w:sz w:val="28"/>
                <w:szCs w:val="28"/>
                <w:highlight w:val="none"/>
                <w:u w:val="single"/>
              </w:rPr>
            </w:pPr>
            <w:r>
              <w:rPr>
                <w:rFonts w:hint="eastAsia" w:ascii="方正仿宋_GBK" w:hAnsi="方正仿宋_GBK" w:eastAsia="方正仿宋_GBK" w:cs="方正仿宋_GBK"/>
                <w:i/>
                <w:color w:val="000000"/>
                <w:sz w:val="28"/>
                <w:szCs w:val="28"/>
                <w:highlight w:val="none"/>
                <w:u w:val="single"/>
              </w:rPr>
            </w:r>
            <w:r/>
          </w:p>
        </w:tc>
      </w:tr>
      <w:tr>
        <w:trPr>
          <w:trHeight w:val="261"/>
        </w:trPr>
        <w:tc>
          <w:tcPr>
            <w:tcW w:w="337"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833"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highlight w:val="none"/>
              </w:rPr>
            </w:r>
          </w:p>
        </w:tc>
        <w:tc>
          <w:tcPr>
            <w:tcW w:w="396"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529"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615"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622"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1663" w:type="dxa"/>
            <w:vAlign w:val="center"/>
            <w:textDirection w:val="lrTb"/>
            <w:noWrap w:val="false"/>
          </w:tcPr>
          <w:p>
            <w:pPr>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r>
      <w:tr>
        <w:trPr>
          <w:trHeight w:val="261"/>
        </w:trPr>
        <w:tc>
          <w:tcPr>
            <w:gridSpan w:val="7"/>
            <w:tcW w:w="9119" w:type="dxa"/>
            <w:vAlign w:val="center"/>
            <w:textDirection w:val="lrTb"/>
            <w:noWrap w:val="false"/>
          </w:tcPr>
          <w:p>
            <w:pPr>
              <w:jc w:val="left"/>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分项总价2 合计：</w:t>
            </w:r>
            <w:r>
              <w:rPr>
                <w:rFonts w:hint="eastAsia" w:ascii="方正仿宋_GBK" w:hAnsi="方正仿宋_GBK" w:eastAsia="方正仿宋_GBK" w:cs="方正仿宋_GBK"/>
                <w:b/>
                <w:color w:val="000000"/>
                <w:sz w:val="28"/>
                <w:szCs w:val="28"/>
                <w:highlight w:val="none"/>
                <w:u w:val="single"/>
              </w:rPr>
              <w:t xml:space="preserve">         </w:t>
            </w:r>
            <w:r>
              <w:rPr>
                <w:rFonts w:hint="eastAsia" w:ascii="方正仿宋_GBK" w:hAnsi="方正仿宋_GBK" w:eastAsia="方正仿宋_GBK" w:cs="方正仿宋_GBK"/>
                <w:b/>
                <w:color w:val="000000"/>
                <w:sz w:val="28"/>
                <w:szCs w:val="28"/>
                <w:highlight w:val="none"/>
              </w:rPr>
              <w:t xml:space="preserve">人民币（元）</w:t>
            </w:r>
            <w:r>
              <w:rPr>
                <w:highlight w:val="none"/>
              </w:rPr>
            </w:r>
          </w:p>
        </w:tc>
      </w:tr>
      <w:tr>
        <w:trPr>
          <w:trHeight w:val="261"/>
        </w:trPr>
        <w:tc>
          <w:tcPr>
            <w:tcW w:w="337" w:type="dxa"/>
            <w:vAlign w:val="center"/>
            <w:textDirection w:val="lrTb"/>
            <w:noWrap w:val="false"/>
          </w:tcPr>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序号</w:t>
            </w:r>
            <w:r>
              <w:rPr>
                <w:highlight w:val="none"/>
              </w:rPr>
            </w:r>
          </w:p>
        </w:tc>
        <w:tc>
          <w:tcPr>
            <w:tcW w:w="833" w:type="dxa"/>
            <w:vAlign w:val="center"/>
            <w:textDirection w:val="lrTb"/>
            <w:noWrap w:val="false"/>
          </w:tcPr>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分项名称</w:t>
            </w:r>
            <w:r>
              <w:rPr>
                <w:highlight w:val="none"/>
              </w:rPr>
            </w:r>
          </w:p>
        </w:tc>
        <w:tc>
          <w:tcPr>
            <w:tcW w:w="396" w:type="dxa"/>
            <w:vAlign w:val="center"/>
            <w:textDirection w:val="lrTb"/>
            <w:noWrap w:val="false"/>
          </w:tcPr>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数量</w:t>
            </w:r>
            <w:r>
              <w:rPr>
                <w:highlight w:val="none"/>
              </w:rPr>
            </w:r>
          </w:p>
        </w:tc>
        <w:tc>
          <w:tcPr>
            <w:tcW w:w="529" w:type="dxa"/>
            <w:vAlign w:val="center"/>
            <w:textDirection w:val="lrTb"/>
            <w:noWrap w:val="false"/>
          </w:tcPr>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分项</w:t>
            </w:r>
            <w:r>
              <w:rPr>
                <w:highlight w:val="none"/>
              </w:rPr>
            </w:r>
          </w:p>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单价</w:t>
            </w:r>
            <w:r>
              <w:rPr>
                <w:highlight w:val="none"/>
              </w:rPr>
            </w:r>
          </w:p>
        </w:tc>
        <w:tc>
          <w:tcPr>
            <w:tcW w:w="615" w:type="dxa"/>
            <w:vAlign w:val="center"/>
            <w:textDirection w:val="lrTb"/>
            <w:noWrap w:val="false"/>
          </w:tcPr>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期 限</w:t>
            </w:r>
            <w:r>
              <w:rPr>
                <w:highlight w:val="none"/>
              </w:rPr>
            </w:r>
          </w:p>
        </w:tc>
        <w:tc>
          <w:tcPr>
            <w:tcW w:w="622" w:type="dxa"/>
            <w:vAlign w:val="center"/>
            <w:textDirection w:val="lrTb"/>
            <w:noWrap w:val="false"/>
          </w:tcPr>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分项</w:t>
            </w:r>
            <w:r>
              <w:rPr>
                <w:highlight w:val="none"/>
              </w:rPr>
            </w:r>
          </w:p>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总价3</w:t>
            </w:r>
            <w:r>
              <w:rPr>
                <w:highlight w:val="none"/>
              </w:rPr>
            </w:r>
          </w:p>
        </w:tc>
        <w:tc>
          <w:tcPr>
            <w:tcW w:w="1663" w:type="dxa"/>
            <w:vAlign w:val="center"/>
            <w:vMerge w:val="restart"/>
            <w:textDirection w:val="lrTb"/>
            <w:noWrap w:val="false"/>
          </w:tcPr>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要求说明</w:t>
            </w:r>
            <w:r>
              <w:rPr>
                <w:highlight w:val="none"/>
              </w:rPr>
            </w:r>
          </w:p>
        </w:tc>
      </w:tr>
      <w:tr>
        <w:trPr>
          <w:trHeight w:val="261"/>
        </w:trPr>
        <w:tc>
          <w:tcPr>
            <w:tcW w:w="337" w:type="dxa"/>
            <w:vAlign w:val="center"/>
            <w:textDirection w:val="lrTb"/>
            <w:noWrap w:val="false"/>
          </w:tcPr>
          <w:p>
            <w:pPr>
              <w:jc w:val="center"/>
              <w:spacing w:line="400" w:lineRule="exact"/>
              <w:widowControl/>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3</w:t>
            </w:r>
            <w:r>
              <w:rPr>
                <w:highlight w:val="none"/>
              </w:rPr>
            </w:r>
          </w:p>
        </w:tc>
        <w:tc>
          <w:tcPr>
            <w:tcW w:w="833" w:type="dxa"/>
            <w:vAlign w:val="center"/>
            <w:textDirection w:val="lrTb"/>
            <w:noWrap w:val="false"/>
          </w:tcPr>
          <w:p>
            <w:pPr>
              <w:jc w:val="center"/>
              <w:spacing w:line="400" w:lineRule="exact"/>
              <w:widowControl/>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住房公积金</w:t>
            </w:r>
            <w:r>
              <w:rPr>
                <w:highlight w:val="none"/>
              </w:rPr>
            </w:r>
          </w:p>
        </w:tc>
        <w:tc>
          <w:tcPr>
            <w:tcW w:w="396" w:type="dxa"/>
            <w:vAlign w:val="center"/>
            <w:textDirection w:val="lrTb"/>
            <w:noWrap w:val="false"/>
          </w:tcPr>
          <w:p>
            <w:pPr>
              <w:jc w:val="center"/>
              <w:spacing w:line="40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人数</w:t>
            </w:r>
            <w:r>
              <w:rPr>
                <w:highlight w:val="none"/>
              </w:rPr>
            </w:r>
          </w:p>
        </w:tc>
        <w:tc>
          <w:tcPr>
            <w:tcW w:w="529" w:type="dxa"/>
            <w:vAlign w:val="center"/>
            <w:textDirection w:val="lrTb"/>
            <w:noWrap w:val="false"/>
          </w:tcPr>
          <w:p>
            <w:pPr>
              <w:jc w:val="center"/>
              <w:spacing w:line="40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元/月·人</w:t>
            </w:r>
            <w:r>
              <w:rPr>
                <w:highlight w:val="none"/>
              </w:rPr>
            </w:r>
          </w:p>
        </w:tc>
        <w:tc>
          <w:tcPr>
            <w:tcW w:w="615" w:type="dxa"/>
            <w:vAlign w:val="center"/>
            <w:textDirection w:val="lrTb"/>
            <w:noWrap w:val="false"/>
          </w:tcPr>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月</w:t>
            </w:r>
            <w:r>
              <w:rPr>
                <w:highlight w:val="none"/>
              </w:rPr>
            </w:r>
          </w:p>
        </w:tc>
        <w:tc>
          <w:tcPr>
            <w:tcW w:w="622" w:type="dxa"/>
            <w:vAlign w:val="center"/>
            <w:textDirection w:val="lrTb"/>
            <w:noWrap w:val="false"/>
          </w:tcPr>
          <w:p>
            <w:pPr>
              <w:jc w:val="center"/>
              <w:spacing w:line="400" w:lineRule="exac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元</w:t>
            </w:r>
            <w:r>
              <w:rPr>
                <w:highlight w:val="none"/>
              </w:rPr>
            </w:r>
          </w:p>
        </w:tc>
        <w:tc>
          <w:tcPr>
            <w:tcW w:w="1663" w:type="dxa"/>
            <w:vAlign w:val="center"/>
            <w:vMerge w:val="continue"/>
            <w:textDirection w:val="lrTb"/>
            <w:noWrap w:val="false"/>
          </w:tcPr>
          <w:p>
            <w:pPr>
              <w:jc w:val="left"/>
              <w:spacing w:line="400" w:lineRule="exact"/>
              <w:widowControl/>
              <w:rPr>
                <w:rFonts w:hint="eastAsia" w:ascii="方正仿宋_GBK" w:hAnsi="方正仿宋_GBK" w:eastAsia="方正仿宋_GBK" w:cs="方正仿宋_GBK"/>
                <w:i/>
                <w:color w:val="000000"/>
                <w:sz w:val="28"/>
                <w:szCs w:val="28"/>
                <w:highlight w:val="none"/>
                <w:u w:val="single"/>
              </w:rPr>
            </w:pPr>
            <w:r>
              <w:rPr>
                <w:rFonts w:hint="eastAsia" w:ascii="方正仿宋_GBK" w:hAnsi="方正仿宋_GBK" w:eastAsia="方正仿宋_GBK" w:cs="方正仿宋_GBK"/>
                <w:i/>
                <w:color w:val="000000"/>
                <w:sz w:val="28"/>
                <w:szCs w:val="28"/>
                <w:highlight w:val="none"/>
                <w:u w:val="single"/>
              </w:rPr>
            </w:r>
            <w:r/>
          </w:p>
        </w:tc>
      </w:tr>
      <w:tr>
        <w:trPr>
          <w:trHeight w:val="369"/>
        </w:trPr>
        <w:tc>
          <w:tcPr>
            <w:tcW w:w="337"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w:t>
            </w:r>
            <w:r>
              <w:rPr>
                <w:highlight w:val="none"/>
              </w:rPr>
            </w:r>
          </w:p>
        </w:tc>
        <w:tc>
          <w:tcPr>
            <w:tcW w:w="833"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岗位1（如：保洁员1）</w:t>
            </w:r>
            <w:r>
              <w:rPr>
                <w:highlight w:val="none"/>
              </w:rPr>
            </w:r>
          </w:p>
        </w:tc>
        <w:tc>
          <w:tcPr>
            <w:tcW w:w="396"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529"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615" w:type="dxa"/>
            <w:vAlign w:val="top"/>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622"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1663" w:type="dxa"/>
            <w:vAlign w:val="center"/>
            <w:vMerge w:val="restart"/>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该人员正常缴存住房公</w:t>
            </w:r>
            <w:r>
              <w:rPr>
                <w:highlight w:val="none"/>
              </w:rPr>
            </w:r>
          </w:p>
          <w:p>
            <w:pPr>
              <w:spacing w:line="400" w:lineRule="exact"/>
              <w:widowControl/>
              <w:rPr>
                <w:rFonts w:hint="eastAsia" w:ascii="方正仿宋_GBK" w:hAnsi="方正仿宋_GBK" w:eastAsia="方正仿宋_GBK" w:cs="方正仿宋_GBK"/>
                <w:i/>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积金/</w:t>
            </w:r>
            <w:r>
              <w:rPr>
                <w:rFonts w:hint="eastAsia" w:ascii="方正仿宋_GBK" w:hAnsi="方正仿宋_GBK" w:eastAsia="方正仿宋_GBK" w:cs="方正仿宋_GBK"/>
                <w:iCs/>
                <w:color w:val="000000"/>
                <w:sz w:val="28"/>
                <w:szCs w:val="28"/>
                <w:highlight w:val="none"/>
              </w:rPr>
              <w:t xml:space="preserve">如该人员依法享受住房公积金缴存减免政策，请在此框内进行说明</w:t>
            </w:r>
            <w:r>
              <w:rPr>
                <w:highlight w:val="none"/>
              </w:rPr>
            </w:r>
          </w:p>
        </w:tc>
      </w:tr>
      <w:tr>
        <w:trPr>
          <w:trHeight w:val="369"/>
        </w:trPr>
        <w:tc>
          <w:tcPr>
            <w:tcW w:w="337"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3.2</w:t>
            </w:r>
            <w:r>
              <w:rPr>
                <w:highlight w:val="none"/>
              </w:rPr>
            </w:r>
          </w:p>
        </w:tc>
        <w:tc>
          <w:tcPr>
            <w:tcW w:w="833"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岗位2（如：保洁员2）</w:t>
            </w:r>
            <w:r>
              <w:rPr>
                <w:highlight w:val="none"/>
              </w:rPr>
            </w:r>
          </w:p>
        </w:tc>
        <w:tc>
          <w:tcPr>
            <w:tcW w:w="396"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529"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615" w:type="dxa"/>
            <w:vAlign w:val="top"/>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622"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1663" w:type="dxa"/>
            <w:vAlign w:val="center"/>
            <w:vMerge w:val="continue"/>
            <w:textDirection w:val="lrTb"/>
            <w:noWrap w:val="false"/>
          </w:tcPr>
          <w:p>
            <w:pPr>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trHeight w:val="369"/>
        </w:trPr>
        <w:tc>
          <w:tcPr>
            <w:tcW w:w="337"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833"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highlight w:val="none"/>
              </w:rPr>
            </w:r>
          </w:p>
        </w:tc>
        <w:tc>
          <w:tcPr>
            <w:tcW w:w="396"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529"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615" w:type="dxa"/>
            <w:vAlign w:val="top"/>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622" w:type="dxa"/>
            <w:vAlign w:val="center"/>
            <w:textDirection w:val="lrTb"/>
            <w:noWrap w:val="false"/>
          </w:tcPr>
          <w:p>
            <w:pPr>
              <w:jc w:val="center"/>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1663" w:type="dxa"/>
            <w:vAlign w:val="center"/>
            <w:textDirection w:val="lrTb"/>
            <w:noWrap w:val="false"/>
          </w:tcPr>
          <w:p>
            <w:pPr>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r>
      <w:tr>
        <w:trPr>
          <w:trHeight w:val="369"/>
        </w:trPr>
        <w:tc>
          <w:tcPr>
            <w:gridSpan w:val="7"/>
            <w:tcW w:w="9119" w:type="dxa"/>
            <w:vAlign w:val="center"/>
            <w:textDirection w:val="lrTb"/>
            <w:noWrap w:val="false"/>
          </w:tcPr>
          <w:p>
            <w:pPr>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分项总价3 合计：</w:t>
            </w:r>
            <w:r>
              <w:rPr>
                <w:rFonts w:hint="eastAsia" w:ascii="方正仿宋_GBK" w:hAnsi="方正仿宋_GBK" w:eastAsia="方正仿宋_GBK" w:cs="方正仿宋_GBK"/>
                <w:b/>
                <w:color w:val="000000"/>
                <w:sz w:val="28"/>
                <w:szCs w:val="28"/>
                <w:highlight w:val="none"/>
                <w:u w:val="single"/>
              </w:rPr>
              <w:t xml:space="preserve">         </w:t>
            </w:r>
            <w:r>
              <w:rPr>
                <w:rFonts w:hint="eastAsia" w:ascii="方正仿宋_GBK" w:hAnsi="方正仿宋_GBK" w:eastAsia="方正仿宋_GBK" w:cs="方正仿宋_GBK"/>
                <w:b/>
                <w:color w:val="000000"/>
                <w:sz w:val="28"/>
                <w:szCs w:val="28"/>
                <w:highlight w:val="none"/>
              </w:rPr>
              <w:t xml:space="preserve">人民币（元）</w:t>
            </w:r>
            <w:r>
              <w:rPr>
                <w:highlight w:val="none"/>
              </w:rPr>
            </w:r>
          </w:p>
        </w:tc>
      </w:tr>
    </w:tbl>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highlight w:val="none"/>
        </w:rPr>
      </w:r>
    </w:p>
    <w:p>
      <w:pPr>
        <w:spacing w:line="400" w:lineRule="exact"/>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1.本表仅适用物业管理服务品目政府采购项目，供应商需在投标（响应）文件中填报此表。</w:t>
      </w:r>
      <w:r>
        <w:rPr>
          <w:highlight w:val="none"/>
        </w:rPr>
      </w:r>
    </w:p>
    <w:p>
      <w:pPr>
        <w:spacing w:line="400" w:lineRule="exact"/>
        <w:rPr>
          <w:rFonts w:hint="eastAsia" w:ascii="方正仿宋_GBK" w:hAnsi="方正仿宋_GBK" w:eastAsia="方正仿宋_GBK" w:cs="方正仿宋_GBK"/>
          <w:i/>
          <w:color w:val="000000"/>
          <w:sz w:val="28"/>
          <w:szCs w:val="28"/>
          <w:highlight w:val="none"/>
          <w:u w:val="single"/>
        </w:rPr>
      </w:pPr>
      <w:r>
        <w:rPr>
          <w:rFonts w:hint="eastAsia" w:ascii="方正仿宋_GBK" w:hAnsi="方正仿宋_GBK" w:eastAsia="方正仿宋_GBK" w:cs="方正仿宋_GBK"/>
          <w:iCs/>
          <w:color w:val="000000"/>
          <w:sz w:val="28"/>
          <w:szCs w:val="28"/>
          <w:highlight w:val="none"/>
        </w:rPr>
        <w:t xml:space="preserve">2.供应商在投标（响应）文件中响应的拟投入本项目的服务人员不得是全日制在校学生。</w:t>
      </w:r>
      <w:r>
        <w:rPr>
          <w:highlight w:val="none"/>
        </w:rPr>
      </w:r>
    </w:p>
    <w:p>
      <w:pPr>
        <w:spacing w:line="400" w:lineRule="exact"/>
        <w:rPr>
          <w:rFonts w:hint="eastAsia" w:ascii="方正魏碑_GBK" w:hAnsi="方正魏碑_GBK" w:eastAsia="方正魏碑_GBK" w:cs="方正魏碑_GBK"/>
          <w:b/>
          <w:bCs/>
          <w:color w:val="000000"/>
          <w:sz w:val="28"/>
          <w:szCs w:val="28"/>
          <w:highlight w:val="none"/>
        </w:rPr>
      </w:pPr>
      <w:r>
        <w:rPr>
          <w:rFonts w:hint="eastAsia" w:ascii="方正魏碑_GBK" w:hAnsi="方正魏碑_GBK" w:eastAsia="方正魏碑_GBK" w:cs="方正魏碑_GBK"/>
          <w:b/>
          <w:bCs/>
          <w:color w:val="000000"/>
          <w:sz w:val="28"/>
          <w:szCs w:val="28"/>
          <w:highlight w:val="none"/>
        </w:rPr>
      </w:r>
      <w:r>
        <w:rPr>
          <w:highlight w:val="none"/>
        </w:rPr>
      </w:r>
    </w:p>
    <w:p>
      <w:pPr>
        <w:spacing w:line="400" w:lineRule="exact"/>
        <w:rPr>
          <w:rFonts w:ascii="宋体" w:hAnsi="宋体"/>
          <w:color w:val="000000"/>
          <w:sz w:val="28"/>
          <w:szCs w:val="28"/>
          <w:highlight w:val="none"/>
        </w:rPr>
      </w:pPr>
      <w:r>
        <w:rPr>
          <w:rFonts w:hint="eastAsia" w:ascii="宋体" w:hAnsi="宋体"/>
          <w:color w:val="000000"/>
          <w:sz w:val="28"/>
          <w:szCs w:val="28"/>
          <w:highlight w:val="none"/>
        </w:rPr>
        <w:t xml:space="preserve">                         </w:t>
      </w:r>
      <w:r>
        <w:rPr>
          <w:highlight w:val="none"/>
        </w:rP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附件3 技术要求响应及偏离表（采购包号：XX）</w:t>
      </w:r>
      <w:r>
        <w:rPr>
          <w:highlight w:val="none"/>
        </w:rPr>
      </w:r>
    </w:p>
    <w:tbl>
      <w:tblPr>
        <w:tblStyle w:val="7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highlight w:val="none"/>
              </w:rP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技术要求</w:t>
            </w:r>
            <w:r>
              <w:rPr>
                <w:highlight w:val="none"/>
              </w:rP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投标响应情况</w:t>
            </w:r>
            <w:r>
              <w:rPr>
                <w:highlight w:val="none"/>
              </w:rPr>
            </w:r>
          </w:p>
        </w:tc>
        <w:tc>
          <w:tcPr>
            <w:tcW w:w="212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超出、符合或偏离</w:t>
            </w:r>
            <w:r>
              <w:rPr>
                <w:highlight w:val="none"/>
              </w:rPr>
            </w:r>
          </w:p>
        </w:tc>
      </w:tr>
      <w:tr>
        <w:trPr>
          <w:cantSplit/>
          <w:trHeight w:val="640"/>
        </w:trPr>
        <w:tc>
          <w:tcPr>
            <w:tcW w:w="545"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highlight w:val="none"/>
              </w:rPr>
            </w:r>
          </w:p>
        </w:tc>
        <w:tc>
          <w:tcPr>
            <w:tcW w:w="3063"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3191"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2128"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r>
      <w:tr>
        <w:trPr>
          <w:cantSplit/>
          <w:trHeight w:val="640"/>
        </w:trPr>
        <w:tc>
          <w:tcPr>
            <w:tcW w:w="545"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3063"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highlight w:val="none"/>
              </w:rPr>
            </w:r>
          </w:p>
        </w:tc>
        <w:tc>
          <w:tcPr>
            <w:tcW w:w="3191"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2128"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r>
    </w:tbl>
    <w:p>
      <w:pPr>
        <w:jc w:val="left"/>
        <w:spacing w:line="400" w:lineRule="exact"/>
        <w:rPr>
          <w:rFonts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附件3-1  证明材料1，证明材料2，……</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1.投标人需对招标文件技术要求中非实质性要求（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或未加*号条款</w:t>
      </w:r>
      <w:r>
        <w:rPr>
          <w:rFonts w:hint="eastAsia" w:ascii="方正仿宋_GBK" w:hAnsi="方正仿宋_GBK" w:eastAsia="方正仿宋_GBK" w:cs="方正仿宋_GBK"/>
          <w:color w:val="000000"/>
          <w:sz w:val="28"/>
          <w:szCs w:val="28"/>
          <w:highlight w:val="none"/>
        </w:rPr>
        <w:t xml:space="preserve">）逐条做出明确响应。</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2.如果招标文件要求提供证明材料，投标人需将证明材料列于该表之下。</w:t>
      </w:r>
      <w:r>
        <w:rPr>
          <w:highlight w:val="none"/>
        </w:rP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rPr>
          <w:highlight w:val="none"/>
        </w:rP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附件4 商务要求响应及偏离表（采购包号：XX）</w:t>
      </w:r>
      <w:r>
        <w:rPr>
          <w:highlight w:val="none"/>
        </w:rPr>
      </w:r>
    </w:p>
    <w:tbl>
      <w:tblPr>
        <w:tblStyle w:val="7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highlight w:val="none"/>
              </w:rP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商务要求 </w:t>
            </w:r>
            <w:r>
              <w:rPr>
                <w:highlight w:val="none"/>
              </w:rP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投标响应情况</w:t>
            </w:r>
            <w:r>
              <w:rPr>
                <w:highlight w:val="none"/>
              </w:rPr>
            </w:r>
          </w:p>
        </w:tc>
        <w:tc>
          <w:tcPr>
            <w:tcW w:w="229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超出、符合或偏离</w:t>
            </w:r>
            <w:r>
              <w:rPr>
                <w:highlight w:val="none"/>
              </w:rPr>
            </w:r>
          </w:p>
        </w:tc>
      </w:tr>
      <w:tr>
        <w:trPr>
          <w:cantSplit/>
          <w:trHeight w:val="640"/>
        </w:trPr>
        <w:tc>
          <w:tcPr>
            <w:tcW w:w="545"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highlight w:val="none"/>
              </w:rPr>
            </w:r>
          </w:p>
        </w:tc>
        <w:tc>
          <w:tcPr>
            <w:tcW w:w="3063"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3191"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2296"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r>
      <w:tr>
        <w:trPr>
          <w:cantSplit/>
          <w:trHeight w:val="640"/>
        </w:trPr>
        <w:tc>
          <w:tcPr>
            <w:tcW w:w="545"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3063"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highlight w:val="none"/>
              </w:rPr>
            </w:r>
          </w:p>
        </w:tc>
        <w:tc>
          <w:tcPr>
            <w:tcW w:w="3191"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2296"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r>
    </w:tbl>
    <w:p>
      <w:pPr>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附件4-1  证明材料1，证明材料2，……</w:t>
      </w:r>
      <w:r>
        <w:rPr>
          <w:highlight w:val="none"/>
        </w:rPr>
      </w:r>
    </w:p>
    <w:p>
      <w:pPr>
        <w:spacing w:line="400" w:lineRule="exact"/>
        <w:rPr>
          <w:rFonts w:ascii="宋体" w:hAnsi="宋体"/>
          <w:color w:val="000000"/>
          <w:sz w:val="28"/>
          <w:szCs w:val="28"/>
          <w:highlight w:val="none"/>
        </w:rPr>
      </w:pPr>
      <w:r>
        <w:rPr>
          <w:rFonts w:ascii="宋体" w:hAnsi="宋体"/>
          <w:color w:val="000000"/>
          <w:sz w:val="28"/>
          <w:szCs w:val="28"/>
          <w:highlight w:val="none"/>
        </w:rPr>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1.投标人需对招标文件商务要求中非实质性要求（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或未加*号条款</w:t>
      </w:r>
      <w:r>
        <w:rPr>
          <w:rFonts w:hint="eastAsia" w:ascii="方正仿宋_GBK" w:hAnsi="方正仿宋_GBK" w:eastAsia="方正仿宋_GBK" w:cs="方正仿宋_GBK"/>
          <w:color w:val="000000"/>
          <w:sz w:val="28"/>
          <w:szCs w:val="28"/>
          <w:highlight w:val="none"/>
        </w:rPr>
        <w:t xml:space="preserve">）逐条做出明确响应。</w:t>
      </w:r>
      <w:r>
        <w:rPr>
          <w:highlight w:val="none"/>
        </w:rPr>
      </w:r>
    </w:p>
    <w:p>
      <w:pPr>
        <w:ind w:firstLine="560"/>
        <w:spacing w:line="400" w:lineRule="exact"/>
        <w:rPr>
          <w:rFonts w:hint="eastAsia" w:ascii="宋体" w:hAnsi="宋体"/>
          <w:b/>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2.如果招标文件要求提供证明材料，投标人需将证明材料列于该表之下。</w:t>
      </w:r>
      <w:r>
        <w:rPr>
          <w:highlight w:val="none"/>
        </w:rPr>
      </w:r>
    </w:p>
    <w:p>
      <w:pP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附件5 具备履行合同所必需的设备和专业技术能力的书面声明</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我单位郑重声明：我单位具备履行本项采购合同所必需的设备和专业技术能力，为履行本项采购合同我公司具备如下主要设备和主要专业技术能力：</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主要设备有：</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主要专业技术能力有：</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w:t>
      </w:r>
      <w:r>
        <w:rPr>
          <w:highlight w:val="none"/>
        </w:rPr>
      </w:r>
    </w:p>
    <w:p>
      <w:pPr>
        <w:spacing w:line="400" w:lineRule="exact"/>
        <w:rPr>
          <w:rFonts w:ascii="宋体" w:hAnsi="宋体"/>
          <w:b/>
          <w:color w:val="000000"/>
          <w:sz w:val="28"/>
          <w:szCs w:val="28"/>
          <w:highlight w:val="none"/>
        </w:rPr>
      </w:pPr>
      <w:r>
        <w:rPr>
          <w:rFonts w:hint="eastAsia" w:ascii="宋体" w:hAnsi="宋体"/>
          <w:bCs/>
          <w:color w:val="000000"/>
          <w:sz w:val="28"/>
          <w:szCs w:val="28"/>
          <w:highlight w:val="none"/>
        </w:rPr>
        <w:t xml:space="preserve">                                     </w:t>
      </w:r>
      <w:r>
        <w:rPr>
          <w:highlight w:val="none"/>
        </w:rP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rPr>
          <w:highlight w:val="none"/>
        </w:rP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rPr>
          <w:highlight w:val="none"/>
        </w:rPr>
      </w:r>
    </w:p>
    <w:p>
      <w:pPr>
        <w:jc w:val="center"/>
        <w:spacing w:line="400" w:lineRule="exact"/>
        <w:rPr>
          <w:rFonts w:ascii="宋体" w:hAnsi="宋体"/>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附件6 参加政府采购活动前 3 年内在经营活动中没有重大违法记录的书面声明</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rPr>
          <w:highlight w:val="none"/>
        </w:rP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rPr>
          <w:highlight w:val="none"/>
        </w:rP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rPr>
          <w:highlight w:val="none"/>
        </w:rP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附件7         法人授权书</w:t>
      </w:r>
      <w:r>
        <w:rPr>
          <w:highlight w:val="none"/>
        </w:rP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本授权书声明：</w:t>
      </w:r>
      <w:r>
        <w:rPr>
          <w:rFonts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（投标人名称）授权</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（被授权人的姓名）为我方就采购编号为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rPr>
        <w:t xml:space="preserve">，</w:t>
      </w:r>
      <w:r>
        <w:rPr>
          <w:rFonts w:hint="eastAsia"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项目（项目名称）采购活动的合法代理人，以本单位名义全权处理一切与该项目采购有关的事务。</w:t>
      </w:r>
      <w:r>
        <w:rPr>
          <w:highlight w:val="none"/>
        </w:rP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本授权书于</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年</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月</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日起生效，特此声明。</w:t>
      </w:r>
      <w:r>
        <w:rPr>
          <w:highlight w:val="none"/>
        </w:rP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被授权人身份证号码：</w:t>
      </w:r>
      <w:r>
        <w:rPr>
          <w:rFonts w:hint="eastAsia" w:ascii="方正仿宋_GBK" w:hAnsi="方正仿宋_GBK" w:eastAsia="方正仿宋_GBK" w:cs="方正仿宋_GBK"/>
          <w:color w:val="000000"/>
          <w:sz w:val="28"/>
          <w:szCs w:val="28"/>
          <w:highlight w:val="none"/>
          <w:u w:val="single"/>
        </w:rPr>
        <w:t xml:space="preserve">                              </w:t>
      </w:r>
      <w:r>
        <w:rPr>
          <w:highlight w:val="none"/>
        </w:rP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被授权人联系电话：（手机）</w:t>
      </w:r>
      <w:r>
        <w:rPr>
          <w:rFonts w:hint="eastAsia" w:ascii="方正仿宋_GBK" w:hAnsi="方正仿宋_GBK" w:eastAsia="方正仿宋_GBK" w:cs="方正仿宋_GBK"/>
          <w:color w:val="000000"/>
          <w:sz w:val="28"/>
          <w:szCs w:val="28"/>
          <w:highlight w:val="none"/>
          <w:u w:val="single"/>
        </w:rPr>
        <w:t xml:space="preserve">                          </w:t>
      </w:r>
      <w:r>
        <w:rPr>
          <w:highlight w:val="none"/>
        </w:rP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被授权人电子邮箱：</w:t>
      </w:r>
      <w:r>
        <w:rPr>
          <w:rFonts w:hint="eastAsia" w:ascii="方正仿宋_GBK" w:hAnsi="方正仿宋_GBK" w:eastAsia="方正仿宋_GBK" w:cs="方正仿宋_GBK"/>
          <w:color w:val="000000"/>
          <w:sz w:val="28"/>
          <w:szCs w:val="28"/>
          <w:highlight w:val="none"/>
          <w:u w:val="single"/>
        </w:rPr>
        <w:t xml:space="preserve">            </w:t>
      </w:r>
      <w:r>
        <w:rPr>
          <w:highlight w:val="none"/>
        </w:rP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授权单位名称：</w:t>
      </w:r>
      <w:r>
        <w:rPr>
          <w:rFonts w:hint="eastAsia" w:ascii="方正仿宋_GBK" w:hAnsi="方正仿宋_GBK" w:eastAsia="方正仿宋_GBK" w:cs="方正仿宋_GBK"/>
          <w:color w:val="000000"/>
          <w:sz w:val="28"/>
          <w:szCs w:val="28"/>
          <w:highlight w:val="none"/>
          <w:u w:val="single"/>
        </w:rPr>
        <w:t xml:space="preserve">（加盖CA电子公章）</w:t>
      </w:r>
      <w:r>
        <w:rPr>
          <w:highlight w:val="none"/>
        </w:rP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单位地址：</w:t>
      </w:r>
      <w:r>
        <w:rPr>
          <w:rFonts w:hint="eastAsia" w:ascii="方正仿宋_GBK" w:hAnsi="方正仿宋_GBK" w:eastAsia="方正仿宋_GBK" w:cs="方正仿宋_GBK"/>
          <w:color w:val="000000"/>
          <w:sz w:val="28"/>
          <w:szCs w:val="28"/>
          <w:highlight w:val="none"/>
          <w:u w:val="single"/>
        </w:rPr>
        <w:t xml:space="preserve">                                         </w:t>
      </w:r>
      <w:r>
        <w:rPr>
          <w:highlight w:val="none"/>
        </w:rP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w:t>
      </w:r>
      <w:r>
        <w:rPr>
          <w:rFonts w:hint="eastAsia" w:ascii="方正仿宋_GBK" w:hAnsi="方正仿宋_GBK" w:eastAsia="方正仿宋_GBK" w:cs="方正仿宋_GBK"/>
          <w:color w:val="000000"/>
          <w:sz w:val="28"/>
          <w:szCs w:val="28"/>
          <w:highlight w:val="none"/>
          <w:u w:val="single"/>
        </w:rPr>
        <w:t xml:space="preserve">                                         </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p>
      <w:pPr>
        <w:jc w:val="center"/>
        <w:spacing w:line="400" w:lineRule="exact"/>
        <w:rPr>
          <w:rFonts w:ascii="黑体" w:hAnsi="黑体" w:eastAsia="黑体"/>
          <w:b/>
          <w:i/>
          <w:color w:val="000000"/>
          <w:sz w:val="28"/>
          <w:szCs w:val="28"/>
          <w:highlight w:val="none"/>
          <w:u w:val="single"/>
        </w:rPr>
      </w:pPr>
      <w:r>
        <w:rPr>
          <w:rFonts w:ascii="宋体" w:hAnsi="宋体" w:eastAsia="幼圆" w:cs="Arial"/>
          <w:b/>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附件8              投标函</w:t>
      </w:r>
      <w:r>
        <w:rPr>
          <w:highlight w:val="none"/>
        </w:rP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致：江苏省政府采购中心</w:t>
      </w:r>
      <w:r>
        <w:rPr>
          <w:highlight w:val="none"/>
        </w:rPr>
      </w:r>
    </w:p>
    <w:p>
      <w:pPr>
        <w:pStyle w:val="969"/>
        <w:ind w:firstLine="560"/>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根据贵方采购编号为</w:t>
      </w:r>
      <w:r>
        <w:rPr>
          <w:rFonts w:ascii="Times New Roman" w:hAnsi="Times New Roman" w:eastAsia="方正仿宋_GBK"/>
          <w:color w:val="000000"/>
          <w:sz w:val="28"/>
          <w:szCs w:val="28"/>
          <w:highlight w:val="none"/>
        </w:rPr>
        <w:t xml:space="preserve">JSZC-320000-SCZX-G20XX-XXXX，</w:t>
      </w:r>
      <w:r>
        <w:rPr>
          <w:rFonts w:ascii="Times New Roman" w:hAnsi="Times New Roman"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项目（项目名称）的招标文件，正式授权下述签字人</w:t>
      </w:r>
      <w:r>
        <w:rPr>
          <w:rFonts w:hint="eastAsia" w:ascii="Times New Roman" w:hAnsi="Times New Roman"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(姓名)代表我方</w:t>
      </w:r>
      <w:r>
        <w:rPr>
          <w:rFonts w:hint="eastAsia" w:ascii="Times New Roman" w:hAnsi="Times New Roman"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（投标人的名称），全权处理本次项目投标的有关事宜。</w:t>
      </w:r>
      <w:r>
        <w:rPr>
          <w:highlight w:val="none"/>
        </w:rPr>
      </w:r>
    </w:p>
    <w:p>
      <w:pPr>
        <w:pStyle w:val="969"/>
        <w:ind w:firstLine="560"/>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据此函，</w:t>
      </w:r>
      <w:r>
        <w:rPr>
          <w:rFonts w:hint="eastAsia" w:ascii="Times New Roman" w:hAnsi="Times New Roman"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签字人兹宣布同意如下：</w:t>
      </w:r>
      <w:r>
        <w:rPr>
          <w:highlight w:val="none"/>
        </w:rPr>
      </w:r>
    </w:p>
    <w:p>
      <w:pPr>
        <w:pStyle w:val="969"/>
        <w:ind w:firstLine="560"/>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1.按招标文件规定的各项要求，向买方提供所需服务（包含与服务相关的货物）。</w:t>
      </w:r>
      <w:r>
        <w:rPr>
          <w:highlight w:val="none"/>
        </w:rPr>
      </w:r>
    </w:p>
    <w:p>
      <w:pPr>
        <w:pStyle w:val="969"/>
        <w:ind w:firstLine="560"/>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2.我们完全理解贵方不一定将合同授予最低报价的投标人。</w:t>
      </w:r>
      <w:r>
        <w:rPr>
          <w:highlight w:val="none"/>
        </w:rPr>
      </w:r>
    </w:p>
    <w:p>
      <w:pPr>
        <w:pStyle w:val="969"/>
        <w:ind w:firstLine="560"/>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3.我们已详细审核全部招标文件及其有效补充文件。</w:t>
      </w:r>
      <w:r>
        <w:rPr>
          <w:highlight w:val="none"/>
        </w:rPr>
      </w:r>
    </w:p>
    <w:p>
      <w:pPr>
        <w:pStyle w:val="969"/>
        <w:ind w:firstLine="560"/>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4.我们同意从规定的开标日期起遵循本投标文件，并在规定的投标有效期期满之前均具有约束力。</w:t>
      </w:r>
      <w:r>
        <w:rPr>
          <w:highlight w:val="none"/>
        </w:rPr>
      </w:r>
    </w:p>
    <w:p>
      <w:pPr>
        <w:pStyle w:val="969"/>
        <w:ind w:firstLine="560"/>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5.同意向贵方提供贵方可能另外要求的与投标有关的任何证据或资料，并保证我方已提供和将要提供的文件是真实的、准确的。</w:t>
      </w:r>
      <w:r>
        <w:rPr>
          <w:highlight w:val="none"/>
        </w:rPr>
      </w:r>
    </w:p>
    <w:p>
      <w:pPr>
        <w:pStyle w:val="969"/>
        <w:ind w:firstLine="560"/>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6.一旦我方中标,我方将根据招标文件的规定，严格履行合同的责任和义务,并保证在招标文件规定的时间内完成项目，交付买方验收、使用。</w:t>
      </w:r>
      <w:r>
        <w:rPr>
          <w:highlight w:val="none"/>
        </w:rPr>
      </w:r>
    </w:p>
    <w:p>
      <w:pPr>
        <w:pStyle w:val="969"/>
        <w:ind w:firstLine="560"/>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7.与本投标有关的正式通讯地址为：</w:t>
      </w:r>
      <w:r>
        <w:rPr>
          <w:highlight w:val="none"/>
        </w:rPr>
      </w:r>
    </w:p>
    <w:p>
      <w:pPr>
        <w:pStyle w:val="969"/>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highlight w:val="none"/>
        </w:rPr>
      </w:r>
    </w:p>
    <w:p>
      <w:pPr>
        <w:pStyle w:val="969"/>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邮          编：</w:t>
      </w:r>
      <w:r>
        <w:rPr>
          <w:highlight w:val="none"/>
        </w:rPr>
      </w:r>
    </w:p>
    <w:p>
      <w:pPr>
        <w:pStyle w:val="969"/>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电          话：</w:t>
      </w:r>
      <w:r>
        <w:rPr>
          <w:highlight w:val="none"/>
        </w:rPr>
      </w:r>
    </w:p>
    <w:p>
      <w:pPr>
        <w:pStyle w:val="969"/>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传          真：</w:t>
      </w:r>
      <w:r>
        <w:rPr>
          <w:highlight w:val="none"/>
        </w:rPr>
      </w:r>
    </w:p>
    <w:p>
      <w:pPr>
        <w:pStyle w:val="969"/>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投标人开户行：</w:t>
      </w:r>
      <w:r>
        <w:rPr>
          <w:highlight w:val="none"/>
        </w:rPr>
      </w:r>
    </w:p>
    <w:p>
      <w:pPr>
        <w:pStyle w:val="969"/>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账        号： </w:t>
      </w:r>
      <w:r>
        <w:rPr>
          <w:highlight w:val="none"/>
        </w:rPr>
      </w:r>
    </w:p>
    <w:p>
      <w:pPr>
        <w:pStyle w:val="969"/>
        <w:ind w:left="420" w:firstLine="560"/>
        <w:spacing w:before="0" w:after="0"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p>
    <w:p>
      <w:pPr>
        <w:pStyle w:val="969"/>
        <w:ind w:left="420" w:firstLine="560"/>
        <w:spacing w:before="0" w:after="0"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p>
    <w:p>
      <w:pPr>
        <w:pStyle w:val="969"/>
        <w:ind w:left="420" w:firstLine="560"/>
        <w:spacing w:before="0" w:after="0"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p>
    <w:p>
      <w:pPr>
        <w:pStyle w:val="969"/>
        <w:ind w:left="420" w:firstLine="560"/>
        <w:spacing w:before="0" w:after="0"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p>
    <w:p>
      <w:pPr>
        <w:jc w:val="righ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供应商全称（加盖CA电子公章）：</w:t>
      </w:r>
      <w:r>
        <w:rPr>
          <w:highlight w:val="none"/>
        </w:rPr>
      </w:r>
    </w:p>
    <w:p>
      <w:pPr>
        <w:pStyle w:val="969"/>
        <w:jc w:val="center"/>
        <w:spacing w:before="0" w:after="0"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日      期：___年____月____日</w:t>
      </w:r>
      <w:r>
        <w:rPr>
          <w:highlight w:val="none"/>
        </w:rPr>
      </w:r>
    </w:p>
    <w:p>
      <w:pPr>
        <w:ind w:firstLine="560"/>
        <w:spacing w:line="400" w:lineRule="exact"/>
        <w:rPr>
          <w:rFonts w:ascii="宋体" w:hAnsi="宋体"/>
          <w:color w:val="000000"/>
          <w:sz w:val="28"/>
          <w:szCs w:val="28"/>
          <w:highlight w:val="none"/>
        </w:rPr>
      </w:pPr>
      <w:r>
        <w:rPr>
          <w:rFonts w:ascii="宋体" w:hAnsi="宋体"/>
          <w:color w:val="000000"/>
          <w:sz w:val="28"/>
          <w:szCs w:val="28"/>
          <w:highlight w:val="none"/>
        </w:rPr>
      </w:r>
      <w:r>
        <w:rPr>
          <w:highlight w:val="none"/>
        </w:rPr>
      </w:r>
    </w:p>
    <w:p>
      <w:pPr>
        <w:ind w:firstLine="560"/>
        <w:spacing w:line="400" w:lineRule="exact"/>
        <w:rPr>
          <w:rFonts w:ascii="宋体" w:hAnsi="宋体"/>
          <w:color w:val="000000"/>
          <w:sz w:val="28"/>
          <w:szCs w:val="28"/>
          <w:highlight w:val="none"/>
        </w:rPr>
      </w:pPr>
      <w:r>
        <w:rPr>
          <w:rFonts w:ascii="宋体" w:hAnsi="宋体"/>
          <w:color w:val="000000"/>
          <w:sz w:val="28"/>
          <w:szCs w:val="28"/>
          <w:highlight w:val="none"/>
        </w:rPr>
      </w:r>
      <w:r>
        <w:rPr>
          <w:highlight w:val="none"/>
        </w:rPr>
      </w:r>
    </w:p>
    <w:p>
      <w:pPr>
        <w:ind w:firstLine="560"/>
        <w:spacing w:line="400" w:lineRule="exact"/>
        <w:rPr>
          <w:rFonts w:ascii="宋体" w:hAnsi="宋体"/>
          <w:color w:val="000000"/>
          <w:sz w:val="28"/>
          <w:szCs w:val="28"/>
          <w:highlight w:val="none"/>
        </w:rPr>
      </w:pPr>
      <w:r>
        <w:rPr>
          <w:rFonts w:ascii="宋体" w:hAnsi="宋体"/>
          <w:color w:val="000000"/>
          <w:sz w:val="28"/>
          <w:szCs w:val="28"/>
          <w:highlight w:val="none"/>
        </w:rPr>
      </w:r>
      <w:r>
        <w:rPr>
          <w:highlight w:val="none"/>
        </w:rPr>
      </w:r>
    </w:p>
    <w:p>
      <w:pPr>
        <w:ind w:firstLine="560"/>
        <w:spacing w:line="400" w:lineRule="exact"/>
        <w:rPr>
          <w:rFonts w:ascii="宋体" w:hAnsi="宋体"/>
          <w:color w:val="000000"/>
          <w:sz w:val="28"/>
          <w:szCs w:val="28"/>
          <w:highlight w:val="none"/>
        </w:rPr>
      </w:pPr>
      <w:r>
        <w:rPr>
          <w:rFonts w:ascii="宋体" w:hAnsi="宋体"/>
          <w:color w:val="000000"/>
          <w:sz w:val="28"/>
          <w:szCs w:val="28"/>
          <w:highlight w:val="none"/>
        </w:rPr>
      </w:r>
      <w:r>
        <w:rPr>
          <w:highlight w:val="none"/>
        </w:rPr>
      </w:r>
    </w:p>
    <w:p>
      <w:pPr>
        <w:ind w:firstLine="560"/>
        <w:spacing w:line="400" w:lineRule="exact"/>
        <w:rPr>
          <w:rFonts w:ascii="宋体" w:hAnsi="宋体"/>
          <w:color w:val="000000"/>
          <w:sz w:val="28"/>
          <w:szCs w:val="28"/>
          <w:highlight w:val="none"/>
        </w:rPr>
      </w:pPr>
      <w:r>
        <w:rPr>
          <w:rFonts w:ascii="宋体" w:hAnsi="宋体"/>
          <w:color w:val="000000"/>
          <w:sz w:val="28"/>
          <w:szCs w:val="28"/>
          <w:highlight w:val="none"/>
        </w:rPr>
      </w:r>
      <w:bookmarkEnd w:id="94"/>
      <w:r>
        <w:rPr>
          <w:highlight w:val="none"/>
        </w:rPr>
      </w:r>
      <w:bookmarkEnd w:id="95"/>
      <w:r>
        <w:rPr>
          <w:highlight w:val="none"/>
        </w:rPr>
      </w:r>
      <w:bookmarkEnd w:id="96"/>
      <w:r>
        <w:rPr>
          <w:highlight w:val="none"/>
        </w:rPr>
      </w:r>
      <w:r>
        <w:rPr>
          <w:highlight w:val="none"/>
        </w:rPr>
      </w:r>
    </w:p>
    <w:p>
      <w:pPr>
        <w:jc w:val="center"/>
        <w:spacing w:line="400" w:lineRule="exact"/>
        <w:rPr>
          <w:rFonts w:hint="eastAsia" w:ascii="方正黑体_GBK" w:hAnsi="方正黑体_GBK" w:eastAsia="方正黑体_GBK" w:cs="方正黑体_GBK"/>
          <w:bCs/>
          <w:color w:val="000000"/>
          <w:sz w:val="28"/>
          <w:szCs w:val="28"/>
          <w:highlight w:val="none"/>
        </w:rPr>
      </w:pPr>
      <w:r>
        <w:rPr>
          <w:highlight w:val="none"/>
        </w:rPr>
      </w:r>
      <w:bookmarkStart w:id="97" w:name="_Toc120614284"/>
      <w:r>
        <w:rPr>
          <w:rFonts w:hint="eastAsia" w:ascii="方正黑体_GBK" w:hAnsi="方正黑体_GBK" w:eastAsia="方正黑体_GBK" w:cs="方正黑体_GBK"/>
          <w:bCs/>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附件9 中小微企业声明函（服务类项目）（采购包号：</w:t>
      </w:r>
      <w:r>
        <w:rPr>
          <w:rFonts w:eastAsia="方正黑体_GBK"/>
          <w:bCs/>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（单位名称）采购编号为</w:t>
      </w:r>
      <w:r>
        <w:rPr>
          <w:rFonts w:hint="eastAsia" w:eastAsia="方正黑体_GBK"/>
          <w:bCs/>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rPr>
        <w:t xml:space="preserve">，</w:t>
      </w:r>
      <w:r>
        <w:rPr>
          <w:rFonts w:hint="eastAsia"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项目（项目名称）（采购包号：XX）的采购活动，服务全部由符合政策的中小微企业承接。相关企业（含联合体中的中小微企业、签订采购包意向协议的中小微企业）的具体情况如下：</w:t>
      </w:r>
      <w:r>
        <w:rPr>
          <w:highlight w:val="none"/>
        </w:rPr>
      </w:r>
    </w:p>
    <w:p>
      <w:pPr>
        <w:ind w:firstLine="560"/>
        <w:spacing w:line="400" w:lineRule="exact"/>
        <w:rPr>
          <w:rFonts w:hint="eastAsia" w:ascii="方正仿宋_GBK" w:hAnsi="方正仿宋_GBK" w:eastAsia="方正仿宋_GBK" w:cs="方正仿宋_GBK"/>
          <w:i/>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1.</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（标的名称）</w:t>
      </w:r>
      <w:r>
        <w:rPr>
          <w:rFonts w:hint="eastAsia" w:ascii="方正仿宋_GBK" w:hAnsi="方正仿宋_GBK" w:eastAsia="方正仿宋_GBK" w:cs="方正仿宋_GBK"/>
          <w:i/>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属于</w:t>
      </w:r>
      <w:r>
        <w:rPr>
          <w:rFonts w:hint="eastAsia" w:eastAsia="方正仿宋_GBK"/>
          <w:color w:val="000000"/>
          <w:sz w:val="28"/>
          <w:szCs w:val="28"/>
          <w:highlight w:val="none"/>
          <w:u w:val="single"/>
        </w:rPr>
        <w:t xml:space="preserve">XX</w:t>
      </w:r>
      <w:r>
        <w:rPr>
          <w:rFonts w:hint="eastAsia" w:eastAsia="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供应商填写招标文件中明确的所属行业）行业；承接企业为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（企业名称），从业人员</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人，营业收入为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万元，资产总额为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万元</w:t>
      </w:r>
      <w:r>
        <w:rPr>
          <w:rFonts w:hint="eastAsia" w:ascii="方正仿宋_GBK" w:hAnsi="方正仿宋_GBK" w:eastAsia="方正仿宋_GBK" w:cs="方正仿宋_GBK"/>
          <w:color w:val="000000"/>
          <w:sz w:val="28"/>
          <w:szCs w:val="28"/>
          <w:highlight w:val="none"/>
          <w:vertAlign w:val="superscript"/>
        </w:rPr>
        <w:t xml:space="preserve">1</w:t>
      </w:r>
      <w:r>
        <w:rPr>
          <w:rFonts w:hint="eastAsia" w:ascii="方正仿宋_GBK" w:hAnsi="方正仿宋_GBK" w:eastAsia="方正仿宋_GBK" w:cs="方正仿宋_GBK"/>
          <w:color w:val="000000"/>
          <w:sz w:val="28"/>
          <w:szCs w:val="28"/>
          <w:highlight w:val="none"/>
        </w:rPr>
        <w:t xml:space="preserve">，属于</w:t>
      </w:r>
      <w:r>
        <w:rPr>
          <w:rFonts w:hint="eastAsia" w:ascii="方正仿宋_GBK" w:hAnsi="方正仿宋_GBK" w:eastAsia="方正仿宋_GBK" w:cs="方正仿宋_GBK"/>
          <w:color w:val="000000"/>
          <w:sz w:val="28"/>
          <w:szCs w:val="28"/>
          <w:highlight w:val="none"/>
          <w:u w:val="single"/>
        </w:rPr>
        <w:t xml:space="preserve">（□中型企业 □小型企业 □微型企业）；</w:t>
      </w:r>
      <w:r>
        <w:rPr>
          <w:highlight w:val="none"/>
        </w:rPr>
      </w:r>
    </w:p>
    <w:p>
      <w:pPr>
        <w:ind w:firstLine="560"/>
        <w:spacing w:line="400" w:lineRule="exact"/>
        <w:rPr>
          <w:rFonts w:hint="eastAsia" w:ascii="方正仿宋_GBK" w:hAnsi="方正仿宋_GBK" w:eastAsia="方正仿宋_GBK" w:cs="方正仿宋_GBK"/>
          <w:i/>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2.</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（标的名称）</w:t>
      </w:r>
      <w:r>
        <w:rPr>
          <w:rFonts w:hint="eastAsia" w:ascii="方正仿宋_GBK" w:hAnsi="方正仿宋_GBK" w:eastAsia="方正仿宋_GBK" w:cs="方正仿宋_GBK"/>
          <w:i/>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属于</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（供应商填写招标文件中明确的所属行业）行业；承接企业为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（企业名称），从业人员</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人，营业收入为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万元，资产总额为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万元</w:t>
      </w:r>
      <w:r>
        <w:rPr>
          <w:rFonts w:hint="eastAsia" w:ascii="方正仿宋_GBK" w:hAnsi="方正仿宋_GBK" w:eastAsia="方正仿宋_GBK" w:cs="方正仿宋_GBK"/>
          <w:color w:val="000000"/>
          <w:sz w:val="28"/>
          <w:szCs w:val="28"/>
          <w:highlight w:val="none"/>
          <w:vertAlign w:val="superscript"/>
        </w:rPr>
        <w:t xml:space="preserve">1</w:t>
      </w:r>
      <w:r>
        <w:rPr>
          <w:rFonts w:hint="eastAsia" w:ascii="方正仿宋_GBK" w:hAnsi="方正仿宋_GBK" w:eastAsia="方正仿宋_GBK" w:cs="方正仿宋_GBK"/>
          <w:color w:val="000000"/>
          <w:sz w:val="28"/>
          <w:szCs w:val="28"/>
          <w:highlight w:val="none"/>
        </w:rPr>
        <w:t xml:space="preserve">，属于</w:t>
      </w:r>
      <w:r>
        <w:rPr>
          <w:rFonts w:hint="eastAsia" w:ascii="方正仿宋_GBK" w:hAnsi="方正仿宋_GBK" w:eastAsia="方正仿宋_GBK" w:cs="方正仿宋_GBK"/>
          <w:color w:val="000000"/>
          <w:sz w:val="28"/>
          <w:szCs w:val="28"/>
          <w:highlight w:val="none"/>
          <w:u w:val="single"/>
        </w:rPr>
        <w:t xml:space="preserve">（□中型企业 □小型企业 □微型企业）；</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以上企业，不属于大企业的分支机构，不存在控股股东为大企业的情形，也不存在与大企业的负责人为同一人的情形。</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本企业对上述声明内容的真实性负责。如有虚假，将依法承担相应责任</w:t>
      </w:r>
      <w:r>
        <w:rPr>
          <w:highlight w:val="none"/>
        </w:rPr>
      </w:r>
    </w:p>
    <w:p>
      <w:pPr>
        <w:ind w:right="720"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p>
      <w:pPr>
        <w:ind w:right="180" w:firstLine="560"/>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企业名称（加盖CA电子公章）：</w:t>
      </w:r>
      <w:r>
        <w:rPr>
          <w:highlight w:val="none"/>
        </w:rPr>
      </w:r>
    </w:p>
    <w:p>
      <w:pPr>
        <w:ind w:right="180" w:firstLine="560"/>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                    日     期：___年___月___日 </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1.从业人员、营业收入、资产总额填报上一年度数据，无上一年度数据的新成立企业可不填报。</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rPr>
          <w:highlight w:val="none"/>
        </w:rPr>
      </w:r>
    </w:p>
    <w:p>
      <w:pPr>
        <w:ind w:firstLine="560"/>
        <w:spacing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附件10 残疾人福利性单位声明函（服务类项目）（采购包号：</w:t>
      </w:r>
      <w:r>
        <w:rPr>
          <w:rFonts w:hint="eastAsia" w:eastAsia="方正黑体_GBK"/>
          <w:bCs/>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单位采购编号为</w:t>
      </w:r>
      <w:r>
        <w:rPr>
          <w:rFonts w:hint="eastAsia" w:eastAsia="方正黑体_GBK"/>
          <w:bCs/>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u w:val="single"/>
        </w:rPr>
        <w:t xml:space="preserve">    </w:t>
      </w:r>
      <w:r>
        <w:rPr>
          <w:rFonts w:hint="eastAsia"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项目（项目名称）（采购包号：</w:t>
      </w:r>
      <w:r>
        <w:rPr>
          <w:rFonts w:hint="eastAsia" w:eastAsia="方正黑体_GBK"/>
          <w:bCs/>
          <w:color w:val="000000"/>
          <w:sz w:val="28"/>
          <w:szCs w:val="28"/>
          <w:highlight w:val="none"/>
        </w:rPr>
        <w:t xml:space="preserve">XX</w:t>
      </w:r>
      <w:r>
        <w:rPr>
          <w:rFonts w:hint="eastAsia" w:ascii="方正仿宋_GBK" w:hAnsi="方正仿宋_GBK" w:eastAsia="方正仿宋_GBK" w:cs="方正仿宋_GBK"/>
          <w:color w:val="000000"/>
          <w:sz w:val="28"/>
          <w:szCs w:val="28"/>
          <w:highlight w:val="none"/>
        </w:rPr>
        <w:t xml:space="preserve">）采购活动由本单位提供服务。</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本单位对上述声明的真实性负责。如有虚假，将依法承担相应责任。</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1.专门面向中小微型企业采购的项目，供应商为残疾人福利性单位并提供服务的必须提供此声明函，否则将不能通过资格审查。</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2.非专门面向中小微型企业采购的项目，供应商如不提供此声明函，价格将不做相应扣除。</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3.中标/成交供应商为残疾人福利性单位的，此声明函将随中标/成交结果同时公告，接受社会监督</w:t>
      </w:r>
      <w:r>
        <w:rPr>
          <w:highlight w:val="none"/>
        </w:rPr>
      </w:r>
    </w:p>
    <w:p>
      <w:pPr>
        <w:ind w:firstLine="584"/>
        <w:spacing w:line="400" w:lineRule="exact"/>
        <w:rPr>
          <w:rFonts w:hint="eastAsia" w:ascii="方正仿宋_GBK" w:hAnsi="方正仿宋_GBK" w:eastAsia="方正仿宋_GBK" w:cs="方正仿宋_GBK"/>
          <w:color w:val="000000"/>
          <w:spacing w:val="6"/>
          <w:sz w:val="28"/>
          <w:szCs w:val="28"/>
          <w:highlight w:val="none"/>
        </w:rPr>
      </w:pPr>
      <w:r>
        <w:rPr>
          <w:rFonts w:hint="eastAsia" w:ascii="方正仿宋_GBK" w:hAnsi="方正仿宋_GBK" w:eastAsia="方正仿宋_GBK" w:cs="方正仿宋_GBK"/>
          <w:color w:val="000000"/>
          <w:spacing w:val="6"/>
          <w:sz w:val="28"/>
          <w:szCs w:val="28"/>
          <w:highlight w:val="none"/>
        </w:rPr>
      </w:r>
      <w:r>
        <w:rPr>
          <w:highlight w:val="none"/>
        </w:rPr>
      </w:r>
    </w:p>
    <w:p>
      <w:pPr>
        <w:ind w:right="1559" w:firstLine="584"/>
        <w:jc w:val="center"/>
        <w:spacing w:line="400" w:lineRule="exact"/>
        <w:tabs>
          <w:tab w:val="left" w:pos="48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pacing w:val="6"/>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供应商全称（加盖CA电子公章）：</w:t>
      </w:r>
      <w:r>
        <w:rPr>
          <w:highlight w:val="none"/>
        </w:rPr>
      </w:r>
    </w:p>
    <w:p>
      <w:pPr>
        <w:ind w:right="1559" w:firstLine="560"/>
        <w:jc w:val="center"/>
        <w:spacing w:line="400" w:lineRule="exact"/>
        <w:tabs>
          <w:tab w:val="left" w:pos="48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shd w:val="clear" w:color="auto" w:fill="ffffff"/>
        </w:rPr>
        <w:t xml:space="preserve">日     期：___年____月____日   </w:t>
      </w:r>
      <w:r>
        <w:rPr>
          <w:highlight w:val="none"/>
        </w:rPr>
      </w:r>
    </w:p>
    <w:p>
      <w:pPr>
        <w:jc w:val="center"/>
        <w:spacing w:line="400" w:lineRule="exact"/>
        <w:rPr>
          <w:rFonts w:hint="eastAsia" w:ascii="黑体" w:hAnsi="黑体" w:eastAsia="黑体"/>
          <w:b/>
          <w:color w:val="000000"/>
          <w:sz w:val="28"/>
          <w:szCs w:val="28"/>
          <w:highlight w:val="none"/>
        </w:rPr>
      </w:pPr>
      <w:r>
        <w:rPr>
          <w:rFonts w:hint="eastAsia" w:ascii="黑体" w:hAnsi="黑体" w:eastAsia="黑体"/>
          <w:b/>
          <w:color w:val="000000"/>
          <w:sz w:val="28"/>
          <w:szCs w:val="28"/>
          <w:highlight w:val="none"/>
        </w:rPr>
      </w:r>
      <w:r>
        <w:rPr>
          <w:highlight w:val="none"/>
        </w:rPr>
      </w:r>
    </w:p>
    <w:p>
      <w:pPr>
        <w:jc w:val="center"/>
        <w:spacing w:line="400" w:lineRule="exact"/>
        <w:rPr>
          <w:rFonts w:hint="eastAsia" w:ascii="黑体" w:hAnsi="黑体" w:eastAsia="黑体"/>
          <w:b/>
          <w:color w:val="000000"/>
          <w:sz w:val="28"/>
          <w:szCs w:val="28"/>
          <w:highlight w:val="none"/>
        </w:rPr>
      </w:pPr>
      <w:r>
        <w:rPr>
          <w:rFonts w:hint="eastAsia" w:ascii="黑体" w:hAnsi="黑体" w:eastAsia="黑体"/>
          <w:b/>
          <w:color w:val="000000"/>
          <w:sz w:val="28"/>
          <w:szCs w:val="28"/>
          <w:highlight w:val="none"/>
        </w:rPr>
      </w:r>
      <w:r>
        <w:rPr>
          <w:highlight w:val="none"/>
        </w:rPr>
      </w:r>
    </w:p>
    <w:p>
      <w:pPr>
        <w:spacing w:line="400" w:lineRule="exact"/>
        <w:rPr>
          <w:rFonts w:hint="eastAsia" w:ascii="黑体" w:hAnsi="黑体" w:eastAsia="黑体"/>
          <w:b/>
          <w:color w:val="000000"/>
          <w:sz w:val="28"/>
          <w:szCs w:val="28"/>
          <w:highlight w:val="none"/>
        </w:rPr>
      </w:pPr>
      <w:r>
        <w:rPr>
          <w:rFonts w:hint="eastAsia" w:ascii="黑体" w:hAnsi="黑体" w:eastAsia="黑体"/>
          <w:b/>
          <w:color w:val="000000"/>
          <w:sz w:val="28"/>
          <w:szCs w:val="28"/>
          <w:highlight w:val="none"/>
        </w:rPr>
      </w:r>
      <w:r>
        <w:rPr>
          <w:highlight w:val="none"/>
        </w:rPr>
      </w:r>
    </w:p>
    <w:p>
      <w:pPr>
        <w:ind w:firstLine="560"/>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附件11实质性要求响应及偏离表（采购包号：XX）</w:t>
      </w:r>
      <w:r>
        <w:rPr>
          <w:highlight w:val="none"/>
        </w:rPr>
      </w:r>
    </w:p>
    <w:tbl>
      <w:tblPr>
        <w:tblStyle w:val="7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highlight w:val="none"/>
              </w:rPr>
            </w:r>
          </w:p>
        </w:tc>
        <w:tc>
          <w:tcPr>
            <w:tcW w:w="3609"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招标文件（含技术要求和商务要求）中的实质性要求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或加*号条款）</w:t>
            </w:r>
            <w:r>
              <w:rPr>
                <w:highlight w:val="none"/>
              </w:rPr>
            </w:r>
          </w:p>
        </w:tc>
        <w:tc>
          <w:tcPr>
            <w:tcW w:w="3317"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投标响应情况</w:t>
            </w:r>
            <w:r>
              <w:rPr>
                <w:highlight w:val="none"/>
              </w:rPr>
            </w:r>
          </w:p>
        </w:tc>
        <w:tc>
          <w:tcPr>
            <w:tcW w:w="152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超出、符合或偏离</w:t>
            </w:r>
            <w:r>
              <w:rPr>
                <w:highlight w:val="none"/>
              </w:rPr>
            </w:r>
          </w:p>
        </w:tc>
      </w:tr>
      <w:tr>
        <w:trPr>
          <w:cantSplit/>
          <w:trHeight w:val="640"/>
        </w:trPr>
        <w:tc>
          <w:tcPr>
            <w:tcW w:w="545"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highlight w:val="none"/>
              </w:rPr>
            </w:r>
          </w:p>
        </w:tc>
        <w:tc>
          <w:tcPr>
            <w:tcW w:w="3609"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3317"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1526"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r>
      <w:tr>
        <w:trPr>
          <w:cantSplit/>
          <w:trHeight w:val="640"/>
        </w:trPr>
        <w:tc>
          <w:tcPr>
            <w:tcW w:w="545"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highlight w:val="none"/>
              </w:rPr>
            </w:r>
          </w:p>
        </w:tc>
        <w:tc>
          <w:tcPr>
            <w:tcW w:w="3609"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3317"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1526"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r>
      <w:tr>
        <w:trPr>
          <w:cantSplit/>
          <w:trHeight w:val="640"/>
        </w:trPr>
        <w:tc>
          <w:tcPr>
            <w:tcW w:w="545"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3609"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highlight w:val="none"/>
              </w:rPr>
            </w:r>
          </w:p>
        </w:tc>
        <w:tc>
          <w:tcPr>
            <w:tcW w:w="3317"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c>
          <w:tcPr>
            <w:tcW w:w="1526"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tc>
      </w:tr>
    </w:tbl>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附件12-1 证明材料1，证明材料2，……</w:t>
      </w:r>
      <w:r>
        <w:rPr>
          <w:highlight w:val="none"/>
        </w:rPr>
      </w:r>
    </w:p>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或加*号条款为实质性要求）</w:t>
      </w:r>
      <w:r>
        <w:rPr>
          <w:rFonts w:hint="eastAsia" w:ascii="方正仿宋_GBK" w:hAnsi="方正仿宋_GBK" w:eastAsia="方正仿宋_GBK" w:cs="方正仿宋_GBK"/>
          <w:color w:val="000000"/>
          <w:sz w:val="28"/>
          <w:szCs w:val="28"/>
          <w:highlight w:val="none"/>
        </w:rPr>
        <w:t xml:space="preserve">逐条做出明确响应，否则作无效投标处理。</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2.如果招标文件要求提供证明材料，投标人必须将证明材料列于该表之下。</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3.投标人未对实质性要求逐条作出明确响应的，或未按招标文件要求提供证明材料的，该采购包作无效投标处理。</w:t>
      </w:r>
      <w:r>
        <w:rPr>
          <w:highlight w:val="none"/>
        </w:rPr>
      </w:r>
    </w:p>
    <w:p>
      <w:pPr>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p>
    <w:p>
      <w:pPr>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rPr>
          <w:highlight w:val="none"/>
        </w:rPr>
      </w:r>
    </w:p>
    <w:p>
      <w:pPr>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rPr>
          <w:highlight w:val="none"/>
        </w:rPr>
      </w:r>
    </w:p>
    <w:p>
      <w:pPr>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rPr>
          <w:highlight w:val="none"/>
        </w:rPr>
      </w:r>
    </w:p>
    <w:p>
      <w:pPr>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rPr>
          <w:highlight w:val="none"/>
        </w:rPr>
      </w:r>
    </w:p>
    <w:p>
      <w:pPr>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rPr>
          <w:highlight w:val="none"/>
        </w:rPr>
      </w:r>
    </w:p>
    <w:p>
      <w:pPr>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rPr>
          <w:highlight w:val="none"/>
        </w:rPr>
      </w:r>
    </w:p>
    <w:p>
      <w:pPr>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rPr>
          <w:highlight w:val="none"/>
        </w:rPr>
      </w:r>
    </w:p>
    <w:p>
      <w:pPr>
        <w:ind w:firstLine="560"/>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附件12  关于符合本国产品标准的声明函（采购包号：XX）</w:t>
      </w:r>
      <w:r>
        <w:rPr>
          <w:highlight w:val="none"/>
        </w:rPr>
      </w:r>
    </w:p>
    <w:p>
      <w:pPr>
        <w:pStyle w:val="943"/>
        <w:ind w:firstLine="560"/>
        <w:spacing w:before="0" w:beforeAutospacing="0" w:after="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p>
    <w:p>
      <w:pPr>
        <w:pStyle w:val="943"/>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1.</w:t>
      </w:r>
      <w:r>
        <w:rPr>
          <w:rStyle w:val="955"/>
          <w:rFonts w:hint="eastAsia" w:ascii="方正仿宋_GBK" w:hAnsi="方正仿宋_GBK" w:eastAsia="方正仿宋_GBK" w:cs="方正仿宋_GBK"/>
          <w:i w:val="0"/>
          <w:color w:val="000000"/>
          <w:sz w:val="28"/>
          <w:szCs w:val="28"/>
          <w:highlight w:val="none"/>
          <w:u w:val="single"/>
          <w:shd w:val="clear" w:color="auto" w:fill="ffffff"/>
        </w:rPr>
        <w:t xml:space="preserve">（产品名称1）</w:t>
      </w:r>
      <w:r>
        <w:rPr>
          <w:rStyle w:val="955"/>
          <w:rFonts w:hint="eastAsia" w:ascii="方正仿宋_GBK" w:hAnsi="方正仿宋_GBK" w:eastAsia="方正仿宋_GBK" w:cs="方正仿宋_GBK"/>
          <w:i w:val="0"/>
          <w:color w:val="000000"/>
          <w:sz w:val="28"/>
          <w:szCs w:val="28"/>
          <w:highlight w:val="none"/>
          <w:shd w:val="clear" w:color="auto" w:fill="ffffff"/>
          <w:vertAlign w:val="superscript"/>
        </w:rPr>
        <w:t xml:space="preserve">1</w:t>
      </w:r>
      <w:r>
        <w:rPr>
          <w:rFonts w:hint="eastAsia" w:ascii="方正仿宋_GBK" w:hAnsi="方正仿宋_GBK" w:eastAsia="方正仿宋_GBK" w:cs="方正仿宋_GBK"/>
          <w:color w:val="000000"/>
          <w:sz w:val="28"/>
          <w:szCs w:val="28"/>
          <w:highlight w:val="none"/>
          <w:shd w:val="clear" w:color="auto" w:fill="ffffff"/>
        </w:rPr>
        <w:t xml:space="preserve">，生产厂为</w:t>
      </w:r>
      <w:r>
        <w:rPr>
          <w:rStyle w:val="955"/>
          <w:rFonts w:hint="eastAsia" w:ascii="方正仿宋_GBK" w:hAnsi="方正仿宋_GBK" w:eastAsia="方正仿宋_GBK" w:cs="方正仿宋_GBK"/>
          <w:i w:val="0"/>
          <w:color w:val="000000"/>
          <w:sz w:val="28"/>
          <w:szCs w:val="28"/>
          <w:highlight w:val="none"/>
          <w:u w:val="single"/>
          <w:shd w:val="clear" w:color="auto" w:fill="ffffff"/>
        </w:rPr>
        <w:t xml:space="preserve">（厂名）</w:t>
      </w:r>
      <w:r>
        <w:rPr>
          <w:rStyle w:val="955"/>
          <w:rFonts w:hint="eastAsia" w:ascii="方正仿宋_GBK" w:hAnsi="方正仿宋_GBK" w:eastAsia="方正仿宋_GBK" w:cs="方正仿宋_GBK"/>
          <w:i w:val="0"/>
          <w:color w:val="000000"/>
          <w:sz w:val="28"/>
          <w:szCs w:val="28"/>
          <w:highlight w:val="none"/>
          <w:shd w:val="clear" w:color="auto" w:fill="ffffff"/>
          <w:vertAlign w:val="superscript"/>
        </w:rPr>
        <w:t xml:space="preserve">2</w:t>
      </w:r>
      <w:r>
        <w:rPr>
          <w:rFonts w:hint="eastAsia" w:ascii="方正仿宋_GBK" w:hAnsi="方正仿宋_GBK" w:eastAsia="方正仿宋_GBK" w:cs="方正仿宋_GBK"/>
          <w:color w:val="000000"/>
          <w:sz w:val="28"/>
          <w:szCs w:val="28"/>
          <w:highlight w:val="none"/>
          <w:shd w:val="clear" w:color="auto" w:fill="ffffff"/>
        </w:rPr>
        <w:t xml:space="preserve">，厂址为</w:t>
      </w:r>
      <w:r>
        <w:rPr>
          <w:rStyle w:val="955"/>
          <w:rFonts w:hint="eastAsia" w:ascii="方正仿宋_GBK" w:hAnsi="方正仿宋_GBK" w:eastAsia="方正仿宋_GBK" w:cs="方正仿宋_GBK"/>
          <w:i w:val="0"/>
          <w:color w:val="000000"/>
          <w:sz w:val="28"/>
          <w:szCs w:val="28"/>
          <w:highlight w:val="none"/>
          <w:u w:val="single"/>
          <w:shd w:val="clear" w:color="auto" w:fill="ffffff"/>
        </w:rPr>
        <w:t xml:space="preserve">（生产厂址）</w:t>
      </w: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955"/>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的中国境内生产的组件成本占比≥</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955"/>
          <w:rFonts w:hint="eastAsia" w:ascii="方正仿宋_GBK" w:hAnsi="方正仿宋_GBK" w:eastAsia="方正仿宋_GBK" w:cs="方正仿宋_GBK"/>
          <w:i w:val="0"/>
          <w:color w:val="000000"/>
          <w:sz w:val="28"/>
          <w:szCs w:val="28"/>
          <w:highlight w:val="none"/>
          <w:u w:val="single"/>
          <w:shd w:val="clear" w:color="auto" w:fill="ffffff"/>
        </w:rPr>
        <w:t xml:space="preserve">/  </w:t>
      </w:r>
      <w:r>
        <w:rPr>
          <w:rStyle w:val="955"/>
          <w:rFonts w:hint="eastAsia" w:ascii="方正仿宋_GBK" w:hAnsi="方正仿宋_GBK" w:eastAsia="方正仿宋_GBK" w:cs="方正仿宋_GBK"/>
          <w:i w:val="0"/>
          <w:color w:val="000000"/>
          <w:sz w:val="28"/>
          <w:szCs w:val="28"/>
          <w:highlight w:val="none"/>
          <w:shd w:val="clear" w:color="auto" w:fill="ffffff"/>
          <w:vertAlign w:val="superscript"/>
        </w:rPr>
        <w:t xml:space="preserve">3</w:t>
      </w: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955"/>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955"/>
          <w:rFonts w:hint="eastAsia" w:ascii="方正仿宋_GBK" w:hAnsi="方正仿宋_GBK" w:eastAsia="方正仿宋_GBK" w:cs="方正仿宋_GBK"/>
          <w:i w:val="0"/>
          <w:color w:val="000000"/>
          <w:sz w:val="28"/>
          <w:szCs w:val="28"/>
          <w:highlight w:val="none"/>
          <w:u w:val="single"/>
          <w:shd w:val="clear" w:color="auto" w:fill="ffffff"/>
        </w:rPr>
        <w:t xml:space="preserve">/  </w:t>
      </w:r>
      <w:r>
        <w:rPr>
          <w:rStyle w:val="955"/>
          <w:rFonts w:hint="eastAsia" w:ascii="方正仿宋_GBK" w:hAnsi="方正仿宋_GBK" w:eastAsia="方正仿宋_GBK" w:cs="方正仿宋_GBK"/>
          <w:i w:val="0"/>
          <w:color w:val="000000"/>
          <w:sz w:val="28"/>
          <w:szCs w:val="28"/>
          <w:highlight w:val="none"/>
          <w:shd w:val="clear" w:color="auto" w:fill="ffffff"/>
          <w:vertAlign w:val="superscript"/>
        </w:rPr>
        <w:t xml:space="preserve">4</w:t>
      </w:r>
      <w:r>
        <w:rPr>
          <w:rFonts w:hint="eastAsia" w:ascii="方正仿宋_GBK" w:hAnsi="方正仿宋_GBK" w:eastAsia="方正仿宋_GBK" w:cs="方正仿宋_GBK"/>
          <w:color w:val="000000"/>
          <w:sz w:val="28"/>
          <w:szCs w:val="28"/>
          <w:highlight w:val="none"/>
          <w:shd w:val="clear" w:color="auto" w:fill="ffffff"/>
        </w:rPr>
        <w:t xml:space="preserve">在中国境内生产。</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955"/>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955"/>
          <w:rFonts w:hint="eastAsia" w:ascii="方正仿宋_GBK" w:hAnsi="方正仿宋_GBK" w:eastAsia="方正仿宋_GBK" w:cs="方正仿宋_GBK"/>
          <w:i w:val="0"/>
          <w:color w:val="000000"/>
          <w:sz w:val="28"/>
          <w:szCs w:val="28"/>
          <w:highlight w:val="none"/>
          <w:u w:val="single"/>
          <w:shd w:val="clear" w:color="auto" w:fill="ffffff"/>
        </w:rPr>
        <w:t xml:space="preserve">/  </w:t>
      </w:r>
      <w:r>
        <w:rPr>
          <w:rStyle w:val="955"/>
          <w:rFonts w:hint="eastAsia" w:ascii="方正仿宋_GBK" w:hAnsi="方正仿宋_GBK" w:eastAsia="方正仿宋_GBK" w:cs="方正仿宋_GBK"/>
          <w:i w:val="0"/>
          <w:color w:val="000000"/>
          <w:sz w:val="28"/>
          <w:szCs w:val="28"/>
          <w:highlight w:val="none"/>
          <w:shd w:val="clear" w:color="auto" w:fill="ffffff"/>
          <w:vertAlign w:val="superscript"/>
        </w:rPr>
        <w:t xml:space="preserve">5</w:t>
      </w:r>
      <w:r>
        <w:rPr>
          <w:rFonts w:hint="eastAsia" w:ascii="方正仿宋_GBK" w:hAnsi="方正仿宋_GBK" w:eastAsia="方正仿宋_GBK" w:cs="方正仿宋_GBK"/>
          <w:color w:val="000000"/>
          <w:sz w:val="28"/>
          <w:szCs w:val="28"/>
          <w:highlight w:val="none"/>
          <w:shd w:val="clear" w:color="auto" w:fill="ffffff"/>
        </w:rPr>
        <w:t xml:space="preserve">在中国境内完成。</w:t>
      </w:r>
      <w:r>
        <w:rPr>
          <w:highlight w:val="none"/>
        </w:rPr>
      </w:r>
    </w:p>
    <w:p>
      <w:pPr>
        <w:pStyle w:val="943"/>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2.</w:t>
      </w:r>
      <w:r>
        <w:rPr>
          <w:rStyle w:val="955"/>
          <w:rFonts w:hint="eastAsia" w:ascii="方正仿宋_GBK" w:hAnsi="方正仿宋_GBK" w:eastAsia="方正仿宋_GBK" w:cs="方正仿宋_GBK"/>
          <w:i w:val="0"/>
          <w:color w:val="000000"/>
          <w:sz w:val="28"/>
          <w:szCs w:val="28"/>
          <w:highlight w:val="none"/>
          <w:u w:val="single"/>
          <w:shd w:val="clear" w:color="auto" w:fill="ffffff"/>
        </w:rPr>
        <w:t xml:space="preserve">（产品名称2）</w:t>
      </w:r>
      <w:r>
        <w:rPr>
          <w:rFonts w:hint="eastAsia" w:ascii="方正仿宋_GBK" w:hAnsi="方正仿宋_GBK" w:eastAsia="方正仿宋_GBK" w:cs="方正仿宋_GBK"/>
          <w:color w:val="000000"/>
          <w:sz w:val="28"/>
          <w:szCs w:val="28"/>
          <w:highlight w:val="none"/>
          <w:shd w:val="clear" w:color="auto" w:fill="ffffff"/>
        </w:rPr>
        <w:t xml:space="preserve">，生产厂为</w:t>
      </w:r>
      <w:r>
        <w:rPr>
          <w:rStyle w:val="955"/>
          <w:rFonts w:hint="eastAsia" w:ascii="方正仿宋_GBK" w:hAnsi="方正仿宋_GBK" w:eastAsia="方正仿宋_GBK" w:cs="方正仿宋_GBK"/>
          <w:i w:val="0"/>
          <w:color w:val="000000"/>
          <w:sz w:val="28"/>
          <w:szCs w:val="28"/>
          <w:highlight w:val="none"/>
          <w:u w:val="single"/>
          <w:shd w:val="clear" w:color="auto" w:fill="ffffff"/>
        </w:rPr>
        <w:t xml:space="preserve">（厂名）</w:t>
      </w:r>
      <w:r>
        <w:rPr>
          <w:rFonts w:hint="eastAsia" w:ascii="方正仿宋_GBK" w:hAnsi="方正仿宋_GBK" w:eastAsia="方正仿宋_GBK" w:cs="方正仿宋_GBK"/>
          <w:color w:val="000000"/>
          <w:sz w:val="28"/>
          <w:szCs w:val="28"/>
          <w:highlight w:val="none"/>
          <w:shd w:val="clear" w:color="auto" w:fill="ffffff"/>
        </w:rPr>
        <w:t xml:space="preserve">，厂址为</w:t>
      </w:r>
      <w:r>
        <w:rPr>
          <w:rStyle w:val="955"/>
          <w:rFonts w:hint="eastAsia" w:ascii="方正仿宋_GBK" w:hAnsi="方正仿宋_GBK" w:eastAsia="方正仿宋_GBK" w:cs="方正仿宋_GBK"/>
          <w:i w:val="0"/>
          <w:color w:val="000000"/>
          <w:sz w:val="28"/>
          <w:szCs w:val="28"/>
          <w:highlight w:val="none"/>
          <w:u w:val="single"/>
          <w:shd w:val="clear" w:color="auto" w:fill="ffffff"/>
        </w:rPr>
        <w:t xml:space="preserve">（生产厂址）</w:t>
      </w: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955"/>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的中国境内生产的组件成本占比≥</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955"/>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955"/>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955"/>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在中国境内生产。</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955"/>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955"/>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在中国境内完成。</w:t>
      </w:r>
      <w:r>
        <w:rPr>
          <w:highlight w:val="none"/>
        </w:rPr>
      </w:r>
    </w:p>
    <w:p>
      <w:pPr>
        <w:pStyle w:val="943"/>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w:t>
      </w:r>
      <w:r>
        <w:rPr>
          <w:highlight w:val="none"/>
        </w:rPr>
      </w:r>
    </w:p>
    <w:p>
      <w:pPr>
        <w:pStyle w:val="943"/>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本公司（单位）对上述声明内容的真实性负责。如有虚假，愿承担相应法律责任。</w:t>
      </w:r>
      <w:r>
        <w:rPr>
          <w:highlight w:val="none"/>
        </w:rPr>
      </w:r>
    </w:p>
    <w:p>
      <w:pPr>
        <w:pStyle w:val="943"/>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p>
    <w:p>
      <w:pPr>
        <w:pStyle w:val="943"/>
        <w:ind w:firstLine="560"/>
        <w:jc w:val="right"/>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    公司（单位）名称（加盖CA电子公章）：　        </w:t>
      </w:r>
      <w:r>
        <w:rPr>
          <w:highlight w:val="none"/>
        </w:rPr>
      </w:r>
    </w:p>
    <w:p>
      <w:pPr>
        <w:pStyle w:val="943"/>
        <w:ind w:firstLine="560"/>
        <w:jc w:val="center"/>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          日期：</w:t>
      </w:r>
      <w:r>
        <w:rPr>
          <w:rFonts w:hint="eastAsia" w:ascii="方正仿宋_GBK" w:hAnsi="方正仿宋_GBK" w:eastAsia="方正仿宋_GBK" w:cs="方正仿宋_GBK"/>
          <w:color w:val="000000"/>
          <w:sz w:val="28"/>
          <w:szCs w:val="28"/>
          <w:highlight w:val="none"/>
        </w:rPr>
        <w:t xml:space="preserve">___年____月____日</w:t>
      </w:r>
      <w:r>
        <w:rPr>
          <w:rFonts w:hint="eastAsia" w:ascii="方正仿宋_GBK" w:hAnsi="方正仿宋_GBK" w:eastAsia="方正仿宋_GBK" w:cs="方正仿宋_GBK"/>
          <w:color w:val="000000"/>
          <w:sz w:val="28"/>
          <w:szCs w:val="28"/>
          <w:highlight w:val="none"/>
          <w:shd w:val="clear" w:color="auto" w:fill="ffffff"/>
        </w:rPr>
        <w:t xml:space="preserve">        </w:t>
      </w:r>
      <w:r>
        <w:rPr>
          <w:highlight w:val="none"/>
        </w:rPr>
      </w:r>
    </w:p>
    <w:p>
      <w:pPr>
        <w:pStyle w:val="943"/>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__________________</w:t>
      </w:r>
      <w:r>
        <w:rPr>
          <w:highlight w:val="none"/>
        </w:rPr>
      </w:r>
    </w:p>
    <w:p>
      <w:pPr>
        <w:pStyle w:val="943"/>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1.产品如有型号，请在“产品名称”栏一并填写。</w:t>
      </w:r>
      <w:r>
        <w:rPr>
          <w:highlight w:val="none"/>
        </w:rPr>
      </w:r>
    </w:p>
    <w:p>
      <w:pPr>
        <w:pStyle w:val="943"/>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2.生产厂名与厂址应与生产厂营业执照载明的相关信息保持一致。</w:t>
      </w:r>
      <w:r>
        <w:rPr>
          <w:highlight w:val="none"/>
        </w:rPr>
      </w:r>
    </w:p>
    <w:p>
      <w:pPr>
        <w:pStyle w:val="943"/>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3.该产品的中国境内生产的组件成本占比相关要求实施前，“规定比例”栏可不填，下同。</w:t>
      </w:r>
      <w:r>
        <w:rPr>
          <w:highlight w:val="none"/>
        </w:rPr>
      </w:r>
    </w:p>
    <w:p>
      <w:pPr>
        <w:pStyle w:val="943"/>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4.该产品的关键组件要求实施前，“关键组件”栏可不填，下同。</w:t>
      </w:r>
      <w:r>
        <w:rPr>
          <w:highlight w:val="none"/>
        </w:rPr>
      </w:r>
    </w:p>
    <w:p>
      <w:pPr>
        <w:pStyle w:val="943"/>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shd w:val="clear" w:color="auto" w:fill="ffffff"/>
        </w:rPr>
      </w:pPr>
      <w:r>
        <w:rPr>
          <w:rFonts w:hint="eastAsia" w:ascii="方正仿宋_GBK" w:hAnsi="方正仿宋_GBK" w:eastAsia="方正仿宋_GBK" w:cs="方正仿宋_GBK"/>
          <w:color w:val="000000"/>
          <w:sz w:val="28"/>
          <w:szCs w:val="28"/>
          <w:highlight w:val="none"/>
          <w:shd w:val="clear" w:color="auto" w:fill="ffffff"/>
        </w:rPr>
        <w:t xml:space="preserve">5.该产品的关键工序要求实施前，“关键工序”栏可不填，下同。</w:t>
      </w:r>
      <w:r>
        <w:rPr>
          <w:highlight w:val="none"/>
        </w:rPr>
      </w:r>
    </w:p>
    <w:p>
      <w:pPr>
        <w:pStyle w:val="943"/>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shd w:val="clear" w:color="auto" w:fill="ffffff"/>
        </w:rPr>
      </w:pPr>
      <w:r>
        <w:rPr>
          <w:rFonts w:hint="eastAsia" w:ascii="方正仿宋_GBK" w:hAnsi="方正仿宋_GBK" w:eastAsia="方正仿宋_GBK" w:cs="方正仿宋_GBK"/>
          <w:color w:val="000000"/>
          <w:sz w:val="28"/>
          <w:szCs w:val="28"/>
          <w:highlight w:val="none"/>
          <w:shd w:val="clear" w:color="auto" w:fill="ffffff"/>
        </w:rPr>
        <w:t xml:space="preserve">6.《声明函》中标注“</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955"/>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”的地方无需填写。</w:t>
      </w:r>
      <w:r>
        <w:rPr>
          <w:highlight w:val="none"/>
        </w:rPr>
      </w:r>
    </w:p>
    <w:p>
      <w:pPr>
        <w:spacing w:line="400" w:lineRule="exact"/>
        <w:rPr>
          <w:rFonts w:hint="eastAsia" w:ascii="方正魏碑_GBK" w:hAnsi="方正魏碑_GBK" w:eastAsia="方正魏碑_GBK" w:cs="方正魏碑_GBK"/>
          <w:bCs/>
          <w:color w:val="000000"/>
          <w:sz w:val="28"/>
          <w:szCs w:val="28"/>
          <w:highlight w:val="none"/>
        </w:rPr>
      </w:pPr>
      <w:r>
        <w:rPr>
          <w:rFonts w:hint="eastAsia" w:ascii="方正魏碑_GBK" w:hAnsi="方正魏碑_GBK" w:eastAsia="方正魏碑_GBK" w:cs="方正魏碑_GBK"/>
          <w:bCs/>
          <w:color w:val="000000"/>
          <w:sz w:val="28"/>
          <w:szCs w:val="28"/>
          <w:highlight w:val="none"/>
        </w:rPr>
      </w:r>
      <w:r>
        <w:rPr>
          <w:highlight w:val="none"/>
        </w:rPr>
      </w:r>
    </w:p>
    <w:p>
      <w:pP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rPr>
          <w:highlight w:val="none"/>
        </w:rPr>
      </w:r>
    </w:p>
    <w:p>
      <w:pP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rPr>
          <w:highlight w:val="none"/>
        </w:rPr>
      </w:r>
    </w:p>
    <w:p>
      <w:pP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rPr>
          <w:highlight w:val="none"/>
        </w:rPr>
      </w:r>
    </w:p>
    <w:p>
      <w:pP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rPr>
          <w:highlight w:val="none"/>
        </w:rPr>
      </w:r>
    </w:p>
    <w:p>
      <w:pPr>
        <w:spacing w:line="400" w:lineRule="exact"/>
        <w:rPr>
          <w:rFonts w:hint="eastAsia"/>
          <w:color w:val="000000"/>
          <w:sz w:val="28"/>
          <w:szCs w:val="28"/>
          <w:highlight w:val="none"/>
        </w:rPr>
      </w:pPr>
      <w:r>
        <w:rPr>
          <w:rFonts w:hint="eastAsia"/>
          <w:color w:val="000000"/>
          <w:sz w:val="28"/>
          <w:szCs w:val="28"/>
          <w:highlight w:val="none"/>
        </w:rPr>
      </w:r>
      <w:r>
        <w:rPr>
          <w:highlight w:val="none"/>
        </w:rPr>
      </w:r>
    </w:p>
    <w:p>
      <w:pPr>
        <w:jc w:val="center"/>
        <w:spacing w:line="400" w:lineRule="exact"/>
        <w:rPr>
          <w:rFonts w:hint="eastAsia" w:ascii="黑体" w:hAnsi="黑体" w:eastAsia="黑体"/>
          <w:b/>
          <w:color w:val="000000"/>
          <w:sz w:val="28"/>
          <w:szCs w:val="28"/>
          <w:highlight w:val="none"/>
        </w:rPr>
      </w:pPr>
      <w:r>
        <w:rPr>
          <w:rFonts w:hint="eastAsia" w:ascii="黑体" w:hAnsi="黑体" w:eastAsia="黑体"/>
          <w:b/>
          <w:color w:val="000000"/>
          <w:sz w:val="28"/>
          <w:szCs w:val="28"/>
          <w:highlight w:val="none"/>
        </w:rPr>
      </w:r>
      <w:r>
        <w:rPr>
          <w:highlight w:val="none"/>
        </w:rPr>
      </w:r>
    </w:p>
    <w:p>
      <w:pPr>
        <w:jc w:val="center"/>
        <w:spacing w:line="400" w:lineRule="exact"/>
        <w:rPr>
          <w:rFonts w:hint="eastAsia" w:ascii="黑体" w:hAnsi="黑体" w:eastAsia="黑体"/>
          <w:b/>
          <w:color w:val="000000"/>
          <w:sz w:val="28"/>
          <w:szCs w:val="28"/>
          <w:highlight w:val="none"/>
        </w:rPr>
      </w:pPr>
      <w:r>
        <w:rPr>
          <w:rFonts w:hint="eastAsia" w:ascii="黑体" w:hAnsi="黑体" w:eastAsia="黑体"/>
          <w:b/>
          <w:color w:val="000000"/>
          <w:sz w:val="28"/>
          <w:szCs w:val="28"/>
          <w:highlight w:val="none"/>
        </w:rPr>
      </w:r>
      <w:r>
        <w:rPr>
          <w:highlight w:val="none"/>
        </w:rPr>
      </w:r>
    </w:p>
    <w:p>
      <w:pPr>
        <w:jc w:val="center"/>
        <w:spacing w:line="400" w:lineRule="exact"/>
        <w:rPr>
          <w:rFonts w:hint="eastAsia" w:ascii="黑体" w:hAnsi="黑体" w:eastAsia="黑体"/>
          <w:b/>
          <w:color w:val="000000"/>
          <w:sz w:val="28"/>
          <w:szCs w:val="28"/>
          <w:highlight w:val="none"/>
        </w:rPr>
      </w:pPr>
      <w:r>
        <w:rPr>
          <w:rFonts w:hint="eastAsia" w:ascii="黑体" w:hAnsi="黑体" w:eastAsia="黑体"/>
          <w:b/>
          <w:color w:val="000000"/>
          <w:sz w:val="28"/>
          <w:szCs w:val="28"/>
          <w:highlight w:val="none"/>
        </w:rPr>
      </w:r>
      <w:bookmarkEnd w:id="58"/>
      <w:r>
        <w:rPr>
          <w:highlight w:val="none"/>
        </w:rPr>
      </w:r>
      <w:bookmarkEnd w:id="59"/>
      <w:r>
        <w:rPr>
          <w:highlight w:val="none"/>
        </w:rPr>
      </w:r>
      <w:bookmarkEnd w:id="97"/>
      <w:r>
        <w:rPr>
          <w:highlight w:val="none"/>
        </w:rPr>
      </w:r>
      <w:r>
        <w:rPr>
          <w:highlight w:val="none"/>
        </w:rPr>
      </w:r>
    </w:p>
    <w:p>
      <w:pPr>
        <w:ind w:firstLine="560"/>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质疑函范本</w:t>
      </w:r>
      <w:r>
        <w:rPr>
          <w:highlight w:val="none"/>
        </w:rPr>
      </w:r>
    </w:p>
    <w:p>
      <w:pPr>
        <w:ind w:firstLine="560"/>
        <w:spacing w:before="290"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一、质疑供应商基本信息</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质疑供应商：</w:t>
      </w:r>
      <w:r>
        <w:rPr>
          <w:rFonts w:hint="eastAsia" w:ascii="方正仿宋_GBK" w:hAnsi="方正仿宋_GBK" w:eastAsia="方正仿宋_GBK" w:cs="方正仿宋_GBK"/>
          <w:color w:val="000000"/>
          <w:sz w:val="28"/>
          <w:szCs w:val="28"/>
          <w:highlight w:val="none"/>
          <w:u w:val="single"/>
        </w:rPr>
        <w:t xml:space="preserve">                                                              </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邮编：</w:t>
      </w:r>
      <w:r>
        <w:rPr>
          <w:rFonts w:hint="eastAsia" w:ascii="方正仿宋_GBK" w:hAnsi="方正仿宋_GBK" w:eastAsia="方正仿宋_GBK" w:cs="方正仿宋_GBK"/>
          <w:color w:val="000000"/>
          <w:sz w:val="28"/>
          <w:szCs w:val="28"/>
          <w:highlight w:val="none"/>
          <w:u w:val="single"/>
        </w:rPr>
        <w:t xml:space="preserve">                                    </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u w:val="single"/>
        </w:rPr>
        <w:t xml:space="preserve">                                       </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授权代表：</w:t>
      </w:r>
      <w:r>
        <w:rPr>
          <w:rFonts w:hint="eastAsia" w:ascii="方正仿宋_GBK" w:hAnsi="方正仿宋_GBK" w:eastAsia="方正仿宋_GBK" w:cs="方正仿宋_GBK"/>
          <w:color w:val="000000"/>
          <w:sz w:val="28"/>
          <w:szCs w:val="28"/>
          <w:highlight w:val="none"/>
          <w:u w:val="single"/>
        </w:rPr>
        <w:t xml:space="preserve">                                                                 </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u w:val="single"/>
        </w:rPr>
        <w:t xml:space="preserve">                                                                </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邮编：</w:t>
      </w:r>
      <w:r>
        <w:rPr>
          <w:rFonts w:hint="eastAsia" w:ascii="方正仿宋_GBK" w:hAnsi="方正仿宋_GBK" w:eastAsia="方正仿宋_GBK" w:cs="方正仿宋_GBK"/>
          <w:color w:val="000000"/>
          <w:sz w:val="28"/>
          <w:szCs w:val="28"/>
          <w:highlight w:val="none"/>
          <w:u w:val="single"/>
        </w:rPr>
        <w:t xml:space="preserve">                                     </w:t>
      </w:r>
      <w:r>
        <w:rPr>
          <w:highlight w:val="none"/>
        </w:rP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二、质疑项目基本情况</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质疑项目的名称：</w:t>
      </w:r>
      <w:r>
        <w:rPr>
          <w:rFonts w:hint="eastAsia" w:ascii="方正仿宋_GBK" w:hAnsi="方正仿宋_GBK" w:eastAsia="方正仿宋_GBK" w:cs="方正仿宋_GBK"/>
          <w:color w:val="000000"/>
          <w:sz w:val="28"/>
          <w:szCs w:val="28"/>
          <w:highlight w:val="none"/>
          <w:u w:val="single"/>
        </w:rPr>
        <w:t xml:space="preserve">                                                          </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质疑项目的编号：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u w:val="single"/>
        </w:rPr>
        <w:t xml:space="preserve">                           </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采购人名称：</w:t>
      </w:r>
      <w:r>
        <w:rPr>
          <w:rFonts w:hint="eastAsia" w:ascii="方正仿宋_GBK" w:hAnsi="方正仿宋_GBK" w:eastAsia="方正仿宋_GBK" w:cs="方正仿宋_GBK"/>
          <w:color w:val="000000"/>
          <w:sz w:val="28"/>
          <w:szCs w:val="28"/>
          <w:highlight w:val="none"/>
          <w:u w:val="single"/>
        </w:rPr>
        <w:t xml:space="preserve">                                                              </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采购文件获取日期：</w:t>
      </w:r>
      <w:r>
        <w:rPr>
          <w:rFonts w:hint="eastAsia" w:ascii="方正仿宋_GBK" w:hAnsi="方正仿宋_GBK" w:eastAsia="方正仿宋_GBK" w:cs="方正仿宋_GBK"/>
          <w:color w:val="000000"/>
          <w:sz w:val="28"/>
          <w:szCs w:val="28"/>
          <w:highlight w:val="none"/>
          <w:u w:val="single"/>
        </w:rPr>
        <w:t xml:space="preserve">                                                        </w:t>
      </w:r>
      <w:r>
        <w:rPr>
          <w:highlight w:val="none"/>
        </w:rP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三、质疑事项具体内容</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质疑事项1：</w:t>
      </w:r>
      <w:r>
        <w:rPr>
          <w:rFonts w:hint="eastAsia" w:ascii="方正仿宋_GBK" w:hAnsi="方正仿宋_GBK" w:eastAsia="方正仿宋_GBK" w:cs="方正仿宋_GBK"/>
          <w:color w:val="000000"/>
          <w:sz w:val="28"/>
          <w:szCs w:val="28"/>
          <w:highlight w:val="none"/>
          <w:u w:val="single"/>
        </w:rPr>
        <w:t xml:space="preserve">                                                              </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事实依据：</w:t>
      </w:r>
      <w:r>
        <w:rPr>
          <w:rFonts w:hint="eastAsia" w:ascii="方正仿宋_GBK" w:hAnsi="方正仿宋_GBK" w:eastAsia="方正仿宋_GBK" w:cs="方正仿宋_GBK"/>
          <w:color w:val="000000"/>
          <w:sz w:val="28"/>
          <w:szCs w:val="28"/>
          <w:highlight w:val="none"/>
          <w:u w:val="single"/>
        </w:rPr>
        <w:t xml:space="preserve">                                                                </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法律依据：</w:t>
      </w:r>
      <w:r>
        <w:rPr>
          <w:rFonts w:hint="eastAsia" w:ascii="方正仿宋_GBK" w:hAnsi="方正仿宋_GBK" w:eastAsia="方正仿宋_GBK" w:cs="方正仿宋_GBK"/>
          <w:color w:val="000000"/>
          <w:sz w:val="28"/>
          <w:szCs w:val="28"/>
          <w:highlight w:val="none"/>
          <w:u w:val="single"/>
        </w:rPr>
        <w:t xml:space="preserve">                                                                 </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质疑事项2</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highlight w:val="none"/>
        </w:rP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四、与质疑事项相关的质疑请求</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请求：</w:t>
      </w:r>
      <w:r>
        <w:rPr>
          <w:rFonts w:hint="eastAsia" w:ascii="方正仿宋_GBK" w:hAnsi="方正仿宋_GBK" w:eastAsia="方正仿宋_GBK" w:cs="方正仿宋_GBK"/>
          <w:color w:val="000000"/>
          <w:sz w:val="28"/>
          <w:szCs w:val="28"/>
          <w:highlight w:val="none"/>
          <w:u w:val="single"/>
        </w:rPr>
        <w:t xml:space="preserve">                                                                     </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签字(签章)：                   公章：                      </w:t>
      </w:r>
      <w:r>
        <w:rPr>
          <w:highlight w:val="none"/>
        </w:rP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日期：    </w:t>
      </w:r>
      <w:r>
        <w:rPr>
          <w:highlight w:val="none"/>
        </w:rPr>
      </w:r>
    </w:p>
    <w:p>
      <w:pPr>
        <w:ind w:firstLine="562"/>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质疑函制作说明：</w:t>
      </w:r>
      <w:r>
        <w:rPr>
          <w:highlight w:val="none"/>
        </w:rPr>
      </w:r>
    </w:p>
    <w:p>
      <w:pPr>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1.供应商提出质疑时，应提交质疑函和必要的证明材料。</w:t>
      </w:r>
      <w:r>
        <w:rPr>
          <w:highlight w:val="none"/>
        </w:rPr>
      </w:r>
    </w:p>
    <w:p>
      <w:pPr>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highlight w:val="none"/>
        </w:rPr>
      </w:r>
    </w:p>
    <w:p>
      <w:pPr>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3.质疑供应商若对项目的某一采购包进行质疑，质疑函中应列明具体采购包号。</w:t>
      </w:r>
      <w:r>
        <w:rPr>
          <w:highlight w:val="none"/>
        </w:rPr>
      </w:r>
    </w:p>
    <w:p>
      <w:pPr>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4.质疑函的质疑事项应具体、明确，并有必要的事实依据和法律依据。</w:t>
      </w:r>
      <w:r>
        <w:rPr>
          <w:highlight w:val="none"/>
        </w:rPr>
      </w:r>
    </w:p>
    <w:p>
      <w:pPr>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5.质疑函的质疑请求应与质疑事项相关。</w:t>
      </w:r>
      <w:r>
        <w:rPr>
          <w:highlight w:val="none"/>
        </w:rPr>
      </w:r>
    </w:p>
    <w:p>
      <w:pPr>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rPr>
          <w:highlight w:val="none"/>
        </w:rPr>
      </w:r>
    </w:p>
    <w:p>
      <w:pPr>
        <w:pStyle w:val="884"/>
        <w:spacing w:line="400" w:lineRule="exact"/>
        <w:rPr>
          <w:rFonts w:hint="eastAsia"/>
          <w:color w:val="000000"/>
          <w:sz w:val="28"/>
          <w:szCs w:val="28"/>
          <w:highlight w:val="none"/>
        </w:rPr>
      </w:pPr>
      <w:r>
        <w:rPr>
          <w:rFonts w:hint="eastAsia"/>
          <w:color w:val="000000"/>
          <w:sz w:val="28"/>
          <w:szCs w:val="28"/>
          <w:highlight w:val="none"/>
        </w:rPr>
      </w:r>
      <w:r>
        <w:rPr>
          <w:highlight w:val="none"/>
        </w:rPr>
      </w:r>
    </w:p>
    <w:p>
      <w:pPr>
        <w:pStyle w:val="884"/>
        <w:rPr>
          <w:color w:val="000000"/>
          <w:sz w:val="24"/>
          <w:szCs w:val="24"/>
          <w:highlight w:val="none"/>
        </w:rPr>
      </w:pPr>
      <w:r>
        <w:rPr>
          <w:color w:val="000000"/>
          <w:sz w:val="24"/>
          <w:szCs w:val="24"/>
          <w:highlight w:val="none"/>
        </w:rPr>
      </w:r>
      <w:r>
        <w:rPr>
          <w:highlight w:val="none"/>
        </w:rPr>
      </w:r>
    </w:p>
    <w:sectPr>
      <w:footerReference w:type="default" r:id="rId11"/>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8"/>
      <w:isLgl w:val="false"/>
      <w:suff w:val="nothing"/>
      <w:lvlText w:val=""/>
      <w:lvlJc w:val="left"/>
      <w:pPr>
        <w:ind w:left="0" w:firstLine="0"/>
      </w:pPr>
      <w:rPr>
        <w:rFonts w:hint="eastAsia"/>
      </w:rPr>
    </w:lvl>
    <w:lvl w:ilvl="6">
      <w:start w:val="1"/>
      <w:numFmt w:val="decimal"/>
      <w:pStyle w:val="889"/>
      <w:isLgl w:val="false"/>
      <w:suff w:val="nothing"/>
      <w:lvlText w:val=""/>
      <w:lvlJc w:val="left"/>
      <w:pPr>
        <w:ind w:left="0" w:firstLine="0"/>
      </w:pPr>
      <w:rPr>
        <w:rFonts w:hint="eastAsia"/>
      </w:rPr>
    </w:lvl>
    <w:lvl w:ilvl="7">
      <w:start w:val="1"/>
      <w:numFmt w:val="decimal"/>
      <w:pStyle w:val="890"/>
      <w:isLgl w:val="false"/>
      <w:suff w:val="nothing"/>
      <w:lvlText w:val=""/>
      <w:lvlJc w:val="left"/>
      <w:pPr>
        <w:ind w:left="0" w:firstLine="0"/>
      </w:pPr>
      <w:rPr>
        <w:rFonts w:hint="eastAsia"/>
      </w:rPr>
    </w:lvl>
    <w:lvl w:ilvl="8">
      <w:start w:val="1"/>
      <w:numFmt w:val="decimal"/>
      <w:pStyle w:val="891"/>
      <w:isLgl w:val="false"/>
      <w:suff w:val="nothing"/>
      <w:lvlText w:val=""/>
      <w:lvlJc w:val="left"/>
      <w:pPr>
        <w:ind w:left="0" w:firstLine="0"/>
      </w:pPr>
      <w:rPr>
        <w:rFonts w:hint="eastAsia"/>
      </w:rPr>
    </w:lvl>
  </w:abstractNum>
  <w:abstractNum w:abstractNumId="2">
    <w:multiLevelType w:val="hybridMultilevel"/>
    <w:lvl w:ilvl="0">
      <w:start w:val="1"/>
      <w:numFmt w:val="decimal"/>
      <w:pStyle w:val="97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link w:val="95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1">
    <w:name w:val="Heading 1"/>
    <w:basedOn w:val="700"/>
    <w:next w:val="700"/>
    <w:link w:val="734"/>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link w:val="735"/>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link w:val="736"/>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link w:val="737"/>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link w:val="738"/>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link w:val="739"/>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740"/>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741"/>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742"/>
    <w:uiPriority w:val="9"/>
    <w:unhideWhenUsed/>
    <w:qFormat/>
    <w:pPr>
      <w:keepLines/>
      <w:keepNext/>
      <w:spacing w:before="320" w:after="200"/>
      <w:outlineLvl w:val="8"/>
    </w:pPr>
    <w:rPr>
      <w:rFonts w:ascii="Arial" w:hAnsi="Arial" w:eastAsia="Arial" w:cs="Arial"/>
      <w:i/>
      <w:iCs/>
      <w:sz w:val="21"/>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toc 7"/>
    <w:basedOn w:val="700"/>
    <w:next w:val="700"/>
    <w:uiPriority w:val="39"/>
    <w:unhideWhenUsed/>
    <w:qFormat/>
    <w:pPr>
      <w:ind w:left="1701" w:right="0" w:firstLine="0"/>
      <w:spacing w:after="57"/>
    </w:pPr>
  </w:style>
  <w:style w:type="paragraph" w:styleId="713">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annotation text"/>
    <w:basedOn w:val="700"/>
    <w:uiPriority w:val="99"/>
    <w:semiHidden/>
    <w:unhideWhenUsed/>
    <w:qFormat/>
    <w:pPr>
      <w:jc w:val="left"/>
    </w:pPr>
  </w:style>
  <w:style w:type="paragraph" w:styleId="715">
    <w:name w:val="toc 5"/>
    <w:basedOn w:val="700"/>
    <w:next w:val="700"/>
    <w:uiPriority w:val="39"/>
    <w:unhideWhenUsed/>
    <w:qFormat/>
    <w:pPr>
      <w:ind w:left="1134" w:right="0" w:firstLine="0"/>
      <w:spacing w:after="57"/>
    </w:pPr>
  </w:style>
  <w:style w:type="paragraph" w:styleId="716">
    <w:name w:val="toc 3"/>
    <w:basedOn w:val="700"/>
    <w:next w:val="700"/>
    <w:uiPriority w:val="39"/>
    <w:unhideWhenUsed/>
    <w:qFormat/>
    <w:pPr>
      <w:ind w:left="567" w:right="0" w:firstLine="0"/>
      <w:spacing w:after="57"/>
    </w:pPr>
  </w:style>
  <w:style w:type="paragraph" w:styleId="717">
    <w:name w:val="toc 8"/>
    <w:basedOn w:val="700"/>
    <w:next w:val="700"/>
    <w:uiPriority w:val="39"/>
    <w:unhideWhenUsed/>
    <w:qFormat/>
    <w:pPr>
      <w:ind w:left="1984" w:right="0" w:firstLine="0"/>
      <w:spacing w:after="57"/>
    </w:pPr>
  </w:style>
  <w:style w:type="paragraph" w:styleId="718">
    <w:name w:val="endnote text"/>
    <w:basedOn w:val="700"/>
    <w:link w:val="880"/>
    <w:uiPriority w:val="99"/>
    <w:semiHidden/>
    <w:unhideWhenUsed/>
    <w:qFormat/>
    <w:pPr>
      <w:spacing w:after="0" w:line="240" w:lineRule="auto"/>
    </w:pPr>
    <w:rPr>
      <w:sz w:val="20"/>
    </w:rPr>
  </w:style>
  <w:style w:type="paragraph" w:styleId="719">
    <w:name w:val="Footer"/>
    <w:basedOn w:val="700"/>
    <w:link w:val="753"/>
    <w:uiPriority w:val="99"/>
    <w:unhideWhenUsed/>
    <w:qFormat/>
    <w:pPr>
      <w:spacing w:after="0" w:line="240" w:lineRule="auto"/>
      <w:tabs>
        <w:tab w:val="center" w:pos="7143" w:leader="none"/>
        <w:tab w:val="right" w:pos="14287" w:leader="none"/>
      </w:tabs>
    </w:pPr>
  </w:style>
  <w:style w:type="paragraph" w:styleId="720">
    <w:name w:val="Header"/>
    <w:basedOn w:val="700"/>
    <w:link w:val="751"/>
    <w:uiPriority w:val="99"/>
    <w:unhideWhenUsed/>
    <w:qFormat/>
    <w:pPr>
      <w:spacing w:after="0" w:line="240" w:lineRule="auto"/>
      <w:tabs>
        <w:tab w:val="center" w:pos="7143" w:leader="none"/>
        <w:tab w:val="right" w:pos="14287" w:leader="none"/>
      </w:tabs>
    </w:pPr>
  </w:style>
  <w:style w:type="paragraph" w:styleId="721">
    <w:name w:val="toc 1"/>
    <w:basedOn w:val="700"/>
    <w:next w:val="700"/>
    <w:uiPriority w:val="39"/>
    <w:unhideWhenUsed/>
    <w:qFormat/>
    <w:pPr>
      <w:ind w:left="0" w:right="0" w:firstLine="0"/>
      <w:spacing w:after="57"/>
    </w:pPr>
  </w:style>
  <w:style w:type="paragraph" w:styleId="722">
    <w:name w:val="toc 4"/>
    <w:basedOn w:val="700"/>
    <w:next w:val="700"/>
    <w:uiPriority w:val="39"/>
    <w:unhideWhenUsed/>
    <w:qFormat/>
    <w:pPr>
      <w:ind w:left="850" w:right="0" w:firstLine="0"/>
      <w:spacing w:after="57"/>
    </w:pPr>
  </w:style>
  <w:style w:type="paragraph" w:styleId="723">
    <w:name w:val="Subtitle"/>
    <w:basedOn w:val="700"/>
    <w:next w:val="700"/>
    <w:link w:val="746"/>
    <w:uiPriority w:val="11"/>
    <w:qFormat/>
    <w:pPr>
      <w:spacing w:before="200" w:after="200"/>
    </w:pPr>
    <w:rPr>
      <w:sz w:val="24"/>
      <w:szCs w:val="24"/>
    </w:rPr>
  </w:style>
  <w:style w:type="paragraph" w:styleId="724">
    <w:name w:val="footnote text"/>
    <w:basedOn w:val="700"/>
    <w:link w:val="879"/>
    <w:uiPriority w:val="99"/>
    <w:semiHidden/>
    <w:unhideWhenUsed/>
    <w:qFormat/>
    <w:pPr>
      <w:spacing w:after="40" w:line="240" w:lineRule="auto"/>
    </w:pPr>
    <w:rPr>
      <w:sz w:val="18"/>
    </w:rPr>
  </w:style>
  <w:style w:type="paragraph" w:styleId="725">
    <w:name w:val="toc 6"/>
    <w:basedOn w:val="700"/>
    <w:next w:val="700"/>
    <w:uiPriority w:val="39"/>
    <w:unhideWhenUsed/>
    <w:qFormat/>
    <w:pPr>
      <w:ind w:left="1417" w:right="0" w:firstLine="0"/>
      <w:spacing w:after="57"/>
    </w:pPr>
  </w:style>
  <w:style w:type="paragraph" w:styleId="726">
    <w:name w:val="table of figures"/>
    <w:basedOn w:val="700"/>
    <w:next w:val="700"/>
    <w:uiPriority w:val="99"/>
    <w:unhideWhenUsed/>
    <w:qFormat/>
    <w:pPr>
      <w:spacing w:after="0" w:afterAutospacing="0"/>
    </w:pPr>
  </w:style>
  <w:style w:type="paragraph" w:styleId="727">
    <w:name w:val="toc 2"/>
    <w:basedOn w:val="700"/>
    <w:next w:val="700"/>
    <w:uiPriority w:val="39"/>
    <w:unhideWhenUsed/>
    <w:qFormat/>
    <w:pPr>
      <w:ind w:left="283" w:right="0" w:firstLine="0"/>
      <w:spacing w:after="57"/>
    </w:pPr>
  </w:style>
  <w:style w:type="paragraph" w:styleId="728">
    <w:name w:val="toc 9"/>
    <w:basedOn w:val="700"/>
    <w:next w:val="700"/>
    <w:uiPriority w:val="39"/>
    <w:unhideWhenUsed/>
    <w:qFormat/>
    <w:pPr>
      <w:ind w:left="2268" w:right="0" w:firstLine="0"/>
      <w:spacing w:after="57"/>
    </w:pPr>
  </w:style>
  <w:style w:type="paragraph" w:styleId="729">
    <w:name w:val="Title"/>
    <w:basedOn w:val="700"/>
    <w:next w:val="700"/>
    <w:link w:val="745"/>
    <w:uiPriority w:val="10"/>
    <w:qFormat/>
    <w:pPr>
      <w:contextualSpacing/>
      <w:spacing w:before="300" w:after="200"/>
    </w:pPr>
    <w:rPr>
      <w:sz w:val="48"/>
      <w:szCs w:val="48"/>
    </w:rPr>
  </w:style>
  <w:style w:type="table" w:styleId="7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endnote reference"/>
    <w:uiPriority w:val="99"/>
    <w:semiHidden/>
    <w:unhideWhenUsed/>
    <w:qFormat/>
    <w:rPr>
      <w:vertAlign w:val="superscript"/>
    </w:rPr>
  </w:style>
  <w:style w:type="character" w:styleId="732">
    <w:name w:val="Hyperlink"/>
    <w:uiPriority w:val="99"/>
    <w:unhideWhenUsed/>
    <w:qFormat/>
    <w:rPr>
      <w:color w:val="0000ff" w:themeColor="hyperlink"/>
      <w:u w:val="single"/>
      <w14:textFill>
        <w14:solidFill>
          <w14:schemeClr w14:val="hlink"/>
        </w14:solidFill>
      </w14:textFill>
    </w:rPr>
  </w:style>
  <w:style w:type="character" w:styleId="733">
    <w:name w:val="footnote reference"/>
    <w:uiPriority w:val="99"/>
    <w:unhideWhenUsed/>
    <w:qFormat/>
    <w:rPr>
      <w:vertAlign w:val="superscript"/>
    </w:rPr>
  </w:style>
  <w:style w:type="character" w:styleId="734" w:customStyle="1">
    <w:name w:val="Heading 1 Char"/>
    <w:link w:val="701"/>
    <w:uiPriority w:val="9"/>
    <w:qFormat/>
    <w:rPr>
      <w:rFonts w:ascii="Arial" w:hAnsi="Arial" w:eastAsia="Arial" w:cs="Arial"/>
      <w:sz w:val="40"/>
      <w:szCs w:val="40"/>
    </w:rPr>
  </w:style>
  <w:style w:type="character" w:styleId="735" w:customStyle="1">
    <w:name w:val="Heading 2 Char"/>
    <w:link w:val="702"/>
    <w:uiPriority w:val="9"/>
    <w:qFormat/>
    <w:rPr>
      <w:rFonts w:ascii="Arial" w:hAnsi="Arial" w:eastAsia="Arial" w:cs="Arial"/>
      <w:sz w:val="34"/>
    </w:rPr>
  </w:style>
  <w:style w:type="character" w:styleId="736" w:customStyle="1">
    <w:name w:val="Heading 3 Char"/>
    <w:link w:val="703"/>
    <w:uiPriority w:val="9"/>
    <w:qFormat/>
    <w:rPr>
      <w:rFonts w:ascii="Arial" w:hAnsi="Arial" w:eastAsia="Arial" w:cs="Arial"/>
      <w:sz w:val="30"/>
      <w:szCs w:val="30"/>
    </w:rPr>
  </w:style>
  <w:style w:type="character" w:styleId="737" w:customStyle="1">
    <w:name w:val="Heading 4 Char"/>
    <w:link w:val="704"/>
    <w:uiPriority w:val="9"/>
    <w:qFormat/>
    <w:rPr>
      <w:rFonts w:ascii="Arial" w:hAnsi="Arial" w:eastAsia="Arial" w:cs="Arial"/>
      <w:b/>
      <w:bCs/>
      <w:sz w:val="26"/>
      <w:szCs w:val="26"/>
    </w:rPr>
  </w:style>
  <w:style w:type="character" w:styleId="738" w:customStyle="1">
    <w:name w:val="Heading 5 Char"/>
    <w:link w:val="705"/>
    <w:uiPriority w:val="9"/>
    <w:qFormat/>
    <w:rPr>
      <w:rFonts w:ascii="Arial" w:hAnsi="Arial" w:eastAsia="Arial" w:cs="Arial"/>
      <w:b/>
      <w:bCs/>
      <w:sz w:val="24"/>
      <w:szCs w:val="24"/>
    </w:rPr>
  </w:style>
  <w:style w:type="character" w:styleId="739" w:customStyle="1">
    <w:name w:val="Heading 6 Char"/>
    <w:link w:val="706"/>
    <w:uiPriority w:val="9"/>
    <w:qFormat/>
    <w:rPr>
      <w:rFonts w:ascii="Arial" w:hAnsi="Arial" w:eastAsia="Arial" w:cs="Arial"/>
      <w:b/>
      <w:bCs/>
      <w:sz w:val="22"/>
      <w:szCs w:val="22"/>
    </w:rPr>
  </w:style>
  <w:style w:type="character" w:styleId="740" w:customStyle="1">
    <w:name w:val="Heading 7 Char"/>
    <w:link w:val="707"/>
    <w:uiPriority w:val="9"/>
    <w:qFormat/>
    <w:rPr>
      <w:rFonts w:ascii="Arial" w:hAnsi="Arial" w:eastAsia="Arial" w:cs="Arial"/>
      <w:b/>
      <w:bCs/>
      <w:i/>
      <w:iCs/>
      <w:sz w:val="22"/>
      <w:szCs w:val="22"/>
    </w:rPr>
  </w:style>
  <w:style w:type="character" w:styleId="741" w:customStyle="1">
    <w:name w:val="Heading 8 Char"/>
    <w:link w:val="708"/>
    <w:uiPriority w:val="9"/>
    <w:qFormat/>
    <w:rPr>
      <w:rFonts w:ascii="Arial" w:hAnsi="Arial" w:eastAsia="Arial" w:cs="Arial"/>
      <w:i/>
      <w:iCs/>
      <w:sz w:val="22"/>
      <w:szCs w:val="22"/>
    </w:rPr>
  </w:style>
  <w:style w:type="character" w:styleId="742" w:customStyle="1">
    <w:name w:val="Heading 9 Char"/>
    <w:link w:val="709"/>
    <w:uiPriority w:val="9"/>
    <w:qFormat/>
    <w:rPr>
      <w:rFonts w:ascii="Arial" w:hAnsi="Arial" w:eastAsia="Arial" w:cs="Arial"/>
      <w:i/>
      <w:iCs/>
      <w:sz w:val="21"/>
      <w:szCs w:val="21"/>
    </w:rPr>
  </w:style>
  <w:style w:type="paragraph" w:styleId="743">
    <w:name w:val="List Paragraph"/>
    <w:basedOn w:val="700"/>
    <w:uiPriority w:val="34"/>
    <w:qFormat/>
    <w:pPr>
      <w:contextualSpacing/>
      <w:ind w:left="720"/>
    </w:pPr>
  </w:style>
  <w:style w:type="paragraph" w:styleId="744">
    <w:name w:val="No Spacing"/>
    <w:uiPriority w:val="1"/>
    <w:qFormat/>
    <w:pPr>
      <w:spacing w:before="0" w:after="0" w:line="240" w:lineRule="auto"/>
    </w:pPr>
    <w:rPr>
      <w:rFonts w:hint="default" w:ascii="Times New Roman" w:hAnsi="Times New Roman" w:eastAsia="宋体" w:cs="Times New Roman"/>
    </w:rPr>
  </w:style>
  <w:style w:type="character" w:styleId="745" w:customStyle="1">
    <w:name w:val="Title Char"/>
    <w:link w:val="729"/>
    <w:uiPriority w:val="10"/>
    <w:qFormat/>
    <w:rPr>
      <w:sz w:val="48"/>
      <w:szCs w:val="48"/>
    </w:rPr>
  </w:style>
  <w:style w:type="character" w:styleId="746" w:customStyle="1">
    <w:name w:val="Subtitle Char"/>
    <w:link w:val="723"/>
    <w:uiPriority w:val="11"/>
    <w:qFormat/>
    <w:rPr>
      <w:sz w:val="24"/>
      <w:szCs w:val="24"/>
    </w:rPr>
  </w:style>
  <w:style w:type="paragraph" w:styleId="747">
    <w:name w:val="Quote"/>
    <w:basedOn w:val="700"/>
    <w:next w:val="700"/>
    <w:link w:val="748"/>
    <w:uiPriority w:val="29"/>
    <w:qFormat/>
    <w:pPr>
      <w:ind w:left="720" w:right="720"/>
    </w:pPr>
    <w:rPr>
      <w:i/>
    </w:rPr>
  </w:style>
  <w:style w:type="character" w:styleId="748" w:customStyle="1">
    <w:name w:val="Quote Char"/>
    <w:link w:val="747"/>
    <w:uiPriority w:val="29"/>
    <w:qFormat/>
    <w:rPr>
      <w:i/>
    </w:rPr>
  </w:style>
  <w:style w:type="paragraph" w:styleId="749">
    <w:name w:val="Intense Quote"/>
    <w:basedOn w:val="700"/>
    <w:next w:val="700"/>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Intense Quote Char"/>
    <w:link w:val="749"/>
    <w:uiPriority w:val="30"/>
    <w:qFormat/>
    <w:rPr>
      <w:i/>
    </w:rPr>
  </w:style>
  <w:style w:type="character" w:styleId="751" w:customStyle="1">
    <w:name w:val="Header Char"/>
    <w:link w:val="720"/>
    <w:uiPriority w:val="99"/>
    <w:qFormat/>
  </w:style>
  <w:style w:type="character" w:styleId="752" w:customStyle="1">
    <w:name w:val="Footer Char"/>
    <w:link w:val="719"/>
    <w:uiPriority w:val="99"/>
    <w:qFormat/>
  </w:style>
  <w:style w:type="character" w:styleId="753" w:customStyle="1">
    <w:name w:val="Caption Char"/>
    <w:link w:val="719"/>
    <w:uiPriority w:val="99"/>
    <w:qFormat/>
  </w:style>
  <w:style w:type="table" w:styleId="75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9" w:customStyle="1">
    <w:name w:val="Footnote Text Char"/>
    <w:link w:val="724"/>
    <w:uiPriority w:val="99"/>
    <w:qFormat/>
    <w:rPr>
      <w:sz w:val="18"/>
    </w:rPr>
  </w:style>
  <w:style w:type="character" w:styleId="880" w:customStyle="1">
    <w:name w:val="Endnote Text Char"/>
    <w:link w:val="718"/>
    <w:uiPriority w:val="99"/>
    <w:qFormat/>
    <w:rPr>
      <w:sz w:val="20"/>
    </w:rPr>
  </w:style>
  <w:style w:type="paragraph" w:styleId="881" w:customStyle="1">
    <w:name w:val="TOC Heading"/>
    <w:uiPriority w:val="39"/>
    <w:unhideWhenUsed/>
    <w:qFormat/>
    <w:rPr>
      <w:rFonts w:hint="default" w:ascii="Times New Roman" w:hAnsi="Times New Roman" w:eastAsia="宋体" w:cs="Times New Roman"/>
    </w:rPr>
  </w:style>
  <w:style w:type="paragraph" w:styleId="882" w:customStyle="1">
    <w:name w:val="标题 11"/>
    <w:basedOn w:val="700"/>
    <w:next w:val="700"/>
    <w:link w:val="894"/>
    <w:uiPriority w:val="0"/>
    <w:qFormat/>
    <w:pPr>
      <w:jc w:val="center"/>
      <w:keepNext/>
      <w:outlineLvl w:val="0"/>
    </w:pPr>
    <w:rPr>
      <w:rFonts w:ascii="楷体_GB2312" w:eastAsia="楷体_GB2312"/>
      <w:sz w:val="28"/>
      <w:szCs w:val="28"/>
    </w:rPr>
  </w:style>
  <w:style w:type="paragraph" w:styleId="883" w:customStyle="1">
    <w:name w:val="标题 21"/>
    <w:basedOn w:val="700"/>
    <w:next w:val="884"/>
    <w:link w:val="89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4" w:customStyle="1">
    <w:name w:val="正文缩进1"/>
    <w:basedOn w:val="700"/>
    <w:link w:val="896"/>
    <w:uiPriority w:val="0"/>
    <w:qFormat/>
    <w:pPr>
      <w:ind w:firstLine="420"/>
    </w:pPr>
  </w:style>
  <w:style w:type="paragraph" w:styleId="885" w:customStyle="1">
    <w:name w:val="标题 31"/>
    <w:basedOn w:val="700"/>
    <w:next w:val="700"/>
    <w:link w:val="897"/>
    <w:uiPriority w:val="0"/>
    <w:qFormat/>
    <w:pPr>
      <w:keepLines/>
      <w:keepNext/>
      <w:spacing w:before="260" w:after="260" w:line="416" w:lineRule="auto"/>
      <w:outlineLvl w:val="2"/>
    </w:pPr>
    <w:rPr>
      <w:b/>
      <w:bCs/>
      <w:sz w:val="32"/>
      <w:szCs w:val="32"/>
    </w:rPr>
  </w:style>
  <w:style w:type="paragraph" w:styleId="886" w:customStyle="1">
    <w:name w:val="标题 41"/>
    <w:basedOn w:val="700"/>
    <w:next w:val="884"/>
    <w:link w:val="898"/>
    <w:uiPriority w:val="0"/>
    <w:qFormat/>
    <w:pPr>
      <w:keepLines/>
      <w:keepNext/>
      <w:spacing w:before="280" w:after="290" w:line="376" w:lineRule="auto"/>
      <w:outlineLvl w:val="3"/>
    </w:pPr>
    <w:rPr>
      <w:rFonts w:ascii="Arial" w:hAnsi="Arial" w:eastAsia="黑体" w:cs="Arial"/>
      <w:b/>
      <w:bCs/>
      <w:sz w:val="28"/>
      <w:szCs w:val="28"/>
    </w:rPr>
  </w:style>
  <w:style w:type="paragraph" w:styleId="887" w:customStyle="1">
    <w:name w:val="标题 51"/>
    <w:basedOn w:val="700"/>
    <w:next w:val="884"/>
    <w:link w:val="899"/>
    <w:uiPriority w:val="0"/>
    <w:qFormat/>
    <w:pPr>
      <w:keepNext/>
      <w:outlineLvl w:val="4"/>
    </w:pPr>
    <w:rPr>
      <w:rFonts w:ascii="宋体"/>
      <w:color w:val="000000"/>
      <w:sz w:val="28"/>
      <w:szCs w:val="28"/>
    </w:rPr>
  </w:style>
  <w:style w:type="paragraph" w:styleId="888" w:customStyle="1">
    <w:name w:val="标题 61"/>
    <w:basedOn w:val="700"/>
    <w:next w:val="700"/>
    <w:link w:val="90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9" w:customStyle="1">
    <w:name w:val="标题 71"/>
    <w:basedOn w:val="700"/>
    <w:next w:val="700"/>
    <w:link w:val="901"/>
    <w:uiPriority w:val="0"/>
    <w:qFormat/>
    <w:pPr>
      <w:numPr>
        <w:ilvl w:val="6"/>
        <w:numId w:val="1"/>
      </w:numPr>
      <w:keepLines/>
      <w:keepNext/>
      <w:spacing w:before="240" w:after="64" w:line="320" w:lineRule="auto"/>
      <w:outlineLvl w:val="6"/>
    </w:pPr>
    <w:rPr>
      <w:b/>
      <w:bCs/>
      <w:sz w:val="24"/>
      <w:szCs w:val="24"/>
    </w:rPr>
  </w:style>
  <w:style w:type="paragraph" w:styleId="890" w:customStyle="1">
    <w:name w:val="标题 81"/>
    <w:basedOn w:val="700"/>
    <w:next w:val="700"/>
    <w:link w:val="90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1" w:customStyle="1">
    <w:name w:val="标题 91"/>
    <w:basedOn w:val="700"/>
    <w:next w:val="700"/>
    <w:link w:val="903"/>
    <w:uiPriority w:val="0"/>
    <w:qFormat/>
    <w:pPr>
      <w:numPr>
        <w:ilvl w:val="8"/>
        <w:numId w:val="1"/>
      </w:numPr>
      <w:keepLines/>
      <w:keepNext/>
      <w:spacing w:before="240" w:after="64" w:line="320" w:lineRule="auto"/>
      <w:outlineLvl w:val="8"/>
    </w:pPr>
    <w:rPr>
      <w:rFonts w:ascii="Arial" w:hAnsi="Arial" w:eastAsia="黑体"/>
    </w:rPr>
  </w:style>
  <w:style w:type="character" w:styleId="892" w:customStyle="1">
    <w:name w:val="默认段落字体1"/>
    <w:link w:val="700"/>
    <w:uiPriority w:val="1"/>
    <w:unhideWhenUsed/>
    <w:qFormat/>
  </w:style>
  <w:style w:type="table" w:styleId="893" w:customStyle="1">
    <w:name w:val="普通表格1"/>
    <w:uiPriority w:val="99"/>
    <w:unhideWhenUsed/>
    <w:qFormat/>
    <w:tblPr/>
  </w:style>
  <w:style w:type="character" w:styleId="894" w:customStyle="1">
    <w:name w:val="标题 1 Char"/>
    <w:link w:val="882"/>
    <w:uiPriority w:val="0"/>
    <w:qFormat/>
    <w:rPr>
      <w:rFonts w:ascii="楷体_GB2312" w:hAnsi="Times New Roman" w:eastAsia="楷体_GB2312" w:cs="Times New Roman"/>
      <w:sz w:val="28"/>
      <w:szCs w:val="28"/>
    </w:rPr>
  </w:style>
  <w:style w:type="character" w:styleId="895" w:customStyle="1">
    <w:name w:val="标题 2 Char"/>
    <w:link w:val="883"/>
    <w:uiPriority w:val="0"/>
    <w:qFormat/>
    <w:rPr>
      <w:rFonts w:ascii="Arial" w:hAnsi="Arial" w:eastAsia="幼圆" w:cs="Arial"/>
      <w:b/>
      <w:bCs/>
      <w:sz w:val="44"/>
      <w:szCs w:val="44"/>
    </w:rPr>
  </w:style>
  <w:style w:type="character" w:styleId="896" w:customStyle="1">
    <w:name w:val="正文缩进 Char"/>
    <w:link w:val="884"/>
    <w:uiPriority w:val="0"/>
    <w:qFormat/>
    <w:rPr>
      <w:rFonts w:ascii="Times New Roman" w:hAnsi="Times New Roman" w:eastAsia="宋体" w:cs="Times New Roman"/>
      <w:szCs w:val="21"/>
    </w:rPr>
  </w:style>
  <w:style w:type="character" w:styleId="897" w:customStyle="1">
    <w:name w:val="标题 3 Char"/>
    <w:link w:val="885"/>
    <w:uiPriority w:val="0"/>
    <w:qFormat/>
    <w:rPr>
      <w:rFonts w:ascii="Times New Roman" w:hAnsi="Times New Roman" w:eastAsia="宋体" w:cs="Times New Roman"/>
      <w:b/>
      <w:bCs/>
      <w:sz w:val="32"/>
      <w:szCs w:val="32"/>
    </w:rPr>
  </w:style>
  <w:style w:type="character" w:styleId="898" w:customStyle="1">
    <w:name w:val="标题 4 Char"/>
    <w:link w:val="886"/>
    <w:uiPriority w:val="0"/>
    <w:qFormat/>
    <w:rPr>
      <w:rFonts w:ascii="Arial" w:hAnsi="Arial" w:eastAsia="黑体" w:cs="Arial"/>
      <w:b/>
      <w:bCs/>
      <w:sz w:val="28"/>
      <w:szCs w:val="28"/>
    </w:rPr>
  </w:style>
  <w:style w:type="character" w:styleId="899" w:customStyle="1">
    <w:name w:val="标题 5 Char"/>
    <w:link w:val="887"/>
    <w:uiPriority w:val="0"/>
    <w:qFormat/>
    <w:rPr>
      <w:rFonts w:ascii="宋体" w:hAnsi="Times New Roman" w:eastAsia="宋体" w:cs="Times New Roman"/>
      <w:color w:val="000000"/>
      <w:sz w:val="28"/>
      <w:szCs w:val="28"/>
    </w:rPr>
  </w:style>
  <w:style w:type="character" w:styleId="900" w:customStyle="1">
    <w:name w:val="标题 6 Char"/>
    <w:link w:val="888"/>
    <w:uiPriority w:val="0"/>
    <w:qFormat/>
    <w:rPr>
      <w:rFonts w:ascii="Arial" w:hAnsi="Arial" w:eastAsia="黑体" w:cs="Times New Roman"/>
      <w:b/>
      <w:bCs/>
      <w:sz w:val="24"/>
      <w:szCs w:val="24"/>
    </w:rPr>
  </w:style>
  <w:style w:type="character" w:styleId="901" w:customStyle="1">
    <w:name w:val="标题 7 Char"/>
    <w:link w:val="889"/>
    <w:uiPriority w:val="0"/>
    <w:qFormat/>
    <w:rPr>
      <w:rFonts w:ascii="Times New Roman" w:hAnsi="Times New Roman" w:eastAsia="宋体" w:cs="Times New Roman"/>
      <w:b/>
      <w:bCs/>
      <w:sz w:val="24"/>
      <w:szCs w:val="24"/>
    </w:rPr>
  </w:style>
  <w:style w:type="character" w:styleId="902" w:customStyle="1">
    <w:name w:val="标题 8 Char"/>
    <w:link w:val="890"/>
    <w:uiPriority w:val="0"/>
    <w:qFormat/>
    <w:rPr>
      <w:rFonts w:ascii="Arial" w:hAnsi="Arial" w:eastAsia="黑体" w:cs="Times New Roman"/>
      <w:sz w:val="24"/>
      <w:szCs w:val="24"/>
    </w:rPr>
  </w:style>
  <w:style w:type="character" w:styleId="903" w:customStyle="1">
    <w:name w:val="标题 9 Char"/>
    <w:link w:val="891"/>
    <w:uiPriority w:val="0"/>
    <w:qFormat/>
    <w:rPr>
      <w:rFonts w:ascii="Arial" w:hAnsi="Arial" w:eastAsia="黑体" w:cs="Times New Roman"/>
      <w:szCs w:val="21"/>
    </w:rPr>
  </w:style>
  <w:style w:type="paragraph" w:styleId="904" w:customStyle="1">
    <w:name w:val="列表 31"/>
    <w:basedOn w:val="700"/>
    <w:uiPriority w:val="0"/>
    <w:qFormat/>
    <w:pPr>
      <w:ind w:left="100" w:hanging="200"/>
    </w:pPr>
  </w:style>
  <w:style w:type="paragraph" w:styleId="905" w:customStyle="1">
    <w:name w:val="目录 71"/>
    <w:basedOn w:val="700"/>
    <w:next w:val="700"/>
    <w:uiPriority w:val="0"/>
    <w:semiHidden/>
    <w:qFormat/>
    <w:pPr>
      <w:ind w:left="1260"/>
      <w:jc w:val="left"/>
    </w:pPr>
  </w:style>
  <w:style w:type="paragraph" w:styleId="906" w:customStyle="1">
    <w:name w:val="文档结构图1"/>
    <w:basedOn w:val="700"/>
    <w:link w:val="907"/>
    <w:uiPriority w:val="0"/>
    <w:semiHidden/>
    <w:qFormat/>
    <w:pPr>
      <w:shd w:val="clear" w:color="auto" w:fill="000080"/>
    </w:pPr>
  </w:style>
  <w:style w:type="character" w:styleId="907" w:customStyle="1">
    <w:name w:val="文档结构图 Char"/>
    <w:link w:val="906"/>
    <w:uiPriority w:val="0"/>
    <w:semiHidden/>
    <w:qFormat/>
    <w:rPr>
      <w:rFonts w:ascii="Times New Roman" w:hAnsi="Times New Roman" w:eastAsia="宋体" w:cs="Times New Roman"/>
      <w:szCs w:val="21"/>
      <w:shd w:val="clear" w:color="auto" w:fill="000080"/>
    </w:rPr>
  </w:style>
  <w:style w:type="paragraph" w:styleId="908" w:customStyle="1">
    <w:name w:val="批注文字1"/>
    <w:basedOn w:val="700"/>
    <w:link w:val="909"/>
    <w:uiPriority w:val="0"/>
    <w:semiHidden/>
    <w:qFormat/>
    <w:pPr>
      <w:jc w:val="left"/>
    </w:pPr>
  </w:style>
  <w:style w:type="character" w:styleId="909" w:customStyle="1">
    <w:name w:val="批注文字 Char"/>
    <w:link w:val="908"/>
    <w:uiPriority w:val="0"/>
    <w:semiHidden/>
    <w:qFormat/>
    <w:rPr>
      <w:rFonts w:ascii="Times New Roman" w:hAnsi="Times New Roman" w:eastAsia="宋体" w:cs="Times New Roman"/>
      <w:szCs w:val="21"/>
    </w:rPr>
  </w:style>
  <w:style w:type="paragraph" w:styleId="910" w:customStyle="1">
    <w:name w:val="正文文本 31"/>
    <w:basedOn w:val="700"/>
    <w:link w:val="911"/>
    <w:uiPriority w:val="0"/>
    <w:qFormat/>
    <w:rPr>
      <w:rFonts w:ascii="仿宋_GB2312" w:hAnsi="Arial" w:eastAsia="仿宋_GB2312"/>
      <w:sz w:val="32"/>
      <w:szCs w:val="32"/>
    </w:rPr>
  </w:style>
  <w:style w:type="character" w:styleId="911" w:customStyle="1">
    <w:name w:val="正文文本 3 Char"/>
    <w:link w:val="910"/>
    <w:uiPriority w:val="0"/>
    <w:qFormat/>
    <w:rPr>
      <w:rFonts w:ascii="仿宋_GB2312" w:hAnsi="Arial" w:eastAsia="仿宋_GB2312" w:cs="Times New Roman"/>
      <w:sz w:val="32"/>
      <w:szCs w:val="32"/>
    </w:rPr>
  </w:style>
  <w:style w:type="paragraph" w:styleId="912" w:customStyle="1">
    <w:name w:val="正文文本1"/>
    <w:basedOn w:val="700"/>
    <w:link w:val="913"/>
    <w:uiPriority w:val="0"/>
    <w:qFormat/>
    <w:rPr>
      <w:rFonts w:ascii="楷体_GB2312" w:hAnsi="Arial" w:eastAsia="楷体_GB2312"/>
      <w:sz w:val="28"/>
      <w:szCs w:val="28"/>
    </w:rPr>
  </w:style>
  <w:style w:type="character" w:styleId="913" w:customStyle="1">
    <w:name w:val="正文文本 Char"/>
    <w:link w:val="912"/>
    <w:uiPriority w:val="0"/>
    <w:qFormat/>
    <w:rPr>
      <w:rFonts w:ascii="楷体_GB2312" w:hAnsi="Arial" w:eastAsia="楷体_GB2312" w:cs="Times New Roman"/>
      <w:sz w:val="28"/>
      <w:szCs w:val="28"/>
    </w:rPr>
  </w:style>
  <w:style w:type="paragraph" w:styleId="914" w:customStyle="1">
    <w:name w:val="正文文本缩进1"/>
    <w:basedOn w:val="700"/>
    <w:link w:val="915"/>
    <w:uiPriority w:val="0"/>
    <w:qFormat/>
    <w:pPr>
      <w:ind w:firstLine="645"/>
    </w:pPr>
    <w:rPr>
      <w:rFonts w:ascii="楷体_GB2312" w:eastAsia="楷体_GB2312"/>
      <w:sz w:val="32"/>
      <w:szCs w:val="32"/>
    </w:rPr>
  </w:style>
  <w:style w:type="character" w:styleId="915" w:customStyle="1">
    <w:name w:val="正文文本缩进 Char"/>
    <w:link w:val="914"/>
    <w:uiPriority w:val="0"/>
    <w:qFormat/>
    <w:rPr>
      <w:rFonts w:ascii="楷体_GB2312" w:hAnsi="Times New Roman" w:eastAsia="楷体_GB2312" w:cs="Times New Roman"/>
      <w:sz w:val="32"/>
      <w:szCs w:val="32"/>
    </w:rPr>
  </w:style>
  <w:style w:type="paragraph" w:styleId="916" w:customStyle="1">
    <w:name w:val="列表 21"/>
    <w:basedOn w:val="700"/>
    <w:uiPriority w:val="0"/>
    <w:qFormat/>
    <w:pPr>
      <w:ind w:left="100" w:hanging="200"/>
    </w:pPr>
  </w:style>
  <w:style w:type="paragraph" w:styleId="917" w:customStyle="1">
    <w:name w:val="目录 51"/>
    <w:basedOn w:val="700"/>
    <w:next w:val="700"/>
    <w:uiPriority w:val="0"/>
    <w:semiHidden/>
    <w:qFormat/>
    <w:pPr>
      <w:ind w:left="840"/>
      <w:jc w:val="left"/>
    </w:pPr>
  </w:style>
  <w:style w:type="paragraph" w:styleId="918" w:customStyle="1">
    <w:name w:val="目录 31"/>
    <w:basedOn w:val="700"/>
    <w:next w:val="700"/>
    <w:uiPriority w:val="0"/>
    <w:semiHidden/>
    <w:qFormat/>
    <w:pPr>
      <w:ind w:left="420"/>
      <w:jc w:val="left"/>
    </w:pPr>
    <w:rPr>
      <w:i/>
      <w:iCs/>
      <w:szCs w:val="24"/>
    </w:rPr>
  </w:style>
  <w:style w:type="paragraph" w:styleId="919" w:customStyle="1">
    <w:name w:val="纯文本1"/>
    <w:basedOn w:val="700"/>
    <w:link w:val="920"/>
    <w:uiPriority w:val="0"/>
    <w:qFormat/>
    <w:rPr>
      <w:rFonts w:ascii="宋体" w:hAnsi="Courier New" w:cs="Courier New"/>
    </w:rPr>
  </w:style>
  <w:style w:type="character" w:styleId="920" w:customStyle="1">
    <w:name w:val="纯文本 Char"/>
    <w:link w:val="919"/>
    <w:uiPriority w:val="0"/>
    <w:qFormat/>
    <w:rPr>
      <w:rFonts w:ascii="宋体" w:hAnsi="Courier New" w:eastAsia="宋体" w:cs="Courier New"/>
      <w:szCs w:val="21"/>
    </w:rPr>
  </w:style>
  <w:style w:type="paragraph" w:styleId="921" w:customStyle="1">
    <w:name w:val="目录 81"/>
    <w:basedOn w:val="700"/>
    <w:next w:val="700"/>
    <w:uiPriority w:val="0"/>
    <w:semiHidden/>
    <w:qFormat/>
    <w:pPr>
      <w:ind w:left="1470"/>
      <w:jc w:val="left"/>
    </w:pPr>
  </w:style>
  <w:style w:type="paragraph" w:styleId="922" w:customStyle="1">
    <w:name w:val="日期1"/>
    <w:basedOn w:val="700"/>
    <w:next w:val="700"/>
    <w:link w:val="923"/>
    <w:uiPriority w:val="0"/>
    <w:qFormat/>
    <w:rPr>
      <w:sz w:val="24"/>
      <w:szCs w:val="24"/>
    </w:rPr>
  </w:style>
  <w:style w:type="character" w:styleId="923" w:customStyle="1">
    <w:name w:val="日期 Char"/>
    <w:link w:val="922"/>
    <w:uiPriority w:val="0"/>
    <w:qFormat/>
    <w:rPr>
      <w:rFonts w:ascii="Times New Roman" w:hAnsi="Times New Roman" w:eastAsia="宋体" w:cs="Times New Roman"/>
      <w:sz w:val="24"/>
      <w:szCs w:val="24"/>
    </w:rPr>
  </w:style>
  <w:style w:type="paragraph" w:styleId="924" w:customStyle="1">
    <w:name w:val="正文文本缩进 21"/>
    <w:basedOn w:val="700"/>
    <w:link w:val="925"/>
    <w:uiPriority w:val="0"/>
    <w:qFormat/>
    <w:pPr>
      <w:ind w:left="630" w:firstLine="645"/>
    </w:pPr>
    <w:rPr>
      <w:rFonts w:ascii="Arial" w:hAnsi="Arial" w:eastAsia="仿宋_GB2312" w:cs="Arial"/>
      <w:sz w:val="32"/>
      <w:szCs w:val="32"/>
    </w:rPr>
  </w:style>
  <w:style w:type="character" w:styleId="925" w:customStyle="1">
    <w:name w:val="正文文本缩进 2 Char"/>
    <w:link w:val="924"/>
    <w:uiPriority w:val="0"/>
    <w:qFormat/>
    <w:rPr>
      <w:rFonts w:ascii="Arial" w:hAnsi="Arial" w:eastAsia="仿宋_GB2312" w:cs="Arial"/>
      <w:sz w:val="32"/>
      <w:szCs w:val="32"/>
    </w:rPr>
  </w:style>
  <w:style w:type="paragraph" w:styleId="926" w:customStyle="1">
    <w:name w:val="批注框文本1"/>
    <w:basedOn w:val="700"/>
    <w:link w:val="927"/>
    <w:uiPriority w:val="0"/>
    <w:semiHidden/>
    <w:qFormat/>
    <w:rPr>
      <w:sz w:val="18"/>
      <w:szCs w:val="18"/>
    </w:rPr>
  </w:style>
  <w:style w:type="character" w:styleId="927" w:customStyle="1">
    <w:name w:val="批注框文本 Char"/>
    <w:link w:val="926"/>
    <w:uiPriority w:val="0"/>
    <w:semiHidden/>
    <w:qFormat/>
    <w:rPr>
      <w:rFonts w:ascii="Times New Roman" w:hAnsi="Times New Roman" w:eastAsia="宋体" w:cs="Times New Roman"/>
      <w:sz w:val="18"/>
      <w:szCs w:val="18"/>
    </w:rPr>
  </w:style>
  <w:style w:type="paragraph" w:styleId="928" w:customStyle="1">
    <w:name w:val="页脚1"/>
    <w:basedOn w:val="700"/>
    <w:link w:val="929"/>
    <w:uiPriority w:val="99"/>
    <w:qFormat/>
    <w:pPr>
      <w:jc w:val="left"/>
      <w:tabs>
        <w:tab w:val="center" w:pos="4153" w:leader="none"/>
        <w:tab w:val="right" w:pos="8306" w:leader="none"/>
      </w:tabs>
    </w:pPr>
    <w:rPr>
      <w:sz w:val="18"/>
      <w:szCs w:val="18"/>
    </w:rPr>
  </w:style>
  <w:style w:type="character" w:styleId="929" w:customStyle="1">
    <w:name w:val="页脚 Char"/>
    <w:link w:val="928"/>
    <w:uiPriority w:val="99"/>
    <w:qFormat/>
    <w:rPr>
      <w:rFonts w:ascii="Times New Roman" w:hAnsi="Times New Roman" w:eastAsia="宋体" w:cs="Times New Roman"/>
      <w:sz w:val="18"/>
      <w:szCs w:val="18"/>
    </w:rPr>
  </w:style>
  <w:style w:type="paragraph" w:styleId="930" w:customStyle="1">
    <w:name w:val="页眉1"/>
    <w:basedOn w:val="700"/>
    <w:link w:val="931"/>
    <w:uiPriority w:val="0"/>
    <w:qFormat/>
    <w:pPr>
      <w:jc w:val="center"/>
      <w:tabs>
        <w:tab w:val="center" w:pos="4153" w:leader="none"/>
        <w:tab w:val="right" w:pos="8306" w:leader="none"/>
      </w:tabs>
      <w:pBdr>
        <w:bottom w:val="single" w:color="000000" w:sz="6" w:space="1"/>
      </w:pBdr>
    </w:pPr>
    <w:rPr>
      <w:sz w:val="18"/>
      <w:szCs w:val="18"/>
    </w:rPr>
  </w:style>
  <w:style w:type="character" w:styleId="931" w:customStyle="1">
    <w:name w:val="页眉 Char"/>
    <w:link w:val="930"/>
    <w:uiPriority w:val="0"/>
    <w:qFormat/>
    <w:rPr>
      <w:rFonts w:ascii="Times New Roman" w:hAnsi="Times New Roman" w:eastAsia="宋体" w:cs="Times New Roman"/>
      <w:sz w:val="18"/>
      <w:szCs w:val="18"/>
    </w:rPr>
  </w:style>
  <w:style w:type="paragraph" w:styleId="932" w:customStyle="1">
    <w:name w:val="目录 111"/>
    <w:basedOn w:val="700"/>
    <w:next w:val="700"/>
    <w:uiPriority w:val="0"/>
    <w:semiHidden/>
    <w:qFormat/>
    <w:pPr>
      <w:jc w:val="left"/>
      <w:spacing w:before="120" w:after="120" w:line="400" w:lineRule="exact"/>
      <w:tabs>
        <w:tab w:val="right" w:pos="8720" w:leader="dot"/>
      </w:tabs>
    </w:pPr>
    <w:rPr>
      <w:rFonts w:ascii="宋体" w:hAnsi="宋体"/>
      <w:caps/>
      <w:sz w:val="24"/>
      <w:szCs w:val="24"/>
    </w:rPr>
  </w:style>
  <w:style w:type="paragraph" w:styleId="933" w:customStyle="1">
    <w:name w:val="目录 41"/>
    <w:basedOn w:val="700"/>
    <w:next w:val="700"/>
    <w:uiPriority w:val="0"/>
    <w:semiHidden/>
    <w:qFormat/>
    <w:pPr>
      <w:ind w:left="630"/>
      <w:jc w:val="left"/>
    </w:pPr>
  </w:style>
  <w:style w:type="paragraph" w:styleId="934" w:customStyle="1">
    <w:name w:val="列表1"/>
    <w:basedOn w:val="700"/>
    <w:uiPriority w:val="0"/>
    <w:qFormat/>
    <w:pPr>
      <w:ind w:left="200" w:hanging="200"/>
    </w:pPr>
  </w:style>
  <w:style w:type="paragraph" w:styleId="935" w:customStyle="1">
    <w:name w:val="目录 61"/>
    <w:basedOn w:val="700"/>
    <w:next w:val="700"/>
    <w:uiPriority w:val="0"/>
    <w:semiHidden/>
    <w:qFormat/>
    <w:pPr>
      <w:ind w:left="1050"/>
      <w:jc w:val="left"/>
    </w:pPr>
  </w:style>
  <w:style w:type="paragraph" w:styleId="936" w:customStyle="1">
    <w:name w:val="正文文本缩进 31"/>
    <w:basedOn w:val="700"/>
    <w:link w:val="937"/>
    <w:uiPriority w:val="0"/>
    <w:qFormat/>
    <w:pPr>
      <w:ind w:left="645" w:firstLine="645"/>
    </w:pPr>
    <w:rPr>
      <w:rFonts w:ascii="Arial" w:hAnsi="Arial" w:eastAsia="仿宋_GB2312" w:cs="Arial"/>
      <w:color w:val="ffff00"/>
      <w:sz w:val="32"/>
      <w:szCs w:val="32"/>
    </w:rPr>
  </w:style>
  <w:style w:type="character" w:styleId="937" w:customStyle="1">
    <w:name w:val="正文文本缩进 3 Char"/>
    <w:link w:val="936"/>
    <w:uiPriority w:val="0"/>
    <w:qFormat/>
    <w:rPr>
      <w:rFonts w:ascii="Arial" w:hAnsi="Arial" w:eastAsia="仿宋_GB2312" w:cs="Arial"/>
      <w:color w:val="ffff00"/>
      <w:sz w:val="32"/>
      <w:szCs w:val="32"/>
    </w:rPr>
  </w:style>
  <w:style w:type="paragraph" w:styleId="938" w:customStyle="1">
    <w:name w:val="图表目录1"/>
    <w:basedOn w:val="700"/>
    <w:next w:val="700"/>
    <w:uiPriority w:val="0"/>
    <w:semiHidden/>
    <w:qFormat/>
    <w:pPr>
      <w:ind w:left="840" w:hanging="420"/>
    </w:pPr>
  </w:style>
  <w:style w:type="paragraph" w:styleId="939" w:customStyle="1">
    <w:name w:val="目录 21"/>
    <w:basedOn w:val="700"/>
    <w:next w:val="700"/>
    <w:uiPriority w:val="0"/>
    <w:semiHidden/>
    <w:qFormat/>
    <w:pPr>
      <w:ind w:left="210"/>
      <w:jc w:val="left"/>
    </w:pPr>
    <w:rPr>
      <w:smallCaps/>
      <w:szCs w:val="24"/>
    </w:rPr>
  </w:style>
  <w:style w:type="paragraph" w:styleId="940" w:customStyle="1">
    <w:name w:val="目录 91"/>
    <w:basedOn w:val="700"/>
    <w:next w:val="700"/>
    <w:uiPriority w:val="0"/>
    <w:semiHidden/>
    <w:qFormat/>
    <w:pPr>
      <w:ind w:left="1680"/>
      <w:jc w:val="left"/>
    </w:pPr>
  </w:style>
  <w:style w:type="paragraph" w:styleId="941" w:customStyle="1">
    <w:name w:val="正文文本 21"/>
    <w:basedOn w:val="700"/>
    <w:link w:val="942"/>
    <w:uiPriority w:val="0"/>
    <w:qFormat/>
    <w:pPr>
      <w:jc w:val="center"/>
      <w:widowControl/>
    </w:pPr>
    <w:rPr>
      <w:rFonts w:ascii="楷体_GB2312" w:eastAsia="楷体_GB2312"/>
      <w:sz w:val="28"/>
      <w:szCs w:val="28"/>
    </w:rPr>
  </w:style>
  <w:style w:type="character" w:styleId="942" w:customStyle="1">
    <w:name w:val="正文文本 2 Char"/>
    <w:link w:val="941"/>
    <w:uiPriority w:val="0"/>
    <w:qFormat/>
    <w:rPr>
      <w:rFonts w:ascii="楷体_GB2312" w:hAnsi="Times New Roman" w:eastAsia="楷体_GB2312" w:cs="Times New Roman"/>
      <w:sz w:val="28"/>
      <w:szCs w:val="28"/>
    </w:rPr>
  </w:style>
  <w:style w:type="paragraph" w:styleId="943" w:customStyle="1">
    <w:name w:val="普通(网站)1"/>
    <w:basedOn w:val="700"/>
    <w:uiPriority w:val="99"/>
    <w:qFormat/>
    <w:pPr>
      <w:jc w:val="left"/>
      <w:spacing w:before="100" w:beforeAutospacing="1" w:after="100" w:afterAutospacing="1"/>
      <w:widowControl/>
    </w:pPr>
    <w:rPr>
      <w:rFonts w:ascii="宋体" w:hAnsi="宋体" w:cs="宋体"/>
      <w:sz w:val="24"/>
      <w:szCs w:val="24"/>
    </w:rPr>
  </w:style>
  <w:style w:type="paragraph" w:styleId="944" w:customStyle="1">
    <w:name w:val="索引 11"/>
    <w:basedOn w:val="700"/>
    <w:next w:val="700"/>
    <w:uiPriority w:val="0"/>
    <w:semiHidden/>
    <w:qFormat/>
    <w:pPr>
      <w:spacing w:line="240" w:lineRule="atLeast"/>
    </w:pPr>
    <w:rPr>
      <w:b/>
      <w:bCs/>
    </w:rPr>
  </w:style>
  <w:style w:type="paragraph" w:styleId="945" w:customStyle="1">
    <w:name w:val="批注主题1"/>
    <w:basedOn w:val="908"/>
    <w:next w:val="908"/>
    <w:link w:val="946"/>
    <w:uiPriority w:val="0"/>
    <w:semiHidden/>
    <w:qFormat/>
    <w:rPr>
      <w:b/>
      <w:bCs/>
    </w:rPr>
  </w:style>
  <w:style w:type="character" w:styleId="946" w:customStyle="1">
    <w:name w:val="批注主题 Char"/>
    <w:link w:val="945"/>
    <w:uiPriority w:val="0"/>
    <w:semiHidden/>
    <w:qFormat/>
    <w:rPr>
      <w:rFonts w:ascii="Times New Roman" w:hAnsi="Times New Roman" w:eastAsia="宋体" w:cs="Times New Roman"/>
      <w:b/>
      <w:bCs/>
      <w:szCs w:val="21"/>
    </w:rPr>
  </w:style>
  <w:style w:type="paragraph" w:styleId="947" w:customStyle="1">
    <w:name w:val="正文首行缩进1"/>
    <w:basedOn w:val="700"/>
    <w:link w:val="948"/>
    <w:uiPriority w:val="0"/>
    <w:qFormat/>
    <w:pPr>
      <w:ind w:firstLine="200"/>
      <w:spacing w:line="360" w:lineRule="auto"/>
    </w:pPr>
    <w:rPr>
      <w:rFonts w:ascii="仿宋_GB2312" w:eastAsia="仿宋_GB2312"/>
      <w:sz w:val="30"/>
      <w:szCs w:val="30"/>
    </w:rPr>
  </w:style>
  <w:style w:type="character" w:styleId="948" w:customStyle="1">
    <w:name w:val="正文首行缩进 Char"/>
    <w:link w:val="947"/>
    <w:uiPriority w:val="0"/>
    <w:qFormat/>
    <w:rPr>
      <w:rFonts w:ascii="仿宋_GB2312" w:hAnsi="Times New Roman" w:eastAsia="仿宋_GB2312" w:cs="Times New Roman"/>
      <w:sz w:val="30"/>
      <w:szCs w:val="30"/>
    </w:rPr>
  </w:style>
  <w:style w:type="paragraph" w:styleId="949" w:customStyle="1">
    <w:name w:val="正文首行缩进 21"/>
    <w:basedOn w:val="914"/>
    <w:link w:val="950"/>
    <w:uiPriority w:val="0"/>
    <w:qFormat/>
    <w:pPr>
      <w:ind w:firstLine="420"/>
      <w:spacing w:line="360" w:lineRule="auto"/>
    </w:pPr>
    <w:rPr>
      <w:rFonts w:ascii="宋体" w:hAnsi="宋体" w:eastAsia="宋体"/>
      <w:sz w:val="21"/>
      <w:szCs w:val="20"/>
    </w:rPr>
  </w:style>
  <w:style w:type="character" w:styleId="950" w:customStyle="1">
    <w:name w:val="正文首行缩进 2 Char"/>
    <w:link w:val="949"/>
    <w:uiPriority w:val="0"/>
    <w:qFormat/>
    <w:rPr>
      <w:rFonts w:ascii="宋体" w:hAnsi="宋体" w:eastAsia="宋体" w:cs="Times New Roman"/>
      <w:sz w:val="32"/>
      <w:szCs w:val="20"/>
    </w:rPr>
  </w:style>
  <w:style w:type="table" w:styleId="951" w:customStyle="1">
    <w:name w:val="网格型1"/>
    <w:basedOn w:val="893"/>
    <w:uiPriority w:val="0"/>
    <w:qFormat/>
    <w:pPr>
      <w:jc w:val="both"/>
      <w:widowControl w:val="off"/>
    </w:pPr>
    <w:rPr>
      <w:rFonts w:ascii="Times New Roman" w:hAnsi="Times New Roman" w:eastAsia="宋体" w:cs="Times New Roman"/>
      <w:sz w:val="20"/>
      <w:szCs w:val="20"/>
    </w:rPr>
    <w:tblPr/>
  </w:style>
  <w:style w:type="character" w:styleId="952" w:customStyle="1">
    <w:name w:val="要点1"/>
    <w:link w:val="700"/>
    <w:uiPriority w:val="0"/>
    <w:qFormat/>
    <w:rPr>
      <w:b/>
      <w:bCs/>
    </w:rPr>
  </w:style>
  <w:style w:type="character" w:styleId="953" w:customStyle="1">
    <w:name w:val="页码1"/>
    <w:link w:val="700"/>
    <w:uiPriority w:val="0"/>
    <w:qFormat/>
  </w:style>
  <w:style w:type="character" w:styleId="954" w:customStyle="1">
    <w:name w:val="已访问的超链接1"/>
    <w:link w:val="700"/>
    <w:uiPriority w:val="0"/>
    <w:qFormat/>
    <w:rPr>
      <w:color w:val="800080"/>
      <w:u w:val="single"/>
    </w:rPr>
  </w:style>
  <w:style w:type="character" w:styleId="955" w:customStyle="1">
    <w:name w:val="强调1"/>
    <w:link w:val="700"/>
    <w:uiPriority w:val="0"/>
    <w:qFormat/>
    <w:rPr>
      <w:i/>
    </w:rPr>
  </w:style>
  <w:style w:type="character" w:styleId="956" w:customStyle="1">
    <w:name w:val="超链接1"/>
    <w:link w:val="700"/>
    <w:uiPriority w:val="0"/>
    <w:qFormat/>
    <w:rPr>
      <w:color w:val="0000ff"/>
      <w:u w:val="single"/>
    </w:rPr>
  </w:style>
  <w:style w:type="character" w:styleId="957" w:customStyle="1">
    <w:name w:val="批注引用1"/>
    <w:link w:val="700"/>
    <w:uiPriority w:val="0"/>
    <w:semiHidden/>
    <w:qFormat/>
    <w:rPr>
      <w:sz w:val="21"/>
      <w:szCs w:val="21"/>
    </w:rPr>
  </w:style>
  <w:style w:type="paragraph" w:styleId="958" w:customStyle="1">
    <w:name w:val="目录 11"/>
    <w:basedOn w:val="700"/>
    <w:next w:val="70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character" w:styleId="959" w:customStyle="1">
    <w:name w:val="font5 Char"/>
    <w:link w:val="700"/>
    <w:uiPriority w:val="0"/>
    <w:qFormat/>
    <w:rPr>
      <w:rFonts w:ascii="宋体" w:hAnsi="宋体" w:eastAsia="宋体"/>
      <w:sz w:val="28"/>
      <w:szCs w:val="28"/>
      <w:lang w:val="en-US" w:eastAsia="zh-CN" w:bidi="ar-SA"/>
    </w:rPr>
  </w:style>
  <w:style w:type="character" w:styleId="960" w:customStyle="1">
    <w:name w:val="二级目录 Char"/>
    <w:link w:val="961"/>
    <w:uiPriority w:val="0"/>
    <w:qFormat/>
    <w:rPr>
      <w:b/>
      <w:sz w:val="30"/>
      <w:szCs w:val="28"/>
    </w:rPr>
  </w:style>
  <w:style w:type="paragraph" w:styleId="961" w:customStyle="1">
    <w:name w:val="二级目录"/>
    <w:next w:val="700"/>
    <w:link w:val="96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2" w:customStyle="1">
    <w:name w:val="列出段落 Char"/>
    <w:link w:val="963"/>
    <w:uiPriority w:val="0"/>
    <w:qFormat/>
    <w:rPr>
      <w:rFonts w:ascii="Calibri" w:hAnsi="Calibri"/>
      <w:sz w:val="24"/>
      <w:szCs w:val="24"/>
      <w:lang w:eastAsia="en-US" w:bidi="en-US"/>
    </w:rPr>
  </w:style>
  <w:style w:type="paragraph" w:styleId="963" w:customStyle="1">
    <w:name w:val="列出段落1"/>
    <w:basedOn w:val="700"/>
    <w:link w:val="962"/>
    <w:uiPriority w:val="0"/>
    <w:qFormat/>
    <w:pPr>
      <w:contextualSpacing/>
      <w:ind w:left="720"/>
      <w:jc w:val="left"/>
      <w:widowControl/>
    </w:pPr>
    <w:rPr>
      <w:rFonts w:ascii="Calibri" w:hAnsi="Calibri" w:eastAsia="宋体" w:cs="Times New Roman"/>
      <w:sz w:val="24"/>
      <w:szCs w:val="24"/>
      <w:lang w:eastAsia="en-US" w:bidi="en-US"/>
    </w:rPr>
  </w:style>
  <w:style w:type="paragraph" w:styleId="964" w:customStyle="1">
    <w:name w:val="Body Text(ch)"/>
    <w:basedOn w:val="700"/>
    <w:next w:val="912"/>
    <w:uiPriority w:val="0"/>
    <w:qFormat/>
    <w:pPr>
      <w:spacing w:after="120"/>
    </w:pPr>
    <w:rPr>
      <w:rFonts w:ascii="宋体" w:hAnsi="Arial"/>
      <w:bCs/>
      <w:iCs/>
      <w:szCs w:val="24"/>
    </w:rPr>
  </w:style>
  <w:style w:type="paragraph" w:styleId="965" w:customStyle="1">
    <w:name w:val="xl27"/>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6" w:customStyle="1">
    <w:name w:val="xl2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7" w:customStyle="1">
    <w:name w:val="Char"/>
    <w:basedOn w:val="700"/>
    <w:uiPriority w:val="0"/>
    <w:qFormat/>
    <w:pPr>
      <w:ind w:firstLine="200"/>
      <w:tabs>
        <w:tab w:val="left" w:pos="360" w:leader="none"/>
      </w:tabs>
    </w:pPr>
    <w:rPr>
      <w:sz w:val="28"/>
      <w:szCs w:val="30"/>
    </w:rPr>
  </w:style>
  <w:style w:type="paragraph" w:styleId="968" w:customStyle="1">
    <w:name w:val=" Char"/>
    <w:basedOn w:val="906"/>
    <w:uiPriority w:val="0"/>
    <w:qFormat/>
    <w:rPr>
      <w:rFonts w:ascii="Tahoma" w:hAnsi="Tahoma"/>
      <w:sz w:val="24"/>
      <w:szCs w:val="24"/>
    </w:rPr>
  </w:style>
  <w:style w:type="paragraph" w:styleId="969" w:customStyle="1">
    <w:name w:val="普通正文"/>
    <w:basedOn w:val="700"/>
    <w:uiPriority w:val="0"/>
    <w:qFormat/>
    <w:pPr>
      <w:ind w:firstLine="480"/>
      <w:jc w:val="left"/>
      <w:spacing w:before="120" w:after="120" w:line="360" w:lineRule="auto"/>
    </w:pPr>
    <w:rPr>
      <w:rFonts w:ascii="Arial" w:hAnsi="Arial"/>
      <w:sz w:val="24"/>
      <w:szCs w:val="24"/>
    </w:rPr>
  </w:style>
  <w:style w:type="paragraph" w:styleId="970" w:customStyle="1">
    <w:name w:val="table_lines"/>
    <w:basedOn w:val="700"/>
    <w:uiPriority w:val="0"/>
    <w:qFormat/>
    <w:pPr>
      <w:jc w:val="left"/>
      <w:widowControl/>
    </w:pPr>
    <w:rPr>
      <w:sz w:val="20"/>
      <w:szCs w:val="20"/>
      <w:lang w:val="de-DE" w:eastAsia="de-DE"/>
    </w:rPr>
  </w:style>
  <w:style w:type="paragraph" w:styleId="97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2" w:customStyle="1">
    <w:name w:val="font7"/>
    <w:basedOn w:val="700"/>
    <w:uiPriority w:val="0"/>
    <w:qFormat/>
    <w:pPr>
      <w:jc w:val="left"/>
      <w:spacing w:before="100" w:beforeAutospacing="1" w:after="100" w:afterAutospacing="1"/>
      <w:widowControl/>
    </w:pPr>
    <w:rPr>
      <w:rFonts w:hint="eastAsia" w:ascii="宋体" w:hAnsi="宋体"/>
      <w:sz w:val="18"/>
      <w:szCs w:val="18"/>
    </w:rPr>
  </w:style>
  <w:style w:type="paragraph" w:styleId="973" w:customStyle="1">
    <w:name w:val=" Char Char Char Char"/>
    <w:basedOn w:val="906"/>
    <w:uiPriority w:val="0"/>
    <w:qFormat/>
    <w:pPr>
      <w:spacing w:line="360" w:lineRule="auto"/>
    </w:pPr>
    <w:rPr>
      <w:rFonts w:ascii="Tahoma" w:hAnsi="Tahoma"/>
      <w:sz w:val="24"/>
      <w:szCs w:val="24"/>
    </w:rPr>
  </w:style>
  <w:style w:type="paragraph" w:styleId="974" w:customStyle="1">
    <w:name w:val="列出段落"/>
    <w:basedOn w:val="700"/>
    <w:uiPriority w:val="0"/>
    <w:qFormat/>
    <w:pPr>
      <w:contextualSpacing/>
      <w:ind w:left="720"/>
      <w:jc w:val="left"/>
      <w:widowControl/>
    </w:pPr>
    <w:rPr>
      <w:rFonts w:ascii="Calibri" w:hAnsi="Calibri"/>
      <w:sz w:val="24"/>
      <w:szCs w:val="24"/>
      <w:lang w:eastAsia="en-US" w:bidi="en-US"/>
    </w:rPr>
  </w:style>
  <w:style w:type="paragraph" w:styleId="975" w:customStyle="1">
    <w:name w:val="4"/>
    <w:basedOn w:val="700"/>
    <w:next w:val="936"/>
    <w:uiPriority w:val="0"/>
    <w:qFormat/>
    <w:pPr>
      <w:ind w:firstLine="420"/>
      <w:spacing w:line="360" w:lineRule="auto"/>
    </w:pPr>
    <w:rPr>
      <w:color w:val="ff0000"/>
      <w:sz w:val="24"/>
      <w:szCs w:val="24"/>
    </w:rPr>
  </w:style>
  <w:style w:type="paragraph" w:styleId="976" w:customStyle="1">
    <w:name w:val="普通 (Web)"/>
    <w:basedOn w:val="700"/>
    <w:uiPriority w:val="0"/>
    <w:qFormat/>
    <w:pPr>
      <w:jc w:val="left"/>
      <w:spacing w:before="100" w:beforeAutospacing="1" w:after="100" w:afterAutospacing="1"/>
      <w:widowControl/>
    </w:pPr>
    <w:rPr>
      <w:rFonts w:ascii="宋体" w:hAnsi="宋体"/>
      <w:sz w:val="24"/>
      <w:szCs w:val="24"/>
    </w:rPr>
  </w:style>
  <w:style w:type="paragraph" w:styleId="977" w:customStyle="1">
    <w:name w:val=" Char Char Char Char Char Char Char Char Char Char"/>
    <w:basedOn w:val="700"/>
    <w:uiPriority w:val="0"/>
    <w:qFormat/>
    <w:pPr>
      <w:spacing w:line="360" w:lineRule="auto"/>
    </w:pPr>
    <w:rPr>
      <w:sz w:val="24"/>
      <w:szCs w:val="20"/>
    </w:rPr>
  </w:style>
  <w:style w:type="paragraph" w:styleId="978" w:customStyle="1">
    <w:name w:val="样式1"/>
    <w:basedOn w:val="700"/>
    <w:uiPriority w:val="0"/>
    <w:qFormat/>
    <w:pPr>
      <w:numPr>
        <w:ilvl w:val="0"/>
        <w:numId w:val="3"/>
      </w:numPr>
    </w:pPr>
    <w:rPr>
      <w:rFonts w:ascii="宋体" w:hAnsi="宋体"/>
    </w:rPr>
  </w:style>
  <w:style w:type="paragraph" w:styleId="979" w:customStyle="1">
    <w:name w:val="font6"/>
    <w:basedOn w:val="700"/>
    <w:uiPriority w:val="0"/>
    <w:qFormat/>
    <w:pPr>
      <w:jc w:val="left"/>
      <w:spacing w:before="100" w:beforeAutospacing="1" w:after="100" w:afterAutospacing="1"/>
      <w:widowControl/>
    </w:pPr>
    <w:rPr>
      <w:rFonts w:hint="eastAsia" w:ascii="宋体" w:hAnsi="宋体"/>
      <w:sz w:val="28"/>
      <w:szCs w:val="28"/>
      <w:u w:val="single"/>
    </w:rPr>
  </w:style>
  <w:style w:type="paragraph" w:styleId="980" w:customStyle="1">
    <w:name w:val="xl25"/>
    <w:basedOn w:val="70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1" w:customStyle="1">
    <w:name w:val="图标"/>
    <w:basedOn w:val="700"/>
    <w:next w:val="70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2" w:customStyle="1">
    <w:name w:val="标题3"/>
    <w:basedOn w:val="700"/>
    <w:next w:val="700"/>
    <w:uiPriority w:val="0"/>
    <w:qFormat/>
    <w:pPr>
      <w:ind w:firstLine="624"/>
      <w:spacing w:line="590" w:lineRule="atLeast"/>
    </w:pPr>
    <w:rPr>
      <w:rFonts w:ascii="方正黑体_GBK" w:eastAsia="方正黑体_GBK"/>
      <w:sz w:val="32"/>
      <w:szCs w:val="32"/>
    </w:rPr>
  </w:style>
  <w:style w:type="paragraph" w:styleId="983" w:customStyle="1">
    <w:name w:val="xl24"/>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customStyle="1">
    <w:name w:val="xl29"/>
    <w:basedOn w:val="70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5" w:customStyle="1">
    <w:name w:val="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986" w:customStyle="1">
    <w:name w:val="xl2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7" w:customStyle="1">
    <w:name w:val=" 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988" w:customStyle="1">
    <w:name w:val="xl30"/>
    <w:basedOn w:val="700"/>
    <w:uiPriority w:val="0"/>
    <w:qFormat/>
    <w:pPr>
      <w:jc w:val="center"/>
      <w:spacing w:before="100" w:beforeAutospacing="1" w:after="100" w:afterAutospacing="1"/>
      <w:widowControl/>
    </w:pPr>
    <w:rPr>
      <w:rFonts w:ascii="宋体" w:hAnsi="宋体"/>
      <w:b/>
      <w:bCs/>
      <w:sz w:val="36"/>
      <w:szCs w:val="36"/>
    </w:rPr>
  </w:style>
  <w:style w:type="paragraph" w:styleId="989" w:customStyle="1">
    <w:name w:val="Char Char Char Char"/>
    <w:basedOn w:val="906"/>
    <w:uiPriority w:val="0"/>
    <w:qFormat/>
    <w:pPr>
      <w:spacing w:line="360" w:lineRule="auto"/>
    </w:pPr>
    <w:rPr>
      <w:rFonts w:ascii="Tahoma" w:hAnsi="Tahoma"/>
      <w:sz w:val="24"/>
      <w:szCs w:val="24"/>
    </w:rPr>
  </w:style>
  <w:style w:type="paragraph" w:styleId="990" w:customStyle="1">
    <w:name w:val="table_1stline"/>
    <w:basedOn w:val="700"/>
    <w:uiPriority w:val="0"/>
    <w:qFormat/>
    <w:pPr>
      <w:jc w:val="left"/>
      <w:spacing w:before="120"/>
      <w:widowControl/>
    </w:pPr>
    <w:rPr>
      <w:bCs/>
      <w:sz w:val="20"/>
      <w:szCs w:val="20"/>
      <w:lang w:val="de-DE" w:eastAsia="de-DE"/>
    </w:rPr>
  </w:style>
  <w:style w:type="paragraph" w:styleId="991" w:customStyle="1">
    <w:name w:val="font5"/>
    <w:basedOn w:val="700"/>
    <w:uiPriority w:val="0"/>
    <w:qFormat/>
    <w:pPr>
      <w:jc w:val="left"/>
      <w:spacing w:before="100" w:beforeAutospacing="1" w:after="100" w:afterAutospacing="1"/>
      <w:widowControl/>
    </w:pPr>
    <w:rPr>
      <w:rFonts w:hint="eastAsia" w:ascii="宋体" w:hAnsi="宋体"/>
      <w:sz w:val="28"/>
      <w:szCs w:val="28"/>
    </w:rPr>
  </w:style>
  <w:style w:type="paragraph" w:styleId="992" w:customStyle="1">
    <w:name w:val="标题1"/>
    <w:basedOn w:val="700"/>
    <w:next w:val="70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numbering" w:styleId="9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厉彬彬</cp:lastModifiedBy>
  <cp:revision>7</cp:revision>
  <dcterms:created xsi:type="dcterms:W3CDTF">2023-03-16T02:16:00Z</dcterms:created>
  <dcterms:modified xsi:type="dcterms:W3CDTF">2026-08-06T02:28:50Z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eyJoZGlkIjoiNTZkMzg0MWRjMmY4ZjVlMjllOGViMWJjN2MyZTJlMDQiLCJ1c2VySWQiOiIxNTU2NjUzNzUzIn0=</vt:lpwstr>
  </property>
  <property fmtid="{D5CDD505-2E9C-101B-9397-08002B2CF9AE}" pid="3" name="KSOProductBuildVer">
    <vt:lpwstr>2052-12.1.0.28043</vt:lpwstr>
  </property>
  <property fmtid="{D5CDD505-2E9C-101B-9397-08002B2CF9AE}" pid="4" name="ICV">
    <vt:lpwstr>52D75BC6ADBA4A789F2FB7D180FFC672_13</vt:lpwstr>
  </property>
</Properties>
</file>