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Cs/>
          <w:color w:val="000000"/>
          <w:sz w:val="30"/>
        </w:rPr>
      </w:pPr>
      <w:r>
        <w:rPr>
          <w:rFonts w:ascii="宋体" w:hAnsi="宋体" w:cs="宋体"/>
          <w:bCs/>
          <w:color w:val="000000"/>
          <w:sz w:val="30"/>
        </w:rPr>
      </w:r>
      <w:r/>
    </w:p>
    <w:p>
      <w:pPr>
        <w:ind w:left="660"/>
        <w:rPr>
          <w:rFonts w:ascii="宋体" w:hAnsi="宋体" w:cs="宋体"/>
          <w:bCs/>
          <w:color w:val="000000"/>
          <w:sz w:val="30"/>
        </w:rPr>
      </w:pPr>
      <w:r>
        <w:rPr>
          <w:rFonts w:ascii="宋体" w:hAnsi="宋体" w:cs="宋体"/>
          <w:bCs/>
          <w:color w:val="000000"/>
          <w:sz w:val="30"/>
        </w:rPr>
      </w:r>
      <w:r/>
    </w:p>
    <w:p>
      <w:pPr>
        <w:ind w:left="660"/>
        <w:rPr>
          <w:rFonts w:ascii="宋体" w:hAnsi="宋体" w:cs="宋体"/>
          <w:bCs/>
          <w:color w:val="000000"/>
          <w:sz w:val="30"/>
        </w:rPr>
      </w:pPr>
      <w:r>
        <w:rPr>
          <w:rFonts w:ascii="宋体" w:hAnsi="宋体" w:cs="宋体"/>
          <w:bCs/>
          <w:color w:val="000000"/>
          <w:sz w:val="30"/>
        </w:rPr>
      </w:r>
      <w:r/>
    </w:p>
    <w:p>
      <w:pPr>
        <w:jc w:val="center"/>
        <w:rPr>
          <w:rFonts w:ascii="宋体" w:hAnsi="宋体" w:cs="宋体"/>
          <w:b/>
          <w:color w:val="000000"/>
          <w:spacing w:val="20"/>
          <w:sz w:val="72"/>
          <w:szCs w:val="72"/>
        </w:rPr>
      </w:pPr>
      <w:r>
        <w:rPr>
          <w:rFonts w:hint="eastAsia" w:ascii="宋体" w:hAnsi="宋体" w:cs="宋体"/>
          <w:b/>
          <w:color w:val="000000"/>
          <w:spacing w:val="20"/>
          <w:sz w:val="72"/>
          <w:szCs w:val="72"/>
        </w:rPr>
        <w:t xml:space="preserve">无锡市政府采购</w:t>
      </w:r>
      <w:r/>
    </w:p>
    <w:p>
      <w:pPr>
        <w:rPr>
          <w:rFonts w:ascii="宋体" w:hAnsi="宋体" w:cs="宋体"/>
          <w:b/>
          <w:color w:val="000000"/>
          <w:sz w:val="30"/>
        </w:rPr>
      </w:pPr>
      <w:r>
        <w:rPr>
          <w:rFonts w:ascii="宋体" w:hAnsi="宋体" w:cs="宋体"/>
          <w:b/>
          <w:color w:val="000000"/>
          <w:sz w:val="30"/>
        </w:rPr>
      </w:r>
      <w:r/>
    </w:p>
    <w:p>
      <w:pPr>
        <w:jc w:val="center"/>
        <w:tabs>
          <w:tab w:val="left" w:pos="9921" w:leader="none"/>
        </w:tabs>
        <w:rPr>
          <w:rFonts w:ascii="宋体" w:hAnsi="宋体" w:cs="宋体"/>
          <w:b/>
          <w:color w:val="000000"/>
          <w:sz w:val="30"/>
        </w:rPr>
      </w:pPr>
      <w:r>
        <w:rPr>
          <w:rFonts w:ascii="宋体" w:hAnsi="宋体" w:cs="宋体"/>
          <w:b/>
          <w:color w:val="000000"/>
          <w:sz w:val="30"/>
        </w:rPr>
      </w:r>
      <w:r/>
    </w:p>
    <w:p>
      <w:pPr>
        <w:jc w:val="center"/>
        <w:tabs>
          <w:tab w:val="left" w:pos="9921" w:leader="none"/>
        </w:tabs>
        <w:rPr>
          <w:rFonts w:ascii="宋体" w:hAnsi="宋体" w:cs="宋体"/>
          <w:b/>
          <w:color w:val="000000"/>
          <w:sz w:val="30"/>
        </w:rPr>
      </w:pPr>
      <w:r>
        <w:rPr>
          <w:rFonts w:hint="eastAsia" w:ascii="宋体" w:hAnsi="宋体" w:cs="宋体"/>
          <w:b/>
          <w:color w:val="000000"/>
          <w:sz w:val="30"/>
        </w:rPr>
        <w:t xml:space="preserve">（全流程电子化）</w:t>
      </w:r>
      <w:r/>
    </w:p>
    <w:p>
      <w:pPr>
        <w:rPr>
          <w:rFonts w:ascii="宋体" w:hAnsi="宋体" w:cs="宋体"/>
          <w:b/>
          <w:color w:val="000000"/>
          <w:sz w:val="30"/>
        </w:rPr>
      </w:pPr>
      <w:r>
        <w:rPr>
          <w:rFonts w:ascii="宋体" w:hAnsi="宋体" w:cs="宋体"/>
          <w:b/>
          <w:color w:val="000000"/>
          <w:sz w:val="30"/>
        </w:rPr>
      </w:r>
      <w:r/>
    </w:p>
    <w:p>
      <w:pPr>
        <w:spacing w:line="360" w:lineRule="auto"/>
        <w:rPr>
          <w:rFonts w:ascii="宋体" w:hAnsi="宋体" w:cs="宋体"/>
          <w:b/>
          <w:color w:val="000000"/>
          <w:spacing w:val="20"/>
          <w:sz w:val="56"/>
          <w:szCs w:val="56"/>
        </w:rPr>
      </w:pPr>
      <w:r>
        <w:rPr>
          <w:rFonts w:ascii="宋体" w:hAnsi="宋体" w:cs="宋体"/>
          <w:b/>
          <w:color w:val="000000"/>
          <w:spacing w:val="20"/>
          <w:sz w:val="56"/>
          <w:szCs w:val="56"/>
        </w:rPr>
      </w:r>
      <w:r/>
    </w:p>
    <w:p>
      <w:pPr>
        <w:jc w:val="center"/>
        <w:spacing w:line="360" w:lineRule="auto"/>
        <w:rPr>
          <w:rFonts w:ascii="宋体" w:hAnsi="宋体" w:cs="宋体"/>
          <w:b/>
          <w:color w:val="000000"/>
          <w:spacing w:val="20"/>
          <w:sz w:val="56"/>
          <w:szCs w:val="56"/>
        </w:rPr>
      </w:pPr>
      <w:r>
        <w:rPr>
          <w:rFonts w:hint="eastAsia" w:ascii="宋体" w:hAnsi="宋体" w:cs="宋体"/>
          <w:b/>
          <w:color w:val="000000"/>
          <w:spacing w:val="20"/>
          <w:sz w:val="56"/>
          <w:szCs w:val="56"/>
        </w:rPr>
        <w:t xml:space="preserve">公开</w:t>
      </w:r>
      <w:r/>
    </w:p>
    <w:p>
      <w:pPr>
        <w:jc w:val="center"/>
        <w:spacing w:line="360" w:lineRule="auto"/>
        <w:rPr>
          <w:rFonts w:ascii="宋体" w:hAnsi="宋体" w:cs="宋体"/>
          <w:b/>
          <w:color w:val="000000"/>
          <w:spacing w:val="20"/>
          <w:sz w:val="60"/>
          <w:szCs w:val="60"/>
        </w:rPr>
      </w:pPr>
      <w:r>
        <w:rPr>
          <w:rFonts w:ascii="宋体" w:hAnsi="宋体" w:cs="宋体"/>
          <w:b/>
          <w:color w:val="000000"/>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-113665</wp:posOffset>
                </wp:positionH>
                <wp:positionV relativeFrom="paragraph">
                  <wp:posOffset>198120</wp:posOffset>
                </wp:positionV>
                <wp:extent cx="1270"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宋体" w:hAnsi="宋体" w:cs="宋体"/>
          <w:b/>
          <w:color w:val="000000"/>
          <w:spacing w:val="20"/>
          <w:sz w:val="60"/>
          <w:szCs w:val="60"/>
        </w:rPr>
        <w:t xml:space="preserve">招标文件</w:t>
      </w:r>
      <w:r/>
    </w:p>
    <w:p>
      <w:pPr>
        <w:jc w:val="center"/>
        <w:spacing w:line="360" w:lineRule="auto"/>
        <w:rPr>
          <w:rFonts w:ascii="宋体" w:hAnsi="宋体" w:cs="宋体"/>
          <w:b/>
          <w:color w:val="000000"/>
          <w:spacing w:val="20"/>
          <w:sz w:val="60"/>
          <w:szCs w:val="60"/>
        </w:rPr>
      </w:pPr>
      <w:r>
        <w:rPr>
          <w:rFonts w:hint="eastAsia" w:ascii="宋体" w:hAnsi="宋体" w:cs="宋体"/>
          <w:b/>
          <w:color w:val="000000"/>
          <w:spacing w:val="20"/>
          <w:sz w:val="60"/>
          <w:szCs w:val="60"/>
        </w:rPr>
        <w:t xml:space="preserve">（暗标）</w:t>
      </w:r>
      <w:r/>
    </w:p>
    <w:p>
      <w:pPr>
        <w:jc w:val="center"/>
        <w:rPr>
          <w:rFonts w:ascii="宋体" w:hAnsi="宋体" w:cs="宋体"/>
          <w:b/>
          <w:color w:val="000000"/>
          <w:spacing w:val="20"/>
          <w:sz w:val="60"/>
          <w:szCs w:val="60"/>
        </w:rPr>
      </w:pPr>
      <w:r>
        <w:rPr>
          <w:rFonts w:ascii="宋体" w:hAnsi="宋体" w:cs="宋体"/>
          <w:b/>
          <w:color w:val="000000"/>
          <w:spacing w:val="20"/>
          <w:sz w:val="60"/>
          <w:szCs w:val="60"/>
        </w:rPr>
      </w:r>
      <w:r/>
    </w:p>
    <w:p>
      <w:pPr>
        <w:ind w:firstLine="900"/>
        <w:rPr>
          <w:rFonts w:ascii="宋体" w:hAnsi="宋体" w:cs="宋体"/>
          <w:b/>
          <w:color w:val="000000"/>
          <w:sz w:val="30"/>
          <w:szCs w:val="30"/>
        </w:rPr>
      </w:pPr>
      <w:r>
        <w:rPr>
          <w:rFonts w:ascii="宋体" w:hAnsi="宋体" w:cs="宋体"/>
          <w:b/>
          <w:color w:val="000000"/>
          <w:sz w:val="30"/>
          <w:szCs w:val="30"/>
        </w:rPr>
      </w:r>
      <w:r/>
    </w:p>
    <w:p>
      <w:pPr>
        <w:ind w:firstLine="900"/>
        <w:rPr>
          <w:rFonts w:ascii="宋体" w:hAnsi="宋体" w:cs="宋体"/>
          <w:b/>
          <w:color w:val="000000"/>
          <w:sz w:val="30"/>
          <w:szCs w:val="30"/>
        </w:rPr>
      </w:pPr>
      <w:r>
        <w:rPr>
          <w:rFonts w:ascii="宋体" w:hAnsi="宋体" w:cs="宋体"/>
          <w:b/>
          <w:color w:val="000000"/>
          <w:sz w:val="30"/>
          <w:szCs w:val="30"/>
        </w:rPr>
      </w:r>
      <w:r/>
    </w:p>
    <w:p>
      <w:pPr>
        <w:ind w:firstLine="900"/>
        <w:rPr>
          <w:rFonts w:ascii="宋体" w:hAnsi="宋体" w:cs="宋体"/>
          <w:b/>
          <w:sz w:val="30"/>
          <w:szCs w:val="30"/>
        </w:rPr>
      </w:pPr>
      <w:r>
        <w:rPr>
          <w:rFonts w:ascii="宋体" w:hAnsi="宋体" w:cs="宋体"/>
          <w:b/>
          <w:sz w:val="30"/>
          <w:szCs w:val="30"/>
        </w:rPr>
      </w:r>
      <w:r/>
    </w:p>
    <w:p>
      <w:pPr>
        <w:ind w:firstLine="900"/>
        <w:jc w:val="left"/>
        <w:rPr>
          <w:rFonts w:ascii="宋体" w:hAnsi="宋体" w:cs="宋体"/>
          <w:b/>
          <w:sz w:val="30"/>
          <w:szCs w:val="30"/>
        </w:rPr>
      </w:pPr>
      <w:r>
        <w:rPr>
          <w:rFonts w:hint="eastAsia" w:ascii="宋体" w:hAnsi="宋体" w:cs="宋体"/>
          <w:b/>
          <w:sz w:val="30"/>
          <w:szCs w:val="30"/>
        </w:rPr>
        <w:t xml:space="preserve">采购项目编号：JSZC-320211-THMZ-G2026-0002</w:t>
      </w:r>
      <w:r/>
    </w:p>
    <w:p>
      <w:pPr>
        <w:jc w:val="left"/>
        <w:rPr>
          <w:rFonts w:ascii="宋体" w:hAnsi="宋体" w:cs="宋体"/>
          <w:b/>
          <w:sz w:val="30"/>
          <w:szCs w:val="30"/>
        </w:rPr>
      </w:pPr>
      <w:r>
        <w:rPr>
          <w:rFonts w:ascii="宋体" w:hAnsi="宋体" w:cs="宋体"/>
          <w:b/>
          <w:sz w:val="30"/>
          <w:szCs w:val="30"/>
        </w:rPr>
      </w:r>
      <w:r/>
    </w:p>
    <w:p>
      <w:pPr>
        <w:ind w:left="2995" w:hanging="2100"/>
        <w:jc w:val="left"/>
        <w:rPr>
          <w:rFonts w:ascii="宋体" w:hAnsi="宋体" w:cs="宋体"/>
          <w:b/>
          <w:sz w:val="30"/>
          <w:szCs w:val="30"/>
        </w:rPr>
      </w:pPr>
      <w:r>
        <w:rPr>
          <w:rFonts w:hint="eastAsia" w:ascii="宋体" w:hAnsi="宋体" w:cs="宋体"/>
          <w:b/>
          <w:sz w:val="30"/>
          <w:szCs w:val="30"/>
        </w:rPr>
        <w:t xml:space="preserve">采购项目名称：滨湖区环卫一体化作业服务项目</w:t>
      </w:r>
      <w:r/>
    </w:p>
    <w:p>
      <w:pPr>
        <w:ind w:firstLine="900"/>
        <w:jc w:val="left"/>
        <w:rPr>
          <w:rFonts w:ascii="宋体" w:hAnsi="宋体" w:cs="宋体"/>
          <w:b/>
          <w:sz w:val="30"/>
          <w:szCs w:val="30"/>
        </w:rPr>
      </w:pPr>
      <w:r>
        <w:rPr>
          <w:rFonts w:ascii="宋体" w:hAnsi="宋体" w:cs="宋体"/>
          <w:b/>
          <w:sz w:val="30"/>
          <w:szCs w:val="30"/>
        </w:rPr>
      </w:r>
      <w:r/>
    </w:p>
    <w:p>
      <w:pPr>
        <w:ind w:firstLine="900"/>
        <w:jc w:val="left"/>
        <w:rPr>
          <w:rFonts w:ascii="宋体" w:hAnsi="宋体" w:cs="宋体"/>
          <w:b/>
          <w:sz w:val="30"/>
          <w:szCs w:val="30"/>
        </w:rPr>
      </w:pPr>
      <w:r>
        <w:rPr>
          <w:rFonts w:hint="eastAsia" w:ascii="宋体" w:hAnsi="宋体" w:cs="宋体"/>
          <w:b/>
          <w:sz w:val="30"/>
          <w:szCs w:val="30"/>
        </w:rPr>
        <w:t xml:space="preserve">采购   人：无锡市滨湖区城市管理局</w:t>
      </w:r>
      <w:r/>
    </w:p>
    <w:p>
      <w:pPr>
        <w:ind w:firstLine="900"/>
        <w:jc w:val="left"/>
        <w:rPr>
          <w:rFonts w:ascii="宋体" w:hAnsi="宋体" w:cs="宋体"/>
          <w:b/>
          <w:sz w:val="30"/>
          <w:szCs w:val="30"/>
        </w:rPr>
      </w:pPr>
      <w:r>
        <w:rPr>
          <w:rFonts w:ascii="宋体" w:hAnsi="宋体" w:cs="宋体"/>
          <w:b/>
          <w:sz w:val="30"/>
          <w:szCs w:val="30"/>
        </w:rPr>
      </w:r>
      <w:r/>
    </w:p>
    <w:p>
      <w:pPr>
        <w:ind w:firstLine="900"/>
        <w:jc w:val="left"/>
        <w:rPr>
          <w:rFonts w:ascii="宋体" w:hAnsi="宋体" w:cs="宋体"/>
          <w:b/>
          <w:sz w:val="30"/>
          <w:szCs w:val="30"/>
        </w:rPr>
      </w:pPr>
      <w:r>
        <w:rPr>
          <w:rFonts w:hint="eastAsia" w:ascii="宋体" w:hAnsi="宋体" w:cs="宋体"/>
          <w:b/>
          <w:sz w:val="30"/>
          <w:szCs w:val="30"/>
        </w:rPr>
        <w:t xml:space="preserve">采购代理机构：无锡太湖明珠建设咨询有限公司</w:t>
      </w:r>
      <w:r/>
    </w:p>
    <w:p>
      <w:pPr>
        <w:rPr>
          <w:rFonts w:ascii="宋体" w:hAnsi="宋体" w:cs="宋体"/>
          <w:b/>
          <w:sz w:val="32"/>
        </w:rPr>
      </w:pPr>
      <w:r>
        <w:rPr>
          <w:rFonts w:ascii="宋体" w:hAnsi="宋体" w:cs="宋体"/>
          <w:b/>
          <w:sz w:val="32"/>
        </w:rPr>
      </w:r>
      <w:r/>
    </w:p>
    <w:p>
      <w:pPr>
        <w:jc w:val="center"/>
        <w:rPr>
          <w:rFonts w:ascii="宋体" w:hAnsi="宋体" w:cs="宋体"/>
          <w:b/>
          <w:sz w:val="30"/>
          <w:szCs w:val="30"/>
        </w:rPr>
        <w:sectPr>
          <w:headerReference w:type="default" r:id="rId9"/>
          <w:headerReference w:type="even" r:id="rId10"/>
          <w:headerReference w:type="first" r:id="rId11"/>
          <w:footerReference w:type="default" r:id="rId15"/>
          <w:footerReference w:type="even" r:id="rId16"/>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
          <w:sz w:val="30"/>
          <w:szCs w:val="30"/>
        </w:rPr>
        <w:t xml:space="preserve">二〇二六年八月</w:t>
      </w:r>
      <w:r/>
    </w:p>
    <w:p>
      <w:pPr>
        <w:jc w:val="center"/>
        <w:rPr>
          <w:rFonts w:ascii="宋体" w:hAnsi="宋体" w:cs="宋体"/>
          <w:sz w:val="44"/>
          <w:szCs w:val="44"/>
        </w:rPr>
      </w:pPr>
      <w:r>
        <w:rPr>
          <w:rFonts w:hint="eastAsia" w:ascii="宋体" w:hAnsi="宋体" w:cs="宋体"/>
          <w:sz w:val="44"/>
          <w:szCs w:val="44"/>
        </w:rPr>
        <w:t xml:space="preserve">目录</w:t>
      </w:r>
      <w:r/>
    </w:p>
    <w:p>
      <w:pPr>
        <w:pStyle w:val="858"/>
        <w:spacing w:line="480" w:lineRule="auto"/>
        <w:tabs>
          <w:tab w:val="right" w:pos="8306" w:leader="dot"/>
        </w:tabs>
        <w:rPr>
          <w:rFonts w:ascii="宋体" w:hAnsi="宋体" w:cs="宋体"/>
          <w:sz w:val="32"/>
          <w:szCs w:val="32"/>
        </w:rPr>
      </w:pPr>
      <w:r>
        <w:rPr>
          <w:rFonts w:hint="eastAsia" w:ascii="宋体" w:hAnsi="宋体" w:cs="宋体"/>
          <w:sz w:val="32"/>
          <w:szCs w:val="32"/>
        </w:rPr>
        <w:fldChar w:fldCharType="begin"/>
      </w:r>
      <w:r>
        <w:rPr>
          <w:rFonts w:hint="eastAsia" w:ascii="宋体" w:hAnsi="宋体" w:cs="宋体"/>
          <w:sz w:val="32"/>
          <w:szCs w:val="32"/>
        </w:rPr>
        <w:instrText xml:space="preserve">TOC \o "1-1" \h \u </w:instrText>
      </w:r>
      <w:r>
        <w:rPr>
          <w:rFonts w:hint="eastAsia" w:ascii="宋体" w:hAnsi="宋体" w:cs="宋体"/>
          <w:sz w:val="32"/>
          <w:szCs w:val="32"/>
        </w:rPr>
        <w:fldChar w:fldCharType="separate"/>
      </w:r>
      <w:r>
        <w:fldChar w:fldCharType="begin"/>
      </w:r>
      <w:r>
        <w:instrText xml:space="preserve">HYPERLINK \l "_Toc10892"</w:instrText>
      </w:r>
      <w:r>
        <w:fldChar w:fldCharType="separate"/>
      </w:r>
      <w:r>
        <w:rPr>
          <w:rFonts w:hint="eastAsia" w:ascii="宋体" w:hAnsi="宋体" w:cs="宋体"/>
          <w:sz w:val="32"/>
          <w:szCs w:val="32"/>
        </w:rPr>
        <w:t xml:space="preserve">一、投标邀请函</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_Toc10892 \h </w:instrText>
      </w:r>
      <w:r>
        <w:rPr>
          <w:rFonts w:hint="eastAsia" w:ascii="宋体" w:hAnsi="宋体" w:cs="宋体"/>
          <w:sz w:val="32"/>
          <w:szCs w:val="32"/>
        </w:rPr>
        <w:fldChar w:fldCharType="separate"/>
      </w:r>
      <w:r>
        <w:rPr>
          <w:rFonts w:hint="eastAsia" w:ascii="宋体" w:hAnsi="宋体" w:cs="宋体"/>
          <w:sz w:val="32"/>
          <w:szCs w:val="32"/>
        </w:rPr>
        <w:t xml:space="preserve">- 1 -</w:t>
      </w:r>
      <w:r>
        <w:rPr>
          <w:rFonts w:hint="eastAsia" w:ascii="宋体" w:hAnsi="宋体" w:cs="宋体"/>
          <w:sz w:val="32"/>
          <w:szCs w:val="32"/>
        </w:rPr>
        <w:fldChar w:fldCharType="end"/>
      </w:r>
      <w:r>
        <w:fldChar w:fldCharType="end"/>
      </w:r>
      <w:r/>
    </w:p>
    <w:p>
      <w:pPr>
        <w:pStyle w:val="858"/>
        <w:spacing w:line="480" w:lineRule="auto"/>
        <w:tabs>
          <w:tab w:val="right" w:pos="8306" w:leader="dot"/>
        </w:tabs>
        <w:rPr>
          <w:rFonts w:ascii="宋体" w:hAnsi="宋体" w:cs="宋体"/>
          <w:sz w:val="32"/>
          <w:szCs w:val="32"/>
        </w:rPr>
      </w:pPr>
      <w:r>
        <w:fldChar w:fldCharType="begin"/>
      </w:r>
      <w:r>
        <w:instrText xml:space="preserve">HYPERLINK \l "_Toc23860"</w:instrText>
      </w:r>
      <w:r>
        <w:fldChar w:fldCharType="separate"/>
      </w:r>
      <w:r>
        <w:rPr>
          <w:rFonts w:hint="eastAsia" w:ascii="宋体" w:hAnsi="宋体" w:cs="宋体"/>
          <w:sz w:val="32"/>
          <w:szCs w:val="32"/>
        </w:rPr>
        <w:t xml:space="preserve">二、投标供应商须知</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_Toc23860 \h </w:instrText>
      </w:r>
      <w:r>
        <w:rPr>
          <w:rFonts w:hint="eastAsia" w:ascii="宋体" w:hAnsi="宋体" w:cs="宋体"/>
          <w:sz w:val="32"/>
          <w:szCs w:val="32"/>
        </w:rPr>
        <w:fldChar w:fldCharType="separate"/>
      </w:r>
      <w:r>
        <w:rPr>
          <w:rFonts w:hint="eastAsia" w:ascii="宋体" w:hAnsi="宋体" w:cs="宋体"/>
          <w:sz w:val="32"/>
          <w:szCs w:val="32"/>
        </w:rPr>
        <w:t xml:space="preserve">- 6 -</w:t>
      </w:r>
      <w:r>
        <w:rPr>
          <w:rFonts w:hint="eastAsia" w:ascii="宋体" w:hAnsi="宋体" w:cs="宋体"/>
          <w:sz w:val="32"/>
          <w:szCs w:val="32"/>
        </w:rPr>
        <w:fldChar w:fldCharType="end"/>
      </w:r>
      <w:r>
        <w:fldChar w:fldCharType="end"/>
      </w:r>
      <w:r/>
    </w:p>
    <w:p>
      <w:pPr>
        <w:pStyle w:val="858"/>
        <w:spacing w:line="480" w:lineRule="auto"/>
        <w:tabs>
          <w:tab w:val="right" w:pos="8306" w:leader="dot"/>
        </w:tabs>
        <w:rPr>
          <w:rFonts w:ascii="宋体" w:hAnsi="宋体" w:cs="宋体"/>
          <w:sz w:val="32"/>
          <w:szCs w:val="32"/>
        </w:rPr>
      </w:pPr>
      <w:r>
        <w:fldChar w:fldCharType="begin"/>
      </w:r>
      <w:r>
        <w:instrText xml:space="preserve">HYPERLINK \l "_Toc19281"</w:instrText>
      </w:r>
      <w:r>
        <w:fldChar w:fldCharType="separate"/>
      </w:r>
      <w:r>
        <w:rPr>
          <w:rFonts w:hint="eastAsia" w:ascii="宋体" w:hAnsi="宋体" w:cs="宋体"/>
          <w:sz w:val="32"/>
          <w:szCs w:val="32"/>
        </w:rPr>
        <w:t xml:space="preserve">三、采购需求</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_Toc19281 \h </w:instrText>
      </w:r>
      <w:r>
        <w:rPr>
          <w:rFonts w:hint="eastAsia" w:ascii="宋体" w:hAnsi="宋体" w:cs="宋体"/>
          <w:sz w:val="32"/>
          <w:szCs w:val="32"/>
        </w:rPr>
        <w:fldChar w:fldCharType="separate"/>
      </w:r>
      <w:r>
        <w:rPr>
          <w:rFonts w:hint="eastAsia" w:ascii="宋体" w:hAnsi="宋体" w:cs="宋体"/>
          <w:sz w:val="32"/>
          <w:szCs w:val="32"/>
        </w:rPr>
        <w:t xml:space="preserve">- 24 -</w:t>
      </w:r>
      <w:r>
        <w:rPr>
          <w:rFonts w:hint="eastAsia" w:ascii="宋体" w:hAnsi="宋体" w:cs="宋体"/>
          <w:sz w:val="32"/>
          <w:szCs w:val="32"/>
        </w:rPr>
        <w:fldChar w:fldCharType="end"/>
      </w:r>
      <w:r>
        <w:fldChar w:fldCharType="end"/>
      </w:r>
      <w:r/>
    </w:p>
    <w:p>
      <w:pPr>
        <w:pStyle w:val="858"/>
        <w:spacing w:line="480" w:lineRule="auto"/>
        <w:tabs>
          <w:tab w:val="right" w:pos="8306" w:leader="dot"/>
        </w:tabs>
        <w:rPr>
          <w:rFonts w:ascii="宋体" w:hAnsi="宋体" w:cs="宋体"/>
          <w:sz w:val="32"/>
          <w:szCs w:val="32"/>
        </w:rPr>
      </w:pPr>
      <w:r>
        <w:fldChar w:fldCharType="begin"/>
      </w:r>
      <w:r>
        <w:instrText xml:space="preserve">HYPERLINK \l "_Toc12076"</w:instrText>
      </w:r>
      <w:r>
        <w:fldChar w:fldCharType="separate"/>
      </w:r>
      <w:r>
        <w:rPr>
          <w:rFonts w:hint="eastAsia" w:ascii="宋体" w:hAnsi="宋体" w:cs="宋体"/>
          <w:sz w:val="32"/>
          <w:szCs w:val="32"/>
        </w:rPr>
        <w:t xml:space="preserve">四、合同书</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_Toc12076 \h </w:instrText>
      </w:r>
      <w:r>
        <w:rPr>
          <w:rFonts w:hint="eastAsia" w:ascii="宋体" w:hAnsi="宋体" w:cs="宋体"/>
          <w:sz w:val="32"/>
          <w:szCs w:val="32"/>
        </w:rPr>
        <w:fldChar w:fldCharType="separate"/>
      </w:r>
      <w:r>
        <w:rPr>
          <w:rFonts w:hint="eastAsia" w:ascii="宋体" w:hAnsi="宋体" w:cs="宋体"/>
          <w:sz w:val="32"/>
          <w:szCs w:val="32"/>
        </w:rPr>
        <w:t xml:space="preserve">- 48 -</w:t>
      </w:r>
      <w:r>
        <w:rPr>
          <w:rFonts w:hint="eastAsia" w:ascii="宋体" w:hAnsi="宋体" w:cs="宋体"/>
          <w:sz w:val="32"/>
          <w:szCs w:val="32"/>
        </w:rPr>
        <w:fldChar w:fldCharType="end"/>
      </w:r>
      <w:r>
        <w:fldChar w:fldCharType="end"/>
      </w:r>
      <w:r/>
    </w:p>
    <w:p>
      <w:pPr>
        <w:pStyle w:val="858"/>
        <w:spacing w:line="480" w:lineRule="auto"/>
        <w:tabs>
          <w:tab w:val="right" w:pos="8306" w:leader="dot"/>
        </w:tabs>
        <w:rPr>
          <w:rFonts w:ascii="宋体" w:hAnsi="宋体" w:cs="宋体"/>
          <w:sz w:val="32"/>
          <w:szCs w:val="32"/>
        </w:rPr>
      </w:pPr>
      <w:r>
        <w:fldChar w:fldCharType="begin"/>
      </w:r>
      <w:r>
        <w:instrText xml:space="preserve">HYPERLINK \l "_Toc30649"</w:instrText>
      </w:r>
      <w:r>
        <w:fldChar w:fldCharType="separate"/>
      </w:r>
      <w:r>
        <w:rPr>
          <w:rFonts w:hint="eastAsia" w:ascii="宋体" w:hAnsi="宋体" w:cs="宋体"/>
          <w:sz w:val="32"/>
          <w:szCs w:val="32"/>
        </w:rPr>
        <w:t xml:space="preserve">五、附件</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_Toc30649 \h </w:instrText>
      </w:r>
      <w:r>
        <w:rPr>
          <w:rFonts w:hint="eastAsia" w:ascii="宋体" w:hAnsi="宋体" w:cs="宋体"/>
          <w:sz w:val="32"/>
          <w:szCs w:val="32"/>
        </w:rPr>
        <w:fldChar w:fldCharType="separate"/>
      </w:r>
      <w:r>
        <w:rPr>
          <w:rFonts w:hint="eastAsia" w:ascii="宋体" w:hAnsi="宋体" w:cs="宋体"/>
          <w:sz w:val="32"/>
          <w:szCs w:val="32"/>
        </w:rPr>
        <w:t xml:space="preserve">- 71 -</w:t>
      </w:r>
      <w:r>
        <w:rPr>
          <w:rFonts w:hint="eastAsia" w:ascii="宋体" w:hAnsi="宋体" w:cs="宋体"/>
          <w:sz w:val="32"/>
          <w:szCs w:val="32"/>
        </w:rPr>
        <w:fldChar w:fldCharType="end"/>
      </w:r>
      <w:r>
        <w:fldChar w:fldCharType="end"/>
      </w:r>
      <w:r/>
    </w:p>
    <w:p>
      <w:pPr>
        <w:spacing w:line="480" w:lineRule="auto"/>
        <w:rPr>
          <w:sz w:val="32"/>
          <w:szCs w:val="32"/>
        </w:rPr>
      </w:pPr>
      <w:r>
        <w:rPr>
          <w:rFonts w:hint="eastAsia" w:ascii="宋体" w:hAnsi="宋体" w:cs="宋体"/>
          <w:sz w:val="32"/>
          <w:szCs w:val="32"/>
        </w:rPr>
        <w:fldChar w:fldCharType="end"/>
      </w:r>
      <w:r/>
    </w:p>
    <w:p>
      <w:r/>
      <w:r/>
    </w:p>
    <w:p>
      <w:pPr>
        <w:spacing w:line="720" w:lineRule="auto"/>
        <w:rPr>
          <w:rFonts w:ascii="宋体" w:hAnsi="宋体" w:cs="宋体"/>
          <w:bCs/>
          <w:color w:val="000000"/>
          <w:sz w:val="30"/>
        </w:rPr>
      </w:pPr>
      <w:r>
        <w:rPr>
          <w:rFonts w:ascii="宋体" w:hAnsi="宋体" w:cs="宋体"/>
          <w:bCs/>
          <w:color w:val="000000"/>
          <w:sz w:val="30"/>
        </w:rPr>
      </w:r>
      <w:r/>
    </w:p>
    <w:p>
      <w:pPr>
        <w:spacing w:line="480" w:lineRule="auto"/>
        <w:rPr>
          <w:rFonts w:ascii="宋体" w:hAnsi="宋体" w:cs="宋体"/>
          <w:bCs/>
          <w:color w:val="000000"/>
          <w:sz w:val="30"/>
        </w:rPr>
      </w:pPr>
      <w:r>
        <w:rPr>
          <w:rFonts w:ascii="宋体" w:hAnsi="宋体" w:cs="宋体"/>
          <w:bCs/>
          <w:color w:val="000000"/>
          <w:sz w:val="30"/>
        </w:rPr>
      </w:r>
      <w:r/>
    </w:p>
    <w:p>
      <w:pPr>
        <w:rPr>
          <w:rFonts w:ascii="宋体" w:hAnsi="宋体" w:cs="宋体"/>
          <w:bCs/>
          <w:color w:val="000000"/>
          <w:sz w:val="28"/>
        </w:rPr>
      </w:pPr>
      <w:r>
        <w:rPr>
          <w:rFonts w:ascii="宋体" w:hAnsi="宋体" w:cs="宋体"/>
          <w:bCs/>
          <w:color w:val="000000"/>
          <w:sz w:val="28"/>
        </w:rPr>
      </w:r>
      <w:r/>
    </w:p>
    <w:p>
      <w:pPr>
        <w:rPr>
          <w:rFonts w:ascii="宋体" w:hAnsi="宋体" w:cs="宋体"/>
          <w:bCs/>
          <w:color w:val="000000"/>
          <w:sz w:val="32"/>
        </w:rPr>
      </w:pPr>
      <w:r>
        <w:rPr>
          <w:rFonts w:ascii="宋体" w:hAnsi="宋体" w:cs="宋体"/>
          <w:bCs/>
          <w:color w:val="000000"/>
          <w:sz w:val="32"/>
        </w:rPr>
      </w:r>
      <w:r/>
    </w:p>
    <w:p>
      <w:pPr>
        <w:rPr>
          <w:rFonts w:ascii="宋体" w:hAnsi="宋体" w:cs="宋体"/>
          <w:bCs/>
          <w:color w:val="000000"/>
          <w:sz w:val="32"/>
        </w:rPr>
      </w:pPr>
      <w:r>
        <w:rPr>
          <w:rFonts w:ascii="宋体" w:hAnsi="宋体" w:cs="宋体"/>
          <w:bCs/>
          <w:color w:val="000000"/>
          <w:sz w:val="32"/>
        </w:rPr>
      </w:r>
      <w:r/>
    </w:p>
    <w:p>
      <w:pPr>
        <w:jc w:val="center"/>
        <w:spacing w:line="360" w:lineRule="auto"/>
        <w:rPr>
          <w:rFonts w:ascii="宋体" w:hAnsi="宋体" w:cs="宋体"/>
          <w:b/>
          <w:color w:val="000000"/>
          <w:sz w:val="32"/>
          <w:szCs w:val="32"/>
        </w:rPr>
        <w:sectPr>
          <w:footerReference w:type="default" r:id="rId17"/>
          <w:footerReference w:type="first" r:id="rId18"/>
          <w:footnotePr/>
          <w:endnotePr/>
          <w:type w:val="nextPage"/>
          <w:pgSz w:w="11906" w:h="16838" w:orient="portrait"/>
          <w:pgMar w:top="1440" w:right="1800" w:bottom="1440" w:left="1800" w:header="624" w:footer="907" w:gutter="0"/>
          <w:pgNumType w:start="1"/>
          <w:cols w:num="1" w:sep="0" w:space="1701" w:equalWidth="1"/>
          <w:docGrid w:linePitch="360"/>
        </w:sectPr>
        <w:outlineLvl w:val="0"/>
      </w:pPr>
      <w:r/>
      <w:bookmarkStart w:id="0" w:name="报价方须知前附表"/>
      <w:r/>
      <w:bookmarkEnd w:id="0"/>
      <w:r/>
      <w:bookmarkStart w:id="1" w:name="_Toc10892"/>
      <w:r/>
      <w:r/>
    </w:p>
    <w:p>
      <w:pPr>
        <w:jc w:val="center"/>
        <w:spacing w:line="360" w:lineRule="auto"/>
        <w:rPr>
          <w:rFonts w:ascii="宋体" w:hAnsi="宋体" w:cs="宋体"/>
          <w:b/>
          <w:color w:val="000000"/>
          <w:sz w:val="32"/>
          <w:szCs w:val="32"/>
        </w:rPr>
        <w:outlineLvl w:val="0"/>
      </w:pPr>
      <w:r>
        <w:rPr>
          <w:rFonts w:hint="eastAsia" w:ascii="宋体" w:hAnsi="宋体" w:cs="宋体"/>
          <w:b/>
          <w:color w:val="000000"/>
          <w:sz w:val="32"/>
          <w:szCs w:val="32"/>
        </w:rPr>
        <w:t xml:space="preserve">一、投标邀请函</w:t>
      </w:r>
      <w:bookmarkEnd w:id="1"/>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无锡太湖明珠建设咨询有限公司受无锡市滨湖区城市管理局委托，对滨湖区环卫一体化作业服务项目进行公开招标采购，欢迎符合相关条件的供应商参加投标并提请注意下列相关事项：</w:t>
      </w:r>
      <w:r/>
    </w:p>
    <w:p>
      <w:pPr>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（一）招标项目信息</w:t>
      </w:r>
      <w:r/>
    </w:p>
    <w:p>
      <w:pPr>
        <w:ind w:firstLine="480"/>
        <w:jc w:val="left"/>
        <w:spacing w:line="360" w:lineRule="auto"/>
        <w:widowControl/>
        <w:rPr>
          <w:rFonts w:ascii="宋体" w:hAnsi="宋体" w:cs="宋体"/>
          <w:sz w:val="24"/>
          <w:szCs w:val="24"/>
        </w:rPr>
      </w:pPr>
      <w:r>
        <w:rPr>
          <w:rFonts w:hint="eastAsia" w:ascii="宋体" w:hAnsi="宋体" w:cs="宋体"/>
          <w:color w:val="000000"/>
          <w:sz w:val="24"/>
          <w:szCs w:val="24"/>
        </w:rPr>
        <w:t xml:space="preserve">1.项目名称：滨湖区</w:t>
      </w:r>
      <w:r>
        <w:rPr>
          <w:rFonts w:hint="eastAsia" w:ascii="宋体" w:hAnsi="宋体" w:cs="宋体"/>
          <w:sz w:val="24"/>
          <w:szCs w:val="24"/>
        </w:rPr>
        <w:t xml:space="preserve">环卫一体化作业服务项目；</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2.项目编号：JSZC-320211-THMZ-G2026-0002；</w:t>
      </w:r>
      <w:r/>
    </w:p>
    <w:p>
      <w:pPr>
        <w:ind w:firstLine="480"/>
        <w:spacing w:line="360" w:lineRule="auto"/>
        <w:widowControl/>
        <w:rPr>
          <w:rFonts w:ascii="宋体" w:hAnsi="宋体" w:cs="宋体"/>
          <w:color w:val="000000"/>
          <w:sz w:val="24"/>
        </w:rPr>
      </w:pPr>
      <w:r>
        <w:rPr>
          <w:rFonts w:hint="eastAsia" w:ascii="宋体" w:hAnsi="宋体" w:cs="宋体"/>
          <w:sz w:val="24"/>
          <w:szCs w:val="24"/>
        </w:rPr>
        <w:t xml:space="preserve">3.采购内容：</w:t>
      </w:r>
      <w:r>
        <w:rPr>
          <w:rFonts w:hint="eastAsia" w:ascii="宋体" w:hAnsi="宋体" w:cs="宋体"/>
          <w:sz w:val="24"/>
        </w:rPr>
        <w:t xml:space="preserve">对无锡市滨湖区河埒街道、荣巷街道、蠡园街道、雪浪街道、马山街道、</w:t>
      </w:r>
      <w:r>
        <w:rPr>
          <w:rFonts w:hint="eastAsia" w:ascii="宋体" w:hAnsi="宋体"/>
          <w:bCs/>
          <w:sz w:val="24"/>
        </w:rPr>
        <w:t xml:space="preserve">蠡湖街道、</w:t>
      </w:r>
      <w:r>
        <w:rPr>
          <w:rFonts w:hint="eastAsia" w:ascii="宋体" w:hAnsi="宋体" w:cs="宋体"/>
          <w:sz w:val="24"/>
        </w:rPr>
        <w:t xml:space="preserve">胡埭镇进行环卫一体化作业服务，保洁范围详见采购需求任务量清单。本项目采取联合招标形式，共有8家单位，分别为无锡市滨湖区城市管理局、无锡市滨湖区河埒街道办事处、无锡市滨湖区荣巷街道办事处、无锡市滨湖区蠡园街道办事处、无锡市滨湖区雪浪街道办事处、无锡市滨湖区马山街道办事处、无锡市滨湖区蠡湖街道办事处、无锡市滨湖区胡埭镇人民政府，上述单位委托无锡市滨湖区城市管理局进行联合招标，各道路等级划分</w:t>
      </w:r>
      <w:r>
        <w:rPr>
          <w:rFonts w:hint="eastAsia" w:ascii="宋体" w:hAnsi="宋体" w:cs="宋体"/>
          <w:color w:val="000000"/>
          <w:sz w:val="24"/>
        </w:rPr>
        <w:t xml:space="preserve">情况详见采购需求作业量清单；</w:t>
      </w:r>
      <w:r/>
    </w:p>
    <w:p>
      <w:pPr>
        <w:ind w:firstLine="480"/>
        <w:spacing w:line="360" w:lineRule="auto"/>
        <w:widowControl/>
        <w:rPr>
          <w:rFonts w:ascii="宋体" w:hAnsi="宋体" w:cs="宋体"/>
          <w:sz w:val="24"/>
        </w:rPr>
      </w:pPr>
      <w:r>
        <w:rPr>
          <w:rFonts w:hint="eastAsia" w:ascii="宋体" w:hAnsi="宋体" w:cs="宋体"/>
          <w:sz w:val="24"/>
        </w:rPr>
        <w:t xml:space="preserve">4.合同履行期限：三年（以合同约定时间为准，本次总报价按三年计算）；</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5.项目预算：59491万元/三年；</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6.最高限价总价：55696.17万元/三年，各片区分项限价如下：</w:t>
      </w:r>
      <w:r/>
    </w:p>
    <w:tbl>
      <w:tblPr>
        <w:tblStyle w:val="783"/>
        <w:tblW w:w="9995" w:type="dxa"/>
        <w:tblInd w:w="-564" w:type="dxa"/>
        <w:tblLayout w:type="fixed"/>
        <w:tblCellMar>
          <w:left w:w="108" w:type="dxa"/>
          <w:top w:w="0" w:type="dxa"/>
          <w:right w:w="108" w:type="dxa"/>
          <w:bottom w:w="0" w:type="dxa"/>
        </w:tblCellMar>
        <w:tblLook w:val="04A0" w:firstRow="1" w:lastRow="0" w:firstColumn="1" w:lastColumn="0" w:noHBand="0" w:noVBand="1"/>
      </w:tblPr>
      <w:tblGrid>
        <w:gridCol w:w="1489"/>
        <w:gridCol w:w="1156"/>
        <w:gridCol w:w="1103"/>
        <w:gridCol w:w="1592"/>
        <w:gridCol w:w="1307"/>
        <w:gridCol w:w="1092"/>
        <w:gridCol w:w="1128"/>
        <w:gridCol w:w="1128"/>
      </w:tblGrid>
      <w:tr>
        <w:trPr>
          <w:trHeight w:val="915"/>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片区名称及作业范围</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道路保洁最高限价（万元）</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公厕管养最高限价（万元）</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居民生活垃圾收运最高限价（万元）</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化粪池清理最高限价（万元）</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不可竞争费：爱心早餐（万元）</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一年合计</w:t>
            </w:r>
            <w:r/>
          </w:p>
          <w:p>
            <w:pPr>
              <w:jc w:val="center"/>
              <w:widowControl/>
              <w:rPr>
                <w:rFonts w:ascii="宋体" w:hAnsi="宋体" w:cs="宋体"/>
                <w:szCs w:val="21"/>
              </w:rPr>
            </w:pPr>
            <w:r>
              <w:rPr>
                <w:rFonts w:hint="eastAsia" w:ascii="宋体" w:hAnsi="宋体" w:cs="宋体"/>
                <w:szCs w:val="21"/>
              </w:rPr>
              <w:t xml:space="preserve">（万元）</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三年合计（万元）</w:t>
            </w:r>
            <w:r/>
          </w:p>
        </w:tc>
      </w:tr>
      <w:tr>
        <w:trPr>
          <w:trHeight w:val="1071"/>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第一片区：河埒街道</w:t>
            </w:r>
            <w:r>
              <w:rPr>
                <w:rFonts w:hint="eastAsia" w:ascii="宋体" w:hAnsi="宋体" w:cs="宋体"/>
                <w:szCs w:val="21"/>
              </w:rPr>
              <w:br w:type="textWrapping" w:clear="all"/>
            </w:r>
            <w:r>
              <w:rPr>
                <w:rFonts w:hint="eastAsia" w:ascii="宋体" w:hAnsi="宋体" w:cs="宋体"/>
                <w:szCs w:val="21"/>
              </w:rPr>
              <w:t xml:space="preserve">（梁溪河南、梁溪河北）</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1533.33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574.94 </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373.83 </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139.14 </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21.24 </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2642.48 </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7927.45 </w:t>
            </w:r>
            <w:r/>
          </w:p>
        </w:tc>
      </w:tr>
      <w:tr>
        <w:trPr>
          <w:trHeight w:val="55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第二片区：荣巷街道</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1418.83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397.89 </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200.97 </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31.76 </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20.59 </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2070.03 </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6210.10 </w:t>
            </w:r>
            <w:r/>
          </w:p>
        </w:tc>
      </w:tr>
      <w:tr>
        <w:trPr>
          <w:trHeight w:val="55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第三片区：蠡园街道</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1305.70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192.19 </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161.53 </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27.37 </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16.43 </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1703.22 </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5109.66 </w:t>
            </w:r>
            <w:r/>
          </w:p>
        </w:tc>
      </w:tr>
      <w:tr>
        <w:trPr>
          <w:trHeight w:val="55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第四片区：蠡湖街道</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1663.78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248.29 </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217.10 </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47.29 </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20.81 </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2197.27 </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6591.80 </w:t>
            </w:r>
            <w:r/>
          </w:p>
        </w:tc>
      </w:tr>
      <w:tr>
        <w:trPr>
          <w:trHeight w:val="55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第五片区：雪浪街道</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3983.21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403.88 </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289.08 </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38.55 </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60.01 </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4774.73 </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14324.19 </w:t>
            </w:r>
            <w:r/>
          </w:p>
        </w:tc>
      </w:tr>
      <w:tr>
        <w:trPr>
          <w:trHeight w:val="55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第六片区：胡埭镇</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2316.69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438.04 </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153.27 </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19.13 </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37.23 </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2964.36 </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8893.08 </w:t>
            </w:r>
            <w:r/>
          </w:p>
        </w:tc>
      </w:tr>
      <w:tr>
        <w:trPr>
          <w:trHeight w:val="55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第七片区：马山街道</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1796.05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291.26 </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81.89 </w:t>
            </w:r>
            <w:r/>
          </w:p>
        </w:tc>
        <w:tc>
          <w:tcPr>
            <w:tcBorders>
              <w:top w:val="single" w:color="000000" w:sz="4" w:space="0"/>
              <w:left w:val="single" w:color="000000" w:sz="4" w:space="0"/>
              <w:bottom w:val="single" w:color="000000" w:sz="4" w:space="0"/>
              <w:right w:val="single" w:color="000000" w:sz="4" w:space="0"/>
            </w:tcBorders>
            <w:tcW w:w="130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14.54 </w:t>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29.57 </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2213.30 </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6639.89 </w:t>
            </w:r>
            <w:r/>
          </w:p>
        </w:tc>
      </w:tr>
      <w:tr>
        <w:trPr>
          <w:trHeight w:val="322"/>
        </w:trPr>
        <w:tc>
          <w:tcPr>
            <w:gridSpan w:val="6"/>
            <w:tcBorders>
              <w:top w:val="single" w:color="000000" w:sz="4" w:space="0"/>
              <w:left w:val="single" w:color="000000" w:sz="4" w:space="0"/>
              <w:bottom w:val="single" w:color="000000" w:sz="4" w:space="0"/>
              <w:right w:val="single" w:color="000000" w:sz="4" w:space="0"/>
            </w:tcBorders>
            <w:tcW w:w="773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合计（万元）</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18565.39 </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55696.17</w:t>
            </w:r>
            <w:r/>
          </w:p>
        </w:tc>
      </w:tr>
    </w:tbl>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7.采购方式：公开招标；</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8.采购人：无锡市滨湖区城市管理局；</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9.本项目标的所属行业：其他未列明行业。根据《关于印发中小企业划型标准规定的通知》工信部联企业〔2011〕300号，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10.本项目是否专门面向中小企业：否；</w:t>
      </w:r>
      <w:r/>
    </w:p>
    <w:p>
      <w:pPr>
        <w:ind w:firstLine="482"/>
        <w:jc w:val="left"/>
        <w:spacing w:line="360" w:lineRule="auto"/>
        <w:widowControl/>
        <w:rPr>
          <w:rFonts w:ascii="宋体" w:hAnsi="宋体" w:cs="宋体"/>
          <w:sz w:val="24"/>
          <w:szCs w:val="24"/>
        </w:rPr>
      </w:pPr>
      <w:r>
        <w:rPr>
          <w:rFonts w:hint="eastAsia" w:ascii="宋体" w:hAnsi="宋体" w:cs="宋体"/>
          <w:sz w:val="24"/>
          <w:szCs w:val="24"/>
        </w:rPr>
        <w:t xml:space="preserve">11.本项目为滨湖区环卫一体化作业服务项目，共分为1个标段；</w:t>
      </w:r>
      <w:r/>
    </w:p>
    <w:p>
      <w:pPr>
        <w:ind w:firstLine="482"/>
        <w:jc w:val="left"/>
        <w:spacing w:line="360" w:lineRule="auto"/>
        <w:widowControl/>
        <w:rPr>
          <w:rFonts w:ascii="宋体" w:hAnsi="宋体" w:cs="宋体"/>
          <w:sz w:val="24"/>
          <w:szCs w:val="24"/>
        </w:rPr>
      </w:pPr>
      <w:r>
        <w:rPr>
          <w:rFonts w:hint="eastAsia" w:ascii="宋体" w:hAnsi="宋体" w:cs="宋体"/>
          <w:sz w:val="24"/>
          <w:szCs w:val="24"/>
        </w:rPr>
        <w:t xml:space="preserve">12.本项目</w:t>
      </w:r>
      <w:r>
        <w:rPr>
          <w:rFonts w:hint="eastAsia" w:ascii="宋体" w:hAnsi="宋体" w:cs="宋体"/>
          <w:b/>
          <w:bCs/>
          <w:sz w:val="24"/>
          <w:szCs w:val="24"/>
        </w:rPr>
        <w:t xml:space="preserve">不接受</w:t>
      </w:r>
      <w:r>
        <w:rPr>
          <w:rFonts w:hint="eastAsia" w:ascii="宋体" w:hAnsi="宋体" w:cs="宋体"/>
          <w:sz w:val="24"/>
          <w:szCs w:val="24"/>
        </w:rPr>
        <w:t xml:space="preserve">联合体投标。</w:t>
      </w:r>
      <w:r/>
    </w:p>
    <w:p>
      <w:pPr>
        <w:ind w:firstLine="480"/>
        <w:jc w:val="left"/>
        <w:spacing w:line="360" w:lineRule="auto"/>
        <w:widowControl/>
        <w:rPr>
          <w:rFonts w:ascii="宋体" w:hAnsi="宋体" w:cs="宋体"/>
          <w:sz w:val="24"/>
          <w:szCs w:val="24"/>
        </w:rPr>
      </w:pPr>
      <w:r>
        <w:rPr>
          <w:rFonts w:hint="eastAsia" w:ascii="宋体" w:hAnsi="宋体" w:cs="宋体"/>
          <w:b/>
          <w:bCs/>
          <w:sz w:val="24"/>
          <w:szCs w:val="24"/>
        </w:rPr>
        <w:t xml:space="preserve">（二）投标供应商资格要求</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jc w:val="left"/>
        <w:spacing w:line="360" w:lineRule="auto"/>
        <w:widowControl/>
        <w:rPr>
          <w:rFonts w:ascii="宋体" w:hAnsi="宋体" w:cs="宋体"/>
          <w:color w:val="000000"/>
          <w:sz w:val="24"/>
          <w:szCs w:val="24"/>
        </w:rPr>
      </w:pPr>
      <w:r>
        <w:rPr>
          <w:rFonts w:hint="eastAsia" w:ascii="宋体" w:hAnsi="宋体" w:cs="宋体"/>
          <w:sz w:val="24"/>
          <w:szCs w:val="24"/>
        </w:rPr>
        <w:t xml:space="preserve">2.未被“信用中国”网站（www.creditchina.gov.cn）、中国政府采购网（www.ccgp.gov.cn）列入失信被执行人、重大税收违法失信主体、政</w:t>
      </w:r>
      <w:r>
        <w:rPr>
          <w:rFonts w:hint="eastAsia" w:ascii="宋体" w:hAnsi="宋体" w:cs="宋体"/>
          <w:color w:val="000000"/>
          <w:sz w:val="24"/>
          <w:szCs w:val="24"/>
        </w:rPr>
        <w:t xml:space="preserve">府采购严重违法失信行为记录名单；</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3.落实政府采购政策需满足的资格要求：无；</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4.具备采购人根据招标项目的特殊要求规定的以下特定资质：无。</w:t>
      </w:r>
      <w:r/>
    </w:p>
    <w:p>
      <w:pPr>
        <w:ind w:firstLine="480"/>
        <w:jc w:val="left"/>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（三）供应商主体信息库注册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1.请有意参加本项目采购活动的供应商按以下流程进行操作：</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（2）办理“意源”CA数字证书和“方正”电子签章（办理地址：无锡市滨湖区观山路199号一楼CA办理窗口），办理指南链接：http://jsxcmm.com/help/help.html。</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技术服务电话：0510-81827781（服务时间：工作日 9:00-11:30，13:00-17:00）。</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HYPERLINK "http://cz.wuxi.gov.cn/doc/2023/10/11/4080287.shtml" \t "_blank"</w:instrText>
      </w:r>
      <w:r>
        <w:fldChar w:fldCharType="separate"/>
      </w:r>
      <w:r>
        <w:rPr>
          <w:rFonts w:hint="eastAsia" w:ascii="宋体" w:hAnsi="宋体" w:cs="宋体"/>
          <w:color w:val="000000"/>
          <w:sz w:val="24"/>
          <w:szCs w:val="24"/>
        </w:rPr>
        <w:t xml:space="preserve">“苏采云”系统供应商操作手册</w:t>
      </w:r>
      <w:r>
        <w:fldChar w:fldCharType="end"/>
      </w:r>
      <w:r>
        <w:rPr>
          <w:rFonts w:hint="eastAsia" w:ascii="宋体" w:hAnsi="宋体" w:cs="宋体"/>
          <w:color w:val="000000"/>
          <w:sz w:val="24"/>
          <w:szCs w:val="24"/>
        </w:rPr>
        <w:t xml:space="preserve">。</w:t>
      </w:r>
      <w:r/>
    </w:p>
    <w:p>
      <w:pPr>
        <w:ind w:firstLine="480"/>
        <w:spacing w:line="360" w:lineRule="auto"/>
        <w:rPr>
          <w:rFonts w:ascii="宋体" w:hAnsi="宋体" w:cs="宋体"/>
          <w:bCs/>
          <w:color w:val="000000"/>
          <w:sz w:val="24"/>
          <w:szCs w:val="24"/>
        </w:rPr>
      </w:pPr>
      <w:r>
        <w:rPr>
          <w:rFonts w:hint="eastAsia" w:ascii="宋体" w:hAnsi="宋体" w:cs="宋体"/>
          <w:b/>
          <w:color w:val="000000"/>
          <w:sz w:val="24"/>
          <w:szCs w:val="24"/>
        </w:rPr>
        <w:t xml:space="preserve">（四）获取采购文件</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1.时间：本招标文件有效获取期限以本项目招标公告中规定的获取招标文件时间为准。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2.地点：“江苏省政府采购（苏采云）平台”。</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3.方式：请有投标意向的供应商在招标文件有效获取期内及时至“江苏省政府采购（苏采云）平</w:t>
      </w:r>
      <w:r>
        <w:rPr>
          <w:rFonts w:hint="eastAsia" w:ascii="宋体" w:hAnsi="宋体" w:cs="宋体"/>
          <w:bCs/>
          <w:sz w:val="24"/>
          <w:szCs w:val="24"/>
        </w:rPr>
        <w:t xml:space="preserve">台”获取。在招标文件有效获取期限内，从“江苏省政府采购（苏采云）平台”获取的招标文件，视为依法获取的招标文件。完成招标文件获取后，将苏采云平台中下载的招标文件（后缀名为“.kedt”）导入到“政府采购客户端”，离线按要求编制并加密投标文件（使用“CA数字证书”），导出加密的投标文件（后缀名为zip，不得超过</w:t>
      </w:r>
      <w:r>
        <w:rPr>
          <w:rFonts w:hint="eastAsia" w:ascii="宋体" w:hAnsi="宋体" w:cs="宋体"/>
          <w:bCs/>
          <w:color w:val="000000"/>
          <w:sz w:val="24"/>
          <w:szCs w:val="24"/>
        </w:rPr>
        <w:t xml:space="preserve">150M）并在苏采云平台上传该加密的投标文件，对招标文件各项内容做出实质性响应，否则其投标文件无效。</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4.招标文件（后缀名为“.kedt”）、“苏采云”系统供应商操作手册及政府采购客户端工具也可通过“苏采云”系统--已参与项目--报名详情页面内相应链接进行下载。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5.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（五）公开答疑时间、地点</w:t>
      </w:r>
      <w:r/>
    </w:p>
    <w:p>
      <w:pPr>
        <w:ind w:firstLine="480"/>
        <w:jc w:val="left"/>
        <w:spacing w:line="360" w:lineRule="auto"/>
        <w:widowControl/>
        <w:rPr>
          <w:rFonts w:ascii="宋体" w:hAnsi="宋体" w:cs="宋体"/>
          <w:sz w:val="24"/>
          <w:szCs w:val="24"/>
        </w:rPr>
      </w:pPr>
      <w:r>
        <w:rPr>
          <w:rFonts w:hint="eastAsia" w:ascii="宋体" w:hAnsi="宋体" w:cs="宋体"/>
          <w:bCs/>
          <w:color w:val="000000"/>
          <w:sz w:val="24"/>
          <w:szCs w:val="24"/>
        </w:rPr>
        <w:t xml:space="preserve">采购人、</w:t>
      </w:r>
      <w:r>
        <w:rPr>
          <w:rFonts w:hint="eastAsia" w:ascii="宋体" w:hAnsi="宋体" w:cs="宋体"/>
          <w:color w:val="000000"/>
          <w:sz w:val="24"/>
          <w:szCs w:val="24"/>
        </w:rPr>
        <w:t xml:space="preserve">无锡太湖</w:t>
      </w:r>
      <w:r>
        <w:rPr>
          <w:rFonts w:hint="eastAsia" w:ascii="宋体" w:hAnsi="宋体" w:cs="宋体"/>
          <w:sz w:val="24"/>
          <w:szCs w:val="24"/>
        </w:rPr>
        <w:t xml:space="preserve">明珠建设咨询有限公司</w:t>
      </w:r>
      <w:r>
        <w:rPr>
          <w:rFonts w:hint="eastAsia" w:ascii="宋体" w:hAnsi="宋体" w:cs="宋体"/>
          <w:bCs/>
          <w:sz w:val="24"/>
          <w:szCs w:val="24"/>
        </w:rPr>
        <w:t xml:space="preserve">将以线上不见面、电话咨询等方式开展线上答疑服务。截至2026年</w:t>
      </w:r>
      <w:r>
        <w:rPr>
          <w:rFonts w:hint="eastAsia" w:ascii="宋体" w:hAnsi="宋体" w:cs="宋体"/>
          <w:sz w:val="24"/>
          <w:szCs w:val="24"/>
        </w:rPr>
        <w:t xml:space="preserve">9月8日10:00前，</w:t>
      </w:r>
      <w:r>
        <w:rPr>
          <w:rFonts w:hint="eastAsia" w:ascii="宋体" w:hAnsi="宋体" w:cs="宋体"/>
          <w:bCs/>
          <w:sz w:val="24"/>
          <w:szCs w:val="24"/>
        </w:rPr>
        <w:t xml:space="preserve">有关单位对于招标文件的相关事项如有疑问可通过上述方式咨询；</w:t>
      </w:r>
      <w:r>
        <w:rPr>
          <w:rFonts w:hint="eastAsia" w:ascii="宋体" w:hAnsi="宋体" w:cs="宋体"/>
          <w:sz w:val="24"/>
          <w:szCs w:val="24"/>
        </w:rPr>
        <w:t xml:space="preserve">投标供应商如有需要对招标文件要求澄清的问题，请以书面形式</w:t>
      </w:r>
      <w:r>
        <w:rPr>
          <w:rFonts w:hint="eastAsia" w:ascii="宋体" w:hAnsi="宋体" w:cs="宋体"/>
          <w:b/>
          <w:bCs/>
          <w:sz w:val="24"/>
          <w:szCs w:val="24"/>
        </w:rPr>
        <w:t xml:space="preserve">（必须加盖投标供应商公章，也请务必留下联系方式，以便回复）</w:t>
      </w:r>
      <w:r>
        <w:rPr>
          <w:rFonts w:hint="eastAsia" w:ascii="宋体" w:hAnsi="宋体" w:cs="宋体"/>
          <w:sz w:val="24"/>
          <w:szCs w:val="24"/>
        </w:rPr>
        <w:t xml:space="preserve">提出“JSZC-320211-THMZ-G2026-0002项目需澄清问题”</w:t>
      </w:r>
      <w:r>
        <w:rPr>
          <w:rFonts w:hint="eastAsia" w:ascii="宋体" w:hAnsi="宋体" w:cs="宋体"/>
          <w:bCs/>
          <w:sz w:val="24"/>
          <w:szCs w:val="24"/>
        </w:rPr>
        <w:t xml:space="preserve">，</w:t>
      </w:r>
      <w:r>
        <w:rPr>
          <w:rFonts w:hint="eastAsia" w:ascii="宋体" w:hAnsi="宋体" w:cs="宋体"/>
          <w:sz w:val="24"/>
          <w:szCs w:val="24"/>
        </w:rPr>
        <w:t xml:space="preserve">并于答疑</w:t>
      </w:r>
      <w:r>
        <w:rPr>
          <w:rFonts w:hint="eastAsia" w:ascii="宋体" w:hAnsi="宋体" w:cs="宋体"/>
          <w:bCs/>
          <w:sz w:val="24"/>
          <w:szCs w:val="24"/>
        </w:rPr>
        <w:t xml:space="preserve">截止时间前</w:t>
      </w:r>
      <w:r>
        <w:rPr>
          <w:rFonts w:hint="eastAsia" w:ascii="宋体" w:hAnsi="宋体" w:cs="宋体"/>
          <w:sz w:val="24"/>
          <w:szCs w:val="24"/>
        </w:rPr>
        <w:t xml:space="preserve">邮件发送给项目联系人</w:t>
      </w:r>
      <w:r>
        <w:rPr>
          <w:rFonts w:hint="eastAsia" w:ascii="宋体" w:hAnsi="宋体" w:cs="宋体"/>
          <w:bCs/>
          <w:sz w:val="24"/>
          <w:szCs w:val="24"/>
        </w:rPr>
        <w:t xml:space="preserve">。若未在法定时间内提出澄清，由此造成的损失及风险由投标供应商自行承担。</w:t>
      </w:r>
      <w:r/>
    </w:p>
    <w:p>
      <w:pPr>
        <w:ind w:firstLine="480"/>
        <w:jc w:val="left"/>
        <w:spacing w:line="360" w:lineRule="auto"/>
        <w:widowControl/>
        <w:rPr>
          <w:rFonts w:ascii="宋体" w:hAnsi="宋体" w:cs="宋体"/>
          <w:b/>
          <w:bCs/>
          <w:sz w:val="24"/>
          <w:szCs w:val="24"/>
        </w:rPr>
      </w:pPr>
      <w:r>
        <w:rPr>
          <w:rFonts w:hint="eastAsia" w:ascii="宋体" w:hAnsi="宋体" w:cs="宋体"/>
          <w:b/>
          <w:bCs/>
          <w:sz w:val="24"/>
          <w:szCs w:val="24"/>
        </w:rPr>
        <w:t xml:space="preserve">（六）现场踏勘</w:t>
      </w:r>
      <w:r/>
    </w:p>
    <w:p>
      <w:pPr>
        <w:ind w:firstLine="480"/>
        <w:jc w:val="left"/>
        <w:spacing w:line="360" w:lineRule="auto"/>
        <w:widowControl/>
        <w:rPr>
          <w:rFonts w:ascii="宋体" w:hAnsi="宋体" w:cs="宋体"/>
          <w:b/>
          <w:bCs/>
          <w:color w:val="000000"/>
          <w:sz w:val="24"/>
          <w:szCs w:val="24"/>
        </w:rPr>
      </w:pPr>
      <w:r>
        <w:rPr>
          <w:rFonts w:hint="eastAsia" w:ascii="宋体" w:hAnsi="宋体" w:cs="宋体"/>
          <w:sz w:val="24"/>
          <w:szCs w:val="24"/>
        </w:rPr>
        <w:t xml:space="preserve">本次招标不统一组织标前答疑会议，供应商自行踏勘现场。未踏勘现场或踏勘工作不详细的供应商中标后，不得以不完全了解现场情况为理由而</w:t>
      </w:r>
      <w:r>
        <w:rPr>
          <w:rFonts w:hint="eastAsia" w:ascii="宋体" w:hAnsi="宋体" w:cs="宋体"/>
          <w:color w:val="000000"/>
          <w:sz w:val="24"/>
          <w:szCs w:val="24"/>
        </w:rPr>
        <w:t xml:space="preserve">向采购人提出任何索赔或其他要求，对此采购人不承担任何责任并将不作任何答复。</w:t>
      </w:r>
      <w:r/>
    </w:p>
    <w:p>
      <w:pPr>
        <w:ind w:firstLine="480"/>
        <w:jc w:val="left"/>
        <w:spacing w:line="360" w:lineRule="auto"/>
        <w:widowControl/>
        <w:rPr>
          <w:rFonts w:ascii="宋体" w:hAnsi="宋体" w:cs="宋体"/>
          <w:b/>
          <w:bCs/>
          <w:color w:val="000000"/>
          <w:sz w:val="24"/>
          <w:szCs w:val="24"/>
        </w:rPr>
      </w:pPr>
      <w:r>
        <w:rPr>
          <w:rFonts w:hint="eastAsia" w:ascii="宋体" w:hAnsi="宋体" w:cs="宋体"/>
          <w:b/>
          <w:bCs/>
          <w:color w:val="000000"/>
          <w:sz w:val="24"/>
          <w:szCs w:val="24"/>
        </w:rPr>
        <w:t xml:space="preserve">（七）网上投标及开标、定标时间、地点</w:t>
      </w:r>
      <w:r/>
    </w:p>
    <w:p>
      <w:pPr>
        <w:ind w:firstLine="480"/>
        <w:jc w:val="left"/>
        <w:spacing w:line="360" w:lineRule="auto"/>
        <w:widowControl/>
        <w:rPr>
          <w:rFonts w:ascii="宋体" w:hAnsi="宋体" w:cs="宋体"/>
          <w:sz w:val="24"/>
          <w:szCs w:val="24"/>
        </w:rPr>
      </w:pPr>
      <w:r>
        <w:rPr>
          <w:rFonts w:hint="eastAsia" w:ascii="宋体" w:hAnsi="宋体" w:cs="宋体"/>
          <w:color w:val="000000"/>
          <w:sz w:val="24"/>
          <w:szCs w:val="24"/>
        </w:rPr>
        <w:t xml:space="preserve">本项目进行线上不见面</w:t>
      </w:r>
      <w:r>
        <w:rPr>
          <w:rFonts w:hint="eastAsia" w:ascii="宋体" w:hAnsi="宋体" w:cs="宋体"/>
          <w:sz w:val="24"/>
          <w:szCs w:val="24"/>
        </w:rPr>
        <w:t xml:space="preserve">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网上投标截止时间：2026年9月24日09:30（投标截止时间后的投标文件恕不接受）。</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网上投标解密时间：2026年9月24日09:30。</w:t>
      </w:r>
      <w:r/>
    </w:p>
    <w:p>
      <w:pPr>
        <w:ind w:firstLine="480"/>
        <w:jc w:val="left"/>
        <w:spacing w:line="360" w:lineRule="auto"/>
        <w:widowControl/>
        <w:rPr>
          <w:rFonts w:ascii="宋体" w:hAnsi="宋体" w:cs="宋体"/>
          <w:color w:val="000000"/>
          <w:sz w:val="24"/>
          <w:szCs w:val="24"/>
        </w:rPr>
      </w:pPr>
      <w:r>
        <w:rPr>
          <w:rFonts w:hint="eastAsia" w:ascii="宋体" w:hAnsi="宋体" w:cs="宋体"/>
          <w:sz w:val="24"/>
          <w:szCs w:val="24"/>
        </w:rPr>
        <w:t xml:space="preserve">本项目采购文件规定的供应商按时在线解密方</w:t>
      </w:r>
      <w:r>
        <w:rPr>
          <w:rFonts w:hint="eastAsia" w:ascii="宋体" w:hAnsi="宋体" w:cs="宋体"/>
          <w:color w:val="000000"/>
          <w:sz w:val="24"/>
          <w:szCs w:val="24"/>
        </w:rPr>
        <w:t xml:space="preserve">式：开启时间后30分钟内，通过“苏采云”系统（使用“CA数字证书”）解密。</w:t>
      </w:r>
      <w:r/>
    </w:p>
    <w:p>
      <w:pPr>
        <w:ind w:firstLine="480"/>
        <w:jc w:val="left"/>
        <w:spacing w:line="360" w:lineRule="auto"/>
        <w:widowControl/>
        <w:rPr>
          <w:rFonts w:ascii="宋体" w:hAnsi="宋体" w:cs="宋体"/>
          <w:bCs/>
          <w:color w:val="000000"/>
          <w:sz w:val="24"/>
          <w:szCs w:val="24"/>
        </w:rPr>
      </w:pPr>
      <w:r>
        <w:rPr>
          <w:rFonts w:hint="eastAsia" w:ascii="宋体" w:hAnsi="宋体" w:cs="宋体"/>
          <w:color w:val="000000"/>
          <w:sz w:val="24"/>
          <w:szCs w:val="24"/>
        </w:rPr>
        <w:t xml:space="preserve">投标及开标地点：</w:t>
      </w:r>
      <w:bookmarkStart w:id="2" w:name="_Toc28359007"/>
      <w:r>
        <w:rPr>
          <w:rFonts w:hint="eastAsia" w:ascii="宋体" w:hAnsi="宋体" w:cs="宋体"/>
          <w:color w:val="000000"/>
          <w:sz w:val="24"/>
          <w:szCs w:val="24"/>
        </w:rPr>
        <w:t xml:space="preserve">“苏采云”系统（网址：http://jszfcg.jsczt.cn/）</w:t>
      </w:r>
      <w:bookmarkEnd w:id="2"/>
      <w:r>
        <w:rPr>
          <w:rFonts w:hint="eastAsia" w:ascii="宋体" w:hAnsi="宋体" w:cs="宋体"/>
          <w:color w:val="000000"/>
          <w:sz w:val="24"/>
          <w:szCs w:val="24"/>
        </w:rPr>
        <w:t xml:space="preserve">。</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定标时间：评标结束。</w:t>
      </w:r>
      <w:r/>
    </w:p>
    <w:p>
      <w:pPr>
        <w:ind w:firstLine="480"/>
        <w:jc w:val="left"/>
        <w:spacing w:line="360" w:lineRule="auto"/>
        <w:widowControl/>
        <w:rPr>
          <w:rFonts w:ascii="宋体" w:hAnsi="宋体" w:cs="宋体"/>
          <w:color w:val="000000"/>
          <w:sz w:val="24"/>
          <w:szCs w:val="24"/>
        </w:rPr>
      </w:pPr>
      <w:r>
        <w:rPr>
          <w:rFonts w:hint="eastAsia" w:ascii="宋体" w:hAnsi="宋体" w:cs="宋体"/>
          <w:bCs/>
          <w:color w:val="000000"/>
          <w:sz w:val="24"/>
          <w:szCs w:val="24"/>
        </w:rPr>
        <w:t xml:space="preserve">定标地点：</w:t>
      </w:r>
      <w:r>
        <w:rPr>
          <w:rFonts w:hint="eastAsia" w:ascii="宋体" w:hAnsi="宋体" w:cs="宋体"/>
          <w:sz w:val="24"/>
          <w:szCs w:val="24"/>
        </w:rPr>
        <w:t xml:space="preserve">无锡市滨湖区公共资源交易中心三楼评标室（无锡市滨湖区隐秀路152号）。</w:t>
      </w:r>
      <w:r/>
    </w:p>
    <w:p>
      <w:pPr>
        <w:ind w:firstLine="480"/>
        <w:spacing w:line="360" w:lineRule="auto"/>
        <w:rPr>
          <w:rFonts w:ascii="宋体" w:hAnsi="宋体" w:cs="宋体"/>
          <w:bCs/>
          <w:color w:val="000000"/>
          <w:sz w:val="24"/>
          <w:szCs w:val="24"/>
        </w:rPr>
      </w:pPr>
      <w:r>
        <w:rPr>
          <w:rFonts w:hint="eastAsia" w:ascii="宋体" w:hAnsi="宋体" w:cs="宋体"/>
          <w:b/>
          <w:color w:val="000000"/>
          <w:sz w:val="24"/>
          <w:szCs w:val="24"/>
        </w:rPr>
        <w:t xml:space="preserve">（八）投标有效期：</w:t>
      </w:r>
      <w:r>
        <w:rPr>
          <w:rFonts w:hint="eastAsia" w:ascii="宋体" w:hAnsi="宋体" w:cs="宋体"/>
          <w:bCs/>
          <w:color w:val="000000"/>
          <w:sz w:val="24"/>
          <w:szCs w:val="24"/>
        </w:rPr>
        <w:t xml:space="preserve">投标截止之日起90日历天。</w:t>
      </w:r>
      <w:r/>
    </w:p>
    <w:p>
      <w:pPr>
        <w:ind w:firstLine="480"/>
        <w:spacing w:line="360" w:lineRule="auto"/>
        <w:rPr>
          <w:rFonts w:ascii="宋体" w:hAnsi="宋体" w:cs="宋体"/>
          <w:bCs/>
          <w:color w:val="000000"/>
          <w:sz w:val="24"/>
          <w:szCs w:val="24"/>
        </w:rPr>
      </w:pPr>
      <w:r>
        <w:rPr>
          <w:rFonts w:hint="eastAsia" w:ascii="宋体" w:hAnsi="宋体" w:cs="宋体"/>
          <w:b/>
          <w:color w:val="000000"/>
          <w:sz w:val="24"/>
          <w:szCs w:val="24"/>
        </w:rPr>
        <w:t xml:space="preserve">（九）采购方法：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本次采购采用《江苏省政府采购（苏采云）平台》进行招标投标活动，招标、投标、评标和中标结果发布全程电子化。</w:t>
      </w:r>
      <w:r/>
    </w:p>
    <w:p>
      <w:pPr>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（十）其他</w:t>
      </w:r>
      <w:r/>
    </w:p>
    <w:p>
      <w:pPr>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有关本次采购活动程序方面的问题，可来人、来函或电话联系。</w:t>
      </w:r>
      <w:r/>
    </w:p>
    <w:p>
      <w:pPr>
        <w:ind w:firstLine="480"/>
        <w:spacing w:line="360" w:lineRule="auto"/>
        <w:rPr>
          <w:rFonts w:ascii="宋体" w:hAnsi="宋体" w:cs="宋体"/>
          <w:sz w:val="24"/>
          <w:szCs w:val="24"/>
          <w:lang w:val="zh-CN"/>
        </w:rPr>
      </w:pPr>
      <w:r>
        <w:rPr>
          <w:rFonts w:hint="eastAsia" w:ascii="宋体" w:hAnsi="宋体" w:cs="宋体"/>
          <w:color w:val="000000"/>
          <w:sz w:val="24"/>
          <w:szCs w:val="24"/>
          <w:lang w:val="zh-CN"/>
        </w:rPr>
        <w:t xml:space="preserve">采</w:t>
      </w:r>
      <w:r>
        <w:rPr>
          <w:rFonts w:hint="eastAsia" w:ascii="宋体" w:hAnsi="宋体" w:cs="宋体"/>
          <w:sz w:val="24"/>
          <w:szCs w:val="24"/>
          <w:lang w:val="zh-CN"/>
        </w:rPr>
        <w:t xml:space="preserve">购人：无锡市滨湖区城市管理局</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单位地址：</w:t>
      </w:r>
      <w:r>
        <w:rPr>
          <w:rFonts w:hint="eastAsia" w:ascii="宋体" w:cs="宋体"/>
          <w:sz w:val="24"/>
          <w:lang w:val="zh-CN"/>
        </w:rPr>
        <w:t xml:space="preserve">无锡市滨湖区金城西路500号</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联系人：</w:t>
      </w:r>
      <w:r>
        <w:rPr>
          <w:rFonts w:hint="eastAsia" w:ascii="宋体" w:hAnsi="宋体" w:cs="宋体"/>
          <w:sz w:val="24"/>
          <w:szCs w:val="24"/>
        </w:rPr>
        <w:t xml:space="preserve">王霞 </w:t>
      </w:r>
      <w:r/>
    </w:p>
    <w:p>
      <w:pPr>
        <w:ind w:firstLine="480"/>
        <w:spacing w:line="360" w:lineRule="auto"/>
        <w:rPr>
          <w:rFonts w:ascii="宋体" w:hAnsi="宋体" w:cs="宋体"/>
        </w:rPr>
      </w:pPr>
      <w:r>
        <w:rPr>
          <w:rFonts w:hint="eastAsia" w:ascii="宋体" w:hAnsi="宋体" w:cs="宋体"/>
          <w:sz w:val="24"/>
          <w:szCs w:val="24"/>
          <w:lang w:val="zh-CN"/>
        </w:rPr>
        <w:t xml:space="preserve">联系电话：051</w:t>
      </w:r>
      <w:r>
        <w:rPr>
          <w:rFonts w:hint="eastAsia" w:ascii="宋体" w:hAnsi="宋体" w:cs="宋体"/>
          <w:sz w:val="24"/>
          <w:szCs w:val="24"/>
        </w:rPr>
        <w:t xml:space="preserve">0</w:t>
      </w:r>
      <w:r>
        <w:rPr>
          <w:rFonts w:hint="eastAsia" w:ascii="宋体" w:hAnsi="宋体" w:cs="宋体"/>
          <w:sz w:val="24"/>
          <w:szCs w:val="24"/>
          <w:lang w:val="zh-CN"/>
        </w:rPr>
        <w:t xml:space="preserve">-</w:t>
      </w:r>
      <w:r>
        <w:rPr>
          <w:rFonts w:hint="eastAsia" w:ascii="宋体" w:hAnsi="宋体" w:cs="宋体"/>
          <w:sz w:val="24"/>
          <w:szCs w:val="24"/>
        </w:rPr>
        <w:t xml:space="preserve">81178410</w:t>
      </w:r>
      <w:r/>
    </w:p>
    <w:p>
      <w:pPr>
        <w:pStyle w:val="872"/>
        <w:ind w:firstLine="480"/>
        <w:spacing w:before="0" w:beforeAutospacing="0" w:after="0" w:afterAutospacing="0" w:line="460" w:lineRule="exact"/>
        <w:tabs>
          <w:tab w:val="left" w:pos="0" w:leader="none"/>
        </w:tabs>
        <w:rPr>
          <w:rFonts w:cs="宋体"/>
          <w:lang w:val="zh-CN"/>
        </w:rPr>
      </w:pPr>
      <w:r>
        <w:rPr>
          <w:rFonts w:hint="eastAsia" w:cs="宋体"/>
          <w:lang w:val="zh-CN"/>
        </w:rPr>
        <w:t xml:space="preserve">采购代理机构：无锡太湖明珠建设咨询有限公司</w:t>
      </w:r>
      <w:r/>
    </w:p>
    <w:p>
      <w:pPr>
        <w:pStyle w:val="872"/>
        <w:ind w:firstLine="480"/>
        <w:spacing w:before="0" w:beforeAutospacing="0" w:after="0" w:afterAutospacing="0" w:line="460" w:lineRule="exact"/>
        <w:tabs>
          <w:tab w:val="left" w:pos="0" w:leader="none"/>
        </w:tabs>
        <w:rPr>
          <w:rFonts w:cs="宋体"/>
        </w:rPr>
      </w:pPr>
      <w:r>
        <w:rPr>
          <w:rFonts w:hint="eastAsia" w:cs="宋体"/>
          <w:lang w:val="zh-CN"/>
        </w:rPr>
        <w:t xml:space="preserve">联系人：</w:t>
      </w:r>
      <w:r>
        <w:rPr>
          <w:rFonts w:hint="eastAsia" w:cs="宋体"/>
        </w:rPr>
        <w:t xml:space="preserve">张志伟、邓晓娜、王轶男</w:t>
      </w:r>
      <w:r/>
    </w:p>
    <w:p>
      <w:pPr>
        <w:pStyle w:val="872"/>
        <w:ind w:firstLine="480"/>
        <w:spacing w:before="0" w:beforeAutospacing="0" w:after="0" w:afterAutospacing="0" w:line="460" w:lineRule="exact"/>
        <w:tabs>
          <w:tab w:val="left" w:pos="0" w:leader="none"/>
        </w:tabs>
        <w:rPr>
          <w:rFonts w:cs="宋体"/>
        </w:rPr>
      </w:pPr>
      <w:r>
        <w:rPr>
          <w:rFonts w:hint="eastAsia" w:cs="宋体"/>
          <w:lang w:val="zh-CN"/>
        </w:rPr>
        <w:t xml:space="preserve">联系电话：</w:t>
      </w:r>
      <w:r>
        <w:rPr>
          <w:rFonts w:hint="eastAsia" w:cs="宋体"/>
        </w:rPr>
        <w:t xml:space="preserve">0510-85166966</w:t>
      </w:r>
      <w:r/>
    </w:p>
    <w:p>
      <w:pPr>
        <w:pStyle w:val="872"/>
        <w:ind w:firstLine="480"/>
        <w:spacing w:before="0" w:beforeAutospacing="0" w:after="0" w:afterAutospacing="0" w:line="460" w:lineRule="exact"/>
        <w:tabs>
          <w:tab w:val="left" w:pos="0" w:leader="none"/>
        </w:tabs>
        <w:rPr>
          <w:rFonts w:cs="宋体"/>
        </w:rPr>
      </w:pPr>
      <w:r>
        <w:rPr>
          <w:rFonts w:hint="eastAsia" w:cs="宋体"/>
          <w:lang w:val="zh-CN"/>
        </w:rPr>
        <w:t xml:space="preserve">联系地址：</w:t>
      </w:r>
      <w:r>
        <w:rPr>
          <w:rFonts w:hint="eastAsia" w:cs="宋体"/>
          <w:bCs/>
        </w:rPr>
        <w:t xml:space="preserve">无锡市滨湖区绣溪路59-16号 </w:t>
      </w:r>
      <w:r/>
    </w:p>
    <w:p>
      <w:pPr>
        <w:pStyle w:val="872"/>
        <w:ind w:firstLine="480"/>
        <w:spacing w:before="0" w:beforeAutospacing="0" w:after="0" w:afterAutospacing="0" w:line="460" w:lineRule="exact"/>
        <w:tabs>
          <w:tab w:val="left" w:pos="0" w:leader="none"/>
        </w:tabs>
        <w:rPr>
          <w:rFonts w:cs="宋体"/>
        </w:rPr>
      </w:pPr>
      <w:r>
        <w:rPr>
          <w:rFonts w:hint="eastAsia" w:cs="宋体"/>
          <w:lang w:val="zh-CN"/>
        </w:rPr>
        <w:t xml:space="preserve">邮政编码</w:t>
      </w:r>
      <w:r>
        <w:rPr>
          <w:rFonts w:hint="eastAsia" w:cs="宋体"/>
        </w:rPr>
        <w:t xml:space="preserve">：214000</w:t>
      </w:r>
      <w:r/>
    </w:p>
    <w:p>
      <w:pPr>
        <w:pStyle w:val="872"/>
        <w:ind w:firstLine="480"/>
        <w:spacing w:before="0" w:beforeAutospacing="0" w:after="0" w:afterAutospacing="0" w:line="460" w:lineRule="exact"/>
        <w:tabs>
          <w:tab w:val="left" w:pos="0" w:leader="none"/>
        </w:tabs>
        <w:rPr>
          <w:rFonts w:cs="宋体"/>
          <w:color w:val="000000"/>
        </w:rPr>
      </w:pPr>
      <w:r>
        <w:rPr>
          <w:rFonts w:hint="eastAsia" w:cs="宋体"/>
          <w:color w:val="000000"/>
          <w:lang w:val="zh-CN"/>
        </w:rPr>
        <w:t xml:space="preserve">电子邮件地址</w:t>
      </w:r>
      <w:r>
        <w:rPr>
          <w:rFonts w:hint="eastAsia" w:cs="宋体"/>
          <w:color w:val="000000"/>
        </w:rPr>
        <w:t xml:space="preserve">：1148444@qq.com</w:t>
      </w:r>
      <w:r/>
    </w:p>
    <w:p>
      <w:pPr>
        <w:rPr>
          <w:rFonts w:ascii="宋体" w:hAnsi="宋体" w:cs="宋体"/>
          <w:color w:val="000000"/>
          <w:sz w:val="24"/>
          <w:szCs w:val="24"/>
        </w:rPr>
      </w:pPr>
      <w:r>
        <w:rPr>
          <w:rFonts w:hint="eastAsia" w:ascii="宋体" w:hAnsi="宋体" w:cs="宋体"/>
          <w:color w:val="000000"/>
          <w:sz w:val="24"/>
          <w:szCs w:val="24"/>
        </w:rPr>
        <w:br w:type="page" w:clear="all"/>
      </w:r>
      <w:r/>
    </w:p>
    <w:p>
      <w:pPr>
        <w:jc w:val="center"/>
        <w:spacing w:line="360" w:lineRule="auto"/>
        <w:rPr>
          <w:rFonts w:ascii="宋体" w:hAnsi="宋体" w:cs="宋体"/>
          <w:bCs/>
          <w:color w:val="000000"/>
          <w:sz w:val="32"/>
          <w:szCs w:val="32"/>
        </w:rPr>
        <w:outlineLvl w:val="0"/>
      </w:pPr>
      <w:r/>
      <w:bookmarkStart w:id="3" w:name="_Toc23860"/>
      <w:r>
        <w:rPr>
          <w:rFonts w:hint="eastAsia" w:ascii="宋体" w:hAnsi="宋体" w:cs="宋体"/>
          <w:b/>
          <w:color w:val="000000"/>
          <w:sz w:val="32"/>
          <w:szCs w:val="32"/>
        </w:rPr>
        <w:t xml:space="preserve">二、投标供应商须知</w:t>
      </w:r>
      <w:bookmarkEnd w:id="3"/>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（一）遵循原则</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公开透明原则、公平竞争原则、公正原则和诚实信用原则。</w:t>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（二）招标文件</w:t>
      </w:r>
      <w:r/>
    </w:p>
    <w:p>
      <w:pPr>
        <w:ind w:firstLine="523"/>
        <w:spacing w:line="360" w:lineRule="auto"/>
        <w:tabs>
          <w:tab w:val="left" w:pos="-1260" w:leader="none"/>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1.</w:t>
      </w:r>
      <w:r>
        <w:rPr>
          <w:rFonts w:hint="eastAsia" w:ascii="宋体" w:hAnsi="宋体" w:cs="宋体"/>
          <w:bCs/>
          <w:color w:val="000000"/>
          <w:sz w:val="24"/>
          <w:szCs w:val="24"/>
        </w:rPr>
        <w:t xml:space="preserve">招标文件包括本文件目录所列全部内容，投标供应商应仔细阅读，并在投标文件中充分响应招标文件的所有要求。</w:t>
      </w:r>
      <w:r/>
    </w:p>
    <w:p>
      <w:pPr>
        <w:ind w:firstLine="523"/>
        <w:spacing w:line="360" w:lineRule="auto"/>
        <w:tabs>
          <w:tab w:val="left" w:pos="0" w:leader="none"/>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2.潜在投标供应商可在项目招标公告附件中查看公开招标文件，如确定投标，必须在苏采云平台中免费下载公开招标文件（“项目参与”——“采购项目”找到需要获取采购文件的项目，点击“我要参与”——“参与投标”——“下载文件”，完成项目参与，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523"/>
        <w:spacing w:line="360" w:lineRule="auto"/>
        <w:tabs>
          <w:tab w:val="left" w:pos="0" w:leader="none"/>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3.投标供应商一旦参加本项目投标，即表明承诺接受了本招标文件中的所有条件和规定。</w:t>
      </w:r>
      <w:r/>
    </w:p>
    <w:p>
      <w:pPr>
        <w:ind w:firstLine="523"/>
        <w:spacing w:line="360" w:lineRule="auto"/>
        <w:tabs>
          <w:tab w:val="left" w:pos="0" w:leader="none"/>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4.招标文件仅作为本次招投标使用。</w:t>
      </w:r>
      <w:r/>
    </w:p>
    <w:p>
      <w:pPr>
        <w:ind w:firstLine="523"/>
        <w:spacing w:line="360" w:lineRule="auto"/>
        <w:tabs>
          <w:tab w:val="left" w:pos="0" w:leader="none"/>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5.招标文件中的“法定代表人”是指投标供应商的营业执照或相关部门的登记证明文件中的“法定代表人”或“负责人”。</w:t>
      </w:r>
      <w:r/>
    </w:p>
    <w:p>
      <w:pPr>
        <w:ind w:firstLine="523"/>
        <w:spacing w:line="360" w:lineRule="auto"/>
        <w:tabs>
          <w:tab w:val="left" w:pos="0" w:leader="none"/>
          <w:tab w:val="left" w:pos="525" w:leader="none"/>
          <w:tab w:val="left" w:pos="945" w:leader="none"/>
        </w:tabs>
        <w:rPr>
          <w:rFonts w:ascii="宋体" w:hAnsi="宋体"/>
          <w:bCs/>
          <w:szCs w:val="24"/>
        </w:rPr>
      </w:pPr>
      <w:r>
        <w:rPr>
          <w:rFonts w:hint="eastAsia" w:ascii="宋体" w:hAnsi="宋体"/>
          <w:bCs/>
          <w:color w:val="000000"/>
          <w:sz w:val="24"/>
          <w:szCs w:val="24"/>
        </w:rPr>
        <w:t xml:space="preserve">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360" w:lineRule="auto"/>
        <w:tabs>
          <w:tab w:val="left" w:pos="630" w:leader="none"/>
        </w:tabs>
        <w:rPr>
          <w:rFonts w:ascii="宋体" w:hAnsi="宋体" w:cs="宋体"/>
          <w:b/>
          <w:color w:val="000000"/>
          <w:sz w:val="24"/>
          <w:szCs w:val="24"/>
        </w:rPr>
      </w:pPr>
      <w:r>
        <w:rPr>
          <w:rFonts w:hint="eastAsia" w:ascii="宋体" w:hAnsi="宋体" w:cs="宋体"/>
          <w:b/>
          <w:color w:val="000000"/>
          <w:sz w:val="24"/>
          <w:szCs w:val="24"/>
        </w:rPr>
        <w:t xml:space="preserve">（三）招标文件的解释</w:t>
      </w:r>
      <w:r/>
    </w:p>
    <w:p>
      <w:pPr>
        <w:ind w:firstLine="480"/>
        <w:spacing w:line="360" w:lineRule="auto"/>
        <w:rPr>
          <w:rFonts w:ascii="宋体" w:hAnsi="宋体" w:cs="宋体"/>
          <w:sz w:val="24"/>
        </w:rPr>
      </w:pPr>
      <w:r>
        <w:rPr>
          <w:rFonts w:hint="eastAsia" w:ascii="宋体" w:hAnsi="宋体" w:cs="宋体"/>
          <w:color w:val="000000"/>
          <w:sz w:val="24"/>
        </w:rPr>
        <w:t xml:space="preserve">1.投标供应</w:t>
      </w:r>
      <w:r>
        <w:rPr>
          <w:rFonts w:hint="eastAsia" w:ascii="宋体" w:hAnsi="宋体" w:cs="宋体"/>
          <w:sz w:val="24"/>
        </w:rPr>
        <w:t xml:space="preserve">商如有需要对招标文件要求澄清的问题，请以书面方式提出，并按“投标邀请”第5项规定的时间送至指定地点，联系方式详见投标邀请第10项。</w:t>
      </w:r>
      <w:r/>
    </w:p>
    <w:p>
      <w:pPr>
        <w:ind w:firstLine="480"/>
        <w:spacing w:line="360" w:lineRule="auto"/>
        <w:rPr>
          <w:rFonts w:ascii="宋体" w:hAnsi="宋体" w:cs="宋体"/>
          <w:color w:val="000000"/>
          <w:sz w:val="24"/>
        </w:rPr>
      </w:pPr>
      <w:r>
        <w:rPr>
          <w:rFonts w:hint="eastAsia" w:ascii="宋体" w:hAnsi="宋体" w:cs="宋体"/>
          <w:sz w:val="24"/>
        </w:rPr>
        <w:t xml:space="preserve">2.采购人、无锡太湖明珠建设咨询有限公司将按“投标邀请”第5项规定的时间，对投标供应商针对招标文件书面提出的要求澄清的问题进行书面答</w:t>
      </w:r>
      <w:r>
        <w:rPr>
          <w:rFonts w:hint="eastAsia" w:ascii="宋体" w:hAnsi="宋体" w:cs="宋体"/>
          <w:color w:val="000000"/>
          <w:sz w:val="24"/>
        </w:rPr>
        <w:t xml:space="preserve">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3.本文件的最终解释权归采购人。</w:t>
      </w:r>
      <w:r/>
    </w:p>
    <w:p>
      <w:pPr>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（四） 招标文件的补充或修正</w:t>
      </w:r>
      <w:r/>
    </w:p>
    <w:p>
      <w:pPr>
        <w:ind w:firstLine="480"/>
        <w:spacing w:line="360" w:lineRule="auto"/>
        <w:rPr>
          <w:rFonts w:ascii="宋体" w:hAnsi="宋体" w:cs="宋体"/>
          <w:sz w:val="24"/>
        </w:rPr>
      </w:pPr>
      <w:r>
        <w:rPr>
          <w:rFonts w:hint="eastAsia" w:ascii="宋体" w:hAnsi="宋体" w:cs="宋体"/>
          <w:color w:val="000000"/>
          <w:sz w:val="24"/>
        </w:rPr>
        <w:t xml:space="preserve">1.采购人或者采购</w:t>
      </w:r>
      <w:r>
        <w:rPr>
          <w:rFonts w:hint="eastAsia" w:ascii="宋体" w:hAnsi="宋体" w:cs="宋体"/>
          <w:sz w:val="24"/>
        </w:rPr>
        <w:t xml:space="preserve">代理机构可以对已发出的招标文件进行必要的澄清或者修改，澄清或者修改将在江苏政府采购网上、中国政府采购网发布更正公告。澄清或者修改的内容为招标文件组成部分，与招标文件具有同等约束力。</w:t>
      </w:r>
      <w:r/>
    </w:p>
    <w:p>
      <w:pPr>
        <w:ind w:firstLine="480"/>
        <w:spacing w:line="360" w:lineRule="auto"/>
        <w:rPr>
          <w:rFonts w:ascii="宋体" w:hAnsi="宋体" w:cs="宋体"/>
          <w:color w:val="000000"/>
          <w:sz w:val="24"/>
        </w:rPr>
      </w:pPr>
      <w:r>
        <w:rPr>
          <w:rFonts w:hint="eastAsia" w:ascii="宋体" w:hAnsi="宋体" w:cs="宋体"/>
          <w:sz w:val="24"/>
        </w:rPr>
        <w:t xml:space="preserve">2.澄清或者修改的内容可能影响投标文件编制的，</w:t>
      </w:r>
      <w:r>
        <w:rPr>
          <w:rFonts w:hint="eastAsia" w:ascii="宋体" w:hAnsi="宋体" w:cs="宋体"/>
          <w:color w:val="000000"/>
          <w:sz w:val="24"/>
        </w:rPr>
        <w:t xml:space="preserve">采购人或者采购代理机构将在投标截止时间至少15日前，发布澄清公告；不足15日的，采购人或者采购代理机构将顺延提交投标文件的截止时间。</w:t>
      </w:r>
      <w:r/>
    </w:p>
    <w:p>
      <w:pPr>
        <w:ind w:firstLine="480"/>
        <w:spacing w:line="360" w:lineRule="auto"/>
        <w:rPr>
          <w:rFonts w:ascii="宋体" w:hAnsi="宋体" w:cs="宋体"/>
          <w:bCs/>
          <w:color w:val="000000"/>
          <w:sz w:val="24"/>
          <w:szCs w:val="24"/>
        </w:rPr>
      </w:pPr>
      <w:r>
        <w:rPr>
          <w:rFonts w:hint="eastAsia" w:ascii="宋体" w:hAnsi="宋体" w:cs="宋体"/>
          <w:color w:val="000000"/>
          <w:sz w:val="24"/>
        </w:rPr>
        <w:t xml:space="preserve">3.投标供应商应在投标截止时间前关注原采购公告媒体上发布的相关更正公告。因投标供应商</w:t>
      </w:r>
      <w:r>
        <w:rPr>
          <w:rFonts w:hint="eastAsia" w:ascii="宋体" w:hAnsi="宋体" w:cs="宋体"/>
          <w:bCs/>
          <w:color w:val="000000"/>
          <w:sz w:val="24"/>
          <w:szCs w:val="24"/>
        </w:rPr>
        <w:t xml:space="preserve">未尽注意义务，未及时全面地关注更正公告导致其提交的投标材料不符合招标要求，而造成的损失及风险（包括但不限于未</w:t>
      </w:r>
      <w:r>
        <w:rPr>
          <w:rFonts w:hint="eastAsia" w:ascii="宋体" w:hAnsi="宋体" w:cs="宋体"/>
          <w:color w:val="000000"/>
          <w:sz w:val="24"/>
        </w:rPr>
        <w:t xml:space="preserve">中标</w:t>
      </w:r>
      <w:r>
        <w:rPr>
          <w:rFonts w:hint="eastAsia" w:ascii="宋体" w:hAnsi="宋体" w:cs="宋体"/>
          <w:bCs/>
          <w:color w:val="000000"/>
          <w:sz w:val="24"/>
          <w:szCs w:val="24"/>
        </w:rPr>
        <w:t xml:space="preserve">）由</w:t>
      </w:r>
      <w:r>
        <w:rPr>
          <w:rFonts w:hint="eastAsia" w:ascii="宋体" w:hAnsi="宋体" w:cs="宋体"/>
          <w:color w:val="000000"/>
          <w:sz w:val="24"/>
        </w:rPr>
        <w:t xml:space="preserve">投标供应商</w:t>
      </w:r>
      <w:r>
        <w:rPr>
          <w:rFonts w:hint="eastAsia" w:ascii="宋体" w:hAnsi="宋体" w:cs="宋体"/>
          <w:bCs/>
          <w:color w:val="000000"/>
          <w:sz w:val="24"/>
          <w:szCs w:val="24"/>
        </w:rPr>
        <w:t xml:space="preserve">自行承担。</w:t>
      </w:r>
      <w:r/>
    </w:p>
    <w:p>
      <w:pPr>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（五）质疑与投诉</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1.质疑的提出和答复、投诉的提起和处理须按《政府采购质疑和投诉办法》（中华人民共和国财政部令第94号）相关规定执行。</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2.质疑的提出</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2.1提出质疑的供应商应当是参与所质疑项目采购活动的供应商。</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2.4供应商提出质疑应当提交质疑函和必要的证明材料。质疑函应当包括下列内容：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（1）供应商的姓名或者名称、地址、邮编、联系人及联系电话；</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（2）质疑项目的名称、编号；</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（3）具体、明确的质疑事项和与质疑事项相关的请求；</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（4）事实依据；</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（5）必要的法律依据；</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（6）提出质疑的日期。</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2.5供应商为自然人的，质疑函应当由本人签字；供应商为法人或者其他组织的，应当由法定代表人、主要负责人，或者其授权代表签字或者盖章，并加盖公章。质疑函须原件递交。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color w:val="000000"/>
          <w:sz w:val="24"/>
          <w:szCs w:val="24"/>
        </w:rPr>
        <w:t xml:space="preserve">3.</w:t>
      </w:r>
      <w:r>
        <w:rPr>
          <w:rFonts w:hint="eastAsia" w:ascii="宋体" w:hAnsi="宋体" w:cs="宋体"/>
          <w:bCs/>
          <w:sz w:val="24"/>
          <w:szCs w:val="24"/>
        </w:rPr>
        <w:t xml:space="preserve">质疑的受理与答复</w:t>
      </w:r>
      <w:r/>
    </w:p>
    <w:p>
      <w:pPr>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3.1采购人负责供应商质疑答复。</w:t>
      </w:r>
      <w:r/>
    </w:p>
    <w:p>
      <w:pPr>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3.2质疑函由采购代理机构办理签收手续。</w:t>
      </w:r>
      <w:r/>
    </w:p>
    <w:p>
      <w:pPr>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3.3质疑函接收单位信息：</w:t>
      </w:r>
      <w:r/>
    </w:p>
    <w:p>
      <w:pPr>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接收单位：无锡太湖明珠建设咨询有限公司</w:t>
      </w:r>
      <w:r/>
    </w:p>
    <w:p>
      <w:pPr>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地址：无锡市滨湖区绣溪路59-16号</w:t>
      </w:r>
      <w:r/>
    </w:p>
    <w:p>
      <w:pPr>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邮编：214000</w:t>
      </w:r>
      <w:r/>
    </w:p>
    <w:p>
      <w:pPr>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联系人：张志伟、邓晓娜、王轶男</w:t>
      </w:r>
      <w:r/>
    </w:p>
    <w:p>
      <w:pPr>
        <w:ind w:firstLine="480"/>
        <w:spacing w:line="360" w:lineRule="auto"/>
        <w:tabs>
          <w:tab w:val="left" w:pos="0" w:leader="none"/>
          <w:tab w:val="left" w:pos="945" w:leader="none"/>
        </w:tabs>
        <w:rPr>
          <w:rFonts w:ascii="宋体" w:hAnsi="宋体" w:cs="宋体"/>
          <w:bCs/>
          <w:sz w:val="24"/>
          <w:szCs w:val="24"/>
        </w:rPr>
      </w:pPr>
      <w:r>
        <w:rPr>
          <w:rFonts w:hint="eastAsia" w:ascii="宋体" w:hAnsi="宋体" w:cs="宋体"/>
          <w:bCs/>
          <w:sz w:val="24"/>
          <w:szCs w:val="24"/>
        </w:rPr>
        <w:t xml:space="preserve">电话：0510-85166966</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sz w:val="24"/>
          <w:szCs w:val="24"/>
        </w:rPr>
        <w:t xml:space="preserve">3.4采购人应当在收到质疑函后7</w:t>
      </w:r>
      <w:r>
        <w:rPr>
          <w:rFonts w:hint="eastAsia" w:ascii="宋体" w:hAnsi="宋体" w:cs="宋体"/>
          <w:bCs/>
          <w:color w:val="000000"/>
          <w:sz w:val="24"/>
          <w:szCs w:val="24"/>
        </w:rPr>
        <w:t xml:space="preserve">个工作日内作出答复，并以书面形式通知质疑供应商和其他有关供应商。</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3.5采购人处理的其他要求按照《政府采购质疑和投诉办法》（中华人民共和国财政部令第94号）相关规定执行。</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4.投诉的提起</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4.1质疑供应商对采购人的答复不满意，或者采购人未在规定时间内作出答复的，可以在答复期满后15个工作日内向采购人所属预算级次的财政部门提起投诉。</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4.2供应商投诉时，应当提交投诉书和必要的证明材料，并按照被投诉采购人（以下简称被投诉人）和与投诉事项有关的供应商数量提供投诉书的副本。投诉书应当包括下列内容：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（1）投诉人和被投诉人的姓名或者名称、通讯地址、邮编、联系人及联系电话；</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（2）质疑和质疑答复情况说明及相关证明材料；</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（3）具体、明确的投诉事项和与投诉事项相关的投诉请求；</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（4）事实依据；</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（5）法律依据；</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（6）提起投诉的日期。</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4.3投诉人为自然人的，投诉书应当由本人签字；投诉人为法人或者其他组织的，投诉书应当由法定代表人、主要负责人，或者其授权代表签字或者盖章，并加盖公章。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4.4投诉人提起投诉应当符合下列条件：</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（1）提起投诉前已依法进行质疑；</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（2）投诉书内容符合本办法的规定；</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（3）在投诉有效期限内提起投诉；</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（4）同一投诉事项未经财政部门投诉处理；</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（5）财政部规定的其他条件。</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4.5供应商投诉的事项不得超出已质疑事项的范围，但基于质疑答复内容提出的投诉事项除外。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5.由采购人所属预算级次的财政部门根据《政府采购质疑和投诉办法》（中华人民共和国财政部令第94号）相关规定进行投诉处理。</w:t>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（六）投标文件的组成（相应内容上传至投标客户端）</w:t>
      </w:r>
      <w:r/>
    </w:p>
    <w:p>
      <w:pPr>
        <w:ind w:firstLine="480"/>
        <w:spacing w:line="360" w:lineRule="auto"/>
        <w:tabs>
          <w:tab w:val="left" w:pos="0" w:leader="none"/>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投标文件分为明标商务标和暗标技术标两部分</w:t>
      </w:r>
      <w:r/>
    </w:p>
    <w:p>
      <w:pPr>
        <w:ind w:firstLine="480"/>
        <w:spacing w:line="360" w:lineRule="auto"/>
        <w:tabs>
          <w:tab w:val="left" w:pos="0" w:leader="none"/>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第一部分：明标商务标部分</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1.投标函</w:t>
      </w:r>
      <w:r>
        <w:rPr>
          <w:rFonts w:hint="eastAsia" w:ascii="宋体" w:hAnsi="宋体" w:cs="宋体"/>
          <w:b/>
          <w:color w:val="000000"/>
          <w:sz w:val="24"/>
          <w:szCs w:val="24"/>
        </w:rPr>
        <w:t xml:space="preserve">（格式见附件）；</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2.资格、资信证明文件</w:t>
      </w:r>
      <w:r>
        <w:rPr>
          <w:rFonts w:hint="eastAsia" w:ascii="宋体" w:hAnsi="宋体" w:cs="宋体"/>
          <w:b/>
          <w:color w:val="000000"/>
          <w:sz w:val="24"/>
          <w:szCs w:val="24"/>
        </w:rPr>
        <w:t xml:space="preserve">（扫描后上传，身份证应为正、反面）；</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（1）关于资格的声明函</w:t>
      </w:r>
      <w:r>
        <w:rPr>
          <w:rFonts w:hint="eastAsia" w:ascii="宋体" w:hAnsi="宋体" w:cs="宋体"/>
          <w:b/>
          <w:color w:val="000000"/>
          <w:sz w:val="24"/>
          <w:szCs w:val="24"/>
        </w:rPr>
        <w:t xml:space="preserve">（格式见附件）；</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（2）具有独立承担民事责任能力的投标供应商营业执照或相关部门的登记证明文件原件扫描件并加盖公章或签电子公章</w:t>
      </w:r>
      <w:r>
        <w:rPr>
          <w:rFonts w:hint="eastAsia" w:ascii="宋体" w:hAnsi="宋体" w:cs="宋体"/>
          <w:b/>
          <w:color w:val="000000"/>
          <w:sz w:val="24"/>
          <w:szCs w:val="24"/>
        </w:rPr>
        <w:t xml:space="preserve">；</w:t>
      </w:r>
      <w:r/>
    </w:p>
    <w:p>
      <w:pPr>
        <w:ind w:firstLine="480"/>
        <w:spacing w:line="360" w:lineRule="auto"/>
        <w:tabs>
          <w:tab w:val="left" w:pos="0"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（3）投标供应商法定代表人授权委托书</w:t>
      </w: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格式见附件，法定代表人亲自参加投标的除外</w:t>
      </w:r>
      <w:r>
        <w:rPr>
          <w:rFonts w:hint="eastAsia" w:ascii="宋体" w:hAnsi="宋体" w:cs="宋体"/>
          <w:color w:val="000000"/>
          <w:sz w:val="24"/>
          <w:szCs w:val="24"/>
        </w:rPr>
        <w:t xml:space="preserve">）；</w:t>
      </w:r>
      <w:r/>
    </w:p>
    <w:p>
      <w:pPr>
        <w:numPr>
          <w:ilvl w:val="1"/>
          <w:numId w:val="0"/>
        </w:numPr>
        <w:ind w:firstLine="523"/>
        <w:spacing w:line="360" w:lineRule="auto"/>
        <w:tabs>
          <w:tab w:val="left" w:pos="945" w:leader="none"/>
          <w:tab w:val="left" w:pos="1276" w:leader="none"/>
        </w:tabs>
        <w:rPr>
          <w:rFonts w:ascii="宋体" w:hAnsi="宋体" w:cs="宋体"/>
          <w:bCs/>
          <w:sz w:val="24"/>
          <w:szCs w:val="24"/>
        </w:rPr>
      </w:pPr>
      <w:r>
        <w:rPr>
          <w:rFonts w:hint="eastAsia" w:ascii="宋体" w:hAnsi="宋体"/>
          <w:bCs/>
          <w:color w:val="000000"/>
          <w:sz w:val="24"/>
          <w:szCs w:val="24"/>
        </w:rPr>
        <w:t xml:space="preserve">（4）</w:t>
      </w:r>
      <w:r>
        <w:rPr>
          <w:rFonts w:hint="eastAsia" w:ascii="宋体" w:hAnsi="宋体" w:cs="宋体"/>
          <w:bCs/>
          <w:color w:val="000000"/>
          <w:sz w:val="24"/>
          <w:szCs w:val="24"/>
        </w:rPr>
        <w:t xml:space="preserve">投标供应商法定代表人身份证原件扫描件（正、反面）并加盖公章或签电子公章；</w:t>
      </w:r>
      <w:r/>
    </w:p>
    <w:p>
      <w:pPr>
        <w:numPr>
          <w:ilvl w:val="1"/>
          <w:numId w:val="0"/>
        </w:numPr>
        <w:ind w:firstLine="523"/>
        <w:spacing w:line="360" w:lineRule="auto"/>
        <w:tabs>
          <w:tab w:val="left" w:pos="945" w:leader="none"/>
          <w:tab w:val="left" w:pos="1276" w:leader="none"/>
        </w:tabs>
        <w:rPr>
          <w:rFonts w:ascii="宋体" w:hAnsi="宋体" w:cs="宋体"/>
          <w:bCs/>
          <w:sz w:val="24"/>
          <w:szCs w:val="24"/>
        </w:rPr>
      </w:pPr>
      <w:r>
        <w:rPr>
          <w:rFonts w:hint="eastAsia" w:ascii="宋体" w:hAnsi="宋体"/>
          <w:bCs/>
          <w:sz w:val="24"/>
          <w:szCs w:val="24"/>
        </w:rPr>
        <w:t xml:space="preserve">（5）</w:t>
      </w:r>
      <w:r>
        <w:rPr>
          <w:rFonts w:hint="eastAsia" w:ascii="宋体" w:hAnsi="宋体" w:cs="宋体"/>
          <w:bCs/>
          <w:sz w:val="24"/>
          <w:szCs w:val="24"/>
        </w:rPr>
        <w:t xml:space="preserve">投标供应商法定代表人授权代表身份证原件扫描件（正、反面）并加盖公章或签电子公章（</w:t>
      </w:r>
      <w:r>
        <w:rPr>
          <w:rFonts w:hint="eastAsia" w:ascii="宋体" w:hAnsi="宋体" w:cs="宋体"/>
          <w:b/>
          <w:bCs/>
          <w:sz w:val="24"/>
          <w:szCs w:val="24"/>
        </w:rPr>
        <w:t xml:space="preserve">法定代表人亲自参加投标的除外</w:t>
      </w:r>
      <w:r>
        <w:rPr>
          <w:rFonts w:hint="eastAsia" w:ascii="宋体" w:hAnsi="宋体" w:cs="宋体"/>
          <w:bCs/>
          <w:sz w:val="24"/>
          <w:szCs w:val="24"/>
        </w:rPr>
        <w:t xml:space="preserve">）</w:t>
      </w:r>
      <w:r>
        <w:rPr>
          <w:rFonts w:hint="eastAsia" w:ascii="宋体" w:hAnsi="宋体" w:cs="宋体"/>
          <w:sz w:val="24"/>
          <w:szCs w:val="24"/>
        </w:rPr>
        <w:t xml:space="preserve">；</w:t>
      </w:r>
      <w:r/>
    </w:p>
    <w:p>
      <w:pPr>
        <w:numPr>
          <w:ilvl w:val="1"/>
          <w:numId w:val="0"/>
        </w:numPr>
        <w:ind w:firstLine="523"/>
        <w:spacing w:line="360" w:lineRule="auto"/>
        <w:tabs>
          <w:tab w:val="left" w:pos="945" w:leader="none"/>
          <w:tab w:val="left" w:pos="1276" w:leader="none"/>
        </w:tabs>
        <w:rPr>
          <w:rFonts w:ascii="宋体" w:hAnsi="宋体" w:cs="宋体"/>
          <w:bCs/>
          <w:sz w:val="24"/>
          <w:szCs w:val="24"/>
        </w:rPr>
      </w:pPr>
      <w:r>
        <w:rPr>
          <w:rFonts w:hint="eastAsia" w:ascii="宋体" w:hAnsi="宋体"/>
          <w:bCs/>
          <w:sz w:val="24"/>
          <w:szCs w:val="24"/>
        </w:rPr>
        <w:t xml:space="preserve">（6）</w:t>
      </w:r>
      <w:r>
        <w:rPr>
          <w:rFonts w:hint="eastAsia" w:ascii="宋体" w:hAnsi="宋体" w:cs="宋体"/>
          <w:bCs/>
          <w:sz w:val="24"/>
          <w:szCs w:val="24"/>
        </w:rPr>
        <w:t xml:space="preserve">投标供应商近三个月中任意一个月份（不含投标当月）为其法定代表人授权代表、项目负责人缴纳社保的证明原件扫描件并加盖公章或签电子公章（</w:t>
      </w:r>
      <w:r>
        <w:rPr>
          <w:rFonts w:hint="eastAsia" w:ascii="宋体" w:hAnsi="宋体" w:cs="宋体"/>
          <w:b/>
          <w:bCs/>
          <w:sz w:val="24"/>
          <w:szCs w:val="24"/>
        </w:rPr>
        <w:t xml:space="preserve">由相关主管部门出具，法定代表人亲自参加投标的除外</w:t>
      </w:r>
      <w:r>
        <w:rPr>
          <w:rFonts w:hint="eastAsia" w:ascii="宋体" w:hAnsi="宋体" w:cs="宋体"/>
          <w:bCs/>
          <w:sz w:val="24"/>
          <w:szCs w:val="24"/>
        </w:rPr>
        <w:t xml:space="preserve">）；</w:t>
      </w:r>
      <w:r/>
    </w:p>
    <w:p>
      <w:pPr>
        <w:numPr>
          <w:ilvl w:val="1"/>
          <w:numId w:val="0"/>
        </w:numPr>
        <w:ind w:firstLine="523"/>
        <w:spacing w:line="360" w:lineRule="auto"/>
        <w:tabs>
          <w:tab w:val="left" w:pos="945" w:leader="none"/>
          <w:tab w:val="left" w:pos="1276" w:leader="none"/>
        </w:tabs>
        <w:rPr>
          <w:rFonts w:ascii="宋体" w:hAnsi="宋体" w:cs="宋体"/>
          <w:bCs/>
          <w:sz w:val="24"/>
          <w:szCs w:val="24"/>
        </w:rPr>
      </w:pPr>
      <w:r>
        <w:rPr>
          <w:rFonts w:hint="eastAsia" w:ascii="宋体" w:hAnsi="宋体"/>
          <w:bCs/>
          <w:sz w:val="24"/>
          <w:szCs w:val="24"/>
        </w:rPr>
        <w:t xml:space="preserve">（7）</w:t>
      </w:r>
      <w:r>
        <w:rPr>
          <w:rFonts w:hint="eastAsia" w:ascii="宋体" w:hAnsi="宋体" w:cs="宋体"/>
          <w:bCs/>
          <w:sz w:val="24"/>
          <w:szCs w:val="24"/>
        </w:rPr>
        <w:t xml:space="preserve">投标供应商近三个月中任意一个月份（不含投标当月）的财务状况报告（资产负债表和利润表）或由会计师事务所出具的2025年度的审计报告和所附已审财务报告原件扫描件并加盖公章或签电子公章；</w:t>
      </w:r>
      <w:r/>
    </w:p>
    <w:p>
      <w:pPr>
        <w:numPr>
          <w:ilvl w:val="1"/>
          <w:numId w:val="0"/>
        </w:numPr>
        <w:ind w:firstLine="523"/>
        <w:spacing w:line="360" w:lineRule="auto"/>
        <w:tabs>
          <w:tab w:val="left" w:pos="945" w:leader="none"/>
          <w:tab w:val="left" w:pos="1276" w:leader="none"/>
        </w:tabs>
        <w:rPr>
          <w:rFonts w:ascii="宋体" w:hAnsi="宋体" w:cs="宋体"/>
          <w:bCs/>
          <w:sz w:val="24"/>
          <w:szCs w:val="24"/>
        </w:rPr>
      </w:pPr>
      <w:r>
        <w:rPr>
          <w:rFonts w:hint="eastAsia" w:ascii="宋体" w:hAnsi="宋体"/>
          <w:bCs/>
          <w:sz w:val="24"/>
          <w:szCs w:val="24"/>
        </w:rPr>
        <w:t xml:space="preserve">（8）</w:t>
      </w:r>
      <w:r>
        <w:rPr>
          <w:rFonts w:hint="eastAsia" w:ascii="宋体" w:hAnsi="宋体" w:cs="宋体"/>
          <w:bCs/>
          <w:sz w:val="24"/>
          <w:szCs w:val="24"/>
        </w:rPr>
        <w:t xml:space="preserve">投标供应商近三个月中任意一个月份（不含投标当月）的依法缴纳税收的相关材料原件扫描件并加盖公章或签电子公章（提供相关主管部门证明或银行代扣证明）；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cs="宋体"/>
          <w:bCs/>
          <w:sz w:val="24"/>
          <w:szCs w:val="24"/>
        </w:rPr>
      </w:pPr>
      <w:r>
        <w:rPr>
          <w:rFonts w:hint="eastAsia" w:ascii="宋体" w:hAnsi="宋体"/>
          <w:bCs/>
          <w:sz w:val="24"/>
          <w:szCs w:val="24"/>
        </w:rPr>
        <w:t xml:space="preserve">（9）</w:t>
      </w:r>
      <w:r>
        <w:rPr>
          <w:rFonts w:hint="eastAsia" w:ascii="宋体" w:hAnsi="宋体" w:cs="宋体"/>
          <w:bCs/>
          <w:sz w:val="24"/>
          <w:szCs w:val="24"/>
        </w:rPr>
        <w:t xml:space="preserve">投标供应商近三个月中任意一个月份（不含投标当月）的依法缴纳社会保障资金的相关材料原件扫描件并加盖公章或签电子公章（提供相关主管部门证明或银行代扣证明）；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cs="宋体"/>
          <w:bCs/>
          <w:sz w:val="24"/>
          <w:szCs w:val="24"/>
        </w:rPr>
      </w:pPr>
      <w:r>
        <w:rPr>
          <w:rFonts w:hint="eastAsia" w:ascii="宋体" w:hAnsi="宋体" w:cs="宋体"/>
          <w:bCs/>
          <w:sz w:val="24"/>
          <w:szCs w:val="24"/>
        </w:rPr>
        <w:t xml:space="preserve">（10）</w:t>
      </w:r>
      <w:r>
        <w:rPr>
          <w:rFonts w:hint="eastAsia" w:ascii="宋体" w:hAnsi="宋体" w:cs="宋体"/>
          <w:bCs/>
          <w:color w:val="000000"/>
          <w:sz w:val="24"/>
          <w:szCs w:val="24"/>
        </w:rPr>
        <w:t xml:space="preserve">供应商未被列入“信用中国”网站（</w:t>
      </w:r>
      <w:r>
        <w:fldChar w:fldCharType="begin"/>
      </w:r>
      <w:r>
        <w:instrText xml:space="preserve">HYPERLINK "http://www.creditchina.gov.cn"</w:instrText>
      </w:r>
      <w:r>
        <w:fldChar w:fldCharType="separate"/>
      </w:r>
      <w:r>
        <w:rPr>
          <w:rFonts w:hint="eastAsia" w:ascii="宋体" w:hAnsi="宋体" w:cs="宋体"/>
          <w:bCs/>
          <w:color w:val="000000"/>
          <w:sz w:val="24"/>
          <w:szCs w:val="24"/>
        </w:rPr>
        <w:t xml:space="preserve">www.creditchina.gov.cn</w:t>
      </w:r>
      <w:r>
        <w:fldChar w:fldCharType="end"/>
      </w:r>
      <w:r>
        <w:rPr>
          <w:rFonts w:hint="eastAsia" w:ascii="宋体" w:hAnsi="宋体" w:cs="宋体"/>
          <w:bCs/>
          <w:color w:val="000000"/>
          <w:sz w:val="24"/>
          <w:szCs w:val="24"/>
        </w:rPr>
        <w:t xml:space="preserve">）、中国政府采购网（www.ccgp.gov.cn）查询投标供应商在投标截止时间之前，是否被列入失信被执行人、重大税收违法案件当事人名单、政府采购严重违法失信行为记录名单；</w:t>
      </w:r>
      <w:r/>
    </w:p>
    <w:p>
      <w:pPr>
        <w:numPr>
          <w:ilvl w:val="1"/>
          <w:numId w:val="0"/>
        </w:numPr>
        <w:ind w:firstLine="523"/>
        <w:spacing w:line="360" w:lineRule="auto"/>
        <w:tabs>
          <w:tab w:val="left" w:pos="945" w:leader="none"/>
          <w:tab w:val="left" w:pos="1276" w:leader="none"/>
        </w:tabs>
        <w:rPr>
          <w:rFonts w:ascii="宋体" w:hAnsi="宋体" w:cs="宋体"/>
          <w:bCs/>
          <w:color w:val="000000"/>
          <w:sz w:val="24"/>
          <w:szCs w:val="24"/>
        </w:rPr>
      </w:pPr>
      <w:r>
        <w:rPr>
          <w:rFonts w:hint="eastAsia" w:ascii="宋体" w:hAnsi="宋体"/>
          <w:bCs/>
          <w:color w:val="000000"/>
          <w:sz w:val="24"/>
          <w:szCs w:val="24"/>
        </w:rPr>
        <w:t xml:space="preserve">（11）</w:t>
      </w:r>
      <w:r>
        <w:rPr>
          <w:rFonts w:hint="eastAsia" w:ascii="宋体" w:hAnsi="宋体" w:cs="宋体"/>
          <w:bCs/>
          <w:color w:val="000000"/>
          <w:sz w:val="24"/>
          <w:szCs w:val="24"/>
        </w:rPr>
        <w:t xml:space="preserve">采购人要求的特定资质证明扫描件（</w:t>
      </w:r>
      <w:r>
        <w:rPr>
          <w:rFonts w:hint="eastAsia" w:ascii="宋体" w:hAnsi="宋体" w:cs="宋体"/>
          <w:b/>
          <w:bCs/>
          <w:color w:val="000000"/>
          <w:sz w:val="24"/>
          <w:szCs w:val="24"/>
        </w:rPr>
        <w:t xml:space="preserve">详见“投标邀请函”-“投标供应商资格要求”之4中要求）</w:t>
      </w:r>
      <w:r>
        <w:rPr>
          <w:rFonts w:hint="eastAsia" w:ascii="宋体" w:hAnsi="宋体" w:cs="宋体"/>
          <w:bCs/>
          <w:color w:val="000000"/>
          <w:sz w:val="24"/>
          <w:szCs w:val="24"/>
        </w:rPr>
        <w:t xml:space="preserve">。</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color w:val="000000"/>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3.开标一览表（</w:t>
      </w:r>
      <w:r>
        <w:rPr>
          <w:rFonts w:hint="eastAsia" w:ascii="宋体" w:hAnsi="宋体" w:cs="宋体"/>
          <w:b/>
          <w:color w:val="000000"/>
          <w:sz w:val="24"/>
          <w:szCs w:val="24"/>
        </w:rPr>
        <w:t xml:space="preserve">格式见附件</w:t>
      </w:r>
      <w:r>
        <w:rPr>
          <w:rFonts w:hint="eastAsia" w:ascii="宋体" w:hAnsi="宋体" w:cs="宋体"/>
          <w:bCs/>
          <w:color w:val="000000"/>
          <w:sz w:val="24"/>
          <w:szCs w:val="24"/>
        </w:rPr>
        <w:t xml:space="preserve">）</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4.报价明细表（</w:t>
      </w:r>
      <w:r>
        <w:rPr>
          <w:rFonts w:hint="eastAsia" w:ascii="宋体" w:hAnsi="宋体" w:cs="宋体"/>
          <w:b/>
          <w:color w:val="000000"/>
          <w:sz w:val="24"/>
          <w:szCs w:val="24"/>
        </w:rPr>
        <w:t xml:space="preserve">格式见附件</w:t>
      </w:r>
      <w:r>
        <w:rPr>
          <w:rFonts w:hint="eastAsia" w:ascii="宋体" w:hAnsi="宋体" w:cs="宋体"/>
          <w:bCs/>
          <w:color w:val="000000"/>
          <w:sz w:val="24"/>
          <w:szCs w:val="24"/>
        </w:rPr>
        <w:t xml:space="preserve">）</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5.投标偏离表（</w:t>
      </w:r>
      <w:r>
        <w:rPr>
          <w:rFonts w:hint="eastAsia" w:ascii="宋体" w:hAnsi="宋体" w:cs="宋体"/>
          <w:b/>
          <w:color w:val="000000"/>
          <w:sz w:val="24"/>
          <w:szCs w:val="24"/>
        </w:rPr>
        <w:t xml:space="preserve">格式见附件</w:t>
      </w:r>
      <w:r>
        <w:rPr>
          <w:rFonts w:hint="eastAsia" w:ascii="宋体" w:hAnsi="宋体" w:cs="宋体"/>
          <w:bCs/>
          <w:color w:val="000000"/>
          <w:sz w:val="24"/>
          <w:szCs w:val="24"/>
        </w:rPr>
        <w:t xml:space="preserve">）</w:t>
      </w:r>
      <w:r/>
    </w:p>
    <w:p>
      <w:pPr>
        <w:ind w:firstLine="480"/>
        <w:spacing w:line="360" w:lineRule="auto"/>
        <w:rPr>
          <w:rFonts w:ascii="宋体" w:hAnsi="宋体" w:cs="宋体"/>
          <w:b/>
          <w:sz w:val="24"/>
          <w:szCs w:val="24"/>
        </w:rPr>
      </w:pPr>
      <w:r>
        <w:rPr>
          <w:rFonts w:hint="eastAsia" w:ascii="宋体" w:hAnsi="宋体" w:cs="宋体"/>
          <w:bCs/>
          <w:sz w:val="24"/>
          <w:szCs w:val="24"/>
        </w:rPr>
        <w:t xml:space="preserve">6.承诺书一、二、三、四、五</w:t>
      </w:r>
      <w:r>
        <w:rPr>
          <w:rFonts w:hint="eastAsia" w:ascii="宋体" w:hAnsi="宋体" w:cs="宋体"/>
          <w:b/>
          <w:sz w:val="24"/>
          <w:szCs w:val="24"/>
        </w:rPr>
        <w:t xml:space="preserve">（格式见附件）</w:t>
      </w:r>
      <w:r/>
    </w:p>
    <w:p>
      <w:pPr>
        <w:ind w:firstLine="482"/>
        <w:spacing w:line="360" w:lineRule="auto"/>
        <w:rPr>
          <w:rFonts w:ascii="宋体" w:hAnsi="宋体" w:cs="宋体"/>
          <w:bCs/>
          <w:sz w:val="24"/>
          <w:szCs w:val="24"/>
        </w:rPr>
      </w:pPr>
      <w:r>
        <w:rPr>
          <w:rFonts w:hint="eastAsia" w:ascii="宋体" w:hAnsi="宋体" w:cs="宋体"/>
          <w:bCs/>
          <w:sz w:val="24"/>
          <w:szCs w:val="24"/>
        </w:rPr>
        <w:t xml:space="preserve">7.人员配备表（</w:t>
      </w:r>
      <w:r>
        <w:rPr>
          <w:rFonts w:hint="eastAsia" w:ascii="宋体" w:hAnsi="宋体" w:cs="宋体"/>
          <w:b/>
          <w:sz w:val="24"/>
          <w:szCs w:val="24"/>
        </w:rPr>
        <w:t xml:space="preserve">格式见附件</w:t>
      </w:r>
      <w:r>
        <w:rPr>
          <w:rFonts w:hint="eastAsia" w:ascii="宋体" w:hAnsi="宋体" w:cs="宋体"/>
          <w:bCs/>
          <w:sz w:val="24"/>
          <w:szCs w:val="24"/>
        </w:rPr>
        <w:t xml:space="preserve">）</w:t>
      </w:r>
      <w:r/>
    </w:p>
    <w:p>
      <w:pPr>
        <w:ind w:firstLine="482"/>
        <w:spacing w:line="360" w:lineRule="auto"/>
        <w:rPr>
          <w:rFonts w:ascii="宋体" w:hAnsi="宋体" w:cs="宋体"/>
          <w:bCs/>
          <w:sz w:val="24"/>
          <w:szCs w:val="24"/>
        </w:rPr>
      </w:pPr>
      <w:r>
        <w:rPr>
          <w:rFonts w:hint="eastAsia" w:ascii="宋体" w:hAnsi="宋体" w:cs="宋体"/>
          <w:bCs/>
          <w:sz w:val="24"/>
          <w:szCs w:val="24"/>
        </w:rPr>
        <w:t xml:space="preserve">8.拟投入的机械设备表（</w:t>
      </w:r>
      <w:r>
        <w:rPr>
          <w:rFonts w:hint="eastAsia" w:ascii="宋体" w:hAnsi="宋体" w:cs="宋体"/>
          <w:b/>
          <w:sz w:val="24"/>
          <w:szCs w:val="24"/>
        </w:rPr>
        <w:t xml:space="preserve">格式见附件</w:t>
      </w:r>
      <w:r>
        <w:rPr>
          <w:rFonts w:hint="eastAsia" w:ascii="宋体" w:hAnsi="宋体" w:cs="宋体"/>
          <w:bCs/>
          <w:sz w:val="24"/>
          <w:szCs w:val="24"/>
        </w:rPr>
        <w:t xml:space="preserve">）</w:t>
      </w:r>
      <w:r/>
    </w:p>
    <w:p>
      <w:pPr>
        <w:ind w:firstLine="482"/>
        <w:spacing w:line="360" w:lineRule="auto"/>
        <w:rPr>
          <w:rFonts w:ascii="宋体" w:hAnsi="宋体" w:cs="宋体"/>
          <w:b/>
          <w:sz w:val="24"/>
          <w:szCs w:val="24"/>
        </w:rPr>
      </w:pPr>
      <w:r>
        <w:rPr>
          <w:rFonts w:hint="eastAsia" w:ascii="宋体" w:hAnsi="宋体" w:cs="宋体"/>
          <w:bCs/>
          <w:sz w:val="24"/>
          <w:szCs w:val="24"/>
        </w:rPr>
        <w:t xml:space="preserve">9.企业类似业绩一览表</w:t>
      </w:r>
      <w:r>
        <w:rPr>
          <w:rFonts w:hint="eastAsia" w:ascii="宋体" w:hAnsi="宋体" w:cs="宋体"/>
          <w:b/>
          <w:sz w:val="24"/>
          <w:szCs w:val="24"/>
        </w:rPr>
        <w:t xml:space="preserve">（格式见附件）</w:t>
      </w:r>
      <w:r/>
    </w:p>
    <w:p>
      <w:pPr>
        <w:ind w:firstLine="482"/>
        <w:spacing w:line="360" w:lineRule="auto"/>
        <w:rPr>
          <w:rFonts w:ascii="宋体" w:hAnsi="宋体" w:cs="宋体"/>
          <w:b/>
          <w:color w:val="000000"/>
          <w:sz w:val="24"/>
          <w:szCs w:val="24"/>
        </w:rPr>
      </w:pPr>
      <w:r>
        <w:rPr>
          <w:rFonts w:hint="eastAsia" w:ascii="宋体" w:hAnsi="宋体" w:cs="宋体"/>
          <w:bCs/>
          <w:color w:val="000000"/>
          <w:sz w:val="24"/>
          <w:szCs w:val="24"/>
        </w:rPr>
        <w:t xml:space="preserve">10.评分标准中对应的其他所需证明材料</w:t>
      </w:r>
      <w:r>
        <w:rPr>
          <w:rFonts w:hint="eastAsia" w:ascii="宋体" w:hAnsi="宋体" w:cs="宋体"/>
          <w:b/>
          <w:color w:val="000000"/>
          <w:sz w:val="24"/>
          <w:szCs w:val="24"/>
        </w:rPr>
        <w:t xml:space="preserve">（参照评分标准）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11.投标供应商</w:t>
      </w:r>
      <w:r>
        <w:rPr>
          <w:rFonts w:hint="eastAsia" w:ascii="宋体" w:hAnsi="宋体" w:cs="宋体"/>
          <w:b/>
          <w:color w:val="000000"/>
          <w:sz w:val="24"/>
          <w:szCs w:val="24"/>
        </w:rPr>
        <w:t xml:space="preserve">如为</w:t>
      </w:r>
      <w:r>
        <w:rPr>
          <w:rFonts w:hint="eastAsia" w:ascii="宋体" w:hAnsi="宋体" w:cs="宋体"/>
          <w:bCs/>
          <w:color w:val="000000"/>
          <w:sz w:val="24"/>
          <w:szCs w:val="24"/>
        </w:rPr>
        <w:t xml:space="preserve">中小微企业的，提供中小企业声明函（格式见附件）；投标供应商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12.要求采购人提供的配合</w:t>
      </w:r>
      <w:r>
        <w:rPr>
          <w:rFonts w:hint="eastAsia" w:ascii="宋体" w:hAnsi="宋体" w:cs="宋体"/>
          <w:b/>
          <w:color w:val="000000"/>
          <w:sz w:val="24"/>
          <w:szCs w:val="24"/>
        </w:rPr>
        <w:t xml:space="preserve">（如有自拟并自行添加）</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13.其他</w:t>
      </w:r>
      <w:r>
        <w:rPr>
          <w:rFonts w:hint="eastAsia" w:ascii="宋体" w:hAnsi="宋体" w:cs="宋体"/>
          <w:b/>
          <w:color w:val="000000"/>
          <w:sz w:val="24"/>
          <w:szCs w:val="24"/>
        </w:rPr>
        <w:t xml:space="preserve">（投标供应商认为有必要提供的声明和文件，如有自拟并自行添加）</w:t>
      </w:r>
      <w:r/>
    </w:p>
    <w:p>
      <w:pPr>
        <w:ind w:firstLine="480"/>
        <w:spacing w:line="360" w:lineRule="auto"/>
        <w:rPr>
          <w:rFonts w:ascii="宋体" w:hAnsi="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rPr>
        <w:t xml:space="preserve">上述（1）-（10）项投标供应商必须按要求全部提供，否则投标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w:t>
      </w:r>
      <w:r>
        <w:rPr>
          <w:rFonts w:ascii="宋体" w:hAnsi="宋体" w:cs="宋体"/>
          <w:color w:val="000000"/>
          <w:sz w:val="24"/>
        </w:rPr>
        <w:t xml:space="preserve">如因新成立确实无法提供的，可以不提供。</w:t>
      </w:r>
      <w:r>
        <w:rPr>
          <w:rFonts w:hint="eastAsia" w:ascii="宋体" w:hAnsi="宋体" w:cs="宋体"/>
          <w:bCs/>
          <w:color w:val="000000"/>
          <w:sz w:val="24"/>
          <w:szCs w:val="24"/>
        </w:rPr>
        <w:t xml:space="preserve">投标供应商法定代表人或法定代表人授权代表为外籍、港、澳、台地区人士的，其身份证明须提供有效的护照或港澳居民来往内地通行证、台湾居民来往大陆通行证，或其他可在中国大陆有效居留的许可证明。</w:t>
      </w:r>
      <w:r/>
    </w:p>
    <w:p>
      <w:pPr>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第二部分 暗标技术标部分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技术文件（</w:t>
      </w:r>
      <w:r>
        <w:rPr>
          <w:rFonts w:hint="eastAsia" w:ascii="宋体" w:hAnsi="宋体" w:cs="宋体"/>
          <w:b/>
          <w:color w:val="000000"/>
          <w:sz w:val="24"/>
          <w:szCs w:val="24"/>
        </w:rPr>
        <w:t xml:space="preserve">参照评分标准</w:t>
      </w:r>
      <w:r>
        <w:rPr>
          <w:rFonts w:hint="eastAsia" w:ascii="宋体" w:hAnsi="宋体" w:cs="宋体"/>
          <w:bCs/>
          <w:color w:val="000000"/>
          <w:sz w:val="24"/>
          <w:szCs w:val="24"/>
        </w:rPr>
        <w:t xml:space="preserve">）</w:t>
      </w:r>
      <w:r/>
    </w:p>
    <w:p>
      <w:pPr>
        <w:spacing w:line="360" w:lineRule="auto"/>
        <w:tabs>
          <w:tab w:val="left" w:pos="945" w:leader="none"/>
        </w:tabs>
        <w:rPr>
          <w:rFonts w:ascii="宋体" w:hAnsi="宋体" w:cs="宋体"/>
          <w:b/>
          <w:bCs/>
          <w:color w:val="000000"/>
          <w:sz w:val="24"/>
          <w:szCs w:val="24"/>
        </w:rPr>
      </w:pPr>
      <w:r>
        <w:rPr>
          <w:rFonts w:hint="eastAsia" w:ascii="宋体" w:hAnsi="宋体" w:cs="宋体"/>
          <w:b/>
          <w:bCs/>
          <w:color w:val="000000"/>
          <w:sz w:val="24"/>
          <w:szCs w:val="24"/>
        </w:rPr>
        <w:t xml:space="preserve">（七）投标报价说明及要求</w:t>
      </w:r>
      <w:r/>
    </w:p>
    <w:p>
      <w:pPr>
        <w:ind w:firstLine="480"/>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1.投标供应商应自行调查测算各种费用，投标报价为自主报价。投标文件只允许一个报价，采购人不接受任何有选择性的投标报价。投标报价一律以人民币为结算货币，结算单位</w:t>
      </w:r>
      <w:r>
        <w:rPr>
          <w:rFonts w:hint="eastAsia" w:ascii="宋体" w:hAnsi="宋体" w:cs="宋体"/>
          <w:sz w:val="24"/>
          <w:szCs w:val="24"/>
        </w:rPr>
        <w:t xml:space="preserve">为“元”。本项目合同履行期限为三年（以合同约定时间为准），投标时作业服务费按三年计算，各项费</w:t>
      </w:r>
      <w:r>
        <w:rPr>
          <w:rFonts w:hint="eastAsia" w:ascii="宋体" w:hAnsi="宋体" w:cs="宋体"/>
          <w:color w:val="000000"/>
          <w:sz w:val="24"/>
          <w:szCs w:val="24"/>
        </w:rPr>
        <w:t xml:space="preserve">用的报价均以三年为时间单位。投标费用由投标供应商自理。</w:t>
      </w:r>
      <w:r/>
    </w:p>
    <w:p>
      <w:pPr>
        <w:ind w:firstLine="480"/>
        <w:spacing w:line="360" w:lineRule="auto"/>
        <w:tabs>
          <w:tab w:val="left" w:pos="945" w:leader="none"/>
        </w:tabs>
        <w:rPr>
          <w:rFonts w:ascii="宋体" w:hAnsi="宋体" w:cs="宋体"/>
          <w:sz w:val="24"/>
          <w:szCs w:val="24"/>
        </w:rPr>
      </w:pPr>
      <w:r>
        <w:rPr>
          <w:rFonts w:hint="eastAsia" w:ascii="宋体" w:hAnsi="宋体" w:cs="宋体"/>
          <w:color w:val="000000"/>
          <w:sz w:val="24"/>
          <w:szCs w:val="24"/>
        </w:rPr>
        <w:t xml:space="preserve">2.投标供应商应分析分项报价构成的合理性，并根据采购文件提供的主要设施</w:t>
      </w:r>
      <w:r>
        <w:rPr>
          <w:rFonts w:hint="eastAsia" w:ascii="宋体" w:hAnsi="宋体" w:cs="宋体"/>
          <w:sz w:val="24"/>
          <w:szCs w:val="24"/>
        </w:rPr>
        <w:t xml:space="preserve">量清单及有关规定，结合市场因素进行报价。</w:t>
      </w:r>
      <w:r/>
    </w:p>
    <w:p>
      <w:pPr>
        <w:ind w:firstLine="480"/>
        <w:spacing w:line="360" w:lineRule="auto"/>
        <w:tabs>
          <w:tab w:val="left" w:pos="945" w:leader="none"/>
        </w:tabs>
        <w:rPr>
          <w:rFonts w:ascii="宋体" w:hAnsi="宋体" w:cs="宋体"/>
          <w:sz w:val="24"/>
          <w:szCs w:val="24"/>
        </w:rPr>
      </w:pPr>
      <w:r>
        <w:rPr>
          <w:rFonts w:hint="eastAsia" w:ascii="宋体" w:hAnsi="宋体" w:cs="宋体"/>
          <w:sz w:val="24"/>
          <w:szCs w:val="24"/>
        </w:rPr>
        <w:t xml:space="preserve">3.本项目爱心早餐费用为不可竞争费，投标供应商投标时不得更改此部分费用，否则按无效投标文件处理。</w:t>
      </w:r>
      <w:r/>
    </w:p>
    <w:p>
      <w:pPr>
        <w:ind w:firstLine="480"/>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Arial"/>
          <w:sz w:val="24"/>
        </w:rPr>
        <w:t xml:space="preserve">化粪池粪便运输量为暂估量，最终按实结算</w:t>
      </w:r>
      <w:r>
        <w:rPr>
          <w:rFonts w:hint="eastAsia" w:ascii="宋体" w:hAnsi="宋体" w:cs="宋体"/>
          <w:color w:val="000000"/>
          <w:sz w:val="24"/>
          <w:szCs w:val="24"/>
        </w:rPr>
        <w:t xml:space="preserve">。</w:t>
      </w:r>
      <w:r/>
    </w:p>
    <w:p>
      <w:pPr>
        <w:ind w:firstLine="480"/>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5.已包含在投标报价中的费用（结算时不作调整）</w:t>
      </w:r>
      <w:r/>
    </w:p>
    <w:p>
      <w:pPr>
        <w:ind w:firstLine="480"/>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（1）由于工程施工、各类活动、节假日期间等因素导致的费用，不论这些因素是可预测的还是不可预测的，均已包含在投标报价中，除采购人要求外不作调整。</w:t>
      </w:r>
      <w:r/>
    </w:p>
    <w:p>
      <w:pPr>
        <w:ind w:firstLine="480"/>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2）因突发情况（如台风、雨雪、冰雹、霜或冻等天气或气候因素，或车辆、居民或行人等人为因素，或是其他因素，以及复合因素或不明原因的情况）导致的道路污染必须及时清除，不论这些因素是可预测的还是不可预测的，均已包含在投标报价中，除采购人要求外不作调整。</w:t>
      </w:r>
      <w:r/>
    </w:p>
    <w:p>
      <w:pPr>
        <w:ind w:firstLine="480"/>
        <w:spacing w:line="360" w:lineRule="auto"/>
        <w:tabs>
          <w:tab w:val="left" w:pos="945" w:leader="none"/>
        </w:tabs>
        <w:rPr>
          <w:rFonts w:ascii="宋体" w:hAnsi="宋体" w:cs="宋体"/>
          <w:sz w:val="24"/>
          <w:szCs w:val="24"/>
        </w:rPr>
      </w:pPr>
      <w:r>
        <w:rPr>
          <w:rFonts w:hint="eastAsia" w:ascii="宋体" w:hAnsi="宋体" w:cs="宋体"/>
          <w:sz w:val="24"/>
          <w:szCs w:val="24"/>
        </w:rPr>
        <w:t xml:space="preserve">（3）所有道路上的果壳箱根据采购人年度计划（统一颜色、统一标志、统一编号）进行更换，更换费用已包含在本项目的投标报价中，结算时不作调整。</w:t>
      </w:r>
      <w:r/>
    </w:p>
    <w:p>
      <w:pPr>
        <w:ind w:firstLine="480"/>
        <w:spacing w:line="360" w:lineRule="auto"/>
        <w:tabs>
          <w:tab w:val="left" w:pos="945" w:leader="none"/>
        </w:tabs>
        <w:rPr>
          <w:rFonts w:ascii="宋体" w:hAnsi="宋体" w:cs="宋体"/>
          <w:sz w:val="24"/>
          <w:szCs w:val="24"/>
        </w:rPr>
      </w:pPr>
      <w:r>
        <w:rPr>
          <w:rFonts w:hint="eastAsia" w:ascii="宋体" w:hAnsi="宋体" w:cs="宋体"/>
          <w:sz w:val="24"/>
          <w:szCs w:val="24"/>
        </w:rPr>
        <w:t xml:space="preserve">（4）有害垃圾的收集、暂存、运输、处置等全部费用由中标供应商自行承担，已包含在投标总价中，采购人不另行支付。</w:t>
      </w:r>
      <w:r/>
    </w:p>
    <w:p>
      <w:pPr>
        <w:ind w:firstLine="480"/>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（5）项目实施期间如有新建公园、公厕、道路交付，统一纳入环卫一体化保洁中，相关费用不再另行结算。</w:t>
      </w:r>
      <w:r/>
    </w:p>
    <w:p>
      <w:pPr>
        <w:ind w:firstLine="480"/>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6.各投标供应商一旦中标，须依法保障劳务人员的工资福利待遇，工资标准不低于无锡市最低工资标准的120%。</w:t>
      </w:r>
      <w:r/>
    </w:p>
    <w:p>
      <w:pPr>
        <w:ind w:firstLine="480"/>
        <w:spacing w:line="360" w:lineRule="auto"/>
        <w:tabs>
          <w:tab w:val="left" w:pos="945" w:leader="none"/>
        </w:tabs>
        <w:rPr>
          <w:rFonts w:ascii="宋体" w:hAnsi="宋体" w:cs="宋体"/>
          <w:color w:val="0000ff"/>
          <w:sz w:val="24"/>
          <w:szCs w:val="24"/>
        </w:rPr>
      </w:pPr>
      <w:r>
        <w:rPr>
          <w:rFonts w:hint="eastAsia" w:ascii="宋体" w:hAnsi="宋体" w:cs="宋体"/>
          <w:color w:val="000000"/>
          <w:sz w:val="24"/>
          <w:szCs w:val="24"/>
        </w:rPr>
        <w:t xml:space="preserve">7.各投标供应商一旦中标，在服务期内自行承担道路环卫综合保洁作业、生产、交通等安全责任及其他责任。如发生事故或法外事宜等给采购人或任何第三方所造成的经济损失，一律由中标供应商承担，采购人因此遭受损失的，有权向投标供应商追偿。</w:t>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（八）投标文件的制作</w:t>
      </w:r>
      <w:r/>
    </w:p>
    <w:p>
      <w:pPr>
        <w:ind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1.</w:t>
      </w:r>
      <w:r>
        <w:rPr>
          <w:rFonts w:hint="eastAsia" w:ascii="宋体" w:hAnsi="宋体" w:cs="宋体"/>
          <w:bCs/>
          <w:color w:val="000000"/>
          <w:sz w:val="24"/>
          <w:szCs w:val="24"/>
        </w:rPr>
        <w:t xml:space="preserve">所有文件、往来函件均应使用简体中文（规格、型号辅助符号例外）。</w:t>
      </w:r>
      <w:r/>
    </w:p>
    <w:p>
      <w:pPr>
        <w:ind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2.</w:t>
      </w:r>
      <w:r>
        <w:rPr>
          <w:rFonts w:hint="eastAsia" w:ascii="宋体" w:hAnsi="宋体" w:cs="宋体"/>
          <w:bCs/>
          <w:color w:val="000000"/>
          <w:sz w:val="24"/>
          <w:szCs w:val="24"/>
        </w:rPr>
        <w:t xml:space="preserve">投标文件由投标供应商按要求如实填写，须有投标供应商（签章）、法定代表人或法定代表人授权代表签章，方为有效，未尽事宜可自行补充。</w:t>
      </w:r>
      <w:r/>
    </w:p>
    <w:p>
      <w:pPr>
        <w:ind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3.</w:t>
      </w:r>
      <w:r>
        <w:rPr>
          <w:rFonts w:hint="eastAsia" w:ascii="宋体" w:hAnsi="宋体" w:cs="宋体"/>
          <w:color w:val="000000"/>
          <w:sz w:val="24"/>
          <w:szCs w:val="24"/>
          <w:lang w:val="zh-CN"/>
        </w:rPr>
        <w:t xml:space="preserve">如无特别说明，</w:t>
      </w:r>
      <w:r>
        <w:rPr>
          <w:rFonts w:hint="eastAsia" w:ascii="宋体" w:hAnsi="宋体" w:cs="宋体"/>
          <w:bCs/>
          <w:color w:val="000000"/>
          <w:sz w:val="24"/>
          <w:szCs w:val="24"/>
        </w:rPr>
        <w:t xml:space="preserve">投标供应商报价一律以人民币为投标结算货币，结算单位为“元”。</w:t>
      </w:r>
      <w:r/>
    </w:p>
    <w:p>
      <w:pPr>
        <w:ind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4.</w:t>
      </w:r>
      <w:r>
        <w:rPr>
          <w:rFonts w:hint="eastAsia" w:ascii="宋体" w:hAnsi="宋体" w:cs="宋体"/>
          <w:bCs/>
          <w:color w:val="000000"/>
          <w:sz w:val="24"/>
          <w:szCs w:val="24"/>
        </w:rPr>
        <w:t xml:space="preserve">投标费用自理。</w:t>
      </w:r>
      <w:r/>
    </w:p>
    <w:p>
      <w:pPr>
        <w:ind w:firstLine="523"/>
        <w:spacing w:line="360" w:lineRule="auto"/>
        <w:tabs>
          <w:tab w:val="left" w:pos="525" w:leader="none"/>
          <w:tab w:val="left" w:pos="945" w:leader="none"/>
        </w:tabs>
        <w:rPr>
          <w:rFonts w:ascii="宋体" w:hAnsi="宋体" w:cs="宋体"/>
          <w:b/>
          <w:sz w:val="24"/>
          <w:szCs w:val="24"/>
        </w:rPr>
      </w:pPr>
      <w:r>
        <w:rPr>
          <w:rFonts w:hint="eastAsia" w:ascii="宋体" w:hAnsi="宋体"/>
          <w:b/>
          <w:sz w:val="24"/>
          <w:szCs w:val="24"/>
        </w:rPr>
        <w:t xml:space="preserve">5.</w:t>
      </w:r>
      <w:r>
        <w:rPr>
          <w:rFonts w:hint="eastAsia" w:ascii="宋体" w:hAnsi="宋体" w:cs="宋体"/>
          <w:b/>
          <w:sz w:val="24"/>
          <w:szCs w:val="24"/>
        </w:rPr>
        <w:t xml:space="preserve">技术文件暗标编制要求</w:t>
      </w:r>
      <w:r/>
    </w:p>
    <w:p>
      <w:pPr>
        <w:ind w:firstLine="482"/>
        <w:spacing w:line="360" w:lineRule="auto"/>
        <w:tabs>
          <w:tab w:val="left" w:pos="525" w:leader="none"/>
          <w:tab w:val="left" w:pos="945" w:leader="none"/>
        </w:tabs>
        <w:rPr>
          <w:rFonts w:ascii="宋体" w:hAnsi="宋体" w:cs="宋体"/>
          <w:b/>
          <w:sz w:val="24"/>
          <w:szCs w:val="24"/>
        </w:rPr>
      </w:pPr>
      <w:r>
        <w:rPr>
          <w:rFonts w:hint="eastAsia" w:ascii="宋体" w:hAnsi="宋体" w:cs="宋体"/>
          <w:b/>
          <w:sz w:val="24"/>
          <w:szCs w:val="24"/>
        </w:rPr>
        <w:t xml:space="preserve">（1）本项目技术文件为暗标，采用暗标形式，须按下列格式编制，否则视为无效投标文件，具体要求如下：</w:t>
      </w:r>
      <w:r/>
    </w:p>
    <w:p>
      <w:pPr>
        <w:ind w:firstLine="482"/>
        <w:spacing w:line="360" w:lineRule="auto"/>
        <w:rPr>
          <w:rFonts w:ascii="宋体" w:hAnsi="宋体" w:cs="宋体"/>
          <w:b/>
          <w:sz w:val="24"/>
          <w:szCs w:val="21"/>
        </w:rPr>
      </w:pPr>
      <w:r>
        <w:rPr>
          <w:rFonts w:hint="eastAsia" w:ascii="宋体" w:hAnsi="宋体" w:cs="宋体"/>
          <w:b/>
          <w:sz w:val="24"/>
        </w:rPr>
        <w:t xml:space="preserve">1）技术文件正文所用文字采用“宋体”四号“常规”字（黑色），表格中所用文字采用“宋体”“常规”字（黑色），字号不限。需设置目录，页面采用A4版面。</w:t>
      </w:r>
      <w:r/>
    </w:p>
    <w:p>
      <w:pPr>
        <w:ind w:firstLine="482"/>
        <w:spacing w:line="360" w:lineRule="auto"/>
        <w:rPr>
          <w:rFonts w:ascii="宋体" w:hAnsi="宋体" w:cs="宋体"/>
          <w:b/>
          <w:sz w:val="24"/>
        </w:rPr>
      </w:pPr>
      <w:r>
        <w:rPr>
          <w:rFonts w:hint="eastAsia" w:ascii="宋体" w:hAnsi="宋体" w:cs="宋体"/>
          <w:b/>
          <w:sz w:val="24"/>
        </w:rPr>
        <w:t xml:space="preserve">2）技术文件内不得出现可识别投标供应商身份的任何字符和徽标（包括文字、符号、图案、标识、标志、人员姓名、企业名称等），不许批注或进行底纹、阴影、水印等特殊设置，不得采用任何不符合常规、有别于其他投标人的特殊做法。</w:t>
      </w:r>
      <w:r/>
    </w:p>
    <w:p>
      <w:pPr>
        <w:ind w:firstLine="482"/>
        <w:spacing w:line="360" w:lineRule="auto"/>
        <w:rPr>
          <w:rFonts w:ascii="宋体" w:hAnsi="宋体" w:cs="宋体"/>
          <w:b/>
          <w:sz w:val="24"/>
        </w:rPr>
      </w:pPr>
      <w:r>
        <w:rPr>
          <w:rFonts w:hint="eastAsia" w:ascii="宋体" w:hAnsi="宋体" w:cs="宋体"/>
          <w:b/>
          <w:sz w:val="24"/>
        </w:rPr>
        <w:t xml:space="preserve">3）对技术方案中的效果图、照片、图片的颜色以及图中的字体、字号、颜色均不作限制要求，但不得出现能体现投标供应商身份的信息。</w:t>
      </w:r>
      <w:r/>
    </w:p>
    <w:p>
      <w:pPr>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（九）网上投标</w:t>
      </w:r>
      <w:r/>
    </w:p>
    <w:p>
      <w:p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1.</w:t>
      </w:r>
      <w:r>
        <w:rPr>
          <w:rFonts w:hint="eastAsia" w:ascii="宋体" w:hAnsi="宋体" w:cs="宋体"/>
          <w:bCs/>
          <w:color w:val="000000"/>
          <w:sz w:val="24"/>
          <w:szCs w:val="24"/>
        </w:rPr>
        <w:t xml:space="preserve">投标供应商应由其法定代表人或法定代表人授权代表在规定的网上投标时间内，凭CA数字证书登录苏采云平台获取招标文件，在投标客户端制作投标文件（电子数据），并在投标截止时间之前上传投标文件。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2.</w:t>
      </w:r>
      <w:r>
        <w:rPr>
          <w:rFonts w:hint="eastAsia" w:ascii="宋体" w:hAnsi="宋体" w:cs="宋体"/>
          <w:bCs/>
          <w:color w:val="000000"/>
          <w:sz w:val="24"/>
          <w:szCs w:val="24"/>
        </w:rPr>
        <w:t xml:space="preserve">投标供应商应对CA数字证书妥善保管，如被他人盗用投标，后果自负。</w:t>
      </w:r>
      <w:r/>
    </w:p>
    <w:p>
      <w:p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3.</w:t>
      </w:r>
      <w:r>
        <w:rPr>
          <w:rFonts w:hint="eastAsia" w:ascii="宋体" w:hAnsi="宋体" w:cs="宋体"/>
          <w:bCs/>
          <w:color w:val="000000"/>
          <w:sz w:val="24"/>
          <w:szCs w:val="24"/>
        </w:rPr>
        <w:t xml:space="preserve">投标供应商按招标文件规定的网上解密时间进行解密，如未按时解密后果自负。</w:t>
      </w:r>
      <w:r/>
    </w:p>
    <w:p>
      <w:p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4.</w:t>
      </w:r>
      <w:r>
        <w:rPr>
          <w:rFonts w:hint="eastAsia" w:ascii="宋体" w:hAnsi="宋体" w:cs="宋体"/>
          <w:bCs/>
          <w:color w:val="000000"/>
          <w:sz w:val="24"/>
          <w:szCs w:val="24"/>
        </w:rPr>
        <w:t xml:space="preserve">投标供应商应当对招标文件提出的要求和条件作出实质性响应，并在电子投标系统逐条应答。</w:t>
      </w:r>
      <w:r/>
    </w:p>
    <w:p>
      <w:p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5.</w:t>
      </w:r>
      <w:r>
        <w:rPr>
          <w:rFonts w:hint="eastAsia" w:ascii="宋体" w:hAnsi="宋体" w:cs="宋体"/>
          <w:bCs/>
          <w:color w:val="000000"/>
          <w:sz w:val="24"/>
          <w:szCs w:val="24"/>
        </w:rPr>
        <w:t xml:space="preserve">投标供应商应对要求提供的资格证明文件（如资质证书、资格证书）、技术资料（如白皮书、彩页、手册、检测报告等）扫描上传至投标系统。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6.</w:t>
      </w:r>
      <w:r>
        <w:rPr>
          <w:rFonts w:hint="eastAsia" w:ascii="宋体" w:hAnsi="宋体" w:cs="宋体"/>
          <w:bCs/>
          <w:color w:val="000000"/>
          <w:sz w:val="24"/>
          <w:szCs w:val="24"/>
        </w:rPr>
        <w:t xml:space="preserve">投标供应商进行网上投标请参照《政府采购项目电子交易管理操作指南-供应商》。</w:t>
      </w:r>
      <w:r/>
    </w:p>
    <w:p>
      <w:p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7.</w:t>
      </w:r>
      <w:r>
        <w:rPr>
          <w:rFonts w:hint="eastAsia" w:ascii="宋体" w:hAnsi="宋体" w:cs="宋体"/>
          <w:bCs/>
          <w:color w:val="000000"/>
          <w:sz w:val="24"/>
          <w:szCs w:val="24"/>
        </w:rPr>
        <w:t xml:space="preserve">因投标供应商原因造成投标文件未解密的，视为撤销其投标文件，部分投标文件未解密的，其他投标文件的开标可以继续进行。</w:t>
      </w:r>
      <w:r/>
    </w:p>
    <w:p>
      <w:pPr>
        <w:ind w:left="1" w:firstLine="523"/>
        <w:spacing w:line="360" w:lineRule="auto"/>
        <w:tabs>
          <w:tab w:val="left" w:pos="525" w:leader="none"/>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特别提醒：开标后，供应商须自行准备设备（包括但不限于笔记本电脑、无线网络）登录“江苏省政府采购（苏采云）平台”，按采购文件规定时间解密后，在评标过程中保持在线，等待评标委员会的询标和评标结果，中途不得离开。供应商如未按要求应答，由此所产生的损失及风险由供应商自行承担。</w:t>
      </w:r>
      <w:r/>
    </w:p>
    <w:p>
      <w:pPr>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（十）无效投标文件的确认</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投标供应商有下列情况之一者，投标文件无效：</w:t>
      </w:r>
      <w:r/>
    </w:p>
    <w:p>
      <w:pPr>
        <w:ind w:left="1" w:firstLine="523"/>
        <w:spacing w:line="360" w:lineRule="auto"/>
        <w:tabs>
          <w:tab w:val="left" w:pos="945" w:leader="none"/>
        </w:tabs>
        <w:rPr>
          <w:rFonts w:ascii="宋体" w:hAnsi="宋体" w:cs="宋体"/>
          <w:bCs/>
          <w:color w:val="000000"/>
          <w:sz w:val="24"/>
          <w:szCs w:val="24"/>
        </w:rPr>
      </w:pPr>
      <w:r>
        <w:rPr>
          <w:rFonts w:hint="eastAsia" w:ascii="宋体" w:hAnsi="宋体"/>
          <w:bCs/>
          <w:color w:val="000000"/>
          <w:sz w:val="24"/>
          <w:szCs w:val="24"/>
        </w:rPr>
        <w:t xml:space="preserve">1.</w:t>
      </w:r>
      <w:r>
        <w:rPr>
          <w:rFonts w:hint="eastAsia" w:ascii="宋体" w:hAnsi="宋体" w:cs="宋体"/>
          <w:bCs/>
          <w:color w:val="000000"/>
          <w:sz w:val="24"/>
          <w:szCs w:val="24"/>
        </w:rPr>
        <w:t xml:space="preserve">电子投标文件未按规定期限报价的，纸质投标文件（如有）未按规定的期限、地点送达的；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2.投标供应商未按招标文件要求解密电子投标文件的。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3.启用投标文件电子文本的项目，投标供应商因自身原因造成投标文件电子文本无法导入应急开评标系统的，视为放弃投标。</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4.电子投标文件与招标文件要求格式不一致而无法导入计算机评标系统的。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5.电子投标文件未按招标文件要求加盖公章或签电子公章的。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6.投标供应商的法定代表人授权代表，无法定代表人授权委托书的。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7.同一投标文件中的单位名称落款与公章不是同一单位的。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8.不具备招标文件中规定的资格要求或未按招标文件规定的要求提供资格、资信证明文件的。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9.被“信用中国”网站（www.creditchina.gov.cn）、中国政府采购网（www.ccgp.gov.cn）列入失信被执行人、重大税收违法失信主体、政府采购严重违法失信行为记录名单的。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10.投标文件未按招标文件规定的内容和要求填写的。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11.电子投标文件图片、字迹模糊不清、无法辨认导致无法评审的。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12.电子投标文件中技术文件（暗标）未按招标文件规定的要求编制的。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13.投标文件中有招标文件未允许提供的选择性内容。</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14.投标文件内容不全或不符合招标文件中规定的其他实质性要求的。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15.改变招标文件提供的工程量清单中的名称、计量单位、采购数量及采购需求的。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16.不同投标供应商委托同一单位或者个人办理投标事宜的。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17.不同投标供应商的单位负责人为同一人或者存在直接控股、管理关系的。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18.</w:t>
      </w:r>
      <w:r>
        <w:rPr>
          <w:rFonts w:ascii="宋体" w:hAnsi="宋体"/>
          <w:bCs/>
          <w:color w:val="000000"/>
          <w:sz w:val="24"/>
          <w:szCs w:val="24"/>
        </w:rPr>
        <w:t xml:space="preserve">不同投标供应商的投标文件内容存在非正常一致、项目组成员出现同一人、投标文件中错误（或异常）一致或雷同、电子文档信息一致或雷同的、投标报价呈规律性差异的。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19.</w:t>
      </w:r>
      <w:r>
        <w:rPr>
          <w:rFonts w:ascii="宋体" w:hAnsi="宋体"/>
          <w:bCs/>
          <w:color w:val="000000"/>
          <w:sz w:val="24"/>
          <w:szCs w:val="24"/>
        </w:rPr>
        <w:t xml:space="preserve">不同投标供应商的委托代理人、项目负责人以及其他相关人员有在同一个单位缴纳社会保险的。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20.</w:t>
      </w:r>
      <w:r>
        <w:rPr>
          <w:rFonts w:ascii="宋体" w:hAnsi="宋体"/>
          <w:bCs/>
          <w:color w:val="000000"/>
          <w:sz w:val="24"/>
          <w:szCs w:val="24"/>
        </w:rPr>
        <w:t xml:space="preserve">不同投标供应商的投标文件由同一台电脑编制或者同一把数字证书加密锁加密或者同一台附属设备打印的。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21.</w:t>
      </w:r>
      <w:r>
        <w:rPr>
          <w:rFonts w:ascii="宋体" w:hAnsi="宋体"/>
          <w:bCs/>
          <w:color w:val="000000"/>
          <w:sz w:val="24"/>
          <w:szCs w:val="24"/>
        </w:rPr>
        <w:t xml:space="preserve">不同投标供应商的投标文件上传使用的MAC地址或IP地址（IP地址一致的，评标委员会应要求投标供应商进行澄清说明，经评标委员会一致认为不构成</w:t>
      </w:r>
      <w:r>
        <w:rPr>
          <w:rFonts w:hint="eastAsia" w:ascii="宋体" w:hAnsi="宋体"/>
          <w:bCs/>
          <w:color w:val="000000"/>
          <w:sz w:val="24"/>
          <w:szCs w:val="24"/>
        </w:rPr>
        <w:t xml:space="preserve">“</w:t>
      </w:r>
      <w:r>
        <w:rPr>
          <w:rFonts w:ascii="宋体" w:hAnsi="宋体"/>
          <w:bCs/>
          <w:color w:val="000000"/>
          <w:sz w:val="24"/>
          <w:szCs w:val="24"/>
        </w:rPr>
        <w:t xml:space="preserve">视为投标人相互串通投标情形</w:t>
      </w:r>
      <w:r>
        <w:rPr>
          <w:rFonts w:hint="eastAsia" w:ascii="宋体" w:hAnsi="宋体"/>
          <w:bCs/>
          <w:color w:val="000000"/>
          <w:sz w:val="24"/>
          <w:szCs w:val="24"/>
        </w:rPr>
        <w:t xml:space="preserve">”</w:t>
      </w:r>
      <w:r>
        <w:rPr>
          <w:rFonts w:ascii="宋体" w:hAnsi="宋体"/>
          <w:bCs/>
          <w:color w:val="000000"/>
          <w:sz w:val="24"/>
          <w:szCs w:val="24"/>
        </w:rPr>
        <w:t xml:space="preserve">的除外）一致的，或不同投标文件留有相同标记标识、存在两处以上一致性错误或雷同等情况，视为投标供应商相互围标、串标，其投标无效。</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22.</w:t>
      </w:r>
      <w:r>
        <w:rPr>
          <w:rFonts w:ascii="宋体" w:hAnsi="宋体"/>
          <w:bCs/>
          <w:color w:val="000000"/>
          <w:sz w:val="24"/>
          <w:szCs w:val="24"/>
        </w:rPr>
        <w:t xml:space="preserve">恶意串通其他投标供应商，故意哄抬价格或压价的。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23.</w:t>
      </w:r>
      <w:r>
        <w:rPr>
          <w:rFonts w:ascii="宋体" w:hAnsi="宋体"/>
          <w:bCs/>
          <w:color w:val="000000"/>
          <w:sz w:val="24"/>
          <w:szCs w:val="24"/>
        </w:rPr>
        <w:t xml:space="preserve">不同投标供应商聘请同一人为其投标提供技术或经济咨询服务的</w:t>
      </w:r>
      <w:r>
        <w:rPr>
          <w:rFonts w:hint="eastAsia" w:ascii="宋体" w:hAnsi="宋体"/>
          <w:bCs/>
          <w:color w:val="000000"/>
          <w:sz w:val="24"/>
          <w:szCs w:val="24"/>
        </w:rPr>
        <w:t xml:space="preserve">。</w:t>
      </w:r>
      <w:r/>
    </w:p>
    <w:p>
      <w:p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24.项目投标总价超过本项目预算或最高限价总价或分项报价超过分项限价的。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25.同一投标供应商提交两种（含两种）以上不同的投标报价的。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26.投标供应商的投标报价畸高或畸低，但投标总报价与各分项报价不能相互对应，在询标时没有合理的解释或者不能提供计算依据和报价依据的。</w:t>
      </w:r>
      <w:r/>
    </w:p>
    <w:p>
      <w:p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27.评标委员会认定投标供应商的报价明显低于其他通过符合性审查的投标供应商的报价，有可能影响产品质量或者不能诚信履约的，按照财政部《关于推动解决政府采购异常低价问题的通知》（财库〔2026〕2号）要求，启动异常低价投标（响应）审查后，投标（响应）供应商不能提供书面说明、证明材料，或者提供的书面说明、证明材料不能证明其报价合理性的，评标委员会应当将其作为无效投标（响应）处理。</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28.</w:t>
      </w:r>
      <w:r>
        <w:rPr>
          <w:rFonts w:ascii="宋体" w:hAnsi="宋体"/>
          <w:bCs/>
          <w:color w:val="000000"/>
          <w:sz w:val="24"/>
          <w:szCs w:val="24"/>
        </w:rPr>
        <w:t xml:space="preserve">未通过初步资格性审查、投标文件资格性检查、投标文件符合性审查、技术暗标符合性审查、报价符合性审查的。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29.</w:t>
      </w:r>
      <w:r>
        <w:rPr>
          <w:rFonts w:ascii="宋体" w:hAnsi="宋体"/>
          <w:bCs/>
          <w:color w:val="000000"/>
          <w:sz w:val="24"/>
          <w:szCs w:val="24"/>
        </w:rPr>
        <w:t xml:space="preserve">除单一来源采购项目外，为采购项目提供整体设计、规范编制或者项目管理、监理、检测等服务的。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30.</w:t>
      </w:r>
      <w:r>
        <w:rPr>
          <w:rFonts w:ascii="宋体" w:hAnsi="宋体"/>
          <w:bCs/>
          <w:color w:val="000000"/>
          <w:sz w:val="24"/>
          <w:szCs w:val="24"/>
        </w:rPr>
        <w:t xml:space="preserve">商务标和技术标，其中某一标被本项目评委确认为无效投标文件的。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31.</w:t>
      </w:r>
      <w:r>
        <w:rPr>
          <w:rFonts w:ascii="宋体" w:hAnsi="宋体"/>
          <w:bCs/>
          <w:color w:val="000000"/>
          <w:sz w:val="24"/>
          <w:szCs w:val="24"/>
        </w:rPr>
        <w:t xml:space="preserve">提供虚假材料的（包括工商营业执照、财务报表、资格证明文件等）。</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32.</w:t>
      </w:r>
      <w:r>
        <w:rPr>
          <w:rFonts w:ascii="宋体" w:hAnsi="宋体"/>
          <w:bCs/>
          <w:color w:val="000000"/>
          <w:sz w:val="24"/>
          <w:szCs w:val="24"/>
        </w:rPr>
        <w:t xml:space="preserve">投标文件含有采购人不能接受的附加条件的。</w:t>
      </w:r>
      <w:r/>
    </w:p>
    <w:p>
      <w:pPr>
        <w:ind w:left="1" w:firstLine="523"/>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33.法律法规和招标文件规定的其他无效情形。</w:t>
      </w:r>
      <w:r/>
    </w:p>
    <w:p>
      <w:pPr>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（十一）开标、评标</w:t>
      </w:r>
      <w:r/>
    </w:p>
    <w:p>
      <w:pPr>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1.</w:t>
      </w:r>
      <w:r>
        <w:rPr>
          <w:rFonts w:hint="eastAsia" w:ascii="宋体" w:hAnsi="宋体" w:cs="宋体"/>
          <w:bCs/>
          <w:color w:val="000000"/>
          <w:sz w:val="24"/>
          <w:szCs w:val="24"/>
        </w:rPr>
        <w:t xml:space="preserve">所有投标单位在招标文件规定的时间内解密各自投标文件；</w:t>
      </w:r>
      <w:r/>
    </w:p>
    <w:p>
      <w:pPr>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2.</w:t>
      </w:r>
      <w:r>
        <w:rPr>
          <w:rFonts w:hint="eastAsia" w:ascii="宋体" w:hAnsi="宋体" w:cs="宋体"/>
          <w:bCs/>
          <w:color w:val="000000"/>
          <w:sz w:val="24"/>
          <w:szCs w:val="24"/>
        </w:rPr>
        <w:t xml:space="preserve">投标截止时间后参加投标的供应商或解密投标文件的供应商不足三家的，不开标；开标后，所有投标供应商可在线上开标大厅中看到所有投标供应商的投标报价；</w:t>
      </w:r>
      <w:r/>
    </w:p>
    <w:p>
      <w:pPr>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3.</w:t>
      </w:r>
      <w:r>
        <w:rPr>
          <w:rFonts w:hint="eastAsia" w:ascii="宋体" w:hAnsi="宋体" w:cs="宋体"/>
          <w:bCs/>
          <w:color w:val="000000"/>
          <w:sz w:val="24"/>
          <w:szCs w:val="24"/>
        </w:rPr>
        <w:t xml:space="preserve">开标时，投标文件报价出现前后不一致的，按照下列规定修正：</w:t>
      </w:r>
      <w:r/>
    </w:p>
    <w:p>
      <w:pPr>
        <w:numPr>
          <w:ilvl w:val="1"/>
          <w:numId w:val="0"/>
        </w:numPr>
        <w:ind w:firstLine="480"/>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（1）投标文件中开标一览表（报价表）内容与投标文件中相应内容不一致的，以开标一览表（报价表）为准；</w:t>
      </w:r>
      <w:r/>
    </w:p>
    <w:p>
      <w:pPr>
        <w:numPr>
          <w:ilvl w:val="1"/>
          <w:numId w:val="0"/>
        </w:numPr>
        <w:ind w:firstLine="480"/>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p>
    <w:p>
      <w:pPr>
        <w:numPr>
          <w:ilvl w:val="1"/>
          <w:numId w:val="0"/>
        </w:numPr>
        <w:ind w:firstLine="480"/>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（3）单价金额小数点或者百分比有明显错位的，以开标一览表的总价为准，并修改单价；</w:t>
      </w:r>
      <w:r/>
    </w:p>
    <w:p>
      <w:pPr>
        <w:numPr>
          <w:ilvl w:val="1"/>
          <w:numId w:val="0"/>
        </w:numPr>
        <w:ind w:firstLine="480"/>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（4）总价金额与按单价汇总金额不一致的，以单价金额计算结果为准。</w:t>
      </w:r>
      <w:r/>
    </w:p>
    <w:p>
      <w:pPr>
        <w:numPr>
          <w:ilvl w:val="1"/>
          <w:numId w:val="0"/>
        </w:numPr>
        <w:ind w:firstLine="480"/>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4.</w:t>
      </w:r>
      <w:r>
        <w:rPr>
          <w:rFonts w:hint="eastAsia" w:ascii="宋体" w:hAnsi="宋体" w:cs="宋体"/>
          <w:bCs/>
          <w:color w:val="000000"/>
          <w:sz w:val="24"/>
          <w:szCs w:val="24"/>
        </w:rPr>
        <w:t xml:space="preserve">对不同文字文本投标文件的解释发生异议的，以中文文本为准。</w:t>
      </w:r>
      <w:r/>
    </w:p>
    <w:p>
      <w:pPr>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5.</w:t>
      </w:r>
      <w:r>
        <w:rPr>
          <w:rFonts w:hint="eastAsia" w:ascii="宋体" w:hAnsi="宋体" w:cs="宋体"/>
          <w:bCs/>
          <w:color w:val="000000"/>
          <w:sz w:val="24"/>
          <w:szCs w:val="24"/>
        </w:rPr>
        <w:t xml:space="preserve">投标供应商未参加开标的，视同认可开标结果。</w:t>
      </w:r>
      <w:r/>
    </w:p>
    <w:p>
      <w:pPr>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6.</w:t>
      </w:r>
      <w:r>
        <w:rPr>
          <w:rFonts w:hint="eastAsia" w:ascii="宋体" w:hAnsi="宋体" w:cs="宋体"/>
          <w:bCs/>
          <w:color w:val="000000"/>
          <w:sz w:val="24"/>
          <w:szCs w:val="24"/>
        </w:rPr>
        <w:t xml:space="preserve">评标程序</w:t>
      </w:r>
      <w:r/>
    </w:p>
    <w:p>
      <w:pPr>
        <w:ind w:firstLine="523"/>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评标工作由采购代理机构负责组织，具体评标事务由依法组建的评标委员会负责。</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（1）投标文件初审。初审分为资格性检查和符合性检查。</w:t>
      </w:r>
      <w:r/>
    </w:p>
    <w:p>
      <w:pPr>
        <w:numPr>
          <w:ilvl w:val="1"/>
          <w:numId w:val="0"/>
        </w:numPr>
        <w:ind w:firstLine="480"/>
        <w:spacing w:line="360" w:lineRule="auto"/>
        <w:tabs>
          <w:tab w:val="left" w:pos="525" w:leader="none"/>
          <w:tab w:val="left" w:pos="945" w:leader="none"/>
        </w:tabs>
        <w:rPr>
          <w:rFonts w:ascii="宋体" w:hAnsi="宋体" w:cs="宋体"/>
          <w:b/>
          <w:color w:val="000000"/>
          <w:sz w:val="24"/>
          <w:szCs w:val="24"/>
        </w:rPr>
      </w:pPr>
      <w:r>
        <w:rPr>
          <w:rFonts w:hint="eastAsia" w:ascii="宋体" w:hAnsi="宋体" w:cs="宋体"/>
          <w:bCs/>
          <w:color w:val="000000"/>
          <w:sz w:val="24"/>
          <w:szCs w:val="24"/>
        </w:rPr>
        <w:t xml:space="preserve">①资格性检查。</w:t>
      </w:r>
      <w:r>
        <w:rPr>
          <w:rFonts w:hint="eastAsia" w:ascii="宋体" w:hAnsi="宋体" w:cs="宋体"/>
          <w:bCs/>
          <w:sz w:val="24"/>
          <w:szCs w:val="24"/>
        </w:rPr>
        <w:t xml:space="preserve">采购代理机构依据法律</w:t>
      </w:r>
      <w:r>
        <w:rPr>
          <w:rFonts w:hint="eastAsia" w:ascii="宋体" w:hAnsi="宋体" w:cs="宋体"/>
          <w:bCs/>
          <w:color w:val="000000"/>
          <w:sz w:val="24"/>
          <w:szCs w:val="24"/>
        </w:rPr>
        <w:t xml:space="preserve">法规和招标文件的规定，对投标文件中的资格证明进行审查；通过“信用中国”网站（</w:t>
      </w:r>
      <w:r>
        <w:fldChar w:fldCharType="begin"/>
      </w:r>
      <w:r>
        <w:instrText xml:space="preserve">HYPERLINK "http://www.creditchina.gov.cn"</w:instrText>
      </w:r>
      <w:r>
        <w:fldChar w:fldCharType="separate"/>
      </w:r>
      <w:r>
        <w:rPr>
          <w:rFonts w:hint="eastAsia" w:ascii="宋体" w:hAnsi="宋体" w:cs="宋体"/>
          <w:bCs/>
          <w:color w:val="000000"/>
          <w:sz w:val="24"/>
          <w:szCs w:val="24"/>
        </w:rPr>
        <w:t xml:space="preserve">www.creditchina.gov.cn</w:t>
      </w:r>
      <w:r>
        <w:fldChar w:fldCharType="end"/>
      </w:r>
      <w:r>
        <w:rPr>
          <w:rFonts w:hint="eastAsia" w:ascii="宋体" w:hAnsi="宋体" w:cs="宋体"/>
          <w:bCs/>
          <w:color w:val="000000"/>
          <w:sz w:val="24"/>
          <w:szCs w:val="24"/>
        </w:rPr>
        <w:t xml:space="preserve">）、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cs="宋体"/>
          <w:b/>
          <w:color w:val="000000"/>
          <w:sz w:val="24"/>
          <w:szCs w:val="24"/>
        </w:rPr>
        <w:t xml:space="preserve">资格审查不合格的投标人的投标文件不进入后续评审。</w:t>
      </w:r>
      <w:r/>
    </w:p>
    <w:p>
      <w:pPr>
        <w:jc w:val="center"/>
        <w:spacing w:line="360" w:lineRule="auto"/>
        <w:rPr>
          <w:b/>
          <w:bCs/>
          <w:sz w:val="28"/>
          <w:szCs w:val="22"/>
        </w:rPr>
      </w:pPr>
      <w:r>
        <w:rPr>
          <w:rFonts w:hint="eastAsia"/>
          <w:b/>
          <w:bCs/>
          <w:sz w:val="28"/>
          <w:szCs w:val="22"/>
        </w:rPr>
        <w:t xml:space="preserve">资格性审查表</w:t>
      </w:r>
      <w:r/>
    </w:p>
    <w:tbl>
      <w:tblPr>
        <w:tblStyle w:val="783"/>
        <w:tblW w:w="831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163"/>
        <w:gridCol w:w="5358"/>
      </w:tblGrid>
      <w:tr>
        <w:trPr>
          <w:jc w:val="center"/>
          <w:trHeight w:val="393"/>
        </w:trPr>
        <w:tc>
          <w:tcPr>
            <w:tcW w:w="798"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序号</w:t>
            </w:r>
            <w:r/>
          </w:p>
        </w:tc>
        <w:tc>
          <w:tcPr>
            <w:gridSpan w:val="2"/>
            <w:tcW w:w="7521"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资格审查内容</w:t>
            </w:r>
            <w:r/>
          </w:p>
        </w:tc>
      </w:tr>
      <w:tr>
        <w:trPr>
          <w:jc w:val="center"/>
          <w:trHeight w:val="393"/>
        </w:trPr>
        <w:tc>
          <w:tcPr>
            <w:tcW w:w="798"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1</w:t>
            </w:r>
            <w:r/>
          </w:p>
        </w:tc>
        <w:tc>
          <w:tcPr>
            <w:tcW w:w="216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关于资格的声明函</w:t>
            </w:r>
            <w:r/>
          </w:p>
        </w:tc>
        <w:tc>
          <w:tcPr>
            <w:tcW w:w="5358" w:type="dxa"/>
            <w:vAlign w:val="center"/>
            <w:textDirection w:val="lrTb"/>
            <w:noWrap/>
          </w:tcPr>
          <w:p>
            <w:pPr>
              <w:rPr>
                <w:rFonts w:ascii="宋体" w:hAnsi="宋体" w:cs="宋体"/>
                <w:sz w:val="24"/>
                <w:szCs w:val="24"/>
              </w:rPr>
            </w:pPr>
            <w:r>
              <w:rPr>
                <w:rFonts w:hint="eastAsia" w:ascii="宋体" w:hAnsi="宋体" w:cs="宋体"/>
                <w:sz w:val="24"/>
                <w:szCs w:val="24"/>
              </w:rPr>
              <w:t xml:space="preserve">格式见附件</w:t>
            </w:r>
            <w:r/>
          </w:p>
        </w:tc>
      </w:tr>
      <w:tr>
        <w:trPr>
          <w:jc w:val="center"/>
          <w:trHeight w:val="764"/>
        </w:trPr>
        <w:tc>
          <w:tcPr>
            <w:tcW w:w="798"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2</w:t>
            </w:r>
            <w:r/>
          </w:p>
        </w:tc>
        <w:tc>
          <w:tcPr>
            <w:tcW w:w="2163" w:type="dxa"/>
            <w:vAlign w:val="center"/>
            <w:textDirection w:val="lrTb"/>
            <w:noWrap/>
          </w:tcPr>
          <w:p>
            <w:pPr>
              <w:jc w:val="center"/>
              <w:rPr>
                <w:rFonts w:ascii="宋体" w:hAnsi="宋体" w:cs="宋体"/>
                <w:sz w:val="24"/>
                <w:szCs w:val="24"/>
              </w:rPr>
            </w:pPr>
            <w:r>
              <w:rPr>
                <w:rFonts w:ascii="宋体" w:hAnsi="宋体"/>
                <w:sz w:val="24"/>
                <w:szCs w:val="24"/>
              </w:rPr>
              <w:t xml:space="preserve">具有独立承担民事责任的能力</w:t>
            </w:r>
            <w:r/>
          </w:p>
        </w:tc>
        <w:tc>
          <w:tcPr>
            <w:tcW w:w="5358" w:type="dxa"/>
            <w:vAlign w:val="center"/>
            <w:textDirection w:val="lrTb"/>
            <w:noWrap/>
          </w:tcPr>
          <w:p>
            <w:pPr>
              <w:rPr>
                <w:rFonts w:ascii="宋体" w:hAnsi="宋体" w:cs="宋体"/>
                <w:bCs/>
                <w:sz w:val="24"/>
                <w:szCs w:val="24"/>
              </w:rPr>
            </w:pPr>
            <w:r>
              <w:rPr>
                <w:rFonts w:hint="eastAsia" w:ascii="宋体" w:hAnsi="宋体" w:cs="宋体"/>
                <w:bCs/>
                <w:color w:val="000000"/>
                <w:sz w:val="24"/>
                <w:szCs w:val="24"/>
              </w:rPr>
              <w:t xml:space="preserve">投标供应商营业执照或相关部门的登记证明文件原件扫描件并加盖公章或签电子公章</w:t>
            </w:r>
            <w:r/>
          </w:p>
        </w:tc>
      </w:tr>
      <w:tr>
        <w:trPr>
          <w:jc w:val="center"/>
          <w:trHeight w:val="764"/>
        </w:trPr>
        <w:tc>
          <w:tcPr>
            <w:tcW w:w="798"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3</w:t>
            </w:r>
            <w:r/>
          </w:p>
        </w:tc>
        <w:tc>
          <w:tcPr>
            <w:tcW w:w="2163" w:type="dxa"/>
            <w:vAlign w:val="center"/>
            <w:textDirection w:val="lrTb"/>
            <w:noWrap/>
          </w:tcPr>
          <w:p>
            <w:pPr>
              <w:jc w:val="center"/>
              <w:rPr>
                <w:rFonts w:ascii="宋体" w:hAnsi="宋体" w:cs="宋体"/>
                <w:sz w:val="24"/>
                <w:szCs w:val="24"/>
              </w:rPr>
            </w:pPr>
            <w:r>
              <w:rPr>
                <w:rFonts w:hint="eastAsia" w:ascii="宋体" w:hAnsi="宋体" w:cs="宋体"/>
                <w:bCs/>
                <w:color w:val="000000"/>
                <w:sz w:val="24"/>
                <w:szCs w:val="24"/>
              </w:rPr>
              <w:t xml:space="preserve">投标供应商法定代表人授权委托书</w:t>
            </w:r>
            <w:r/>
          </w:p>
        </w:tc>
        <w:tc>
          <w:tcPr>
            <w:tcW w:w="5358" w:type="dxa"/>
            <w:vAlign w:val="center"/>
            <w:textDirection w:val="lrTb"/>
            <w:noWrap/>
          </w:tcPr>
          <w:p>
            <w:pPr>
              <w:rPr>
                <w:rFonts w:ascii="宋体" w:hAnsi="宋体" w:cs="宋体"/>
                <w:bCs/>
                <w:color w:val="000000"/>
                <w:sz w:val="24"/>
                <w:szCs w:val="24"/>
              </w:rPr>
            </w:pPr>
            <w:r>
              <w:rPr>
                <w:rFonts w:hint="eastAsia" w:ascii="宋体" w:hAnsi="宋体" w:cs="宋体"/>
                <w:bCs/>
                <w:color w:val="000000"/>
                <w:sz w:val="24"/>
                <w:szCs w:val="24"/>
              </w:rPr>
              <w:t xml:space="preserve">格式见附件，法定代表人亲自参加投标的除外</w:t>
            </w:r>
            <w:r/>
          </w:p>
        </w:tc>
      </w:tr>
      <w:tr>
        <w:trPr>
          <w:jc w:val="center"/>
          <w:trHeight w:val="764"/>
        </w:trPr>
        <w:tc>
          <w:tcPr>
            <w:tcW w:w="798"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4</w:t>
            </w:r>
            <w:r/>
          </w:p>
        </w:tc>
        <w:tc>
          <w:tcPr>
            <w:tcW w:w="216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投标供应商法定代表人身份证扫描件</w:t>
            </w:r>
            <w:r/>
          </w:p>
        </w:tc>
        <w:tc>
          <w:tcPr>
            <w:tcW w:w="5358" w:type="dxa"/>
            <w:vAlign w:val="center"/>
            <w:textDirection w:val="lrTb"/>
            <w:noWrap/>
          </w:tcPr>
          <w:p>
            <w:pPr>
              <w:rPr>
                <w:rFonts w:ascii="宋体" w:hAnsi="宋体" w:cs="宋体"/>
                <w:bCs/>
                <w:color w:val="000000"/>
                <w:sz w:val="24"/>
                <w:szCs w:val="24"/>
              </w:rPr>
            </w:pPr>
            <w:r>
              <w:rPr>
                <w:rFonts w:hint="eastAsia" w:ascii="宋体" w:hAnsi="宋体" w:cs="宋体"/>
                <w:bCs/>
                <w:color w:val="000000"/>
                <w:sz w:val="24"/>
                <w:szCs w:val="24"/>
              </w:rPr>
              <w:t xml:space="preserve">身份证（</w:t>
            </w:r>
            <w:r>
              <w:rPr>
                <w:rFonts w:hint="eastAsia" w:ascii="宋体" w:hAnsi="宋体" w:cs="宋体"/>
                <w:bCs/>
                <w:sz w:val="24"/>
                <w:szCs w:val="24"/>
              </w:rPr>
              <w:t xml:space="preserve">正、反面</w:t>
            </w:r>
            <w:r>
              <w:rPr>
                <w:rFonts w:hint="eastAsia" w:ascii="宋体" w:hAnsi="宋体" w:cs="宋体"/>
                <w:bCs/>
                <w:color w:val="000000"/>
                <w:sz w:val="24"/>
                <w:szCs w:val="24"/>
              </w:rPr>
              <w:t xml:space="preserve">）原件扫描件并加盖公章或签电子公章</w:t>
            </w:r>
            <w:r/>
          </w:p>
        </w:tc>
      </w:tr>
      <w:tr>
        <w:trPr>
          <w:jc w:val="center"/>
          <w:trHeight w:val="1136"/>
        </w:trPr>
        <w:tc>
          <w:tcPr>
            <w:tcW w:w="798"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5</w:t>
            </w:r>
            <w:r/>
          </w:p>
        </w:tc>
        <w:tc>
          <w:tcPr>
            <w:tcW w:w="2163" w:type="dxa"/>
            <w:vAlign w:val="center"/>
            <w:textDirection w:val="lrTb"/>
            <w:noWrap/>
          </w:tcPr>
          <w:p>
            <w:pPr>
              <w:jc w:val="center"/>
              <w:rPr>
                <w:rFonts w:ascii="宋体" w:hAnsi="宋体" w:cs="宋体"/>
                <w:sz w:val="24"/>
                <w:szCs w:val="24"/>
              </w:rPr>
            </w:pPr>
            <w:r>
              <w:rPr>
                <w:rFonts w:hint="eastAsia" w:ascii="宋体" w:hAnsi="宋体" w:cs="宋体"/>
                <w:bCs/>
                <w:sz w:val="24"/>
                <w:szCs w:val="24"/>
              </w:rPr>
              <w:t xml:space="preserve">供应商法定代表人授权代表身份证扫描件</w:t>
            </w:r>
            <w:r/>
          </w:p>
        </w:tc>
        <w:tc>
          <w:tcPr>
            <w:tcW w:w="5358" w:type="dxa"/>
            <w:vAlign w:val="center"/>
            <w:textDirection w:val="lrTb"/>
            <w:noWrap/>
          </w:tcPr>
          <w:p>
            <w:pPr>
              <w:jc w:val="left"/>
              <w:rPr>
                <w:rFonts w:ascii="宋体" w:hAnsi="宋体" w:cs="宋体"/>
                <w:bCs/>
                <w:sz w:val="24"/>
                <w:szCs w:val="24"/>
              </w:rPr>
            </w:pPr>
            <w:r>
              <w:rPr>
                <w:rFonts w:hint="eastAsia" w:ascii="宋体" w:hAnsi="宋体" w:cs="宋体"/>
                <w:bCs/>
                <w:color w:val="000000"/>
                <w:sz w:val="24"/>
                <w:szCs w:val="24"/>
              </w:rPr>
              <w:t xml:space="preserve">身份证（</w:t>
            </w:r>
            <w:r>
              <w:rPr>
                <w:rFonts w:hint="eastAsia" w:ascii="宋体" w:hAnsi="宋体" w:cs="宋体"/>
                <w:bCs/>
                <w:sz w:val="24"/>
                <w:szCs w:val="24"/>
              </w:rPr>
              <w:t xml:space="preserve">正、反面</w:t>
            </w:r>
            <w:r>
              <w:rPr>
                <w:rFonts w:hint="eastAsia" w:ascii="宋体" w:hAnsi="宋体" w:cs="宋体"/>
                <w:bCs/>
                <w:color w:val="000000"/>
                <w:sz w:val="24"/>
                <w:szCs w:val="24"/>
              </w:rPr>
              <w:t xml:space="preserve">）原件扫描件并加盖公章或签电子公章（</w:t>
            </w:r>
            <w:r>
              <w:rPr>
                <w:rFonts w:hint="eastAsia" w:ascii="宋体" w:hAnsi="宋体" w:cs="宋体"/>
                <w:b/>
                <w:bCs/>
                <w:color w:val="000000"/>
                <w:sz w:val="24"/>
                <w:szCs w:val="24"/>
              </w:rPr>
              <w:t xml:space="preserve">法定代表人亲自参加投标的除外</w:t>
            </w:r>
            <w:r>
              <w:rPr>
                <w:rFonts w:hint="eastAsia" w:ascii="宋体" w:hAnsi="宋体" w:cs="宋体"/>
                <w:bCs/>
                <w:color w:val="000000"/>
                <w:sz w:val="24"/>
                <w:szCs w:val="24"/>
              </w:rPr>
              <w:t xml:space="preserve">）</w:t>
            </w:r>
            <w:r/>
          </w:p>
        </w:tc>
      </w:tr>
      <w:tr>
        <w:trPr>
          <w:jc w:val="center"/>
          <w:trHeight w:val="2252"/>
        </w:trPr>
        <w:tc>
          <w:tcPr>
            <w:tcW w:w="798"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6</w:t>
            </w:r>
            <w:r/>
          </w:p>
        </w:tc>
        <w:tc>
          <w:tcPr>
            <w:tcW w:w="2163" w:type="dxa"/>
            <w:vAlign w:val="center"/>
            <w:textDirection w:val="lrTb"/>
            <w:noWrap/>
          </w:tcPr>
          <w:p>
            <w:pPr>
              <w:jc w:val="center"/>
              <w:rPr>
                <w:rFonts w:ascii="宋体" w:hAnsi="宋体" w:cs="宋体"/>
                <w:bCs/>
                <w:sz w:val="24"/>
                <w:szCs w:val="24"/>
              </w:rPr>
            </w:pPr>
            <w:r>
              <w:rPr>
                <w:rFonts w:hint="eastAsia" w:ascii="宋体" w:hAnsi="宋体" w:cs="宋体"/>
                <w:bCs/>
                <w:sz w:val="24"/>
                <w:szCs w:val="24"/>
              </w:rPr>
              <w:t xml:space="preserve">投标供应商</w:t>
            </w:r>
            <w:r>
              <w:rPr>
                <w:rFonts w:hint="eastAsia" w:ascii="宋体" w:hAnsi="宋体" w:cs="宋体"/>
                <w:bCs/>
                <w:color w:val="000000"/>
                <w:sz w:val="24"/>
                <w:szCs w:val="24"/>
              </w:rPr>
              <w:t xml:space="preserve">法定代表人授权代表</w:t>
            </w:r>
            <w:r>
              <w:rPr>
                <w:rFonts w:hint="eastAsia" w:ascii="宋体" w:hAnsi="宋体" w:cs="宋体"/>
                <w:bCs/>
                <w:sz w:val="24"/>
              </w:rPr>
              <w:t xml:space="preserve">、项目负责人的</w:t>
            </w:r>
            <w:r>
              <w:rPr>
                <w:rFonts w:hint="eastAsia" w:ascii="宋体" w:hAnsi="宋体" w:cs="宋体"/>
                <w:bCs/>
                <w:sz w:val="24"/>
                <w:szCs w:val="24"/>
              </w:rPr>
              <w:t xml:space="preserve">社会保险证明</w:t>
            </w:r>
            <w:r/>
          </w:p>
        </w:tc>
        <w:tc>
          <w:tcPr>
            <w:tcW w:w="5358" w:type="dxa"/>
            <w:vAlign w:val="center"/>
            <w:textDirection w:val="lrTb"/>
            <w:noWrap/>
          </w:tcPr>
          <w:p>
            <w:pPr>
              <w:jc w:val="left"/>
              <w:rPr>
                <w:rFonts w:ascii="宋体" w:hAnsi="宋体" w:cs="宋体"/>
                <w:bCs/>
                <w:sz w:val="24"/>
                <w:szCs w:val="24"/>
              </w:rPr>
            </w:pPr>
            <w:r>
              <w:rPr>
                <w:rFonts w:hint="eastAsia" w:ascii="宋体" w:hAnsi="宋体" w:cs="宋体"/>
                <w:bCs/>
                <w:sz w:val="24"/>
                <w:szCs w:val="24"/>
              </w:rPr>
              <w:t xml:space="preserve">投标供应商近三个月中任意一个月份（不含投标当月）为其法定代表人授权代表、项目负责人缴纳社保的证明原件扫描件并加盖公章或签电子公章（</w:t>
            </w:r>
            <w:r>
              <w:rPr>
                <w:rFonts w:hint="eastAsia" w:ascii="宋体" w:hAnsi="宋体" w:cs="宋体"/>
                <w:b/>
                <w:bCs/>
                <w:sz w:val="24"/>
                <w:szCs w:val="24"/>
              </w:rPr>
              <w:t xml:space="preserve">由相关主管部门出具，法定代表人亲自参加投标的除外</w:t>
            </w:r>
            <w:r>
              <w:rPr>
                <w:rFonts w:hint="eastAsia" w:ascii="宋体" w:hAnsi="宋体" w:cs="宋体"/>
                <w:bCs/>
                <w:sz w:val="24"/>
                <w:szCs w:val="24"/>
              </w:rPr>
              <w:t xml:space="preserve">）</w:t>
            </w:r>
            <w:r/>
          </w:p>
        </w:tc>
      </w:tr>
      <w:tr>
        <w:trPr>
          <w:jc w:val="center"/>
          <w:trHeight w:val="2252"/>
        </w:trPr>
        <w:tc>
          <w:tcPr>
            <w:tcW w:w="798"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7</w:t>
            </w:r>
            <w:r/>
          </w:p>
        </w:tc>
        <w:tc>
          <w:tcPr>
            <w:tcW w:w="216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具有良好的商业信誉和健全的财务会计制度</w:t>
            </w:r>
            <w:r/>
          </w:p>
        </w:tc>
        <w:tc>
          <w:tcPr>
            <w:tcW w:w="5358" w:type="dxa"/>
            <w:vAlign w:val="center"/>
            <w:textDirection w:val="lrTb"/>
            <w:noWrap/>
          </w:tcPr>
          <w:p>
            <w:pPr>
              <w:jc w:val="left"/>
              <w:tabs>
                <w:tab w:val="left" w:pos="1050" w:leader="none"/>
              </w:tabs>
              <w:rPr>
                <w:rFonts w:ascii="宋体" w:hAnsi="宋体" w:cs="宋体"/>
                <w:bCs/>
                <w:sz w:val="24"/>
                <w:szCs w:val="24"/>
              </w:rPr>
            </w:pPr>
            <w:r>
              <w:rPr>
                <w:rFonts w:hint="eastAsia" w:ascii="宋体" w:hAnsi="宋体" w:cs="宋体"/>
                <w:bCs/>
                <w:sz w:val="24"/>
                <w:szCs w:val="24"/>
              </w:rPr>
              <w:t xml:space="preserve">投标供应商近三个月中任意一个月份（不含投标当月）的财务状况报告（资产负债表和利润表）或由会计师事务所出具的2025年度的审计报告和所附已审财务报告原件扫描件并加盖公章或签电子公章</w:t>
            </w:r>
            <w:r/>
          </w:p>
        </w:tc>
      </w:tr>
      <w:tr>
        <w:trPr>
          <w:jc w:val="center"/>
          <w:trHeight w:val="1510"/>
        </w:trPr>
        <w:tc>
          <w:tcPr>
            <w:tcW w:w="798"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8</w:t>
            </w:r>
            <w:r/>
          </w:p>
        </w:tc>
        <w:tc>
          <w:tcPr>
            <w:tcW w:w="216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具有依法缴纳税收的良好记录</w:t>
            </w:r>
            <w:r/>
          </w:p>
        </w:tc>
        <w:tc>
          <w:tcPr>
            <w:tcW w:w="5358" w:type="dxa"/>
            <w:vAlign w:val="center"/>
            <w:textDirection w:val="lrTb"/>
            <w:noWrap/>
          </w:tcPr>
          <w:p>
            <w:pPr>
              <w:jc w:val="left"/>
              <w:rPr>
                <w:rFonts w:ascii="宋体" w:hAnsi="宋体" w:cs="宋体"/>
                <w:sz w:val="24"/>
                <w:szCs w:val="24"/>
              </w:rPr>
            </w:pPr>
            <w:r>
              <w:rPr>
                <w:rFonts w:hint="eastAsia" w:ascii="宋体" w:hAnsi="宋体" w:cs="宋体"/>
                <w:bCs/>
                <w:sz w:val="24"/>
                <w:szCs w:val="24"/>
              </w:rPr>
              <w:t xml:space="preserve">投标供应商近三个月中任意一个月份（不含投标当月）的依法缴纳税收的相关材料原件扫描件并加盖公章或签电子公章（提供相关主管部门证明或银行代扣证明）</w:t>
            </w:r>
            <w:r/>
          </w:p>
        </w:tc>
      </w:tr>
      <w:tr>
        <w:trPr>
          <w:jc w:val="center"/>
          <w:trHeight w:val="1510"/>
        </w:trPr>
        <w:tc>
          <w:tcPr>
            <w:tcW w:w="798"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9</w:t>
            </w:r>
            <w:r/>
          </w:p>
        </w:tc>
        <w:tc>
          <w:tcPr>
            <w:tcW w:w="216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具有依法缴纳社会保障资金的良好记录</w:t>
            </w:r>
            <w:r/>
          </w:p>
        </w:tc>
        <w:tc>
          <w:tcPr>
            <w:tcW w:w="5358" w:type="dxa"/>
            <w:vAlign w:val="center"/>
            <w:textDirection w:val="lrTb"/>
            <w:noWrap/>
          </w:tcPr>
          <w:p>
            <w:pPr>
              <w:jc w:val="left"/>
              <w:rPr>
                <w:rFonts w:ascii="宋体" w:hAnsi="宋体" w:cs="宋体"/>
                <w:sz w:val="24"/>
                <w:szCs w:val="24"/>
              </w:rPr>
            </w:pPr>
            <w:r>
              <w:rPr>
                <w:rFonts w:hint="eastAsia" w:ascii="宋体" w:hAnsi="宋体" w:cs="宋体"/>
                <w:bCs/>
                <w:sz w:val="24"/>
                <w:szCs w:val="24"/>
              </w:rPr>
              <w:t xml:space="preserve">投标供应商近三个月中任意一个月份（不含投标当月）的依法缴纳社会保障资金的相关材料原件扫描件并加盖公章或签电子公章（提供相关主管部门证明或银行代扣证明）</w:t>
            </w:r>
            <w:r/>
          </w:p>
        </w:tc>
      </w:tr>
      <w:tr>
        <w:trPr>
          <w:jc w:val="center"/>
          <w:trHeight w:val="1510"/>
        </w:trPr>
        <w:tc>
          <w:tcPr>
            <w:tcW w:w="798"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10</w:t>
            </w:r>
            <w:r/>
          </w:p>
        </w:tc>
        <w:tc>
          <w:tcPr>
            <w:tcW w:w="2163"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信用记录</w:t>
            </w:r>
            <w:r/>
          </w:p>
        </w:tc>
        <w:tc>
          <w:tcPr>
            <w:tcW w:w="5358" w:type="dxa"/>
            <w:vAlign w:val="top"/>
            <w:textDirection w:val="lrTb"/>
            <w:noWrap/>
          </w:tcPr>
          <w:p>
            <w:pPr>
              <w:jc w:val="left"/>
              <w:rPr>
                <w:rFonts w:hint="eastAsia" w:ascii="宋体" w:hAnsi="宋体" w:cs="宋体"/>
                <w:bCs/>
                <w:color w:val="000000"/>
                <w:sz w:val="24"/>
                <w:szCs w:val="24"/>
              </w:rPr>
            </w:pPr>
            <w:r>
              <w:rPr>
                <w:rFonts w:hint="eastAsia" w:ascii="宋体" w:hAnsi="宋体" w:cs="宋体"/>
                <w:bCs/>
                <w:color w:val="000000"/>
                <w:sz w:val="24"/>
                <w:szCs w:val="24"/>
              </w:rPr>
              <w:t xml:space="preserve">供应商未被列入“信用中国”网站（</w:t>
            </w:r>
            <w:r>
              <w:fldChar w:fldCharType="begin"/>
            </w:r>
            <w:r>
              <w:instrText xml:space="preserve">HYPERLINK "http://www.creditchina.gov.cn"</w:instrText>
            </w:r>
            <w:r>
              <w:fldChar w:fldCharType="separate"/>
            </w:r>
            <w:r>
              <w:rPr>
                <w:rFonts w:hint="eastAsia" w:ascii="宋体" w:hAnsi="宋体" w:cs="宋体"/>
                <w:bCs/>
                <w:color w:val="000000"/>
                <w:sz w:val="24"/>
                <w:szCs w:val="24"/>
              </w:rPr>
              <w:t xml:space="preserve">www.creditchina.gov.cn</w:t>
            </w:r>
            <w:r>
              <w:fldChar w:fldCharType="end"/>
            </w:r>
            <w:r>
              <w:rPr>
                <w:rFonts w:hint="eastAsia" w:ascii="宋体" w:hAnsi="宋体" w:cs="宋体"/>
                <w:bCs/>
                <w:color w:val="000000"/>
                <w:sz w:val="24"/>
                <w:szCs w:val="24"/>
              </w:rPr>
              <w:t xml:space="preserve">）、中国政府采购网（www.ccgp.gov.cn）查询投标供应商在投标截止时间之前，是否被列入失信被执行人、重大税收违法案件当事人名单、政府采购严重违法失信行为记录名单</w:t>
            </w:r>
            <w:r/>
          </w:p>
        </w:tc>
      </w:tr>
      <w:tr>
        <w:trPr>
          <w:jc w:val="center"/>
          <w:trHeight w:val="1009"/>
        </w:trPr>
        <w:tc>
          <w:tcPr>
            <w:tcW w:w="798"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11</w:t>
            </w:r>
            <w:r/>
          </w:p>
        </w:tc>
        <w:tc>
          <w:tcPr>
            <w:tcW w:w="2163" w:type="dxa"/>
            <w:vAlign w:val="center"/>
            <w:textDirection w:val="lrTb"/>
            <w:noWrap/>
          </w:tcPr>
          <w:p>
            <w:pPr>
              <w:jc w:val="center"/>
              <w:rPr>
                <w:rFonts w:ascii="宋体" w:hAnsi="宋体" w:cs="宋体"/>
                <w:sz w:val="24"/>
                <w:szCs w:val="24"/>
              </w:rPr>
            </w:pPr>
            <w:r>
              <w:rPr>
                <w:rFonts w:hint="eastAsia" w:ascii="宋体" w:hAnsi="宋体" w:cs="宋体"/>
                <w:bCs/>
                <w:color w:val="000000"/>
                <w:sz w:val="24"/>
                <w:szCs w:val="24"/>
              </w:rPr>
              <w:t xml:space="preserve">特定资质</w:t>
            </w:r>
            <w:r/>
          </w:p>
        </w:tc>
        <w:tc>
          <w:tcPr>
            <w:tcW w:w="5358" w:type="dxa"/>
            <w:vAlign w:val="center"/>
            <w:textDirection w:val="lrTb"/>
            <w:noWrap/>
          </w:tcPr>
          <w:p>
            <w:pPr>
              <w:jc w:val="left"/>
              <w:rPr>
                <w:rFonts w:ascii="宋体" w:hAnsi="宋体" w:cs="宋体"/>
                <w:bCs/>
                <w:color w:val="000000"/>
                <w:sz w:val="24"/>
                <w:szCs w:val="24"/>
              </w:rPr>
            </w:pPr>
            <w:r>
              <w:rPr>
                <w:rFonts w:hint="eastAsia" w:ascii="宋体" w:hAnsi="宋体" w:cs="宋体"/>
                <w:b/>
                <w:bCs/>
                <w:color w:val="000000"/>
                <w:sz w:val="24"/>
                <w:szCs w:val="24"/>
              </w:rPr>
              <w:t xml:space="preserve">详见“投标邀请函”-“投标供应商资格要求”之4中要求</w:t>
            </w:r>
            <w:r/>
          </w:p>
        </w:tc>
      </w:tr>
    </w:tbl>
    <w:p>
      <w:pPr>
        <w:ind w:firstLine="480"/>
        <w:spacing w:line="360" w:lineRule="auto"/>
        <w:tabs>
          <w:tab w:val="left" w:pos="525" w:leader="none"/>
          <w:tab w:val="left" w:pos="1050" w:leader="none"/>
        </w:tabs>
        <w:rPr>
          <w:rFonts w:ascii="宋体" w:hAnsi="宋体" w:cs="宋体"/>
          <w:b/>
          <w:color w:val="000000"/>
          <w:sz w:val="24"/>
          <w:szCs w:val="24"/>
        </w:rPr>
      </w:pPr>
      <w:r>
        <w:rPr>
          <w:rFonts w:hint="eastAsia" w:ascii="宋体" w:hAnsi="宋体" w:cs="宋体"/>
          <w:bCs/>
          <w:color w:val="000000"/>
          <w:sz w:val="24"/>
          <w:szCs w:val="24"/>
        </w:rPr>
        <w:t xml:space="preserve">②符合性检查。评标委员会依据招标文件的规定，从投标文件的有效性、完整性和对招标文件的响应程度进行审查，以确定是否对招标文件的实质性要求作出响应。</w:t>
      </w:r>
      <w:r>
        <w:rPr>
          <w:rFonts w:hint="eastAsia" w:ascii="宋体" w:hAnsi="宋体" w:cs="宋体"/>
          <w:b/>
          <w:color w:val="000000"/>
          <w:sz w:val="24"/>
          <w:szCs w:val="24"/>
        </w:rPr>
        <w:t xml:space="preserve">符合性审查不合格的投标供应商的投标文件不进入后续评审。</w:t>
      </w:r>
      <w:r/>
    </w:p>
    <w:p>
      <w:pPr>
        <w:jc w:val="center"/>
        <w:spacing w:line="360" w:lineRule="auto"/>
        <w:rPr>
          <w:b/>
          <w:bCs/>
          <w:sz w:val="28"/>
          <w:szCs w:val="22"/>
        </w:rPr>
      </w:pPr>
      <w:r>
        <w:rPr>
          <w:rFonts w:hint="eastAsia"/>
          <w:b/>
          <w:bCs/>
          <w:sz w:val="28"/>
          <w:szCs w:val="22"/>
        </w:rPr>
        <w:t xml:space="preserve">符合性审查表</w:t>
      </w:r>
      <w:r/>
    </w:p>
    <w:tbl>
      <w:tblPr>
        <w:tblStyle w:val="783"/>
        <w:tblW w:w="8497"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601"/>
        <w:gridCol w:w="5113"/>
      </w:tblGrid>
      <w:tr>
        <w:trPr>
          <w:trHeight w:val="661"/>
        </w:trPr>
        <w:tc>
          <w:tcPr>
            <w:tcW w:w="783"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序号</w:t>
            </w:r>
            <w:r/>
          </w:p>
        </w:tc>
        <w:tc>
          <w:tcPr>
            <w:tcW w:w="2601"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评审点要求概况</w:t>
            </w:r>
            <w:r/>
          </w:p>
        </w:tc>
        <w:tc>
          <w:tcPr>
            <w:tcW w:w="5113" w:type="dxa"/>
            <w:vAlign w:val="center"/>
            <w:textDirection w:val="lrTb"/>
            <w:noWrap/>
          </w:tcPr>
          <w:p>
            <w:pPr>
              <w:rPr>
                <w:rFonts w:ascii="宋体" w:hAnsi="宋体" w:cs="宋体"/>
                <w:b/>
                <w:bCs/>
                <w:sz w:val="24"/>
                <w:szCs w:val="24"/>
              </w:rPr>
            </w:pPr>
            <w:r>
              <w:rPr>
                <w:rFonts w:hint="eastAsia" w:ascii="宋体" w:hAnsi="宋体" w:cs="宋体"/>
                <w:b/>
                <w:bCs/>
                <w:sz w:val="24"/>
                <w:szCs w:val="24"/>
              </w:rPr>
              <w:t xml:space="preserve">评审点具体描述</w:t>
            </w:r>
            <w:r/>
          </w:p>
        </w:tc>
      </w:tr>
      <w:tr>
        <w:trPr>
          <w:trHeight w:val="698"/>
        </w:trPr>
        <w:tc>
          <w:tcPr>
            <w:tcW w:w="78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1</w:t>
            </w:r>
            <w:r/>
          </w:p>
        </w:tc>
        <w:tc>
          <w:tcPr>
            <w:tcW w:w="2601"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投标函</w:t>
            </w:r>
            <w:r/>
          </w:p>
        </w:tc>
        <w:tc>
          <w:tcPr>
            <w:tcW w:w="5113" w:type="dxa"/>
            <w:vAlign w:val="center"/>
            <w:textDirection w:val="lrTb"/>
            <w:noWrap/>
          </w:tcPr>
          <w:p>
            <w:pPr>
              <w:jc w:val="left"/>
              <w:rPr>
                <w:rFonts w:ascii="宋体" w:hAnsi="宋体" w:cs="宋体"/>
                <w:sz w:val="24"/>
                <w:szCs w:val="24"/>
              </w:rPr>
            </w:pPr>
            <w:r>
              <w:rPr>
                <w:rFonts w:hint="eastAsia" w:ascii="宋体" w:hAnsi="宋体" w:cs="宋体"/>
                <w:bCs/>
                <w:sz w:val="24"/>
                <w:szCs w:val="24"/>
              </w:rPr>
              <w:t xml:space="preserve">按招标文件填写，格式见附件</w:t>
            </w:r>
            <w:r/>
          </w:p>
        </w:tc>
      </w:tr>
      <w:tr>
        <w:trPr>
          <w:trHeight w:val="877"/>
        </w:trPr>
        <w:tc>
          <w:tcPr>
            <w:tcW w:w="78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2</w:t>
            </w:r>
            <w:r/>
          </w:p>
        </w:tc>
        <w:tc>
          <w:tcPr>
            <w:tcW w:w="2601"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开标一览表</w:t>
            </w:r>
            <w:r/>
          </w:p>
        </w:tc>
        <w:tc>
          <w:tcPr>
            <w:tcW w:w="5113" w:type="dxa"/>
            <w:vAlign w:val="center"/>
            <w:textDirection w:val="lrTb"/>
            <w:noWrap/>
          </w:tcPr>
          <w:p>
            <w:pPr>
              <w:pStyle w:val="840"/>
              <w:ind w:left="0"/>
              <w:jc w:val="left"/>
            </w:pPr>
            <w:r>
              <w:rPr>
                <w:rFonts w:hint="eastAsia" w:ascii="宋体" w:hAnsi="宋体" w:cs="宋体"/>
                <w:bCs/>
                <w:sz w:val="24"/>
              </w:rPr>
              <w:t xml:space="preserve">按招标文件填写，格式见附件</w:t>
            </w:r>
            <w:r/>
          </w:p>
        </w:tc>
      </w:tr>
      <w:tr>
        <w:trPr>
          <w:trHeight w:val="776"/>
        </w:trPr>
        <w:tc>
          <w:tcPr>
            <w:tcW w:w="78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3</w:t>
            </w:r>
            <w:r/>
          </w:p>
        </w:tc>
        <w:tc>
          <w:tcPr>
            <w:tcW w:w="2601"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报价明细表</w:t>
            </w:r>
            <w:r/>
          </w:p>
        </w:tc>
        <w:tc>
          <w:tcPr>
            <w:tcW w:w="5113" w:type="dxa"/>
            <w:vAlign w:val="center"/>
            <w:textDirection w:val="lrTb"/>
            <w:noWrap/>
          </w:tcPr>
          <w:p>
            <w:pPr>
              <w:jc w:val="left"/>
              <w:tabs>
                <w:tab w:val="left" w:pos="1050" w:leader="none"/>
              </w:tabs>
              <w:rPr>
                <w:rFonts w:ascii="宋体" w:hAnsi="宋体" w:cs="宋体"/>
                <w:bCs/>
                <w:sz w:val="24"/>
                <w:szCs w:val="24"/>
              </w:rPr>
            </w:pPr>
            <w:r>
              <w:rPr>
                <w:rFonts w:hint="eastAsia" w:ascii="宋体" w:hAnsi="宋体" w:cs="宋体"/>
                <w:bCs/>
                <w:sz w:val="24"/>
                <w:szCs w:val="24"/>
              </w:rPr>
              <w:t xml:space="preserve">按招标文件填写，格式见附件</w:t>
            </w:r>
            <w:r/>
          </w:p>
        </w:tc>
      </w:tr>
      <w:tr>
        <w:trPr>
          <w:trHeight w:val="651"/>
        </w:trPr>
        <w:tc>
          <w:tcPr>
            <w:tcW w:w="78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4</w:t>
            </w:r>
            <w:r/>
          </w:p>
        </w:tc>
        <w:tc>
          <w:tcPr>
            <w:tcW w:w="2601"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投标偏离表</w:t>
            </w:r>
            <w:r/>
          </w:p>
        </w:tc>
        <w:tc>
          <w:tcPr>
            <w:tcW w:w="5113" w:type="dxa"/>
            <w:vAlign w:val="center"/>
            <w:textDirection w:val="lrTb"/>
            <w:noWrap/>
          </w:tcPr>
          <w:p>
            <w:pPr>
              <w:jc w:val="left"/>
              <w:rPr>
                <w:rFonts w:ascii="宋体" w:hAnsi="宋体" w:cs="宋体"/>
                <w:bCs/>
                <w:sz w:val="24"/>
                <w:szCs w:val="24"/>
              </w:rPr>
            </w:pPr>
            <w:r>
              <w:rPr>
                <w:rFonts w:hint="eastAsia" w:ascii="宋体" w:hAnsi="宋体" w:cs="宋体"/>
                <w:bCs/>
                <w:sz w:val="24"/>
                <w:szCs w:val="24"/>
              </w:rPr>
              <w:t xml:space="preserve">按招标文件填写，格式见附件</w:t>
            </w:r>
            <w:r/>
          </w:p>
        </w:tc>
      </w:tr>
      <w:tr>
        <w:trPr>
          <w:trHeight w:val="651"/>
        </w:trPr>
        <w:tc>
          <w:tcPr>
            <w:tcW w:w="78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5</w:t>
            </w:r>
            <w:r/>
          </w:p>
        </w:tc>
        <w:tc>
          <w:tcPr>
            <w:tcW w:w="2601"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承诺书一、二、三、四、五</w:t>
            </w:r>
            <w:r/>
          </w:p>
        </w:tc>
        <w:tc>
          <w:tcPr>
            <w:tcW w:w="5113" w:type="dxa"/>
            <w:vAlign w:val="center"/>
            <w:textDirection w:val="lrTb"/>
            <w:noWrap/>
          </w:tcPr>
          <w:p>
            <w:pPr>
              <w:jc w:val="left"/>
              <w:rPr>
                <w:rFonts w:ascii="宋体" w:hAnsi="宋体" w:cs="宋体"/>
                <w:bCs/>
                <w:sz w:val="24"/>
                <w:szCs w:val="24"/>
              </w:rPr>
            </w:pPr>
            <w:r>
              <w:rPr>
                <w:rFonts w:hint="eastAsia" w:ascii="宋体" w:hAnsi="宋体" w:cs="宋体"/>
                <w:bCs/>
                <w:sz w:val="24"/>
                <w:szCs w:val="24"/>
              </w:rPr>
              <w:t xml:space="preserve">格式见附件</w:t>
            </w:r>
            <w:r/>
          </w:p>
        </w:tc>
      </w:tr>
      <w:tr>
        <w:trPr>
          <w:trHeight w:val="810"/>
        </w:trPr>
        <w:tc>
          <w:tcPr>
            <w:tcW w:w="78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6</w:t>
            </w:r>
            <w:r/>
          </w:p>
        </w:tc>
        <w:tc>
          <w:tcPr>
            <w:tcW w:w="2601"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人员配备表</w:t>
            </w:r>
            <w:r/>
          </w:p>
        </w:tc>
        <w:tc>
          <w:tcPr>
            <w:tcW w:w="5113" w:type="dxa"/>
            <w:vAlign w:val="center"/>
            <w:textDirection w:val="lrTb"/>
            <w:noWrap/>
          </w:tcPr>
          <w:p>
            <w:pPr>
              <w:jc w:val="left"/>
              <w:rPr>
                <w:rFonts w:ascii="宋体" w:hAnsi="宋体" w:cs="宋体"/>
                <w:bCs/>
                <w:sz w:val="24"/>
                <w:szCs w:val="24"/>
              </w:rPr>
            </w:pPr>
            <w:r>
              <w:rPr>
                <w:rFonts w:hint="eastAsia" w:ascii="宋体" w:hAnsi="宋体" w:cs="宋体"/>
                <w:bCs/>
                <w:sz w:val="24"/>
                <w:szCs w:val="24"/>
              </w:rPr>
              <w:t xml:space="preserve">按招标文件填写，格式见附件</w:t>
            </w:r>
            <w:r/>
          </w:p>
        </w:tc>
      </w:tr>
      <w:tr>
        <w:trPr>
          <w:trHeight w:val="711"/>
        </w:trPr>
        <w:tc>
          <w:tcPr>
            <w:tcW w:w="78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7</w:t>
            </w:r>
            <w:r/>
          </w:p>
        </w:tc>
        <w:tc>
          <w:tcPr>
            <w:tcW w:w="2601" w:type="dxa"/>
            <w:vAlign w:val="center"/>
            <w:textDirection w:val="lrTb"/>
            <w:noWrap/>
          </w:tcPr>
          <w:p>
            <w:pPr>
              <w:jc w:val="center"/>
              <w:rPr>
                <w:rFonts w:ascii="宋体" w:hAnsi="宋体" w:cs="宋体"/>
                <w:sz w:val="24"/>
                <w:szCs w:val="24"/>
              </w:rPr>
            </w:pPr>
            <w:r>
              <w:rPr>
                <w:rFonts w:hint="eastAsia" w:ascii="宋体" w:hAnsi="宋体" w:cs="宋体"/>
                <w:bCs/>
                <w:sz w:val="24"/>
                <w:szCs w:val="24"/>
              </w:rPr>
              <w:t xml:space="preserve">满足“三.采购需求”</w:t>
            </w:r>
            <w:r/>
          </w:p>
        </w:tc>
        <w:tc>
          <w:tcPr>
            <w:tcW w:w="5113" w:type="dxa"/>
            <w:vAlign w:val="center"/>
            <w:textDirection w:val="lrTb"/>
            <w:noWrap/>
          </w:tcPr>
          <w:p>
            <w:pPr>
              <w:jc w:val="left"/>
              <w:tabs>
                <w:tab w:val="left" w:pos="1050" w:leader="none"/>
              </w:tabs>
              <w:rPr>
                <w:rFonts w:ascii="宋体" w:hAnsi="宋体" w:cs="宋体"/>
                <w:bCs/>
                <w:sz w:val="24"/>
                <w:szCs w:val="24"/>
              </w:rPr>
            </w:pPr>
            <w:r>
              <w:rPr>
                <w:rFonts w:hint="eastAsia" w:ascii="宋体" w:hAnsi="宋体" w:cs="宋体"/>
                <w:bCs/>
                <w:sz w:val="24"/>
                <w:szCs w:val="24"/>
              </w:rPr>
              <w:t xml:space="preserve">如有，按招标文件要求提供相关证明材料</w:t>
            </w:r>
            <w:r/>
          </w:p>
        </w:tc>
      </w:tr>
      <w:tr>
        <w:trPr>
          <w:trHeight w:val="776"/>
        </w:trPr>
        <w:tc>
          <w:tcPr>
            <w:tcW w:w="78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8</w:t>
            </w:r>
            <w:r/>
          </w:p>
        </w:tc>
        <w:tc>
          <w:tcPr>
            <w:tcW w:w="2601" w:type="dxa"/>
            <w:vAlign w:val="center"/>
            <w:textDirection w:val="lrTb"/>
            <w:noWrap/>
          </w:tcPr>
          <w:p>
            <w:pPr>
              <w:jc w:val="center"/>
              <w:rPr>
                <w:rFonts w:ascii="宋体" w:hAnsi="宋体" w:cs="宋体"/>
                <w:sz w:val="24"/>
                <w:szCs w:val="24"/>
              </w:rPr>
            </w:pPr>
            <w:r>
              <w:rPr>
                <w:rFonts w:hint="eastAsia" w:ascii="宋体" w:hAnsi="宋体" w:cs="宋体"/>
                <w:bCs/>
                <w:sz w:val="24"/>
                <w:szCs w:val="24"/>
              </w:rPr>
              <w:t xml:space="preserve">投标文件内容</w:t>
            </w:r>
            <w:r/>
          </w:p>
        </w:tc>
        <w:tc>
          <w:tcPr>
            <w:tcW w:w="5113" w:type="dxa"/>
            <w:vAlign w:val="center"/>
            <w:textDirection w:val="lrTb"/>
            <w:noWrap/>
          </w:tcPr>
          <w:p>
            <w:pPr>
              <w:jc w:val="left"/>
              <w:rPr>
                <w:rFonts w:ascii="宋体" w:hAnsi="宋体" w:cs="宋体"/>
                <w:sz w:val="24"/>
                <w:szCs w:val="24"/>
              </w:rPr>
            </w:pPr>
            <w:r>
              <w:rPr>
                <w:rFonts w:hint="eastAsia" w:ascii="宋体" w:hAnsi="宋体" w:cs="宋体"/>
                <w:sz w:val="24"/>
                <w:szCs w:val="24"/>
              </w:rPr>
              <w:t xml:space="preserve">不存在供应商须知第十条中的情形</w:t>
            </w:r>
            <w:r/>
          </w:p>
        </w:tc>
      </w:tr>
    </w:tbl>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2）澄清有关问题。对投标文件中含义不明确、同类问题表述不一致或者有明显文字和计算错误的内容，评标委员会可以通过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（3）比较与评价。评标委员会按招标文件中规定的评标方法和标准，对资格性检查和标准，对资格性检查和符合性检查合格的投标文件进行商务和技术评估，综合比较与评价。</w:t>
      </w:r>
      <w:r/>
    </w:p>
    <w:p>
      <w:pPr>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7.</w:t>
      </w:r>
      <w:r>
        <w:rPr>
          <w:rFonts w:hint="eastAsia" w:ascii="宋体" w:hAnsi="宋体" w:cs="宋体"/>
          <w:bCs/>
          <w:color w:val="000000"/>
          <w:sz w:val="24"/>
          <w:szCs w:val="24"/>
        </w:rPr>
        <w:t xml:space="preserve">评标方法</w:t>
      </w:r>
      <w:r/>
    </w:p>
    <w:p>
      <w:pPr>
        <w:ind w:firstLine="523"/>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投标供应商通过初审的，方可进入</w:t>
      </w:r>
      <w:r>
        <w:rPr>
          <w:rFonts w:hint="eastAsia" w:ascii="宋体" w:hAnsi="宋体" w:cs="宋体"/>
          <w:bCs/>
          <w:color w:val="000000"/>
          <w:sz w:val="24"/>
        </w:rPr>
        <w:t xml:space="preserve">比较与评价程序</w:t>
      </w:r>
      <w:r>
        <w:rPr>
          <w:rFonts w:hint="eastAsia" w:ascii="宋体" w:hAnsi="宋体" w:cs="宋体"/>
          <w:bCs/>
          <w:color w:val="000000"/>
          <w:sz w:val="24"/>
          <w:szCs w:val="24"/>
        </w:rPr>
        <w:t xml:space="preserve">。</w:t>
      </w:r>
      <w:r/>
    </w:p>
    <w:p>
      <w:pPr>
        <w:ind w:firstLine="523"/>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rPr>
        <w:t xml:space="preserve">比较与评价</w:t>
      </w:r>
      <w:r>
        <w:rPr>
          <w:rFonts w:hint="eastAsia" w:ascii="宋体" w:hAnsi="宋体" w:cs="宋体"/>
          <w:bCs/>
          <w:color w:val="000000"/>
          <w:sz w:val="24"/>
          <w:szCs w:val="24"/>
        </w:rPr>
        <w:t xml:space="preserve">采用综合评分法。</w:t>
      </w:r>
      <w:r/>
    </w:p>
    <w:p>
      <w:pPr>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按技术文件得分由高到低顺序排列。投标文件满足招标文件全部实质性要求，且按照评审因素的量化指标评审得分最高的投标人为排名第一的中标候选人。未列入本评分细则的其他条件不作为评分内容。</w:t>
      </w:r>
      <w:r/>
    </w:p>
    <w:p>
      <w:pPr>
        <w:numPr>
          <w:ilvl w:val="1"/>
          <w:numId w:val="0"/>
        </w:numPr>
        <w:ind w:left="1" w:firstLine="523"/>
        <w:spacing w:line="360" w:lineRule="auto"/>
        <w:tabs>
          <w:tab w:val="left" w:pos="525" w:leader="none"/>
          <w:tab w:val="left" w:pos="945" w:leader="none"/>
        </w:tabs>
        <w:rPr>
          <w:rFonts w:ascii="宋体" w:hAnsi="宋体" w:cs="宋体"/>
          <w:bCs/>
          <w:color w:val="000000"/>
          <w:sz w:val="24"/>
          <w:szCs w:val="24"/>
        </w:rPr>
      </w:pPr>
      <w:r>
        <w:rPr>
          <w:rFonts w:hint="eastAsia" w:ascii="宋体" w:hAnsi="宋体"/>
          <w:bCs/>
          <w:color w:val="000000"/>
          <w:sz w:val="24"/>
          <w:szCs w:val="24"/>
        </w:rPr>
        <w:t xml:space="preserve">8.</w:t>
      </w:r>
      <w:r>
        <w:rPr>
          <w:rFonts w:hint="eastAsia" w:ascii="宋体" w:hAnsi="宋体" w:cs="宋体"/>
          <w:bCs/>
          <w:color w:val="000000"/>
          <w:sz w:val="24"/>
          <w:szCs w:val="24"/>
        </w:rPr>
        <w:t xml:space="preserve">评分标准：详见附件。</w:t>
      </w:r>
      <w:r/>
    </w:p>
    <w:p>
      <w:pPr>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（十二）定标</w:t>
      </w:r>
      <w:r/>
    </w:p>
    <w:p>
      <w:pPr>
        <w:ind w:firstLine="48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评标委员会根据招标文件规定的评标方法和评标标准进行评审，按得分由高到低的原则推荐中标候选人，采购代理机构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采购代理机构将在江苏政府采购网上、中国政府采购网发布中标公告。采购代理机构和评标委员会对未中标原因不作解释。</w:t>
      </w:r>
      <w:r/>
    </w:p>
    <w:p>
      <w:pPr>
        <w:ind w:firstLine="480"/>
        <w:spacing w:line="360" w:lineRule="auto"/>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在发布中标公告的同时，</w:t>
      </w:r>
      <w:r>
        <w:rPr>
          <w:rFonts w:hint="eastAsia" w:ascii="宋体" w:hAnsi="宋体"/>
          <w:bCs/>
          <w:color w:val="000000"/>
          <w:sz w:val="24"/>
          <w:szCs w:val="24"/>
        </w:rPr>
        <w:t xml:space="preserve">采购代理机构</w:t>
      </w:r>
      <w:r>
        <w:rPr>
          <w:rFonts w:ascii="宋体" w:hAnsi="宋体"/>
          <w:bCs/>
          <w:sz w:val="24"/>
          <w:szCs w:val="24"/>
        </w:rPr>
        <w:t xml:space="preserve">将向中标供应商</w:t>
      </w:r>
      <w:r>
        <w:rPr>
          <w:rFonts w:hint="eastAsia" w:ascii="宋体" w:hAnsi="宋体"/>
          <w:bCs/>
          <w:sz w:val="24"/>
          <w:szCs w:val="24"/>
        </w:rPr>
        <w:t xml:space="preserve">签</w:t>
      </w:r>
      <w:r>
        <w:rPr>
          <w:rFonts w:ascii="宋体" w:hAnsi="宋体"/>
          <w:bCs/>
          <w:sz w:val="24"/>
          <w:szCs w:val="24"/>
        </w:rPr>
        <w:t xml:space="preserve">发中标通知书。</w:t>
      </w:r>
      <w:r>
        <w:rPr>
          <w:rFonts w:hint="eastAsia" w:ascii="宋体" w:hAnsi="宋体" w:cs="宋体"/>
          <w:bCs/>
          <w:sz w:val="24"/>
          <w:szCs w:val="24"/>
        </w:rPr>
        <w:t xml:space="preserve">请</w:t>
      </w:r>
      <w:r>
        <w:rPr>
          <w:rFonts w:ascii="宋体" w:hAnsi="宋体"/>
          <w:bCs/>
          <w:sz w:val="24"/>
          <w:szCs w:val="24"/>
        </w:rPr>
        <w:t xml:space="preserve">中标供应商</w:t>
      </w:r>
      <w:r>
        <w:rPr>
          <w:rFonts w:hint="eastAsia" w:ascii="宋体" w:hAnsi="宋体" w:cs="宋体"/>
          <w:bCs/>
          <w:sz w:val="24"/>
          <w:szCs w:val="24"/>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w:t>
      </w:r>
      <w:r>
        <w:rPr>
          <w:rFonts w:ascii="宋体" w:hAnsi="宋体"/>
          <w:bCs/>
          <w:sz w:val="24"/>
          <w:szCs w:val="24"/>
        </w:rPr>
        <w:t xml:space="preserve">中标供应商</w:t>
      </w:r>
      <w:r>
        <w:rPr>
          <w:rFonts w:hint="eastAsia" w:ascii="宋体" w:hAnsi="宋体" w:cs="宋体"/>
          <w:bCs/>
          <w:sz w:val="24"/>
          <w:szCs w:val="24"/>
        </w:rPr>
        <w:t xml:space="preserve">均具有法律效力。中标通知书发出后，采购人改变中标结果的，或者</w:t>
      </w:r>
      <w:r>
        <w:rPr>
          <w:rFonts w:ascii="宋体" w:hAnsi="宋体"/>
          <w:bCs/>
          <w:sz w:val="24"/>
          <w:szCs w:val="24"/>
        </w:rPr>
        <w:t xml:space="preserve">中标供应商</w:t>
      </w:r>
      <w:r>
        <w:rPr>
          <w:rFonts w:hint="eastAsia" w:ascii="宋体" w:hAnsi="宋体" w:cs="宋体"/>
          <w:bCs/>
          <w:sz w:val="24"/>
          <w:szCs w:val="24"/>
        </w:rPr>
        <w:t xml:space="preserve">放弃中标项目的，应当依法承担法律责任。</w:t>
      </w:r>
      <w:r/>
    </w:p>
    <w:p>
      <w:pPr>
        <w:ind w:firstLine="480"/>
        <w:spacing w:line="360" w:lineRule="auto"/>
        <w:rPr>
          <w:rFonts w:ascii="宋体" w:hAnsi="宋体"/>
          <w:bCs/>
          <w:sz w:val="24"/>
          <w:szCs w:val="24"/>
        </w:rPr>
      </w:pPr>
      <w:r/>
      <w:bookmarkStart w:id="4" w:name="_Hlk169189346"/>
      <w:r>
        <w:rPr>
          <w:rFonts w:ascii="宋体" w:hAnsi="宋体"/>
          <w:bCs/>
          <w:sz w:val="24"/>
          <w:szCs w:val="24"/>
        </w:rPr>
        <w:t xml:space="preserve">3</w:t>
      </w:r>
      <w:r>
        <w:rPr>
          <w:rFonts w:hint="eastAsia" w:ascii="宋体" w:hAnsi="宋体"/>
          <w:bCs/>
          <w:sz w:val="24"/>
          <w:szCs w:val="24"/>
        </w:rPr>
        <w:t xml:space="preserve">.投标供应商电子投标文件将作为电子档案保存。</w:t>
      </w:r>
      <w:bookmarkEnd w:id="4"/>
      <w:r/>
      <w:r/>
    </w:p>
    <w:p>
      <w:pPr>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（十三）质疑处理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供应商认为招标文件、采购过程、中标结果使自己的权益受到损害的，可以在知道或者应知其权益受到损害之日起7个工作日内，以书面形式向采购人、采购代理机构提出质疑。上述应知其权益受到损害之日具体指：</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（1）对采购文件提出质疑的，为获取招标文件或者招标文件公告期限届满之日；</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（2）对采购过程提出质疑的，为各采购程序环节结束之日；</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（3）对中标结果提出质疑的，为中标结果公告期限届满之日。</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2.针对同一采购程序环节的质疑，须在法定质疑期内一次性提出。供应商如在法定期限内对同一采购程序环节提出多次质疑的，采购人、采购代理机构将只对供应商第一次质疑作出答复。</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提出质疑的供应商应当是参与所质疑项目采购活动的供应商。在提供书面质疑的同时须提供已依法获取招标文件的证明，采购人或采购代理机构有权向苏采云系统平台进行核实。已依法获取招标文件的证明是指：本项目的《投标供应商确认函》和已在“苏采云”系统中对本项目招标文件进行有效获取的界面截图（即在供应商的界面操作一栏处能够显示“上传文件”按钮和供应商名称的截图，方可代表该供应商在本文件有效获取期限内已从“苏采云”系统中进行了招标文件的获取）。</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4.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5.采购人、采购代理机构只接收以纸质原件形式送达的质疑，质疑供应商可通过面交或邮寄方式送达（采购人和采购代理机构不接受未填写快递运单的快件）。</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6.以下情形的质疑不予受理</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（1）质疑函的填写不符合《政府采购质疑和投诉办法》第十二条规定的内容要求。</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（2）超出政府采购法定期限的质疑。</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（3）以电子邮件等方式递交的非原件形式的质疑。</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（4）未参加投标活动的供应商或在投标活动中自身权益未受到损害的供应商所提出的质疑。</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（5）供应商组成联合体参加投标，联合体中任何一方或多方未按要求签字、盖章、加盖公章的质疑。</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7.采购人、采购代理机构将在收到符合要求的书面质疑后七个工作日内，对质疑内容作出答复。</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8.供应商提出书面质疑必须有理、有据，如质疑查无实据或供应商捏造事实，提供虚假材料进行恶意质疑或举报，不配合或采用不正当手段干扰政府采购事宜的，一经查实，采购人、采购代理机构有权依据政府采购的有关规定，报请政府采购监管部门对该供应商进行相应的行政处罚和该供应商失信信息的记录。</w:t>
      </w:r>
      <w:r/>
    </w:p>
    <w:p>
      <w:pPr>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（十四）废标的确认</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在招标采购中，出现下列情况之一的，应予废标：</w:t>
      </w:r>
      <w:r/>
    </w:p>
    <w:p>
      <w:pPr>
        <w:ind w:firstLine="525"/>
        <w:spacing w:line="360" w:lineRule="auto"/>
        <w:tabs>
          <w:tab w:val="left" w:pos="525" w:leader="none"/>
          <w:tab w:val="left" w:pos="945" w:leader="none"/>
          <w:tab w:val="left" w:pos="1260" w:leader="none"/>
        </w:tabs>
        <w:rPr>
          <w:rFonts w:ascii="宋体" w:hAnsi="宋体" w:cs="宋体"/>
          <w:bCs/>
          <w:color w:val="000000"/>
          <w:sz w:val="24"/>
          <w:szCs w:val="24"/>
        </w:rPr>
      </w:pPr>
      <w:r>
        <w:rPr>
          <w:rFonts w:hint="eastAsia" w:ascii="宋体" w:hAnsi="宋体"/>
          <w:bCs/>
          <w:color w:val="000000"/>
          <w:sz w:val="24"/>
          <w:szCs w:val="24"/>
        </w:rPr>
        <w:t xml:space="preserve">1.</w:t>
      </w:r>
      <w:r>
        <w:rPr>
          <w:rFonts w:hint="eastAsia" w:ascii="宋体" w:hAnsi="宋体" w:cs="宋体"/>
          <w:bCs/>
          <w:color w:val="000000"/>
          <w:sz w:val="24"/>
          <w:szCs w:val="24"/>
        </w:rPr>
        <w:t xml:space="preserve">符合专业条件的投标供应商或者对招标文件作出实质性响应的投标供应商不足三家；</w:t>
      </w:r>
      <w:r/>
    </w:p>
    <w:p>
      <w:pPr>
        <w:ind w:firstLine="525"/>
        <w:spacing w:line="360" w:lineRule="auto"/>
        <w:tabs>
          <w:tab w:val="left" w:pos="525" w:leader="none"/>
          <w:tab w:val="left" w:pos="945" w:leader="none"/>
          <w:tab w:val="left" w:pos="1260" w:leader="none"/>
        </w:tabs>
        <w:rPr>
          <w:rFonts w:ascii="宋体" w:hAnsi="宋体" w:cs="宋体"/>
          <w:bCs/>
          <w:color w:val="000000"/>
          <w:sz w:val="24"/>
          <w:szCs w:val="24"/>
        </w:rPr>
      </w:pPr>
      <w:r>
        <w:rPr>
          <w:rFonts w:hint="eastAsia" w:ascii="宋体" w:hAnsi="宋体"/>
          <w:bCs/>
          <w:color w:val="000000"/>
          <w:sz w:val="24"/>
          <w:szCs w:val="24"/>
        </w:rPr>
        <w:t xml:space="preserve">2.</w:t>
      </w:r>
      <w:r>
        <w:rPr>
          <w:rFonts w:hint="eastAsia" w:ascii="宋体" w:hAnsi="宋体" w:cs="宋体"/>
          <w:bCs/>
          <w:color w:val="000000"/>
          <w:sz w:val="24"/>
          <w:szCs w:val="24"/>
        </w:rPr>
        <w:t xml:space="preserve">出现影响采购公正的违法、违规行为；</w:t>
      </w:r>
      <w:r/>
    </w:p>
    <w:p>
      <w:pPr>
        <w:ind w:firstLine="525"/>
        <w:spacing w:line="360" w:lineRule="auto"/>
        <w:tabs>
          <w:tab w:val="left" w:pos="525" w:leader="none"/>
          <w:tab w:val="left" w:pos="945" w:leader="none"/>
          <w:tab w:val="left" w:pos="1260" w:leader="none"/>
        </w:tabs>
        <w:rPr>
          <w:rFonts w:ascii="宋体" w:hAnsi="宋体" w:cs="宋体"/>
          <w:bCs/>
          <w:color w:val="000000"/>
          <w:sz w:val="24"/>
          <w:szCs w:val="24"/>
        </w:rPr>
      </w:pPr>
      <w:r>
        <w:rPr>
          <w:rFonts w:hint="eastAsia" w:ascii="宋体" w:hAnsi="宋体"/>
          <w:bCs/>
          <w:color w:val="000000"/>
          <w:sz w:val="24"/>
          <w:szCs w:val="24"/>
        </w:rPr>
        <w:t xml:space="preserve">3.</w:t>
      </w:r>
      <w:r>
        <w:rPr>
          <w:rFonts w:hint="eastAsia" w:ascii="宋体" w:hAnsi="宋体" w:cs="宋体"/>
          <w:bCs/>
          <w:color w:val="000000"/>
          <w:sz w:val="24"/>
          <w:szCs w:val="24"/>
        </w:rPr>
        <w:t xml:space="preserve">投标供应商的报价均超过采购预算，采购人不能支付的；</w:t>
      </w:r>
      <w:r/>
    </w:p>
    <w:p>
      <w:pPr>
        <w:ind w:firstLine="525"/>
        <w:spacing w:line="360" w:lineRule="auto"/>
        <w:tabs>
          <w:tab w:val="right" w:pos="180" w:leader="none"/>
          <w:tab w:val="left" w:pos="525" w:leader="none"/>
          <w:tab w:val="left" w:pos="945" w:leader="none"/>
          <w:tab w:val="left" w:pos="1260" w:leader="none"/>
        </w:tabs>
        <w:rPr>
          <w:rFonts w:ascii="宋体" w:hAnsi="宋体" w:cs="宋体"/>
          <w:bCs/>
          <w:color w:val="000000"/>
          <w:sz w:val="24"/>
          <w:szCs w:val="24"/>
        </w:rPr>
      </w:pPr>
      <w:r>
        <w:rPr>
          <w:rFonts w:hint="eastAsia" w:ascii="宋体" w:hAnsi="宋体"/>
          <w:bCs/>
          <w:color w:val="000000"/>
          <w:sz w:val="24"/>
          <w:szCs w:val="24"/>
        </w:rPr>
        <w:t xml:space="preserve">4.</w:t>
      </w:r>
      <w:r>
        <w:rPr>
          <w:rFonts w:hint="eastAsia" w:ascii="宋体" w:hAnsi="宋体" w:cs="宋体"/>
          <w:bCs/>
          <w:color w:val="000000"/>
          <w:sz w:val="24"/>
          <w:szCs w:val="24"/>
        </w:rPr>
        <w:t xml:space="preserve">因重大变故，采购任务取消。</w:t>
      </w:r>
      <w:r/>
    </w:p>
    <w:p>
      <w:pPr>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（十五）中标无效的确认</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1.提供虚假材料谋取中标的；</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2.采取不正当手段诋毁、排挤其他供应商的；</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3.与采购人、其他供应商恶意串通的；</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4.向采购人行贿或者提供其他不正当利益的；</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5.在投标过程中与采购人进行协商谈判、不按照招标文件和中标供应商的投标文件订立合同，或者与采购人另行订立背离合同实质性内容的协议的；</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6.拒绝有关部门监督检查或者提供虚假情况的。</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供应商有上述序号1至序号5情形之一的，中标无效。有上述序号1至序号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spacing w:line="360" w:lineRule="auto"/>
        <w:tabs>
          <w:tab w:val="left" w:pos="945" w:leader="none"/>
        </w:tabs>
        <w:rPr>
          <w:rFonts w:ascii="宋体" w:hAnsi="宋体" w:cs="宋体"/>
          <w:b/>
          <w:color w:val="000000"/>
          <w:sz w:val="24"/>
          <w:szCs w:val="24"/>
        </w:rPr>
      </w:pPr>
      <w:r>
        <w:rPr>
          <w:rFonts w:hint="eastAsia" w:ascii="宋体" w:hAnsi="宋体" w:cs="宋体"/>
          <w:b/>
          <w:color w:val="000000"/>
          <w:sz w:val="24"/>
          <w:szCs w:val="24"/>
        </w:rPr>
        <w:t xml:space="preserve">（十六）签订、履行合同</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360" w:lineRule="auto"/>
        <w:tabs>
          <w:tab w:val="left" w:pos="945" w:leader="none"/>
        </w:tabs>
        <w:rPr>
          <w:rFonts w:ascii="宋体" w:hAnsi="宋体" w:cs="宋体"/>
          <w:bCs/>
          <w:sz w:val="24"/>
          <w:szCs w:val="24"/>
        </w:rPr>
      </w:pPr>
      <w:r>
        <w:rPr>
          <w:rFonts w:hint="eastAsia" w:ascii="宋体" w:hAnsi="宋体" w:cs="宋体"/>
          <w:bCs/>
          <w:sz w:val="24"/>
          <w:szCs w:val="24"/>
        </w:rPr>
        <w:t xml:space="preserve">2.中标供应商向采购人缴纳的履约保证金不超过政府采购合同总金额的10%。收取履约保证金的，采购人应当允许供应商自主选择以支票、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3.中标供应商非因不可抗力未履行招、投标文件和合同规定的义务，一经查实，采购代理机构将根据具体情况提请政府采购管理部门作出相应处理。</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具体以滨湖区政府相关部门规定为准。</w:t>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（十七）中标服务费</w:t>
      </w:r>
      <w:r/>
    </w:p>
    <w:p>
      <w:pPr>
        <w:ind w:firstLine="480"/>
        <w:spacing w:line="360" w:lineRule="auto"/>
        <w:tabs>
          <w:tab w:val="left" w:pos="1140" w:leader="none"/>
        </w:tabs>
        <w:rPr>
          <w:rFonts w:ascii="宋体" w:hAnsi="宋体" w:cs="宋体"/>
          <w:b/>
          <w:bCs/>
          <w:sz w:val="24"/>
        </w:rPr>
      </w:pPr>
      <w:r>
        <w:rPr>
          <w:rFonts w:hint="eastAsia" w:ascii="宋体" w:hAnsi="宋体" w:cs="宋体"/>
          <w:b/>
          <w:bCs/>
          <w:sz w:val="24"/>
        </w:rPr>
        <w:t xml:space="preserve">1.本项目采购代理服务费由中标供应商支付，招标代理服务费包含在本项目投标总报价中，招标工作内容完成后由中标供应商向采购代理机构一次性付清。</w:t>
      </w:r>
      <w:r/>
    </w:p>
    <w:p>
      <w:pPr>
        <w:ind w:firstLine="480"/>
        <w:spacing w:line="360" w:lineRule="auto"/>
        <w:tabs>
          <w:tab w:val="left" w:pos="1140" w:leader="none"/>
        </w:tabs>
        <w:rPr>
          <w:rFonts w:ascii="宋体" w:hAnsi="宋体" w:cs="宋体"/>
          <w:sz w:val="24"/>
        </w:rPr>
      </w:pPr>
      <w:r>
        <w:rPr>
          <w:rFonts w:hint="eastAsia" w:ascii="宋体" w:hAnsi="宋体" w:cs="宋体"/>
          <w:sz w:val="24"/>
        </w:rPr>
        <w:t xml:space="preserve">2.采购代理服务费以中标金额为计费依据，按差额定率累进法计算：中标金额100万元以下费率为1.5%；100万元-500万元部分费率为0.8%，500万元-1000万元部分费率为0.45%，1000万元-5000万元部分费率为0.25%，5000万元-10000万元按费率0.1%，10000万元-100000万元按费率0.05%，并按此基础的55%计取。</w:t>
      </w:r>
      <w:r/>
    </w:p>
    <w:p>
      <w:pPr>
        <w:ind w:firstLine="480"/>
        <w:spacing w:line="360" w:lineRule="auto"/>
        <w:tabs>
          <w:tab w:val="left" w:pos="1140" w:leader="none"/>
        </w:tabs>
        <w:rPr>
          <w:rFonts w:ascii="宋体" w:hAnsi="宋体" w:cs="宋体"/>
          <w:color w:val="000000"/>
          <w:sz w:val="24"/>
        </w:rPr>
      </w:pPr>
      <w:r>
        <w:rPr>
          <w:rFonts w:hint="eastAsia" w:ascii="宋体" w:hAnsi="宋体" w:cs="宋体"/>
          <w:color w:val="000000"/>
          <w:sz w:val="24"/>
        </w:rPr>
        <w:t xml:space="preserve">3.中标供应商如果未按规定缴纳代理服务费，采购代理机构将保留诉讼的权利。</w:t>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（十八）合同融资、履约担保</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1.合同融资</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中标、成交供应商可采用合同融资形式，中标供应商可凭政府采购合同办理融资贷款，详见政府采购网“政采贷”专栏。</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2.履约担保</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中标可以采用电子履约保函形式，具体操作可登录江苏政府采购网的保险保函模块进行办理。</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3.有关中小企业政策，如落实政府采购政策需满足的资格要求以及落实政府采购政策的价格调整的相关内容可详见本文件其他章节。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4.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945" w:leader="none"/>
        </w:tabs>
        <w:rPr>
          <w:rFonts w:ascii="宋体" w:hAnsi="宋体" w:cs="宋体"/>
          <w:bCs/>
          <w:color w:val="000000"/>
          <w:sz w:val="24"/>
          <w:szCs w:val="24"/>
        </w:rPr>
      </w:pPr>
      <w:r>
        <w:rPr>
          <w:rFonts w:hint="eastAsia" w:ascii="宋体" w:hAnsi="宋体" w:cs="宋体"/>
          <w:bCs/>
          <w:color w:val="000000"/>
          <w:sz w:val="24"/>
          <w:szCs w:val="24"/>
        </w:rPr>
        <w:t xml:space="preserve">5.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cs="宋体"/>
          <w:bCs/>
          <w:color w:val="000000"/>
          <w:sz w:val="24"/>
          <w:szCs w:val="24"/>
        </w:rPr>
        <w:br w:type="page" w:clear="all"/>
      </w:r>
      <w:r/>
    </w:p>
    <w:p>
      <w:pPr>
        <w:jc w:val="center"/>
        <w:spacing w:line="360" w:lineRule="auto"/>
        <w:rPr>
          <w:rFonts w:ascii="宋体" w:hAnsi="宋体" w:cs="宋体"/>
          <w:b/>
          <w:color w:val="000000"/>
          <w:sz w:val="32"/>
          <w:szCs w:val="32"/>
        </w:rPr>
        <w:outlineLvl w:val="0"/>
      </w:pPr>
      <w:r/>
      <w:bookmarkStart w:id="5" w:name="_Toc19281"/>
      <w:r/>
      <w:bookmarkStart w:id="6" w:name="_Hlk145511675"/>
      <w:r>
        <w:rPr>
          <w:rFonts w:hint="eastAsia" w:ascii="宋体" w:hAnsi="宋体" w:cs="宋体"/>
          <w:b/>
          <w:color w:val="000000"/>
          <w:sz w:val="32"/>
          <w:szCs w:val="32"/>
        </w:rPr>
        <w:t xml:space="preserve">三、采购需求</w:t>
      </w:r>
      <w:bookmarkEnd w:id="5"/>
      <w:r/>
      <w:r/>
    </w:p>
    <w:p>
      <w:pPr>
        <w:jc w:val="left"/>
        <w:spacing w:line="360" w:lineRule="auto"/>
        <w:rPr>
          <w:rFonts w:ascii="宋体" w:hAnsi="宋体"/>
          <w:b/>
          <w:bCs/>
          <w:sz w:val="28"/>
        </w:rPr>
      </w:pPr>
      <w:r>
        <w:rPr>
          <w:rFonts w:hint="eastAsia" w:ascii="宋体" w:hAnsi="宋体"/>
          <w:b/>
          <w:bCs/>
          <w:sz w:val="28"/>
        </w:rPr>
        <w:t xml:space="preserve">（一）采购标的需实现的功能或者目标，以及为落实政府采购政策需满足的要求：</w:t>
      </w:r>
      <w:r/>
    </w:p>
    <w:p>
      <w:pPr>
        <w:ind w:firstLine="426"/>
        <w:jc w:val="left"/>
        <w:spacing w:line="360" w:lineRule="auto"/>
        <w:rPr>
          <w:rFonts w:ascii="宋体" w:hAnsi="宋体"/>
          <w:b/>
          <w:sz w:val="24"/>
        </w:rPr>
      </w:pPr>
      <w:r>
        <w:rPr>
          <w:rFonts w:hint="eastAsia" w:ascii="宋体" w:hAnsi="宋体"/>
          <w:b/>
          <w:sz w:val="24"/>
        </w:rPr>
        <w:t xml:space="preserve">1.采购标的需实现的功能或者目标：</w:t>
      </w:r>
      <w:r/>
    </w:p>
    <w:p>
      <w:pPr>
        <w:ind w:firstLine="424"/>
        <w:jc w:val="left"/>
        <w:spacing w:line="360" w:lineRule="auto"/>
        <w:rPr>
          <w:sz w:val="24"/>
        </w:rPr>
      </w:pPr>
      <w:r>
        <w:rPr>
          <w:rFonts w:hint="eastAsia" w:ascii="宋体" w:hAnsi="宋体"/>
          <w:bCs/>
          <w:sz w:val="24"/>
        </w:rPr>
        <w:t xml:space="preserve">1.1</w:t>
      </w:r>
      <w:r>
        <w:rPr>
          <w:rFonts w:hint="eastAsia"/>
          <w:sz w:val="24"/>
        </w:rPr>
        <w:t xml:space="preserve">为落实城市精细化管理总体要求，打破市、区、街道（镇）及相关单位环卫业务条块分割现状，深入推进环卫作业市场化、一体化、规模化，促进环卫管理体制机制畅通高效，显著提高道路清扫保洁、公厕管养、生活垃圾收集清运和化粪池清坑及运输等环卫作业质量，</w:t>
      </w:r>
      <w:r>
        <w:rPr>
          <w:sz w:val="24"/>
        </w:rPr>
        <w:t xml:space="preserve">提高环卫作业机械化和精细化水平</w:t>
      </w:r>
      <w:r>
        <w:rPr>
          <w:rFonts w:hint="eastAsia"/>
          <w:sz w:val="24"/>
        </w:rPr>
        <w:t xml:space="preserve">，营造干净、整洁、有序的市容环境，实施滨湖区第一片区（河埒街道（梁溪河北）、河埒街道（梁溪河南））、第二片区（荣巷街道）、第三片区（蠡园街道）、第四片区（蠡湖街道）、第五片区（雪浪街道）、第六片区（胡埭镇）、第七片区（马山街道）</w:t>
      </w:r>
      <w:r>
        <w:rPr>
          <w:sz w:val="24"/>
        </w:rPr>
        <w:t xml:space="preserve">环卫</w:t>
      </w:r>
      <w:r>
        <w:rPr>
          <w:rFonts w:hint="eastAsia"/>
          <w:sz w:val="24"/>
        </w:rPr>
        <w:t xml:space="preserve">一体化</w:t>
      </w:r>
      <w:r>
        <w:rPr>
          <w:sz w:val="24"/>
        </w:rPr>
        <w:t xml:space="preserve">作业</w:t>
      </w:r>
      <w:r>
        <w:rPr>
          <w:rFonts w:hint="eastAsia"/>
          <w:sz w:val="24"/>
        </w:rPr>
        <w:t xml:space="preserve">服务，实现全</w:t>
      </w:r>
      <w:r>
        <w:rPr>
          <w:sz w:val="24"/>
        </w:rPr>
        <w:t xml:space="preserve">区</w:t>
      </w:r>
      <w:r>
        <w:rPr>
          <w:rFonts w:hint="eastAsia"/>
          <w:sz w:val="24"/>
        </w:rPr>
        <w:t xml:space="preserve">“</w:t>
      </w:r>
      <w:r>
        <w:rPr>
          <w:sz w:val="24"/>
        </w:rPr>
        <w:t xml:space="preserve">一把扫帚扫到底</w:t>
      </w:r>
      <w:r>
        <w:rPr>
          <w:rFonts w:hint="eastAsia"/>
          <w:sz w:val="24"/>
        </w:rPr>
        <w:t xml:space="preserve">”</w:t>
      </w:r>
      <w:r>
        <w:rPr>
          <w:sz w:val="24"/>
        </w:rPr>
        <w:t xml:space="preserve">。</w:t>
      </w:r>
      <w:r/>
    </w:p>
    <w:p>
      <w:pPr>
        <w:ind w:firstLine="424"/>
        <w:spacing w:line="360" w:lineRule="auto"/>
        <w:rPr>
          <w:rFonts w:ascii="宋体" w:hAnsi="宋体"/>
          <w:bCs/>
          <w:sz w:val="24"/>
        </w:rPr>
      </w:pPr>
      <w:r>
        <w:rPr>
          <w:rFonts w:hint="eastAsia" w:ascii="宋体" w:hAnsi="宋体"/>
          <w:bCs/>
          <w:sz w:val="24"/>
        </w:rPr>
        <w:t xml:space="preserve">1.2本项目以作业片区为单元，按照“一路带两侧，墙到墙、边到边”原则，主要包括对路面（含城市道路、国省干道）、绿化带（含小游园、步道）、道路两侧公共场所（含商铺门前道路、广场）、人行天桥、人行地下通道清扫保洁以及沿路果壳箱清洗、公厕管养、居民生活垃圾收运及沿街商铺生活垃圾上门收集、化粪池清坑及运输等环卫一体化作业任务，作业任务量详见采购需求附件。</w:t>
      </w:r>
      <w:r/>
    </w:p>
    <w:p>
      <w:pPr>
        <w:ind w:left="426"/>
        <w:spacing w:line="360" w:lineRule="auto"/>
        <w:rPr>
          <w:rFonts w:ascii="宋体" w:hAnsi="宋体"/>
          <w:b/>
          <w:sz w:val="24"/>
        </w:rPr>
      </w:pPr>
      <w:r>
        <w:rPr>
          <w:rFonts w:hint="eastAsia" w:ascii="宋体" w:hAnsi="宋体"/>
          <w:b/>
          <w:sz w:val="24"/>
        </w:rPr>
        <w:t xml:space="preserve">2.为落实政府采购政策需满足的要求：</w:t>
      </w:r>
      <w:r/>
    </w:p>
    <w:p>
      <w:pPr>
        <w:ind w:firstLine="424"/>
        <w:jc w:val="left"/>
        <w:spacing w:line="360" w:lineRule="auto"/>
        <w:rPr>
          <w:rFonts w:ascii="宋体" w:hAnsi="宋体"/>
          <w:bCs/>
          <w:sz w:val="24"/>
        </w:rPr>
      </w:pPr>
      <w:r>
        <w:rPr>
          <w:rFonts w:hint="eastAsia" w:ascii="宋体" w:hAnsi="宋体"/>
          <w:bCs/>
          <w:sz w:val="24"/>
        </w:rPr>
        <w:t xml:space="preserve">2.1对小型和微型企业产品的价格给予10%的扣除，用扣除后的价格参与评审。参加投标的中小企业，应当按照《政府采购促进中小企业发展管理办法》（财库﹝2020﹞46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24"/>
        <w:jc w:val="left"/>
        <w:spacing w:line="360" w:lineRule="auto"/>
        <w:rPr>
          <w:rFonts w:ascii="宋体" w:hAnsi="宋体"/>
          <w:bCs/>
          <w:sz w:val="24"/>
        </w:rPr>
      </w:pPr>
      <w:r>
        <w:rPr>
          <w:rFonts w:hint="eastAsia" w:ascii="宋体" w:hAnsi="宋体"/>
          <w:bCs/>
          <w:sz w:val="24"/>
        </w:rPr>
        <w:t xml:space="preserve">2.2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24"/>
        <w:jc w:val="left"/>
        <w:spacing w:line="360" w:lineRule="auto"/>
        <w:rPr>
          <w:rFonts w:ascii="宋体" w:hAnsi="宋体"/>
          <w:bCs/>
          <w:sz w:val="24"/>
        </w:rPr>
      </w:pPr>
      <w:r>
        <w:rPr>
          <w:rFonts w:hint="eastAsia" w:ascii="宋体" w:hAnsi="宋体"/>
          <w:bCs/>
          <w:sz w:val="24"/>
        </w:rPr>
        <w:t xml:space="preserve">2.3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24"/>
        <w:jc w:val="left"/>
        <w:spacing w:line="360" w:lineRule="auto"/>
        <w:rPr>
          <w:rFonts w:ascii="宋体" w:hAnsi="宋体"/>
          <w:bCs/>
          <w:sz w:val="24"/>
        </w:rPr>
      </w:pPr>
      <w:r>
        <w:rPr>
          <w:rFonts w:hint="eastAsia" w:ascii="宋体" w:hAnsi="宋体"/>
          <w:bCs/>
          <w:sz w:val="24"/>
        </w:rPr>
        <w:t xml:space="preserve">2.4残疾人福利单位、监狱企业属于小型、微型企业的，不重复享受政策。</w:t>
      </w:r>
      <w:r/>
    </w:p>
    <w:p>
      <w:pPr>
        <w:jc w:val="left"/>
        <w:spacing w:line="360" w:lineRule="auto"/>
        <w:rPr>
          <w:rFonts w:ascii="宋体" w:hAnsi="宋体"/>
          <w:b/>
          <w:bCs/>
          <w:sz w:val="28"/>
        </w:rPr>
      </w:pPr>
      <w:r>
        <w:rPr>
          <w:rFonts w:hint="eastAsia" w:ascii="宋体" w:hAnsi="宋体"/>
          <w:b/>
          <w:bCs/>
          <w:sz w:val="28"/>
        </w:rPr>
        <w:t xml:space="preserve">（二）采购标的需执行的国家相关标准、行业标准、地方标准或者其他标准、规范：</w:t>
      </w:r>
      <w:r/>
    </w:p>
    <w:p>
      <w:pPr>
        <w:ind w:firstLine="480"/>
        <w:spacing w:line="360" w:lineRule="auto"/>
        <w:tabs>
          <w:tab w:val="left" w:pos="945" w:leader="none"/>
        </w:tabs>
        <w:rPr>
          <w:rFonts w:ascii="宋体" w:hAnsi="宋体"/>
          <w:sz w:val="24"/>
          <w:szCs w:val="24"/>
        </w:rPr>
      </w:pPr>
      <w:r>
        <w:rPr>
          <w:rFonts w:hint="eastAsia" w:ascii="宋体" w:hAnsi="宋体"/>
          <w:sz w:val="24"/>
          <w:szCs w:val="24"/>
        </w:rPr>
        <w:t xml:space="preserve">1.《城市道路清扫保洁与质量评价标准》（CJJ/T126-2022）</w:t>
      </w:r>
      <w:r/>
    </w:p>
    <w:p>
      <w:pPr>
        <w:ind w:firstLine="480"/>
        <w:spacing w:line="360" w:lineRule="auto"/>
        <w:tabs>
          <w:tab w:val="left" w:pos="945" w:leader="none"/>
        </w:tabs>
        <w:rPr>
          <w:rFonts w:ascii="宋体" w:hAnsi="宋体"/>
          <w:sz w:val="24"/>
          <w:szCs w:val="24"/>
        </w:rPr>
      </w:pPr>
      <w:r>
        <w:rPr>
          <w:rFonts w:hint="eastAsia" w:ascii="宋体" w:hAnsi="宋体"/>
          <w:sz w:val="24"/>
          <w:szCs w:val="24"/>
        </w:rPr>
        <w:t xml:space="preserve">2.《城市道路环卫机械化作业质量标准》（DGJ32/TJ172-2014）</w:t>
      </w:r>
      <w:r/>
    </w:p>
    <w:p>
      <w:pPr>
        <w:ind w:firstLine="480"/>
        <w:spacing w:line="360" w:lineRule="auto"/>
        <w:tabs>
          <w:tab w:val="left" w:pos="945" w:leader="none"/>
        </w:tabs>
        <w:rPr>
          <w:rFonts w:ascii="宋体" w:hAnsi="宋体"/>
          <w:sz w:val="24"/>
          <w:szCs w:val="24"/>
        </w:rPr>
      </w:pPr>
      <w:r>
        <w:rPr>
          <w:rFonts w:hint="eastAsia" w:ascii="宋体" w:hAnsi="宋体"/>
          <w:sz w:val="24"/>
          <w:szCs w:val="24"/>
        </w:rPr>
        <w:t xml:space="preserve">3.《江苏省城市环境卫生作业质量标准》（DGJ32/TC01-2015）</w:t>
      </w:r>
      <w:r/>
    </w:p>
    <w:p>
      <w:pPr>
        <w:ind w:firstLine="480"/>
        <w:spacing w:line="360" w:lineRule="auto"/>
        <w:tabs>
          <w:tab w:val="left" w:pos="945" w:leader="none"/>
        </w:tabs>
        <w:rPr>
          <w:rFonts w:ascii="宋体" w:hAnsi="宋体"/>
          <w:sz w:val="24"/>
          <w:szCs w:val="24"/>
        </w:rPr>
      </w:pPr>
      <w:r>
        <w:rPr>
          <w:rFonts w:hint="eastAsia" w:ascii="宋体" w:hAnsi="宋体"/>
          <w:sz w:val="24"/>
          <w:szCs w:val="24"/>
        </w:rPr>
        <w:t xml:space="preserve">4.《关于优化调整环卫一体化作业质量监管办法的通知》（锡城管发〔2025〕59号）及附件《无锡市环卫一体化作业服务质量标准与要求》。</w:t>
      </w:r>
      <w:r/>
    </w:p>
    <w:p>
      <w:pPr>
        <w:ind w:firstLine="480"/>
        <w:spacing w:line="360" w:lineRule="auto"/>
        <w:tabs>
          <w:tab w:val="left" w:pos="945" w:leader="none"/>
        </w:tabs>
        <w:rPr>
          <w:rFonts w:ascii="宋体" w:hAnsi="宋体"/>
          <w:sz w:val="24"/>
          <w:szCs w:val="24"/>
        </w:rPr>
      </w:pPr>
      <w:r>
        <w:rPr>
          <w:rFonts w:hint="eastAsia" w:ascii="宋体" w:hAnsi="宋体"/>
          <w:sz w:val="24"/>
          <w:szCs w:val="24"/>
        </w:rPr>
        <w:t xml:space="preserve">5.《关于2025年无锡市区环卫一体化作业招标工作的指导意见》锡城管发〔2025〕60号</w:t>
      </w:r>
      <w:r/>
    </w:p>
    <w:p>
      <w:pPr>
        <w:ind w:firstLine="480"/>
        <w:spacing w:line="360" w:lineRule="auto"/>
        <w:tabs>
          <w:tab w:val="left" w:pos="945" w:leader="none"/>
        </w:tabs>
        <w:rPr>
          <w:rFonts w:ascii="宋体" w:hAnsi="宋体"/>
          <w:sz w:val="24"/>
          <w:szCs w:val="24"/>
        </w:rPr>
      </w:pPr>
      <w:r>
        <w:rPr>
          <w:rFonts w:hint="eastAsia" w:ascii="宋体" w:hAnsi="宋体"/>
          <w:sz w:val="24"/>
          <w:szCs w:val="24"/>
        </w:rPr>
        <w:t xml:space="preserve">6.《市政府关于推进无锡市区环卫一体化作业改革的实施意见》（锡政发〔2021〕29 号）</w:t>
      </w:r>
      <w:r/>
    </w:p>
    <w:p>
      <w:pPr>
        <w:ind w:firstLine="480"/>
        <w:spacing w:line="360" w:lineRule="auto"/>
        <w:tabs>
          <w:tab w:val="left" w:pos="945" w:leader="none"/>
        </w:tabs>
        <w:rPr>
          <w:rFonts w:ascii="宋体" w:hAnsi="宋体"/>
          <w:sz w:val="24"/>
          <w:szCs w:val="24"/>
        </w:rPr>
      </w:pPr>
      <w:r>
        <w:rPr>
          <w:rFonts w:hint="eastAsia" w:ascii="宋体" w:hAnsi="宋体"/>
          <w:sz w:val="24"/>
          <w:szCs w:val="24"/>
        </w:rPr>
        <w:t xml:space="preserve">7.《无锡市生活垃圾分类管理条例》</w:t>
      </w:r>
      <w:r/>
    </w:p>
    <w:p>
      <w:pPr>
        <w:ind w:firstLine="480"/>
        <w:spacing w:line="360" w:lineRule="auto"/>
        <w:tabs>
          <w:tab w:val="left" w:pos="945" w:leader="none"/>
        </w:tabs>
        <w:rPr>
          <w:rFonts w:ascii="宋体" w:hAnsi="宋体"/>
          <w:sz w:val="24"/>
          <w:szCs w:val="24"/>
        </w:rPr>
      </w:pPr>
      <w:r>
        <w:rPr>
          <w:rFonts w:hint="eastAsia" w:ascii="宋体" w:hAnsi="宋体"/>
          <w:sz w:val="24"/>
          <w:szCs w:val="24"/>
        </w:rPr>
        <w:t xml:space="preserve">8.无锡市城市管理局印发的《“席地而坐”城市客厅高标准深度保洁作业标准及要求（试行）》文件等相关文件</w:t>
      </w:r>
      <w:r/>
    </w:p>
    <w:p>
      <w:pPr>
        <w:ind w:firstLine="480"/>
        <w:spacing w:line="360" w:lineRule="auto"/>
        <w:tabs>
          <w:tab w:val="left" w:pos="945" w:leader="none"/>
        </w:tabs>
        <w:rPr>
          <w:rFonts w:ascii="宋体" w:hAnsi="宋体"/>
          <w:sz w:val="24"/>
          <w:szCs w:val="24"/>
        </w:rPr>
      </w:pPr>
      <w:r>
        <w:rPr>
          <w:rFonts w:hint="eastAsia" w:ascii="宋体" w:hAnsi="宋体"/>
          <w:sz w:val="24"/>
          <w:szCs w:val="24"/>
        </w:rPr>
        <w:t xml:space="preserve">9.现行的其他国家相关标准、行业标准、地方标准或者其他标准、规范</w:t>
      </w:r>
      <w:r/>
    </w:p>
    <w:p>
      <w:pPr>
        <w:jc w:val="left"/>
        <w:spacing w:line="360" w:lineRule="auto"/>
        <w:rPr>
          <w:rFonts w:ascii="宋体" w:hAnsi="宋体"/>
          <w:b/>
          <w:bCs/>
          <w:sz w:val="28"/>
        </w:rPr>
      </w:pPr>
      <w:r>
        <w:rPr>
          <w:rFonts w:hint="eastAsia" w:ascii="宋体" w:hAnsi="宋体"/>
          <w:b/>
          <w:bCs/>
          <w:sz w:val="28"/>
        </w:rPr>
        <w:t xml:space="preserve">（三）采购标的需满足的质量、安全、技术规格、物理特性等要求：</w:t>
      </w:r>
      <w:r/>
    </w:p>
    <w:p>
      <w:pPr>
        <w:ind w:firstLine="426"/>
        <w:spacing w:line="360" w:lineRule="auto"/>
        <w:widowControl/>
        <w:rPr>
          <w:rFonts w:ascii="宋体" w:hAnsi="宋体"/>
          <w:bCs/>
          <w:sz w:val="24"/>
        </w:rPr>
      </w:pPr>
      <w:r>
        <w:rPr>
          <w:rFonts w:hint="eastAsia" w:ascii="宋体" w:hAnsi="宋体"/>
          <w:b/>
          <w:sz w:val="24"/>
        </w:rPr>
        <w:t xml:space="preserve">1.服务质量要求:</w:t>
      </w:r>
      <w:r>
        <w:rPr>
          <w:rFonts w:hint="eastAsia" w:ascii="宋体" w:hAnsi="宋体"/>
          <w:bCs/>
          <w:sz w:val="24"/>
        </w:rPr>
        <w:t xml:space="preserve">严格按照《城市道路清扫保洁与质量评价标准》（CJJ/T126-2022）、《城市道路环卫机械化作业质量标准》（DGJ32/TJ172-2014）、《江苏省城市环境卫生作业质量标准》（DGJ32/TC01-2015）、《关于优化调整环卫一体化作业质量监管办法的通知》（锡城管发〔2025〕59号）及附件《无锡市环卫一体化作业服务质量标准与要求》等文件执行。</w:t>
      </w:r>
      <w:r/>
    </w:p>
    <w:p>
      <w:pPr>
        <w:ind w:firstLine="426"/>
        <w:jc w:val="left"/>
        <w:spacing w:line="360" w:lineRule="auto"/>
        <w:rPr>
          <w:rFonts w:ascii="宋体" w:hAnsi="宋体"/>
          <w:bCs/>
          <w:sz w:val="24"/>
        </w:rPr>
      </w:pPr>
      <w:r>
        <w:rPr>
          <w:rFonts w:hint="eastAsia" w:ascii="宋体" w:hAnsi="宋体"/>
          <w:b/>
          <w:sz w:val="24"/>
        </w:rPr>
        <w:t xml:space="preserve">1.1席地而坐质量要求</w:t>
      </w:r>
      <w:r/>
    </w:p>
    <w:p>
      <w:pPr>
        <w:ind w:firstLine="424"/>
        <w:jc w:val="left"/>
        <w:spacing w:line="360" w:lineRule="auto"/>
        <w:rPr>
          <w:rFonts w:ascii="宋体" w:hAnsi="宋体"/>
          <w:bCs/>
          <w:sz w:val="24"/>
        </w:rPr>
      </w:pPr>
      <w:r>
        <w:rPr>
          <w:rFonts w:hint="eastAsia" w:ascii="宋体" w:hAnsi="宋体"/>
          <w:bCs/>
          <w:sz w:val="24"/>
        </w:rPr>
        <w:t xml:space="preserve">根据采购人要求及后续确定的扩展区域范围，执行本质量要求：保持“席地而坐”城市客厅示范标准，覆盖约24个区域。</w:t>
      </w:r>
      <w:r/>
    </w:p>
    <w:p>
      <w:pPr>
        <w:ind w:firstLine="426"/>
        <w:jc w:val="left"/>
        <w:spacing w:line="360" w:lineRule="auto"/>
        <w:rPr>
          <w:rFonts w:ascii="宋体" w:hAnsi="宋体"/>
          <w:b/>
          <w:sz w:val="24"/>
        </w:rPr>
      </w:pPr>
      <w:r>
        <w:rPr>
          <w:rFonts w:hint="eastAsia" w:ascii="宋体" w:hAnsi="宋体"/>
          <w:b/>
          <w:sz w:val="24"/>
        </w:rPr>
        <w:t xml:space="preserve">（1）作业标准</w:t>
      </w:r>
      <w:r/>
    </w:p>
    <w:p>
      <w:pPr>
        <w:ind w:firstLine="424"/>
        <w:jc w:val="left"/>
        <w:spacing w:line="360" w:lineRule="auto"/>
        <w:rPr>
          <w:rFonts w:ascii="宋体" w:hAnsi="宋体"/>
          <w:sz w:val="24"/>
        </w:rPr>
      </w:pPr>
      <w:r>
        <w:rPr>
          <w:rFonts w:hint="eastAsia" w:ascii="宋体" w:hAnsi="宋体"/>
          <w:bCs/>
          <w:sz w:val="24"/>
        </w:rPr>
        <w:t xml:space="preserve">“席地而坐”城市客厅按照“室外环境、室内标准”落实高标准深度保洁，做到“四无、三洁、二见、一现”，即：无垃圾杂物、无污渍痰迹、无积尘泥沙、无积水枯叶，道路广场（平面）</w:t>
      </w:r>
      <w:r>
        <w:rPr>
          <w:rFonts w:ascii="宋体" w:hAnsi="宋体"/>
          <w:sz w:val="24"/>
        </w:rPr>
        <w:t xml:space="preserve">洁、城市家具（立面）洁、墙角砖缝（剖面）洁，道路见底色、标线见本色，绿化现景致。</w:t>
      </w:r>
      <w:r/>
    </w:p>
    <w:p>
      <w:pPr>
        <w:ind w:firstLine="482"/>
        <w:spacing w:line="360" w:lineRule="auto"/>
        <w:rPr>
          <w:rFonts w:ascii="宋体" w:hAnsi="宋体"/>
          <w:b/>
          <w:bCs/>
          <w:sz w:val="24"/>
        </w:rPr>
      </w:pPr>
      <w:r>
        <w:rPr>
          <w:rFonts w:hint="eastAsia" w:ascii="宋体" w:hAnsi="宋体"/>
          <w:b/>
          <w:bCs/>
          <w:sz w:val="24"/>
        </w:rPr>
        <w:t xml:space="preserve">（2）</w:t>
      </w:r>
      <w:r>
        <w:rPr>
          <w:rFonts w:ascii="宋体" w:hAnsi="宋体"/>
          <w:b/>
          <w:bCs/>
          <w:sz w:val="24"/>
        </w:rPr>
        <w:t xml:space="preserve">作业要求</w:t>
      </w:r>
      <w:r/>
    </w:p>
    <w:p>
      <w:pPr>
        <w:ind w:firstLine="480"/>
        <w:spacing w:line="360" w:lineRule="auto"/>
        <w:rPr>
          <w:rFonts w:ascii="宋体" w:hAnsi="宋体"/>
          <w:sz w:val="24"/>
        </w:rPr>
      </w:pPr>
      <w:r>
        <w:rPr>
          <w:rFonts w:ascii="宋体" w:hAnsi="宋体"/>
          <w:sz w:val="24"/>
        </w:rPr>
        <w:t xml:space="preserve">“席地而坐”城市客厅高标准深度保洁以机械化作业为主、人工作业为辅，深化人机结合组团式保洁模式，优化资源配置，强化工种协作，细化保洁流程，机械保面、人工保点；白天以精细化作业为主，加强重点点位、部件的精洗、擦拭、保洁等工作；夜间强化基础保洁作业，利用夜间人少车稀，开展大面积基础性的洗刷、洗扫、</w:t>
      </w:r>
      <w:r>
        <w:rPr>
          <w:rFonts w:hint="eastAsia" w:ascii="宋体" w:hAnsi="宋体"/>
          <w:sz w:val="24"/>
        </w:rPr>
        <w:t xml:space="preserve">冲洗</w:t>
      </w:r>
      <w:r>
        <w:rPr>
          <w:rFonts w:ascii="宋体" w:hAnsi="宋体"/>
          <w:sz w:val="24"/>
        </w:rPr>
        <w:t xml:space="preserve">等工作。</w:t>
      </w:r>
      <w:r/>
    </w:p>
    <w:p>
      <w:pPr>
        <w:ind w:firstLine="482"/>
        <w:spacing w:line="360" w:lineRule="auto"/>
        <w:rPr>
          <w:rFonts w:ascii="宋体" w:hAnsi="宋体"/>
          <w:b/>
          <w:bCs/>
          <w:sz w:val="24"/>
        </w:rPr>
      </w:pPr>
      <w:r>
        <w:rPr>
          <w:rFonts w:hint="eastAsia" w:ascii="宋体" w:hAnsi="宋体"/>
          <w:b/>
          <w:bCs/>
          <w:sz w:val="24"/>
        </w:rPr>
        <w:t xml:space="preserve">1）</w:t>
      </w:r>
      <w:r>
        <w:rPr>
          <w:rFonts w:ascii="宋体" w:hAnsi="宋体"/>
          <w:b/>
          <w:bCs/>
          <w:sz w:val="24"/>
        </w:rPr>
        <w:t xml:space="preserve">作业装备、工具要求</w:t>
      </w:r>
      <w:r/>
    </w:p>
    <w:p>
      <w:pPr>
        <w:ind w:firstLine="480"/>
        <w:spacing w:line="360" w:lineRule="auto"/>
        <w:rPr>
          <w:rFonts w:ascii="宋体" w:hAnsi="宋体"/>
          <w:sz w:val="24"/>
        </w:rPr>
      </w:pPr>
      <w:r>
        <w:rPr>
          <w:rFonts w:ascii="宋体" w:hAnsi="宋体"/>
          <w:sz w:val="24"/>
        </w:rPr>
        <w:t xml:space="preserve">机械作业配置各类新型、环保的作业车辆和作业机具，引进、更新一批效率高、功能全、形象好的洗扫车、吸尘车、深度清洗车等大型机械装备和小型扫路机、清洗车及人工手持式多功能清洗装置等小型作业机具。</w:t>
      </w:r>
      <w:r/>
    </w:p>
    <w:p>
      <w:pPr>
        <w:ind w:firstLine="480"/>
        <w:spacing w:line="360" w:lineRule="auto"/>
        <w:rPr>
          <w:rFonts w:ascii="宋体" w:hAnsi="宋体"/>
          <w:sz w:val="24"/>
        </w:rPr>
      </w:pPr>
      <w:r>
        <w:rPr>
          <w:rFonts w:ascii="宋体" w:hAnsi="宋体"/>
          <w:sz w:val="24"/>
        </w:rPr>
        <w:t xml:space="preserve">人工作业注重实用性、规整性</w:t>
      </w:r>
      <w:r>
        <w:rPr>
          <w:rFonts w:hint="eastAsia" w:ascii="宋体" w:hAnsi="宋体"/>
          <w:sz w:val="24"/>
        </w:rPr>
        <w:t xml:space="preserve">、</w:t>
      </w:r>
      <w:r>
        <w:rPr>
          <w:rFonts w:ascii="宋体" w:hAnsi="宋体"/>
          <w:sz w:val="24"/>
        </w:rPr>
        <w:t xml:space="preserve">便捷性，配齐“铲刀、刷子、喷水壶、钢丝球、干湿抹布、百洁布”等工具套件。除普扫等作业外，其他作业原则上不得使用“大扫把”。作业装备、工具等保持干净整洁，展示环卫作业形象。</w:t>
      </w:r>
      <w:r/>
    </w:p>
    <w:p>
      <w:pPr>
        <w:ind w:firstLine="482"/>
        <w:spacing w:line="360" w:lineRule="auto"/>
        <w:rPr>
          <w:rFonts w:ascii="宋体" w:hAnsi="宋体"/>
          <w:b/>
          <w:bCs/>
          <w:sz w:val="24"/>
        </w:rPr>
      </w:pPr>
      <w:r>
        <w:rPr>
          <w:rFonts w:hint="eastAsia" w:ascii="宋体" w:hAnsi="宋体"/>
          <w:b/>
          <w:bCs/>
          <w:sz w:val="24"/>
        </w:rPr>
        <w:t xml:space="preserve">2）</w:t>
      </w:r>
      <w:r>
        <w:rPr>
          <w:rFonts w:ascii="宋体" w:hAnsi="宋体"/>
          <w:b/>
          <w:bCs/>
          <w:sz w:val="24"/>
        </w:rPr>
        <w:t xml:space="preserve">作业人员要求</w:t>
      </w:r>
      <w:r/>
    </w:p>
    <w:p>
      <w:pPr>
        <w:ind w:firstLine="480"/>
        <w:spacing w:line="360" w:lineRule="auto"/>
        <w:rPr>
          <w:rFonts w:ascii="宋体" w:hAnsi="宋体"/>
          <w:sz w:val="24"/>
        </w:rPr>
      </w:pPr>
      <w:r>
        <w:rPr>
          <w:rFonts w:ascii="宋体" w:hAnsi="宋体"/>
          <w:sz w:val="24"/>
        </w:rPr>
        <w:t xml:space="preserve">保洁作业做到文明、规范、安全，作业时应避高峰、避行人，作业过程中不扬尘、不影响行人，车辆行驶安全，停放符合要求。作业人员着装规范，衣着干净平整，无残破、无污渍，工作帽穿戴端正，工号牌佩戴规范，季节换装，统一穿着，不得混穿；员工在岗作业时段禁止玩手机，不得抽烟，禁止出现串岗、聚众聊天或站桩等现象，按照夜保洁作业时间，全天候加强巡回保洁，提高保洁质效。</w:t>
      </w:r>
      <w:r/>
    </w:p>
    <w:p>
      <w:pPr>
        <w:ind w:firstLine="482"/>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作业频次要求</w:t>
      </w:r>
      <w:r/>
    </w:p>
    <w:p>
      <w:pPr>
        <w:ind w:firstLine="480"/>
        <w:spacing w:line="360" w:lineRule="auto"/>
        <w:rPr>
          <w:rFonts w:ascii="宋体" w:hAnsi="宋体"/>
          <w:sz w:val="24"/>
        </w:rPr>
      </w:pPr>
      <w:r>
        <w:rPr>
          <w:rFonts w:ascii="宋体" w:hAnsi="宋体"/>
          <w:sz w:val="24"/>
        </w:rPr>
        <w:t xml:space="preserve">①道路广场绿地等平面深度保洁。“席地而坐”城市客厅在主次干道严格执行每天“2洗扫+3冲水”、背街小巷每天“2洗扫+2冲（洒）水”的基础上，推行“吸尘+冲水+洗地”组合式联动作业，每月不少于1次全面积深度清洗；非机动车道和人行道每天不少于3次冲洗作业，按照避早晚交通高峰的原则，时间节点安排在每日早上7:30前、中午12:00-15:00、</w:t>
      </w:r>
      <w:r>
        <w:rPr>
          <w:rFonts w:hint="eastAsia" w:ascii="宋体" w:hAnsi="宋体"/>
          <w:sz w:val="24"/>
        </w:rPr>
        <w:t xml:space="preserve">18:00</w:t>
      </w:r>
      <w:r>
        <w:rPr>
          <w:rFonts w:ascii="宋体" w:hAnsi="宋体"/>
          <w:sz w:val="24"/>
        </w:rPr>
        <w:t xml:space="preserve">后，作业质量实施尘量检测，合格率（每平方米不超过</w:t>
      </w:r>
      <w:r>
        <w:rPr>
          <w:rFonts w:hint="eastAsia" w:ascii="宋体" w:hAnsi="宋体"/>
          <w:sz w:val="24"/>
        </w:rPr>
        <w:t xml:space="preserve">1</w:t>
      </w:r>
      <w:r>
        <w:rPr>
          <w:rFonts w:ascii="宋体" w:hAnsi="宋体"/>
          <w:sz w:val="24"/>
        </w:rPr>
        <w:t xml:space="preserve">克）达到100%。“席地而坐”城市客厅区域内园路、汀步、台阶等硬质铺装实行每天“2清扫+1精洗”，全天候落实巡回保洁，垃圾杂物落地即清；绿地（绿化带）利用火钳、小畚箕等作业工具落实专人实行常态化垃圾捡拾保洁作业。利用“吹、扫、吸”等方式定期清理积存落叶垃圾，使绿地（绿化带）内无杂物悬挂、堆放，绿植表面无明显浮尘，水体保持清洁、干净。</w:t>
      </w:r>
      <w:r/>
    </w:p>
    <w:p>
      <w:pPr>
        <w:ind w:firstLine="424"/>
        <w:jc w:val="left"/>
        <w:spacing w:line="360" w:lineRule="auto"/>
        <w:rPr>
          <w:rFonts w:ascii="宋体" w:hAnsi="宋体"/>
          <w:bCs/>
          <w:sz w:val="24"/>
        </w:rPr>
      </w:pPr>
      <w:r>
        <w:rPr>
          <w:rFonts w:ascii="宋体" w:hAnsi="宋体"/>
          <w:sz w:val="24"/>
        </w:rPr>
        <w:t xml:space="preserve">②城市家具等立面精洗保洁。“席地而坐”城市客厅区域内废物箱、花箱（花架）、条椅石凳、健身器材、廊柱等城市家具以人工擦洗和机械冲洗相结合的方</w:t>
      </w:r>
      <w:r>
        <w:rPr>
          <w:rFonts w:hint="eastAsia" w:ascii="宋体" w:hAnsi="宋体"/>
          <w:bCs/>
          <w:sz w:val="24"/>
        </w:rPr>
        <w:t xml:space="preserve">式，落实“每天早晚至少各1次精洗”，全天候人工保洁随脏随擦，不留死角和盲区，使市民伸手可触城市家具整洁如新。废物箱内垃圾及时清理，无满溢、无散落；箱体无乱涂写、乱张贴，分类标志清晰；内胆不随意摆放，箱门闭合。</w:t>
      </w:r>
      <w:r/>
    </w:p>
    <w:p>
      <w:pPr>
        <w:ind w:firstLine="424"/>
        <w:jc w:val="left"/>
        <w:spacing w:line="360" w:lineRule="auto"/>
        <w:rPr>
          <w:rFonts w:ascii="宋体" w:hAnsi="宋体"/>
          <w:bCs/>
          <w:sz w:val="24"/>
        </w:rPr>
      </w:pPr>
      <w:r>
        <w:rPr>
          <w:rFonts w:hint="eastAsia" w:ascii="宋体" w:hAnsi="宋体"/>
          <w:bCs/>
          <w:sz w:val="24"/>
        </w:rPr>
        <w:t xml:space="preserve">③墙角砖缝等剖面精准保洁。加强“席地而坐”城市客厅区域内窨井、侧石、墙角、树穴、砖缝处的垃圾清理，利用冲水车和手持式水枪每天不少于1次的冲洗，使排水畅通，窨井周边洁净，墙角、树穴无死角垃圾，道路侧石光滑整洁。</w:t>
      </w:r>
      <w:r/>
    </w:p>
    <w:p>
      <w:pPr>
        <w:ind w:firstLine="426"/>
        <w:jc w:val="left"/>
        <w:spacing w:line="360" w:lineRule="auto"/>
        <w:rPr>
          <w:rFonts w:ascii="宋体" w:hAnsi="宋体"/>
          <w:b/>
          <w:sz w:val="24"/>
        </w:rPr>
      </w:pPr>
      <w:r>
        <w:rPr>
          <w:rFonts w:hint="eastAsia" w:ascii="宋体" w:hAnsi="宋体"/>
          <w:b/>
          <w:sz w:val="24"/>
        </w:rPr>
        <w:t xml:space="preserve">1.2清扫保洁作业</w:t>
      </w:r>
      <w:r/>
    </w:p>
    <w:p>
      <w:pPr>
        <w:ind w:firstLine="424"/>
        <w:jc w:val="left"/>
        <w:spacing w:line="360" w:lineRule="auto"/>
        <w:rPr>
          <w:rFonts w:ascii="宋体" w:hAnsi="宋体"/>
          <w:bCs/>
          <w:sz w:val="24"/>
        </w:rPr>
      </w:pPr>
      <w:r>
        <w:rPr>
          <w:rFonts w:hint="eastAsia" w:ascii="宋体" w:hAnsi="宋体"/>
          <w:bCs/>
          <w:sz w:val="24"/>
        </w:rPr>
        <w:t xml:space="preserve">（1）人行道（含商店门口、广场）全面积清扫：非机动车道有隔离设施的全面积清扫，无隔离设施的混车道从两侧侧石向路中心各清扫3米；支路、弄口清扫保洁向内延伸5米，人行天桥（含相关附属设施，特种设备手扶电梯除外）全面积清扫保洁。</w:t>
      </w:r>
      <w:r/>
    </w:p>
    <w:p>
      <w:pPr>
        <w:ind w:firstLine="424"/>
        <w:jc w:val="left"/>
        <w:spacing w:line="360" w:lineRule="auto"/>
        <w:rPr>
          <w:rFonts w:ascii="宋体" w:hAnsi="宋体"/>
          <w:bCs/>
          <w:sz w:val="24"/>
        </w:rPr>
      </w:pPr>
      <w:r>
        <w:rPr>
          <w:rFonts w:hint="eastAsia" w:ascii="宋体" w:hAnsi="宋体"/>
          <w:bCs/>
          <w:sz w:val="24"/>
        </w:rPr>
        <w:t xml:space="preserve">（2）车行道小于7米的全面积清扫，大于7米的从两侧侧石向道路中心各清扫3米。</w:t>
      </w:r>
      <w:r/>
    </w:p>
    <w:p>
      <w:pPr>
        <w:ind w:firstLine="424"/>
        <w:jc w:val="left"/>
        <w:spacing w:line="360" w:lineRule="auto"/>
        <w:rPr>
          <w:rFonts w:ascii="宋体" w:hAnsi="宋体"/>
          <w:bCs/>
          <w:sz w:val="24"/>
        </w:rPr>
      </w:pPr>
      <w:r>
        <w:rPr>
          <w:rFonts w:hint="eastAsia" w:ascii="宋体" w:hAnsi="宋体"/>
          <w:bCs/>
          <w:sz w:val="24"/>
        </w:rPr>
        <w:t xml:space="preserve">（3）交通护栏下面按2米清扫。</w:t>
      </w:r>
      <w:r/>
    </w:p>
    <w:p>
      <w:pPr>
        <w:ind w:firstLine="424"/>
        <w:jc w:val="left"/>
        <w:spacing w:line="360" w:lineRule="auto"/>
        <w:rPr>
          <w:rFonts w:ascii="宋体" w:hAnsi="宋体"/>
          <w:bCs/>
          <w:sz w:val="24"/>
        </w:rPr>
      </w:pPr>
      <w:r>
        <w:rPr>
          <w:rFonts w:hint="eastAsia" w:ascii="宋体" w:hAnsi="宋体"/>
          <w:bCs/>
          <w:sz w:val="24"/>
        </w:rPr>
        <w:t xml:space="preserve">（4）人工保洁范围有建筑物的道路两侧边到边、墙到墙；无建筑物的道路两侧绿化带内全面积保洁。</w:t>
      </w:r>
      <w:r/>
    </w:p>
    <w:p>
      <w:pPr>
        <w:ind w:firstLine="424"/>
        <w:jc w:val="left"/>
        <w:spacing w:line="360" w:lineRule="auto"/>
        <w:rPr>
          <w:rFonts w:ascii="宋体" w:hAnsi="宋体"/>
          <w:bCs/>
          <w:sz w:val="24"/>
        </w:rPr>
      </w:pPr>
      <w:r>
        <w:rPr>
          <w:rFonts w:hint="eastAsia" w:ascii="宋体" w:hAnsi="宋体"/>
          <w:bCs/>
          <w:sz w:val="24"/>
        </w:rPr>
        <w:t xml:space="preserve">（5）道路中分带、侧分带等绿化隔离带及沿路街角游园、开放式广场内无垃圾杂物，定期进行落叶清理。</w:t>
      </w:r>
      <w:r/>
    </w:p>
    <w:p>
      <w:pPr>
        <w:ind w:firstLine="424"/>
        <w:jc w:val="left"/>
        <w:spacing w:line="360" w:lineRule="auto"/>
        <w:rPr>
          <w:rFonts w:ascii="宋体" w:hAnsi="宋体"/>
          <w:bCs/>
          <w:sz w:val="24"/>
        </w:rPr>
      </w:pPr>
      <w:r>
        <w:rPr>
          <w:rFonts w:hint="eastAsia" w:ascii="宋体" w:hAnsi="宋体"/>
          <w:bCs/>
          <w:sz w:val="24"/>
        </w:rPr>
        <w:t xml:space="preserve">（6）道路两侧绿地（包括沿路街角游园、开放式广场、林带）全面积清扫保洁[指绿地内的垃圾杂物（不含园林废弃物）清理及硬质铺装、园路、汀步等的清扫保洁]及其他附属设施（废物箱、健身器材、各类型廊柱、各类型座椅等）的擦洗保洁。 </w:t>
      </w:r>
      <w:r/>
    </w:p>
    <w:p>
      <w:pPr>
        <w:ind w:firstLine="424"/>
        <w:jc w:val="left"/>
        <w:spacing w:line="360" w:lineRule="auto"/>
        <w:rPr>
          <w:rFonts w:ascii="宋体" w:hAnsi="宋体"/>
          <w:bCs/>
          <w:sz w:val="24"/>
        </w:rPr>
      </w:pPr>
      <w:r>
        <w:rPr>
          <w:rFonts w:hint="eastAsia" w:ascii="宋体" w:hAnsi="宋体"/>
          <w:bCs/>
          <w:sz w:val="24"/>
        </w:rPr>
        <w:t xml:space="preserve">（7）在明确短驳点的前提下，沿街店面垃圾实行上门分类收集作业，每天不少于2次。</w:t>
      </w:r>
      <w:r/>
    </w:p>
    <w:p>
      <w:pPr>
        <w:ind w:firstLine="424"/>
        <w:jc w:val="left"/>
        <w:spacing w:line="360" w:lineRule="auto"/>
        <w:rPr>
          <w:rFonts w:ascii="宋体" w:hAnsi="宋体"/>
          <w:bCs/>
          <w:sz w:val="24"/>
        </w:rPr>
      </w:pPr>
      <w:r>
        <w:rPr>
          <w:rFonts w:hint="eastAsia" w:ascii="宋体" w:hAnsi="宋体"/>
          <w:bCs/>
          <w:sz w:val="24"/>
        </w:rPr>
        <w:t xml:space="preserve">（8）护栏清洗要求：每旬至少清洗1次；雨后立即清洗；随脏随清洗。</w:t>
      </w:r>
      <w:r/>
    </w:p>
    <w:p>
      <w:pPr>
        <w:ind w:firstLine="424"/>
        <w:jc w:val="left"/>
        <w:spacing w:line="360" w:lineRule="auto"/>
        <w:rPr>
          <w:rFonts w:ascii="宋体" w:hAnsi="宋体"/>
          <w:bCs/>
          <w:sz w:val="24"/>
        </w:rPr>
      </w:pPr>
      <w:r>
        <w:rPr>
          <w:rFonts w:hint="eastAsia" w:ascii="宋体" w:hAnsi="宋体"/>
          <w:bCs/>
          <w:sz w:val="24"/>
        </w:rPr>
        <w:t xml:space="preserve">（9）废物箱每天巡回收集垃圾，随脏随擦洗。</w:t>
      </w:r>
      <w:r/>
    </w:p>
    <w:p>
      <w:pPr>
        <w:ind w:firstLine="424"/>
        <w:spacing w:line="360" w:lineRule="auto"/>
        <w:rPr>
          <w:rFonts w:ascii="宋体" w:hAnsi="宋体"/>
          <w:sz w:val="24"/>
        </w:rPr>
      </w:pPr>
      <w:r>
        <w:rPr>
          <w:rFonts w:hint="eastAsia" w:ascii="宋体" w:hAnsi="宋体"/>
          <w:bCs/>
          <w:sz w:val="24"/>
        </w:rPr>
        <w:t xml:space="preserve">（10）人员配备及时间要求：人工清扫保洁人员按作业标准配备到位，如使用机械化设备替代人工作业的，相关方案应书面报同意采购人后实施。作业时间：一级道路（A类）清扫保洁时间：5:00-18:00，一级道路（B类）清扫保洁时间：6:00-18:00，白色垃圾停留时间不超过15分钟；二级道路清扫保洁时间：7:00-18:00，白色垃圾停留时间不超过20分钟；三级道路清扫保洁时间：7:00-18:00，白色垃圾停留时间不超过25分钟；四级道路清扫保洁时间：7:00-16:00，白色垃圾停留时间不超过60分</w:t>
      </w:r>
      <w:r>
        <w:rPr>
          <w:rFonts w:hint="eastAsia" w:ascii="宋体" w:hAnsi="宋体"/>
          <w:sz w:val="24"/>
        </w:rPr>
        <w:t xml:space="preserve">钟。夜间清扫保洁作业时间：11月至次年4月为18:00-21:00，5月至10月18:00-22:00，重大活动及节假日延长1小时（具体以活动结束时间为准）。</w:t>
      </w:r>
      <w:r/>
    </w:p>
    <w:p>
      <w:pPr>
        <w:ind w:firstLine="424"/>
        <w:jc w:val="left"/>
        <w:spacing w:line="360" w:lineRule="auto"/>
        <w:rPr>
          <w:rFonts w:ascii="宋体" w:hAnsi="宋体"/>
          <w:b/>
          <w:bCs/>
          <w:sz w:val="24"/>
        </w:rPr>
      </w:pPr>
      <w:r>
        <w:rPr>
          <w:rFonts w:hint="eastAsia" w:ascii="宋体" w:hAnsi="宋体"/>
          <w:sz w:val="24"/>
        </w:rPr>
        <w:t xml:space="preserve">（11）</w:t>
      </w:r>
      <w:r>
        <w:rPr>
          <w:rFonts w:hint="eastAsia" w:ascii="宋体" w:hAnsi="宋体"/>
          <w:b/>
          <w:bCs/>
          <w:sz w:val="24"/>
        </w:rPr>
        <w:t xml:space="preserve">本项目最低人员配置要求：</w:t>
      </w:r>
      <w:r/>
    </w:p>
    <w:p>
      <w:pPr>
        <w:ind w:firstLine="424"/>
        <w:jc w:val="left"/>
        <w:spacing w:line="360" w:lineRule="auto"/>
        <w:rPr>
          <w:rFonts w:ascii="宋体" w:hAnsi="宋体"/>
          <w:bCs/>
          <w:sz w:val="24"/>
        </w:rPr>
      </w:pPr>
      <w:r>
        <w:rPr>
          <w:rFonts w:hint="eastAsia" w:ascii="宋体" w:hAnsi="宋体"/>
          <w:bCs/>
          <w:sz w:val="24"/>
        </w:rPr>
        <w:t xml:space="preserve">本项目最低配备总人数不少于1389人，其中至少包含总项目负责人1人，专项服务小组人员不少于3人，24小时公厕巡查人员不少于6人。各片区单独设置最低人员配置，具体如下：</w:t>
      </w:r>
      <w:r/>
    </w:p>
    <w:p>
      <w:pPr>
        <w:ind w:firstLine="482"/>
        <w:spacing w:line="360" w:lineRule="auto"/>
        <w:rPr>
          <w:rFonts w:ascii="宋体" w:hAnsi="宋体" w:cs="宋体"/>
          <w:b/>
          <w:bCs/>
          <w:sz w:val="24"/>
        </w:rPr>
      </w:pPr>
      <w:r>
        <w:rPr>
          <w:rFonts w:hint="eastAsia" w:ascii="宋体" w:hAnsi="宋体" w:cs="宋体"/>
          <w:b/>
          <w:bCs/>
          <w:sz w:val="24"/>
        </w:rPr>
        <w:t xml:space="preserve">第一片区（河埒街道（梁溪河北）、河埒街道（梁溪河南））：</w:t>
      </w:r>
      <w:r/>
    </w:p>
    <w:p>
      <w:pPr>
        <w:ind w:firstLine="480"/>
        <w:spacing w:line="360" w:lineRule="auto"/>
        <w:rPr>
          <w:rFonts w:ascii="宋体" w:hAnsi="宋体" w:cs="宋体"/>
          <w:sz w:val="24"/>
        </w:rPr>
      </w:pPr>
      <w:r>
        <w:rPr>
          <w:rFonts w:hint="eastAsia" w:ascii="宋体" w:hAnsi="宋体" w:cs="宋体"/>
          <w:sz w:val="24"/>
        </w:rPr>
        <w:t xml:space="preserve">1）片区负责人1人；</w:t>
      </w:r>
      <w:r/>
    </w:p>
    <w:p>
      <w:pPr>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保洁人员不少于97人；</w:t>
      </w:r>
      <w:r/>
    </w:p>
    <w:p>
      <w:pPr>
        <w:ind w:firstLine="480"/>
        <w:spacing w:line="360" w:lineRule="auto"/>
        <w:rPr>
          <w:rFonts w:ascii="宋体" w:hAnsi="宋体" w:cs="宋体"/>
          <w:sz w:val="24"/>
        </w:rPr>
      </w:pPr>
      <w:r>
        <w:rPr>
          <w:rFonts w:hint="eastAsia" w:ascii="宋体" w:hAnsi="宋体" w:cs="宋体"/>
          <w:sz w:val="24"/>
        </w:rPr>
        <w:t xml:space="preserve">3）公厕管养人员不少于43人；</w:t>
      </w:r>
      <w:r/>
    </w:p>
    <w:p>
      <w:pPr>
        <w:ind w:firstLine="480"/>
        <w:spacing w:line="360" w:lineRule="auto"/>
        <w:rPr>
          <w:rFonts w:ascii="宋体" w:hAnsi="宋体" w:cs="宋体"/>
          <w:sz w:val="24"/>
        </w:rPr>
      </w:pPr>
      <w:r>
        <w:rPr>
          <w:rFonts w:hint="eastAsia" w:ascii="宋体" w:hAnsi="宋体" w:cs="宋体"/>
          <w:sz w:val="24"/>
        </w:rPr>
        <w:t xml:space="preserve">4）机械化作业人员不少于8人；</w:t>
      </w:r>
      <w:r/>
    </w:p>
    <w:p>
      <w:pPr>
        <w:ind w:firstLine="480"/>
        <w:spacing w:line="360" w:lineRule="auto"/>
        <w:rPr>
          <w:rFonts w:ascii="宋体" w:hAnsi="宋体" w:cs="宋体"/>
          <w:sz w:val="24"/>
        </w:rPr>
      </w:pPr>
      <w:r>
        <w:rPr>
          <w:rFonts w:hint="eastAsia" w:ascii="宋体" w:hAnsi="宋体" w:cs="宋体"/>
          <w:sz w:val="24"/>
        </w:rPr>
        <w:t xml:space="preserve">5）化粪池清坑人员不少于10人；</w:t>
      </w:r>
      <w:r/>
    </w:p>
    <w:p>
      <w:pPr>
        <w:ind w:firstLine="480"/>
        <w:spacing w:line="360" w:lineRule="auto"/>
        <w:rPr>
          <w:rFonts w:ascii="宋体" w:hAnsi="宋体" w:cs="宋体"/>
          <w:sz w:val="24"/>
        </w:rPr>
      </w:pPr>
      <w:r>
        <w:rPr>
          <w:rFonts w:hint="eastAsia" w:ascii="宋体" w:hAnsi="宋体" w:cs="宋体"/>
          <w:sz w:val="24"/>
        </w:rPr>
        <w:t xml:space="preserve">6）其他垃圾收运人数不少于26人；</w:t>
      </w:r>
      <w:r/>
    </w:p>
    <w:p>
      <w:pPr>
        <w:ind w:firstLine="480"/>
        <w:spacing w:line="360" w:lineRule="auto"/>
        <w:rPr>
          <w:rFonts w:ascii="宋体" w:hAnsi="宋体" w:cs="宋体"/>
          <w:sz w:val="24"/>
        </w:rPr>
      </w:pPr>
      <w:r>
        <w:rPr>
          <w:rFonts w:hint="eastAsia" w:ascii="宋体" w:hAnsi="宋体" w:cs="宋体"/>
          <w:sz w:val="24"/>
        </w:rPr>
        <w:t xml:space="preserve">7）家庭厨余收运人数不少于4人。</w:t>
      </w:r>
      <w:r/>
    </w:p>
    <w:p>
      <w:pPr>
        <w:ind w:firstLine="482"/>
        <w:spacing w:line="360" w:lineRule="auto"/>
        <w:rPr>
          <w:rFonts w:ascii="宋体" w:hAnsi="宋体" w:cs="宋体"/>
          <w:b/>
          <w:bCs/>
          <w:sz w:val="24"/>
        </w:rPr>
      </w:pPr>
      <w:r>
        <w:rPr>
          <w:rFonts w:hint="eastAsia" w:ascii="宋体" w:hAnsi="宋体" w:cs="宋体"/>
          <w:b/>
          <w:bCs/>
          <w:sz w:val="24"/>
        </w:rPr>
        <w:t xml:space="preserve">第二片区（荣巷街道）：</w:t>
      </w:r>
      <w:r/>
    </w:p>
    <w:p>
      <w:pPr>
        <w:ind w:firstLine="480"/>
        <w:spacing w:line="360" w:lineRule="auto"/>
        <w:rPr>
          <w:rFonts w:ascii="宋体" w:hAnsi="宋体" w:cs="宋体"/>
          <w:sz w:val="24"/>
        </w:rPr>
      </w:pPr>
      <w:r>
        <w:rPr>
          <w:rFonts w:hint="eastAsia" w:ascii="宋体" w:hAnsi="宋体" w:cs="宋体"/>
          <w:sz w:val="24"/>
        </w:rPr>
        <w:t xml:space="preserve">1）片区负责人1人；</w:t>
      </w:r>
      <w:r/>
    </w:p>
    <w:p>
      <w:pPr>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w:t>
      </w:r>
      <w:r>
        <w:rPr>
          <w:rFonts w:ascii="宋体" w:hAnsi="宋体" w:cs="宋体"/>
          <w:sz w:val="24"/>
        </w:rPr>
        <w:t xml:space="preserve">不少于</w:t>
      </w:r>
      <w:r>
        <w:rPr>
          <w:rFonts w:hint="eastAsia" w:ascii="宋体" w:hAnsi="宋体" w:cs="宋体"/>
          <w:sz w:val="24"/>
        </w:rPr>
        <w:t xml:space="preserve">94人；</w:t>
      </w:r>
      <w:r/>
    </w:p>
    <w:p>
      <w:pPr>
        <w:ind w:firstLine="480"/>
        <w:spacing w:line="360" w:lineRule="auto"/>
        <w:rPr>
          <w:rFonts w:ascii="宋体" w:hAnsi="宋体" w:cs="宋体"/>
          <w:sz w:val="24"/>
        </w:rPr>
      </w:pPr>
      <w:r>
        <w:rPr>
          <w:rFonts w:hint="eastAsia" w:ascii="宋体" w:hAnsi="宋体" w:cs="宋体"/>
          <w:sz w:val="24"/>
        </w:rPr>
        <w:t xml:space="preserve">3）公厕管养人员不少于31人；</w:t>
      </w:r>
      <w:r/>
    </w:p>
    <w:p>
      <w:pPr>
        <w:ind w:firstLine="480"/>
        <w:spacing w:line="360" w:lineRule="auto"/>
        <w:rPr>
          <w:rFonts w:ascii="宋体" w:hAnsi="宋体" w:cs="宋体"/>
          <w:sz w:val="24"/>
        </w:rPr>
      </w:pPr>
      <w:r>
        <w:rPr>
          <w:rFonts w:hint="eastAsia" w:ascii="宋体" w:hAnsi="宋体" w:cs="宋体"/>
          <w:sz w:val="24"/>
        </w:rPr>
        <w:t xml:space="preserve">4）机械化作业人员不少于10人；</w:t>
      </w:r>
      <w:r/>
    </w:p>
    <w:p>
      <w:pPr>
        <w:ind w:firstLine="480"/>
        <w:spacing w:line="360" w:lineRule="auto"/>
        <w:rPr>
          <w:rFonts w:ascii="宋体" w:hAnsi="宋体" w:cs="宋体"/>
          <w:sz w:val="24"/>
        </w:rPr>
      </w:pPr>
      <w:r>
        <w:rPr>
          <w:rFonts w:hint="eastAsia" w:ascii="宋体" w:hAnsi="宋体" w:cs="宋体"/>
          <w:sz w:val="24"/>
        </w:rPr>
        <w:t xml:space="preserve">5）化粪池清坑人员不少于4人；</w:t>
      </w:r>
      <w:r/>
    </w:p>
    <w:p>
      <w:pPr>
        <w:ind w:firstLine="480"/>
        <w:spacing w:line="360" w:lineRule="auto"/>
        <w:rPr>
          <w:rFonts w:ascii="宋体" w:hAnsi="宋体" w:cs="宋体"/>
          <w:sz w:val="24"/>
        </w:rPr>
      </w:pPr>
      <w:r>
        <w:rPr>
          <w:rFonts w:hint="eastAsia" w:ascii="宋体" w:hAnsi="宋体" w:cs="宋体"/>
          <w:sz w:val="24"/>
        </w:rPr>
        <w:t xml:space="preserve">6）其他垃圾收运人员不少于14人；</w:t>
      </w:r>
      <w:r/>
    </w:p>
    <w:p>
      <w:pPr>
        <w:ind w:firstLine="480"/>
        <w:spacing w:line="360" w:lineRule="auto"/>
        <w:rPr>
          <w:rFonts w:ascii="宋体" w:hAnsi="宋体" w:cs="宋体"/>
          <w:sz w:val="24"/>
        </w:rPr>
      </w:pPr>
      <w:r>
        <w:rPr>
          <w:rFonts w:hint="eastAsia" w:ascii="宋体" w:hAnsi="宋体" w:cs="宋体"/>
          <w:sz w:val="24"/>
        </w:rPr>
        <w:t xml:space="preserve">7）家庭厨余收运人数不少于2人。</w:t>
      </w:r>
      <w:r/>
    </w:p>
    <w:p>
      <w:pPr>
        <w:ind w:firstLine="482"/>
        <w:spacing w:line="360" w:lineRule="auto"/>
        <w:rPr>
          <w:rFonts w:ascii="宋体" w:hAnsi="宋体" w:cs="宋体"/>
          <w:b/>
          <w:bCs/>
          <w:sz w:val="24"/>
        </w:rPr>
      </w:pPr>
      <w:r>
        <w:rPr>
          <w:rFonts w:hint="eastAsia" w:ascii="宋体" w:hAnsi="宋体" w:cs="宋体"/>
          <w:b/>
          <w:bCs/>
          <w:sz w:val="24"/>
        </w:rPr>
        <w:t xml:space="preserve">第三片区（蠡园街道）：</w:t>
      </w:r>
      <w:r/>
    </w:p>
    <w:p>
      <w:pPr>
        <w:ind w:firstLine="480"/>
        <w:spacing w:line="360" w:lineRule="auto"/>
        <w:rPr>
          <w:rFonts w:ascii="宋体" w:hAnsi="宋体" w:cs="宋体"/>
          <w:sz w:val="24"/>
        </w:rPr>
      </w:pPr>
      <w:r>
        <w:rPr>
          <w:rFonts w:hint="eastAsia" w:ascii="宋体" w:hAnsi="宋体" w:cs="宋体"/>
          <w:sz w:val="24"/>
        </w:rPr>
        <w:t xml:space="preserve">1）片区负责人1人；</w:t>
      </w:r>
      <w:r/>
    </w:p>
    <w:p>
      <w:pPr>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保洁人员不少于75人；</w:t>
      </w:r>
      <w:r/>
    </w:p>
    <w:p>
      <w:pPr>
        <w:ind w:firstLine="480"/>
        <w:spacing w:line="360" w:lineRule="auto"/>
        <w:rPr>
          <w:rFonts w:ascii="宋体" w:hAnsi="宋体" w:cs="宋体"/>
          <w:sz w:val="24"/>
        </w:rPr>
      </w:pPr>
      <w:r>
        <w:rPr>
          <w:rFonts w:hint="eastAsia" w:ascii="宋体" w:hAnsi="宋体" w:cs="宋体"/>
          <w:sz w:val="24"/>
        </w:rPr>
        <w:t xml:space="preserve">3）公厕管养人员不少于14人；</w:t>
      </w:r>
      <w:r/>
    </w:p>
    <w:p>
      <w:pPr>
        <w:ind w:firstLine="480"/>
        <w:spacing w:line="360" w:lineRule="auto"/>
        <w:rPr>
          <w:rFonts w:ascii="宋体" w:hAnsi="宋体" w:cs="宋体"/>
          <w:sz w:val="24"/>
        </w:rPr>
      </w:pPr>
      <w:r>
        <w:rPr>
          <w:rFonts w:hint="eastAsia" w:ascii="宋体" w:hAnsi="宋体" w:cs="宋体"/>
          <w:sz w:val="24"/>
        </w:rPr>
        <w:t xml:space="preserve">4）机械化作业人员不少于9人；</w:t>
      </w:r>
      <w:r/>
    </w:p>
    <w:p>
      <w:pPr>
        <w:ind w:firstLine="480"/>
        <w:spacing w:line="360" w:lineRule="auto"/>
        <w:rPr>
          <w:rFonts w:ascii="宋体" w:hAnsi="宋体" w:cs="宋体"/>
          <w:sz w:val="24"/>
        </w:rPr>
      </w:pPr>
      <w:r>
        <w:rPr>
          <w:rFonts w:hint="eastAsia" w:ascii="宋体" w:hAnsi="宋体" w:cs="宋体"/>
          <w:sz w:val="24"/>
        </w:rPr>
        <w:t xml:space="preserve">5）化粪池清坑人员不少于2人；</w:t>
      </w:r>
      <w:r/>
    </w:p>
    <w:p>
      <w:pPr>
        <w:ind w:firstLine="480"/>
        <w:spacing w:line="360" w:lineRule="auto"/>
        <w:rPr>
          <w:rFonts w:ascii="宋体" w:hAnsi="宋体" w:cs="宋体"/>
          <w:sz w:val="24"/>
        </w:rPr>
      </w:pPr>
      <w:r>
        <w:rPr>
          <w:rFonts w:hint="eastAsia" w:ascii="宋体" w:hAnsi="宋体" w:cs="宋体"/>
          <w:sz w:val="24"/>
        </w:rPr>
        <w:t xml:space="preserve">6）其他垃圾收运人员不少于12人；</w:t>
      </w:r>
      <w:r/>
    </w:p>
    <w:p>
      <w:pPr>
        <w:ind w:firstLine="480"/>
        <w:spacing w:line="360" w:lineRule="auto"/>
        <w:rPr>
          <w:rFonts w:ascii="宋体" w:hAnsi="宋体" w:cs="宋体"/>
          <w:sz w:val="24"/>
        </w:rPr>
      </w:pPr>
      <w:r>
        <w:rPr>
          <w:rFonts w:hint="eastAsia" w:ascii="宋体" w:hAnsi="宋体" w:cs="宋体"/>
          <w:sz w:val="24"/>
        </w:rPr>
        <w:t xml:space="preserve">7）家庭厨余收运人数不少于2人。</w:t>
      </w:r>
      <w:r/>
    </w:p>
    <w:p>
      <w:pPr>
        <w:ind w:firstLine="482"/>
        <w:spacing w:line="360" w:lineRule="auto"/>
        <w:rPr>
          <w:rFonts w:ascii="宋体" w:hAnsi="宋体" w:cs="宋体"/>
          <w:b/>
          <w:bCs/>
          <w:sz w:val="24"/>
        </w:rPr>
      </w:pPr>
      <w:r>
        <w:rPr>
          <w:rFonts w:hint="eastAsia" w:ascii="宋体" w:hAnsi="宋体" w:cs="宋体"/>
          <w:b/>
          <w:bCs/>
          <w:sz w:val="24"/>
        </w:rPr>
        <w:t xml:space="preserve">第四片区（蠡湖街道）：</w:t>
      </w:r>
      <w:r/>
    </w:p>
    <w:p>
      <w:pPr>
        <w:ind w:firstLine="480"/>
        <w:spacing w:line="360" w:lineRule="auto"/>
        <w:rPr>
          <w:rFonts w:ascii="宋体" w:hAnsi="宋体" w:cs="宋体"/>
          <w:sz w:val="24"/>
        </w:rPr>
      </w:pPr>
      <w:r>
        <w:rPr>
          <w:rFonts w:hint="eastAsia" w:ascii="宋体" w:hAnsi="宋体" w:cs="宋体"/>
          <w:sz w:val="24"/>
        </w:rPr>
        <w:t xml:space="preserve">1）片区负责人1人；</w:t>
      </w:r>
      <w:r/>
    </w:p>
    <w:p>
      <w:pPr>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保洁人员不少于95人；</w:t>
      </w:r>
      <w:r/>
    </w:p>
    <w:p>
      <w:pPr>
        <w:ind w:firstLine="480"/>
        <w:spacing w:line="360" w:lineRule="auto"/>
        <w:rPr>
          <w:rFonts w:ascii="宋体" w:hAnsi="宋体" w:cs="宋体"/>
          <w:sz w:val="24"/>
        </w:rPr>
      </w:pPr>
      <w:r>
        <w:rPr>
          <w:rFonts w:hint="eastAsia" w:ascii="宋体" w:hAnsi="宋体" w:cs="宋体"/>
          <w:sz w:val="24"/>
        </w:rPr>
        <w:t xml:space="preserve">3）公厕管养人员不少于18人；</w:t>
      </w:r>
      <w:r/>
    </w:p>
    <w:p>
      <w:pPr>
        <w:ind w:firstLine="480"/>
        <w:spacing w:line="360" w:lineRule="auto"/>
        <w:rPr>
          <w:rFonts w:ascii="宋体" w:hAnsi="宋体" w:cs="宋体"/>
          <w:sz w:val="24"/>
        </w:rPr>
      </w:pPr>
      <w:r>
        <w:rPr>
          <w:rFonts w:hint="eastAsia" w:ascii="宋体" w:hAnsi="宋体" w:cs="宋体"/>
          <w:sz w:val="24"/>
        </w:rPr>
        <w:t xml:space="preserve">4）机械化作业人员不少于10人；</w:t>
      </w:r>
      <w:r/>
    </w:p>
    <w:p>
      <w:pPr>
        <w:ind w:firstLine="480"/>
        <w:spacing w:line="360" w:lineRule="auto"/>
        <w:rPr>
          <w:rFonts w:ascii="宋体" w:hAnsi="宋体" w:cs="宋体"/>
          <w:sz w:val="24"/>
        </w:rPr>
      </w:pPr>
      <w:r>
        <w:rPr>
          <w:rFonts w:hint="eastAsia" w:ascii="宋体" w:hAnsi="宋体" w:cs="宋体"/>
          <w:sz w:val="24"/>
        </w:rPr>
        <w:t xml:space="preserve">5）化粪池清坑人员不少于4人；</w:t>
      </w:r>
      <w:r/>
    </w:p>
    <w:p>
      <w:pPr>
        <w:ind w:firstLine="480"/>
        <w:spacing w:line="360" w:lineRule="auto"/>
        <w:rPr>
          <w:rFonts w:ascii="宋体" w:hAnsi="宋体" w:cs="宋体"/>
          <w:sz w:val="24"/>
        </w:rPr>
      </w:pPr>
      <w:r>
        <w:rPr>
          <w:rFonts w:hint="eastAsia" w:ascii="宋体" w:hAnsi="宋体" w:cs="宋体"/>
          <w:sz w:val="24"/>
        </w:rPr>
        <w:t xml:space="preserve">6）其他垃圾收运人员不少于16人；</w:t>
      </w:r>
      <w:r/>
    </w:p>
    <w:p>
      <w:pPr>
        <w:ind w:firstLine="480"/>
        <w:spacing w:line="360" w:lineRule="auto"/>
        <w:rPr>
          <w:rFonts w:ascii="宋体" w:hAnsi="宋体" w:cs="宋体"/>
          <w:sz w:val="24"/>
        </w:rPr>
      </w:pPr>
      <w:r>
        <w:rPr>
          <w:rFonts w:hint="eastAsia" w:ascii="宋体" w:hAnsi="宋体" w:cs="宋体"/>
          <w:sz w:val="24"/>
        </w:rPr>
        <w:t xml:space="preserve">7）家庭厨余收运人数不少于2人。</w:t>
      </w:r>
      <w:r/>
    </w:p>
    <w:p>
      <w:pPr>
        <w:ind w:firstLine="482"/>
        <w:spacing w:line="360" w:lineRule="auto"/>
        <w:rPr>
          <w:rFonts w:ascii="宋体" w:hAnsi="宋体" w:cs="宋体"/>
          <w:b/>
          <w:bCs/>
          <w:sz w:val="24"/>
        </w:rPr>
      </w:pPr>
      <w:r>
        <w:rPr>
          <w:rFonts w:hint="eastAsia" w:ascii="宋体" w:hAnsi="宋体" w:cs="宋体"/>
          <w:b/>
          <w:bCs/>
          <w:sz w:val="24"/>
        </w:rPr>
        <w:t xml:space="preserve">第五片区（雪浪街道）：</w:t>
      </w:r>
      <w:r/>
    </w:p>
    <w:p>
      <w:pPr>
        <w:ind w:firstLine="480"/>
        <w:spacing w:line="360" w:lineRule="auto"/>
        <w:rPr>
          <w:rFonts w:ascii="宋体" w:hAnsi="宋体" w:cs="宋体"/>
          <w:sz w:val="24"/>
        </w:rPr>
      </w:pPr>
      <w:r>
        <w:rPr>
          <w:rFonts w:hint="eastAsia" w:ascii="宋体" w:hAnsi="宋体" w:cs="宋体"/>
          <w:sz w:val="24"/>
        </w:rPr>
        <w:t xml:space="preserve">1）片区负责人1人；</w:t>
      </w:r>
      <w:r/>
    </w:p>
    <w:p>
      <w:pPr>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w:t>
      </w:r>
      <w:r>
        <w:rPr>
          <w:rFonts w:ascii="宋体" w:hAnsi="宋体" w:cs="宋体"/>
          <w:sz w:val="24"/>
        </w:rPr>
        <w:t xml:space="preserve">不少于</w:t>
      </w:r>
      <w:r>
        <w:rPr>
          <w:rFonts w:hint="eastAsia" w:ascii="宋体" w:hAnsi="宋体" w:cs="宋体"/>
          <w:sz w:val="24"/>
        </w:rPr>
        <w:t xml:space="preserve">274人；</w:t>
      </w:r>
      <w:r/>
    </w:p>
    <w:p>
      <w:pPr>
        <w:ind w:firstLine="480"/>
        <w:spacing w:line="360" w:lineRule="auto"/>
        <w:rPr>
          <w:rFonts w:ascii="宋体" w:hAnsi="宋体" w:cs="宋体"/>
          <w:sz w:val="24"/>
        </w:rPr>
      </w:pPr>
      <w:r>
        <w:rPr>
          <w:rFonts w:hint="eastAsia" w:ascii="宋体" w:hAnsi="宋体" w:cs="宋体"/>
          <w:sz w:val="24"/>
        </w:rPr>
        <w:t xml:space="preserve">3）公厕管养人员不少于33人；</w:t>
      </w:r>
      <w:r/>
    </w:p>
    <w:p>
      <w:pPr>
        <w:ind w:firstLine="480"/>
        <w:spacing w:line="360" w:lineRule="auto"/>
        <w:rPr>
          <w:rFonts w:ascii="宋体" w:hAnsi="宋体" w:cs="宋体"/>
          <w:sz w:val="24"/>
        </w:rPr>
      </w:pPr>
      <w:r>
        <w:rPr>
          <w:rFonts w:hint="eastAsia" w:ascii="宋体" w:hAnsi="宋体" w:cs="宋体"/>
          <w:sz w:val="24"/>
        </w:rPr>
        <w:t xml:space="preserve">4）机械化作业人员不少于20人；</w:t>
      </w:r>
      <w:r/>
    </w:p>
    <w:p>
      <w:pPr>
        <w:ind w:firstLine="480"/>
        <w:spacing w:line="360" w:lineRule="auto"/>
        <w:rPr>
          <w:rFonts w:ascii="宋体" w:hAnsi="宋体" w:cs="宋体"/>
          <w:sz w:val="24"/>
        </w:rPr>
      </w:pPr>
      <w:r>
        <w:rPr>
          <w:rFonts w:hint="eastAsia" w:ascii="宋体" w:hAnsi="宋体" w:cs="宋体"/>
          <w:sz w:val="24"/>
        </w:rPr>
        <w:t xml:space="preserve">5）化粪池清坑人员不少于4人；</w:t>
      </w:r>
      <w:r/>
    </w:p>
    <w:p>
      <w:pPr>
        <w:ind w:firstLine="480"/>
        <w:spacing w:line="360" w:lineRule="auto"/>
        <w:rPr>
          <w:rFonts w:ascii="宋体" w:hAnsi="宋体" w:cs="宋体"/>
          <w:sz w:val="24"/>
        </w:rPr>
      </w:pPr>
      <w:r>
        <w:rPr>
          <w:rFonts w:hint="eastAsia" w:ascii="宋体" w:hAnsi="宋体" w:cs="宋体"/>
          <w:sz w:val="24"/>
        </w:rPr>
        <w:t xml:space="preserve">6）其他垃圾收运人员不少于22人；</w:t>
      </w:r>
      <w:r/>
    </w:p>
    <w:p>
      <w:pPr>
        <w:ind w:firstLine="480"/>
        <w:spacing w:line="360" w:lineRule="auto"/>
        <w:rPr>
          <w:rFonts w:ascii="宋体" w:hAnsi="宋体" w:cs="宋体"/>
          <w:sz w:val="24"/>
        </w:rPr>
      </w:pPr>
      <w:r>
        <w:rPr>
          <w:rFonts w:hint="eastAsia" w:ascii="宋体" w:hAnsi="宋体" w:cs="宋体"/>
          <w:sz w:val="24"/>
        </w:rPr>
        <w:t xml:space="preserve">7）家庭厨余收运人数不少于2人。</w:t>
      </w:r>
      <w:r/>
    </w:p>
    <w:p>
      <w:pPr>
        <w:ind w:firstLine="482"/>
        <w:spacing w:line="360" w:lineRule="auto"/>
        <w:rPr>
          <w:rFonts w:ascii="宋体" w:hAnsi="宋体" w:cs="宋体"/>
          <w:b/>
          <w:bCs/>
          <w:sz w:val="24"/>
        </w:rPr>
      </w:pPr>
      <w:r>
        <w:rPr>
          <w:rFonts w:hint="eastAsia" w:ascii="宋体" w:hAnsi="宋体" w:cs="宋体"/>
          <w:b/>
          <w:bCs/>
          <w:sz w:val="24"/>
        </w:rPr>
        <w:t xml:space="preserve">第六片区（胡埭镇）：</w:t>
      </w:r>
      <w:r/>
    </w:p>
    <w:p>
      <w:pPr>
        <w:ind w:firstLine="480"/>
        <w:spacing w:line="360" w:lineRule="auto"/>
        <w:rPr>
          <w:rFonts w:ascii="宋体" w:hAnsi="宋体" w:cs="宋体"/>
          <w:sz w:val="24"/>
        </w:rPr>
      </w:pPr>
      <w:r>
        <w:rPr>
          <w:rFonts w:hint="eastAsia" w:ascii="宋体" w:hAnsi="宋体" w:cs="宋体"/>
          <w:sz w:val="24"/>
        </w:rPr>
        <w:t xml:space="preserve">1）片区负责人1人；</w:t>
      </w:r>
      <w:r/>
    </w:p>
    <w:p>
      <w:pPr>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w:t>
      </w:r>
      <w:r>
        <w:rPr>
          <w:rFonts w:ascii="宋体" w:hAnsi="宋体" w:cs="宋体"/>
          <w:sz w:val="24"/>
        </w:rPr>
        <w:t xml:space="preserve">不少于</w:t>
      </w:r>
      <w:r>
        <w:rPr>
          <w:rFonts w:hint="eastAsia" w:ascii="宋体" w:hAnsi="宋体" w:cs="宋体"/>
          <w:sz w:val="24"/>
        </w:rPr>
        <w:t xml:space="preserve">170人；</w:t>
      </w:r>
      <w:r/>
    </w:p>
    <w:p>
      <w:pPr>
        <w:ind w:firstLine="480"/>
        <w:spacing w:line="360" w:lineRule="auto"/>
        <w:rPr>
          <w:rFonts w:ascii="宋体" w:hAnsi="宋体" w:cs="宋体"/>
          <w:sz w:val="24"/>
        </w:rPr>
      </w:pPr>
      <w:r>
        <w:rPr>
          <w:rFonts w:hint="eastAsia" w:ascii="宋体" w:hAnsi="宋体" w:cs="宋体"/>
          <w:sz w:val="24"/>
        </w:rPr>
        <w:t xml:space="preserve">3）公厕管养人员不少于32人；</w:t>
      </w:r>
      <w:r/>
    </w:p>
    <w:p>
      <w:pPr>
        <w:ind w:firstLine="480"/>
        <w:spacing w:line="360" w:lineRule="auto"/>
        <w:rPr>
          <w:rFonts w:ascii="宋体" w:hAnsi="宋体" w:cs="宋体"/>
          <w:sz w:val="24"/>
        </w:rPr>
      </w:pPr>
      <w:r>
        <w:rPr>
          <w:rFonts w:hint="eastAsia" w:ascii="宋体" w:hAnsi="宋体" w:cs="宋体"/>
          <w:sz w:val="24"/>
        </w:rPr>
        <w:t xml:space="preserve">4）机械化作业人员不少于17人；</w:t>
      </w:r>
      <w:r/>
    </w:p>
    <w:p>
      <w:pPr>
        <w:ind w:firstLine="480"/>
        <w:spacing w:line="360" w:lineRule="auto"/>
        <w:rPr>
          <w:rFonts w:ascii="宋体" w:hAnsi="宋体" w:cs="宋体"/>
          <w:sz w:val="24"/>
        </w:rPr>
      </w:pPr>
      <w:r>
        <w:rPr>
          <w:rFonts w:hint="eastAsia" w:ascii="宋体" w:hAnsi="宋体" w:cs="宋体"/>
          <w:sz w:val="24"/>
        </w:rPr>
        <w:t xml:space="preserve">5）化粪池清坑人员不少于2人；</w:t>
      </w:r>
      <w:r/>
    </w:p>
    <w:p>
      <w:pPr>
        <w:ind w:firstLine="480"/>
        <w:spacing w:line="360" w:lineRule="auto"/>
        <w:rPr>
          <w:rFonts w:ascii="宋体" w:hAnsi="宋体" w:cs="宋体"/>
          <w:sz w:val="24"/>
        </w:rPr>
      </w:pPr>
      <w:r>
        <w:rPr>
          <w:rFonts w:hint="eastAsia" w:ascii="宋体" w:hAnsi="宋体" w:cs="宋体"/>
          <w:sz w:val="24"/>
        </w:rPr>
        <w:t xml:space="preserve">6）其他垃圾收运人员不少于12人；</w:t>
      </w:r>
      <w:r/>
    </w:p>
    <w:p>
      <w:pPr>
        <w:ind w:firstLine="480"/>
        <w:spacing w:line="360" w:lineRule="auto"/>
        <w:rPr>
          <w:rFonts w:ascii="宋体" w:hAnsi="宋体" w:cs="宋体"/>
          <w:sz w:val="24"/>
        </w:rPr>
      </w:pPr>
      <w:r>
        <w:rPr>
          <w:rFonts w:hint="eastAsia" w:ascii="宋体" w:hAnsi="宋体" w:cs="宋体"/>
          <w:sz w:val="24"/>
        </w:rPr>
        <w:t xml:space="preserve">7）家庭厨余收运人数不少于2人。</w:t>
      </w:r>
      <w:r/>
    </w:p>
    <w:p>
      <w:pPr>
        <w:ind w:firstLine="482"/>
        <w:spacing w:line="360" w:lineRule="auto"/>
        <w:rPr>
          <w:rFonts w:ascii="宋体" w:hAnsi="宋体" w:cs="宋体"/>
          <w:b/>
          <w:bCs/>
          <w:sz w:val="24"/>
        </w:rPr>
      </w:pPr>
      <w:r>
        <w:rPr>
          <w:rFonts w:hint="eastAsia" w:ascii="宋体" w:hAnsi="宋体" w:cs="宋体"/>
          <w:b/>
          <w:bCs/>
          <w:sz w:val="24"/>
        </w:rPr>
        <w:t xml:space="preserve">第七片区（马山街道）：</w:t>
      </w:r>
      <w:r/>
    </w:p>
    <w:p>
      <w:pPr>
        <w:ind w:firstLine="480"/>
        <w:spacing w:line="360" w:lineRule="auto"/>
        <w:rPr>
          <w:rFonts w:ascii="宋体" w:hAnsi="宋体" w:cs="宋体"/>
          <w:sz w:val="24"/>
        </w:rPr>
      </w:pPr>
      <w:r>
        <w:rPr>
          <w:rFonts w:hint="eastAsia" w:ascii="宋体" w:hAnsi="宋体" w:cs="宋体"/>
          <w:sz w:val="24"/>
        </w:rPr>
        <w:t xml:space="preserve">1）片区负责人1人；</w:t>
      </w:r>
      <w:r/>
    </w:p>
    <w:p>
      <w:pPr>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w:t>
      </w:r>
      <w:r>
        <w:rPr>
          <w:rFonts w:ascii="宋体" w:hAnsi="宋体" w:cs="宋体"/>
          <w:sz w:val="24"/>
        </w:rPr>
        <w:t xml:space="preserve">不少于</w:t>
      </w:r>
      <w:r>
        <w:rPr>
          <w:rFonts w:hint="eastAsia" w:ascii="宋体" w:hAnsi="宋体" w:cs="宋体"/>
          <w:sz w:val="24"/>
        </w:rPr>
        <w:t xml:space="preserve">135人；</w:t>
      </w:r>
      <w:r/>
    </w:p>
    <w:p>
      <w:pPr>
        <w:ind w:firstLine="480"/>
        <w:spacing w:line="360" w:lineRule="auto"/>
        <w:rPr>
          <w:rFonts w:ascii="宋体" w:hAnsi="宋体" w:cs="宋体"/>
          <w:sz w:val="24"/>
        </w:rPr>
      </w:pPr>
      <w:r>
        <w:rPr>
          <w:rFonts w:hint="eastAsia" w:ascii="宋体" w:hAnsi="宋体" w:cs="宋体"/>
          <w:sz w:val="24"/>
        </w:rPr>
        <w:t xml:space="preserve">3）公厕管养人员不少于22人；</w:t>
      </w:r>
      <w:r/>
    </w:p>
    <w:p>
      <w:pPr>
        <w:ind w:firstLine="480"/>
        <w:spacing w:line="360" w:lineRule="auto"/>
        <w:rPr>
          <w:rFonts w:ascii="宋体" w:hAnsi="宋体" w:cs="宋体"/>
          <w:sz w:val="24"/>
        </w:rPr>
      </w:pPr>
      <w:r>
        <w:rPr>
          <w:rFonts w:hint="eastAsia" w:ascii="宋体" w:hAnsi="宋体" w:cs="宋体"/>
          <w:sz w:val="24"/>
        </w:rPr>
        <w:t xml:space="preserve">4）机械化作业人员不少于11人；</w:t>
      </w:r>
      <w:r/>
    </w:p>
    <w:p>
      <w:pPr>
        <w:ind w:firstLine="480"/>
        <w:spacing w:line="360" w:lineRule="auto"/>
        <w:rPr>
          <w:rFonts w:ascii="宋体" w:hAnsi="宋体" w:cs="宋体"/>
          <w:sz w:val="24"/>
        </w:rPr>
      </w:pPr>
      <w:r>
        <w:rPr>
          <w:rFonts w:hint="eastAsia" w:ascii="宋体" w:hAnsi="宋体" w:cs="宋体"/>
          <w:sz w:val="24"/>
        </w:rPr>
        <w:t xml:space="preserve">5）化粪池清坑人员不少于2人；</w:t>
      </w:r>
      <w:r/>
    </w:p>
    <w:p>
      <w:pPr>
        <w:ind w:firstLine="480"/>
        <w:spacing w:line="360" w:lineRule="auto"/>
        <w:rPr>
          <w:rFonts w:ascii="宋体" w:hAnsi="宋体" w:cs="宋体"/>
          <w:sz w:val="24"/>
        </w:rPr>
      </w:pPr>
      <w:r>
        <w:rPr>
          <w:rFonts w:hint="eastAsia" w:ascii="宋体" w:hAnsi="宋体" w:cs="宋体"/>
          <w:sz w:val="24"/>
        </w:rPr>
        <w:t xml:space="preserve">6）其他垃圾收运人员不少于8人；</w:t>
      </w:r>
      <w:r/>
    </w:p>
    <w:p>
      <w:pPr>
        <w:ind w:firstLine="480"/>
        <w:spacing w:line="360" w:lineRule="auto"/>
        <w:rPr>
          <w:rFonts w:ascii="宋体" w:hAnsi="宋体" w:cs="宋体"/>
          <w:sz w:val="24"/>
        </w:rPr>
      </w:pPr>
      <w:r>
        <w:rPr>
          <w:rFonts w:hint="eastAsia" w:ascii="宋体" w:hAnsi="宋体" w:cs="宋体"/>
          <w:sz w:val="24"/>
        </w:rPr>
        <w:t xml:space="preserve">7）家庭厨余收运人数不少于2人。</w:t>
      </w:r>
      <w:r/>
    </w:p>
    <w:p>
      <w:pPr>
        <w:ind w:firstLine="482"/>
        <w:spacing w:line="360" w:lineRule="auto"/>
        <w:rPr>
          <w:rFonts w:ascii="宋体" w:hAnsi="宋体" w:cs="宋体"/>
          <w:b/>
          <w:bCs/>
          <w:sz w:val="24"/>
        </w:rPr>
      </w:pPr>
      <w:r>
        <w:rPr>
          <w:rFonts w:hint="eastAsia" w:ascii="宋体" w:hAnsi="宋体" w:cs="宋体"/>
          <w:b/>
          <w:bCs/>
          <w:sz w:val="24"/>
        </w:rPr>
        <w:t xml:space="preserve">1.3道路机械化作业</w:t>
      </w:r>
      <w:r/>
    </w:p>
    <w:p>
      <w:pPr>
        <w:ind w:firstLine="424"/>
        <w:jc w:val="left"/>
        <w:spacing w:line="360" w:lineRule="auto"/>
        <w:rPr>
          <w:rFonts w:ascii="宋体" w:hAnsi="宋体"/>
          <w:bCs/>
          <w:sz w:val="24"/>
        </w:rPr>
      </w:pPr>
      <w:r/>
      <w:bookmarkStart w:id="7" w:name="_Hlk108458709"/>
      <w:r/>
      <w:bookmarkStart w:id="8" w:name="_Hlk107568400"/>
      <w:r>
        <w:rPr>
          <w:rFonts w:hint="eastAsia" w:ascii="宋体" w:hAnsi="宋体" w:cs="宋体"/>
          <w:sz w:val="24"/>
        </w:rPr>
        <w:t xml:space="preserve">（1）本项目作业量详见附件，根据</w:t>
      </w:r>
      <w:r>
        <w:rPr>
          <w:rFonts w:hint="eastAsia" w:ascii="宋体" w:hAnsi="宋体"/>
          <w:bCs/>
          <w:sz w:val="24"/>
        </w:rPr>
        <w:t xml:space="preserve">《关于2025年无锡市区环卫一体化作业招标工作的指导意见》锡城管发〔2025〕60号</w:t>
      </w:r>
      <w:r>
        <w:rPr>
          <w:rFonts w:hint="eastAsia" w:ascii="宋体" w:hAnsi="宋体" w:cs="宋体"/>
          <w:sz w:val="24"/>
        </w:rPr>
        <w:t xml:space="preserve">，本项目需配备大、小型作业车辆，</w:t>
      </w:r>
      <w:bookmarkEnd w:id="7"/>
      <w:r/>
      <w:bookmarkEnd w:id="8"/>
      <w:r>
        <w:rPr>
          <w:rFonts w:hint="eastAsia" w:ascii="宋体" w:hAnsi="宋体"/>
          <w:bCs/>
          <w:sz w:val="24"/>
        </w:rPr>
        <w:t xml:space="preserve">总车辆配置不少于162辆，各片区单独设置最低车辆配置，具体如下：</w:t>
      </w:r>
      <w:r/>
    </w:p>
    <w:p>
      <w:pPr>
        <w:ind w:firstLine="482"/>
        <w:spacing w:line="360" w:lineRule="auto"/>
        <w:rPr>
          <w:rFonts w:ascii="宋体" w:hAnsi="宋体" w:cs="宋体"/>
          <w:b/>
          <w:bCs/>
          <w:sz w:val="24"/>
        </w:rPr>
      </w:pPr>
      <w:r>
        <w:rPr>
          <w:rFonts w:hint="eastAsia" w:ascii="宋体" w:hAnsi="宋体" w:cs="宋体"/>
          <w:b/>
          <w:bCs/>
          <w:sz w:val="24"/>
        </w:rPr>
        <w:t xml:space="preserve">第一片区（河埒街道（梁溪河北）、河埒街道（梁溪河南））：</w:t>
      </w:r>
      <w:r/>
    </w:p>
    <w:p>
      <w:pPr>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1）机扫车（总质量≥18000kg）（每天每车作业里程70公里）不少于1辆；</w:t>
      </w:r>
      <w:r/>
    </w:p>
    <w:p>
      <w:pPr>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p>
    <w:p>
      <w:pPr>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3）高压冲水车（总质量≥18000kg）（最高清洗压力不少于9Mpa且配备前置喷水架，每天每车作业里程80公里）不少于2辆；</w:t>
      </w:r>
      <w:r/>
    </w:p>
    <w:p>
      <w:pPr>
        <w:ind w:firstLine="480"/>
        <w:spacing w:line="360" w:lineRule="auto"/>
        <w:rPr>
          <w:rFonts w:ascii="宋体" w:hAnsi="宋体" w:cs="宋体"/>
          <w:sz w:val="24"/>
        </w:rPr>
      </w:pPr>
      <w:r>
        <w:rPr>
          <w:rFonts w:hint="eastAsia" w:ascii="宋体" w:hAnsi="宋体" w:cs="宋体"/>
          <w:sz w:val="24"/>
        </w:rPr>
        <w:t xml:space="preserve">4）小型机扫（洗扫、冲水）车不少于1辆（每天每车作业里程48公里）；</w:t>
      </w:r>
      <w:r/>
    </w:p>
    <w:p>
      <w:pPr>
        <w:ind w:firstLine="480"/>
        <w:spacing w:line="360" w:lineRule="auto"/>
        <w:rPr>
          <w:rFonts w:ascii="宋体" w:hAnsi="宋体" w:cs="宋体"/>
          <w:sz w:val="24"/>
        </w:rPr>
      </w:pPr>
      <w:r>
        <w:rPr>
          <w:rFonts w:hint="eastAsia" w:ascii="宋体" w:hAnsi="宋体" w:cs="宋体"/>
          <w:sz w:val="24"/>
        </w:rPr>
        <w:t xml:space="preserve">5）吸粪车（吸污车）（核定载质量≥1150kg）不少于5辆；</w:t>
      </w:r>
      <w:r/>
    </w:p>
    <w:p>
      <w:pPr>
        <w:ind w:firstLine="480"/>
        <w:spacing w:line="360" w:lineRule="auto"/>
        <w:rPr>
          <w:rFonts w:ascii="宋体" w:hAnsi="宋体" w:cs="宋体"/>
          <w:sz w:val="24"/>
        </w:rPr>
      </w:pPr>
      <w:r>
        <w:rPr>
          <w:rFonts w:hint="eastAsia" w:ascii="宋体" w:hAnsi="宋体" w:cs="宋体"/>
          <w:sz w:val="24"/>
        </w:rPr>
        <w:t xml:space="preserve">6）其他垃圾收集车（核定载质量≥3000kg）不少于13辆；</w:t>
      </w:r>
      <w:r/>
    </w:p>
    <w:p>
      <w:pPr>
        <w:ind w:firstLine="480"/>
        <w:spacing w:line="360" w:lineRule="auto"/>
        <w:rPr>
          <w:rFonts w:ascii="宋体" w:hAnsi="宋体" w:cs="宋体"/>
          <w:sz w:val="24"/>
        </w:rPr>
      </w:pPr>
      <w:r>
        <w:rPr>
          <w:rFonts w:hint="eastAsia" w:ascii="宋体" w:hAnsi="宋体" w:cs="宋体"/>
          <w:sz w:val="24"/>
        </w:rPr>
        <w:t xml:space="preserve">7）家庭厨余收集车（核定载质量≥3000kg）不少于2辆。</w:t>
      </w:r>
      <w:r/>
    </w:p>
    <w:p>
      <w:pPr>
        <w:ind w:firstLine="482"/>
        <w:spacing w:line="360" w:lineRule="auto"/>
        <w:rPr>
          <w:rFonts w:ascii="宋体" w:hAnsi="宋体" w:cs="宋体"/>
          <w:b/>
          <w:bCs/>
          <w:sz w:val="24"/>
        </w:rPr>
      </w:pPr>
      <w:r>
        <w:rPr>
          <w:rFonts w:hint="eastAsia" w:ascii="宋体" w:hAnsi="宋体" w:cs="宋体"/>
          <w:b/>
          <w:bCs/>
          <w:sz w:val="24"/>
        </w:rPr>
        <w:t xml:space="preserve">第二片区（荣巷街道）：</w:t>
      </w:r>
      <w:r/>
    </w:p>
    <w:p>
      <w:pPr>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1）机扫车（总质量≥18000kg）（每天每车作业里程70公里）不少于2辆；</w:t>
      </w:r>
      <w:r/>
    </w:p>
    <w:p>
      <w:pPr>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p>
    <w:p>
      <w:pPr>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3）高压冲水车（总质量≥18000kg）（最高清洗压力不少于9Mpa且配备前置喷水架，每天每车作业里程80公里）不少于2辆；</w:t>
      </w:r>
      <w:r/>
    </w:p>
    <w:p>
      <w:pPr>
        <w:ind w:firstLine="480"/>
        <w:spacing w:line="360" w:lineRule="auto"/>
        <w:rPr>
          <w:rFonts w:ascii="宋体" w:hAnsi="宋体" w:cs="宋体"/>
          <w:sz w:val="24"/>
        </w:rPr>
      </w:pPr>
      <w:r>
        <w:rPr>
          <w:rFonts w:hint="eastAsia" w:ascii="宋体" w:hAnsi="宋体" w:cs="宋体"/>
          <w:sz w:val="24"/>
        </w:rPr>
        <w:t xml:space="preserve">4）小型机扫（洗扫、冲水）车不少于2辆（每天每车作业里程48公里）；</w:t>
      </w:r>
      <w:r/>
    </w:p>
    <w:p>
      <w:pPr>
        <w:ind w:firstLine="480"/>
        <w:spacing w:line="360" w:lineRule="auto"/>
        <w:rPr>
          <w:rFonts w:ascii="宋体" w:hAnsi="宋体" w:cs="宋体"/>
          <w:sz w:val="24"/>
        </w:rPr>
      </w:pPr>
      <w:r>
        <w:rPr>
          <w:rFonts w:hint="eastAsia" w:ascii="宋体" w:hAnsi="宋体" w:cs="宋体"/>
          <w:sz w:val="24"/>
        </w:rPr>
        <w:t xml:space="preserve">5）吸粪车（吸污车）（核定载质量≥1150kg）不少于2辆；</w:t>
      </w:r>
      <w:r/>
    </w:p>
    <w:p>
      <w:pPr>
        <w:ind w:firstLine="480"/>
        <w:spacing w:line="360" w:lineRule="auto"/>
        <w:rPr>
          <w:rFonts w:ascii="宋体" w:hAnsi="宋体" w:cs="宋体"/>
          <w:sz w:val="24"/>
        </w:rPr>
      </w:pPr>
      <w:r>
        <w:rPr>
          <w:rFonts w:hint="eastAsia" w:ascii="宋体" w:hAnsi="宋体" w:cs="宋体"/>
          <w:sz w:val="24"/>
        </w:rPr>
        <w:t xml:space="preserve">6）其他垃圾收集车（核定载质量≥3000kg）不少于7辆；</w:t>
      </w:r>
      <w:r/>
    </w:p>
    <w:p>
      <w:pPr>
        <w:ind w:firstLine="480"/>
        <w:spacing w:line="360" w:lineRule="auto"/>
        <w:rPr>
          <w:rFonts w:ascii="宋体" w:hAnsi="宋体" w:cs="宋体"/>
          <w:sz w:val="24"/>
        </w:rPr>
      </w:pPr>
      <w:r>
        <w:rPr>
          <w:rFonts w:hint="eastAsia" w:ascii="宋体" w:hAnsi="宋体" w:cs="宋体"/>
          <w:sz w:val="24"/>
        </w:rPr>
        <w:t xml:space="preserve">7）家庭厨余收集车（核定载质量≥3000kg）不少于1辆。</w:t>
      </w:r>
      <w:r/>
    </w:p>
    <w:p>
      <w:pPr>
        <w:ind w:firstLine="482"/>
        <w:spacing w:line="360" w:lineRule="auto"/>
        <w:rPr>
          <w:rFonts w:ascii="宋体" w:hAnsi="宋体" w:cs="宋体"/>
          <w:b/>
          <w:bCs/>
          <w:sz w:val="24"/>
        </w:rPr>
      </w:pPr>
      <w:r>
        <w:rPr>
          <w:rFonts w:hint="eastAsia" w:ascii="宋体" w:hAnsi="宋体" w:cs="宋体"/>
          <w:b/>
          <w:bCs/>
          <w:sz w:val="24"/>
        </w:rPr>
        <w:t xml:space="preserve">第三片区（蠡园街道）：</w:t>
      </w:r>
      <w:r/>
    </w:p>
    <w:p>
      <w:pPr>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1）机扫车（总质量≥18000kg）（每天每车作业里程70公里）不少于2辆；</w:t>
      </w:r>
      <w:r/>
    </w:p>
    <w:p>
      <w:pPr>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p>
    <w:p>
      <w:pPr>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3）高压冲水车（总质量≥18000kg）（最高清洗压力不少于9Mpa且配备前置喷水架，每天每车作业里程80公里）不少于2辆；</w:t>
      </w:r>
      <w:r/>
    </w:p>
    <w:p>
      <w:pPr>
        <w:ind w:firstLine="480"/>
        <w:spacing w:line="360" w:lineRule="auto"/>
        <w:rPr>
          <w:rFonts w:ascii="宋体" w:hAnsi="宋体" w:cs="宋体"/>
          <w:sz w:val="24"/>
        </w:rPr>
      </w:pPr>
      <w:r>
        <w:rPr>
          <w:rFonts w:hint="eastAsia" w:ascii="宋体" w:hAnsi="宋体" w:cs="宋体"/>
          <w:sz w:val="24"/>
        </w:rPr>
        <w:t xml:space="preserve">4）小型机扫（洗扫、冲水）车不少于1辆（每天每车作业里程48公里）；</w:t>
      </w:r>
      <w:r/>
    </w:p>
    <w:p>
      <w:pPr>
        <w:ind w:firstLine="480"/>
        <w:spacing w:line="360" w:lineRule="auto"/>
        <w:rPr>
          <w:rFonts w:ascii="宋体" w:hAnsi="宋体" w:cs="宋体"/>
          <w:sz w:val="24"/>
        </w:rPr>
      </w:pPr>
      <w:r>
        <w:rPr>
          <w:rFonts w:hint="eastAsia" w:ascii="宋体" w:hAnsi="宋体" w:cs="宋体"/>
          <w:sz w:val="24"/>
        </w:rPr>
        <w:t xml:space="preserve">5）吸粪车（吸污车）（核定载质量≥1150kg）不少于1辆；</w:t>
      </w:r>
      <w:r/>
    </w:p>
    <w:p>
      <w:pPr>
        <w:ind w:firstLine="480"/>
        <w:spacing w:line="360" w:lineRule="auto"/>
        <w:rPr>
          <w:rFonts w:ascii="宋体" w:hAnsi="宋体" w:cs="宋体"/>
          <w:sz w:val="24"/>
        </w:rPr>
      </w:pPr>
      <w:r>
        <w:rPr>
          <w:rFonts w:hint="eastAsia" w:ascii="宋体" w:hAnsi="宋体" w:cs="宋体"/>
          <w:sz w:val="24"/>
        </w:rPr>
        <w:t xml:space="preserve">6）其他垃圾收集车（核定载质量≥3000kg）不少于6辆；</w:t>
      </w:r>
      <w:r/>
    </w:p>
    <w:p>
      <w:pPr>
        <w:ind w:firstLine="480"/>
        <w:spacing w:line="360" w:lineRule="auto"/>
        <w:rPr>
          <w:rFonts w:ascii="宋体" w:hAnsi="宋体" w:cs="宋体"/>
          <w:sz w:val="24"/>
        </w:rPr>
      </w:pPr>
      <w:r>
        <w:rPr>
          <w:rFonts w:hint="eastAsia" w:ascii="宋体" w:hAnsi="宋体" w:cs="宋体"/>
          <w:sz w:val="24"/>
        </w:rPr>
        <w:t xml:space="preserve">7）家庭厨余收集车（核定载质量≥3000kg）不少于1辆。</w:t>
      </w:r>
      <w:r/>
    </w:p>
    <w:p>
      <w:pPr>
        <w:ind w:firstLine="482"/>
        <w:spacing w:line="360" w:lineRule="auto"/>
        <w:rPr>
          <w:rFonts w:ascii="宋体" w:hAnsi="宋体" w:cs="宋体"/>
          <w:b/>
          <w:bCs/>
          <w:sz w:val="24"/>
        </w:rPr>
      </w:pPr>
      <w:r>
        <w:rPr>
          <w:rFonts w:hint="eastAsia" w:ascii="宋体" w:hAnsi="宋体" w:cs="宋体"/>
          <w:b/>
          <w:bCs/>
          <w:sz w:val="24"/>
        </w:rPr>
        <w:t xml:space="preserve">第四片区（蠡湖街道）</w:t>
      </w:r>
      <w:r/>
    </w:p>
    <w:p>
      <w:pPr>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1）机扫车（总质量≥18000kg）（每天每车作业里程70公里）不少于2辆；</w:t>
      </w:r>
      <w:r/>
    </w:p>
    <w:p>
      <w:pPr>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p>
    <w:p>
      <w:pPr>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3）高压冲水车（总质量≥18000kg）（最高清洗压力不少于9Mpa且配备前置喷水架，每天每车作业里程80公里）不少于2辆；</w:t>
      </w:r>
      <w:r/>
    </w:p>
    <w:p>
      <w:pPr>
        <w:ind w:firstLine="480"/>
        <w:spacing w:line="360" w:lineRule="auto"/>
        <w:rPr>
          <w:rFonts w:ascii="宋体" w:hAnsi="宋体" w:cs="宋体"/>
          <w:sz w:val="24"/>
        </w:rPr>
      </w:pPr>
      <w:r>
        <w:rPr>
          <w:rFonts w:hint="eastAsia" w:ascii="宋体" w:hAnsi="宋体" w:cs="宋体"/>
          <w:sz w:val="24"/>
        </w:rPr>
        <w:t xml:space="preserve">4）小型机扫（洗扫、冲水）车不少于2辆（每天每车作业里程48公里）；</w:t>
      </w:r>
      <w:r/>
    </w:p>
    <w:p>
      <w:pPr>
        <w:ind w:firstLine="480"/>
        <w:spacing w:line="360" w:lineRule="auto"/>
        <w:rPr>
          <w:rFonts w:ascii="宋体" w:hAnsi="宋体" w:cs="宋体"/>
          <w:sz w:val="24"/>
        </w:rPr>
      </w:pPr>
      <w:r>
        <w:rPr>
          <w:rFonts w:hint="eastAsia" w:ascii="宋体" w:hAnsi="宋体" w:cs="宋体"/>
          <w:sz w:val="24"/>
        </w:rPr>
        <w:t xml:space="preserve">5）吸粪车（吸污车）（核定载质量≥1150kg）不少于2辆；</w:t>
      </w:r>
      <w:r/>
    </w:p>
    <w:p>
      <w:pPr>
        <w:ind w:firstLine="480"/>
        <w:spacing w:line="360" w:lineRule="auto"/>
        <w:rPr>
          <w:rFonts w:ascii="宋体" w:hAnsi="宋体" w:cs="宋体"/>
          <w:sz w:val="24"/>
        </w:rPr>
      </w:pPr>
      <w:r>
        <w:rPr>
          <w:rFonts w:hint="eastAsia" w:ascii="宋体" w:hAnsi="宋体" w:cs="宋体"/>
          <w:sz w:val="24"/>
        </w:rPr>
        <w:t xml:space="preserve">6）其他垃圾收集车（核定载质量≥3000kg）不少于8辆；</w:t>
      </w:r>
      <w:r/>
    </w:p>
    <w:p>
      <w:pPr>
        <w:ind w:firstLine="480"/>
        <w:spacing w:line="360" w:lineRule="auto"/>
        <w:rPr>
          <w:rFonts w:ascii="宋体" w:hAnsi="宋体" w:cs="宋体"/>
          <w:sz w:val="24"/>
        </w:rPr>
      </w:pPr>
      <w:r>
        <w:rPr>
          <w:rFonts w:hint="eastAsia" w:ascii="宋体" w:hAnsi="宋体" w:cs="宋体"/>
          <w:sz w:val="24"/>
        </w:rPr>
        <w:t xml:space="preserve">7）家庭厨余收集车（核定载质量≥3000kg）不少于1辆。</w:t>
      </w:r>
      <w:r/>
    </w:p>
    <w:p>
      <w:pPr>
        <w:ind w:firstLine="482"/>
        <w:spacing w:line="360" w:lineRule="auto"/>
        <w:rPr>
          <w:rFonts w:ascii="宋体" w:hAnsi="宋体" w:cs="宋体"/>
          <w:b/>
          <w:bCs/>
          <w:sz w:val="24"/>
        </w:rPr>
      </w:pPr>
      <w:r>
        <w:rPr>
          <w:rFonts w:hint="eastAsia" w:ascii="宋体" w:hAnsi="宋体" w:cs="宋体"/>
          <w:b/>
          <w:bCs/>
          <w:sz w:val="24"/>
        </w:rPr>
        <w:t xml:space="preserve">第五片区（雪浪街道）：</w:t>
      </w:r>
      <w:r/>
    </w:p>
    <w:p>
      <w:pPr>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1）机扫车（总质量≥18000kg）（每天每车作业里程70公里）不少于7辆；</w:t>
      </w:r>
      <w:r/>
    </w:p>
    <w:p>
      <w:pPr>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2）洗扫车（总质量≥18000kg）（每天每车作业里程55公里）不少于9辆；</w:t>
      </w:r>
      <w:r/>
    </w:p>
    <w:p>
      <w:pPr>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3）高压冲水车（总质量≥18000kg）（最高清洗压力不少于9Mpa且配备前置喷水架，每天每车作业里程80公里）不少于4辆；</w:t>
      </w:r>
      <w:r/>
    </w:p>
    <w:p>
      <w:pPr>
        <w:ind w:firstLine="480"/>
        <w:spacing w:line="360" w:lineRule="auto"/>
        <w:rPr>
          <w:rFonts w:ascii="宋体" w:hAnsi="宋体" w:cs="宋体"/>
          <w:sz w:val="24"/>
        </w:rPr>
      </w:pPr>
      <w:r>
        <w:rPr>
          <w:rFonts w:hint="eastAsia" w:ascii="宋体" w:hAnsi="宋体" w:cs="宋体"/>
          <w:sz w:val="24"/>
        </w:rPr>
        <w:t xml:space="preserve">4）吸粪车（吸污车）（核定载质量≥1150kg）不少于2辆；</w:t>
      </w:r>
      <w:r/>
    </w:p>
    <w:p>
      <w:pPr>
        <w:ind w:firstLine="480"/>
        <w:spacing w:line="360" w:lineRule="auto"/>
        <w:rPr>
          <w:rFonts w:ascii="宋体" w:hAnsi="宋体" w:cs="宋体"/>
          <w:sz w:val="24"/>
        </w:rPr>
      </w:pPr>
      <w:r>
        <w:rPr>
          <w:rFonts w:hint="eastAsia" w:ascii="宋体" w:hAnsi="宋体" w:cs="宋体"/>
          <w:sz w:val="24"/>
        </w:rPr>
        <w:t xml:space="preserve">5）其他垃圾收集车（核定载质量≥3000kg）不少于11辆；</w:t>
      </w:r>
      <w:r/>
    </w:p>
    <w:p>
      <w:pPr>
        <w:ind w:firstLine="480"/>
        <w:spacing w:line="360" w:lineRule="auto"/>
        <w:rPr>
          <w:rFonts w:ascii="宋体" w:hAnsi="宋体" w:cs="宋体"/>
          <w:sz w:val="24"/>
        </w:rPr>
      </w:pPr>
      <w:r>
        <w:rPr>
          <w:rFonts w:hint="eastAsia" w:ascii="宋体" w:hAnsi="宋体" w:cs="宋体"/>
          <w:sz w:val="24"/>
        </w:rPr>
        <w:t xml:space="preserve">6）家庭厨余收集车（核定载质量≥3000kg）不少于1辆。</w:t>
      </w:r>
      <w:r/>
    </w:p>
    <w:p>
      <w:pPr>
        <w:ind w:firstLine="482"/>
        <w:spacing w:line="360" w:lineRule="auto"/>
        <w:rPr>
          <w:rFonts w:ascii="宋体" w:hAnsi="宋体" w:cs="宋体"/>
          <w:b/>
          <w:bCs/>
          <w:sz w:val="24"/>
        </w:rPr>
      </w:pPr>
      <w:r>
        <w:rPr>
          <w:rFonts w:hint="eastAsia" w:ascii="宋体" w:hAnsi="宋体" w:cs="宋体"/>
          <w:b/>
          <w:bCs/>
          <w:sz w:val="24"/>
        </w:rPr>
        <w:t xml:space="preserve">第六片区（胡埭镇）：</w:t>
      </w:r>
      <w:r/>
    </w:p>
    <w:p>
      <w:pPr>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1）机扫车（总质量≥18000kg）（每天每车作业里程70公里）不少于5辆；</w:t>
      </w:r>
      <w:r/>
    </w:p>
    <w:p>
      <w:pPr>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2）洗扫车（总质量≥18000kg）（每天每车作业里程55公里）不少于7辆；</w:t>
      </w:r>
      <w:r/>
    </w:p>
    <w:p>
      <w:pPr>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3）高压冲水车（总质量≥18000kg）（最高清洗压力不少于9Mpa且配备前置喷水架，每天每车作业里程80公里）不少于4辆；</w:t>
      </w:r>
      <w:r/>
    </w:p>
    <w:p>
      <w:pPr>
        <w:ind w:firstLine="480"/>
        <w:spacing w:line="360" w:lineRule="auto"/>
        <w:rPr>
          <w:rFonts w:ascii="宋体" w:hAnsi="宋体" w:cs="宋体"/>
          <w:sz w:val="24"/>
        </w:rPr>
      </w:pPr>
      <w:r>
        <w:rPr>
          <w:rFonts w:hint="eastAsia" w:ascii="宋体" w:hAnsi="宋体" w:cs="宋体"/>
          <w:sz w:val="24"/>
        </w:rPr>
        <w:t xml:space="preserve">4）小型机扫（洗扫、冲水）车不少于1辆（每天每车作业里程48公里）；</w:t>
      </w:r>
      <w:r/>
    </w:p>
    <w:p>
      <w:pPr>
        <w:ind w:firstLine="480"/>
        <w:spacing w:line="360" w:lineRule="auto"/>
        <w:rPr>
          <w:rFonts w:ascii="宋体" w:hAnsi="宋体" w:cs="宋体"/>
          <w:sz w:val="24"/>
        </w:rPr>
      </w:pPr>
      <w:r>
        <w:rPr>
          <w:rFonts w:hint="eastAsia" w:ascii="宋体" w:hAnsi="宋体" w:cs="宋体"/>
          <w:sz w:val="24"/>
        </w:rPr>
        <w:t xml:space="preserve">5）吸粪车（吸污车）（核定载质量≥1150kg）不少于1辆；</w:t>
      </w:r>
      <w:r/>
    </w:p>
    <w:p>
      <w:pPr>
        <w:ind w:firstLine="480"/>
        <w:spacing w:line="360" w:lineRule="auto"/>
        <w:rPr>
          <w:rFonts w:ascii="宋体" w:hAnsi="宋体" w:cs="宋体"/>
          <w:sz w:val="24"/>
        </w:rPr>
      </w:pPr>
      <w:r>
        <w:rPr>
          <w:rFonts w:hint="eastAsia" w:ascii="宋体" w:hAnsi="宋体" w:cs="宋体"/>
          <w:sz w:val="24"/>
        </w:rPr>
        <w:t xml:space="preserve">6）其他垃圾收集车（核定载质量≥3000kg）不少于6辆；</w:t>
      </w:r>
      <w:r/>
    </w:p>
    <w:p>
      <w:pPr>
        <w:ind w:firstLine="480"/>
        <w:spacing w:line="360" w:lineRule="auto"/>
        <w:rPr>
          <w:rFonts w:ascii="宋体" w:hAnsi="宋体" w:cs="宋体"/>
          <w:sz w:val="24"/>
        </w:rPr>
      </w:pPr>
      <w:r>
        <w:rPr>
          <w:rFonts w:hint="eastAsia" w:ascii="宋体" w:hAnsi="宋体" w:cs="宋体"/>
          <w:sz w:val="24"/>
        </w:rPr>
        <w:t xml:space="preserve">7）家庭厨余收集车（核定载质量≥3000kg）不少于1辆。</w:t>
      </w:r>
      <w:r/>
    </w:p>
    <w:p>
      <w:pPr>
        <w:ind w:firstLine="482"/>
        <w:spacing w:line="360" w:lineRule="auto"/>
        <w:rPr>
          <w:rFonts w:ascii="宋体" w:hAnsi="宋体" w:cs="宋体"/>
          <w:b/>
          <w:bCs/>
          <w:sz w:val="24"/>
        </w:rPr>
      </w:pPr>
      <w:r>
        <w:rPr>
          <w:rFonts w:hint="eastAsia" w:ascii="宋体" w:hAnsi="宋体" w:cs="宋体"/>
          <w:b/>
          <w:bCs/>
          <w:sz w:val="24"/>
        </w:rPr>
        <w:t xml:space="preserve">第七片区（马山街道）：</w:t>
      </w:r>
      <w:r/>
    </w:p>
    <w:p>
      <w:pPr>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1）机扫车（总质量≥18000kg）（每天每车作业里程70公里）不少于4辆；</w:t>
      </w:r>
      <w:r/>
    </w:p>
    <w:p>
      <w:pPr>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p>
    <w:p>
      <w:pPr>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3）高压冲水车（总质量≥18000kg）（最高清洗压力不少于9Mpa且配备前置喷水架，每天每车作业里程80公里）不少于3辆；</w:t>
      </w:r>
      <w:r/>
    </w:p>
    <w:p>
      <w:pPr>
        <w:ind w:firstLine="480"/>
        <w:spacing w:line="360" w:lineRule="auto"/>
        <w:rPr>
          <w:rFonts w:ascii="宋体" w:hAnsi="宋体" w:cs="宋体"/>
          <w:sz w:val="24"/>
        </w:rPr>
      </w:pPr>
      <w:r>
        <w:rPr>
          <w:rFonts w:hint="eastAsia" w:ascii="宋体" w:hAnsi="宋体" w:cs="宋体"/>
          <w:sz w:val="24"/>
        </w:rPr>
        <w:t xml:space="preserve">4）吸粪车（吸污车）（核定载质量≥1150kg）不少于1辆；</w:t>
      </w:r>
      <w:r/>
    </w:p>
    <w:p>
      <w:pPr>
        <w:ind w:firstLine="480"/>
        <w:spacing w:line="360" w:lineRule="auto"/>
        <w:rPr>
          <w:rFonts w:ascii="宋体" w:hAnsi="宋体" w:cs="宋体"/>
          <w:sz w:val="24"/>
        </w:rPr>
      </w:pPr>
      <w:r>
        <w:rPr>
          <w:rFonts w:hint="eastAsia" w:ascii="宋体" w:hAnsi="宋体" w:cs="宋体"/>
          <w:sz w:val="24"/>
        </w:rPr>
        <w:t xml:space="preserve">5）其他垃圾收集车（核定载质量≥3000kg）不少于4辆；</w:t>
      </w:r>
      <w:r/>
    </w:p>
    <w:p>
      <w:pPr>
        <w:ind w:firstLine="480"/>
        <w:spacing w:line="360" w:lineRule="auto"/>
        <w:rPr>
          <w:rFonts w:ascii="宋体" w:hAnsi="宋体" w:cs="宋体"/>
          <w:sz w:val="24"/>
        </w:rPr>
      </w:pPr>
      <w:r>
        <w:rPr>
          <w:rFonts w:hint="eastAsia" w:ascii="宋体" w:hAnsi="宋体" w:cs="宋体"/>
          <w:sz w:val="24"/>
        </w:rPr>
        <w:t xml:space="preserve">6）家庭厨余收集车（核定载质量≥3000kg）不少于1辆。</w:t>
      </w:r>
      <w:r/>
    </w:p>
    <w:p>
      <w:pPr>
        <w:ind w:firstLine="480"/>
        <w:spacing w:line="360" w:lineRule="auto"/>
        <w:rPr>
          <w:rFonts w:ascii="宋体" w:hAnsi="宋体" w:cs="宋体"/>
          <w:sz w:val="24"/>
        </w:rPr>
      </w:pPr>
      <w:r>
        <w:rPr>
          <w:rFonts w:hint="eastAsia" w:ascii="宋体" w:hAnsi="宋体" w:cs="宋体"/>
          <w:sz w:val="24"/>
        </w:rPr>
        <w:t xml:space="preserve">（2）</w:t>
      </w:r>
      <w:bookmarkStart w:id="9" w:name="_Hlk105499693"/>
      <w:r>
        <w:rPr>
          <w:rFonts w:hint="eastAsia" w:ascii="宋体" w:hAnsi="宋体" w:cs="宋体"/>
          <w:sz w:val="24"/>
        </w:rPr>
        <w:t xml:space="preserve">所有环卫车辆中，新能源比例达到15%。根据锡政办发〔2024〕46号，市政府办公室关于印发无锡市区环境卫生专项规划（2022-2035年）的通知：新增或更新的新能源环卫车比例不低于20%（以车辆购置发票日期为准），新采购的轻型环卫作业车辆不低于90%</w:t>
      </w:r>
      <w:bookmarkEnd w:id="9"/>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采购人根据国家有关规定、招标文件、中标供应商的投标文件以及合同约定的内容和响应标准在进场作业前进行验收。合同签订前必须将作业车辆集中至采购人指定现场核查，确保作业车辆按采购人要求式样完成喷涂，且须按照采购人要求配备安装智能监管设备。如中标供应商所配备的车辆设备没有达到招标文件规定要求，导致项目无法正常运行，视为中标供应商自动放弃本项目中标资格并接受政府采购主管部门依法做出的罚款、列入不良行为记录名单、禁止参加政府采购活动等处罚；构成犯罪的，依法追究刑事责任。</w:t>
      </w:r>
      <w:r/>
    </w:p>
    <w:p>
      <w:pPr>
        <w:ind w:firstLine="480"/>
        <w:spacing w:line="360" w:lineRule="auto"/>
        <w:rPr>
          <w:rFonts w:ascii="宋体" w:hAnsi="宋体" w:cs="宋体"/>
          <w:sz w:val="24"/>
        </w:rPr>
      </w:pPr>
      <w:r>
        <w:rPr>
          <w:rFonts w:hint="eastAsia" w:ascii="宋体" w:hAnsi="宋体" w:cs="宋体"/>
          <w:sz w:val="24"/>
        </w:rPr>
        <w:t xml:space="preserve">（4）以上全部环卫作业车辆必须在签订合同前全部到位，并完成安装、调试，达到正常可有效使用状态。环卫作业车辆使用年限：洗扫车、高压冲水车、交通护栏清洗车、垃圾收集车使用年限为8年。</w:t>
      </w:r>
      <w:r/>
    </w:p>
    <w:p>
      <w:pPr>
        <w:ind w:firstLine="480"/>
        <w:spacing w:line="360" w:lineRule="auto"/>
        <w:rPr>
          <w:rFonts w:ascii="宋体" w:hAnsi="宋体" w:cs="宋体"/>
          <w:sz w:val="24"/>
        </w:rPr>
      </w:pPr>
      <w:r>
        <w:rPr>
          <w:rFonts w:hint="eastAsia" w:ascii="宋体" w:hAnsi="宋体" w:cs="宋体"/>
          <w:sz w:val="24"/>
        </w:rPr>
        <w:t xml:space="preserve">（5）机械清扫、洗扫道路和慢车道（扫路机）全年作业365天。小型扫路车不超过10公里/小时，机扫车、洗扫车不超过15公里/小时，高压冲水车不超过20公里/小时，每天上、下午各清扫（洗扫）一遍。</w:t>
      </w:r>
      <w:r/>
    </w:p>
    <w:p>
      <w:pPr>
        <w:ind w:firstLine="480"/>
        <w:spacing w:line="360" w:lineRule="auto"/>
        <w:rPr>
          <w:rFonts w:ascii="宋体" w:hAnsi="宋体" w:cs="宋体"/>
          <w:sz w:val="24"/>
        </w:rPr>
      </w:pPr>
      <w:r>
        <w:rPr>
          <w:rFonts w:hint="eastAsia" w:ascii="宋体" w:hAnsi="宋体" w:cs="宋体"/>
          <w:sz w:val="24"/>
        </w:rPr>
        <w:t xml:space="preserve">（6）机扫车每天作业里程不超过70公里；洗扫车每天作业里程不超过55公里；高压清洗车每天作业里程不超过80公里；小型机扫每天作业里程不超过48公里。</w:t>
      </w:r>
      <w:r/>
    </w:p>
    <w:p>
      <w:pPr>
        <w:ind w:firstLine="480"/>
        <w:spacing w:line="360" w:lineRule="auto"/>
        <w:rPr>
          <w:rFonts w:ascii="宋体" w:hAnsi="宋体" w:cs="宋体"/>
          <w:sz w:val="24"/>
        </w:rPr>
      </w:pPr>
      <w:r>
        <w:rPr>
          <w:rFonts w:hint="eastAsia" w:ascii="宋体" w:hAnsi="宋体" w:cs="宋体"/>
          <w:sz w:val="24"/>
        </w:rPr>
        <w:t xml:space="preserve">（7）冲水道路全年作业310天以上。机动车道路宽小于14米的实行单线水冲，大于14米的实行双面水冲。冬季当日最高气温≤3℃时停止冲水作业，中雨及以上降雨天气停止冲水作业。洗扫、机扫模式改为干扫模式，作业时间不变。</w:t>
      </w:r>
      <w:r/>
    </w:p>
    <w:p>
      <w:pPr>
        <w:ind w:firstLine="480"/>
        <w:spacing w:line="360" w:lineRule="auto"/>
        <w:rPr>
          <w:rFonts w:ascii="宋体" w:hAnsi="宋体" w:cs="宋体"/>
          <w:sz w:val="24"/>
        </w:rPr>
      </w:pPr>
      <w:r>
        <w:rPr>
          <w:rFonts w:hint="eastAsia" w:ascii="宋体" w:hAnsi="宋体" w:cs="宋体"/>
          <w:sz w:val="24"/>
        </w:rPr>
        <w:t xml:space="preserve">（8）中标供应商应保证在服务期内，用于本项目的车辆设备应不少于上述数量。中标供应商在不降低作业质量和标准的情况下，可根据实际作业情况适当调整作业车辆等设备的数量和型号，但如需调整的必须经采购人审核同意。车辆和设备必须符合环保要求。本项目投入使用的环卫机械设备必须仅用于本项目使用，不得挪作他用。</w:t>
      </w:r>
      <w:r/>
    </w:p>
    <w:p>
      <w:pPr>
        <w:ind w:firstLine="480"/>
        <w:spacing w:line="360" w:lineRule="auto"/>
        <w:rPr>
          <w:rFonts w:ascii="宋体" w:hAnsi="宋体" w:cs="宋体"/>
          <w:sz w:val="24"/>
        </w:rPr>
      </w:pPr>
      <w:r>
        <w:rPr>
          <w:rFonts w:hint="eastAsia" w:ascii="宋体" w:hAnsi="宋体" w:cs="宋体"/>
          <w:sz w:val="24"/>
        </w:rPr>
        <w:t xml:space="preserve">（9）根据项目的实际情况，凡符合机械化作业条件的道路，中标供应商应配备足够及全新的作业设备和工具，并及时更新残旧报废的设备设施，全面落实机械化作业。根据无锡市城市管理局、无锡市财政局印发的《关于2025年无锡市区环卫一体化作业招标工作的指导意见》（锡城管发〔2025〕60号）要求，本次招标所有片区环卫作业道路综合保洁机械化作业率应不低于92%。环卫机械化作业车辆应按93%完好率配置。</w:t>
      </w:r>
      <w:r/>
    </w:p>
    <w:p>
      <w:pPr>
        <w:ind w:firstLine="480"/>
        <w:spacing w:line="360" w:lineRule="auto"/>
        <w:rPr>
          <w:rFonts w:ascii="宋体" w:hAnsi="宋体" w:cs="宋体"/>
          <w:sz w:val="24"/>
        </w:rPr>
      </w:pPr>
      <w:r>
        <w:rPr>
          <w:rFonts w:hint="eastAsia" w:ascii="宋体" w:hAnsi="宋体" w:cs="宋体"/>
          <w:sz w:val="24"/>
        </w:rPr>
        <w:t xml:space="preserve">（10）</w:t>
      </w:r>
      <w:r>
        <w:rPr>
          <w:rFonts w:hint="eastAsia" w:ascii="宋体" w:hAnsi="宋体"/>
          <w:sz w:val="24"/>
          <w:szCs w:val="24"/>
        </w:rPr>
        <w:t xml:space="preserve">所投入环卫作业车辆须每年至少喷涂1次，确保车身标识清晰规范，颜色鲜明，如市、区行业主管部门出台新规定或新要求，中标单位应及时更换相关标识。</w:t>
      </w:r>
      <w:r>
        <w:rPr>
          <w:rFonts w:hint="eastAsia" w:ascii="宋体" w:hAnsi="宋体" w:cs="宋体"/>
          <w:sz w:val="24"/>
        </w:rPr>
        <w:t xml:space="preserve">喷涂前向主管部门登记备案。</w:t>
      </w:r>
      <w:r>
        <w:rPr>
          <w:rFonts w:hint="eastAsia" w:ascii="宋体" w:hAnsi="宋体"/>
          <w:sz w:val="24"/>
          <w:szCs w:val="24"/>
        </w:rPr>
        <w:t xml:space="preserve">所投入环卫作业车辆</w:t>
      </w:r>
      <w:r>
        <w:rPr>
          <w:rFonts w:hint="eastAsia" w:ascii="宋体" w:hAnsi="宋体" w:cs="宋体"/>
          <w:sz w:val="24"/>
        </w:rPr>
        <w:t xml:space="preserve">保险等手续齐全，按规定进行上牌和年审；车辆使用、保养记录齐全；轮胎磨损在正常范围，车辆无渗油漏油现象；损坏车辆在合理时间内维修完成投入正常使用。</w:t>
      </w:r>
      <w:r/>
    </w:p>
    <w:p>
      <w:pPr>
        <w:ind w:firstLine="482"/>
        <w:spacing w:line="360" w:lineRule="auto"/>
        <w:rPr>
          <w:rFonts w:ascii="宋体" w:hAnsi="宋体" w:cs="宋体"/>
          <w:b/>
          <w:bCs/>
          <w:sz w:val="24"/>
        </w:rPr>
      </w:pPr>
      <w:r>
        <w:rPr>
          <w:rFonts w:hint="eastAsia" w:ascii="宋体" w:hAnsi="宋体" w:cs="宋体"/>
          <w:b/>
          <w:bCs/>
          <w:sz w:val="24"/>
        </w:rPr>
        <w:t xml:space="preserve">1.4道路应急保障作业</w:t>
      </w:r>
      <w:r/>
    </w:p>
    <w:p>
      <w:pPr>
        <w:ind w:firstLine="480"/>
        <w:spacing w:line="360" w:lineRule="auto"/>
        <w:rPr>
          <w:rFonts w:ascii="宋体" w:hAnsi="宋体" w:cs="宋体"/>
          <w:sz w:val="24"/>
        </w:rPr>
      </w:pPr>
      <w:r/>
      <w:bookmarkStart w:id="10" w:name="_Hlk105189402"/>
      <w:r>
        <w:rPr>
          <w:rFonts w:hint="eastAsia" w:ascii="宋体" w:hAnsi="宋体" w:cs="宋体"/>
          <w:sz w:val="24"/>
        </w:rPr>
        <w:t xml:space="preserve">（1）各类应急保障作业（落叶季节应急保障、台风应急保障、冬季应急保障、道路环卫污染处理应急保障等）执行到位，保障及时。</w:t>
      </w:r>
      <w:r/>
    </w:p>
    <w:p>
      <w:pPr>
        <w:ind w:firstLine="480"/>
        <w:spacing w:line="360" w:lineRule="auto"/>
        <w:rPr>
          <w:rFonts w:ascii="宋体" w:hAnsi="宋体" w:cs="宋体"/>
          <w:sz w:val="24"/>
        </w:rPr>
      </w:pPr>
      <w:r>
        <w:rPr>
          <w:rFonts w:hint="eastAsia" w:ascii="宋体" w:hAnsi="宋体" w:cs="宋体"/>
          <w:sz w:val="24"/>
        </w:rPr>
        <w:t xml:space="preserve">（2）成立夜间110应急处理队伍，接件后1小时内至现场处理，并按回复要求做出回应。</w:t>
      </w:r>
      <w:r/>
    </w:p>
    <w:p>
      <w:pPr>
        <w:ind w:firstLine="480"/>
        <w:spacing w:line="360" w:lineRule="auto"/>
        <w:rPr>
          <w:rFonts w:ascii="宋体" w:hAnsi="宋体" w:cs="宋体"/>
          <w:sz w:val="24"/>
        </w:rPr>
      </w:pPr>
      <w:r>
        <w:rPr>
          <w:rFonts w:hint="eastAsia" w:ascii="宋体" w:hAnsi="宋体" w:cs="宋体"/>
          <w:sz w:val="24"/>
        </w:rPr>
        <w:t xml:space="preserve">（3）如中标供应商不及时或不予履行应急保障义务，采购方有权选择第三方提供相关服务，由此产生的费用由中标供应商承担，采购方有权直接自应付中标供应商的费用中扣除由此产生的费用后支付。</w:t>
      </w:r>
      <w:r/>
    </w:p>
    <w:p>
      <w:pPr>
        <w:ind w:firstLine="480"/>
        <w:spacing w:line="360" w:lineRule="auto"/>
        <w:rPr>
          <w:rFonts w:ascii="宋体" w:hAnsi="宋体"/>
          <w:sz w:val="24"/>
        </w:rPr>
      </w:pPr>
      <w:r>
        <w:rPr>
          <w:rFonts w:hint="eastAsia" w:ascii="宋体" w:hAnsi="宋体" w:cs="宋体"/>
          <w:sz w:val="24"/>
        </w:rPr>
        <w:t xml:space="preserve">（4）成立环卫应急保障队伍，根据招标人应急预案成立一支全天候24小时环卫专项应急队伍，以及适量的扫把、铁锹、</w:t>
      </w:r>
      <w:r>
        <w:rPr>
          <w:rFonts w:hint="eastAsia" w:ascii="宋体" w:hAnsi="宋体"/>
          <w:sz w:val="24"/>
        </w:rPr>
        <w:t xml:space="preserve">锄头、垃圾斗等作业工具，并根据应急需求，及时增派人员和车辆设备，作业要求如下：</w:t>
      </w:r>
      <w:r/>
    </w:p>
    <w:p>
      <w:pPr>
        <w:ind w:firstLine="424"/>
        <w:spacing w:line="360" w:lineRule="auto"/>
        <w:rPr>
          <w:rFonts w:ascii="宋体" w:hAnsi="宋体"/>
          <w:sz w:val="24"/>
        </w:rPr>
      </w:pPr>
      <w:r>
        <w:rPr>
          <w:rFonts w:hint="eastAsia" w:ascii="宋体" w:hAnsi="宋体"/>
          <w:sz w:val="24"/>
        </w:rPr>
        <w:t xml:space="preserve">①应急队员必须配备齐全的环卫工具、工衣工服、反光衣、劳保用品。应急队要做到1小时之内到现场，2小时之内处理完毕，24小时之内反馈。</w:t>
      </w:r>
      <w:r/>
    </w:p>
    <w:p>
      <w:pPr>
        <w:ind w:firstLine="424"/>
        <w:spacing w:line="360" w:lineRule="auto"/>
        <w:rPr>
          <w:rFonts w:ascii="宋体" w:hAnsi="宋体"/>
          <w:sz w:val="24"/>
        </w:rPr>
      </w:pPr>
      <w:r>
        <w:rPr>
          <w:rFonts w:hint="eastAsia" w:ascii="宋体" w:hAnsi="宋体"/>
          <w:sz w:val="24"/>
        </w:rPr>
        <w:t xml:space="preserve">②特殊情况下的一般性环卫应急保障，包括：重大节假日及活动、突发事件、大型检查、一般自然灾害等情况下的应急保障服务，未经采购方书面同意不再增加费用。要求如下：</w:t>
      </w:r>
      <w:r/>
    </w:p>
    <w:p>
      <w:pPr>
        <w:ind w:firstLine="424"/>
        <w:spacing w:line="360" w:lineRule="auto"/>
        <w:rPr>
          <w:rFonts w:ascii="宋体" w:hAnsi="宋体"/>
          <w:sz w:val="24"/>
        </w:rPr>
      </w:pPr>
      <w:r>
        <w:rPr>
          <w:rFonts w:hint="eastAsia" w:ascii="宋体" w:hAnsi="宋体"/>
          <w:sz w:val="24"/>
        </w:rPr>
        <w:t xml:space="preserve">a.制定完善的应急保障方案，规范和强化各类突发事件及异常情况应急处置工作，确保发生突发事件或异常时，能迅速、果断地进行处理。</w:t>
      </w:r>
      <w:r/>
    </w:p>
    <w:p>
      <w:pPr>
        <w:ind w:firstLine="424"/>
        <w:spacing w:line="360" w:lineRule="auto"/>
        <w:rPr>
          <w:rFonts w:ascii="宋体" w:hAnsi="宋体"/>
          <w:sz w:val="24"/>
        </w:rPr>
      </w:pPr>
      <w:r>
        <w:rPr>
          <w:rFonts w:hint="eastAsia" w:ascii="宋体" w:hAnsi="宋体"/>
          <w:sz w:val="24"/>
        </w:rPr>
        <w:t xml:space="preserve">b.在接到重大自然灾害和突发性公共事件的情况通报或环卫应急需求后，应及时启动应急方案，组织、指挥应急队伍应对处置，并随时掌握事态情况变化，及时向采购人报告，做到应急预案第一时间响应，应急措施第一时间启动，应急事件第一时间解决，有序推进应急工作，科学合理配置应急资源，确保应急保障工作及时高效。</w:t>
      </w:r>
      <w:r/>
    </w:p>
    <w:p>
      <w:pPr>
        <w:ind w:firstLine="424"/>
        <w:spacing w:line="360" w:lineRule="auto"/>
        <w:rPr>
          <w:rFonts w:ascii="宋体" w:hAnsi="宋体"/>
          <w:sz w:val="24"/>
        </w:rPr>
      </w:pPr>
      <w:r>
        <w:rPr>
          <w:rFonts w:hint="eastAsia" w:ascii="宋体" w:hAnsi="宋体"/>
          <w:sz w:val="24"/>
        </w:rPr>
        <w:t xml:space="preserve">c.应急队伍随时待命服务，协调开展各项工作，形成应急保障体系。加强应急演练及安全教育培训，增强从业人员和社会公众应急处置、自救互救等方面的能力。应急保障一定要坚持以人为本、生命至上的理念，以完善体系、提升能力的思路，以科技领先、装备精良的途径，以完善预案、强化演练的做法，不断提高应急救援能力和保障水平。</w:t>
      </w:r>
      <w:r/>
    </w:p>
    <w:p>
      <w:pPr>
        <w:ind w:firstLine="424"/>
        <w:spacing w:line="360" w:lineRule="auto"/>
        <w:rPr>
          <w:rFonts w:ascii="宋体" w:hAnsi="宋体"/>
          <w:sz w:val="24"/>
        </w:rPr>
      </w:pPr>
      <w:r>
        <w:rPr>
          <w:rFonts w:hint="eastAsia" w:ascii="宋体" w:hAnsi="宋体"/>
          <w:sz w:val="24"/>
        </w:rPr>
        <w:t xml:space="preserve">③落叶季节应急保障</w:t>
      </w:r>
      <w:r/>
    </w:p>
    <w:p>
      <w:pPr>
        <w:ind w:firstLine="424"/>
        <w:spacing w:line="360" w:lineRule="auto"/>
        <w:rPr>
          <w:rFonts w:ascii="宋体" w:hAnsi="宋体"/>
          <w:sz w:val="24"/>
        </w:rPr>
      </w:pPr>
      <w:r>
        <w:rPr>
          <w:rFonts w:hint="eastAsia" w:ascii="宋体" w:hAnsi="宋体"/>
          <w:sz w:val="24"/>
        </w:rPr>
        <w:t xml:space="preserve">在日常季节，道路绿化区域落叶清理不低于2次/月；落叶季节落叶清理频次每周不少于1次，确保道路、绿化带无明显落叶、断枝。</w:t>
      </w:r>
      <w:r/>
    </w:p>
    <w:p>
      <w:pPr>
        <w:ind w:firstLine="424"/>
        <w:spacing w:line="360" w:lineRule="auto"/>
        <w:rPr>
          <w:rFonts w:ascii="宋体" w:hAnsi="宋体"/>
          <w:sz w:val="24"/>
        </w:rPr>
      </w:pPr>
      <w:r>
        <w:rPr>
          <w:rFonts w:hint="eastAsia" w:ascii="宋体" w:hAnsi="宋体"/>
          <w:sz w:val="24"/>
        </w:rPr>
        <w:t xml:space="preserve">④台风应急保障</w:t>
      </w:r>
      <w:r/>
    </w:p>
    <w:p>
      <w:pPr>
        <w:ind w:firstLine="424"/>
        <w:spacing w:line="360" w:lineRule="auto"/>
        <w:rPr>
          <w:rFonts w:ascii="宋体" w:hAnsi="宋体"/>
          <w:sz w:val="24"/>
        </w:rPr>
      </w:pPr>
      <w:r>
        <w:rPr>
          <w:rFonts w:hint="eastAsia" w:ascii="宋体" w:hAnsi="宋体"/>
          <w:sz w:val="24"/>
        </w:rPr>
        <w:t xml:space="preserve">台风季节，道路保洁实行24小时值班制度，发生突发环卫事件，1小时内到达现场进行处理。台风（暴雨）后4小时内，完成道路积水清理、道路污染清理。确保道路无杂物，道路畅通。</w:t>
      </w:r>
      <w:r/>
    </w:p>
    <w:p>
      <w:pPr>
        <w:ind w:firstLine="424"/>
        <w:spacing w:line="360" w:lineRule="auto"/>
        <w:rPr>
          <w:rFonts w:ascii="宋体" w:hAnsi="宋体"/>
          <w:sz w:val="24"/>
        </w:rPr>
      </w:pPr>
      <w:r>
        <w:rPr>
          <w:rFonts w:hint="eastAsia" w:ascii="宋体" w:hAnsi="宋体"/>
          <w:sz w:val="24"/>
        </w:rPr>
        <w:t xml:space="preserve">⑤冬季应急保障</w:t>
      </w:r>
      <w:r/>
    </w:p>
    <w:p>
      <w:pPr>
        <w:ind w:firstLine="424"/>
        <w:spacing w:line="360" w:lineRule="auto"/>
        <w:rPr>
          <w:rFonts w:ascii="宋体" w:hAnsi="宋体"/>
          <w:sz w:val="24"/>
        </w:rPr>
      </w:pPr>
      <w:r>
        <w:rPr>
          <w:rFonts w:hint="eastAsia" w:ascii="宋体" w:hAnsi="宋体"/>
          <w:sz w:val="24"/>
        </w:rPr>
        <w:t xml:space="preserve">冬季作业配备相应应急物资，保障道路无积冰，通行畅通。降雪时期，道路保洁实行24小时值班制度，道路积雪第一时间处理，每日7:00前完成道路积雪处理，确保主次干道的通行；暴雪后1日内完成快车道、慢车道的积雪清除工作。</w:t>
      </w:r>
      <w:r/>
    </w:p>
    <w:p>
      <w:pPr>
        <w:ind w:firstLine="420"/>
        <w:spacing w:line="360" w:lineRule="auto"/>
        <w:rPr>
          <w:rFonts w:ascii="宋体" w:hAnsi="宋体"/>
          <w:sz w:val="24"/>
        </w:rPr>
      </w:pPr>
      <w:r>
        <w:rPr>
          <w:rFonts w:hint="eastAsia" w:ascii="宋体" w:hAnsi="宋体"/>
          <w:sz w:val="24"/>
        </w:rPr>
        <w:t xml:space="preserve">⑥道路环卫保洁路面污染处理</w:t>
      </w:r>
      <w:r/>
    </w:p>
    <w:p>
      <w:pPr>
        <w:ind w:firstLine="420"/>
        <w:spacing w:line="360" w:lineRule="auto"/>
        <w:rPr>
          <w:rFonts w:ascii="宋体" w:hAnsi="宋体"/>
          <w:sz w:val="24"/>
        </w:rPr>
      </w:pPr>
      <w:r>
        <w:rPr>
          <w:rFonts w:hint="eastAsia" w:ascii="宋体" w:hAnsi="宋体"/>
          <w:sz w:val="24"/>
        </w:rPr>
        <w:t xml:space="preserve">a.交通事故污染处置方案应急保障。发生交通事故时，要求在10-15分钟内，就近保洁员立即赶赴现场，一方面积极参与救援，第一时间报警、呼叫救护、协助保持现场、维护秩序等；另一方面迅速了解、判断事故已发生和可能发生的道路污染情况，采取措施进行处理或者向上级报告，要求进入应急处理状态。清除污染时，在道路前方100米处放置警示牌，员工穿戴反光服，设置警示灯，迅速作业。清除大片污染时，做到有组织，有交通安全防护措施。采取小组作业方式进行，并在来车方向100米处设置反光锥形筒进行警示。</w:t>
      </w:r>
      <w:r/>
    </w:p>
    <w:p>
      <w:pPr>
        <w:ind w:firstLine="420"/>
        <w:spacing w:line="360" w:lineRule="auto"/>
        <w:rPr>
          <w:rFonts w:ascii="宋体" w:hAnsi="宋体"/>
          <w:sz w:val="24"/>
        </w:rPr>
      </w:pPr>
      <w:r>
        <w:rPr>
          <w:rFonts w:hint="eastAsia" w:ascii="宋体" w:hAnsi="宋体"/>
          <w:sz w:val="24"/>
        </w:rPr>
        <w:t xml:space="preserve">b.路面其他污染处置方案。</w:t>
      </w:r>
      <w:r/>
    </w:p>
    <w:p>
      <w:pPr>
        <w:ind w:firstLine="420"/>
        <w:spacing w:line="360" w:lineRule="auto"/>
        <w:rPr>
          <w:rFonts w:ascii="宋体" w:hAnsi="宋体"/>
          <w:sz w:val="24"/>
        </w:rPr>
      </w:pPr>
      <w:r>
        <w:rPr>
          <w:rFonts w:hint="eastAsia" w:ascii="宋体" w:hAnsi="宋体"/>
          <w:sz w:val="24"/>
        </w:rPr>
        <w:t xml:space="preserve">油性液体泄漏时，立即从养护物品中调出黄沙或木屑等吸附作用的物质，运至事故现场抛撒；抛撒厚度均匀适中，以减少对车辆行驶的影响。另外在道路边缘设置警示牌，提示过往车辆，减速谨慎驾驶。待现场清理干净后，撤除提示牌，恢复正常交通。</w:t>
      </w:r>
      <w:r/>
    </w:p>
    <w:p>
      <w:pPr>
        <w:ind w:firstLine="420"/>
        <w:spacing w:line="360" w:lineRule="auto"/>
        <w:rPr>
          <w:rFonts w:ascii="宋体" w:hAnsi="宋体"/>
          <w:sz w:val="24"/>
        </w:rPr>
      </w:pPr>
      <w:r>
        <w:rPr>
          <w:rFonts w:hint="eastAsia" w:ascii="宋体" w:hAnsi="宋体"/>
          <w:sz w:val="24"/>
        </w:rPr>
        <w:t xml:space="preserve">酸性（碱性）等腐蚀性物质泄漏时，首先确定其性质，根据其化学特性，选用合适的中和剂，对其进行中和后再按普通油性物质进行处理。</w:t>
      </w:r>
      <w:r/>
    </w:p>
    <w:p>
      <w:pPr>
        <w:ind w:firstLine="420"/>
        <w:spacing w:line="360" w:lineRule="auto"/>
        <w:rPr>
          <w:rFonts w:ascii="宋体" w:hAnsi="宋体"/>
          <w:sz w:val="24"/>
        </w:rPr>
      </w:pPr>
      <w:r>
        <w:rPr>
          <w:rFonts w:hint="eastAsia" w:ascii="宋体" w:hAnsi="宋体"/>
          <w:sz w:val="24"/>
        </w:rPr>
        <w:t xml:space="preserve">对于某些无法预测的特殊事件，须第一时间赶到现场，并做好现场围护，同时报告上级主管部门，由上级主管部门指挥、协调处理。</w:t>
      </w:r>
      <w:r/>
    </w:p>
    <w:p>
      <w:pPr>
        <w:ind w:firstLine="420"/>
        <w:spacing w:line="360" w:lineRule="auto"/>
        <w:rPr>
          <w:rFonts w:ascii="宋体" w:hAnsi="宋体"/>
          <w:sz w:val="24"/>
        </w:rPr>
      </w:pPr>
      <w:r>
        <w:rPr>
          <w:rFonts w:hint="eastAsia" w:ascii="宋体" w:hAnsi="宋体"/>
          <w:sz w:val="24"/>
        </w:rPr>
        <w:t xml:space="preserve">c.有毒有害物质。注意有毒有害物质的区分，对于化学用品在上级领导指挥下进行处置。处置有毒有害物质时，要采取好相应防护措施，保护好人身安全。</w:t>
      </w:r>
      <w:r/>
    </w:p>
    <w:p>
      <w:pPr>
        <w:ind w:firstLine="426"/>
        <w:spacing w:line="360" w:lineRule="auto"/>
        <w:rPr>
          <w:rFonts w:ascii="宋体" w:hAnsi="宋体"/>
          <w:b/>
          <w:bCs/>
          <w:sz w:val="24"/>
        </w:rPr>
      </w:pPr>
      <w:r>
        <w:rPr>
          <w:rFonts w:hint="eastAsia" w:ascii="宋体" w:hAnsi="宋体"/>
          <w:b/>
          <w:bCs/>
          <w:sz w:val="24"/>
        </w:rPr>
        <w:t xml:space="preserve">1.5公厕保洁</w:t>
      </w:r>
      <w:r/>
    </w:p>
    <w:p>
      <w:pPr>
        <w:ind w:firstLine="424"/>
        <w:spacing w:line="360" w:lineRule="auto"/>
        <w:rPr>
          <w:rFonts w:ascii="宋体" w:hAnsi="宋体"/>
          <w:sz w:val="24"/>
          <w:shd w:val="clear" w:color="auto" w:fill="ffffff"/>
        </w:rPr>
      </w:pPr>
      <w:r>
        <w:rPr>
          <w:rFonts w:hint="eastAsia" w:ascii="宋体" w:hAnsi="宋体"/>
          <w:sz w:val="24"/>
        </w:rPr>
        <w:t xml:space="preserve">公共厕所保洁范围应为公厕四周</w:t>
      </w:r>
      <w:r>
        <w:rPr>
          <w:rFonts w:ascii="宋体" w:hAnsi="宋体"/>
          <w:sz w:val="24"/>
        </w:rPr>
        <w:t xml:space="preserve">5</w:t>
      </w:r>
      <w:r>
        <w:rPr>
          <w:rFonts w:hint="eastAsia" w:ascii="宋体" w:hAnsi="宋体"/>
          <w:sz w:val="24"/>
        </w:rPr>
        <w:t xml:space="preserve">米范围内的地面、绿化带、外墙面、化粪池以及公厕内部所有设施。公厕分为专人管理公厕和巡回保洁公厕两类，专人管理公厕实行</w:t>
      </w:r>
      <w:r>
        <w:rPr>
          <w:rFonts w:hint="eastAsia" w:ascii="宋体" w:hAnsi="宋体" w:cs="宋体"/>
          <w:sz w:val="24"/>
        </w:rPr>
        <w:t xml:space="preserve">两班制</w:t>
      </w:r>
      <w:r>
        <w:rPr>
          <w:rFonts w:hint="eastAsia" w:ascii="宋体" w:hAnsi="宋体"/>
          <w:sz w:val="24"/>
        </w:rPr>
        <w:t xml:space="preserve">，开放时间为每日6:00至22:00，遇节假期、重大活动延长至23:00，巡回保洁公厕每天上午、下午和夜晚各全面清洗打扫1次，各时间段内再巡回保洁1次。大型商圈、商业街、主次干道沿线、夜经济核心区以及市民夜间如厕需求突出的区域等</w:t>
      </w:r>
      <w:r>
        <w:rPr>
          <w:rFonts w:ascii="宋体" w:hAnsi="宋体"/>
          <w:sz w:val="24"/>
          <w:shd w:val="clear" w:color="auto" w:fill="ffffff"/>
        </w:rPr>
        <w:t xml:space="preserve">重点区域按要</w:t>
      </w:r>
      <w:r>
        <w:rPr>
          <w:rFonts w:hint="eastAsia" w:ascii="宋体" w:hAnsi="宋体"/>
          <w:sz w:val="24"/>
        </w:rPr>
        <w:t xml:space="preserve">求全年24小时开放，</w:t>
      </w:r>
      <w:r>
        <w:rPr>
          <w:rFonts w:ascii="宋体" w:hAnsi="宋体"/>
          <w:sz w:val="24"/>
        </w:rPr>
        <w:t xml:space="preserve">并落实夜间巡回保洁及巡查。</w:t>
      </w:r>
      <w:r>
        <w:rPr>
          <w:rFonts w:hint="eastAsia" w:ascii="宋体" w:hAnsi="宋体"/>
          <w:sz w:val="24"/>
        </w:rPr>
        <w:t xml:space="preserve">专人看护保洁管理实行“一客一洁”。</w:t>
      </w:r>
      <w:r/>
    </w:p>
    <w:p>
      <w:pPr>
        <w:ind w:firstLine="426"/>
        <w:spacing w:line="360" w:lineRule="auto"/>
        <w:rPr>
          <w:rFonts w:ascii="宋体" w:hAnsi="宋体"/>
          <w:b/>
          <w:bCs/>
          <w:sz w:val="24"/>
        </w:rPr>
      </w:pPr>
      <w:r>
        <w:rPr>
          <w:rFonts w:hint="eastAsia" w:ascii="宋体" w:hAnsi="宋体"/>
          <w:b/>
          <w:bCs/>
          <w:sz w:val="24"/>
        </w:rPr>
        <w:t xml:space="preserve">（1）作业要求</w:t>
      </w:r>
      <w:r/>
    </w:p>
    <w:p>
      <w:pPr>
        <w:ind w:firstLine="424"/>
        <w:spacing w:line="360" w:lineRule="auto"/>
        <w:rPr>
          <w:rFonts w:ascii="宋体" w:hAnsi="宋体"/>
          <w:sz w:val="24"/>
        </w:rPr>
      </w:pPr>
      <w:r>
        <w:rPr>
          <w:rFonts w:hint="eastAsia" w:ascii="宋体" w:hAnsi="宋体"/>
          <w:sz w:val="24"/>
        </w:rPr>
        <w:t xml:space="preserve">1）每个公共厕所有专人管理，管理人员应保持衣冠整齐，有明显单位标志；文明作业、礼貌服务。</w:t>
      </w:r>
      <w:r/>
    </w:p>
    <w:p>
      <w:pPr>
        <w:ind w:firstLine="424"/>
        <w:spacing w:line="360" w:lineRule="auto"/>
        <w:rPr>
          <w:rFonts w:ascii="宋体" w:hAnsi="宋体"/>
          <w:sz w:val="24"/>
        </w:rPr>
      </w:pPr>
      <w:r>
        <w:rPr>
          <w:rFonts w:hint="eastAsia" w:ascii="宋体" w:hAnsi="宋体"/>
          <w:sz w:val="24"/>
        </w:rPr>
        <w:t xml:space="preserve">2）做到每天多次清理清扫，按序保洁，及时清理墙面门窗、灯具积灰、蜘蛛网及乱涂乱画，公厕要达到“七无”（即无尿渍、无臭味、无蜘蛛网、无痰迹、无蝇蛆、无乱堆乱挂、无牛皮癣）“六净”（即地面净、蹲位净、墙壁净、门窗净、梳洗盆具净、灯具净）。及时倒空清洗纸篓，做到纸篓无痰涕痕迹。</w:t>
      </w:r>
      <w:r/>
    </w:p>
    <w:p>
      <w:pPr>
        <w:ind w:firstLine="424"/>
        <w:spacing w:line="360" w:lineRule="auto"/>
        <w:rPr>
          <w:rFonts w:ascii="宋体" w:hAnsi="宋体"/>
          <w:sz w:val="24"/>
        </w:rPr>
      </w:pPr>
      <w:r>
        <w:rPr>
          <w:rFonts w:hint="eastAsia" w:ascii="宋体" w:hAnsi="宋体"/>
          <w:sz w:val="24"/>
        </w:rPr>
        <w:t xml:space="preserve">3）经常冲洗便池，使便池无明显的污垢，无恶臭。</w:t>
      </w:r>
      <w:r/>
    </w:p>
    <w:p>
      <w:pPr>
        <w:ind w:firstLine="424"/>
        <w:spacing w:line="360" w:lineRule="auto"/>
        <w:rPr>
          <w:rFonts w:ascii="宋体" w:hAnsi="宋体"/>
          <w:sz w:val="24"/>
        </w:rPr>
      </w:pPr>
      <w:r>
        <w:rPr>
          <w:rFonts w:hint="eastAsia" w:ascii="宋体" w:hAnsi="宋体"/>
          <w:sz w:val="24"/>
        </w:rPr>
        <w:t xml:space="preserve">4）及时清理公厕周边环境及通道，保持公厕外干净卫生。</w:t>
      </w:r>
      <w:r/>
    </w:p>
    <w:p>
      <w:pPr>
        <w:ind w:firstLine="424"/>
        <w:spacing w:line="360" w:lineRule="auto"/>
        <w:rPr>
          <w:rFonts w:ascii="宋体" w:hAnsi="宋体"/>
          <w:sz w:val="24"/>
        </w:rPr>
      </w:pPr>
      <w:r>
        <w:rPr>
          <w:rFonts w:hint="eastAsia" w:ascii="宋体" w:hAnsi="宋体"/>
          <w:sz w:val="24"/>
        </w:rPr>
        <w:t xml:space="preserve">5）配合做好公厕“四害”清除工作，经常消毒消杀，避免蚊蝇滋生。</w:t>
      </w:r>
      <w:r/>
    </w:p>
    <w:p>
      <w:pPr>
        <w:ind w:firstLine="424"/>
        <w:spacing w:line="360" w:lineRule="auto"/>
        <w:rPr>
          <w:rFonts w:ascii="宋体" w:hAnsi="宋体"/>
          <w:sz w:val="24"/>
        </w:rPr>
      </w:pPr>
      <w:r>
        <w:rPr>
          <w:rFonts w:hint="eastAsia" w:ascii="宋体" w:hAnsi="宋体"/>
          <w:sz w:val="24"/>
        </w:rPr>
        <w:t xml:space="preserve">6）应定期清除公厕贮（化）粪池内的粪便或粪渣，粪水不外溢。</w:t>
      </w:r>
      <w:r/>
    </w:p>
    <w:p>
      <w:pPr>
        <w:ind w:firstLine="424"/>
        <w:spacing w:line="360" w:lineRule="auto"/>
        <w:rPr>
          <w:rFonts w:ascii="宋体" w:hAnsi="宋体"/>
          <w:sz w:val="24"/>
        </w:rPr>
      </w:pPr>
      <w:r>
        <w:rPr>
          <w:rFonts w:hint="eastAsia" w:ascii="宋体" w:hAnsi="宋体"/>
          <w:sz w:val="24"/>
        </w:rPr>
        <w:t xml:space="preserve">7）经常检查公厕设施设备、标牌完好情况和贮粪池密封状况，发现损坏及时修复。</w:t>
      </w:r>
      <w:r/>
    </w:p>
    <w:p>
      <w:pPr>
        <w:ind w:firstLine="424"/>
        <w:spacing w:line="360" w:lineRule="auto"/>
        <w:rPr>
          <w:rFonts w:ascii="宋体" w:hAnsi="宋体"/>
          <w:sz w:val="24"/>
        </w:rPr>
      </w:pPr>
      <w:r>
        <w:rPr>
          <w:rFonts w:hint="eastAsia" w:ascii="宋体" w:hAnsi="宋体"/>
          <w:sz w:val="24"/>
        </w:rPr>
        <w:t xml:space="preserve">8）清洁工具应保持干净无损，有序摆放。</w:t>
      </w:r>
      <w:r/>
    </w:p>
    <w:p>
      <w:pPr>
        <w:ind w:firstLine="424"/>
        <w:spacing w:line="360" w:lineRule="auto"/>
        <w:rPr>
          <w:rFonts w:ascii="宋体" w:hAnsi="宋体"/>
          <w:sz w:val="24"/>
        </w:rPr>
      </w:pPr>
      <w:r>
        <w:rPr>
          <w:rFonts w:hint="eastAsia" w:ascii="宋体" w:hAnsi="宋体"/>
          <w:sz w:val="24"/>
        </w:rPr>
        <w:t xml:space="preserve">9）24小时开放公厕应在</w:t>
      </w:r>
      <w:r>
        <w:rPr>
          <w:rFonts w:ascii="宋体" w:hAnsi="宋体"/>
          <w:sz w:val="24"/>
        </w:rPr>
        <w:t xml:space="preserve">22:00至次 6:00</w:t>
      </w:r>
      <w:r>
        <w:rPr>
          <w:rFonts w:hint="eastAsia" w:ascii="宋体" w:hAnsi="宋体"/>
          <w:sz w:val="24"/>
        </w:rPr>
        <w:t xml:space="preserve">时段实行双人巡查，原则上巡查不少于2次，发现问题及时处置，确保夜间如厕环境干净整洁、秩序良好。投标供应商应配备相关巡查人员，一组至少2人，共3组。</w:t>
      </w:r>
      <w:r/>
    </w:p>
    <w:p>
      <w:pPr>
        <w:ind w:firstLine="426"/>
        <w:spacing w:line="360" w:lineRule="auto"/>
        <w:rPr>
          <w:rFonts w:ascii="宋体" w:hAnsi="宋体"/>
          <w:b/>
          <w:bCs/>
          <w:sz w:val="24"/>
        </w:rPr>
      </w:pPr>
      <w:r>
        <w:rPr>
          <w:rFonts w:hint="eastAsia" w:ascii="宋体" w:hAnsi="宋体"/>
          <w:b/>
          <w:bCs/>
          <w:sz w:val="24"/>
        </w:rPr>
        <w:t xml:space="preserve">（2）质量标准</w:t>
      </w:r>
      <w:r/>
    </w:p>
    <w:p>
      <w:pPr>
        <w:ind w:firstLine="424"/>
        <w:spacing w:line="360" w:lineRule="auto"/>
        <w:rPr>
          <w:rFonts w:ascii="宋体" w:hAnsi="宋体"/>
          <w:sz w:val="24"/>
        </w:rPr>
      </w:pPr>
      <w:r>
        <w:rPr>
          <w:rFonts w:hint="eastAsia" w:ascii="宋体" w:hAnsi="宋体"/>
          <w:sz w:val="24"/>
        </w:rPr>
        <w:t xml:space="preserve">1）蹲位、梳洗盆具、门窗、灯具、镜子、挂衣钩、烘手器、冲水设备、取纸机等设施设备完整、洁净，能正常使用。</w:t>
      </w:r>
      <w:r/>
    </w:p>
    <w:p>
      <w:pPr>
        <w:ind w:firstLine="424"/>
        <w:spacing w:line="360" w:lineRule="auto"/>
        <w:rPr>
          <w:rFonts w:ascii="宋体" w:hAnsi="宋体"/>
          <w:sz w:val="24"/>
        </w:rPr>
      </w:pPr>
      <w:r>
        <w:rPr>
          <w:rFonts w:hint="eastAsia" w:ascii="宋体" w:hAnsi="宋体"/>
          <w:sz w:val="24"/>
        </w:rPr>
        <w:t xml:space="preserve">2）无臭味、无蝇蛆，基本无蚊蝇，公厕内、外地面及墙面整洁干净。</w:t>
      </w:r>
      <w:r/>
    </w:p>
    <w:p>
      <w:pPr>
        <w:ind w:firstLine="424"/>
        <w:spacing w:line="360" w:lineRule="auto"/>
        <w:rPr>
          <w:rFonts w:ascii="宋体" w:hAnsi="宋体"/>
          <w:sz w:val="24"/>
        </w:rPr>
      </w:pPr>
      <w:r>
        <w:rPr>
          <w:rFonts w:hint="eastAsia" w:ascii="宋体" w:hAnsi="宋体"/>
          <w:sz w:val="24"/>
        </w:rPr>
        <w:t xml:space="preserve">3）全天开放时长16小时以上，在开放期间做好保洁工作（根据实际需要进行适当调整）。</w:t>
      </w:r>
      <w:r/>
    </w:p>
    <w:p>
      <w:pPr>
        <w:ind w:firstLine="424"/>
        <w:spacing w:line="360" w:lineRule="auto"/>
        <w:rPr>
          <w:rFonts w:ascii="宋体" w:hAnsi="宋体"/>
          <w:sz w:val="24"/>
        </w:rPr>
      </w:pPr>
      <w:r>
        <w:rPr>
          <w:rFonts w:hint="eastAsia" w:ascii="宋体" w:hAnsi="宋体"/>
          <w:sz w:val="24"/>
        </w:rPr>
        <w:t xml:space="preserve">4）标识牌整洁、规范，设置明显。清洁工具整洁、有序摆放。</w:t>
      </w:r>
      <w:r/>
    </w:p>
    <w:p>
      <w:pPr>
        <w:ind w:firstLine="424"/>
        <w:spacing w:line="360" w:lineRule="auto"/>
        <w:rPr>
          <w:rFonts w:ascii="宋体" w:hAnsi="宋体"/>
          <w:sz w:val="24"/>
        </w:rPr>
      </w:pPr>
      <w:r>
        <w:rPr>
          <w:rFonts w:hint="eastAsia" w:ascii="宋体" w:hAnsi="宋体"/>
          <w:sz w:val="24"/>
        </w:rPr>
        <w:t xml:space="preserve">5）为如厕市民提供免费厕纸，厕纸达到规定的质量、数量要求，并及时补充。</w:t>
      </w:r>
      <w:r/>
    </w:p>
    <w:p>
      <w:pPr>
        <w:ind w:firstLine="424"/>
        <w:spacing w:line="360" w:lineRule="auto"/>
        <w:rPr>
          <w:rFonts w:ascii="宋体" w:hAnsi="宋体"/>
          <w:sz w:val="24"/>
        </w:rPr>
      </w:pPr>
      <w:r>
        <w:rPr>
          <w:rFonts w:hint="eastAsia" w:ascii="宋体" w:hAnsi="宋体"/>
          <w:sz w:val="24"/>
        </w:rPr>
        <w:t xml:space="preserve">6）未经采购人同意，不得擅自关停公厕，公厕内、外的环卫设施、墙体上不得承载经营性广告。</w:t>
      </w:r>
      <w:r/>
    </w:p>
    <w:p>
      <w:pPr>
        <w:ind w:firstLine="426"/>
        <w:spacing w:line="360" w:lineRule="auto"/>
        <w:rPr>
          <w:rFonts w:ascii="宋体" w:hAnsi="宋体"/>
          <w:b/>
          <w:bCs/>
          <w:sz w:val="24"/>
        </w:rPr>
      </w:pPr>
      <w:r>
        <w:rPr>
          <w:rFonts w:hint="eastAsia" w:ascii="宋体" w:hAnsi="宋体"/>
          <w:b/>
          <w:bCs/>
          <w:sz w:val="24"/>
        </w:rPr>
        <w:t xml:space="preserve">（3）公厕化粪池清坑及粪便运输作业</w:t>
      </w:r>
      <w:r/>
    </w:p>
    <w:p>
      <w:pPr>
        <w:ind w:firstLine="424"/>
        <w:spacing w:line="360" w:lineRule="auto"/>
        <w:rPr>
          <w:rFonts w:ascii="宋体" w:hAnsi="宋体"/>
          <w:sz w:val="24"/>
        </w:rPr>
      </w:pPr>
      <w:r>
        <w:rPr>
          <w:rFonts w:hint="eastAsia" w:ascii="宋体" w:hAnsi="宋体"/>
          <w:sz w:val="24"/>
        </w:rPr>
        <w:t xml:space="preserve">1）化粪池每年至少清坑1次，抽粪口窨井无粪便，清坑后工完场清，清坑出的粪渣不得堆积，应及时清运，日运日清。</w:t>
      </w:r>
      <w:r/>
    </w:p>
    <w:p>
      <w:pPr>
        <w:ind w:firstLine="424"/>
        <w:spacing w:line="360" w:lineRule="auto"/>
        <w:rPr>
          <w:rFonts w:ascii="宋体" w:hAnsi="宋体"/>
          <w:sz w:val="24"/>
        </w:rPr>
      </w:pPr>
      <w:r>
        <w:rPr>
          <w:rFonts w:hint="eastAsia" w:ascii="宋体" w:hAnsi="宋体"/>
          <w:sz w:val="24"/>
        </w:rPr>
        <w:t xml:space="preserve">2）化粪池不外溢。接到片区投诉1小时内到场，属环卫管辖职责内的24小时内解决。</w:t>
      </w:r>
      <w:r/>
    </w:p>
    <w:p>
      <w:pPr>
        <w:ind w:firstLine="424"/>
        <w:spacing w:line="360" w:lineRule="auto"/>
        <w:rPr>
          <w:rFonts w:ascii="宋体" w:hAnsi="宋体"/>
          <w:sz w:val="24"/>
        </w:rPr>
      </w:pPr>
      <w:r>
        <w:rPr>
          <w:rFonts w:hint="eastAsia" w:ascii="宋体" w:hAnsi="宋体"/>
          <w:sz w:val="24"/>
        </w:rPr>
        <w:t xml:space="preserve">3）化粪池周围场地保持整洁，无蝇、无恶臭。</w:t>
      </w:r>
      <w:r/>
    </w:p>
    <w:p>
      <w:pPr>
        <w:ind w:firstLine="424"/>
        <w:spacing w:line="360" w:lineRule="auto"/>
        <w:rPr>
          <w:rFonts w:ascii="宋体" w:hAnsi="宋体"/>
          <w:sz w:val="24"/>
        </w:rPr>
      </w:pPr>
      <w:r>
        <w:rPr>
          <w:rFonts w:hint="eastAsia" w:ascii="宋体" w:hAnsi="宋体"/>
          <w:sz w:val="24"/>
        </w:rPr>
        <w:t xml:space="preserve">4）有粪池清坑计划及验收（物业单位、居民签署回单）等台账资料。</w:t>
      </w:r>
      <w:r/>
    </w:p>
    <w:p>
      <w:pPr>
        <w:ind w:firstLine="424"/>
        <w:spacing w:line="360" w:lineRule="auto"/>
        <w:rPr>
          <w:rFonts w:ascii="宋体" w:hAnsi="宋体"/>
          <w:sz w:val="24"/>
        </w:rPr>
      </w:pPr>
      <w:r>
        <w:rPr>
          <w:rFonts w:hint="eastAsia" w:ascii="宋体" w:hAnsi="宋体"/>
          <w:sz w:val="24"/>
        </w:rPr>
        <w:t xml:space="preserve">5）吸污车应按指定地点及时卸粪，粪便按规定进入处理站排放，不得任意排放。</w:t>
      </w:r>
      <w:r/>
    </w:p>
    <w:p>
      <w:pPr>
        <w:ind w:firstLine="424"/>
        <w:spacing w:line="360" w:lineRule="auto"/>
        <w:rPr>
          <w:rFonts w:ascii="宋体" w:hAnsi="宋体"/>
          <w:sz w:val="24"/>
        </w:rPr>
      </w:pPr>
      <w:r>
        <w:rPr>
          <w:rFonts w:hint="eastAsia" w:ascii="宋体" w:hAnsi="宋体"/>
          <w:sz w:val="24"/>
        </w:rPr>
        <w:t xml:space="preserve">6）吸污车不得违规收运工业废水和有毒有害污水进入粪便处理站。</w:t>
      </w:r>
      <w:r/>
    </w:p>
    <w:p>
      <w:pPr>
        <w:ind w:firstLine="424"/>
        <w:spacing w:line="360" w:lineRule="auto"/>
        <w:rPr>
          <w:rFonts w:ascii="宋体" w:hAnsi="宋体"/>
          <w:sz w:val="24"/>
        </w:rPr>
      </w:pPr>
      <w:r>
        <w:rPr>
          <w:rFonts w:hint="eastAsia" w:ascii="宋体" w:hAnsi="宋体"/>
          <w:sz w:val="24"/>
        </w:rPr>
        <w:t xml:space="preserve">7）吸污车辆应完好、整洁，按规定统一标识，车体无粪便迹污物；吸粪便管道应完好、畅通。</w:t>
      </w:r>
      <w:r/>
    </w:p>
    <w:p>
      <w:pPr>
        <w:ind w:firstLine="424"/>
        <w:spacing w:line="360" w:lineRule="auto"/>
        <w:rPr>
          <w:rFonts w:ascii="宋体" w:hAnsi="宋体"/>
          <w:sz w:val="24"/>
        </w:rPr>
      </w:pPr>
      <w:r>
        <w:rPr>
          <w:rFonts w:hint="eastAsia" w:ascii="宋体" w:hAnsi="宋体"/>
          <w:sz w:val="24"/>
        </w:rPr>
        <w:t xml:space="preserve">8）装卸容器应密闭性好，放粪闸阀、进粪口应严实，并有防滴漏措施；运输过程中应无滴漏、洒落，车走后场地应清理干净。</w:t>
      </w:r>
      <w:r/>
    </w:p>
    <w:p>
      <w:pPr>
        <w:ind w:firstLine="424"/>
        <w:spacing w:line="360" w:lineRule="auto"/>
        <w:rPr>
          <w:rFonts w:ascii="宋体" w:hAnsi="宋体"/>
          <w:sz w:val="24"/>
        </w:rPr>
      </w:pPr>
      <w:r>
        <w:rPr>
          <w:rFonts w:hint="eastAsia" w:ascii="宋体" w:hAnsi="宋体"/>
          <w:sz w:val="24"/>
        </w:rPr>
        <w:t xml:space="preserve">9）运输作业结束后，应及时清洗车辆和辅助设施，不得留有粪迹污物。</w:t>
      </w:r>
      <w:r/>
    </w:p>
    <w:p>
      <w:pPr>
        <w:ind w:firstLine="424"/>
        <w:spacing w:line="360" w:lineRule="auto"/>
        <w:rPr>
          <w:rFonts w:ascii="宋体" w:hAnsi="宋体"/>
          <w:sz w:val="24"/>
        </w:rPr>
      </w:pPr>
      <w:r>
        <w:rPr>
          <w:rFonts w:hint="eastAsia" w:ascii="宋体" w:hAnsi="宋体"/>
          <w:sz w:val="24"/>
        </w:rPr>
        <w:t xml:space="preserve">10）进站粪车按规定计量，自觉服从处理站和监管人员的调度。</w:t>
      </w:r>
      <w:r/>
    </w:p>
    <w:p>
      <w:pPr>
        <w:ind w:firstLine="424"/>
        <w:spacing w:line="360" w:lineRule="auto"/>
        <w:rPr>
          <w:rFonts w:ascii="宋体" w:hAnsi="宋体"/>
          <w:sz w:val="24"/>
        </w:rPr>
      </w:pPr>
      <w:r>
        <w:rPr>
          <w:rFonts w:hint="eastAsia" w:ascii="宋体" w:hAnsi="宋体"/>
          <w:sz w:val="24"/>
        </w:rPr>
        <w:t xml:space="preserve">11）所有车辆标识每年至少喷涂1次。</w:t>
      </w:r>
      <w:r/>
    </w:p>
    <w:p>
      <w:pPr>
        <w:ind w:firstLine="426"/>
        <w:spacing w:line="360" w:lineRule="auto"/>
        <w:rPr>
          <w:rFonts w:ascii="宋体" w:hAnsi="宋体"/>
          <w:b/>
          <w:bCs/>
          <w:sz w:val="24"/>
        </w:rPr>
      </w:pPr>
      <w:r>
        <w:rPr>
          <w:rFonts w:hint="eastAsia" w:ascii="宋体" w:hAnsi="宋体"/>
          <w:b/>
          <w:bCs/>
          <w:sz w:val="24"/>
        </w:rPr>
        <w:t xml:space="preserve">1.6生活垃圾机械化收集</w:t>
      </w:r>
      <w:r/>
    </w:p>
    <w:p>
      <w:pPr>
        <w:ind w:firstLine="424"/>
        <w:spacing w:line="360" w:lineRule="auto"/>
        <w:rPr>
          <w:rFonts w:ascii="宋体" w:hAnsi="宋体"/>
          <w:sz w:val="24"/>
        </w:rPr>
      </w:pPr>
      <w:r>
        <w:rPr>
          <w:rFonts w:hint="eastAsia" w:ascii="宋体" w:hAnsi="宋体"/>
          <w:sz w:val="24"/>
        </w:rPr>
        <w:t xml:space="preserve">实施作业须将有害垃圾、厨余垃圾、其他垃圾按要求进行分类收集、分类转运，不得混收混运。有害垃圾的收集、暂存、运输、处置等全部费用由中标供应商自行承担，采购人不另行支付。对厨余垃圾和其他垃圾实行每日定时收集、运输，切实做到日产日清。</w:t>
      </w:r>
      <w:r/>
    </w:p>
    <w:p>
      <w:pPr>
        <w:ind w:firstLine="480"/>
        <w:spacing w:line="360" w:lineRule="auto"/>
        <w:rPr>
          <w:rFonts w:ascii="宋体" w:hAnsi="宋体"/>
          <w:bCs/>
          <w:sz w:val="24"/>
        </w:rPr>
      </w:pPr>
      <w:r>
        <w:rPr>
          <w:rFonts w:hint="eastAsia" w:ascii="宋体" w:hAnsi="宋体"/>
          <w:bCs/>
          <w:sz w:val="24"/>
        </w:rPr>
        <w:t xml:space="preserve">（1）生活垃圾收集实行一天两收集制度，每天上、下午各收集1次，居住区实行分类收运（“其他垃圾”和“厨余垃圾”），收运时间原则上安排在每日8:30之后及20:30之后，具体根据实际需求调整，沿街商铺原则上实行上门收集，应做到定时定点、日产日清。垃圾应直接送至指定的垃圾转运站或处理（置）点。收集过程中，垃圾桶注意轻放，逐桶收集不漏收，垃圾收集点收集完毕后，做到车离点净。</w:t>
      </w:r>
      <w:r/>
    </w:p>
    <w:p>
      <w:pPr>
        <w:ind w:firstLine="480"/>
        <w:spacing w:line="360" w:lineRule="auto"/>
        <w:rPr>
          <w:rFonts w:ascii="宋体" w:hAnsi="宋体"/>
          <w:bCs/>
          <w:sz w:val="24"/>
        </w:rPr>
      </w:pPr>
      <w:r>
        <w:rPr>
          <w:rFonts w:hint="eastAsia" w:ascii="宋体" w:hAnsi="宋体"/>
          <w:bCs/>
          <w:sz w:val="24"/>
        </w:rPr>
        <w:t xml:space="preserve">（2）垃圾收集点离居民住宅较近时，应合理安排装运时间，减少噪声，避免影响居民正常生活，收运垃圾应尽量避开上下班高峰期。</w:t>
      </w:r>
      <w:r/>
    </w:p>
    <w:p>
      <w:pPr>
        <w:ind w:firstLine="424"/>
        <w:spacing w:line="360" w:lineRule="auto"/>
        <w:rPr>
          <w:rFonts w:ascii="宋体" w:hAnsi="宋体"/>
          <w:sz w:val="24"/>
        </w:rPr>
      </w:pPr>
      <w:r>
        <w:rPr>
          <w:rFonts w:hint="eastAsia" w:ascii="宋体" w:hAnsi="宋体"/>
          <w:bCs/>
          <w:sz w:val="24"/>
        </w:rPr>
        <w:t xml:space="preserve">（</w:t>
      </w:r>
      <w:r>
        <w:rPr>
          <w:rFonts w:ascii="宋体" w:hAnsi="宋体"/>
          <w:sz w:val="24"/>
        </w:rPr>
        <w:t xml:space="preserve">3</w:t>
      </w:r>
      <w:r>
        <w:rPr>
          <w:rFonts w:hint="eastAsia" w:ascii="宋体" w:hAnsi="宋体"/>
          <w:sz w:val="24"/>
        </w:rPr>
        <w:t xml:space="preserve">）收集车辆污水箱内污水不外溢，污水满后及时到指定污水排放点排放，不得就近乱排放，车辆放水管道应完好、畅通，阀门应紧闭，无破损滴漏。</w:t>
      </w:r>
      <w:r/>
    </w:p>
    <w:p>
      <w:pPr>
        <w:ind w:firstLine="424"/>
        <w:spacing w:line="360" w:lineRule="auto"/>
        <w:rPr>
          <w:rFonts w:ascii="宋体" w:hAnsi="宋体"/>
          <w:sz w:val="24"/>
        </w:rPr>
      </w:pPr>
      <w:r>
        <w:rPr>
          <w:rFonts w:hint="eastAsia" w:ascii="宋体" w:hAnsi="宋体"/>
          <w:bCs/>
          <w:sz w:val="24"/>
        </w:rPr>
        <w:t xml:space="preserve">（</w:t>
      </w:r>
      <w:r>
        <w:rPr>
          <w:rFonts w:ascii="宋体" w:hAnsi="宋体"/>
          <w:sz w:val="24"/>
        </w:rPr>
        <w:t xml:space="preserve">4</w:t>
      </w:r>
      <w:r>
        <w:rPr>
          <w:rFonts w:hint="eastAsia" w:ascii="宋体" w:hAnsi="宋体"/>
          <w:sz w:val="24"/>
        </w:rPr>
        <w:t xml:space="preserve">）机械化收集作业规范，装载适量，垃圾收集量应以车辆的定额荷载和有效容积为限，不得超重、超高运输，装卸垃圾应符合作业要求，不得乱倒、乱卸、乱抛垃圾。垃圾收集车应使用全密闭无泄漏车型，收集作业及运输过程中均无抛、洒、滴、漏和垃圾拖挂现象，避免二次污染。垃圾收集车宜配置渗沥液收集箱，在出转运站前，应将收集箱中渗沥液排空。垃圾收集秩序良好，不逆向行驶。收运结束，应将车辆清洗干净。</w:t>
      </w:r>
      <w:r/>
    </w:p>
    <w:p>
      <w:pPr>
        <w:ind w:firstLine="424"/>
        <w:spacing w:line="360" w:lineRule="auto"/>
        <w:rPr>
          <w:rFonts w:ascii="宋体" w:hAnsi="宋体"/>
          <w:sz w:val="24"/>
        </w:rPr>
      </w:pPr>
      <w:r>
        <w:rPr>
          <w:rFonts w:hint="eastAsia" w:ascii="宋体" w:hAnsi="宋体"/>
          <w:bCs/>
          <w:sz w:val="24"/>
        </w:rPr>
        <w:t xml:space="preserve">（</w:t>
      </w:r>
      <w:r>
        <w:rPr>
          <w:rFonts w:ascii="宋体" w:hAnsi="宋体"/>
          <w:sz w:val="24"/>
        </w:rPr>
        <w:t xml:space="preserve">5</w:t>
      </w:r>
      <w:r>
        <w:rPr>
          <w:rFonts w:hint="eastAsia" w:ascii="宋体" w:hAnsi="宋体"/>
          <w:sz w:val="24"/>
        </w:rPr>
        <w:t xml:space="preserve">）每天擦洗车辆，确保车容、车貌整洁，车体外部无污物、灰垢，出车前检查车况，保持性能良好；定期检查、保养车辆，确保技术状况良好，按规定统一标识。</w:t>
      </w:r>
      <w:r/>
    </w:p>
    <w:p>
      <w:pPr>
        <w:ind w:firstLine="424"/>
        <w:spacing w:line="360" w:lineRule="auto"/>
        <w:rPr>
          <w:rFonts w:ascii="宋体" w:hAnsi="宋体"/>
          <w:sz w:val="24"/>
        </w:rPr>
      </w:pPr>
      <w:r>
        <w:rPr>
          <w:rFonts w:hint="eastAsia" w:ascii="宋体" w:hAnsi="宋体"/>
          <w:bCs/>
          <w:sz w:val="24"/>
        </w:rPr>
        <w:t xml:space="preserve">（</w:t>
      </w:r>
      <w:r>
        <w:rPr>
          <w:rFonts w:ascii="宋体" w:hAnsi="宋体"/>
          <w:sz w:val="24"/>
        </w:rPr>
        <w:t xml:space="preserve">6</w:t>
      </w:r>
      <w:r>
        <w:rPr>
          <w:rFonts w:hint="eastAsia" w:ascii="宋体" w:hAnsi="宋体"/>
          <w:sz w:val="24"/>
        </w:rPr>
        <w:t xml:space="preserve">）进场垃圾车按规定计量，服从场站管理人员的指挥。</w:t>
      </w:r>
      <w:r/>
    </w:p>
    <w:p>
      <w:pPr>
        <w:ind w:firstLine="424"/>
        <w:spacing w:line="360" w:lineRule="auto"/>
        <w:rPr>
          <w:rFonts w:ascii="宋体" w:hAnsi="宋体"/>
          <w:sz w:val="24"/>
        </w:rPr>
      </w:pPr>
      <w:r>
        <w:rPr>
          <w:rFonts w:hint="eastAsia" w:ascii="宋体" w:hAnsi="宋体"/>
          <w:bCs/>
          <w:sz w:val="24"/>
        </w:rPr>
        <w:t xml:space="preserve">（</w:t>
      </w:r>
      <w:r>
        <w:rPr>
          <w:rFonts w:ascii="宋体" w:hAnsi="宋体"/>
          <w:sz w:val="24"/>
        </w:rPr>
        <w:t xml:space="preserve">7</w:t>
      </w:r>
      <w:r>
        <w:rPr>
          <w:rFonts w:hint="eastAsia" w:ascii="宋体" w:hAnsi="宋体"/>
          <w:sz w:val="24"/>
        </w:rPr>
        <w:t xml:space="preserve">）驾驶人员上岗统一穿环卫标志服装，严格按规定穿戴工作服、反光背心、反光袖套，不得赤膊、赤足、敞胸、穿背心、穿拖鞋、上衣不扣纽扣等，服装整洁、文明作业。</w:t>
      </w:r>
      <w:r/>
    </w:p>
    <w:p>
      <w:pPr>
        <w:ind w:firstLine="424"/>
        <w:spacing w:line="360" w:lineRule="auto"/>
        <w:rPr>
          <w:rFonts w:ascii="宋体" w:hAnsi="宋体"/>
          <w:sz w:val="24"/>
        </w:rPr>
      </w:pPr>
      <w:r>
        <w:rPr>
          <w:rFonts w:hint="eastAsia" w:ascii="宋体" w:hAnsi="宋体"/>
          <w:bCs/>
          <w:sz w:val="24"/>
        </w:rPr>
        <w:t xml:space="preserve">（</w:t>
      </w:r>
      <w:r>
        <w:rPr>
          <w:rFonts w:ascii="宋体" w:hAnsi="宋体"/>
          <w:sz w:val="24"/>
        </w:rPr>
        <w:t xml:space="preserve">8</w:t>
      </w:r>
      <w:r>
        <w:rPr>
          <w:rFonts w:hint="eastAsia" w:ascii="宋体" w:hAnsi="宋体"/>
          <w:sz w:val="24"/>
        </w:rPr>
        <w:t xml:space="preserve">）车辆安全管理达到“四有一无”，即：有安全管理组织，有健全的安全管理制度，有完善的安全检查制度，有定期的安全培训制度，无安全事故发生。</w:t>
      </w:r>
      <w:r/>
    </w:p>
    <w:p>
      <w:pPr>
        <w:ind w:firstLine="424"/>
        <w:spacing w:line="360" w:lineRule="auto"/>
        <w:rPr>
          <w:rFonts w:ascii="宋体" w:hAnsi="宋体"/>
          <w:sz w:val="24"/>
        </w:rPr>
      </w:pPr>
      <w:r>
        <w:rPr>
          <w:rFonts w:hint="eastAsia" w:ascii="宋体" w:hAnsi="宋体"/>
          <w:bCs/>
          <w:sz w:val="24"/>
        </w:rPr>
        <w:t xml:space="preserve">（</w:t>
      </w:r>
      <w:r>
        <w:rPr>
          <w:rFonts w:hint="eastAsia" w:ascii="宋体" w:hAnsi="宋体"/>
          <w:sz w:val="24"/>
        </w:rPr>
        <w:t xml:space="preserve">9）严格遵守交通规则行车，严禁出现开快车、乱超车、闯红灯、逆向行驶等违法行为；严格按照规定线路行驶；严禁私自动用车辆或将车辆交由他人驾驶。作业任务完成后及时清理清洗，按指定地点停放，并摆放整齐。保留垃圾运输车辆日常清洗记录。</w:t>
      </w:r>
      <w:r/>
    </w:p>
    <w:p>
      <w:pPr>
        <w:ind w:firstLine="424"/>
        <w:spacing w:line="360" w:lineRule="auto"/>
        <w:rPr>
          <w:rFonts w:ascii="宋体" w:hAnsi="宋体"/>
          <w:sz w:val="24"/>
        </w:rPr>
      </w:pPr>
      <w:r>
        <w:rPr>
          <w:rFonts w:hint="eastAsia" w:ascii="宋体" w:hAnsi="宋体"/>
          <w:bCs/>
          <w:sz w:val="24"/>
        </w:rPr>
        <w:t xml:space="preserve">（</w:t>
      </w:r>
      <w:r>
        <w:rPr>
          <w:rFonts w:hint="eastAsia" w:ascii="宋体" w:hAnsi="宋体"/>
          <w:sz w:val="24"/>
        </w:rPr>
        <w:t xml:space="preserve">10）做好车辆的日常清洁保养工作，做好每天出车前、运行中、收车后检查及冲洗工作，严禁带故障出车，保持清运车辆车容整洁，不外挂垃圾，不滴漏污水。做好车辆每日运行线路和转运记录。</w:t>
      </w:r>
      <w:r/>
    </w:p>
    <w:p>
      <w:pPr>
        <w:ind w:firstLine="424"/>
        <w:spacing w:line="360" w:lineRule="auto"/>
        <w:rPr>
          <w:rFonts w:ascii="宋体" w:hAnsi="宋体"/>
          <w:sz w:val="24"/>
        </w:rPr>
      </w:pPr>
      <w:r>
        <w:rPr>
          <w:rFonts w:hint="eastAsia" w:ascii="宋体" w:hAnsi="宋体"/>
          <w:bCs/>
          <w:sz w:val="24"/>
        </w:rPr>
        <w:t xml:space="preserve">（</w:t>
      </w:r>
      <w:r>
        <w:rPr>
          <w:rFonts w:hint="eastAsia" w:ascii="宋体" w:hAnsi="宋体"/>
          <w:sz w:val="24"/>
        </w:rPr>
        <w:t xml:space="preserve">11）作业人员必须文明作业，禁止大声喧哗，杜绝环卫作业影响周边市民正常作息。</w:t>
      </w:r>
      <w:r/>
    </w:p>
    <w:p>
      <w:pPr>
        <w:ind w:firstLine="424"/>
        <w:spacing w:line="360" w:lineRule="auto"/>
        <w:rPr>
          <w:rFonts w:ascii="宋体" w:hAnsi="宋体"/>
          <w:sz w:val="24"/>
        </w:rPr>
      </w:pPr>
      <w:r>
        <w:rPr>
          <w:rFonts w:hint="eastAsia" w:ascii="宋体" w:hAnsi="宋体"/>
          <w:bCs/>
          <w:sz w:val="24"/>
        </w:rPr>
        <w:t xml:space="preserve">（</w:t>
      </w:r>
      <w:r>
        <w:rPr>
          <w:rFonts w:hint="eastAsia" w:ascii="宋体" w:hAnsi="宋体"/>
          <w:sz w:val="24"/>
        </w:rPr>
        <w:t xml:space="preserve">12）对环卫设施、设备要妥善保管，做好日常检查和定期保养。</w:t>
      </w:r>
      <w:r/>
    </w:p>
    <w:p>
      <w:pPr>
        <w:ind w:firstLine="426"/>
        <w:spacing w:line="360" w:lineRule="auto"/>
        <w:rPr>
          <w:rFonts w:ascii="宋体" w:hAnsi="宋体"/>
          <w:sz w:val="24"/>
        </w:rPr>
      </w:pPr>
      <w:r>
        <w:rPr>
          <w:rFonts w:hint="eastAsia" w:ascii="宋体" w:hAnsi="宋体"/>
          <w:b/>
          <w:bCs/>
          <w:sz w:val="24"/>
        </w:rPr>
        <w:t xml:space="preserve">1.7智慧环卫运营：</w:t>
      </w:r>
      <w:r>
        <w:rPr>
          <w:rFonts w:ascii="宋体" w:hAnsi="宋体"/>
          <w:sz w:val="24"/>
        </w:rPr>
        <w:t xml:space="preserve">为实现环卫智慧化、一体化管理目标，中标供应商应在合同签订后 14 个日历天内按照市、区两级信息化要求将相关数据接入市、区两级智慧环卫监管平台，数据包括但不限于作业状态、作业轨迹、作业趟数、实时视频、称重数据等内容。若因中标供应商未能及时提供技术对接所需材料或未能及时配合技术对接，造成的一切后果由中标供应商承担。因平台对接、功能运维等产生的一切费用由中标供应商承担。</w:t>
      </w:r>
      <w:r/>
    </w:p>
    <w:p>
      <w:pPr>
        <w:ind w:firstLine="426"/>
        <w:spacing w:line="360" w:lineRule="auto"/>
        <w:rPr>
          <w:rFonts w:ascii="宋体" w:hAnsi="宋体"/>
          <w:b/>
          <w:bCs/>
          <w:sz w:val="24"/>
        </w:rPr>
      </w:pPr>
      <w:r>
        <w:rPr>
          <w:rFonts w:hint="eastAsia" w:ascii="宋体" w:hAnsi="宋体"/>
          <w:b/>
          <w:bCs/>
          <w:sz w:val="24"/>
        </w:rPr>
        <w:t xml:space="preserve">1.8</w:t>
      </w:r>
      <w:r>
        <w:rPr>
          <w:rFonts w:ascii="宋体" w:hAnsi="宋体"/>
          <w:b/>
          <w:bCs/>
          <w:sz w:val="24"/>
        </w:rPr>
        <w:t xml:space="preserve">人行道</w:t>
      </w:r>
      <w:r>
        <w:rPr>
          <w:rFonts w:hint="eastAsia" w:ascii="宋体" w:hAnsi="宋体"/>
          <w:b/>
          <w:bCs/>
          <w:sz w:val="24"/>
        </w:rPr>
        <w:t xml:space="preserve">及</w:t>
      </w:r>
      <w:r>
        <w:rPr>
          <w:rFonts w:ascii="宋体" w:hAnsi="宋体"/>
          <w:b/>
          <w:bCs/>
          <w:sz w:val="24"/>
        </w:rPr>
        <w:t xml:space="preserve">绿化带保洁环卫质量要求</w:t>
      </w:r>
      <w:r/>
    </w:p>
    <w:p>
      <w:pPr>
        <w:ind w:firstLine="424"/>
        <w:spacing w:line="360" w:lineRule="auto"/>
        <w:rPr>
          <w:rFonts w:ascii="宋体" w:hAnsi="宋体"/>
          <w:sz w:val="24"/>
        </w:rPr>
      </w:pPr>
      <w:r>
        <w:rPr>
          <w:rFonts w:hint="eastAsia" w:ascii="宋体" w:hAnsi="宋体"/>
          <w:sz w:val="24"/>
        </w:rPr>
        <w:t xml:space="preserve">（1）人行道</w:t>
      </w:r>
      <w:r>
        <w:rPr>
          <w:rFonts w:ascii="宋体" w:hAnsi="宋体"/>
          <w:sz w:val="24"/>
        </w:rPr>
        <w:t xml:space="preserve">硬质铺装每日两清扫</w:t>
      </w:r>
      <w:r>
        <w:rPr>
          <w:rFonts w:hint="eastAsia" w:ascii="宋体" w:hAnsi="宋体"/>
          <w:sz w:val="24"/>
        </w:rPr>
        <w:t xml:space="preserve">，</w:t>
      </w:r>
      <w:r>
        <w:rPr>
          <w:rFonts w:ascii="宋体" w:hAnsi="宋体"/>
          <w:sz w:val="24"/>
        </w:rPr>
        <w:t xml:space="preserve">全天候保洁，每周</w:t>
      </w:r>
      <w:r>
        <w:rPr>
          <w:rFonts w:hint="eastAsia" w:ascii="宋体" w:hAnsi="宋体"/>
          <w:sz w:val="24"/>
        </w:rPr>
        <w:t xml:space="preserve">至少</w:t>
      </w:r>
      <w:r>
        <w:rPr>
          <w:rFonts w:ascii="宋体" w:hAnsi="宋体"/>
          <w:sz w:val="24"/>
        </w:rPr>
        <w:t xml:space="preserve">清洗</w:t>
      </w:r>
      <w:r>
        <w:rPr>
          <w:rFonts w:hint="eastAsia" w:ascii="宋体" w:hAnsi="宋体"/>
          <w:sz w:val="24"/>
        </w:rPr>
        <w:t xml:space="preserve">1</w:t>
      </w:r>
      <w:r>
        <w:rPr>
          <w:rFonts w:ascii="宋体" w:hAnsi="宋体"/>
          <w:sz w:val="24"/>
        </w:rPr>
        <w:t xml:space="preserve">次。</w:t>
      </w:r>
      <w:r/>
    </w:p>
    <w:p>
      <w:pPr>
        <w:ind w:firstLine="424"/>
        <w:spacing w:line="360" w:lineRule="auto"/>
        <w:rPr>
          <w:rFonts w:ascii="宋体" w:hAnsi="宋体"/>
          <w:sz w:val="24"/>
        </w:rPr>
      </w:pPr>
      <w:r>
        <w:rPr>
          <w:rFonts w:hint="eastAsia" w:ascii="宋体" w:hAnsi="宋体"/>
          <w:sz w:val="24"/>
        </w:rPr>
        <w:t xml:space="preserve">（2）</w:t>
      </w:r>
      <w:r>
        <w:rPr>
          <w:rFonts w:ascii="宋体" w:hAnsi="宋体"/>
          <w:sz w:val="24"/>
        </w:rPr>
        <w:t xml:space="preserve">对人行道及非机动车道的清洗，确保无积尘泥沙、无</w:t>
      </w:r>
      <w:r>
        <w:rPr>
          <w:rFonts w:hint="eastAsia" w:ascii="宋体" w:hAnsi="宋体"/>
          <w:sz w:val="24"/>
        </w:rPr>
        <w:t xml:space="preserve">油污</w:t>
      </w:r>
      <w:r>
        <w:rPr>
          <w:rFonts w:ascii="宋体" w:hAnsi="宋体"/>
          <w:sz w:val="24"/>
        </w:rPr>
        <w:t xml:space="preserve">果渍、标线清晰。</w:t>
      </w:r>
      <w:r/>
    </w:p>
    <w:p>
      <w:pPr>
        <w:ind w:firstLine="424"/>
        <w:spacing w:line="360" w:lineRule="auto"/>
        <w:rPr>
          <w:rFonts w:ascii="宋体" w:hAnsi="宋体"/>
          <w:sz w:val="24"/>
        </w:rPr>
      </w:pPr>
      <w:r>
        <w:rPr>
          <w:rFonts w:hint="eastAsia" w:ascii="宋体" w:hAnsi="宋体"/>
          <w:sz w:val="24"/>
        </w:rPr>
        <w:t xml:space="preserve">（3）</w:t>
      </w:r>
      <w:r>
        <w:rPr>
          <w:rFonts w:ascii="宋体" w:hAnsi="宋体"/>
          <w:sz w:val="24"/>
        </w:rPr>
        <w:t xml:space="preserve">每日巡回收集果壳箱内垃圾，做到及时清理，确保垃圾无满溢、散落，箱体无乱涂写、乱张贴，容器分类标志清晰，每日整体</w:t>
      </w:r>
      <w:r>
        <w:rPr>
          <w:rFonts w:hint="eastAsia" w:ascii="宋体" w:hAnsi="宋体"/>
          <w:sz w:val="24"/>
        </w:rPr>
        <w:t xml:space="preserve">至少</w:t>
      </w:r>
      <w:r>
        <w:rPr>
          <w:rFonts w:ascii="宋体" w:hAnsi="宋体"/>
          <w:sz w:val="24"/>
        </w:rPr>
        <w:t xml:space="preserve">擦洗保洁</w:t>
      </w:r>
      <w:r>
        <w:rPr>
          <w:rFonts w:hint="eastAsia" w:ascii="宋体" w:hAnsi="宋体"/>
          <w:sz w:val="24"/>
        </w:rPr>
        <w:t xml:space="preserve">1</w:t>
      </w:r>
      <w:r>
        <w:rPr>
          <w:rFonts w:ascii="宋体" w:hAnsi="宋体"/>
          <w:sz w:val="24"/>
        </w:rPr>
        <w:t xml:space="preserve">次，沿路果壳箱周围无堆积、存留垃圾，果壳箱内胆不得随意摆放</w:t>
      </w:r>
      <w:r>
        <w:rPr>
          <w:rFonts w:hint="eastAsia" w:ascii="宋体" w:hAnsi="宋体"/>
          <w:sz w:val="24"/>
        </w:rPr>
        <w:t xml:space="preserve">在道路</w:t>
      </w:r>
      <w:r>
        <w:rPr>
          <w:rFonts w:ascii="宋体" w:hAnsi="宋体"/>
          <w:sz w:val="24"/>
        </w:rPr>
        <w:t xml:space="preserve">两侧，并将果壳箱门锁紧闭。</w:t>
      </w:r>
      <w:r/>
    </w:p>
    <w:p>
      <w:pPr>
        <w:ind w:firstLine="424"/>
        <w:spacing w:line="360" w:lineRule="auto"/>
        <w:rPr>
          <w:rFonts w:ascii="宋体" w:hAnsi="宋体"/>
          <w:sz w:val="24"/>
        </w:rPr>
      </w:pPr>
      <w:r>
        <w:rPr>
          <w:rFonts w:hint="eastAsia" w:ascii="宋体" w:hAnsi="宋体"/>
          <w:sz w:val="24"/>
        </w:rPr>
        <w:t xml:space="preserve">（4）所有道路上的果壳箱根据采购人年度计划（统一颜色、统一标志、统一编号）进行更换。</w:t>
      </w:r>
      <w:r/>
    </w:p>
    <w:p>
      <w:pPr>
        <w:ind w:firstLine="424"/>
        <w:spacing w:line="360" w:lineRule="auto"/>
        <w:rPr>
          <w:rFonts w:ascii="宋体" w:hAnsi="宋体"/>
          <w:sz w:val="24"/>
        </w:rPr>
      </w:pPr>
      <w:r>
        <w:rPr>
          <w:rFonts w:hint="eastAsia" w:ascii="宋体" w:hAnsi="宋体"/>
          <w:sz w:val="24"/>
        </w:rPr>
        <w:t xml:space="preserve">（5）</w:t>
      </w:r>
      <w:r>
        <w:rPr>
          <w:rFonts w:ascii="宋体" w:hAnsi="宋体"/>
          <w:sz w:val="24"/>
        </w:rPr>
        <w:t xml:space="preserve">道路清扫保洁、道路两侧绿化带、开放式广场和</w:t>
      </w:r>
      <w:r>
        <w:rPr>
          <w:rFonts w:hint="eastAsia" w:ascii="宋体" w:hAnsi="宋体"/>
          <w:sz w:val="24"/>
        </w:rPr>
        <w:t xml:space="preserve">沿路街角游园</w:t>
      </w:r>
      <w:r>
        <w:rPr>
          <w:rFonts w:ascii="宋体" w:hAnsi="宋体"/>
          <w:sz w:val="24"/>
        </w:rPr>
        <w:t xml:space="preserve">清扫保洁范围内无垃圾杂物、白色垃圾</w:t>
      </w:r>
      <w:r>
        <w:rPr>
          <w:rFonts w:hint="eastAsia" w:ascii="宋体" w:hAnsi="宋体"/>
          <w:sz w:val="24"/>
        </w:rPr>
        <w:t xml:space="preserve">（</w:t>
      </w:r>
      <w:r>
        <w:rPr>
          <w:rFonts w:ascii="宋体" w:hAnsi="宋体"/>
          <w:sz w:val="24"/>
        </w:rPr>
        <w:t xml:space="preserve">人工保洁范围有建筑物的道路两侧边到边、墙到墙全面积保洁；无建筑物的道路两侧绿化带到绿化带</w:t>
      </w:r>
      <w:r>
        <w:rPr>
          <w:rFonts w:hint="eastAsia" w:ascii="宋体" w:hAnsi="宋体"/>
          <w:sz w:val="24"/>
        </w:rPr>
        <w:t xml:space="preserve">（</w:t>
      </w:r>
      <w:r>
        <w:rPr>
          <w:rFonts w:ascii="宋体" w:hAnsi="宋体"/>
          <w:sz w:val="24"/>
        </w:rPr>
        <w:t xml:space="preserve">含绿化带</w:t>
      </w:r>
      <w:r>
        <w:rPr>
          <w:rFonts w:hint="eastAsia" w:ascii="宋体" w:hAnsi="宋体"/>
          <w:sz w:val="24"/>
        </w:rPr>
        <w:t xml:space="preserve">）</w:t>
      </w:r>
      <w:r>
        <w:rPr>
          <w:rFonts w:ascii="宋体" w:hAnsi="宋体"/>
          <w:sz w:val="24"/>
        </w:rPr>
        <w:t xml:space="preserve">全面积保洁</w:t>
      </w:r>
      <w:r>
        <w:rPr>
          <w:rFonts w:hint="eastAsia" w:ascii="宋体" w:hAnsi="宋体"/>
          <w:sz w:val="24"/>
        </w:rPr>
        <w:t xml:space="preserve">）</w:t>
      </w:r>
      <w:r>
        <w:rPr>
          <w:rFonts w:ascii="宋体" w:hAnsi="宋体"/>
          <w:sz w:val="24"/>
        </w:rPr>
        <w:t xml:space="preserve">。道路无明显积存落叶。</w:t>
      </w:r>
      <w:r/>
    </w:p>
    <w:p>
      <w:pPr>
        <w:ind w:firstLine="424"/>
        <w:spacing w:line="360" w:lineRule="auto"/>
        <w:rPr>
          <w:rFonts w:ascii="宋体" w:hAnsi="宋体"/>
          <w:sz w:val="24"/>
        </w:rPr>
      </w:pPr>
      <w:r>
        <w:rPr>
          <w:rFonts w:hint="eastAsia" w:ascii="宋体" w:hAnsi="宋体"/>
          <w:sz w:val="24"/>
        </w:rPr>
        <w:t xml:space="preserve">（6）人行道及</w:t>
      </w:r>
      <w:r>
        <w:rPr>
          <w:rFonts w:ascii="宋体" w:hAnsi="宋体"/>
          <w:sz w:val="24"/>
        </w:rPr>
        <w:t xml:space="preserve">时打药、除草，确保无杂草。</w:t>
      </w:r>
      <w:r/>
    </w:p>
    <w:p>
      <w:pPr>
        <w:ind w:firstLine="424"/>
        <w:spacing w:line="360" w:lineRule="auto"/>
        <w:rPr>
          <w:rFonts w:ascii="宋体" w:hAnsi="宋体"/>
          <w:sz w:val="24"/>
        </w:rPr>
      </w:pPr>
      <w:r>
        <w:rPr>
          <w:rFonts w:hint="eastAsia" w:ascii="宋体" w:hAnsi="宋体"/>
          <w:sz w:val="24"/>
        </w:rPr>
        <w:t xml:space="preserve">（7）</w:t>
      </w:r>
      <w:r>
        <w:rPr>
          <w:rFonts w:ascii="宋体" w:hAnsi="宋体"/>
          <w:sz w:val="24"/>
        </w:rPr>
        <w:t xml:space="preserve">人行道落叶</w:t>
      </w:r>
      <w:r>
        <w:rPr>
          <w:rFonts w:hint="eastAsia" w:ascii="宋体" w:hAnsi="宋体"/>
          <w:sz w:val="24"/>
        </w:rPr>
        <w:t xml:space="preserve">应迅速</w:t>
      </w:r>
      <w:r>
        <w:rPr>
          <w:rFonts w:ascii="宋体" w:hAnsi="宋体"/>
          <w:sz w:val="24"/>
        </w:rPr>
        <w:t xml:space="preserve">及时清理，</w:t>
      </w:r>
      <w:r>
        <w:rPr>
          <w:rFonts w:hint="eastAsia" w:ascii="宋体" w:hAnsi="宋体"/>
          <w:sz w:val="24"/>
        </w:rPr>
        <w:t xml:space="preserve">安全文明作业，</w:t>
      </w:r>
      <w:r>
        <w:rPr>
          <w:rFonts w:ascii="宋体" w:hAnsi="宋体"/>
          <w:sz w:val="24"/>
        </w:rPr>
        <w:t xml:space="preserve">确保道路无明显落叶。</w:t>
      </w:r>
      <w:r/>
    </w:p>
    <w:p>
      <w:pPr>
        <w:ind w:firstLine="426"/>
        <w:spacing w:line="360" w:lineRule="auto"/>
        <w:rPr>
          <w:rFonts w:ascii="宋体" w:hAnsi="宋体"/>
          <w:b/>
          <w:bCs/>
          <w:sz w:val="24"/>
        </w:rPr>
      </w:pPr>
      <w:r>
        <w:rPr>
          <w:rFonts w:hint="eastAsia" w:ascii="宋体" w:hAnsi="宋体"/>
          <w:b/>
          <w:bCs/>
          <w:sz w:val="24"/>
        </w:rPr>
        <w:t xml:space="preserve">1.9</w:t>
      </w:r>
      <w:r>
        <w:rPr>
          <w:rFonts w:ascii="宋体" w:hAnsi="宋体"/>
          <w:b/>
          <w:bCs/>
          <w:sz w:val="24"/>
        </w:rPr>
        <w:t xml:space="preserve">道路扬尘控尘保洁</w:t>
      </w:r>
      <w:r>
        <w:rPr>
          <w:rFonts w:hint="eastAsia" w:ascii="宋体" w:hAnsi="宋体"/>
          <w:b/>
          <w:bCs/>
          <w:sz w:val="24"/>
        </w:rPr>
        <w:t xml:space="preserve">质量</w:t>
      </w:r>
      <w:r/>
    </w:p>
    <w:p>
      <w:pPr>
        <w:numPr>
          <w:ilvl w:val="0"/>
          <w:numId w:val="4"/>
        </w:numPr>
        <w:ind w:firstLine="424"/>
        <w:spacing w:line="360" w:lineRule="auto"/>
        <w:rPr>
          <w:rFonts w:ascii="宋体" w:hAnsi="宋体"/>
          <w:sz w:val="24"/>
        </w:rPr>
      </w:pPr>
      <w:r>
        <w:rPr>
          <w:rFonts w:hint="eastAsia" w:ascii="宋体" w:hAnsi="宋体"/>
          <w:sz w:val="24"/>
        </w:rPr>
        <w:t xml:space="preserve">按照大气污染防治要求，全面提升道路控尘保洁水平。特殊时期应确保车过无扬尘、路牙无积尘、道路见本色。实施道路高压冲洗与机洗联合作业模式（下雨时段及早晚高峰时段除外）。</w:t>
      </w:r>
      <w:r/>
    </w:p>
    <w:p>
      <w:pPr>
        <w:numPr>
          <w:ilvl w:val="0"/>
          <w:numId w:val="4"/>
        </w:numPr>
        <w:ind w:firstLine="424"/>
        <w:spacing w:line="360" w:lineRule="auto"/>
        <w:rPr>
          <w:rFonts w:ascii="宋体" w:hAnsi="宋体"/>
          <w:sz w:val="24"/>
        </w:rPr>
      </w:pPr>
      <w:r>
        <w:rPr>
          <w:rFonts w:hint="eastAsia" w:ascii="宋体" w:hAnsi="宋体"/>
          <w:sz w:val="24"/>
        </w:rPr>
        <w:t xml:space="preserve">工地周边、重点区域等特殊路段及重污染应对期间，应适当增加冲洒水和湿扫频次。在符合气温条件的前提下，根据预警等级执行以下分级管控：黄色预警（</w:t>
      </w:r>
      <w:r>
        <w:rPr>
          <w:rFonts w:hint="eastAsia" w:ascii="宋体" w:hAnsi="宋体" w:cs="宋体"/>
          <w:sz w:val="24"/>
        </w:rPr>
        <w:t xml:space="preserve">Ⅲ</w:t>
      </w:r>
      <w:r>
        <w:rPr>
          <w:rFonts w:hint="eastAsia" w:ascii="宋体" w:hAnsi="宋体"/>
          <w:sz w:val="24"/>
        </w:rPr>
        <w:t xml:space="preserve">级），重点区域至少增加1次冲（洒）水作业；橙色预警（</w:t>
      </w:r>
      <w:r>
        <w:rPr>
          <w:rFonts w:hint="eastAsia" w:ascii="宋体" w:hAnsi="宋体" w:cs="宋体"/>
          <w:sz w:val="24"/>
        </w:rPr>
        <w:t xml:space="preserve">Ⅱ</w:t>
      </w:r>
      <w:r>
        <w:rPr>
          <w:rFonts w:hint="eastAsia" w:ascii="宋体" w:hAnsi="宋体"/>
          <w:sz w:val="24"/>
        </w:rPr>
        <w:t xml:space="preserve">级），重点区域至少增加1次冲（洒）水作业，人行道板利用小型车辆冲洗1次；红色预警（</w:t>
      </w:r>
      <w:r>
        <w:rPr>
          <w:rFonts w:hint="eastAsia" w:ascii="宋体" w:hAnsi="宋体" w:cs="宋体"/>
          <w:sz w:val="24"/>
        </w:rPr>
        <w:t xml:space="preserve">Ⅰ</w:t>
      </w:r>
      <w:r>
        <w:rPr>
          <w:rFonts w:hint="eastAsia" w:ascii="宋体" w:hAnsi="宋体"/>
          <w:sz w:val="24"/>
        </w:rPr>
        <w:t xml:space="preserve">级），重点区域至少增加1次冲（洒）水作业、1次洗扫作业。同时落实以下保障措施：</w:t>
      </w:r>
      <w:r/>
    </w:p>
    <w:p>
      <w:pPr>
        <w:ind w:firstLine="424"/>
        <w:spacing w:line="360" w:lineRule="auto"/>
        <w:rPr>
          <w:rFonts w:ascii="宋体" w:hAnsi="宋体"/>
          <w:sz w:val="24"/>
        </w:rPr>
      </w:pPr>
      <w:r>
        <w:rPr>
          <w:rFonts w:hint="eastAsia" w:ascii="宋体" w:hAnsi="宋体"/>
          <w:sz w:val="24"/>
        </w:rPr>
        <w:t xml:space="preserve">1）落实属地监管责任，运用信息化手段加强监督检查。</w:t>
      </w:r>
      <w:r/>
    </w:p>
    <w:p>
      <w:pPr>
        <w:ind w:firstLine="424"/>
        <w:spacing w:line="360" w:lineRule="auto"/>
        <w:rPr>
          <w:rFonts w:ascii="宋体" w:hAnsi="宋体"/>
          <w:sz w:val="24"/>
        </w:rPr>
      </w:pPr>
      <w:r>
        <w:rPr>
          <w:rFonts w:hint="eastAsia" w:ascii="宋体" w:hAnsi="宋体"/>
          <w:sz w:val="24"/>
        </w:rPr>
        <w:t xml:space="preserve">2）建立应急响应台账，确保每次响应有记录、可追溯、可核查。</w:t>
      </w:r>
      <w:r/>
    </w:p>
    <w:p>
      <w:pPr>
        <w:ind w:firstLine="424"/>
        <w:spacing w:line="360" w:lineRule="auto"/>
        <w:rPr>
          <w:rFonts w:ascii="宋体" w:hAnsi="宋体"/>
          <w:sz w:val="24"/>
        </w:rPr>
      </w:pPr>
      <w:r>
        <w:rPr>
          <w:rFonts w:hint="eastAsia" w:ascii="宋体" w:hAnsi="宋体"/>
          <w:sz w:val="24"/>
        </w:rPr>
        <w:t xml:space="preserve">3）定期开展作业规范、安全防护及设备操作专项培训，提升队伍专业水平。</w:t>
      </w:r>
      <w:r/>
    </w:p>
    <w:p>
      <w:pPr>
        <w:ind w:firstLine="426"/>
        <w:spacing w:line="360" w:lineRule="auto"/>
        <w:rPr>
          <w:rFonts w:ascii="宋体" w:hAnsi="宋体"/>
          <w:b/>
          <w:bCs/>
          <w:sz w:val="24"/>
        </w:rPr>
      </w:pPr>
      <w:r>
        <w:rPr>
          <w:rFonts w:hint="eastAsia" w:ascii="宋体" w:hAnsi="宋体"/>
          <w:b/>
          <w:bCs/>
          <w:sz w:val="24"/>
        </w:rPr>
        <w:t xml:space="preserve">1.10作业服务相关要求</w:t>
      </w:r>
      <w:r/>
    </w:p>
    <w:p>
      <w:pPr>
        <w:ind w:firstLine="424"/>
        <w:spacing w:line="360" w:lineRule="auto"/>
        <w:rPr>
          <w:rFonts w:ascii="宋体" w:hAnsi="宋体"/>
          <w:sz w:val="24"/>
        </w:rPr>
      </w:pPr>
      <w:r>
        <w:rPr>
          <w:rFonts w:hint="eastAsia" w:ascii="宋体" w:hAnsi="宋体"/>
          <w:sz w:val="24"/>
        </w:rPr>
        <w:t xml:space="preserve">（1）配合采购人做好数字城管、12345政府热线、领导信箱等信访、电访、来访案件的处置，按时完成各类交办案件的处理，及时落实整改。</w:t>
      </w:r>
      <w:r/>
    </w:p>
    <w:p>
      <w:pPr>
        <w:ind w:firstLine="424"/>
        <w:spacing w:line="360" w:lineRule="auto"/>
        <w:rPr>
          <w:rFonts w:ascii="宋体" w:hAnsi="宋体"/>
          <w:sz w:val="24"/>
        </w:rPr>
      </w:pPr>
      <w:r>
        <w:rPr>
          <w:rFonts w:hint="eastAsia" w:ascii="宋体" w:hAnsi="宋体"/>
          <w:sz w:val="24"/>
        </w:rPr>
        <w:t xml:space="preserve">（2）配合采购人及时处理各类专项检查过程中反馈的问题，并在规定时限内完成整改落实。</w:t>
      </w:r>
      <w:r/>
    </w:p>
    <w:p>
      <w:pPr>
        <w:ind w:firstLine="424"/>
        <w:spacing w:line="360" w:lineRule="auto"/>
        <w:rPr>
          <w:rFonts w:ascii="宋体" w:hAnsi="宋体"/>
          <w:sz w:val="24"/>
        </w:rPr>
      </w:pPr>
      <w:r>
        <w:rPr>
          <w:rFonts w:hint="eastAsia" w:ascii="宋体" w:hAnsi="宋体"/>
          <w:sz w:val="24"/>
        </w:rPr>
        <w:t xml:space="preserve">（3）配合各级城市管理部门完成年度“停车区域保洁”“无人保洁”“潮汐保洁”等新型环卫作业任务试点。</w:t>
      </w:r>
      <w:r/>
    </w:p>
    <w:p>
      <w:pPr>
        <w:ind w:firstLine="424"/>
        <w:spacing w:line="360" w:lineRule="auto"/>
        <w:rPr>
          <w:rFonts w:ascii="宋体" w:hAnsi="宋体"/>
          <w:sz w:val="24"/>
        </w:rPr>
      </w:pPr>
      <w:r>
        <w:rPr>
          <w:rFonts w:hint="eastAsia" w:ascii="宋体" w:hAnsi="宋体"/>
          <w:sz w:val="24"/>
        </w:rPr>
        <w:t xml:space="preserve">（4）自觉接受各级新闻媒体和群众的监督等。</w:t>
      </w:r>
      <w:r/>
    </w:p>
    <w:p>
      <w:pPr>
        <w:ind w:firstLine="482"/>
        <w:spacing w:line="360" w:lineRule="auto"/>
        <w:rPr>
          <w:rFonts w:ascii="宋体" w:hAnsi="宋体"/>
          <w:b/>
          <w:bCs/>
          <w:sz w:val="24"/>
        </w:rPr>
      </w:pPr>
      <w:r>
        <w:rPr>
          <w:rFonts w:hint="eastAsia" w:ascii="宋体" w:hAnsi="宋体"/>
          <w:b/>
          <w:bCs/>
          <w:sz w:val="24"/>
        </w:rPr>
        <w:t xml:space="preserve">1.11考核机制</w:t>
      </w:r>
      <w:bookmarkEnd w:id="10"/>
      <w:r/>
    </w:p>
    <w:p>
      <w:pPr>
        <w:ind w:firstLine="420"/>
        <w:spacing w:line="360" w:lineRule="auto"/>
        <w:rPr>
          <w:rFonts w:ascii="宋体" w:hAnsi="宋体"/>
          <w:sz w:val="24"/>
        </w:rPr>
      </w:pPr>
      <w:r>
        <w:rPr>
          <w:rFonts w:hint="eastAsia" w:ascii="宋体" w:hAnsi="宋体"/>
          <w:sz w:val="24"/>
        </w:rPr>
        <w:t xml:space="preserve">（1）本项目考核根据《市政府关于推进无锡市区环卫一体化作业改革的实施意见》（锡政发〔2021〕29号）、《关于优化调整环卫一体化作业质量监管办法的通知》（锡城管发〔2025〕59号）及附件《无锡市环卫一体化作业服务质量标准与要求》、《滨湖区环卫一体化作业质量监管考核实施意见》及附件《滨湖区环卫一体化作业质量检查考核标准》文件执行，合同作业期间如有新考核文件，按新文件执行</w:t>
      </w:r>
      <w:r>
        <w:rPr>
          <w:rFonts w:hint="eastAsia" w:ascii="宋体" w:hAnsi="宋体"/>
          <w:bCs/>
          <w:sz w:val="24"/>
        </w:rPr>
        <w:t xml:space="preserve">，乙方承诺接受新考核文件的全部考核内容和标准</w:t>
      </w:r>
      <w:r>
        <w:rPr>
          <w:rFonts w:hint="eastAsia" w:ascii="宋体" w:hAnsi="宋体"/>
          <w:sz w:val="24"/>
        </w:rPr>
        <w:t xml:space="preserve">。</w:t>
      </w:r>
      <w:r/>
    </w:p>
    <w:p>
      <w:pPr>
        <w:ind w:firstLine="422"/>
        <w:spacing w:line="360" w:lineRule="auto"/>
        <w:rPr>
          <w:rFonts w:ascii="宋体" w:hAnsi="宋体"/>
          <w:b/>
          <w:bCs/>
          <w:sz w:val="24"/>
        </w:rPr>
      </w:pPr>
      <w:r>
        <w:rPr>
          <w:rFonts w:hint="eastAsia" w:ascii="宋体" w:hAnsi="宋体"/>
          <w:b/>
          <w:bCs/>
          <w:sz w:val="24"/>
        </w:rPr>
        <w:t xml:space="preserve">1.12合同终止</w:t>
      </w:r>
      <w:r/>
    </w:p>
    <w:p>
      <w:pPr>
        <w:ind w:firstLine="420"/>
        <w:spacing w:line="360" w:lineRule="auto"/>
        <w:rPr>
          <w:rFonts w:ascii="宋体" w:hAnsi="宋体"/>
          <w:sz w:val="24"/>
        </w:rPr>
      </w:pPr>
      <w:r>
        <w:rPr>
          <w:rFonts w:hint="eastAsia" w:ascii="宋体" w:hAnsi="宋体"/>
          <w:sz w:val="24"/>
        </w:rPr>
        <w:t xml:space="preserve">（1）合同期内，如果发生不可抗力或任意一方违约，守约方均可向对方提出协议终止意向并就此进行协商。若双方在一定时间内协商一致，则双方应继续履行服务合同的各自义务。否则，守约方可向对方提出合同终止通知，提前终止合同。当发生提前终止情况时，由采购人牵头制定退出方案，负责组织临时接管工作。</w:t>
      </w:r>
      <w:r/>
    </w:p>
    <w:p>
      <w:pPr>
        <w:ind w:firstLine="420"/>
        <w:spacing w:line="360" w:lineRule="auto"/>
        <w:rPr>
          <w:rFonts w:ascii="宋体" w:hAnsi="宋体"/>
          <w:sz w:val="24"/>
        </w:rPr>
      </w:pPr>
      <w:r>
        <w:rPr>
          <w:rFonts w:hint="eastAsia" w:ascii="宋体" w:hAnsi="宋体"/>
          <w:sz w:val="24"/>
        </w:rPr>
        <w:t xml:space="preserve">（2）服务期内，如中标供应商出现以下违约行为，采购人有权单方终止合同：</w:t>
      </w:r>
      <w:r/>
    </w:p>
    <w:p>
      <w:pPr>
        <w:ind w:firstLine="420"/>
        <w:spacing w:line="360" w:lineRule="auto"/>
        <w:rPr>
          <w:rFonts w:ascii="宋体" w:hAnsi="宋体"/>
          <w:sz w:val="24"/>
        </w:rPr>
      </w:pPr>
      <w:r>
        <w:rPr>
          <w:rFonts w:hint="eastAsia" w:ascii="宋体" w:hAnsi="宋体"/>
          <w:sz w:val="24"/>
        </w:rPr>
        <w:t xml:space="preserve">1）擅自将采购人所有的以及交由中标供应商所经营管理的资产进行处置或者抵押的。</w:t>
      </w:r>
      <w:r/>
    </w:p>
    <w:p>
      <w:pPr>
        <w:ind w:firstLine="420"/>
        <w:spacing w:line="360" w:lineRule="auto"/>
        <w:rPr>
          <w:rFonts w:ascii="宋体" w:hAnsi="宋体"/>
          <w:sz w:val="24"/>
        </w:rPr>
      </w:pPr>
      <w:r>
        <w:rPr>
          <w:rFonts w:hint="eastAsia" w:ascii="宋体" w:hAnsi="宋体"/>
          <w:sz w:val="24"/>
        </w:rPr>
        <w:t xml:space="preserve">2）中标供应商同一片区当月得分小于70分或者连续两个月得分小于80分的。</w:t>
      </w:r>
      <w:r/>
    </w:p>
    <w:p>
      <w:pPr>
        <w:ind w:firstLine="420"/>
        <w:spacing w:line="360" w:lineRule="auto"/>
        <w:rPr>
          <w:rFonts w:ascii="宋体" w:hAnsi="宋体"/>
          <w:sz w:val="24"/>
        </w:rPr>
      </w:pPr>
      <w:r>
        <w:rPr>
          <w:rFonts w:hint="eastAsia" w:ascii="宋体" w:hAnsi="宋体"/>
          <w:sz w:val="24"/>
        </w:rPr>
        <w:t xml:space="preserve">3）在政府部门组织的测评中，中标供应商管理作业方面存在明显重大过错或失误，在测评中环境卫生方面严重失分导致考核结果不通过的。</w:t>
      </w:r>
      <w:r/>
    </w:p>
    <w:p>
      <w:pPr>
        <w:ind w:firstLine="420"/>
        <w:spacing w:line="360" w:lineRule="auto"/>
        <w:rPr>
          <w:rFonts w:ascii="宋体" w:hAnsi="宋体"/>
          <w:sz w:val="24"/>
        </w:rPr>
      </w:pPr>
      <w:r>
        <w:rPr>
          <w:rFonts w:hint="eastAsia" w:ascii="宋体" w:hAnsi="宋体"/>
          <w:sz w:val="24"/>
        </w:rPr>
        <w:t xml:space="preserve">4）中标供应商因管理不善、发生生产安全事故的。</w:t>
      </w:r>
      <w:r/>
    </w:p>
    <w:p>
      <w:pPr>
        <w:ind w:firstLine="420"/>
        <w:spacing w:line="360" w:lineRule="auto"/>
        <w:rPr>
          <w:rFonts w:ascii="宋体" w:hAnsi="宋体"/>
          <w:sz w:val="24"/>
        </w:rPr>
      </w:pPr>
      <w:r>
        <w:rPr>
          <w:rFonts w:hint="eastAsia" w:ascii="宋体" w:hAnsi="宋体"/>
          <w:sz w:val="24"/>
        </w:rPr>
        <w:t xml:space="preserve">5）中标供应商出现连续欠薪两个月或连续12个月内累计发生三次以上（含三次）欠薪情况的，导致员工投诉、上访</w:t>
      </w:r>
      <w:bookmarkStart w:id="11" w:name="OLE_LINK4"/>
      <w:r/>
      <w:bookmarkStart w:id="12" w:name="OLE_LINK3"/>
      <w:r>
        <w:rPr>
          <w:rFonts w:hint="eastAsia" w:ascii="宋体" w:hAnsi="宋体"/>
          <w:sz w:val="24"/>
        </w:rPr>
        <w:t xml:space="preserve">、仲裁、诉讼</w:t>
      </w:r>
      <w:bookmarkEnd w:id="11"/>
      <w:r/>
      <w:bookmarkEnd w:id="12"/>
      <w:r>
        <w:rPr>
          <w:rFonts w:hint="eastAsia" w:ascii="宋体" w:hAnsi="宋体"/>
          <w:sz w:val="24"/>
        </w:rPr>
        <w:t xml:space="preserve">或影响项目正常运行的。</w:t>
      </w:r>
      <w:r/>
    </w:p>
    <w:p>
      <w:pPr>
        <w:ind w:firstLine="420"/>
        <w:spacing w:line="360" w:lineRule="auto"/>
        <w:rPr>
          <w:rFonts w:ascii="宋体" w:hAnsi="宋体"/>
          <w:sz w:val="24"/>
        </w:rPr>
      </w:pPr>
      <w:r>
        <w:rPr>
          <w:rFonts w:hint="eastAsia" w:ascii="宋体" w:hAnsi="宋体"/>
          <w:sz w:val="24"/>
        </w:rPr>
        <w:t xml:space="preserve">6）中标供应商擅自停业、歇业。</w:t>
      </w:r>
      <w:r/>
    </w:p>
    <w:p>
      <w:pPr>
        <w:ind w:firstLine="420"/>
        <w:spacing w:line="360" w:lineRule="auto"/>
        <w:rPr>
          <w:rFonts w:ascii="宋体" w:hAnsi="宋体"/>
          <w:sz w:val="24"/>
        </w:rPr>
      </w:pPr>
      <w:r>
        <w:rPr>
          <w:rFonts w:hint="eastAsia" w:ascii="宋体" w:hAnsi="宋体"/>
          <w:sz w:val="24"/>
        </w:rPr>
        <w:t xml:space="preserve">7）中标供应商合同重要条款未履行达标且收到书面整改通知后未按通知限期整改的。</w:t>
      </w:r>
      <w:r/>
    </w:p>
    <w:p>
      <w:pPr>
        <w:ind w:firstLine="420"/>
        <w:spacing w:line="360" w:lineRule="auto"/>
        <w:rPr>
          <w:rFonts w:ascii="宋体" w:hAnsi="宋体"/>
          <w:sz w:val="24"/>
        </w:rPr>
      </w:pPr>
      <w:r>
        <w:rPr>
          <w:rFonts w:hint="eastAsia" w:ascii="宋体" w:hAnsi="宋体"/>
          <w:sz w:val="24"/>
        </w:rPr>
        <w:t xml:space="preserve">8）中标供应商服务期间如被列入“信用中国”记录失信被执行人或重大税收违法失信主体，或发生法律、法规禁止的其他行为或有犯罪行为等的。</w:t>
      </w:r>
      <w:r/>
    </w:p>
    <w:p>
      <w:pPr>
        <w:ind w:firstLine="420"/>
        <w:spacing w:line="360" w:lineRule="auto"/>
        <w:rPr>
          <w:rFonts w:ascii="宋体" w:hAnsi="宋体"/>
          <w:sz w:val="24"/>
        </w:rPr>
      </w:pPr>
      <w:r>
        <w:rPr>
          <w:rFonts w:hint="eastAsia" w:ascii="宋体" w:hAnsi="宋体"/>
          <w:sz w:val="24"/>
        </w:rPr>
        <w:t xml:space="preserve">9）将中标项目转包给他人，或者在投标文件中未说明，且未经过采购人同意，将中标项目分包给他人的。</w:t>
      </w:r>
      <w:r/>
    </w:p>
    <w:p>
      <w:pPr>
        <w:ind w:firstLine="420"/>
        <w:spacing w:line="360" w:lineRule="auto"/>
        <w:rPr>
          <w:rFonts w:ascii="宋体" w:hAnsi="宋体"/>
          <w:sz w:val="24"/>
        </w:rPr>
      </w:pPr>
      <w:r>
        <w:rPr>
          <w:rFonts w:hint="eastAsia" w:ascii="宋体" w:hAnsi="宋体"/>
          <w:sz w:val="24"/>
        </w:rPr>
        <w:t xml:space="preserve">10）合同继续履行将损害国家利益或社会公共利益的，以及法律规定的其他情形。</w:t>
      </w:r>
      <w:r/>
    </w:p>
    <w:p>
      <w:pPr>
        <w:ind w:firstLine="420"/>
        <w:spacing w:line="360" w:lineRule="auto"/>
        <w:rPr>
          <w:rFonts w:ascii="宋体" w:hAnsi="宋体"/>
          <w:sz w:val="24"/>
        </w:rPr>
      </w:pPr>
      <w:r>
        <w:rPr>
          <w:rFonts w:hint="eastAsia" w:ascii="宋体" w:hAnsi="宋体"/>
          <w:sz w:val="24"/>
        </w:rPr>
        <w:t xml:space="preserve">采购人单方解除服务合同时应按照法定程序进行，在未解除服务合同前，中标供应商仍应按服务合同继续履行其义务，不得影响环卫正常运作和人员安定。在服务期间因中标供应商的行为所产生的债权债务由中标供应商承担，解除服务合同时双方应做好移交手续包括但不限于设备设施的移交，中标供应商必须妥善处理人员的安置、交流问题，中标供应商应保证环卫工人的平稳过渡，不得影响环卫工作的运转，不得出现影响环卫作业正常运转的纠纷。解除服务合同，双方先协商处理，如果协商不成产生纠纷，则由采购人所在地的法院管辖。</w:t>
      </w:r>
      <w:r/>
    </w:p>
    <w:p>
      <w:pPr>
        <w:ind w:firstLine="482"/>
        <w:spacing w:line="360" w:lineRule="auto"/>
        <w:rPr>
          <w:rFonts w:ascii="宋体" w:hAnsi="宋体"/>
          <w:b/>
          <w:bCs/>
          <w:sz w:val="24"/>
        </w:rPr>
      </w:pPr>
      <w:r>
        <w:rPr>
          <w:rFonts w:hint="eastAsia" w:ascii="宋体" w:hAnsi="宋体"/>
          <w:b/>
          <w:bCs/>
          <w:sz w:val="24"/>
        </w:rPr>
        <w:t xml:space="preserve">1.13人工工资、劳保待遇及专项服务要求</w:t>
      </w:r>
      <w:r/>
    </w:p>
    <w:p>
      <w:pPr>
        <w:ind w:firstLine="420"/>
        <w:spacing w:line="360" w:lineRule="auto"/>
        <w:rPr>
          <w:rFonts w:ascii="宋体" w:hAnsi="宋体"/>
          <w:sz w:val="24"/>
        </w:rPr>
      </w:pPr>
      <w:r>
        <w:rPr>
          <w:rFonts w:hint="eastAsia" w:ascii="宋体" w:hAnsi="宋体"/>
          <w:sz w:val="24"/>
        </w:rPr>
        <w:t xml:space="preserve">（1）按照《关于2025年无锡市区环卫一体化作业招标工作的指导意见》（锡城管发〔2025〕60号）要求，一线环卫职工月工资收入不得低于无锡市最低工资水平的120%，如遇政策调整按最新政策执行。</w:t>
      </w:r>
      <w:r/>
    </w:p>
    <w:p>
      <w:pPr>
        <w:ind w:firstLine="420"/>
        <w:spacing w:line="360" w:lineRule="auto"/>
        <w:rPr>
          <w:rFonts w:ascii="宋体" w:hAnsi="宋体"/>
          <w:sz w:val="24"/>
        </w:rPr>
      </w:pPr>
      <w:r>
        <w:rPr>
          <w:rFonts w:hint="eastAsia" w:ascii="宋体" w:hAnsi="宋体"/>
          <w:sz w:val="24"/>
        </w:rPr>
        <w:t xml:space="preserve">（2）用工须符合《中华人民共和国劳动合同法》规定，依法签订并履行劳动（劳务）合同，每月工作时间不得超过法定上限。投标供应商拟投入人员在本单位缴纳社保的比例不得低于总投入人数的60%，其中项目负责人及管理人员必须在本单位缴纳社保，中标供应商应为参与本项目的所有人员（包含轮岗人员）购买意外伤害保险或雇主责任险，保额为50万元（含）及以上。同时中标供应商须为超龄劳动者参加工伤保险并缴纳工伤保险费，并在发出中标通知书之日起15日内向采购方提供证明文件，后续凭保单签订合同。</w:t>
      </w:r>
      <w:r/>
    </w:p>
    <w:p>
      <w:pPr>
        <w:ind w:firstLine="420"/>
        <w:spacing w:line="360" w:lineRule="auto"/>
        <w:rPr>
          <w:rFonts w:ascii="宋体" w:hAnsi="宋体"/>
          <w:sz w:val="24"/>
        </w:rPr>
      </w:pPr>
      <w:r>
        <w:rPr>
          <w:rFonts w:hint="eastAsia" w:ascii="宋体" w:hAnsi="宋体"/>
          <w:sz w:val="24"/>
        </w:rPr>
        <w:t xml:space="preserve">（3）环卫工人服装按照市级要求统一规格、样式，配备标准为：夏装套装（短袖）2套、春秋套装2套、冬季服装2套、工作帽（夏帽、冬帽）各1顶、安全头盔1顶、雨衣套装1套。环卫工作服技术需求参照《关于做好环卫工作服配备更新工作的通知》（锡城管发〔2026〕11号）执行。须根据季节天气变化和工服破损破旧情况及时进行更换，配备费用由中标供应商负责。</w:t>
      </w:r>
      <w:r/>
    </w:p>
    <w:p>
      <w:pPr>
        <w:ind w:firstLine="420"/>
        <w:spacing w:line="360" w:lineRule="auto"/>
        <w:rPr>
          <w:rFonts w:ascii="宋体" w:hAnsi="宋体"/>
          <w:sz w:val="24"/>
        </w:rPr>
      </w:pPr>
      <w:r>
        <w:rPr>
          <w:rFonts w:hint="eastAsia" w:ascii="宋体" w:hAnsi="宋体"/>
          <w:sz w:val="24"/>
        </w:rPr>
        <w:t xml:space="preserve">（4）环卫工人保险购买到位。高温费按时发放到位。一年一次环卫工人体检组织到位。</w:t>
      </w:r>
      <w:r/>
    </w:p>
    <w:p>
      <w:pPr>
        <w:ind w:firstLine="420"/>
        <w:spacing w:line="360" w:lineRule="auto"/>
        <w:rPr>
          <w:rFonts w:ascii="宋体" w:hAnsi="宋体"/>
          <w:sz w:val="24"/>
        </w:rPr>
      </w:pPr>
      <w:r>
        <w:rPr>
          <w:rFonts w:hint="eastAsia" w:ascii="宋体" w:hAnsi="宋体"/>
          <w:sz w:val="24"/>
        </w:rPr>
        <w:t xml:space="preserve">（5）根据锡城管委发〔2023〕7号《关于印发无锡市区一线环卫工人“爱心早餐”工程实施方案的通知》要求，中标供应商须为本项目一线环卫工人提供“爱心早餐”服务；早餐按每人每天6元标准执行。</w:t>
      </w:r>
      <w:r/>
    </w:p>
    <w:p>
      <w:pPr>
        <w:ind w:firstLine="420"/>
        <w:spacing w:line="360" w:lineRule="auto"/>
        <w:rPr>
          <w:rFonts w:ascii="宋体" w:hAnsi="宋体"/>
          <w:sz w:val="24"/>
        </w:rPr>
      </w:pPr>
      <w:r>
        <w:rPr>
          <w:rFonts w:hint="eastAsia" w:ascii="宋体" w:hAnsi="宋体"/>
          <w:sz w:val="24"/>
        </w:rPr>
        <w:t xml:space="preserve">（6）依据《住房和城乡建设部等4部门关于建立城市环卫工人工资专用账户制度的通知》（建城〔2025〕39号）文件，按期开立“环卫工人工资专用账户”。</w:t>
      </w:r>
      <w:r/>
    </w:p>
    <w:p>
      <w:pPr>
        <w:ind w:firstLine="420"/>
        <w:spacing w:line="360" w:lineRule="auto"/>
        <w:rPr>
          <w:rFonts w:ascii="宋体" w:hAnsi="宋体"/>
          <w:sz w:val="24"/>
        </w:rPr>
      </w:pPr>
      <w:r>
        <w:rPr>
          <w:rFonts w:hint="eastAsia" w:ascii="宋体" w:hAnsi="宋体"/>
          <w:sz w:val="24"/>
        </w:rPr>
        <w:t xml:space="preserve">中标供应商凭借环卫项目服务合同在本市银行开立专用账户。专户开立后30日内向项目所在地市（县），区环境卫生管理部门报备，并提交环卫工人工资专用账户开设情况备案表。</w:t>
      </w:r>
      <w:r/>
    </w:p>
    <w:p>
      <w:pPr>
        <w:ind w:firstLine="420"/>
        <w:spacing w:line="360" w:lineRule="auto"/>
        <w:rPr>
          <w:rFonts w:ascii="宋体" w:hAnsi="宋体"/>
          <w:sz w:val="24"/>
        </w:rPr>
      </w:pPr>
      <w:r>
        <w:rPr>
          <w:rFonts w:hint="eastAsia" w:ascii="宋体" w:hAnsi="宋体"/>
          <w:sz w:val="24"/>
        </w:rPr>
        <w:t xml:space="preserve">采购单位自合同签订之日起30日内组织中标供应商开立专用账户，签订资金管理三方协议。如中标供应商在同一采购单位同时有2个及以上环卫项目的，可开立新的专用账户，也可在专用账户下按项目分别管理，设立母子户，母户名称以企业名称加“环卫工人工资专用账户”，子户名称为项目名称加“环卫工人工资专用账户”。</w:t>
      </w:r>
      <w:r/>
    </w:p>
    <w:p>
      <w:pPr>
        <w:ind w:firstLine="420"/>
        <w:spacing w:line="360" w:lineRule="auto"/>
        <w:rPr>
          <w:rFonts w:ascii="宋体" w:hAnsi="宋体"/>
          <w:sz w:val="24"/>
        </w:rPr>
      </w:pPr>
      <w:r>
        <w:rPr>
          <w:rFonts w:hint="eastAsia" w:ascii="宋体" w:hAnsi="宋体"/>
          <w:sz w:val="24"/>
        </w:rPr>
        <w:t xml:space="preserve">（7）规范使用专用账户</w:t>
      </w:r>
      <w:r/>
    </w:p>
    <w:p>
      <w:pPr>
        <w:ind w:firstLine="420"/>
        <w:spacing w:line="360" w:lineRule="auto"/>
        <w:rPr>
          <w:rFonts w:ascii="宋体" w:hAnsi="宋体"/>
          <w:sz w:val="24"/>
        </w:rPr>
      </w:pPr>
      <w:r>
        <w:rPr>
          <w:rFonts w:hint="eastAsia" w:ascii="宋体" w:hAnsi="宋体"/>
          <w:sz w:val="24"/>
        </w:rPr>
        <w:t xml:space="preserve">专用账户的使用应严格按照服务合同及专用账户资金管理三方协议相关约定执行，仅用于办理环卫工人工资代发业务，不得取现、转账或办理其他代扣代缴业务。</w:t>
      </w:r>
      <w:r/>
    </w:p>
    <w:p>
      <w:pPr>
        <w:ind w:firstLine="420"/>
        <w:spacing w:line="360" w:lineRule="auto"/>
        <w:rPr>
          <w:rFonts w:ascii="宋体" w:hAnsi="宋体"/>
          <w:sz w:val="24"/>
        </w:rPr>
      </w:pPr>
      <w:r>
        <w:rPr>
          <w:rFonts w:hint="eastAsia" w:ascii="宋体" w:hAnsi="宋体"/>
          <w:sz w:val="24"/>
        </w:rPr>
        <w:t xml:space="preserve">专用账户资金管理三方协议中应明确工资发放日期及工资拨付流程。采购单位应及时审核环卫工人实名制台账、工资支付表、考勤表等资料，工资支付表应包含姓名、应发数、五险一金个人部分扣缴金额、实发数等信息，应发数低于最低工资标准120%的应予以核实。</w:t>
      </w:r>
      <w:r/>
    </w:p>
    <w:p>
      <w:pPr>
        <w:pStyle w:val="892"/>
        <w:spacing w:line="360" w:lineRule="auto"/>
        <w:rPr>
          <w:rFonts w:ascii="宋体" w:hAnsi="宋体"/>
          <w:sz w:val="24"/>
          <w:szCs w:val="20"/>
        </w:rPr>
      </w:pPr>
      <w:r>
        <w:rPr>
          <w:rFonts w:hint="eastAsia" w:ascii="宋体" w:hAnsi="宋体"/>
          <w:sz w:val="24"/>
        </w:rPr>
        <w:t xml:space="preserve">（</w:t>
      </w:r>
      <w:r>
        <w:rPr>
          <w:rFonts w:hint="eastAsia" w:ascii="宋体" w:hAnsi="宋体"/>
          <w:sz w:val="24"/>
          <w:szCs w:val="20"/>
        </w:rPr>
        <w:t xml:space="preserve">8）为保障本项目环卫作业调度及应急响应效率，确保采购人日常服务管理规范有序，现对中标供应商服务团队要求如下：在本次项目服务周期内，中标供应商须组建不少于3人的专项服务小组，与采购人对接日常环卫调度、现场作业协同、应急保障响应、服务台账报送等全流程配套服务工作。相关费用已全部包含在本次项目总报价中。</w:t>
      </w:r>
      <w:r/>
    </w:p>
    <w:p>
      <w:pPr>
        <w:ind w:firstLine="426"/>
        <w:spacing w:line="360" w:lineRule="auto"/>
        <w:rPr>
          <w:rFonts w:ascii="宋体" w:hAnsi="宋体"/>
          <w:bCs/>
          <w:sz w:val="24"/>
        </w:rPr>
      </w:pPr>
      <w:r>
        <w:rPr>
          <w:rFonts w:hint="eastAsia" w:ascii="宋体" w:hAnsi="宋体"/>
          <w:b/>
          <w:sz w:val="24"/>
        </w:rPr>
        <w:t xml:space="preserve">2.安全要求：</w:t>
      </w:r>
      <w:r>
        <w:rPr>
          <w:rFonts w:hint="eastAsia" w:ascii="宋体" w:hAnsi="宋体"/>
          <w:bCs/>
          <w:sz w:val="24"/>
        </w:rPr>
        <w:t xml:space="preserve">符合相关安全管理规定，确保安全无事故。</w:t>
      </w:r>
      <w:r/>
    </w:p>
    <w:p>
      <w:pPr>
        <w:ind w:firstLine="426"/>
        <w:spacing w:line="360" w:lineRule="auto"/>
        <w:rPr>
          <w:rFonts w:ascii="宋体" w:hAnsi="宋体"/>
          <w:bCs/>
          <w:sz w:val="24"/>
        </w:rPr>
      </w:pPr>
      <w:r>
        <w:rPr>
          <w:rFonts w:hint="eastAsia" w:ascii="宋体" w:hAnsi="宋体"/>
          <w:b/>
          <w:sz w:val="24"/>
        </w:rPr>
        <w:t xml:space="preserve">3.技术要求：</w:t>
      </w:r>
      <w:r>
        <w:rPr>
          <w:rFonts w:hint="eastAsia" w:ascii="宋体" w:hAnsi="宋体"/>
          <w:bCs/>
          <w:sz w:val="24"/>
        </w:rPr>
        <w:t xml:space="preserve">严格按照现行的规范标准执行。</w:t>
      </w:r>
      <w:r/>
    </w:p>
    <w:p>
      <w:pPr>
        <w:ind w:firstLine="426"/>
        <w:spacing w:line="360" w:lineRule="auto"/>
        <w:rPr>
          <w:rFonts w:ascii="宋体" w:hAnsi="宋体"/>
          <w:bCs/>
          <w:sz w:val="24"/>
        </w:rPr>
      </w:pPr>
      <w:r>
        <w:rPr>
          <w:rFonts w:hint="eastAsia" w:ascii="宋体" w:hAnsi="宋体"/>
          <w:b/>
          <w:sz w:val="24"/>
        </w:rPr>
        <w:t xml:space="preserve">4.服务内容：</w:t>
      </w:r>
      <w:r>
        <w:rPr>
          <w:rFonts w:hint="eastAsia" w:ascii="宋体" w:hAnsi="宋体"/>
          <w:bCs/>
          <w:sz w:val="24"/>
        </w:rPr>
        <w:t xml:space="preserve">环卫综合保洁作业服务。</w:t>
      </w:r>
      <w:r/>
    </w:p>
    <w:p>
      <w:pPr>
        <w:spacing w:line="360" w:lineRule="auto"/>
        <w:rPr>
          <w:rFonts w:ascii="宋体" w:hAnsi="宋体"/>
          <w:b/>
          <w:bCs/>
          <w:sz w:val="28"/>
        </w:rPr>
      </w:pPr>
      <w:r>
        <w:rPr>
          <w:rFonts w:hint="eastAsia" w:ascii="宋体" w:hAnsi="宋体"/>
          <w:b/>
          <w:bCs/>
          <w:sz w:val="28"/>
        </w:rPr>
        <w:t xml:space="preserve">（四）采购标的的数量、采购项目交付或者实施的时间和地点：</w:t>
      </w:r>
      <w:r/>
    </w:p>
    <w:p>
      <w:pPr>
        <w:ind w:firstLine="426"/>
        <w:spacing w:line="360" w:lineRule="auto"/>
        <w:rPr>
          <w:rFonts w:ascii="宋体" w:hAnsi="宋体"/>
          <w:bCs/>
          <w:sz w:val="24"/>
        </w:rPr>
      </w:pPr>
      <w:r>
        <w:rPr>
          <w:rFonts w:hint="eastAsia" w:ascii="宋体" w:hAnsi="宋体"/>
          <w:b/>
          <w:sz w:val="24"/>
        </w:rPr>
        <w:t xml:space="preserve">1.采购标的数量：</w:t>
      </w:r>
      <w:r>
        <w:rPr>
          <w:rFonts w:hint="eastAsia" w:ascii="宋体" w:hAnsi="宋体"/>
          <w:bCs/>
          <w:sz w:val="24"/>
        </w:rPr>
        <w:t xml:space="preserve">本项目以作业片区为单元，按照“一路带两侧，墙到墙、边到边”原则，主要包括对路面（含城市道路、国省干道）、绿化带（含小游园、步道）、道路两侧公共场所（含商铺门前道路、广场）、人行天桥、人行地下通道清扫保洁以及沿路果壳箱清洗、公厕管养、居民生活垃圾及沿街商铺生活垃圾收运、化粪池清坑及运输等环卫一体化作业任务，作业任务量详见采购需求附件。</w:t>
      </w:r>
      <w:r/>
    </w:p>
    <w:p>
      <w:pPr>
        <w:ind w:firstLine="426"/>
        <w:spacing w:line="360" w:lineRule="auto"/>
        <w:rPr>
          <w:rFonts w:ascii="宋体" w:hAnsi="宋体"/>
          <w:bCs/>
          <w:sz w:val="24"/>
        </w:rPr>
      </w:pPr>
      <w:r>
        <w:rPr>
          <w:rFonts w:hint="eastAsia" w:ascii="宋体" w:hAnsi="宋体"/>
          <w:b/>
          <w:sz w:val="24"/>
        </w:rPr>
        <w:t xml:space="preserve">2.合同履行期限：</w:t>
      </w:r>
      <w:r>
        <w:rPr>
          <w:rFonts w:hint="eastAsia" w:ascii="宋体" w:hAnsi="宋体"/>
          <w:bCs/>
          <w:sz w:val="24"/>
        </w:rPr>
        <w:t xml:space="preserve">三年（以合同约定时间为准，本次总报价按三年计算）</w:t>
      </w:r>
      <w:r>
        <w:rPr>
          <w:rFonts w:hint="eastAsia" w:ascii="宋体" w:hAnsi="宋体"/>
          <w:sz w:val="24"/>
        </w:rPr>
        <w:t xml:space="preserve">。</w:t>
      </w:r>
      <w:r/>
    </w:p>
    <w:p>
      <w:pPr>
        <w:ind w:firstLine="426"/>
        <w:spacing w:line="360" w:lineRule="auto"/>
        <w:rPr>
          <w:rFonts w:ascii="宋体" w:hAnsi="宋体"/>
          <w:bCs/>
          <w:sz w:val="24"/>
        </w:rPr>
      </w:pPr>
      <w:r>
        <w:rPr>
          <w:rFonts w:hint="eastAsia" w:ascii="宋体" w:hAnsi="宋体"/>
          <w:b/>
          <w:sz w:val="24"/>
        </w:rPr>
        <w:t xml:space="preserve">3.实施地点：</w:t>
      </w:r>
      <w:r>
        <w:rPr>
          <w:rFonts w:hint="eastAsia" w:ascii="宋体" w:hAnsi="宋体"/>
          <w:bCs/>
          <w:sz w:val="24"/>
        </w:rPr>
        <w:t xml:space="preserve">滨湖区第一片区（河埒街道（梁溪河北）、河埒街道（梁溪河南））、第二片区（荣巷街道）、第三片区（蠡园街道）、第四片区（蠡湖街道）、第五片区（雪浪街道）、第六片区（胡埭镇）、第七片区（马山街道）。</w:t>
      </w:r>
      <w:r/>
    </w:p>
    <w:p>
      <w:pPr>
        <w:spacing w:line="360" w:lineRule="auto"/>
        <w:rPr>
          <w:rFonts w:ascii="宋体" w:hAnsi="宋体"/>
          <w:b/>
          <w:bCs/>
          <w:sz w:val="28"/>
        </w:rPr>
      </w:pPr>
      <w:r>
        <w:rPr>
          <w:rFonts w:hint="eastAsia" w:ascii="宋体" w:hAnsi="宋体"/>
          <w:b/>
          <w:bCs/>
          <w:sz w:val="28"/>
        </w:rPr>
        <w:t xml:space="preserve">（五）采购标的需满足的服务标准、期限、效率等要求：</w:t>
      </w:r>
      <w:r/>
    </w:p>
    <w:p>
      <w:pPr>
        <w:ind w:firstLine="480"/>
        <w:spacing w:line="360" w:lineRule="auto"/>
        <w:rPr>
          <w:rFonts w:ascii="宋体" w:hAnsi="宋体"/>
          <w:bCs/>
          <w:sz w:val="24"/>
        </w:rPr>
      </w:pPr>
      <w:r>
        <w:rPr>
          <w:rFonts w:hint="eastAsia" w:ascii="宋体" w:hAnsi="宋体"/>
          <w:bCs/>
          <w:sz w:val="24"/>
        </w:rPr>
        <w:t xml:space="preserve">1.服务标准</w:t>
      </w:r>
      <w:r>
        <w:rPr>
          <w:rFonts w:ascii="宋体" w:hAnsi="宋体"/>
          <w:bCs/>
          <w:sz w:val="24"/>
        </w:rPr>
        <w:t xml:space="preserve">：严格按照《城市道路清扫保洁与质量评价标准》（CJJ/T126-2022）、《城市道路环卫机械化作业质量标准》（DGJ32/TJ172-2014）、《江苏省城市环境卫生作业质量标准》（DGJ32/TC01-2015）、《关于优化调整环卫一体化作业质量监管办法的通知》（锡城管发〔2025〕59号）及附件《无锡市环卫一体化作业服务质量标准与要求》等文件执行。</w:t>
      </w:r>
      <w:r/>
    </w:p>
    <w:p>
      <w:pPr>
        <w:ind w:firstLine="480"/>
        <w:spacing w:line="360" w:lineRule="auto"/>
        <w:rPr>
          <w:rFonts w:ascii="宋体" w:hAnsi="宋体"/>
          <w:bCs/>
          <w:sz w:val="24"/>
        </w:rPr>
      </w:pPr>
      <w:r>
        <w:rPr>
          <w:rFonts w:hint="eastAsia" w:ascii="宋体" w:hAnsi="宋体"/>
          <w:bCs/>
          <w:sz w:val="24"/>
        </w:rPr>
        <w:t xml:space="preserve">2.服务期限：合同履行期限为三年（以合同约定时间为准）。</w:t>
      </w:r>
      <w:r/>
    </w:p>
    <w:p>
      <w:pPr>
        <w:ind w:firstLine="480"/>
        <w:jc w:val="left"/>
        <w:spacing w:line="360" w:lineRule="auto"/>
        <w:rPr>
          <w:rFonts w:ascii="宋体" w:hAnsi="宋体"/>
          <w:bCs/>
          <w:sz w:val="24"/>
        </w:rPr>
      </w:pPr>
      <w:r>
        <w:rPr>
          <w:rFonts w:hint="eastAsia" w:ascii="宋体" w:hAnsi="宋体"/>
          <w:bCs/>
          <w:sz w:val="24"/>
        </w:rPr>
        <w:t xml:space="preserve">3.服务效率：满足采购人要求。</w:t>
      </w:r>
      <w:r/>
    </w:p>
    <w:p>
      <w:pPr>
        <w:jc w:val="left"/>
        <w:spacing w:line="360" w:lineRule="auto"/>
        <w:rPr>
          <w:rFonts w:ascii="宋体" w:hAnsi="宋体"/>
          <w:b/>
          <w:bCs/>
          <w:sz w:val="28"/>
        </w:rPr>
      </w:pPr>
      <w:r>
        <w:rPr>
          <w:rFonts w:hint="eastAsia" w:ascii="宋体" w:hAnsi="宋体"/>
          <w:b/>
          <w:bCs/>
          <w:sz w:val="28"/>
        </w:rPr>
        <w:t xml:space="preserve">（六）采购标的的验收标准：</w:t>
      </w:r>
      <w:r/>
    </w:p>
    <w:p>
      <w:pPr>
        <w:ind w:firstLine="480"/>
        <w:spacing w:line="360" w:lineRule="auto"/>
        <w:rPr>
          <w:rFonts w:ascii="宋体" w:hAnsi="宋体" w:cs="宋体"/>
          <w:sz w:val="24"/>
        </w:rPr>
      </w:pPr>
      <w:r>
        <w:rPr>
          <w:rFonts w:hint="eastAsia" w:ascii="宋体" w:hAnsi="宋体"/>
          <w:bCs/>
          <w:sz w:val="24"/>
        </w:rPr>
        <w:t xml:space="preserve">符合《市政府关于推进无锡市区环卫一体化作业改革的实施意见》（锡政发〔2021〕29 号）、《滨湖区环卫一体化作业质量监管考核实施意见》及附件《滨湖区环卫一体化作业质量检查考核标准》、《城市道路清扫保洁与质量评价标准》（CJJ/T126-2022）、《城市道路环卫机械化作业质量标准》（DGJ32/TJ172-2014）、《江苏省城市环境卫生作业质量标准》（DGJ32/TC01-2015）、《关于优化调整环卫一体化作业质量监管办法的通知》（锡城管发〔2025〕59号）及附件《无锡市环卫一体化作业服务质量标准与要</w:t>
      </w:r>
      <w:r>
        <w:rPr>
          <w:rFonts w:hint="eastAsia" w:ascii="宋体" w:hAnsi="宋体" w:cs="Arial"/>
          <w:sz w:val="24"/>
        </w:rPr>
        <w:t xml:space="preserve">求》。</w:t>
      </w:r>
      <w:r>
        <w:rPr>
          <w:rFonts w:hint="eastAsia" w:ascii="宋体" w:hAnsi="宋体"/>
          <w:bCs/>
          <w:sz w:val="24"/>
        </w:rPr>
        <w:t xml:space="preserve">如服务期内滨湖区有新考核标准发布，按滨湖区发布的考核标准执行。</w:t>
      </w:r>
      <w:r/>
    </w:p>
    <w:p>
      <w:pPr>
        <w:jc w:val="left"/>
        <w:spacing w:line="360" w:lineRule="auto"/>
        <w:rPr>
          <w:rFonts w:ascii="宋体" w:hAnsi="宋体"/>
          <w:b/>
          <w:bCs/>
          <w:sz w:val="28"/>
        </w:rPr>
      </w:pPr>
      <w:r>
        <w:rPr>
          <w:rFonts w:hint="eastAsia" w:ascii="宋体" w:hAnsi="宋体"/>
          <w:b/>
          <w:bCs/>
          <w:sz w:val="28"/>
        </w:rPr>
        <w:t xml:space="preserve">（七）采购标的的其他技术、服务等要求：</w:t>
      </w:r>
      <w:r/>
    </w:p>
    <w:p>
      <w:pPr>
        <w:ind w:firstLine="480"/>
        <w:spacing w:line="360" w:lineRule="auto"/>
        <w:rPr>
          <w:rFonts w:ascii="宋体" w:cs="宋体"/>
          <w:sz w:val="24"/>
        </w:rPr>
      </w:pPr>
      <w:r>
        <w:rPr>
          <w:rFonts w:hint="eastAsia" w:ascii="宋体" w:cs="宋体"/>
          <w:sz w:val="24"/>
        </w:rPr>
        <w:t xml:space="preserve">1.根据无锡市城市管理局、无锡市财政局印发的《关于2025年无锡市区环卫一体化作业招标工作的指导意见》锡城管发〔2025〕60号要求，本项目应配备符合无锡市市区环卫作业任务定额要求且专门服务于本次招投标项目的现有环卫专用道路作业机械。</w:t>
      </w:r>
      <w:r/>
    </w:p>
    <w:p>
      <w:pPr>
        <w:ind w:firstLine="480"/>
        <w:spacing w:line="360" w:lineRule="auto"/>
        <w:rPr>
          <w:rFonts w:ascii="宋体" w:cs="宋体"/>
          <w:sz w:val="24"/>
        </w:rPr>
      </w:pPr>
      <w:r>
        <w:rPr>
          <w:rFonts w:hint="eastAsia" w:ascii="宋体" w:cs="宋体"/>
          <w:sz w:val="24"/>
        </w:rPr>
        <w:t xml:space="preserve">2.为保证道路机械化清扫服务和应急保障，满足监管要求，投标供应商须在作业区域范围内有固定的环卫办公及机械、设备、车辆停放场所以及具有符合相关要求的无主垃圾和机扫垃圾临时存放点场地，具体要求如下：</w:t>
      </w:r>
      <w:r/>
    </w:p>
    <w:p>
      <w:pPr>
        <w:ind w:firstLine="482"/>
        <w:spacing w:line="360" w:lineRule="auto"/>
        <w:rPr>
          <w:rFonts w:ascii="宋体" w:hAnsi="宋体" w:cs="宋体"/>
          <w:sz w:val="24"/>
        </w:rPr>
      </w:pPr>
      <w:r>
        <w:rPr>
          <w:rFonts w:hint="eastAsia" w:ascii="宋体" w:cs="宋体"/>
          <w:b/>
          <w:sz w:val="24"/>
        </w:rPr>
        <w:t xml:space="preserve">第一片区（河埒街道（梁溪河北）、河埒街道（梁溪河南））：</w:t>
      </w:r>
      <w:r>
        <w:rPr>
          <w:rFonts w:hint="eastAsia" w:ascii="宋体" w:hAnsi="宋体" w:cs="宋体"/>
          <w:sz w:val="24"/>
        </w:rPr>
        <w:t xml:space="preserve">车辆停放场所场地面积2500平方米及以上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p>
    <w:p>
      <w:pPr>
        <w:ind w:firstLine="482"/>
        <w:spacing w:line="360" w:lineRule="auto"/>
        <w:rPr>
          <w:rFonts w:ascii="宋体" w:hAnsi="宋体" w:cs="宋体"/>
          <w:sz w:val="24"/>
        </w:rPr>
      </w:pPr>
      <w:r>
        <w:rPr>
          <w:rFonts w:hint="eastAsia" w:ascii="宋体" w:cs="宋体"/>
          <w:b/>
          <w:sz w:val="24"/>
        </w:rPr>
        <w:t xml:space="preserve">第二片区（荣巷街道）：</w:t>
      </w:r>
      <w:r>
        <w:rPr>
          <w:rFonts w:hint="eastAsia" w:ascii="宋体" w:hAnsi="宋体" w:cs="宋体"/>
          <w:sz w:val="24"/>
        </w:rPr>
        <w:t xml:space="preserve">车辆停放场所场地面积2000平方米及以上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p>
    <w:p>
      <w:pPr>
        <w:ind w:firstLine="482"/>
        <w:spacing w:line="360" w:lineRule="auto"/>
        <w:rPr>
          <w:rFonts w:ascii="宋体" w:hAnsi="宋体" w:cs="宋体"/>
          <w:sz w:val="24"/>
        </w:rPr>
      </w:pPr>
      <w:r>
        <w:rPr>
          <w:rFonts w:hint="eastAsia" w:ascii="宋体" w:cs="宋体"/>
          <w:b/>
          <w:sz w:val="24"/>
        </w:rPr>
        <w:t xml:space="preserve">第三片区（蠡园街道）：</w:t>
      </w:r>
      <w:r>
        <w:rPr>
          <w:rFonts w:hint="eastAsia" w:ascii="宋体" w:hAnsi="宋体" w:cs="宋体"/>
          <w:sz w:val="24"/>
        </w:rPr>
        <w:t xml:space="preserve">车辆停放场所场地面积1500平方米及以上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p>
    <w:p>
      <w:pPr>
        <w:ind w:firstLine="482"/>
        <w:spacing w:line="360" w:lineRule="auto"/>
        <w:rPr>
          <w:rFonts w:ascii="宋体" w:hAnsi="宋体" w:cs="宋体"/>
          <w:sz w:val="24"/>
        </w:rPr>
      </w:pPr>
      <w:r>
        <w:rPr>
          <w:rFonts w:hint="eastAsia" w:ascii="宋体" w:cs="宋体"/>
          <w:b/>
          <w:sz w:val="24"/>
        </w:rPr>
        <w:t xml:space="preserve">第四片区（蠡湖街道）：</w:t>
      </w:r>
      <w:r>
        <w:rPr>
          <w:rFonts w:hint="eastAsia" w:ascii="宋体" w:hAnsi="宋体" w:cs="宋体"/>
          <w:sz w:val="24"/>
        </w:rPr>
        <w:t xml:space="preserve">车辆停放场所场地面积2000平方米及以上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p>
    <w:p>
      <w:pPr>
        <w:ind w:firstLine="482"/>
        <w:spacing w:line="360" w:lineRule="auto"/>
        <w:rPr>
          <w:rFonts w:ascii="宋体" w:hAnsi="宋体" w:cs="宋体"/>
          <w:sz w:val="24"/>
        </w:rPr>
      </w:pPr>
      <w:r>
        <w:rPr>
          <w:rFonts w:hint="eastAsia" w:ascii="宋体" w:cs="宋体"/>
          <w:b/>
          <w:sz w:val="24"/>
        </w:rPr>
        <w:t xml:space="preserve">第五片区（雪浪街道）：</w:t>
      </w:r>
      <w:r>
        <w:rPr>
          <w:rFonts w:hint="eastAsia" w:ascii="宋体" w:hAnsi="宋体" w:cs="宋体"/>
          <w:sz w:val="24"/>
        </w:rPr>
        <w:t xml:space="preserve">车辆停放场所场地面积3000平方米及以上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p>
    <w:p>
      <w:pPr>
        <w:ind w:firstLine="482"/>
        <w:spacing w:line="360" w:lineRule="auto"/>
        <w:rPr>
          <w:rFonts w:ascii="宋体" w:hAnsi="宋体" w:cs="宋体"/>
          <w:sz w:val="24"/>
        </w:rPr>
      </w:pPr>
      <w:r>
        <w:rPr>
          <w:rFonts w:hint="eastAsia" w:ascii="宋体" w:cs="宋体"/>
          <w:b/>
          <w:sz w:val="24"/>
        </w:rPr>
        <w:t xml:space="preserve">第六片区（胡埭镇）：</w:t>
      </w:r>
      <w:r>
        <w:rPr>
          <w:rFonts w:hint="eastAsia" w:ascii="宋体" w:hAnsi="宋体" w:cs="宋体"/>
          <w:sz w:val="24"/>
        </w:rPr>
        <w:t xml:space="preserve">车辆停放场所场地面积2500平方米及以上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p>
    <w:p>
      <w:pPr>
        <w:ind w:firstLine="482"/>
        <w:spacing w:line="360" w:lineRule="auto"/>
        <w:rPr>
          <w:rFonts w:ascii="宋体" w:hAnsi="宋体" w:cs="宋体"/>
          <w:sz w:val="24"/>
        </w:rPr>
      </w:pPr>
      <w:r>
        <w:rPr>
          <w:rFonts w:hint="eastAsia" w:ascii="宋体" w:hAnsi="宋体" w:cs="宋体"/>
          <w:b/>
          <w:bCs/>
          <w:sz w:val="24"/>
        </w:rPr>
        <w:t xml:space="preserve">第七片区（马山街道）：</w:t>
      </w:r>
      <w:r>
        <w:rPr>
          <w:rFonts w:hint="eastAsia" w:ascii="宋体" w:hAnsi="宋体" w:cs="宋体"/>
          <w:sz w:val="24"/>
        </w:rPr>
        <w:t xml:space="preserve">车辆停放场所场地面积2000平方米及以上，无主垃圾及机扫垃圾临时存放点场地面积500平方米及以上。</w:t>
      </w:r>
      <w:r/>
    </w:p>
    <w:p>
      <w:pPr>
        <w:ind w:firstLine="480"/>
        <w:spacing w:line="360" w:lineRule="auto"/>
        <w:rPr>
          <w:rFonts w:ascii="宋体" w:cs="宋体"/>
          <w:sz w:val="24"/>
        </w:rPr>
      </w:pPr>
      <w:r>
        <w:rPr>
          <w:rFonts w:hint="eastAsia" w:ascii="宋体" w:hAnsi="宋体" w:cs="宋体"/>
          <w:sz w:val="24"/>
        </w:rPr>
        <w:t xml:space="preserve">注：以上七个片区</w:t>
      </w:r>
      <w:r>
        <w:rPr>
          <w:rFonts w:hint="eastAsia" w:ascii="宋体" w:cs="宋体"/>
          <w:sz w:val="24"/>
        </w:rPr>
        <w:t xml:space="preserve">场地地面应硬化、硬质铺装，无裸露泥土，现场雨污分流，污水接管。机扫垃圾合理合法</w:t>
      </w:r>
      <w:r>
        <w:rPr>
          <w:rFonts w:ascii="宋体" w:cs="宋体"/>
          <w:sz w:val="24"/>
        </w:rPr>
        <w:t xml:space="preserve">处置</w:t>
      </w:r>
      <w:r>
        <w:rPr>
          <w:rFonts w:hint="eastAsia" w:ascii="宋体" w:cs="宋体"/>
          <w:sz w:val="24"/>
        </w:rPr>
        <w:t xml:space="preserve">，并做到日产日清。</w:t>
      </w:r>
      <w:r/>
    </w:p>
    <w:p>
      <w:pPr>
        <w:ind w:firstLine="360"/>
        <w:spacing w:line="360" w:lineRule="auto"/>
        <w:rPr>
          <w:rFonts w:ascii="宋体" w:hAnsi="宋体" w:cs="Arial"/>
          <w:sz w:val="24"/>
        </w:rPr>
      </w:pPr>
      <w:r>
        <w:rPr>
          <w:rFonts w:hint="eastAsia" w:ascii="宋体" w:hAnsi="宋体" w:cs="Arial"/>
          <w:sz w:val="24"/>
        </w:rPr>
        <w:t xml:space="preserve">3.付款方式及说明</w:t>
      </w:r>
      <w:r/>
    </w:p>
    <w:p>
      <w:pPr>
        <w:ind w:firstLine="360"/>
        <w:spacing w:line="360" w:lineRule="auto"/>
        <w:rPr>
          <w:rFonts w:ascii="宋体" w:hAnsi="宋体" w:cs="Arial"/>
          <w:sz w:val="24"/>
        </w:rPr>
      </w:pPr>
      <w:r>
        <w:rPr>
          <w:rFonts w:hint="eastAsia" w:ascii="宋体" w:hAnsi="宋体"/>
          <w:sz w:val="24"/>
          <w:szCs w:val="24"/>
        </w:rPr>
        <w:t xml:space="preserve">（1）项目</w:t>
      </w:r>
      <w:r>
        <w:rPr>
          <w:rFonts w:hint="eastAsia" w:ascii="宋体" w:hAnsi="宋体" w:cs="Arial"/>
          <w:sz w:val="24"/>
        </w:rPr>
        <w:t xml:space="preserve">经费在服务期内每半年根据考核情况支付（合同签订后首次付款支付第一年合同金额的30%，并以每半年应支付的</w:t>
      </w:r>
      <w:r>
        <w:rPr>
          <w:rFonts w:hint="eastAsia" w:ascii="宋体" w:hAnsi="宋体"/>
          <w:sz w:val="24"/>
          <w:szCs w:val="24"/>
        </w:rPr>
        <w:t xml:space="preserve">项目</w:t>
      </w:r>
      <w:r>
        <w:rPr>
          <w:rFonts w:hint="eastAsia" w:ascii="宋体" w:hAnsi="宋体" w:cs="Arial"/>
          <w:sz w:val="24"/>
        </w:rPr>
        <w:t xml:space="preserve">经费进行抵扣，直至首次付款金额全额抵扣，首次付款金额未全部抵扣前不再另行支付</w:t>
      </w:r>
      <w:r>
        <w:rPr>
          <w:rFonts w:hint="eastAsia" w:ascii="宋体" w:hAnsi="宋体"/>
          <w:sz w:val="24"/>
          <w:szCs w:val="24"/>
        </w:rPr>
        <w:t xml:space="preserve">项目</w:t>
      </w:r>
      <w:r>
        <w:rPr>
          <w:rFonts w:hint="eastAsia" w:ascii="宋体" w:hAnsi="宋体" w:cs="Arial"/>
          <w:sz w:val="24"/>
        </w:rPr>
        <w:t xml:space="preserve">经费）。实际付款根据项目经费拨付流程进行。考核扣分标准参照《市政府关于推进无锡市区环卫一体化作业改革的实施意见》和《滨湖区环卫一体化作业质量监管考核实施意见》及附件《滨湖区环卫一体化作业质量检查考核标准》。</w:t>
      </w:r>
      <w:r/>
    </w:p>
    <w:p>
      <w:pPr>
        <w:ind w:firstLine="360"/>
        <w:spacing w:line="360" w:lineRule="auto"/>
      </w:pPr>
      <w:r>
        <w:rPr>
          <w:rFonts w:hint="eastAsia" w:ascii="宋体" w:hAnsi="宋体" w:cs="Arial"/>
          <w:sz w:val="24"/>
        </w:rPr>
        <w:t xml:space="preserve">（2）如因不可抗力因素造成合同无法履行的，采购人应根据服务合同按实际作业时间、任务支付给中标供应商任务经费；中标供应商须凭项目所在地税务机关开具的等额发票办理结算，采购人自收到中标供应商开具相应正规发票后三十日内支付。中标供应商单方终止合同的，剩余任务经费采购人不予给付。采购人根据区级相关文件规定及联合招标委托书，按资金承担主体统一申请并拨付给中标供应商，实际拨付按滨湖区资金拨付流程执行。</w:t>
      </w:r>
      <w:r/>
    </w:p>
    <w:p>
      <w:pPr>
        <w:ind w:firstLine="360"/>
        <w:spacing w:line="360" w:lineRule="auto"/>
        <w:rPr>
          <w:rFonts w:ascii="宋体" w:hAnsi="宋体"/>
          <w:sz w:val="24"/>
          <w:shd w:val="clear" w:color="auto" w:fill="ffffff"/>
        </w:rPr>
      </w:pPr>
      <w:r>
        <w:rPr>
          <w:rFonts w:hint="eastAsia" w:ascii="宋体" w:hAnsi="宋体"/>
          <w:sz w:val="24"/>
          <w:shd w:val="clear" w:color="auto" w:fill="ffffff"/>
        </w:rPr>
        <w:t xml:space="preserve">4.履约保证金</w:t>
      </w:r>
      <w:r/>
    </w:p>
    <w:p>
      <w:pPr>
        <w:ind w:firstLine="360"/>
        <w:spacing w:line="360" w:lineRule="auto"/>
        <w:rPr>
          <w:rFonts w:ascii="宋体" w:hAnsi="宋体" w:cs="Arial"/>
          <w:sz w:val="24"/>
        </w:rPr>
      </w:pPr>
      <w:r>
        <w:rPr>
          <w:rFonts w:hint="eastAsia" w:ascii="宋体" w:hAnsi="宋体" w:cs="Arial"/>
          <w:sz w:val="24"/>
        </w:rPr>
        <w:t xml:space="preserve">（1）履约保证金的缴纳：本项目采购人要求中标供应商缴纳履约保证金。履约保证金金额为三年合同总金额的10%。供应商应自主选择以支票、汇票、本票、保函等非现金形式缴纳或提交。履约保证金须自采购合同签订完成之日起30日内缴纳。</w:t>
      </w:r>
      <w:r/>
    </w:p>
    <w:p>
      <w:pPr>
        <w:ind w:firstLine="360"/>
        <w:spacing w:line="360" w:lineRule="auto"/>
        <w:rPr>
          <w:rFonts w:ascii="宋体" w:hAnsi="宋体" w:cs="Arial"/>
          <w:sz w:val="24"/>
        </w:rPr>
      </w:pPr>
      <w:r>
        <w:rPr>
          <w:rFonts w:hint="eastAsia" w:ascii="宋体" w:hAnsi="宋体" w:cs="Arial"/>
          <w:sz w:val="24"/>
        </w:rPr>
        <w:t xml:space="preserve">（2）履约保证金的退付：</w:t>
      </w:r>
      <w:r/>
    </w:p>
    <w:p>
      <w:pPr>
        <w:ind w:firstLine="480"/>
        <w:spacing w:line="360" w:lineRule="auto"/>
        <w:rPr>
          <w:rFonts w:ascii="宋体" w:hAnsi="宋体" w:cs="Arial"/>
          <w:sz w:val="24"/>
        </w:rPr>
      </w:pPr>
      <w:r>
        <w:rPr>
          <w:rFonts w:hint="eastAsia" w:ascii="宋体" w:hAnsi="宋体" w:cs="Arial"/>
          <w:sz w:val="24"/>
        </w:rPr>
        <w:t xml:space="preserve">1）本项目合同履行期限（三年）满后 30 天内，根据中标供应商履约情况，经采购人确认，中标供应商无任何违约或违法行为，也未给采购人造成损失的，采购人应将履约保证金无息退还给中标供应商。</w:t>
      </w:r>
      <w:r/>
    </w:p>
    <w:p>
      <w:pPr>
        <w:ind w:firstLine="480"/>
        <w:spacing w:line="360" w:lineRule="auto"/>
        <w:rPr>
          <w:rFonts w:ascii="宋体" w:hAnsi="宋体" w:cs="Arial"/>
          <w:sz w:val="24"/>
        </w:rPr>
      </w:pPr>
      <w:r>
        <w:rPr>
          <w:rFonts w:hint="eastAsia" w:ascii="宋体" w:hAnsi="宋体" w:cs="Arial"/>
          <w:sz w:val="24"/>
        </w:rPr>
        <w:t xml:space="preserve">2）若中标供应商在履约过程中给采购人造成损失的，采购人有权视情节严重程度，在履约保证金中直接扣除相应的赔偿金、违约金或其他可能产生的费用，剩余部分（如有）退还给中标供应商；履约保证金不足以弥补采购人损失的，采购人有权继续向中标供应商追偿。</w:t>
      </w:r>
      <w:r/>
    </w:p>
    <w:p>
      <w:pPr>
        <w:ind w:firstLine="360"/>
        <w:spacing w:line="360" w:lineRule="auto"/>
        <w:rPr>
          <w:rFonts w:ascii="宋体" w:hAnsi="宋体" w:cs="Arial"/>
          <w:sz w:val="24"/>
        </w:rPr>
      </w:pPr>
      <w:r>
        <w:rPr>
          <w:rFonts w:hint="eastAsia" w:ascii="宋体" w:hAnsi="宋体" w:cs="Arial"/>
          <w:sz w:val="24"/>
        </w:rPr>
        <w:t xml:space="preserve">（3）履约保证金不予退还的情形：</w:t>
      </w:r>
      <w:r/>
    </w:p>
    <w:p>
      <w:pPr>
        <w:ind w:firstLine="360"/>
        <w:spacing w:line="360" w:lineRule="auto"/>
        <w:rPr>
          <w:rFonts w:ascii="宋体" w:hAnsi="宋体" w:cs="Arial"/>
          <w:sz w:val="24"/>
        </w:rPr>
      </w:pPr>
      <w:r>
        <w:rPr>
          <w:rFonts w:hint="eastAsia" w:ascii="宋体" w:hAnsi="宋体" w:cs="Arial"/>
          <w:sz w:val="24"/>
        </w:rPr>
        <w:t xml:space="preserve">除另有规定外，在出现下列情况之一时，中标供应商的履约保证金将被采购人全部或部分没收：</w:t>
      </w:r>
      <w:r/>
    </w:p>
    <w:p>
      <w:pPr>
        <w:ind w:firstLine="420"/>
        <w:spacing w:line="360" w:lineRule="auto"/>
        <w:rPr>
          <w:rFonts w:ascii="宋体" w:hAnsi="宋体"/>
          <w:sz w:val="24"/>
        </w:rPr>
      </w:pPr>
      <w:r>
        <w:rPr>
          <w:rFonts w:hint="eastAsia" w:ascii="宋体" w:hAnsi="宋体"/>
          <w:sz w:val="24"/>
        </w:rPr>
        <w:t xml:space="preserve">1）擅自将采购人所有的以及交由中标供应商所经营管理的资产进行处置或者抵押的。</w:t>
      </w:r>
      <w:r/>
    </w:p>
    <w:p>
      <w:pPr>
        <w:ind w:firstLine="420"/>
        <w:spacing w:line="360" w:lineRule="auto"/>
        <w:rPr>
          <w:rFonts w:ascii="宋体" w:hAnsi="宋体"/>
          <w:sz w:val="24"/>
        </w:rPr>
      </w:pPr>
      <w:r>
        <w:rPr>
          <w:rFonts w:hint="eastAsia" w:ascii="宋体" w:hAnsi="宋体"/>
          <w:sz w:val="24"/>
        </w:rPr>
        <w:t xml:space="preserve">2）中标供应商同一片区当月得分小于70分或者连续两个月得分小于80分的。</w:t>
      </w:r>
      <w:r/>
    </w:p>
    <w:p>
      <w:pPr>
        <w:ind w:firstLine="420"/>
        <w:spacing w:line="360" w:lineRule="auto"/>
        <w:rPr>
          <w:rFonts w:ascii="宋体" w:hAnsi="宋体"/>
          <w:sz w:val="24"/>
        </w:rPr>
      </w:pPr>
      <w:r>
        <w:rPr>
          <w:rFonts w:hint="eastAsia" w:ascii="宋体" w:hAnsi="宋体"/>
          <w:sz w:val="24"/>
        </w:rPr>
        <w:t xml:space="preserve">3）在政府部门组织的测评中，中标供应商管理作业方面存在明显重大过错或失误，在测评中环境卫生方面严重失分导致考核结果不通过的。</w:t>
      </w:r>
      <w:r/>
    </w:p>
    <w:p>
      <w:pPr>
        <w:ind w:firstLine="420"/>
        <w:spacing w:line="360" w:lineRule="auto"/>
        <w:rPr>
          <w:rFonts w:ascii="宋体" w:hAnsi="宋体"/>
          <w:sz w:val="24"/>
        </w:rPr>
      </w:pPr>
      <w:r>
        <w:rPr>
          <w:rFonts w:hint="eastAsia" w:ascii="宋体" w:hAnsi="宋体"/>
          <w:sz w:val="24"/>
        </w:rPr>
        <w:t xml:space="preserve">4）中标供应商因管理不善、发生生产安全事故的。</w:t>
      </w:r>
      <w:r/>
    </w:p>
    <w:p>
      <w:pPr>
        <w:ind w:firstLine="420"/>
        <w:spacing w:line="360" w:lineRule="auto"/>
        <w:rPr>
          <w:rFonts w:ascii="宋体" w:hAnsi="宋体"/>
          <w:sz w:val="24"/>
        </w:rPr>
      </w:pPr>
      <w:r>
        <w:rPr>
          <w:rFonts w:hint="eastAsia" w:ascii="宋体" w:hAnsi="宋体"/>
          <w:sz w:val="24"/>
        </w:rPr>
        <w:t xml:space="preserve">5）中标供应商出现连续欠薪两个月或连续12个月内累计发生三次以上（含三次）欠薪情况的，导致员工投诉、上访、仲裁、诉讼或影响项目正常运行的。</w:t>
      </w:r>
      <w:r/>
    </w:p>
    <w:p>
      <w:pPr>
        <w:ind w:firstLine="420"/>
        <w:spacing w:line="360" w:lineRule="auto"/>
        <w:rPr>
          <w:rFonts w:ascii="宋体" w:hAnsi="宋体"/>
          <w:sz w:val="24"/>
        </w:rPr>
      </w:pPr>
      <w:r>
        <w:rPr>
          <w:rFonts w:hint="eastAsia" w:ascii="宋体" w:hAnsi="宋体"/>
          <w:sz w:val="24"/>
        </w:rPr>
        <w:t xml:space="preserve">6）中标供应商擅自停业、歇业。</w:t>
      </w:r>
      <w:r/>
    </w:p>
    <w:p>
      <w:pPr>
        <w:ind w:firstLine="420"/>
        <w:spacing w:line="360" w:lineRule="auto"/>
        <w:rPr>
          <w:rFonts w:ascii="宋体" w:hAnsi="宋体"/>
          <w:sz w:val="24"/>
        </w:rPr>
      </w:pPr>
      <w:r>
        <w:rPr>
          <w:rFonts w:hint="eastAsia" w:ascii="宋体" w:hAnsi="宋体"/>
          <w:sz w:val="24"/>
        </w:rPr>
        <w:t xml:space="preserve">7）中标供应商合同重要条款未履行达标且收到书面整改通知后未按通知限期整改的。</w:t>
      </w:r>
      <w:r/>
    </w:p>
    <w:p>
      <w:pPr>
        <w:ind w:firstLine="420"/>
        <w:spacing w:line="360" w:lineRule="auto"/>
        <w:rPr>
          <w:rFonts w:ascii="宋体" w:hAnsi="宋体"/>
          <w:sz w:val="24"/>
        </w:rPr>
      </w:pPr>
      <w:r>
        <w:rPr>
          <w:rFonts w:hint="eastAsia" w:ascii="宋体" w:hAnsi="宋体"/>
          <w:sz w:val="24"/>
        </w:rPr>
        <w:t xml:space="preserve">8）中标供应商服务期间如被列入“信用中国”记录失信被执行人或重大税收违法失信主体，或发生法律、法规禁止的其他行为或有犯罪行为等的。</w:t>
      </w:r>
      <w:r/>
    </w:p>
    <w:p>
      <w:pPr>
        <w:ind w:firstLine="420"/>
        <w:spacing w:line="360" w:lineRule="auto"/>
        <w:rPr>
          <w:rFonts w:ascii="宋体" w:hAnsi="宋体"/>
          <w:sz w:val="24"/>
        </w:rPr>
      </w:pPr>
      <w:r>
        <w:rPr>
          <w:rFonts w:hint="eastAsia" w:ascii="宋体" w:hAnsi="宋体"/>
          <w:sz w:val="24"/>
        </w:rPr>
        <w:t xml:space="preserve">9）将中标项目转包给他人，或者在投标文件中未说明，且未经过采购人同意，将中标项目分包给他人的。</w:t>
      </w:r>
      <w:r/>
    </w:p>
    <w:p>
      <w:pPr>
        <w:ind w:firstLine="360"/>
        <w:spacing w:line="360" w:lineRule="auto"/>
        <w:rPr>
          <w:rFonts w:ascii="宋体" w:hAnsi="宋体" w:cs="Arial"/>
          <w:sz w:val="24"/>
        </w:rPr>
      </w:pPr>
      <w:r>
        <w:rPr>
          <w:rFonts w:hint="eastAsia" w:ascii="宋体" w:hAnsi="宋体" w:cs="Arial"/>
          <w:sz w:val="24"/>
        </w:rPr>
        <w:t xml:space="preserve">10）法律、法规规定的其他不予退还履约保证金的情形。</w:t>
      </w:r>
      <w:r/>
    </w:p>
    <w:p>
      <w:pPr>
        <w:jc w:val="left"/>
        <w:spacing w:line="360" w:lineRule="auto"/>
        <w:rPr>
          <w:rFonts w:ascii="宋体" w:hAnsi="宋体"/>
          <w:b/>
          <w:bCs/>
          <w:sz w:val="28"/>
        </w:rPr>
      </w:pPr>
      <w:r>
        <w:rPr>
          <w:rFonts w:hint="eastAsia" w:ascii="宋体" w:hAnsi="宋体"/>
          <w:b/>
          <w:bCs/>
          <w:sz w:val="28"/>
        </w:rPr>
        <w:t xml:space="preserve">（八）采购需求相关附件：</w:t>
      </w:r>
      <w:r/>
    </w:p>
    <w:p>
      <w:pPr>
        <w:rPr>
          <w:rFonts w:ascii="宋体" w:hAnsi="宋体" w:cs="宋体"/>
          <w:b/>
          <w:bCs/>
          <w:color w:val="000000"/>
          <w:sz w:val="24"/>
          <w:szCs w:val="24"/>
        </w:rPr>
        <w:sectPr>
          <w:footerReference w:type="default" r:id="rId19"/>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ascii="宋体" w:hAnsi="宋体" w:cs="Arial"/>
          <w:sz w:val="24"/>
        </w:rPr>
        <w:t xml:space="preserve">附件1：滨湖区环卫一体化作业任务量（另附电子稿附件）</w:t>
      </w:r>
      <w:bookmarkEnd w:id="6"/>
      <w:r/>
      <w:r/>
    </w:p>
    <w:p>
      <w:pPr>
        <w:jc w:val="center"/>
        <w:spacing w:line="360" w:lineRule="auto"/>
        <w:rPr>
          <w:rFonts w:ascii="宋体" w:hAnsi="宋体" w:cs="宋体"/>
          <w:b/>
          <w:color w:val="000000"/>
          <w:sz w:val="32"/>
          <w:szCs w:val="32"/>
        </w:rPr>
        <w:outlineLvl w:val="0"/>
      </w:pPr>
      <w:r/>
      <w:bookmarkStart w:id="13" w:name="_Toc12076"/>
      <w:r/>
      <w:bookmarkStart w:id="14" w:name="_Toc245033596"/>
      <w:r>
        <w:rPr>
          <w:rFonts w:hint="eastAsia" w:ascii="宋体" w:hAnsi="宋体" w:cs="宋体"/>
          <w:b/>
          <w:color w:val="000000"/>
          <w:sz w:val="32"/>
          <w:szCs w:val="32"/>
        </w:rPr>
        <w:t xml:space="preserve">四、合同书</w:t>
      </w:r>
      <w:bookmarkEnd w:id="13"/>
      <w:r/>
      <w:bookmarkEnd w:id="14"/>
      <w:r/>
    </w:p>
    <w:p>
      <w:pPr>
        <w:jc w:val="center"/>
        <w:spacing w:line="360" w:lineRule="auto"/>
        <w:rPr>
          <w:rFonts w:ascii="宋体" w:hAnsi="宋体" w:cs="宋体"/>
          <w:b/>
          <w:bCs/>
          <w:sz w:val="30"/>
          <w:szCs w:val="30"/>
        </w:rPr>
      </w:pPr>
      <w:r>
        <w:rPr>
          <w:rFonts w:hint="eastAsia" w:ascii="宋体" w:hAnsi="宋体" w:cs="宋体"/>
          <w:b/>
          <w:bCs/>
          <w:sz w:val="30"/>
          <w:szCs w:val="30"/>
        </w:rPr>
        <w:t xml:space="preserve">滨湖区环卫一体化作业服务项目合同</w:t>
      </w:r>
      <w:r/>
    </w:p>
    <w:p>
      <w:pPr>
        <w:ind w:firstLine="480"/>
        <w:jc w:val="left"/>
        <w:spacing w:line="360" w:lineRule="auto"/>
        <w:rPr>
          <w:rFonts w:ascii="宋体" w:hAnsi="宋体" w:cs="宋体"/>
          <w:sz w:val="24"/>
        </w:rPr>
      </w:pPr>
      <w:r>
        <w:rPr>
          <w:rFonts w:hint="eastAsia" w:ascii="宋体" w:hAnsi="宋体" w:cs="宋体"/>
          <w:sz w:val="24"/>
        </w:rPr>
        <w:t xml:space="preserve">甲方</w:t>
      </w:r>
      <w:r>
        <w:rPr>
          <w:rFonts w:hint="eastAsia" w:ascii="宋体" w:hAnsi="宋体" w:cs="宋体"/>
          <w:bCs/>
          <w:sz w:val="24"/>
          <w:szCs w:val="24"/>
        </w:rPr>
        <w:t xml:space="preserve">（采购人）</w:t>
      </w:r>
      <w:r>
        <w:rPr>
          <w:rFonts w:hint="eastAsia" w:ascii="宋体" w:hAnsi="宋体" w:cs="宋体"/>
          <w:sz w:val="24"/>
        </w:rPr>
        <w:t xml:space="preserve">：</w:t>
      </w:r>
      <w:r>
        <w:rPr>
          <w:rFonts w:hint="eastAsia" w:ascii="宋体" w:hAnsi="宋体" w:cs="宋体"/>
          <w:sz w:val="24"/>
          <w:u w:val="single"/>
        </w:rPr>
        <w:t xml:space="preserve">无锡市滨湖区城市管理局 </w:t>
      </w:r>
      <w:r/>
    </w:p>
    <w:p>
      <w:pPr>
        <w:ind w:firstLine="480"/>
        <w:jc w:val="left"/>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bCs/>
          <w:sz w:val="24"/>
          <w:szCs w:val="24"/>
        </w:rPr>
        <w:t xml:space="preserve">（中标方）</w:t>
      </w:r>
      <w:r>
        <w:rPr>
          <w:rFonts w:hint="eastAsia" w:ascii="宋体" w:hAnsi="宋体" w:cs="宋体"/>
          <w:sz w:val="24"/>
        </w:rPr>
        <w:t xml:space="preserve">：</w:t>
      </w:r>
      <w:r/>
    </w:p>
    <w:p>
      <w:pPr>
        <w:jc w:val="left"/>
        <w:spacing w:line="360" w:lineRule="auto"/>
        <w:rPr>
          <w:rFonts w:ascii="宋体" w:hAnsi="宋体" w:cs="Arial"/>
          <w:sz w:val="24"/>
        </w:rPr>
      </w:pPr>
      <w:r>
        <w:rPr>
          <w:rFonts w:hint="eastAsia" w:ascii="宋体" w:hAnsi="宋体" w:cs="Arial"/>
          <w:sz w:val="24"/>
        </w:rPr>
        <w:t xml:space="preserve">    为加快推进环卫作业市场规范发展，全面提高环境卫生服务质量，创造良好的人居环境。通过面向社会公开招标，乙方获得</w:t>
      </w:r>
      <w:r>
        <w:rPr>
          <w:rFonts w:hint="eastAsia" w:ascii="宋体" w:hAnsi="宋体" w:cs="Arial"/>
          <w:sz w:val="24"/>
          <w:u w:val="single"/>
        </w:rPr>
        <w:t xml:space="preserve">滨湖区环卫一体化作业服务项目</w:t>
      </w:r>
      <w:r>
        <w:rPr>
          <w:rFonts w:hint="eastAsia" w:ascii="宋体" w:hAnsi="宋体" w:cs="Arial"/>
          <w:sz w:val="24"/>
        </w:rPr>
        <w:t xml:space="preserve">作业任务。经甲乙双方协商一致，订立服务合同如下：</w:t>
      </w:r>
      <w:r/>
    </w:p>
    <w:p>
      <w:pPr>
        <w:jc w:val="left"/>
        <w:spacing w:line="360" w:lineRule="auto"/>
        <w:rPr>
          <w:rFonts w:ascii="宋体" w:hAnsi="宋体" w:cs="Arial"/>
          <w:sz w:val="24"/>
        </w:rPr>
      </w:pPr>
      <w:r>
        <w:rPr>
          <w:rFonts w:hint="eastAsia" w:ascii="宋体" w:hAnsi="宋体" w:cs="Arial"/>
          <w:b/>
          <w:bCs/>
          <w:sz w:val="24"/>
        </w:rPr>
        <w:t xml:space="preserve">一、环卫一体化作业任务</w:t>
      </w:r>
      <w:r/>
    </w:p>
    <w:p>
      <w:pPr>
        <w:ind w:firstLine="480"/>
        <w:jc w:val="left"/>
        <w:spacing w:line="360" w:lineRule="auto"/>
        <w:rPr>
          <w:rFonts w:ascii="宋体" w:hAnsi="宋体" w:cs="Arial"/>
          <w:sz w:val="24"/>
        </w:rPr>
      </w:pPr>
      <w:r>
        <w:rPr>
          <w:rFonts w:hint="eastAsia" w:ascii="宋体" w:hAnsi="宋体" w:cs="Arial"/>
          <w:sz w:val="24"/>
        </w:rPr>
        <w:t xml:space="preserve">滨湖区环卫一体化作业服务项目，详见附件二</w:t>
      </w:r>
      <w:r/>
    </w:p>
    <w:p>
      <w:pPr>
        <w:jc w:val="left"/>
        <w:spacing w:line="360" w:lineRule="auto"/>
        <w:rPr>
          <w:rFonts w:ascii="宋体" w:hAnsi="宋体" w:cs="Arial"/>
          <w:b/>
          <w:bCs/>
          <w:sz w:val="24"/>
        </w:rPr>
      </w:pPr>
      <w:r>
        <w:rPr>
          <w:rFonts w:hint="eastAsia" w:ascii="宋体" w:hAnsi="宋体" w:cs="Arial"/>
          <w:b/>
          <w:bCs/>
          <w:sz w:val="24"/>
        </w:rPr>
        <w:t xml:space="preserve">二、服务期限</w:t>
      </w:r>
      <w:r/>
    </w:p>
    <w:p>
      <w:pPr>
        <w:ind w:firstLine="480"/>
        <w:jc w:val="left"/>
        <w:spacing w:line="360" w:lineRule="auto"/>
        <w:rPr>
          <w:rFonts w:ascii="宋体" w:hAnsi="宋体" w:cs="Arial"/>
          <w:sz w:val="24"/>
          <w:u w:val="single"/>
        </w:rPr>
      </w:pPr>
      <w:r>
        <w:rPr>
          <w:rFonts w:hint="eastAsia" w:ascii="宋体" w:hAnsi="宋体" w:cs="Arial"/>
          <w:sz w:val="24"/>
        </w:rPr>
        <w:t xml:space="preserve">1.乙方环卫一体化服务期限自20</w:t>
      </w:r>
      <w:r>
        <w:rPr>
          <w:rFonts w:ascii="宋体" w:hAnsi="宋体" w:cs="Arial"/>
          <w:sz w:val="24"/>
        </w:rPr>
        <w:t xml:space="preserve">2</w:t>
      </w:r>
      <w:r>
        <w:rPr>
          <w:rFonts w:hint="eastAsia" w:ascii="宋体" w:hAnsi="宋体" w:cs="Arial"/>
          <w:sz w:val="24"/>
        </w:rPr>
        <w:t xml:space="preserve">6年月日至20</w:t>
      </w:r>
      <w:r>
        <w:rPr>
          <w:rFonts w:ascii="宋体" w:hAnsi="宋体" w:cs="Arial"/>
          <w:sz w:val="24"/>
        </w:rPr>
        <w:t xml:space="preserve">2</w:t>
      </w:r>
      <w:r>
        <w:rPr>
          <w:rFonts w:hint="eastAsia" w:ascii="宋体" w:hAnsi="宋体" w:cs="Arial"/>
          <w:sz w:val="24"/>
        </w:rPr>
        <w:t xml:space="preserve">8年月日结束,总计</w:t>
      </w:r>
      <w:r>
        <w:rPr>
          <w:rFonts w:hint="eastAsia" w:ascii="宋体" w:hAnsi="宋体" w:cs="Arial"/>
          <w:sz w:val="24"/>
          <w:u w:val="single"/>
        </w:rPr>
        <w:t xml:space="preserve">三年。</w:t>
      </w:r>
      <w:r/>
    </w:p>
    <w:p>
      <w:pPr>
        <w:ind w:firstLine="480"/>
        <w:jc w:val="left"/>
        <w:spacing w:line="360" w:lineRule="auto"/>
        <w:rPr>
          <w:rFonts w:ascii="宋体" w:hAnsi="宋体" w:cs="Arial"/>
          <w:sz w:val="24"/>
        </w:rPr>
      </w:pPr>
      <w:r>
        <w:rPr>
          <w:rFonts w:hint="eastAsia" w:ascii="宋体" w:hAnsi="宋体" w:cs="Arial"/>
          <w:sz w:val="24"/>
        </w:rPr>
        <w:t xml:space="preserve">2.服务期限届满后，若下一轮采购工作尚未完成，或因项目交接等需要，甲方可要求乙方在合理期限内继续按本合同约定的条件和标准提供服务，乙方应积极配合，不得以合同期满为由中断服务，否则甲方有权没收履约保证金且不予结算尚未支付的费用，具体事宜届时由双方另行协商确定。</w:t>
      </w:r>
      <w:r/>
    </w:p>
    <w:p>
      <w:pPr>
        <w:jc w:val="left"/>
        <w:spacing w:line="360" w:lineRule="auto"/>
        <w:rPr>
          <w:rFonts w:ascii="宋体" w:hAnsi="宋体" w:cs="Arial"/>
          <w:b/>
          <w:bCs/>
          <w:sz w:val="24"/>
        </w:rPr>
      </w:pPr>
      <w:r>
        <w:rPr>
          <w:rFonts w:hint="eastAsia" w:ascii="宋体" w:hAnsi="宋体" w:cs="Arial"/>
          <w:b/>
          <w:bCs/>
          <w:sz w:val="24"/>
        </w:rPr>
        <w:t xml:space="preserve">三、保洁经费及付款方法</w:t>
      </w:r>
      <w:r/>
    </w:p>
    <w:p>
      <w:pPr>
        <w:ind w:firstLine="480"/>
        <w:jc w:val="left"/>
        <w:spacing w:line="360" w:lineRule="auto"/>
        <w:rPr>
          <w:rFonts w:ascii="宋体" w:hAnsi="宋体" w:cs="Arial"/>
          <w:sz w:val="24"/>
        </w:rPr>
      </w:pPr>
      <w:r>
        <w:rPr>
          <w:rFonts w:hint="eastAsia" w:ascii="宋体" w:hAnsi="宋体" w:cs="Arial"/>
          <w:sz w:val="24"/>
        </w:rPr>
        <w:t xml:space="preserve">1.经费标准</w:t>
      </w:r>
      <w:r/>
    </w:p>
    <w:p>
      <w:pPr>
        <w:pStyle w:val="854"/>
        <w:ind w:firstLine="480"/>
        <w:spacing w:line="360" w:lineRule="auto"/>
        <w:rPr>
          <w:rFonts w:ascii="宋体" w:hAnsi="宋体" w:cs="Arial"/>
          <w:sz w:val="24"/>
        </w:rPr>
      </w:pPr>
      <w:r>
        <w:rPr>
          <w:rFonts w:hint="eastAsia" w:ascii="宋体" w:hAnsi="宋体" w:cs="Arial"/>
          <w:sz w:val="24"/>
        </w:rPr>
        <w:t xml:space="preserve">乙方中标总金额（三年总金额）为万元（大写）；元（小写）</w:t>
      </w:r>
      <w:r/>
    </w:p>
    <w:p>
      <w:pPr>
        <w:pStyle w:val="854"/>
        <w:ind w:firstLine="480"/>
        <w:spacing w:line="360" w:lineRule="auto"/>
        <w:rPr>
          <w:rFonts w:ascii="宋体" w:hAnsi="宋体" w:cs="Arial"/>
          <w:sz w:val="24"/>
          <w:szCs w:val="24"/>
        </w:rPr>
      </w:pPr>
      <w:r>
        <w:rPr>
          <w:rFonts w:hint="eastAsia" w:ascii="宋体" w:hAnsi="宋体" w:cs="Arial"/>
          <w:sz w:val="24"/>
          <w:szCs w:val="24"/>
        </w:rPr>
        <w:t xml:space="preserve">乙方中标年合同金额为：</w:t>
      </w:r>
      <w:r>
        <w:rPr>
          <w:rFonts w:hint="eastAsia" w:ascii="宋体" w:hAnsi="宋体" w:cs="Arial"/>
          <w:sz w:val="24"/>
        </w:rPr>
        <w:t xml:space="preserve">万元（大写）；元（小写）</w:t>
      </w:r>
      <w:r>
        <w:rPr>
          <w:rFonts w:hint="eastAsia" w:ascii="宋体" w:hAnsi="宋体" w:cs="Arial"/>
          <w:sz w:val="24"/>
          <w:szCs w:val="24"/>
        </w:rPr>
        <w:t xml:space="preserve">。</w:t>
      </w:r>
      <w:r/>
    </w:p>
    <w:p>
      <w:pPr>
        <w:ind w:firstLine="482"/>
        <w:jc w:val="left"/>
        <w:spacing w:line="360" w:lineRule="auto"/>
        <w:rPr>
          <w:rFonts w:ascii="宋体" w:hAnsi="宋体" w:cs="Arial"/>
          <w:sz w:val="24"/>
          <w:szCs w:val="24"/>
        </w:rPr>
      </w:pPr>
      <w:r>
        <w:rPr>
          <w:rFonts w:hint="eastAsia" w:ascii="宋体" w:hAnsi="宋体" w:cs="Arial"/>
          <w:b/>
          <w:bCs/>
          <w:sz w:val="24"/>
          <w:szCs w:val="24"/>
        </w:rPr>
        <w:t xml:space="preserve">注：以上费用</w:t>
      </w:r>
      <w:r>
        <w:rPr>
          <w:rFonts w:hint="eastAsia" w:ascii="宋体" w:hAnsi="宋体" w:cs="Arial"/>
          <w:b/>
          <w:bCs/>
          <w:sz w:val="24"/>
        </w:rPr>
        <w:t xml:space="preserve">包含乙方为履行本合同项下义务所产生的人工、设备、耗材、税金、合理利润等一切费用，非经甲方书面同意，该经费标准及合同总价不再予以调整。其中化粪池粪便运输量为暂估量，最终按实结算。</w:t>
      </w:r>
      <w:r/>
    </w:p>
    <w:p>
      <w:pPr>
        <w:ind w:firstLine="480"/>
        <w:spacing w:line="360" w:lineRule="auto"/>
        <w:rPr>
          <w:rFonts w:ascii="宋体" w:hAnsi="宋体"/>
          <w:sz w:val="24"/>
          <w:szCs w:val="24"/>
        </w:rPr>
      </w:pPr>
      <w:r>
        <w:rPr>
          <w:rFonts w:hint="eastAsia" w:ascii="宋体" w:hAnsi="宋体" w:cs="Arial"/>
          <w:sz w:val="24"/>
        </w:rPr>
        <w:t xml:space="preserve">2.付款方法：</w:t>
      </w:r>
      <w:r>
        <w:rPr>
          <w:rFonts w:hint="eastAsia" w:ascii="宋体" w:hAnsi="宋体"/>
          <w:sz w:val="24"/>
          <w:szCs w:val="24"/>
        </w:rPr>
        <w:t xml:space="preserve">项目经费在服务期内每半年根据考核情况支付（合同签订后首次付款支付第一年合同金额的30%，并以每半年应支付的项目经费进行抵扣，直至首次付款金额全额抵扣，首次付款金额未全部抵扣前不再另行支付项目经费）。实际付款根据项目经费拨付流程进行。考核扣分标准参照《市政府关于推进无锡市区环卫一体化作业改革的实施意见》和《滨湖区环卫一体化作业质量监管考核实施意见》及附件《滨湖区环卫一体化作业质量检查考核标准》。</w:t>
      </w:r>
      <w:r/>
    </w:p>
    <w:p>
      <w:pPr>
        <w:ind w:firstLine="480"/>
        <w:spacing w:line="360" w:lineRule="auto"/>
        <w:rPr>
          <w:rFonts w:ascii="宋体" w:hAnsi="宋体" w:cs="Arial"/>
          <w:sz w:val="24"/>
        </w:rPr>
      </w:pPr>
      <w:r>
        <w:rPr>
          <w:rFonts w:hint="eastAsia" w:ascii="宋体" w:hAnsi="宋体" w:cs="Arial"/>
          <w:sz w:val="24"/>
        </w:rPr>
        <w:t xml:space="preserve">3.不可抗力及终止情形下的结算</w:t>
      </w:r>
      <w:r/>
    </w:p>
    <w:p>
      <w:pPr>
        <w:ind w:firstLine="480"/>
        <w:spacing w:line="360" w:lineRule="auto"/>
        <w:rPr>
          <w:rFonts w:ascii="宋体" w:hAnsi="宋体" w:cs="Arial"/>
          <w:sz w:val="24"/>
        </w:rPr>
      </w:pPr>
      <w:r>
        <w:rPr>
          <w:rFonts w:hint="eastAsia" w:ascii="宋体" w:hAnsi="宋体" w:cs="Arial"/>
          <w:sz w:val="24"/>
        </w:rPr>
        <w:t xml:space="preserve">如因不可抗力因素造成合同无法履行的，甲方应根据服务合同按实际作业时间、任务支付给乙方任务经费；乙方须凭项目所在地税务机关开具的等额发票办理结算，甲方自收到乙方开具相应正规发票后三十日内支付。乙方单方终止合同的，剩余任务经费甲方不予给付。甲方根据区级相关文件规定及联合招标委托书，按资金承担主体统一申请并拨付给乙方，实际拨付按滨湖区资金拨付流程执行。</w:t>
      </w:r>
      <w:r/>
    </w:p>
    <w:p>
      <w:pPr>
        <w:spacing w:line="360" w:lineRule="auto"/>
        <w:rPr>
          <w:rFonts w:ascii="宋体" w:hAnsi="宋体" w:cs="Arial"/>
          <w:b/>
          <w:bCs/>
          <w:sz w:val="24"/>
        </w:rPr>
      </w:pPr>
      <w:r>
        <w:rPr>
          <w:rFonts w:hint="eastAsia" w:ascii="宋体" w:hAnsi="宋体" w:cs="Arial"/>
          <w:b/>
          <w:bCs/>
          <w:sz w:val="24"/>
        </w:rPr>
        <w:t xml:space="preserve">四、道路综合保洁规范及质量标准 </w:t>
      </w:r>
      <w:r/>
    </w:p>
    <w:p>
      <w:pPr>
        <w:ind w:firstLine="480"/>
        <w:jc w:val="left"/>
        <w:spacing w:line="360" w:lineRule="auto"/>
        <w:rPr>
          <w:rFonts w:ascii="宋体" w:hAnsi="宋体"/>
          <w:bCs/>
          <w:sz w:val="24"/>
        </w:rPr>
      </w:pPr>
      <w:r>
        <w:rPr>
          <w:rFonts w:hint="eastAsia" w:ascii="宋体" w:hAnsi="宋体" w:cs="Arial"/>
          <w:sz w:val="24"/>
        </w:rPr>
        <w:t xml:space="preserve">1.质量要求：</w:t>
      </w:r>
      <w:r>
        <w:rPr>
          <w:rFonts w:ascii="宋体" w:hAnsi="宋体"/>
          <w:bCs/>
          <w:sz w:val="24"/>
        </w:rPr>
        <w:t xml:space="preserve">严格按照《城市道路清扫保洁与质量评价标准》（CJJ/T126-2022）、《城市道路环卫机械化作业质量标准》（DGJ32/TJ172-2014）、《江苏省城市环境卫生作业质量标准》（DGJ32/TC01-2015）、《关于优化调整环卫一体化作业质量监管办法的通知》（锡城管发〔2025〕59号）及附件《无锡市环卫一体化作业服务质量标准与要求》等文件执行。</w:t>
      </w:r>
      <w:r/>
    </w:p>
    <w:p>
      <w:pPr>
        <w:ind w:firstLine="424"/>
        <w:jc w:val="left"/>
        <w:spacing w:line="360" w:lineRule="auto"/>
        <w:rPr>
          <w:rFonts w:ascii="宋体" w:hAnsi="宋体"/>
          <w:bCs/>
          <w:sz w:val="24"/>
        </w:rPr>
      </w:pPr>
      <w:r>
        <w:rPr>
          <w:rFonts w:hint="eastAsia" w:ascii="宋体" w:hAnsi="宋体"/>
          <w:bCs/>
          <w:sz w:val="24"/>
        </w:rPr>
        <w:t xml:space="preserve">2.安全要求：符合相关安全管理规定，确保安全无事故。</w:t>
      </w:r>
      <w:r/>
    </w:p>
    <w:p>
      <w:pPr>
        <w:ind w:firstLine="424"/>
        <w:jc w:val="left"/>
        <w:spacing w:line="360" w:lineRule="auto"/>
        <w:rPr>
          <w:rFonts w:ascii="宋体" w:hAnsi="宋体"/>
          <w:bCs/>
          <w:sz w:val="24"/>
        </w:rPr>
      </w:pPr>
      <w:r>
        <w:rPr>
          <w:rFonts w:hint="eastAsia" w:ascii="宋体" w:hAnsi="宋体"/>
          <w:bCs/>
          <w:sz w:val="24"/>
        </w:rPr>
        <w:t xml:space="preserve">3.技术要求：严格按照现行的规范标准执行。</w:t>
      </w:r>
      <w:r/>
    </w:p>
    <w:p>
      <w:pPr>
        <w:ind w:firstLine="424"/>
        <w:jc w:val="left"/>
        <w:spacing w:line="360" w:lineRule="auto"/>
        <w:rPr>
          <w:rFonts w:ascii="宋体" w:hAnsi="宋体"/>
          <w:bCs/>
          <w:sz w:val="24"/>
        </w:rPr>
      </w:pPr>
      <w:r>
        <w:rPr>
          <w:rFonts w:hint="eastAsia" w:ascii="宋体" w:hAnsi="宋体"/>
          <w:bCs/>
          <w:sz w:val="24"/>
        </w:rPr>
        <w:t xml:space="preserve">4.考核标准：本项目考核根据《市政府关于推进无锡市区环卫一体化作业改革的实施意见》（锡政发〔2021〕29号）、《关于优化调整环卫一体化作业质量监管办法的通知》（锡城管发〔2025〕59号）及附件《无锡市环卫一体化作业服务质量标准与要求》、《滨湖区环卫一体化作业质量监管考核实施意见》及附件《滨湖区环卫一体化作业质量检查考核标准》执行，合同作业期间如有新考核文件，按新文件执行，乙方承诺接受新考核文件的全部考核内容和标准。</w:t>
      </w:r>
      <w:r/>
    </w:p>
    <w:p>
      <w:pPr>
        <w:ind w:firstLine="424"/>
        <w:jc w:val="left"/>
        <w:spacing w:line="360" w:lineRule="auto"/>
        <w:rPr>
          <w:rFonts w:ascii="宋体" w:hAnsi="宋体" w:cs="Arial"/>
          <w:sz w:val="24"/>
        </w:rPr>
      </w:pPr>
      <w:r>
        <w:rPr>
          <w:rFonts w:hint="eastAsia" w:ascii="宋体" w:hAnsi="宋体" w:cs="Arial"/>
          <w:sz w:val="24"/>
        </w:rPr>
        <w:t xml:space="preserve">5.服务内容：环卫综合保洁作业服务，详见采购需求。</w:t>
      </w:r>
      <w:r/>
    </w:p>
    <w:p>
      <w:pPr>
        <w:ind w:firstLine="480"/>
        <w:spacing w:line="360" w:lineRule="auto"/>
        <w:rPr>
          <w:rFonts w:ascii="宋体" w:hAnsi="宋体" w:cs="Arial"/>
          <w:sz w:val="24"/>
        </w:rPr>
      </w:pPr>
      <w:r>
        <w:rPr>
          <w:rFonts w:hint="eastAsia" w:ascii="宋体" w:hAnsi="宋体" w:cs="Arial"/>
          <w:sz w:val="24"/>
        </w:rPr>
        <w:t xml:space="preserve">5.1人员配备要求各岗位具体人数如下：</w:t>
      </w:r>
      <w:r/>
    </w:p>
    <w:p>
      <w:pPr>
        <w:ind w:firstLine="480"/>
        <w:spacing w:line="360" w:lineRule="auto"/>
        <w:rPr>
          <w:rFonts w:ascii="宋体" w:hAnsi="宋体"/>
          <w:bCs/>
          <w:sz w:val="24"/>
        </w:rPr>
      </w:pPr>
      <w:r>
        <w:rPr>
          <w:rFonts w:hint="eastAsia" w:ascii="宋体" w:hAnsi="宋体" w:cs="Arial"/>
          <w:sz w:val="24"/>
        </w:rPr>
        <w:t xml:space="preserve">（1）管理人员：包括但不限于总项目负责人1人、</w:t>
      </w:r>
      <w:r>
        <w:rPr>
          <w:rFonts w:hint="eastAsia" w:ascii="宋体" w:hAnsi="宋体"/>
          <w:bCs/>
          <w:sz w:val="24"/>
        </w:rPr>
        <w:t xml:space="preserve">专项服务小组人员不少于3</w:t>
      </w:r>
      <w:r>
        <w:rPr>
          <w:rFonts w:hint="eastAsia" w:ascii="宋体" w:hAnsi="宋体" w:cs="Arial"/>
          <w:sz w:val="24"/>
        </w:rPr>
        <w:t xml:space="preserve">人，24小时公厕巡查人员不少于6人</w:t>
      </w:r>
      <w:r>
        <w:rPr>
          <w:rFonts w:hint="eastAsia" w:ascii="宋体" w:hAnsi="宋体"/>
          <w:bCs/>
          <w:sz w:val="24"/>
        </w:rPr>
        <w:t xml:space="preserve">。</w:t>
      </w:r>
      <w:r/>
    </w:p>
    <w:p>
      <w:pPr>
        <w:ind w:firstLine="480"/>
        <w:spacing w:line="360" w:lineRule="auto"/>
        <w:rPr>
          <w:rFonts w:ascii="宋体" w:hAnsi="宋体" w:cs="Arial"/>
          <w:sz w:val="24"/>
        </w:rPr>
      </w:pPr>
      <w:r>
        <w:rPr>
          <w:rFonts w:hint="eastAsia" w:ascii="宋体" w:hAnsi="宋体" w:cs="Arial"/>
          <w:sz w:val="24"/>
        </w:rPr>
        <w:t xml:space="preserve">（2）从业人员：</w:t>
      </w:r>
      <w:r>
        <w:rPr>
          <w:rFonts w:hint="eastAsia" w:ascii="宋体" w:hAnsi="宋体"/>
          <w:bCs/>
          <w:sz w:val="24"/>
        </w:rPr>
        <w:t xml:space="preserve">各片区单独设置最低人员配置，</w:t>
      </w:r>
      <w:r>
        <w:rPr>
          <w:rFonts w:hint="eastAsia" w:ascii="宋体" w:hAnsi="宋体" w:cs="宋体"/>
          <w:sz w:val="24"/>
        </w:rPr>
        <w:t xml:space="preserve">包括但不限于片区负责人、道路清扫保洁</w:t>
      </w:r>
      <w:r>
        <w:rPr>
          <w:rFonts w:hint="eastAsia" w:ascii="宋体" w:hAnsi="宋体" w:cs="Arial"/>
          <w:sz w:val="24"/>
        </w:rPr>
        <w:t xml:space="preserve">人员、公厕管养人员</w:t>
      </w:r>
      <w:r>
        <w:rPr>
          <w:rFonts w:hint="eastAsia" w:ascii="宋体" w:hAnsi="宋体" w:cs="宋体"/>
          <w:sz w:val="24"/>
        </w:rPr>
        <w:t xml:space="preserve">等， 按照满足采购需求的投标文件中所列人员予以填写。</w:t>
      </w:r>
      <w:r/>
    </w:p>
    <w:p>
      <w:pPr>
        <w:ind w:firstLine="480"/>
        <w:spacing w:line="360" w:lineRule="auto"/>
        <w:rPr>
          <w:rFonts w:ascii="宋体" w:hAnsi="宋体" w:cs="Arial"/>
          <w:sz w:val="24"/>
        </w:rPr>
      </w:pPr>
      <w:r>
        <w:rPr>
          <w:rFonts w:hint="eastAsia" w:ascii="宋体" w:hAnsi="宋体" w:cs="Arial"/>
          <w:sz w:val="24"/>
        </w:rPr>
        <w:t xml:space="preserve">5.2道路机械化作业</w:t>
      </w:r>
      <w:r/>
    </w:p>
    <w:p>
      <w:pPr>
        <w:ind w:firstLine="480"/>
        <w:spacing w:line="360" w:lineRule="auto"/>
        <w:rPr>
          <w:rFonts w:ascii="宋体" w:hAnsi="宋体" w:cs="宋体"/>
          <w:sz w:val="24"/>
        </w:rPr>
      </w:pPr>
      <w:r>
        <w:rPr>
          <w:rFonts w:hint="eastAsia" w:ascii="宋体" w:hAnsi="宋体" w:cs="Arial"/>
          <w:sz w:val="24"/>
        </w:rPr>
        <w:t xml:space="preserve">本项目拟配大、小型作业车辆辆，配置如下：（按照满足采购需求的投标文件中所列片区</w:t>
      </w:r>
      <w:r>
        <w:rPr>
          <w:rFonts w:hint="eastAsia" w:ascii="宋体" w:hAnsi="宋体" w:cs="宋体"/>
          <w:sz w:val="24"/>
        </w:rPr>
        <w:t xml:space="preserve">、车辆种类、数量予以填写。）</w:t>
      </w:r>
      <w:r/>
    </w:p>
    <w:p>
      <w:pPr>
        <w:ind w:firstLine="480"/>
        <w:spacing w:line="360" w:lineRule="auto"/>
        <w:rPr>
          <w:rFonts w:ascii="宋体" w:hAnsi="宋体"/>
          <w:bCs/>
          <w:sz w:val="24"/>
        </w:rPr>
      </w:pPr>
      <w:r>
        <w:rPr>
          <w:rFonts w:hint="eastAsia" w:ascii="宋体" w:hAnsi="宋体"/>
          <w:bCs/>
          <w:sz w:val="24"/>
        </w:rPr>
        <w:t xml:space="preserve">第片区（街道）：</w:t>
      </w:r>
      <w:r/>
    </w:p>
    <w:p>
      <w:pPr>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1）机扫车（总质量≥18000kg）（每天每车作业里程70公里）不少于辆；</w:t>
      </w:r>
      <w:r/>
    </w:p>
    <w:p>
      <w:pPr>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2）洗扫车（总质量≥18000kg）（每天每车作业里程55公里）不少于辆；</w:t>
      </w:r>
      <w:r/>
    </w:p>
    <w:p>
      <w:pPr>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3）高压冲水车（总质量≥18000kg）（最高清洗压力不少于9Mpa且配备前置喷水架，每天每车作业里程80公里）不少于辆；</w:t>
      </w:r>
      <w:r/>
    </w:p>
    <w:p>
      <w:pPr>
        <w:ind w:firstLine="480"/>
        <w:spacing w:line="360" w:lineRule="auto"/>
        <w:rPr>
          <w:rFonts w:ascii="宋体" w:hAnsi="宋体" w:cs="宋体"/>
          <w:sz w:val="24"/>
        </w:rPr>
      </w:pPr>
      <w:r>
        <w:rPr>
          <w:rFonts w:hint="eastAsia" w:ascii="宋体" w:hAnsi="宋体" w:cs="宋体"/>
          <w:sz w:val="24"/>
        </w:rPr>
        <w:t xml:space="preserve">4）小型机扫（洗扫、冲水）车不少于辆（每天每车作业里程48公里）；</w:t>
      </w:r>
      <w:r/>
    </w:p>
    <w:p>
      <w:pPr>
        <w:ind w:firstLine="480"/>
        <w:spacing w:line="360" w:lineRule="auto"/>
        <w:rPr>
          <w:rFonts w:ascii="宋体" w:hAnsi="宋体" w:cs="宋体"/>
          <w:sz w:val="24"/>
        </w:rPr>
      </w:pPr>
      <w:r>
        <w:rPr>
          <w:rFonts w:hint="eastAsia" w:ascii="宋体" w:hAnsi="宋体" w:cs="宋体"/>
          <w:sz w:val="24"/>
        </w:rPr>
        <w:t xml:space="preserve">5）吸粪车（吸污车）（核定载质量≥1150kg）不少于辆；</w:t>
      </w:r>
      <w:r/>
    </w:p>
    <w:p>
      <w:pPr>
        <w:ind w:firstLine="480"/>
        <w:spacing w:line="360" w:lineRule="auto"/>
        <w:rPr>
          <w:rFonts w:ascii="宋体" w:hAnsi="宋体" w:cs="宋体"/>
          <w:sz w:val="24"/>
        </w:rPr>
      </w:pPr>
      <w:r>
        <w:rPr>
          <w:rFonts w:hint="eastAsia" w:ascii="宋体" w:hAnsi="宋体" w:cs="宋体"/>
          <w:sz w:val="24"/>
        </w:rPr>
        <w:t xml:space="preserve">6）其他垃圾收集车（核定载质量≥3000kg）不少于辆；</w:t>
      </w:r>
      <w:r/>
    </w:p>
    <w:p>
      <w:pPr>
        <w:ind w:firstLine="480"/>
        <w:spacing w:line="360" w:lineRule="auto"/>
        <w:rPr>
          <w:rFonts w:ascii="宋体" w:hAnsi="宋体" w:cs="宋体"/>
          <w:sz w:val="24"/>
        </w:rPr>
      </w:pPr>
      <w:r>
        <w:rPr>
          <w:rFonts w:hint="eastAsia" w:ascii="宋体" w:hAnsi="宋体" w:cs="宋体"/>
          <w:sz w:val="24"/>
        </w:rPr>
        <w:t xml:space="preserve">7）家庭厨余收集车（核定载质量≥3000kg）不少于辆。</w:t>
      </w:r>
      <w:r/>
    </w:p>
    <w:p>
      <w:pPr>
        <w:ind w:firstLine="480"/>
        <w:spacing w:line="360" w:lineRule="auto"/>
        <w:rPr>
          <w:rFonts w:ascii="宋体" w:hAnsi="宋体"/>
          <w:bCs/>
          <w:sz w:val="24"/>
        </w:rPr>
      </w:pPr>
      <w:r>
        <w:rPr>
          <w:rFonts w:hint="eastAsia" w:ascii="宋体" w:hAnsi="宋体"/>
          <w:bCs/>
          <w:sz w:val="24"/>
        </w:rPr>
        <w:t xml:space="preserve">第片区（街道）：</w:t>
      </w:r>
      <w:r/>
    </w:p>
    <w:p>
      <w:pPr>
        <w:ind w:firstLine="480"/>
        <w:spacing w:line="360" w:lineRule="auto"/>
        <w:rPr>
          <w:rFonts w:ascii="宋体" w:hAnsi="宋体" w:cs="宋体"/>
          <w:sz w:val="24"/>
        </w:rPr>
      </w:pPr>
      <w:r>
        <w:rPr>
          <w:rFonts w:hint="eastAsia" w:ascii="宋体" w:hAnsi="宋体" w:cs="宋体"/>
          <w:sz w:val="24"/>
        </w:rPr>
        <w:t xml:space="preserve">......</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5.3场地要求</w:t>
      </w:r>
      <w:r/>
    </w:p>
    <w:p>
      <w:pPr>
        <w:ind w:firstLine="480"/>
        <w:spacing w:line="360" w:lineRule="auto"/>
        <w:rPr>
          <w:rFonts w:ascii="宋体" w:hAnsi="宋体"/>
          <w:b/>
          <w:bCs/>
          <w:sz w:val="24"/>
          <w:shd w:val="clear" w:color="auto" w:fill="ffffff"/>
        </w:rPr>
      </w:pPr>
      <w:r>
        <w:rPr>
          <w:rFonts w:hint="eastAsia" w:ascii="宋体" w:hAnsi="宋体"/>
          <w:sz w:val="24"/>
          <w:shd w:val="clear" w:color="auto" w:fill="ffffff"/>
        </w:rPr>
        <w:t xml:space="preserve">本项目所在市行政区域范围内的固定的环卫办公及机械、设备、车辆停放场所以及具有符合相关要求的无主垃圾和机扫垃圾临时存放点场地，场地满足以下要求：</w:t>
      </w:r>
      <w:r>
        <w:rPr>
          <w:rFonts w:hint="eastAsia" w:ascii="宋体" w:hAnsi="宋体" w:cs="宋体"/>
          <w:sz w:val="24"/>
        </w:rPr>
        <w:t xml:space="preserve">（按照满足采购需求的投标文件中所列片区、场地面积予以填写。）</w:t>
      </w:r>
      <w:r/>
    </w:p>
    <w:p>
      <w:pPr>
        <w:ind w:firstLine="480"/>
        <w:spacing w:line="360" w:lineRule="auto"/>
        <w:rPr>
          <w:rFonts w:ascii="宋体" w:hAnsi="宋体" w:cs="宋体"/>
          <w:sz w:val="24"/>
        </w:rPr>
      </w:pPr>
      <w:r>
        <w:rPr>
          <w:rFonts w:hint="eastAsia" w:ascii="宋体" w:hAnsi="宋体"/>
          <w:bCs/>
          <w:sz w:val="24"/>
        </w:rPr>
        <w:t xml:space="preserve">第片区（街道）：</w:t>
      </w:r>
      <w:r>
        <w:rPr>
          <w:rFonts w:hint="eastAsia" w:ascii="宋体" w:hAnsi="宋体" w:cs="宋体"/>
          <w:sz w:val="24"/>
        </w:rPr>
        <w:t xml:space="preserve">车辆停放场所场地面积平方米及以上,无主垃圾及机扫垃圾临时存放点场地面积平方米及以上；</w:t>
      </w:r>
      <w:r/>
    </w:p>
    <w:p>
      <w:pPr>
        <w:ind w:firstLine="480"/>
        <w:spacing w:line="360" w:lineRule="auto"/>
        <w:rPr>
          <w:bCs/>
        </w:rPr>
      </w:pPr>
      <w:r>
        <w:rPr>
          <w:rFonts w:hint="eastAsia" w:ascii="宋体" w:hAnsi="宋体"/>
          <w:bCs/>
          <w:sz w:val="24"/>
        </w:rPr>
        <w:t xml:space="preserve">第片区（街道）：</w:t>
      </w:r>
      <w:r/>
    </w:p>
    <w:p>
      <w:pPr>
        <w:ind w:firstLine="480"/>
        <w:spacing w:line="360" w:lineRule="auto"/>
        <w:rPr>
          <w:rFonts w:ascii="宋体" w:hAnsi="宋体" w:cs="宋体"/>
          <w:sz w:val="24"/>
        </w:rPr>
      </w:pP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注：以上七个片区</w:t>
      </w:r>
      <w:r>
        <w:rPr>
          <w:rFonts w:hint="eastAsia" w:ascii="宋体" w:cs="宋体"/>
          <w:sz w:val="24"/>
        </w:rPr>
        <w:t xml:space="preserve">场地地面应硬化、硬质铺装，无裸露泥土，现场雨污分流，污水接管。机扫垃圾合理合法</w:t>
      </w:r>
      <w:r>
        <w:rPr>
          <w:rFonts w:ascii="宋体" w:cs="宋体"/>
          <w:sz w:val="24"/>
        </w:rPr>
        <w:t xml:space="preserve">处置</w:t>
      </w:r>
      <w:r>
        <w:rPr>
          <w:rFonts w:hint="eastAsia" w:ascii="宋体" w:cs="宋体"/>
          <w:sz w:val="24"/>
        </w:rPr>
        <w:t xml:space="preserve">，并做到日产日清。</w:t>
      </w:r>
      <w:r/>
    </w:p>
    <w:p>
      <w:pPr>
        <w:ind w:firstLine="482"/>
        <w:spacing w:line="360" w:lineRule="auto"/>
        <w:rPr>
          <w:rFonts w:ascii="宋体" w:hAnsi="宋体" w:cs="Arial"/>
          <w:sz w:val="24"/>
        </w:rPr>
      </w:pPr>
      <w:r>
        <w:rPr>
          <w:rFonts w:hint="eastAsia" w:ascii="宋体" w:hAnsi="宋体" w:cs="Arial"/>
          <w:b/>
          <w:bCs/>
          <w:sz w:val="24"/>
        </w:rPr>
        <w:t xml:space="preserve">五、甲方的权利和义务</w:t>
      </w:r>
      <w:r>
        <w:rPr>
          <w:rFonts w:hint="eastAsia" w:ascii="宋体" w:hAnsi="宋体" w:cs="Arial"/>
          <w:b/>
          <w:bCs/>
          <w:sz w:val="24"/>
        </w:rPr>
        <w:tab/>
      </w:r>
      <w:r/>
    </w:p>
    <w:p>
      <w:pPr>
        <w:ind w:firstLine="480"/>
        <w:jc w:val="left"/>
        <w:spacing w:line="360" w:lineRule="auto"/>
        <w:rPr>
          <w:rFonts w:ascii="宋体" w:hAnsi="宋体" w:cs="Arial"/>
          <w:sz w:val="24"/>
        </w:rPr>
      </w:pPr>
      <w:r>
        <w:rPr>
          <w:rFonts w:hint="eastAsia" w:ascii="宋体" w:hAnsi="宋体" w:cs="Arial"/>
          <w:sz w:val="24"/>
        </w:rPr>
        <w:t xml:space="preserve">1.甲方的权利</w:t>
      </w:r>
      <w:r/>
    </w:p>
    <w:p>
      <w:pPr>
        <w:ind w:firstLine="480"/>
        <w:jc w:val="left"/>
        <w:spacing w:line="360" w:lineRule="auto"/>
        <w:rPr>
          <w:rFonts w:ascii="宋体" w:hAnsi="宋体" w:cs="Arial"/>
          <w:sz w:val="24"/>
        </w:rPr>
      </w:pPr>
      <w:r>
        <w:rPr>
          <w:rFonts w:hint="eastAsia" w:ascii="宋体" w:hAnsi="宋体" w:cs="Arial"/>
          <w:sz w:val="24"/>
        </w:rPr>
        <w:t xml:space="preserve">（1）对滨湖区环卫一体化作业服务范围进行全面管理，包括监管、考核、奖罚。</w:t>
      </w:r>
      <w:r/>
    </w:p>
    <w:p>
      <w:pPr>
        <w:ind w:firstLine="480"/>
        <w:jc w:val="left"/>
        <w:spacing w:line="360" w:lineRule="auto"/>
        <w:rPr>
          <w:rFonts w:ascii="宋体" w:hAnsi="宋体" w:cs="Arial"/>
          <w:sz w:val="24"/>
        </w:rPr>
      </w:pPr>
      <w:r>
        <w:rPr>
          <w:rFonts w:hint="eastAsia" w:ascii="宋体" w:hAnsi="宋体" w:cs="Arial"/>
          <w:sz w:val="24"/>
        </w:rPr>
        <w:t xml:space="preserve">（2）根据实际情况，要求环卫相关工作进行调整、整改。</w:t>
      </w:r>
      <w:r/>
    </w:p>
    <w:p>
      <w:pPr>
        <w:ind w:firstLine="480"/>
        <w:jc w:val="left"/>
        <w:spacing w:line="360" w:lineRule="auto"/>
        <w:rPr>
          <w:rFonts w:ascii="宋体" w:hAnsi="宋体" w:cs="Arial"/>
          <w:sz w:val="24"/>
        </w:rPr>
      </w:pPr>
      <w:r>
        <w:rPr>
          <w:rFonts w:hint="eastAsia" w:ascii="宋体" w:hAnsi="宋体" w:cs="Arial"/>
          <w:sz w:val="24"/>
        </w:rPr>
        <w:t xml:space="preserve">2.甲方的义务</w:t>
      </w:r>
      <w:r/>
    </w:p>
    <w:p>
      <w:pPr>
        <w:ind w:firstLine="480"/>
        <w:jc w:val="left"/>
        <w:spacing w:line="360" w:lineRule="auto"/>
        <w:rPr>
          <w:rFonts w:ascii="宋体" w:hAnsi="宋体" w:cs="Arial"/>
          <w:sz w:val="24"/>
        </w:rPr>
      </w:pPr>
      <w:r>
        <w:rPr>
          <w:rFonts w:hint="eastAsia" w:ascii="宋体" w:hAnsi="宋体" w:cs="Arial"/>
          <w:sz w:val="24"/>
        </w:rPr>
        <w:t xml:space="preserve">（1）甲方按照合同约定的期限、方式和金额，及时向乙方支付作业经费。</w:t>
      </w:r>
      <w:r/>
    </w:p>
    <w:p>
      <w:pPr>
        <w:ind w:firstLine="480"/>
        <w:spacing w:line="360" w:lineRule="auto"/>
        <w:rPr>
          <w:rFonts w:ascii="宋体" w:hAnsi="宋体"/>
          <w:sz w:val="24"/>
        </w:rPr>
      </w:pPr>
      <w:r>
        <w:rPr>
          <w:rFonts w:hint="eastAsia" w:ascii="宋体" w:hAnsi="宋体"/>
          <w:sz w:val="24"/>
        </w:rPr>
        <w:t xml:space="preserve">（2）甲方有协调服务期间涉及有关部门业务管理事宜的义务。</w:t>
      </w:r>
      <w:r/>
    </w:p>
    <w:p>
      <w:pPr>
        <w:ind w:firstLine="482"/>
        <w:jc w:val="left"/>
        <w:spacing w:line="360" w:lineRule="auto"/>
        <w:rPr>
          <w:rFonts w:ascii="宋体" w:hAnsi="宋体" w:cs="Arial"/>
          <w:b/>
          <w:bCs/>
          <w:sz w:val="24"/>
        </w:rPr>
      </w:pPr>
      <w:r>
        <w:rPr>
          <w:rFonts w:hint="eastAsia" w:ascii="宋体" w:hAnsi="宋体" w:cs="Arial"/>
          <w:b/>
          <w:bCs/>
          <w:sz w:val="24"/>
        </w:rPr>
        <w:t xml:space="preserve">六、乙方的权利和义务</w:t>
      </w:r>
      <w:r/>
    </w:p>
    <w:p>
      <w:pPr>
        <w:ind w:firstLine="480"/>
        <w:jc w:val="left"/>
        <w:spacing w:line="360" w:lineRule="auto"/>
        <w:rPr>
          <w:rFonts w:ascii="宋体" w:hAnsi="宋体" w:cs="Arial"/>
          <w:sz w:val="24"/>
        </w:rPr>
      </w:pPr>
      <w:r>
        <w:rPr>
          <w:rFonts w:hint="eastAsia" w:ascii="宋体" w:hAnsi="宋体" w:cs="Arial"/>
          <w:sz w:val="24"/>
        </w:rPr>
        <w:t xml:space="preserve">1.乙方的权利</w:t>
      </w:r>
      <w:r/>
    </w:p>
    <w:p>
      <w:pPr>
        <w:ind w:firstLine="360"/>
        <w:jc w:val="left"/>
        <w:spacing w:line="360" w:lineRule="auto"/>
        <w:rPr>
          <w:rFonts w:ascii="宋体" w:hAnsi="宋体" w:cs="Arial"/>
          <w:sz w:val="24"/>
        </w:rPr>
      </w:pPr>
      <w:r>
        <w:rPr>
          <w:rFonts w:hint="eastAsia" w:ascii="宋体" w:hAnsi="宋体" w:cs="Arial"/>
          <w:sz w:val="24"/>
        </w:rPr>
        <w:t xml:space="preserve">（1）在执行服务协议过程中，有自主调配车辆及人员的权利，但应符合合同约定的配备标准。</w:t>
      </w:r>
      <w:r/>
    </w:p>
    <w:p>
      <w:pPr>
        <w:ind w:firstLine="360"/>
        <w:spacing w:line="360" w:lineRule="auto"/>
        <w:rPr>
          <w:rFonts w:ascii="宋体" w:hAnsi="宋体" w:cs="Arial"/>
          <w:sz w:val="24"/>
        </w:rPr>
      </w:pPr>
      <w:r>
        <w:rPr>
          <w:rFonts w:hint="eastAsia" w:ascii="宋体" w:hAnsi="宋体" w:cs="Arial"/>
          <w:sz w:val="24"/>
        </w:rPr>
        <w:t xml:space="preserve">（2）如乙方对甲方扣除保洁费有异议，有申辩的权利。</w:t>
      </w:r>
      <w:r/>
    </w:p>
    <w:p>
      <w:pPr>
        <w:ind w:firstLine="480"/>
        <w:spacing w:line="360" w:lineRule="auto"/>
        <w:rPr>
          <w:rFonts w:ascii="宋体" w:hAnsi="宋体" w:cs="Arial"/>
          <w:sz w:val="24"/>
        </w:rPr>
      </w:pPr>
      <w:r>
        <w:rPr>
          <w:rFonts w:hint="eastAsia" w:ascii="宋体" w:hAnsi="宋体" w:cs="Arial"/>
          <w:sz w:val="24"/>
        </w:rPr>
        <w:t xml:space="preserve">2.乙方的义务</w:t>
      </w:r>
      <w:r/>
    </w:p>
    <w:p>
      <w:pPr>
        <w:ind w:firstLine="360"/>
        <w:spacing w:line="360" w:lineRule="auto"/>
        <w:rPr>
          <w:rFonts w:ascii="宋体" w:hAnsi="宋体" w:cs="Arial"/>
          <w:sz w:val="24"/>
        </w:rPr>
      </w:pPr>
      <w:r>
        <w:rPr>
          <w:rFonts w:hint="eastAsia" w:ascii="宋体" w:hAnsi="宋体" w:cs="Arial"/>
          <w:sz w:val="24"/>
        </w:rPr>
        <w:t xml:space="preserve">（1）乙方有自觉接受甲方业务指导、监督管理，服务质量考核检查的义务。</w:t>
      </w:r>
      <w:r/>
    </w:p>
    <w:p>
      <w:pPr>
        <w:ind w:firstLine="360"/>
        <w:spacing w:line="360" w:lineRule="auto"/>
        <w:rPr>
          <w:rFonts w:ascii="宋体" w:hAnsi="宋体" w:cs="Arial"/>
          <w:sz w:val="24"/>
        </w:rPr>
      </w:pPr>
      <w:r>
        <w:rPr>
          <w:rFonts w:hint="eastAsia" w:ascii="宋体" w:hAnsi="宋体" w:cs="Arial"/>
          <w:sz w:val="24"/>
        </w:rPr>
        <w:t xml:space="preserve">（2）乙方有严格按照甲方制定的道路环卫综合保洁作业时间和质量标准完成任务的义务。</w:t>
      </w:r>
      <w:r/>
    </w:p>
    <w:p>
      <w:pPr>
        <w:ind w:firstLine="360"/>
        <w:spacing w:line="360" w:lineRule="auto"/>
        <w:rPr>
          <w:rFonts w:ascii="宋体" w:hAnsi="宋体" w:cs="Arial"/>
          <w:sz w:val="24"/>
        </w:rPr>
      </w:pPr>
      <w:r>
        <w:rPr>
          <w:rFonts w:hint="eastAsia" w:ascii="宋体" w:hAnsi="宋体" w:cs="Arial"/>
          <w:sz w:val="24"/>
        </w:rPr>
        <w:t xml:space="preserve">（3）乙方对甲方提出存在的质量等问题，应按本合同约定及甲方要求及时完成整改。</w:t>
      </w:r>
      <w:r/>
    </w:p>
    <w:p>
      <w:pPr>
        <w:ind w:firstLine="360"/>
        <w:spacing w:line="360" w:lineRule="auto"/>
        <w:rPr>
          <w:rFonts w:ascii="宋体" w:hAnsi="宋体" w:cs="Arial"/>
          <w:sz w:val="24"/>
        </w:rPr>
      </w:pPr>
      <w:r>
        <w:rPr>
          <w:rFonts w:hint="eastAsia" w:ascii="宋体" w:hAnsi="宋体" w:cs="Arial"/>
          <w:sz w:val="24"/>
        </w:rPr>
        <w:t xml:space="preserve">（4）</w:t>
      </w:r>
      <w:bookmarkStart w:id="15" w:name="_Hlk106731446"/>
      <w:r>
        <w:rPr>
          <w:rFonts w:hint="eastAsia" w:ascii="宋体" w:cs="宋体"/>
          <w:sz w:val="24"/>
        </w:rPr>
        <w:t xml:space="preserve">本项目实施须严格遵循无锡市城市管理局印发的《“席地而坐”城市客厅高标准深度保洁作业标准及要求（试行）》等相关文件的规定。乙方须</w:t>
      </w:r>
      <w:r>
        <w:rPr>
          <w:rFonts w:hint="eastAsia" w:ascii="宋体" w:hAnsi="宋体" w:cs="Arial"/>
          <w:sz w:val="24"/>
        </w:rPr>
        <w:t xml:space="preserve">响应以上文件</w:t>
      </w:r>
      <w:r>
        <w:rPr>
          <w:rFonts w:hint="eastAsia" w:ascii="宋体" w:cs="宋体"/>
          <w:sz w:val="24"/>
        </w:rPr>
        <w:t xml:space="preserve">作业标准及要求</w:t>
      </w:r>
      <w:r>
        <w:rPr>
          <w:rFonts w:hint="eastAsia" w:ascii="宋体" w:hAnsi="宋体" w:cs="Arial"/>
          <w:sz w:val="24"/>
        </w:rPr>
        <w:t xml:space="preserve">，服从和配合滨湖区各项重大活动、创建检查、节假日环卫保障，确保服务质量达标。</w:t>
      </w:r>
      <w:bookmarkEnd w:id="15"/>
      <w:r/>
    </w:p>
    <w:p>
      <w:pPr>
        <w:ind w:firstLine="360"/>
        <w:spacing w:line="360" w:lineRule="auto"/>
        <w:rPr>
          <w:rFonts w:ascii="宋体" w:hAnsi="宋体" w:cs="Arial"/>
          <w:sz w:val="24"/>
        </w:rPr>
      </w:pPr>
      <w:r>
        <w:rPr>
          <w:rFonts w:hint="eastAsia" w:ascii="宋体" w:hAnsi="宋体" w:cs="Arial"/>
          <w:sz w:val="24"/>
        </w:rPr>
        <w:t xml:space="preserve">（5）乙方在服务期内自行承担生产、交通、劳动用工等安全责任，如发生事故及其他意外事件给甲方或其他第三方所造成的经济损失，一律由乙方承担，若甲方因此遭受经济损失的，甲方有权在先予赔偿后向乙方追偿或直接自应付款项中扣除赔偿款后支付。</w:t>
      </w:r>
      <w:r/>
    </w:p>
    <w:p>
      <w:pPr>
        <w:ind w:firstLine="360"/>
        <w:spacing w:line="360" w:lineRule="auto"/>
        <w:rPr>
          <w:rFonts w:ascii="宋体" w:hAnsi="宋体" w:cs="Arial"/>
          <w:sz w:val="24"/>
        </w:rPr>
      </w:pPr>
      <w:r>
        <w:rPr>
          <w:rFonts w:hint="eastAsia" w:ascii="宋体" w:hAnsi="宋体" w:cs="Arial"/>
          <w:sz w:val="24"/>
        </w:rPr>
        <w:t xml:space="preserve">（6）乙方根据本单位的标识须对清扫保洁人员统一着装作业，清扫保洁车统一颜色、统一标志、统一编号。</w:t>
      </w:r>
      <w:r/>
    </w:p>
    <w:p>
      <w:pPr>
        <w:ind w:firstLine="360"/>
        <w:spacing w:line="360" w:lineRule="auto"/>
        <w:rPr>
          <w:rFonts w:ascii="宋体" w:hAnsi="宋体" w:cs="Arial"/>
          <w:sz w:val="24"/>
        </w:rPr>
      </w:pPr>
      <w:r>
        <w:rPr>
          <w:rFonts w:hint="eastAsia" w:ascii="宋体" w:hAnsi="宋体" w:cs="Arial"/>
          <w:sz w:val="24"/>
        </w:rPr>
        <w:t xml:space="preserve">（7）乙方须定期对清扫保洁人员开展安全规范作业、交通安全常识、人身安全防范等方面的教育培训。</w:t>
      </w:r>
      <w:r/>
    </w:p>
    <w:p>
      <w:pPr>
        <w:ind w:firstLine="360"/>
        <w:spacing w:line="360" w:lineRule="auto"/>
        <w:rPr>
          <w:rFonts w:ascii="宋体" w:hAnsi="宋体" w:cs="Arial"/>
          <w:sz w:val="24"/>
        </w:rPr>
      </w:pPr>
      <w:r>
        <w:rPr>
          <w:rFonts w:hint="eastAsia" w:ascii="宋体" w:hAnsi="宋体" w:cs="Arial"/>
          <w:sz w:val="24"/>
        </w:rPr>
        <w:t xml:space="preserve">（8）</w:t>
      </w:r>
      <w:r>
        <w:rPr>
          <w:rFonts w:hint="eastAsia" w:ascii="宋体" w:hAnsi="宋体"/>
          <w:sz w:val="24"/>
        </w:rPr>
        <w:t xml:space="preserve">乙方责任范围路段内每日清扫的垃圾须有固定的地点倾倒，不得焚烧，垃圾倾倒点需报甲方备案，甲方有权对垃圾的倾倒地点及后续的处理工作进行监管。</w:t>
      </w:r>
      <w:r/>
    </w:p>
    <w:p>
      <w:pPr>
        <w:ind w:firstLine="360"/>
        <w:spacing w:line="360" w:lineRule="auto"/>
        <w:rPr>
          <w:rFonts w:ascii="宋体" w:hAnsi="宋体" w:cs="Arial"/>
          <w:sz w:val="24"/>
        </w:rPr>
      </w:pPr>
      <w:r>
        <w:rPr>
          <w:rFonts w:hint="eastAsia" w:ascii="宋体" w:hAnsi="宋体" w:cs="Arial"/>
          <w:sz w:val="24"/>
        </w:rPr>
        <w:t xml:space="preserve">（9）乙方的责任路段范围内临时出现大量积遗撒物，自接到通知后2小时内须清理干净。</w:t>
      </w:r>
      <w:r/>
    </w:p>
    <w:p>
      <w:pPr>
        <w:ind w:firstLine="360"/>
        <w:spacing w:line="360" w:lineRule="auto"/>
        <w:rPr>
          <w:rFonts w:ascii="宋体" w:hAnsi="宋体" w:cs="Arial"/>
          <w:sz w:val="24"/>
        </w:rPr>
      </w:pPr>
      <w:r>
        <w:rPr>
          <w:rFonts w:hint="eastAsia" w:ascii="宋体" w:hAnsi="宋体" w:cs="Arial"/>
          <w:sz w:val="24"/>
        </w:rPr>
        <w:t xml:space="preserve">（10）乙方的责任路段范围内出现易燃易爆、有毒有害物质遗撒泄露，乙方应及时报告行政主管部门。</w:t>
      </w:r>
      <w:r/>
    </w:p>
    <w:p>
      <w:pPr>
        <w:ind w:firstLine="360"/>
        <w:spacing w:line="360" w:lineRule="auto"/>
        <w:rPr>
          <w:rFonts w:ascii="宋体" w:hAnsi="宋体" w:cs="Arial"/>
          <w:sz w:val="24"/>
        </w:rPr>
      </w:pPr>
      <w:r>
        <w:rPr>
          <w:rFonts w:hint="eastAsia" w:ascii="宋体" w:hAnsi="宋体" w:cs="Arial"/>
          <w:sz w:val="24"/>
        </w:rPr>
        <w:t xml:space="preserve">（11）乙方应合法用工，任何劳动、雇佣、工伤等纠纷由乙方自行解决和承担责任。</w:t>
      </w:r>
      <w:r/>
    </w:p>
    <w:p>
      <w:pPr>
        <w:ind w:firstLine="360"/>
        <w:spacing w:line="360" w:lineRule="auto"/>
        <w:rPr>
          <w:rFonts w:ascii="宋体" w:hAnsi="宋体" w:cs="Arial"/>
          <w:sz w:val="24"/>
        </w:rPr>
      </w:pPr>
      <w:r>
        <w:rPr>
          <w:rFonts w:hint="eastAsia" w:ascii="宋体" w:hAnsi="宋体" w:cs="Arial"/>
          <w:sz w:val="24"/>
        </w:rPr>
        <w:t xml:space="preserve">（12）为保障本项目环卫作业调度及应急响应效率，确保甲方日常服务管理规范有序，乙方服务团队要求如下：在本次项目服务周期内，乙方须组建不少于3人的专项服务小组，与甲方对接日常环卫调度、现场作业协同、应急保障响应、服务台账报送等全流程配套服务工作。相关费用已全部包含在本次项目总报价中。</w:t>
      </w:r>
      <w:r/>
    </w:p>
    <w:p>
      <w:pPr>
        <w:ind w:firstLine="360"/>
        <w:spacing w:line="360" w:lineRule="auto"/>
        <w:rPr>
          <w:rFonts w:ascii="宋体" w:hAnsi="宋体" w:cs="Arial"/>
          <w:sz w:val="24"/>
        </w:rPr>
      </w:pPr>
      <w:r>
        <w:rPr>
          <w:rFonts w:hint="eastAsia" w:ascii="宋体" w:hAnsi="宋体" w:cs="Arial"/>
          <w:sz w:val="24"/>
        </w:rPr>
        <w:t xml:space="preserve">（13）乙方需制定环卫工作应急预案。</w:t>
      </w:r>
      <w:r/>
    </w:p>
    <w:p>
      <w:pPr>
        <w:ind w:firstLine="360"/>
        <w:spacing w:line="360" w:lineRule="auto"/>
        <w:rPr>
          <w:rFonts w:ascii="宋体" w:hAnsi="宋体" w:cs="Arial"/>
          <w:bCs/>
          <w:sz w:val="24"/>
        </w:rPr>
      </w:pPr>
      <w:r>
        <w:rPr>
          <w:rFonts w:hint="eastAsia" w:ascii="宋体" w:hAnsi="宋体" w:cs="Arial"/>
          <w:bCs/>
          <w:sz w:val="24"/>
        </w:rPr>
        <w:t xml:space="preserve">（14）乙方指派（身份证号码：联系方式：）为总项目负责人，代表乙方全权负责本合同约定范围内的一切履约事宜。</w:t>
      </w:r>
      <w:r/>
    </w:p>
    <w:p>
      <w:pPr>
        <w:ind w:firstLine="360"/>
        <w:spacing w:line="360" w:lineRule="auto"/>
        <w:rPr>
          <w:rFonts w:ascii="宋体" w:hAnsi="宋体" w:cs="Arial"/>
          <w:sz w:val="24"/>
        </w:rPr>
      </w:pPr>
      <w:r>
        <w:rPr>
          <w:rFonts w:hint="eastAsia" w:ascii="宋体" w:hAnsi="宋体" w:cs="Arial"/>
          <w:sz w:val="24"/>
        </w:rPr>
        <w:t xml:space="preserve">（15）为实现环卫智慧化、一体化管理目标，乙方应在合同签订后 14 个日历天内按照市、区两级信息化要求将相关数据接入市、区两级智慧环卫监管平台，数据包括但不限于作业状态、作业轨迹、作业趟数、实时视频、称重数据等内容。若因乙方未能及时提供技术对接所需材料或未能及时配合技术对接，造成的一切后果由乙方承担。因平台对接、功能运维等产生的一切费用由乙方承担。</w:t>
      </w:r>
      <w:r/>
    </w:p>
    <w:p>
      <w:pPr>
        <w:ind w:firstLine="420"/>
        <w:spacing w:line="360" w:lineRule="auto"/>
        <w:rPr>
          <w:rFonts w:ascii="宋体" w:hAnsi="宋体" w:cs="Arial"/>
          <w:sz w:val="24"/>
        </w:rPr>
      </w:pPr>
      <w:r>
        <w:rPr>
          <w:rFonts w:hint="eastAsia" w:ascii="宋体" w:hAnsi="宋体" w:cs="Arial"/>
          <w:sz w:val="24"/>
        </w:rPr>
        <w:t xml:space="preserve">（16）根据锡城管委发〔2023〕7号《关于印发无锡市区一线环卫工人“爱心早餐”工程实施方案的通知》要求，乙方须为本项目一线环卫工人提供“爱心早餐”服务。</w:t>
      </w:r>
      <w:r>
        <w:rPr>
          <w:rFonts w:hint="eastAsia" w:ascii="宋体" w:hAnsi="宋体"/>
          <w:sz w:val="24"/>
        </w:rPr>
        <w:t xml:space="preserve">早餐按每人每天6元标准执行，一线环卫工人可在中标供餐企业中自主选择就餐点和早餐品种。</w:t>
      </w:r>
      <w:r/>
    </w:p>
    <w:p>
      <w:pPr>
        <w:ind w:firstLine="420"/>
        <w:spacing w:line="360" w:lineRule="auto"/>
        <w:rPr>
          <w:rFonts w:ascii="宋体" w:hAnsi="宋体"/>
          <w:sz w:val="24"/>
        </w:rPr>
      </w:pPr>
      <w:r>
        <w:rPr>
          <w:rFonts w:hint="eastAsia" w:ascii="宋体" w:hAnsi="宋体"/>
          <w:sz w:val="24"/>
        </w:rPr>
        <w:t xml:space="preserve">（17）按照《关于2025年无锡市区环卫一体化作业招标工作的指导意见》（锡城管发〔2025〕60号）要求，一线环卫职工月工资收入不得低于无锡市最低工资水平的120%，如遇政策调整按最新政策执行。</w:t>
      </w:r>
      <w:r/>
    </w:p>
    <w:p>
      <w:pPr>
        <w:ind w:firstLine="420"/>
        <w:spacing w:line="360" w:lineRule="auto"/>
        <w:rPr>
          <w:rFonts w:ascii="宋体" w:hAnsi="宋体" w:cs="Arial"/>
          <w:sz w:val="24"/>
        </w:rPr>
      </w:pPr>
      <w:r>
        <w:rPr>
          <w:rFonts w:hint="eastAsia" w:ascii="宋体" w:hAnsi="宋体" w:cs="Arial"/>
          <w:sz w:val="24"/>
        </w:rPr>
        <w:t xml:space="preserve">（18）</w:t>
      </w:r>
      <w:r>
        <w:rPr>
          <w:rFonts w:hint="eastAsia" w:ascii="宋体" w:hAnsi="宋体"/>
          <w:sz w:val="24"/>
        </w:rPr>
        <w:t xml:space="preserve">乙方</w:t>
      </w:r>
      <w:r>
        <w:rPr>
          <w:rFonts w:hint="eastAsia" w:ascii="宋体" w:hAnsi="宋体" w:cs="Arial"/>
          <w:sz w:val="24"/>
        </w:rPr>
        <w:t xml:space="preserve">用工须符合《中华人民共和国劳动合同法》规定，依法签订并履行劳动（劳务）合同，每月工作时间不得超过法定上限。</w:t>
      </w:r>
      <w:r>
        <w:rPr>
          <w:rFonts w:hint="eastAsia" w:ascii="宋体" w:hAnsi="宋体"/>
          <w:sz w:val="24"/>
        </w:rPr>
        <w:t xml:space="preserve">拟投入人员在本单位缴纳社保的比例不得低于总投入人数的60%，其中项目负责人及管理人员必须在本单位缴纳社保，乙方应为参与本项目的所有人员（包含轮岗人员）购买意外伤害保险或雇主责任险，保额为50万元（含）及以上。须为超龄劳动者参加工伤保险并缴纳工伤保险费。</w:t>
      </w:r>
      <w:r/>
    </w:p>
    <w:p>
      <w:pPr>
        <w:ind w:firstLine="360"/>
        <w:spacing w:line="360" w:lineRule="auto"/>
        <w:rPr>
          <w:rFonts w:ascii="宋体" w:hAnsi="宋体" w:cs="Arial"/>
          <w:sz w:val="24"/>
        </w:rPr>
      </w:pPr>
      <w:r>
        <w:rPr>
          <w:rFonts w:hint="eastAsia" w:ascii="宋体" w:hAnsi="宋体" w:cs="Arial"/>
          <w:sz w:val="24"/>
        </w:rPr>
        <w:t xml:space="preserve">（19）乙方凭借环卫项目服务合同在本市银行开立专用账户。专户开立后30日内向项目所在地市(县)，区环境卫生管理部门报备，并提交环卫工人工资专用账户开设情况备案表。甲方自合同签订之日起30日内组织中标供应商开立专用账户，签订资金管理三方协议。如乙方在同一采购单位同时有2个及以上环卫项目的，可开立新的专用账户，也可在专用账户下按项目分别管理，设立母子户，母户名称以企业名称加“环卫工人工资专用账户”，子户名称为项目名称加“环卫工人工资专用账户”</w:t>
      </w:r>
      <w:r/>
    </w:p>
    <w:p>
      <w:pPr>
        <w:spacing w:line="360" w:lineRule="auto"/>
        <w:rPr>
          <w:rFonts w:ascii="宋体" w:hAnsi="宋体"/>
          <w:b/>
          <w:sz w:val="24"/>
        </w:rPr>
      </w:pPr>
      <w:r>
        <w:rPr>
          <w:rFonts w:hint="eastAsia" w:ascii="宋体" w:hAnsi="宋体"/>
          <w:b/>
          <w:sz w:val="24"/>
        </w:rPr>
        <w:t xml:space="preserve">七、质量与考核</w:t>
      </w:r>
      <w:r/>
    </w:p>
    <w:p>
      <w:pPr>
        <w:ind w:firstLine="480"/>
        <w:spacing w:line="360" w:lineRule="auto"/>
        <w:rPr>
          <w:rFonts w:ascii="宋体" w:hAnsi="宋体"/>
          <w:sz w:val="24"/>
        </w:rPr>
      </w:pPr>
      <w:r>
        <w:rPr>
          <w:rFonts w:hint="eastAsia" w:ascii="宋体" w:hAnsi="宋体"/>
          <w:sz w:val="24"/>
        </w:rPr>
        <w:t xml:space="preserve">1.乙方应认真按照本协议约定的质量标准进行作业，随时接受甲方的检查和考核，为检查和考核提供便利条件。</w:t>
      </w:r>
      <w:r/>
    </w:p>
    <w:p>
      <w:pPr>
        <w:ind w:firstLine="480"/>
        <w:spacing w:line="360" w:lineRule="auto"/>
        <w:rPr>
          <w:rFonts w:ascii="宋体" w:hAnsi="宋体"/>
          <w:sz w:val="24"/>
        </w:rPr>
      </w:pPr>
      <w:r>
        <w:rPr>
          <w:rFonts w:hint="eastAsia" w:ascii="宋体" w:hAnsi="宋体"/>
          <w:sz w:val="24"/>
        </w:rPr>
        <w:t xml:space="preserve">2.乙方退出管护，需在规定时间内按要求整改到位后交付，逾期整改不到位由接管方进行整改，所需费用由乙方支付，乙方拒绝支付的，甲方有权垫付后向乙方追偿。</w:t>
      </w:r>
      <w:r/>
    </w:p>
    <w:p>
      <w:pPr>
        <w:ind w:firstLine="480"/>
        <w:spacing w:line="360" w:lineRule="auto"/>
        <w:rPr>
          <w:rFonts w:ascii="宋体" w:hAnsi="宋体"/>
          <w:sz w:val="24"/>
        </w:rPr>
      </w:pPr>
      <w:r>
        <w:rPr>
          <w:rFonts w:hint="eastAsia" w:ascii="宋体" w:hAnsi="宋体"/>
          <w:sz w:val="24"/>
        </w:rPr>
        <w:t xml:space="preserve">3.环卫保洁工作的日常检查与考核标准，详见附件一《滨湖区环卫一体化作业质量检查考核标准</w:t>
      </w:r>
      <w:r>
        <w:rPr>
          <w:rFonts w:hint="eastAsia" w:ascii="宋体" w:hAnsi="宋体" w:cs="Arial"/>
          <w:bCs/>
          <w:sz w:val="24"/>
        </w:rPr>
        <w:t xml:space="preserve">》</w:t>
      </w:r>
      <w:r>
        <w:rPr>
          <w:rFonts w:hint="eastAsia" w:ascii="宋体" w:hAnsi="宋体"/>
          <w:sz w:val="24"/>
        </w:rPr>
        <w:t xml:space="preserve">。</w:t>
      </w:r>
      <w:r/>
    </w:p>
    <w:p>
      <w:pPr>
        <w:pStyle w:val="843"/>
        <w:spacing w:line="360" w:lineRule="auto"/>
        <w:rPr>
          <w:rFonts w:hAnsi="宋体"/>
          <w:b/>
          <w:sz w:val="24"/>
          <w:szCs w:val="24"/>
        </w:rPr>
      </w:pPr>
      <w:r>
        <w:rPr>
          <w:rFonts w:hint="eastAsia" w:hAnsi="宋体"/>
          <w:b/>
          <w:sz w:val="24"/>
          <w:szCs w:val="24"/>
        </w:rPr>
        <w:t xml:space="preserve">八、安全文明作业</w:t>
      </w:r>
      <w:r/>
    </w:p>
    <w:p>
      <w:pPr>
        <w:pStyle w:val="843"/>
        <w:ind w:firstLine="480"/>
        <w:spacing w:line="360" w:lineRule="auto"/>
        <w:rPr>
          <w:rFonts w:hAnsi="宋体"/>
          <w:sz w:val="24"/>
          <w:szCs w:val="24"/>
        </w:rPr>
      </w:pPr>
      <w:r>
        <w:rPr>
          <w:rFonts w:hint="eastAsia" w:hAnsi="宋体"/>
          <w:sz w:val="24"/>
          <w:szCs w:val="24"/>
        </w:rPr>
        <w:t xml:space="preserve">1.安全文明责任：自服务期限起始之日起，乙方全面负责其在养护作业区内的安全文明施工责任。</w:t>
      </w:r>
      <w:r/>
    </w:p>
    <w:p>
      <w:pPr>
        <w:ind w:firstLine="480"/>
        <w:spacing w:line="360" w:lineRule="auto"/>
        <w:rPr>
          <w:rFonts w:ascii="宋体" w:hAnsi="宋体"/>
          <w:sz w:val="24"/>
        </w:rPr>
      </w:pPr>
      <w:r>
        <w:rPr>
          <w:rFonts w:hint="eastAsia" w:ascii="宋体" w:hAnsi="宋体"/>
          <w:sz w:val="24"/>
        </w:rPr>
        <w:t xml:space="preserve">2.安全文明作业与检查：</w:t>
      </w:r>
      <w:r/>
    </w:p>
    <w:p>
      <w:pPr>
        <w:spacing w:line="360" w:lineRule="auto"/>
        <w:rPr>
          <w:rFonts w:ascii="宋体" w:hAnsi="宋体"/>
          <w:sz w:val="24"/>
        </w:rPr>
      </w:pPr>
      <w:r>
        <w:rPr>
          <w:rFonts w:hint="eastAsia" w:ascii="宋体" w:hAnsi="宋体"/>
          <w:sz w:val="24"/>
        </w:rPr>
        <w:t xml:space="preserve">   （1）乙方应做好作业管理区内的安全管理工作，采取必要的安全防护措施，消除事故隐患，并随时接受甲方或行业安全检查人员依法实施的监督检查。</w:t>
      </w:r>
      <w:r/>
    </w:p>
    <w:p>
      <w:pPr>
        <w:spacing w:line="360" w:lineRule="auto"/>
        <w:rPr>
          <w:rFonts w:ascii="宋体" w:hAnsi="宋体"/>
          <w:sz w:val="24"/>
        </w:rPr>
      </w:pPr>
      <w:r>
        <w:rPr>
          <w:rFonts w:hint="eastAsia" w:ascii="宋体" w:hAnsi="宋体"/>
          <w:sz w:val="24"/>
        </w:rPr>
        <w:t xml:space="preserve">   （2）由于乙方管理不善，引起政府职能部门处罚和停工整改，或因养护不及时、不合格或不规范及对作业区域内存在安全隐患的设施清理处置不及时等原因所造成人身伤亡、财产损失等事故，由乙方负责依法妥善处理，其费用和责任由乙方承担。甲方因此遭受损失的，有权向乙方追偿。</w:t>
      </w:r>
      <w:r/>
    </w:p>
    <w:p>
      <w:pPr>
        <w:ind w:firstLine="480"/>
        <w:spacing w:line="360" w:lineRule="auto"/>
        <w:rPr>
          <w:rFonts w:ascii="宋体" w:hAnsi="宋体"/>
          <w:sz w:val="24"/>
        </w:rPr>
      </w:pPr>
      <w:r>
        <w:rPr>
          <w:rFonts w:hint="eastAsia" w:ascii="宋体" w:hAnsi="宋体"/>
          <w:sz w:val="24"/>
        </w:rPr>
        <w:t xml:space="preserve">3.安全防护：乙方应保障作业人员做好各项安全防范措施，必须着装上岗操作，施工期间按规定做好安全标识。</w:t>
      </w:r>
      <w:r/>
    </w:p>
    <w:p>
      <w:pPr>
        <w:spacing w:line="360" w:lineRule="auto"/>
        <w:rPr>
          <w:rFonts w:ascii="宋体" w:hAnsi="宋体"/>
          <w:sz w:val="24"/>
        </w:rPr>
      </w:pPr>
      <w:r>
        <w:rPr>
          <w:rFonts w:hint="eastAsia" w:ascii="宋体" w:hAnsi="宋体"/>
          <w:sz w:val="24"/>
        </w:rPr>
        <w:t xml:space="preserve">    4.事故处理：发生重大伤亡及其他安全事故，乙方应按有关规定立即上报有关部门并通知甲方，同时按政府有关部门要求处理，由事故责任方承担发生的费用。</w:t>
      </w:r>
      <w:r/>
    </w:p>
    <w:p>
      <w:pPr>
        <w:spacing w:line="360" w:lineRule="auto"/>
        <w:rPr>
          <w:rFonts w:ascii="宋体" w:hAnsi="宋体" w:cs="Arial"/>
          <w:b/>
          <w:sz w:val="24"/>
        </w:rPr>
      </w:pPr>
      <w:r>
        <w:rPr>
          <w:rFonts w:hint="eastAsia" w:ascii="宋体" w:hAnsi="宋体" w:cs="Arial"/>
          <w:b/>
          <w:sz w:val="24"/>
        </w:rPr>
        <w:t xml:space="preserve">九、合同终止</w:t>
      </w:r>
      <w:r/>
    </w:p>
    <w:p>
      <w:pPr>
        <w:ind w:firstLine="480"/>
        <w:spacing w:line="360" w:lineRule="auto"/>
        <w:rPr>
          <w:rFonts w:ascii="宋体" w:hAnsi="宋体" w:cs="Arial"/>
          <w:sz w:val="24"/>
        </w:rPr>
      </w:pPr>
      <w:r>
        <w:rPr>
          <w:rFonts w:hint="eastAsia" w:ascii="宋体" w:hAnsi="宋体" w:cs="Arial"/>
          <w:sz w:val="24"/>
        </w:rPr>
        <w:t xml:space="preserve">1.有下列情形之一的，本协议自行解除。</w:t>
      </w:r>
      <w:r/>
    </w:p>
    <w:p>
      <w:pPr>
        <w:ind w:firstLine="360"/>
        <w:spacing w:line="360" w:lineRule="auto"/>
        <w:rPr>
          <w:rFonts w:ascii="宋体" w:hAnsi="宋体" w:cs="Arial"/>
          <w:sz w:val="24"/>
        </w:rPr>
      </w:pPr>
      <w:r>
        <w:rPr>
          <w:rFonts w:hint="eastAsia" w:ascii="宋体" w:hAnsi="宋体" w:cs="Arial"/>
          <w:sz w:val="24"/>
        </w:rPr>
        <w:t xml:space="preserve">（1）因建设需要或不可抗力及政策性因素，造成协议无法履行的。</w:t>
      </w:r>
      <w:r/>
    </w:p>
    <w:p>
      <w:pPr>
        <w:ind w:firstLine="360"/>
        <w:spacing w:line="360" w:lineRule="auto"/>
        <w:rPr>
          <w:rFonts w:ascii="宋体" w:hAnsi="宋体" w:cs="Arial"/>
          <w:sz w:val="24"/>
        </w:rPr>
      </w:pPr>
      <w:r>
        <w:rPr>
          <w:rFonts w:hint="eastAsia" w:ascii="宋体" w:hAnsi="宋体" w:cs="Arial"/>
          <w:sz w:val="24"/>
        </w:rPr>
        <w:t xml:space="preserve">（2）经双方协商一致，自愿解除的。</w:t>
      </w:r>
      <w:r/>
    </w:p>
    <w:p>
      <w:pPr>
        <w:ind w:firstLine="480"/>
        <w:spacing w:line="360" w:lineRule="auto"/>
        <w:rPr>
          <w:rFonts w:ascii="宋体" w:hAnsi="宋体" w:cs="Arial"/>
          <w:sz w:val="24"/>
        </w:rPr>
      </w:pPr>
      <w:r>
        <w:rPr>
          <w:rFonts w:hint="eastAsia" w:ascii="宋体" w:hAnsi="宋体" w:cs="Arial"/>
          <w:sz w:val="24"/>
        </w:rPr>
        <w:t xml:space="preserve">2.乙方有下列情形之一的，甲方有权单方终止协议。</w:t>
      </w:r>
      <w:r/>
    </w:p>
    <w:p>
      <w:pPr>
        <w:ind w:firstLine="420"/>
        <w:spacing w:line="360" w:lineRule="auto"/>
        <w:rPr>
          <w:rFonts w:ascii="宋体" w:hAnsi="宋体"/>
          <w:sz w:val="24"/>
        </w:rPr>
      </w:pPr>
      <w:r>
        <w:rPr>
          <w:rFonts w:hint="eastAsia" w:ascii="宋体" w:hAnsi="宋体"/>
          <w:sz w:val="24"/>
        </w:rPr>
        <w:t xml:space="preserve">（1）擅自将采购人所有的以及交由中标供应商所经营管理的资产进行处置或者抵押的。</w:t>
      </w:r>
      <w:r/>
    </w:p>
    <w:p>
      <w:pPr>
        <w:ind w:firstLine="420"/>
        <w:spacing w:line="360" w:lineRule="auto"/>
        <w:rPr>
          <w:rFonts w:ascii="宋体" w:hAnsi="宋体"/>
          <w:sz w:val="24"/>
        </w:rPr>
      </w:pPr>
      <w:r>
        <w:rPr>
          <w:rFonts w:hint="eastAsia" w:ascii="宋体" w:hAnsi="宋体"/>
          <w:sz w:val="24"/>
        </w:rPr>
        <w:t xml:space="preserve">（2）中标供应商同一片区当月得分小于70分或者连续两个月得分小于80分的。</w:t>
      </w:r>
      <w:r/>
    </w:p>
    <w:p>
      <w:pPr>
        <w:ind w:firstLine="420"/>
        <w:spacing w:line="360" w:lineRule="auto"/>
        <w:rPr>
          <w:rFonts w:ascii="宋体" w:hAnsi="宋体"/>
          <w:sz w:val="24"/>
        </w:rPr>
      </w:pPr>
      <w:r>
        <w:rPr>
          <w:rFonts w:hint="eastAsia" w:ascii="宋体" w:hAnsi="宋体"/>
          <w:sz w:val="24"/>
        </w:rPr>
        <w:t xml:space="preserve">（3）在政府部门组织的测评中，中标供应商管理作业方面存在明显重大过错或失误，在测评中环境卫生方面严重失分导致考核结果不通过的。</w:t>
      </w:r>
      <w:r/>
    </w:p>
    <w:p>
      <w:pPr>
        <w:ind w:firstLine="420"/>
        <w:spacing w:line="360" w:lineRule="auto"/>
        <w:rPr>
          <w:rFonts w:ascii="宋体" w:hAnsi="宋体"/>
          <w:sz w:val="24"/>
        </w:rPr>
      </w:pPr>
      <w:r>
        <w:rPr>
          <w:rFonts w:hint="eastAsia" w:ascii="宋体" w:hAnsi="宋体"/>
          <w:sz w:val="24"/>
        </w:rPr>
        <w:t xml:space="preserve">（4）中标供应商因管理不善、发生生产安全事故的。</w:t>
      </w:r>
      <w:r/>
    </w:p>
    <w:p>
      <w:pPr>
        <w:ind w:firstLine="420"/>
        <w:spacing w:line="360" w:lineRule="auto"/>
        <w:rPr>
          <w:rFonts w:ascii="宋体" w:hAnsi="宋体"/>
          <w:sz w:val="24"/>
        </w:rPr>
      </w:pPr>
      <w:r>
        <w:rPr>
          <w:rFonts w:hint="eastAsia" w:ascii="宋体" w:hAnsi="宋体"/>
          <w:sz w:val="24"/>
        </w:rPr>
        <w:t xml:space="preserve">（5）中标供应商出现连续欠薪两个月或连续12个月内累计发生三次以上（含三次）欠薪情况的，导致员工投诉、上访、仲裁、诉讼或影响项目正常运行的。</w:t>
      </w:r>
      <w:r/>
    </w:p>
    <w:p>
      <w:pPr>
        <w:ind w:firstLine="420"/>
        <w:spacing w:line="360" w:lineRule="auto"/>
        <w:rPr>
          <w:rFonts w:ascii="宋体" w:hAnsi="宋体"/>
          <w:sz w:val="24"/>
        </w:rPr>
      </w:pPr>
      <w:r>
        <w:rPr>
          <w:rFonts w:hint="eastAsia" w:ascii="宋体" w:hAnsi="宋体"/>
          <w:sz w:val="24"/>
        </w:rPr>
        <w:t xml:space="preserve">（6）</w:t>
      </w:r>
      <w:bookmarkStart w:id="16" w:name="OLE_LINK7"/>
      <w:r/>
      <w:bookmarkStart w:id="17" w:name="OLE_LINK8"/>
      <w:r>
        <w:rPr>
          <w:rFonts w:hint="eastAsia" w:ascii="宋体" w:hAnsi="宋体"/>
          <w:sz w:val="24"/>
        </w:rPr>
        <w:t xml:space="preserve">中标供应商擅自停业、歇业</w:t>
      </w:r>
      <w:bookmarkEnd w:id="16"/>
      <w:r/>
      <w:bookmarkEnd w:id="17"/>
      <w:r>
        <w:rPr>
          <w:rFonts w:hint="eastAsia" w:ascii="宋体" w:hAnsi="宋体"/>
          <w:sz w:val="24"/>
        </w:rPr>
        <w:t xml:space="preserve">。</w:t>
      </w:r>
      <w:r/>
    </w:p>
    <w:p>
      <w:pPr>
        <w:ind w:firstLine="420"/>
        <w:spacing w:line="360" w:lineRule="auto"/>
        <w:rPr>
          <w:rFonts w:ascii="宋体" w:hAnsi="宋体"/>
          <w:sz w:val="24"/>
        </w:rPr>
      </w:pPr>
      <w:r>
        <w:rPr>
          <w:rFonts w:hint="eastAsia" w:ascii="宋体" w:hAnsi="宋体"/>
          <w:sz w:val="24"/>
        </w:rPr>
        <w:t xml:space="preserve">（7）中标供应商合同重要条款未履行达标且收到书面整改通知后未按通知限期整改的。</w:t>
      </w:r>
      <w:r/>
    </w:p>
    <w:p>
      <w:pPr>
        <w:ind w:firstLine="420"/>
        <w:spacing w:line="360" w:lineRule="auto"/>
        <w:rPr>
          <w:rFonts w:ascii="宋体" w:hAnsi="宋体"/>
          <w:sz w:val="24"/>
        </w:rPr>
      </w:pPr>
      <w:r>
        <w:rPr>
          <w:rFonts w:hint="eastAsia" w:ascii="宋体" w:hAnsi="宋体"/>
          <w:sz w:val="24"/>
        </w:rPr>
        <w:t xml:space="preserve">（8）中标供应商服务期间如被列入“信用中国”记录失信被执行人或重大税收违法失信主体，或发生法律、法规禁止的其他行为或有犯罪行为等的。</w:t>
      </w:r>
      <w:r/>
    </w:p>
    <w:p>
      <w:pPr>
        <w:ind w:firstLine="420"/>
        <w:spacing w:line="360" w:lineRule="auto"/>
        <w:rPr>
          <w:rFonts w:ascii="宋体" w:hAnsi="宋体"/>
          <w:sz w:val="24"/>
        </w:rPr>
      </w:pPr>
      <w:r>
        <w:rPr>
          <w:rFonts w:hint="eastAsia" w:ascii="宋体" w:hAnsi="宋体"/>
          <w:sz w:val="24"/>
        </w:rPr>
        <w:t xml:space="preserve">（9）将中标项目转包给他人，或者在投标文件中未说明，且未经过采购人同意，将中标项目分包给他人的。</w:t>
      </w:r>
      <w:r/>
    </w:p>
    <w:p>
      <w:pPr>
        <w:ind w:firstLine="420"/>
        <w:spacing w:line="360" w:lineRule="auto"/>
        <w:rPr>
          <w:rFonts w:ascii="宋体" w:hAnsi="宋体"/>
          <w:sz w:val="24"/>
        </w:rPr>
      </w:pPr>
      <w:r>
        <w:rPr>
          <w:rFonts w:hint="eastAsia" w:ascii="宋体" w:hAnsi="宋体"/>
          <w:sz w:val="24"/>
        </w:rPr>
        <w:t xml:space="preserve">（10）合同继续履行将损害国家利益或社会公共利益的，以及法律规定的其他情形。</w:t>
      </w:r>
      <w:r/>
    </w:p>
    <w:p>
      <w:pPr>
        <w:ind w:firstLine="480"/>
        <w:spacing w:line="360" w:lineRule="auto"/>
        <w:rPr>
          <w:rFonts w:ascii="宋体" w:hAnsi="宋体" w:cs="Arial"/>
          <w:sz w:val="24"/>
        </w:rPr>
      </w:pPr>
      <w:r>
        <w:rPr>
          <w:rFonts w:hint="eastAsia" w:ascii="宋体" w:hAnsi="宋体" w:cs="Arial"/>
          <w:sz w:val="24"/>
        </w:rPr>
        <w:t xml:space="preserve">3.除上述约定外，甲方有权提前三个月书面告知乙方后终止协议，甲方据此终止协议的，应与乙方据实结算，除此之外不承担任何违约责任。</w:t>
      </w:r>
      <w:r/>
    </w:p>
    <w:p>
      <w:pPr>
        <w:spacing w:line="360" w:lineRule="auto"/>
        <w:rPr>
          <w:rFonts w:ascii="宋体" w:hAnsi="宋体" w:cs="Arial"/>
          <w:b/>
          <w:sz w:val="24"/>
        </w:rPr>
      </w:pPr>
      <w:r>
        <w:rPr>
          <w:rFonts w:hint="eastAsia" w:ascii="宋体" w:hAnsi="宋体" w:cs="Arial"/>
          <w:b/>
          <w:sz w:val="24"/>
        </w:rPr>
        <w:t xml:space="preserve">十、违约责任</w:t>
      </w:r>
      <w:r/>
    </w:p>
    <w:p>
      <w:pPr>
        <w:ind w:firstLine="360"/>
        <w:spacing w:line="360" w:lineRule="auto"/>
        <w:rPr>
          <w:rFonts w:ascii="宋体" w:hAnsi="宋体" w:cs="Arial"/>
          <w:sz w:val="24"/>
        </w:rPr>
      </w:pPr>
      <w:r>
        <w:rPr>
          <w:rFonts w:ascii="宋体" w:hAnsi="宋体" w:cs="Arial"/>
          <w:sz w:val="24"/>
        </w:rPr>
        <w:t xml:space="preserve">1.乙方不满足或违反本合同及不可分割部分各项要求、约定的情形均系违约，甲方可视实际情况选择以下一个或多个方式追究乙方的违约责任：支付甲方因此产生的费用增项（含另行委托第三方的费用）；要求退还已支付的部分或全部合同价款</w:t>
      </w:r>
      <w:r>
        <w:rPr>
          <w:rFonts w:hint="eastAsia" w:ascii="宋体" w:hAnsi="宋体" w:cs="Arial"/>
          <w:sz w:val="24"/>
        </w:rPr>
        <w:t xml:space="preserve">，具体金额以甲方要求为准</w:t>
      </w:r>
      <w:r>
        <w:rPr>
          <w:rFonts w:ascii="宋体" w:hAnsi="宋体" w:cs="Arial"/>
          <w:sz w:val="24"/>
        </w:rPr>
        <w:t xml:space="preserve">；赔偿甲方的直接及间接损失</w:t>
      </w:r>
      <w:r>
        <w:rPr>
          <w:rFonts w:hint="eastAsia" w:ascii="宋体" w:hAnsi="宋体" w:cs="Arial"/>
          <w:sz w:val="24"/>
        </w:rPr>
        <w:t xml:space="preserve">、</w:t>
      </w:r>
      <w:r>
        <w:rPr>
          <w:rFonts w:ascii="宋体" w:hAnsi="宋体" w:cs="Arial"/>
          <w:sz w:val="24"/>
        </w:rPr>
        <w:t xml:space="preserve">违约金</w:t>
      </w:r>
      <w:r>
        <w:rPr>
          <w:rFonts w:hint="eastAsia" w:ascii="宋体" w:hAnsi="宋体" w:cs="Arial"/>
          <w:sz w:val="24"/>
        </w:rPr>
        <w:t xml:space="preserve">、维权成本</w:t>
      </w:r>
      <w:r>
        <w:rPr>
          <w:rFonts w:ascii="宋体" w:hAnsi="宋体" w:cs="Arial"/>
          <w:sz w:val="24"/>
        </w:rPr>
        <w:t xml:space="preserve">等。</w:t>
      </w:r>
      <w:r/>
    </w:p>
    <w:p>
      <w:pPr>
        <w:ind w:firstLine="360"/>
        <w:spacing w:line="360" w:lineRule="auto"/>
        <w:rPr>
          <w:rFonts w:ascii="宋体" w:hAnsi="宋体" w:cs="Arial"/>
          <w:sz w:val="24"/>
        </w:rPr>
      </w:pPr>
      <w:r>
        <w:rPr>
          <w:rFonts w:ascii="宋体" w:hAnsi="宋体" w:cs="Arial"/>
          <w:sz w:val="24"/>
        </w:rPr>
        <w:t xml:space="preserve">2.当乙方出现下列任一情况时，甲方除有权选择适用上一条内约定的一项或多项违约责任追究方式外，还有权单方解除本合同：</w:t>
      </w:r>
      <w:r/>
    </w:p>
    <w:p>
      <w:pPr>
        <w:ind w:firstLine="360"/>
        <w:spacing w:line="360" w:lineRule="auto"/>
        <w:rPr>
          <w:rFonts w:ascii="宋体" w:hAnsi="宋体" w:cs="Arial"/>
          <w:sz w:val="24"/>
        </w:rPr>
      </w:pPr>
      <w:r>
        <w:rPr>
          <w:rFonts w:ascii="宋体" w:hAnsi="宋体" w:cs="Arial"/>
          <w:sz w:val="24"/>
        </w:rPr>
        <w:t xml:space="preserve">（1）乙方</w:t>
      </w:r>
      <w:r>
        <w:rPr>
          <w:rFonts w:hint="eastAsia" w:ascii="宋体" w:hAnsi="宋体" w:cs="Arial"/>
          <w:sz w:val="24"/>
        </w:rPr>
        <w:t xml:space="preserve">未按约定时间及要求完整配置相关人员、车辆及场地的。</w:t>
      </w:r>
      <w:r/>
    </w:p>
    <w:p>
      <w:pPr>
        <w:ind w:firstLine="360"/>
        <w:spacing w:line="360" w:lineRule="auto"/>
        <w:rPr>
          <w:rFonts w:ascii="宋体" w:hAnsi="宋体" w:cs="Arial"/>
          <w:sz w:val="24"/>
        </w:rPr>
      </w:pPr>
      <w:r>
        <w:rPr>
          <w:rFonts w:hint="eastAsia" w:ascii="宋体" w:hAnsi="宋体" w:cs="Arial"/>
          <w:sz w:val="24"/>
        </w:rPr>
        <w:t xml:space="preserve">（2）乙方未按约定时间及要求进场服务作业的。</w:t>
      </w:r>
      <w:r/>
    </w:p>
    <w:p>
      <w:pPr>
        <w:ind w:firstLine="360"/>
        <w:spacing w:line="360" w:lineRule="auto"/>
        <w:rPr>
          <w:rFonts w:ascii="宋体" w:hAnsi="宋体" w:cs="Arial"/>
          <w:sz w:val="24"/>
        </w:rPr>
      </w:pPr>
      <w:r>
        <w:rPr>
          <w:rFonts w:ascii="宋体" w:hAnsi="宋体" w:cs="Arial"/>
          <w:sz w:val="24"/>
        </w:rPr>
        <w:t xml:space="preserve">（</w:t>
      </w:r>
      <w:r>
        <w:rPr>
          <w:rFonts w:hint="eastAsia" w:ascii="宋体" w:hAnsi="宋体" w:cs="Arial"/>
          <w:sz w:val="24"/>
        </w:rPr>
        <w:t xml:space="preserve">3</w:t>
      </w:r>
      <w:r>
        <w:rPr>
          <w:rFonts w:ascii="宋体" w:hAnsi="宋体" w:cs="Arial"/>
          <w:sz w:val="24"/>
        </w:rPr>
        <w:t xml:space="preserve">）提供的关于本项目开展情况的回复及分析研究等出现错误、失实、与约定不符的情形累计达2次的</w:t>
      </w:r>
      <w:r>
        <w:rPr>
          <w:rFonts w:hint="eastAsia" w:ascii="宋体" w:hAnsi="宋体" w:cs="Arial"/>
          <w:sz w:val="24"/>
        </w:rPr>
        <w:t xml:space="preserve">。</w:t>
      </w:r>
      <w:r/>
    </w:p>
    <w:p>
      <w:pPr>
        <w:ind w:firstLine="360"/>
        <w:spacing w:line="360" w:lineRule="auto"/>
        <w:rPr>
          <w:rFonts w:ascii="宋体" w:hAnsi="宋体" w:cs="Arial"/>
          <w:sz w:val="24"/>
        </w:rPr>
      </w:pPr>
      <w:r>
        <w:rPr>
          <w:rFonts w:ascii="宋体" w:hAnsi="宋体" w:cs="Arial"/>
          <w:sz w:val="24"/>
        </w:rPr>
        <w:t xml:space="preserve">（</w:t>
      </w:r>
      <w:r>
        <w:rPr>
          <w:rFonts w:hint="eastAsia" w:ascii="宋体" w:hAnsi="宋体" w:cs="Arial"/>
          <w:sz w:val="24"/>
        </w:rPr>
        <w:t xml:space="preserve">4</w:t>
      </w:r>
      <w:r>
        <w:rPr>
          <w:rFonts w:ascii="宋体" w:hAnsi="宋体" w:cs="Arial"/>
          <w:sz w:val="24"/>
        </w:rPr>
        <w:t xml:space="preserve">）制作的编制文件、报告等不符合本合同及不可分割部分各项要求，乙方不予修改或经两次修改仍未完全满足本合同及不可分割部分各项要求</w:t>
      </w:r>
      <w:r>
        <w:rPr>
          <w:rFonts w:hint="eastAsia" w:ascii="宋体" w:hAnsi="宋体" w:cs="Arial"/>
          <w:sz w:val="24"/>
        </w:rPr>
        <w:t xml:space="preserve">。</w:t>
      </w:r>
      <w:r/>
    </w:p>
    <w:p>
      <w:pPr>
        <w:ind w:firstLine="360"/>
        <w:spacing w:line="360" w:lineRule="auto"/>
        <w:rPr>
          <w:rFonts w:ascii="宋体" w:hAnsi="宋体" w:cs="Arial"/>
          <w:sz w:val="24"/>
        </w:rPr>
      </w:pPr>
      <w:r>
        <w:rPr>
          <w:rFonts w:ascii="宋体" w:hAnsi="宋体" w:cs="Arial"/>
          <w:sz w:val="24"/>
        </w:rPr>
        <w:t xml:space="preserve">（</w:t>
      </w:r>
      <w:r>
        <w:rPr>
          <w:rFonts w:hint="eastAsia" w:ascii="宋体" w:hAnsi="宋体" w:cs="Arial"/>
          <w:sz w:val="24"/>
        </w:rPr>
        <w:t xml:space="preserve">5</w:t>
      </w:r>
      <w:r>
        <w:rPr>
          <w:rFonts w:ascii="宋体" w:hAnsi="宋体" w:cs="Arial"/>
          <w:sz w:val="24"/>
        </w:rPr>
        <w:t xml:space="preserve">）委派的员工不符合约定要求及能力</w:t>
      </w:r>
      <w:r>
        <w:rPr>
          <w:rFonts w:hint="eastAsia" w:ascii="宋体" w:hAnsi="宋体" w:cs="Arial"/>
          <w:sz w:val="24"/>
        </w:rPr>
        <w:t xml:space="preserve">。</w:t>
      </w:r>
      <w:r/>
    </w:p>
    <w:p>
      <w:pPr>
        <w:ind w:firstLine="360"/>
        <w:spacing w:line="360" w:lineRule="auto"/>
        <w:rPr>
          <w:rFonts w:ascii="宋体" w:hAnsi="宋体" w:cs="Arial"/>
          <w:sz w:val="24"/>
        </w:rPr>
      </w:pPr>
      <w:r>
        <w:rPr>
          <w:rFonts w:ascii="宋体" w:hAnsi="宋体" w:cs="Arial"/>
          <w:sz w:val="24"/>
        </w:rPr>
        <w:t xml:space="preserve">（</w:t>
      </w:r>
      <w:r>
        <w:rPr>
          <w:rFonts w:hint="eastAsia" w:ascii="宋体" w:hAnsi="宋体" w:cs="Arial"/>
          <w:sz w:val="24"/>
        </w:rPr>
        <w:t xml:space="preserve">6</w:t>
      </w:r>
      <w:r>
        <w:rPr>
          <w:rFonts w:ascii="宋体" w:hAnsi="宋体" w:cs="Arial"/>
          <w:sz w:val="24"/>
        </w:rPr>
        <w:t xml:space="preserve">）</w:t>
      </w:r>
      <w:r>
        <w:rPr>
          <w:rFonts w:hint="eastAsia" w:ascii="宋体" w:hAnsi="宋体" w:cs="Arial"/>
          <w:sz w:val="24"/>
        </w:rPr>
        <w:t xml:space="preserve">因乙方的原因给甲方和</w:t>
      </w:r>
      <w:r>
        <w:rPr>
          <w:rFonts w:ascii="宋体" w:hAnsi="宋体" w:cs="Arial"/>
          <w:sz w:val="24"/>
        </w:rPr>
        <w:t xml:space="preserve">/</w:t>
      </w:r>
      <w:r>
        <w:rPr>
          <w:rFonts w:hint="eastAsia" w:ascii="宋体" w:hAnsi="宋体" w:cs="Arial"/>
          <w:sz w:val="24"/>
        </w:rPr>
        <w:t xml:space="preserve">或第三方造成人身损害或财产的损失的。</w:t>
      </w:r>
      <w:r/>
    </w:p>
    <w:p>
      <w:pPr>
        <w:ind w:firstLine="360"/>
        <w:spacing w:line="360" w:lineRule="auto"/>
        <w:rPr>
          <w:rFonts w:ascii="宋体" w:hAnsi="宋体" w:cs="Arial"/>
          <w:sz w:val="24"/>
        </w:rPr>
      </w:pPr>
      <w:r>
        <w:rPr>
          <w:rFonts w:hint="eastAsia" w:ascii="宋体" w:hAnsi="宋体" w:cs="Arial"/>
          <w:sz w:val="24"/>
        </w:rPr>
        <w:t xml:space="preserve">（7）乙方转包或擅自分包或擅自更换项目经理的。</w:t>
      </w:r>
      <w:r/>
    </w:p>
    <w:p>
      <w:pPr>
        <w:ind w:firstLine="360"/>
        <w:spacing w:line="360" w:lineRule="auto"/>
        <w:rPr>
          <w:rFonts w:ascii="宋体" w:hAnsi="宋体" w:cs="Arial"/>
          <w:sz w:val="24"/>
        </w:rPr>
      </w:pPr>
      <w:r>
        <w:rPr>
          <w:rFonts w:ascii="宋体" w:hAnsi="宋体" w:cs="Arial"/>
          <w:sz w:val="24"/>
        </w:rPr>
        <w:t xml:space="preserve">（</w:t>
      </w:r>
      <w:r>
        <w:rPr>
          <w:rFonts w:hint="eastAsia" w:ascii="宋体" w:hAnsi="宋体" w:cs="Arial"/>
          <w:sz w:val="24"/>
        </w:rPr>
        <w:t xml:space="preserve">8</w:t>
      </w:r>
      <w:r>
        <w:rPr>
          <w:rFonts w:ascii="宋体" w:hAnsi="宋体" w:cs="Arial"/>
          <w:sz w:val="24"/>
        </w:rPr>
        <w:t xml:space="preserve">）乙方及其委派人员的资质</w:t>
      </w:r>
      <w:r>
        <w:rPr>
          <w:rFonts w:hint="eastAsia" w:ascii="宋体" w:hAnsi="宋体" w:cs="Arial"/>
          <w:sz w:val="24"/>
        </w:rPr>
        <w:t xml:space="preserve">、</w:t>
      </w:r>
      <w:r>
        <w:rPr>
          <w:rFonts w:ascii="宋体" w:hAnsi="宋体" w:cs="Arial"/>
          <w:sz w:val="24"/>
        </w:rPr>
        <w:t xml:space="preserve">专业经历及情况等不实的</w:t>
      </w:r>
      <w:r>
        <w:rPr>
          <w:rFonts w:hint="eastAsia" w:ascii="宋体" w:hAnsi="宋体" w:cs="Arial"/>
          <w:sz w:val="24"/>
        </w:rPr>
        <w:t xml:space="preserve">。</w:t>
      </w:r>
      <w:r/>
    </w:p>
    <w:p>
      <w:pPr>
        <w:ind w:firstLine="360"/>
        <w:spacing w:line="360" w:lineRule="auto"/>
        <w:rPr>
          <w:rFonts w:ascii="宋体" w:hAnsi="宋体" w:cs="Arial"/>
          <w:sz w:val="24"/>
        </w:rPr>
      </w:pPr>
      <w:r>
        <w:rPr>
          <w:rFonts w:ascii="宋体" w:hAnsi="宋体" w:cs="Arial"/>
          <w:sz w:val="24"/>
        </w:rPr>
        <w:t xml:space="preserve">（</w:t>
      </w:r>
      <w:r>
        <w:rPr>
          <w:rFonts w:hint="eastAsia" w:ascii="宋体" w:hAnsi="宋体" w:cs="Arial"/>
          <w:sz w:val="24"/>
        </w:rPr>
        <w:t xml:space="preserve">9</w:t>
      </w:r>
      <w:r>
        <w:rPr>
          <w:rFonts w:ascii="宋体" w:hAnsi="宋体" w:cs="Arial"/>
          <w:sz w:val="24"/>
        </w:rPr>
        <w:t xml:space="preserve">）乙方及其人员存在违反知识产权、保密条款的约定</w:t>
      </w:r>
      <w:r>
        <w:rPr>
          <w:rFonts w:hint="eastAsia" w:ascii="宋体" w:hAnsi="宋体" w:cs="Arial"/>
          <w:sz w:val="24"/>
        </w:rPr>
        <w:t xml:space="preserve">。</w:t>
      </w:r>
      <w:r/>
    </w:p>
    <w:p>
      <w:pPr>
        <w:ind w:firstLine="360"/>
        <w:spacing w:line="360" w:lineRule="auto"/>
        <w:rPr>
          <w:rFonts w:ascii="宋体" w:hAnsi="宋体" w:cs="Arial"/>
          <w:sz w:val="24"/>
        </w:rPr>
      </w:pPr>
      <w:r>
        <w:rPr>
          <w:rFonts w:ascii="宋体" w:hAnsi="宋体" w:cs="Arial"/>
          <w:sz w:val="24"/>
        </w:rPr>
        <w:t xml:space="preserve">（</w:t>
      </w:r>
      <w:r>
        <w:rPr>
          <w:rFonts w:hint="eastAsia" w:ascii="宋体" w:hAnsi="宋体" w:cs="Arial"/>
          <w:sz w:val="24"/>
        </w:rPr>
        <w:t xml:space="preserve">10</w:t>
      </w:r>
      <w:r>
        <w:rPr>
          <w:rFonts w:ascii="宋体" w:hAnsi="宋体" w:cs="Arial"/>
          <w:sz w:val="24"/>
        </w:rPr>
        <w:t xml:space="preserve">）存在损害甲方及项目利益（含声誉、经济利益等）行为的</w:t>
      </w:r>
      <w:r>
        <w:rPr>
          <w:rFonts w:hint="eastAsia" w:ascii="宋体" w:hAnsi="宋体" w:cs="Arial"/>
          <w:sz w:val="24"/>
        </w:rPr>
        <w:t xml:space="preserve">。</w:t>
      </w:r>
      <w:r/>
    </w:p>
    <w:p>
      <w:pPr>
        <w:ind w:firstLine="360"/>
        <w:spacing w:line="360" w:lineRule="auto"/>
        <w:rPr>
          <w:rFonts w:ascii="宋体" w:hAnsi="宋体" w:cs="Arial"/>
          <w:sz w:val="24"/>
        </w:rPr>
      </w:pPr>
      <w:r>
        <w:rPr>
          <w:rFonts w:ascii="宋体" w:hAnsi="宋体" w:cs="Arial"/>
          <w:sz w:val="24"/>
        </w:rPr>
        <w:t xml:space="preserve">（</w:t>
      </w:r>
      <w:r>
        <w:rPr>
          <w:rFonts w:hint="eastAsia" w:ascii="宋体" w:hAnsi="宋体" w:cs="Arial"/>
          <w:sz w:val="24"/>
        </w:rPr>
        <w:t xml:space="preserve">11</w:t>
      </w:r>
      <w:r>
        <w:rPr>
          <w:rFonts w:ascii="宋体" w:hAnsi="宋体" w:cs="Arial"/>
          <w:sz w:val="24"/>
        </w:rPr>
        <w:t xml:space="preserve">）因乙方原因导致甲方</w:t>
      </w:r>
      <w:r>
        <w:rPr>
          <w:rFonts w:hint="eastAsia" w:ascii="宋体" w:hAnsi="宋体" w:cs="Arial"/>
          <w:sz w:val="24"/>
        </w:rPr>
        <w:t xml:space="preserve">被第三方投诉、举报、信访、仲裁、诉讼的。</w:t>
      </w:r>
      <w:r/>
    </w:p>
    <w:p>
      <w:pPr>
        <w:ind w:firstLine="360"/>
        <w:spacing w:line="360" w:lineRule="auto"/>
        <w:rPr>
          <w:rFonts w:ascii="宋体" w:hAnsi="宋体" w:cs="Arial"/>
          <w:sz w:val="24"/>
        </w:rPr>
      </w:pPr>
      <w:r>
        <w:rPr>
          <w:rFonts w:hint="eastAsia" w:ascii="宋体" w:hAnsi="宋体" w:cs="Arial"/>
          <w:sz w:val="24"/>
        </w:rPr>
        <w:t xml:space="preserve">3.因乙方违约致使本合同提前终止或解除的，乙方须按合同总额的10%支付违约金、根据甲方指令在做好交接工作后退场，并另行赔偿由此给甲方或第三方造成的一切损失。</w:t>
      </w:r>
      <w:r/>
    </w:p>
    <w:p>
      <w:pPr>
        <w:ind w:firstLine="360"/>
        <w:spacing w:line="360" w:lineRule="auto"/>
      </w:pPr>
      <w:r>
        <w:rPr>
          <w:rFonts w:hint="eastAsia" w:ascii="宋体" w:hAnsi="宋体" w:cs="Arial"/>
          <w:sz w:val="24"/>
        </w:rPr>
        <w:t xml:space="preserve">4.因乙方违约致使甲方损失的，乙方除按本合同约定承担违约责任外，还应另行赔偿由此造成的一切损失，赔偿范围包括但不限于甲方受到的直接损失、甲方为减小损失采取合理措施所产生的费用、甲方为维护合法权益产生的诉讼费、律师费、诉讼保全担保费、公证费等。</w:t>
      </w:r>
      <w:r/>
    </w:p>
    <w:p>
      <w:pPr>
        <w:ind w:firstLine="241"/>
        <w:spacing w:line="360" w:lineRule="auto"/>
        <w:rPr>
          <w:rFonts w:ascii="宋体" w:hAnsi="宋体" w:cs="Arial"/>
          <w:b/>
          <w:sz w:val="24"/>
        </w:rPr>
      </w:pPr>
      <w:r>
        <w:rPr>
          <w:rFonts w:hint="eastAsia" w:ascii="宋体" w:hAnsi="宋体" w:cs="Arial"/>
          <w:b/>
          <w:sz w:val="24"/>
        </w:rPr>
        <w:t xml:space="preserve">十一、履约保证金</w:t>
      </w:r>
      <w:r/>
    </w:p>
    <w:p>
      <w:pPr>
        <w:ind w:firstLine="360"/>
        <w:spacing w:line="360" w:lineRule="auto"/>
        <w:rPr>
          <w:rFonts w:ascii="宋体" w:hAnsi="宋体" w:cs="Arial"/>
          <w:sz w:val="24"/>
        </w:rPr>
      </w:pPr>
      <w:r>
        <w:rPr>
          <w:rFonts w:ascii="宋体" w:hAnsi="宋体" w:cs="Arial"/>
          <w:sz w:val="24"/>
        </w:rPr>
        <w:t xml:space="preserve">1.履约保证金的缴纳</w:t>
      </w:r>
      <w:r/>
    </w:p>
    <w:p>
      <w:pPr>
        <w:ind w:firstLine="360"/>
        <w:spacing w:line="360" w:lineRule="auto"/>
        <w:rPr>
          <w:rFonts w:ascii="宋体" w:hAnsi="宋体" w:cs="Arial"/>
          <w:sz w:val="24"/>
        </w:rPr>
      </w:pPr>
      <w:r>
        <w:rPr>
          <w:rFonts w:ascii="宋体" w:hAnsi="宋体" w:cs="Arial"/>
          <w:sz w:val="24"/>
        </w:rPr>
        <w:t xml:space="preserve">本项目甲方要求乙方缴纳履约保证金。履约保证金金额为三年合同总金额的10%。乙方应自主选择以支票、汇票、本票、保函等非现金形式缴纳或提交。履约保证金须自采购合同签订完成之日起30 日内缴纳。</w:t>
      </w:r>
      <w:r/>
    </w:p>
    <w:p>
      <w:pPr>
        <w:ind w:firstLine="360"/>
        <w:spacing w:line="360" w:lineRule="auto"/>
        <w:rPr>
          <w:rFonts w:ascii="宋体" w:hAnsi="宋体" w:cs="Arial"/>
          <w:sz w:val="24"/>
        </w:rPr>
      </w:pPr>
      <w:r>
        <w:rPr>
          <w:rFonts w:ascii="宋体" w:hAnsi="宋体" w:cs="Arial"/>
          <w:sz w:val="24"/>
        </w:rPr>
        <w:t xml:space="preserve">2.履约保证金的退付</w:t>
      </w:r>
      <w:r/>
    </w:p>
    <w:p>
      <w:pPr>
        <w:ind w:firstLine="360"/>
        <w:spacing w:line="360" w:lineRule="auto"/>
        <w:rPr>
          <w:rFonts w:ascii="宋体" w:hAnsi="宋体" w:cs="Arial"/>
          <w:sz w:val="24"/>
        </w:rPr>
      </w:pPr>
      <w:r>
        <w:rPr>
          <w:rFonts w:ascii="宋体" w:hAnsi="宋体" w:cs="Arial"/>
          <w:sz w:val="24"/>
        </w:rPr>
        <w:t xml:space="preserve">（1）本项目合同履行期限（三年）满后 30 天内，根据乙方履约情况，经甲方确认乙方无任何违约或违法行为，也未给甲方造成损失的，甲方应将履约保证金无息退还给乙方。</w:t>
      </w:r>
      <w:r/>
    </w:p>
    <w:p>
      <w:pPr>
        <w:ind w:firstLine="360"/>
        <w:spacing w:line="360" w:lineRule="auto"/>
        <w:rPr>
          <w:rFonts w:ascii="宋体" w:hAnsi="宋体" w:cs="Arial"/>
          <w:sz w:val="24"/>
        </w:rPr>
      </w:pPr>
      <w:r>
        <w:rPr>
          <w:rFonts w:ascii="宋体" w:hAnsi="宋体" w:cs="Arial"/>
          <w:sz w:val="24"/>
        </w:rPr>
        <w:t xml:space="preserve">（2）若乙方在履约过程中给甲方造成损失的，甲方有权视情节严重程度，在履约保证金中直接扣除相应的赔偿金、违约金或其他可能产生的费用，剩余部分（如有）退还给乙方；履约保证金不足以弥补甲方损失的，甲方有权继续向乙方追偿。</w:t>
      </w:r>
      <w:r/>
    </w:p>
    <w:p>
      <w:pPr>
        <w:ind w:firstLine="360"/>
        <w:spacing w:line="360" w:lineRule="auto"/>
        <w:rPr>
          <w:rFonts w:ascii="宋体" w:hAnsi="宋体" w:cs="Arial"/>
          <w:sz w:val="24"/>
        </w:rPr>
      </w:pPr>
      <w:r>
        <w:rPr>
          <w:rFonts w:ascii="宋体" w:hAnsi="宋体" w:cs="Arial"/>
          <w:sz w:val="24"/>
        </w:rPr>
        <w:t xml:space="preserve">3.履约保证金不予退还的情形</w:t>
      </w:r>
      <w:r/>
    </w:p>
    <w:p>
      <w:pPr>
        <w:ind w:firstLine="360"/>
        <w:spacing w:line="360" w:lineRule="auto"/>
        <w:rPr>
          <w:rFonts w:ascii="宋体" w:hAnsi="宋体" w:cs="Arial"/>
          <w:sz w:val="24"/>
        </w:rPr>
      </w:pPr>
      <w:r>
        <w:rPr>
          <w:rFonts w:ascii="宋体" w:hAnsi="宋体" w:cs="Arial"/>
          <w:sz w:val="24"/>
        </w:rPr>
        <w:t xml:space="preserve">除另有规定外，在出现下列情况之一时，乙方的履约保证金将被甲方全部或部分没收：</w:t>
      </w:r>
      <w:r/>
    </w:p>
    <w:p>
      <w:pPr>
        <w:ind w:firstLine="420"/>
        <w:spacing w:line="360" w:lineRule="auto"/>
        <w:rPr>
          <w:rFonts w:ascii="宋体" w:hAnsi="宋体"/>
          <w:sz w:val="24"/>
        </w:rPr>
      </w:pPr>
      <w:r>
        <w:rPr>
          <w:rFonts w:hint="eastAsia" w:ascii="宋体" w:hAnsi="宋体"/>
          <w:sz w:val="24"/>
        </w:rPr>
        <w:t xml:space="preserve">（1）擅自将采购人所有的以及交由中标供应商所经营管理的资产进行处置或者抵押的。</w:t>
      </w:r>
      <w:r/>
    </w:p>
    <w:p>
      <w:pPr>
        <w:ind w:firstLine="420"/>
        <w:spacing w:line="360" w:lineRule="auto"/>
        <w:rPr>
          <w:rFonts w:ascii="宋体" w:hAnsi="宋体"/>
          <w:sz w:val="24"/>
        </w:rPr>
      </w:pPr>
      <w:r>
        <w:rPr>
          <w:rFonts w:hint="eastAsia" w:ascii="宋体" w:hAnsi="宋体"/>
          <w:sz w:val="24"/>
        </w:rPr>
        <w:t xml:space="preserve">（2）中标供应商同一片区当月得分小于70分或者连续两个月得分小于80分的。</w:t>
      </w:r>
      <w:r/>
    </w:p>
    <w:p>
      <w:pPr>
        <w:ind w:firstLine="420"/>
        <w:spacing w:line="360" w:lineRule="auto"/>
        <w:rPr>
          <w:rFonts w:ascii="宋体" w:hAnsi="宋体"/>
          <w:sz w:val="24"/>
        </w:rPr>
      </w:pPr>
      <w:r>
        <w:rPr>
          <w:rFonts w:hint="eastAsia" w:ascii="宋体" w:hAnsi="宋体"/>
          <w:sz w:val="24"/>
        </w:rPr>
        <w:t xml:space="preserve">（3）在政府部门组织的测评中，中标供应商管理作业方面存在明显重大过错或失误，在测评中环境卫生方面严重失分导致考核结果不通过的。</w:t>
      </w:r>
      <w:r/>
    </w:p>
    <w:p>
      <w:pPr>
        <w:ind w:firstLine="420"/>
        <w:spacing w:line="360" w:lineRule="auto"/>
        <w:rPr>
          <w:rFonts w:ascii="宋体" w:hAnsi="宋体"/>
          <w:sz w:val="24"/>
        </w:rPr>
      </w:pPr>
      <w:r>
        <w:rPr>
          <w:rFonts w:hint="eastAsia" w:ascii="宋体" w:hAnsi="宋体"/>
          <w:sz w:val="24"/>
        </w:rPr>
        <w:t xml:space="preserve">（4）中标供应商因管理不善、发生生产安全事故的。</w:t>
      </w:r>
      <w:r/>
    </w:p>
    <w:p>
      <w:pPr>
        <w:ind w:firstLine="420"/>
        <w:spacing w:line="360" w:lineRule="auto"/>
        <w:rPr>
          <w:rFonts w:ascii="宋体" w:hAnsi="宋体"/>
          <w:sz w:val="24"/>
        </w:rPr>
      </w:pPr>
      <w:r>
        <w:rPr>
          <w:rFonts w:hint="eastAsia" w:ascii="宋体" w:hAnsi="宋体"/>
          <w:sz w:val="24"/>
        </w:rPr>
        <w:t xml:space="preserve">（5）中标供应商出现连续欠薪两个月或连续12个月内累计发生三次以上（含三次）欠薪情况的，导致员工投诉、上访、仲裁、诉讼或影响项目正常运行的。</w:t>
      </w:r>
      <w:r/>
    </w:p>
    <w:p>
      <w:pPr>
        <w:ind w:firstLine="420"/>
        <w:spacing w:line="360" w:lineRule="auto"/>
        <w:rPr>
          <w:rFonts w:ascii="宋体" w:hAnsi="宋体"/>
          <w:sz w:val="24"/>
        </w:rPr>
      </w:pPr>
      <w:r>
        <w:rPr>
          <w:rFonts w:hint="eastAsia" w:ascii="宋体" w:hAnsi="宋体"/>
          <w:sz w:val="24"/>
        </w:rPr>
        <w:t xml:space="preserve">（6）中标供应商擅自停业、歇业。</w:t>
      </w:r>
      <w:r/>
    </w:p>
    <w:p>
      <w:pPr>
        <w:ind w:firstLine="420"/>
        <w:spacing w:line="360" w:lineRule="auto"/>
        <w:rPr>
          <w:rFonts w:ascii="宋体" w:hAnsi="宋体"/>
          <w:sz w:val="24"/>
        </w:rPr>
      </w:pPr>
      <w:r>
        <w:rPr>
          <w:rFonts w:hint="eastAsia" w:ascii="宋体" w:hAnsi="宋体"/>
          <w:sz w:val="24"/>
        </w:rPr>
        <w:t xml:space="preserve">（7）中标供应商合同重要条款未履行达标且收到书面整改通知后未按通知限期整改的。</w:t>
      </w:r>
      <w:r/>
    </w:p>
    <w:p>
      <w:pPr>
        <w:ind w:firstLine="420"/>
        <w:spacing w:line="360" w:lineRule="auto"/>
        <w:rPr>
          <w:rFonts w:ascii="宋体" w:hAnsi="宋体"/>
          <w:sz w:val="24"/>
        </w:rPr>
      </w:pPr>
      <w:r>
        <w:rPr>
          <w:rFonts w:hint="eastAsia" w:ascii="宋体" w:hAnsi="宋体"/>
          <w:sz w:val="24"/>
        </w:rPr>
        <w:t xml:space="preserve">（8）中标供应商服务期间如被列入“信用中国”记录失信被执行人或重大税收违法失信主体，或发生法律、法规禁止的其他行为或有犯罪行为等的。</w:t>
      </w:r>
      <w:r/>
    </w:p>
    <w:p>
      <w:pPr>
        <w:ind w:firstLine="420"/>
        <w:spacing w:line="360" w:lineRule="auto"/>
        <w:rPr>
          <w:rFonts w:ascii="宋体" w:hAnsi="宋体"/>
          <w:sz w:val="24"/>
        </w:rPr>
      </w:pPr>
      <w:r>
        <w:rPr>
          <w:rFonts w:hint="eastAsia" w:ascii="宋体" w:hAnsi="宋体"/>
          <w:sz w:val="24"/>
        </w:rPr>
        <w:t xml:space="preserve">（9）将中标项目转包给他人，或者在投标文件中未说明，且未经过采购人同意，将中标项目分包给他人的。</w:t>
      </w:r>
      <w:r/>
    </w:p>
    <w:p>
      <w:pPr>
        <w:ind w:firstLine="360"/>
        <w:spacing w:line="360" w:lineRule="auto"/>
        <w:rPr>
          <w:rFonts w:ascii="宋体" w:hAnsi="宋体" w:cs="Arial"/>
          <w:sz w:val="24"/>
        </w:rPr>
      </w:pPr>
      <w:r>
        <w:rPr>
          <w:rFonts w:hint="eastAsia" w:ascii="宋体" w:hAnsi="宋体" w:cs="Arial"/>
          <w:sz w:val="24"/>
        </w:rPr>
        <w:t xml:space="preserve">（10）法律、法规规定的其他不予退还履约保证金的情形。</w:t>
      </w:r>
      <w:r/>
    </w:p>
    <w:p>
      <w:pPr>
        <w:spacing w:line="360" w:lineRule="auto"/>
        <w:rPr>
          <w:rFonts w:ascii="宋体" w:hAnsi="宋体" w:cs="Arial"/>
          <w:b/>
          <w:bCs/>
          <w:sz w:val="24"/>
        </w:rPr>
      </w:pPr>
      <w:r>
        <w:rPr>
          <w:rFonts w:hint="eastAsia" w:ascii="宋体" w:hAnsi="宋体" w:cs="Arial"/>
          <w:b/>
          <w:sz w:val="24"/>
        </w:rPr>
        <w:t xml:space="preserve">十二</w:t>
      </w:r>
      <w:r>
        <w:rPr>
          <w:rFonts w:hint="eastAsia" w:ascii="宋体" w:hAnsi="宋体" w:cs="Arial"/>
          <w:b/>
          <w:bCs/>
          <w:sz w:val="24"/>
        </w:rPr>
        <w:t xml:space="preserve">、组成合同的文件</w:t>
      </w:r>
      <w:r/>
    </w:p>
    <w:p>
      <w:pPr>
        <w:ind w:firstLine="360"/>
        <w:spacing w:line="360" w:lineRule="auto"/>
        <w:rPr>
          <w:rFonts w:ascii="宋体" w:hAnsi="宋体" w:cs="Arial"/>
          <w:sz w:val="24"/>
        </w:rPr>
      </w:pPr>
      <w:r>
        <w:rPr>
          <w:rFonts w:hint="eastAsia" w:ascii="宋体" w:hAnsi="宋体" w:cs="Arial"/>
          <w:sz w:val="24"/>
        </w:rPr>
        <w:t xml:space="preserve">1.组成本合同的文件包括</w:t>
      </w:r>
      <w:r/>
    </w:p>
    <w:p>
      <w:pPr>
        <w:ind w:firstLine="360"/>
        <w:spacing w:line="360" w:lineRule="auto"/>
        <w:rPr>
          <w:rFonts w:ascii="宋体" w:hAnsi="宋体" w:cs="Arial"/>
          <w:sz w:val="24"/>
        </w:rPr>
      </w:pPr>
      <w:r>
        <w:rPr>
          <w:rFonts w:hint="eastAsia" w:ascii="宋体" w:hAnsi="宋体" w:cs="Arial"/>
          <w:sz w:val="24"/>
        </w:rPr>
        <w:t xml:space="preserve">（1）本合同协议书</w:t>
      </w:r>
      <w:r/>
    </w:p>
    <w:p>
      <w:pPr>
        <w:ind w:firstLine="360"/>
        <w:spacing w:line="360" w:lineRule="auto"/>
        <w:rPr>
          <w:rFonts w:ascii="宋体" w:hAnsi="宋体" w:cs="Arial"/>
          <w:sz w:val="24"/>
        </w:rPr>
      </w:pPr>
      <w:r>
        <w:rPr>
          <w:rFonts w:hint="eastAsia" w:ascii="宋体" w:hAnsi="宋体" w:cs="Arial"/>
          <w:sz w:val="24"/>
        </w:rPr>
        <w:t xml:space="preserve">（2）中标通知书</w:t>
      </w:r>
      <w:r/>
    </w:p>
    <w:p>
      <w:pPr>
        <w:ind w:firstLine="360"/>
        <w:spacing w:line="360" w:lineRule="auto"/>
        <w:rPr>
          <w:rFonts w:ascii="宋体" w:hAnsi="宋体" w:cs="Arial"/>
          <w:sz w:val="24"/>
        </w:rPr>
      </w:pPr>
      <w:r>
        <w:rPr>
          <w:rFonts w:hint="eastAsia" w:ascii="宋体" w:hAnsi="宋体" w:cs="Arial"/>
          <w:sz w:val="24"/>
        </w:rPr>
        <w:t xml:space="preserve">（3）采购需求和招标文件</w:t>
      </w:r>
      <w:r/>
    </w:p>
    <w:p>
      <w:pPr>
        <w:ind w:firstLine="360"/>
        <w:spacing w:line="360" w:lineRule="auto"/>
        <w:rPr>
          <w:rFonts w:ascii="宋体" w:hAnsi="宋体" w:cs="Arial"/>
          <w:sz w:val="24"/>
        </w:rPr>
      </w:pPr>
      <w:r>
        <w:rPr>
          <w:rFonts w:hint="eastAsia" w:ascii="宋体" w:hAnsi="宋体" w:cs="Arial"/>
          <w:sz w:val="24"/>
        </w:rPr>
        <w:t xml:space="preserve">（4）投标文件及附件</w:t>
      </w:r>
      <w:r/>
    </w:p>
    <w:p>
      <w:pPr>
        <w:ind w:firstLine="360"/>
        <w:spacing w:line="360" w:lineRule="auto"/>
        <w:rPr>
          <w:rFonts w:ascii="宋体" w:hAnsi="宋体" w:cs="Arial"/>
          <w:sz w:val="24"/>
        </w:rPr>
      </w:pPr>
      <w:r>
        <w:rPr>
          <w:rFonts w:hint="eastAsia" w:ascii="宋体" w:hAnsi="宋体" w:cs="Arial"/>
          <w:sz w:val="24"/>
        </w:rPr>
        <w:t xml:space="preserve">（5）附件一《无锡市环卫一体化作业服务质量标准与要求》</w:t>
      </w:r>
      <w:r/>
    </w:p>
    <w:p>
      <w:pPr>
        <w:ind w:firstLine="360"/>
        <w:spacing w:line="360" w:lineRule="auto"/>
        <w:rPr>
          <w:rFonts w:ascii="宋体" w:hAnsi="宋体" w:cs="Arial"/>
          <w:sz w:val="24"/>
        </w:rPr>
      </w:pPr>
      <w:r>
        <w:rPr>
          <w:rFonts w:hint="eastAsia" w:ascii="宋体" w:hAnsi="宋体" w:cs="Arial"/>
          <w:sz w:val="24"/>
        </w:rPr>
        <w:t xml:space="preserve">（6）附件二 《滨湖区环卫一体化作业质量监管考核实施意见》及附件《滨湖区环卫一体化作业质量检查考核标准》</w:t>
      </w:r>
      <w:r/>
    </w:p>
    <w:p>
      <w:pPr>
        <w:ind w:firstLine="360"/>
        <w:spacing w:line="360" w:lineRule="auto"/>
        <w:rPr>
          <w:rFonts w:ascii="宋体" w:hAnsi="宋体" w:cs="Arial"/>
          <w:sz w:val="24"/>
        </w:rPr>
      </w:pPr>
      <w:r>
        <w:rPr>
          <w:rFonts w:hint="eastAsia" w:ascii="宋体" w:hAnsi="宋体" w:cs="Arial"/>
          <w:sz w:val="24"/>
        </w:rPr>
        <w:t xml:space="preserve">（7）附件三《环卫一体化作业任务量明细表》</w:t>
      </w:r>
      <w:r/>
    </w:p>
    <w:p>
      <w:pPr>
        <w:ind w:firstLine="360"/>
        <w:spacing w:line="360" w:lineRule="auto"/>
        <w:rPr>
          <w:rFonts w:ascii="宋体" w:hAnsi="宋体" w:cs="Arial"/>
          <w:sz w:val="24"/>
        </w:rPr>
      </w:pPr>
      <w:r>
        <w:rPr>
          <w:rFonts w:hint="eastAsia" w:ascii="宋体" w:hAnsi="宋体" w:cs="Arial"/>
          <w:sz w:val="24"/>
        </w:rPr>
        <w:t xml:space="preserve">（8）附件四《廉政协议书》</w:t>
      </w:r>
      <w:r/>
    </w:p>
    <w:p>
      <w:pPr>
        <w:ind w:firstLine="360"/>
        <w:spacing w:line="360" w:lineRule="auto"/>
        <w:rPr>
          <w:rFonts w:ascii="宋体" w:hAnsi="宋体" w:cs="Arial"/>
          <w:sz w:val="24"/>
        </w:rPr>
      </w:pPr>
      <w:r>
        <w:rPr>
          <w:rFonts w:hint="eastAsia" w:ascii="宋体" w:hAnsi="宋体" w:cs="Arial"/>
          <w:sz w:val="24"/>
        </w:rPr>
        <w:t xml:space="preserve">（9）附件五《安全生产协议书》</w:t>
      </w:r>
      <w:r/>
    </w:p>
    <w:p>
      <w:pPr>
        <w:ind w:firstLine="360"/>
        <w:spacing w:line="360" w:lineRule="auto"/>
        <w:rPr>
          <w:rFonts w:ascii="宋体" w:hAnsi="宋体" w:cs="Arial"/>
          <w:sz w:val="24"/>
        </w:rPr>
      </w:pPr>
      <w:r>
        <w:rPr>
          <w:rFonts w:hint="eastAsia" w:ascii="宋体" w:hAnsi="宋体" w:cs="Arial"/>
          <w:sz w:val="24"/>
        </w:rPr>
        <w:t xml:space="preserve">2.双方有关环卫保洁工作的洽商、变更等书面协议或文件视为本合同的组成部分。</w:t>
      </w:r>
      <w:r/>
    </w:p>
    <w:p>
      <w:pPr>
        <w:spacing w:line="360" w:lineRule="auto"/>
        <w:rPr>
          <w:rFonts w:ascii="宋体" w:hAnsi="宋体" w:cs="Arial"/>
          <w:b/>
          <w:sz w:val="24"/>
        </w:rPr>
      </w:pPr>
      <w:r>
        <w:rPr>
          <w:rFonts w:hint="eastAsia" w:ascii="宋体" w:hAnsi="宋体" w:cs="Arial"/>
          <w:b/>
          <w:sz w:val="24"/>
        </w:rPr>
        <w:t xml:space="preserve">十三</w:t>
      </w:r>
      <w:r>
        <w:rPr>
          <w:rFonts w:hint="eastAsia" w:ascii="宋体" w:hAnsi="宋体" w:cs="Arial"/>
          <w:b/>
          <w:bCs/>
          <w:sz w:val="24"/>
        </w:rPr>
        <w:t xml:space="preserve">、其他约定</w:t>
      </w:r>
      <w:r/>
    </w:p>
    <w:p>
      <w:pPr>
        <w:ind w:firstLine="360"/>
        <w:spacing w:line="360" w:lineRule="auto"/>
        <w:rPr>
          <w:rFonts w:ascii="宋体" w:hAnsi="宋体" w:cs="Arial"/>
          <w:sz w:val="24"/>
        </w:rPr>
      </w:pPr>
      <w:r>
        <w:rPr>
          <w:rFonts w:hint="eastAsia" w:ascii="宋体" w:hAnsi="宋体" w:cs="Arial"/>
          <w:sz w:val="24"/>
        </w:rPr>
        <w:t xml:space="preserve">1.本协议自双方签署并经见证方（无锡太湖明珠建设咨询有限公司）盖章之日起生效。</w:t>
      </w:r>
      <w:r/>
    </w:p>
    <w:p>
      <w:pPr>
        <w:ind w:firstLine="360"/>
        <w:spacing w:line="360" w:lineRule="auto"/>
        <w:rPr>
          <w:rFonts w:ascii="宋体" w:hAnsi="宋体" w:cs="Arial"/>
          <w:sz w:val="24"/>
        </w:rPr>
      </w:pPr>
      <w:r>
        <w:rPr>
          <w:rFonts w:hint="eastAsia" w:ascii="宋体" w:hAnsi="宋体" w:cs="Arial"/>
          <w:sz w:val="24"/>
        </w:rPr>
        <w:t xml:space="preserve">2.如本协议发生争议的，双方应友好协商解决，如协商不成，任何一方有权提交甲方住所地有管辖权的人民法院裁决。</w:t>
      </w:r>
      <w:r/>
    </w:p>
    <w:p>
      <w:pPr>
        <w:ind w:firstLine="360"/>
        <w:spacing w:line="360" w:lineRule="auto"/>
        <w:rPr>
          <w:rFonts w:ascii="宋体" w:hAnsi="宋体" w:cs="Arial"/>
          <w:sz w:val="24"/>
        </w:rPr>
      </w:pPr>
      <w:r>
        <w:rPr>
          <w:rFonts w:hint="eastAsia" w:ascii="宋体" w:hAnsi="宋体" w:cs="Arial"/>
          <w:sz w:val="24"/>
        </w:rPr>
        <w:t xml:space="preserve">3.本协议一式伍份，并具同等法律效力，甲、乙双方各执贰份，见证方执壹份。</w:t>
      </w:r>
      <w:r/>
    </w:p>
    <w:p>
      <w:pPr>
        <w:ind w:firstLine="360"/>
        <w:spacing w:line="360" w:lineRule="auto"/>
        <w:rPr>
          <w:rFonts w:ascii="宋体" w:hAnsi="宋体" w:cs="Arial"/>
          <w:sz w:val="24"/>
        </w:rPr>
      </w:pPr>
      <w:r>
        <w:rPr>
          <w:rFonts w:hint="eastAsia" w:ascii="宋体" w:hAnsi="宋体" w:cs="Arial"/>
          <w:sz w:val="24"/>
        </w:rPr>
        <w:t xml:space="preserve">4.本协议的解释权在无锡市滨湖区城市管理局。</w:t>
      </w:r>
      <w:r/>
    </w:p>
    <w:tbl>
      <w:tblPr>
        <w:tblStyle w:val="783"/>
        <w:tblW w:w="96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15"/>
        <w:gridCol w:w="4704"/>
      </w:tblGrid>
      <w:tr>
        <w:trPr>
          <w:jc w:val="center"/>
          <w:trHeight w:val="597"/>
        </w:trPr>
        <w:tc>
          <w:tcPr>
            <w:tcW w:w="4915" w:type="dxa"/>
            <w:vAlign w:val="center"/>
            <w:textDirection w:val="lrTb"/>
            <w:noWrap/>
          </w:tcPr>
          <w:p>
            <w:pPr>
              <w:jc w:val="left"/>
              <w:rPr>
                <w:rFonts w:ascii="宋体" w:hAnsi="宋体"/>
                <w:b/>
                <w:sz w:val="24"/>
              </w:rPr>
            </w:pPr>
            <w:r/>
            <w:bookmarkStart w:id="18" w:name="_Hlk123585932"/>
            <w:r>
              <w:rPr>
                <w:rFonts w:hint="eastAsia" w:ascii="宋体" w:hAnsi="宋体"/>
                <w:b/>
                <w:sz w:val="24"/>
              </w:rPr>
              <w:t xml:space="preserve">甲方</w:t>
            </w:r>
            <w:r/>
          </w:p>
        </w:tc>
        <w:tc>
          <w:tcPr>
            <w:tcW w:w="4704" w:type="dxa"/>
            <w:vAlign w:val="center"/>
            <w:textDirection w:val="lrTb"/>
            <w:noWrap/>
          </w:tcPr>
          <w:p>
            <w:pPr>
              <w:jc w:val="left"/>
              <w:rPr>
                <w:rFonts w:ascii="宋体" w:hAnsi="宋体"/>
                <w:b/>
                <w:sz w:val="24"/>
              </w:rPr>
            </w:pPr>
            <w:r>
              <w:rPr>
                <w:rFonts w:hint="eastAsia" w:ascii="宋体" w:hAnsi="宋体"/>
                <w:b/>
                <w:sz w:val="24"/>
              </w:rPr>
              <w:t xml:space="preserve">乙方</w:t>
            </w:r>
            <w:r/>
          </w:p>
        </w:tc>
      </w:tr>
      <w:tr>
        <w:trPr>
          <w:jc w:val="center"/>
          <w:trHeight w:val="991"/>
        </w:trPr>
        <w:tc>
          <w:tcPr>
            <w:tcW w:w="4915" w:type="dxa"/>
            <w:vAlign w:val="top"/>
            <w:textDirection w:val="lrTb"/>
            <w:noWrap/>
          </w:tcPr>
          <w:p>
            <w:pPr>
              <w:jc w:val="left"/>
              <w:rPr>
                <w:rFonts w:ascii="宋体" w:hAnsi="宋体"/>
                <w:sz w:val="24"/>
              </w:rPr>
            </w:pPr>
            <w:r>
              <w:rPr>
                <w:rFonts w:hint="eastAsia" w:ascii="宋体" w:hAnsi="宋体"/>
                <w:sz w:val="24"/>
              </w:rPr>
              <w:t xml:space="preserve">单位名称（盖章）：</w:t>
            </w:r>
            <w:r/>
          </w:p>
        </w:tc>
        <w:tc>
          <w:tcPr>
            <w:tcW w:w="4704" w:type="dxa"/>
            <w:vAlign w:val="top"/>
            <w:textDirection w:val="lrTb"/>
            <w:noWrap/>
          </w:tcPr>
          <w:p>
            <w:pPr>
              <w:jc w:val="left"/>
              <w:rPr>
                <w:rFonts w:ascii="宋体" w:hAnsi="宋体"/>
                <w:sz w:val="24"/>
              </w:rPr>
            </w:pPr>
            <w:r>
              <w:rPr>
                <w:rFonts w:hint="eastAsia" w:ascii="宋体" w:hAnsi="宋体"/>
                <w:sz w:val="24"/>
              </w:rPr>
              <w:t xml:space="preserve">单位名称（盖章）：</w:t>
            </w:r>
            <w:r/>
          </w:p>
        </w:tc>
      </w:tr>
      <w:tr>
        <w:trPr>
          <w:jc w:val="center"/>
          <w:trHeight w:val="703"/>
        </w:trPr>
        <w:tc>
          <w:tcPr>
            <w:tcW w:w="4915" w:type="dxa"/>
            <w:vAlign w:val="center"/>
            <w:textDirection w:val="lrTb"/>
            <w:noWrap/>
          </w:tcPr>
          <w:p>
            <w:pPr>
              <w:jc w:val="left"/>
              <w:rPr>
                <w:rFonts w:ascii="宋体" w:hAnsi="宋体"/>
                <w:sz w:val="24"/>
              </w:rPr>
            </w:pPr>
            <w:r>
              <w:rPr>
                <w:rFonts w:hint="eastAsia" w:ascii="宋体" w:hAnsi="宋体"/>
                <w:sz w:val="24"/>
              </w:rPr>
              <w:t xml:space="preserve">单位地址：</w:t>
            </w:r>
            <w:r/>
          </w:p>
        </w:tc>
        <w:tc>
          <w:tcPr>
            <w:tcW w:w="4704" w:type="dxa"/>
            <w:vAlign w:val="center"/>
            <w:textDirection w:val="lrTb"/>
            <w:noWrap/>
          </w:tcPr>
          <w:p>
            <w:pPr>
              <w:jc w:val="left"/>
              <w:rPr>
                <w:rFonts w:ascii="宋体" w:hAnsi="宋体"/>
                <w:sz w:val="24"/>
              </w:rPr>
            </w:pPr>
            <w:r>
              <w:rPr>
                <w:rFonts w:hint="eastAsia" w:ascii="宋体" w:hAnsi="宋体"/>
                <w:sz w:val="24"/>
              </w:rPr>
              <w:t xml:space="preserve">单位地址：</w:t>
            </w:r>
            <w:r/>
          </w:p>
        </w:tc>
      </w:tr>
      <w:tr>
        <w:trPr>
          <w:jc w:val="center"/>
          <w:trHeight w:val="791"/>
        </w:trPr>
        <w:tc>
          <w:tcPr>
            <w:tcW w:w="4915" w:type="dxa"/>
            <w:vAlign w:val="center"/>
            <w:textDirection w:val="lrTb"/>
            <w:noWrap/>
          </w:tcPr>
          <w:p>
            <w:pPr>
              <w:jc w:val="left"/>
              <w:rPr>
                <w:rFonts w:ascii="宋体" w:hAnsi="宋体"/>
                <w:sz w:val="24"/>
              </w:rPr>
            </w:pPr>
            <w:r>
              <w:rPr>
                <w:rFonts w:hint="eastAsia" w:ascii="宋体" w:hAnsi="宋体"/>
                <w:sz w:val="24"/>
              </w:rPr>
              <w:t xml:space="preserve">法定代表人/授权代表人（签字或盖章）：</w:t>
            </w:r>
            <w:r/>
          </w:p>
        </w:tc>
        <w:tc>
          <w:tcPr>
            <w:tcW w:w="4704" w:type="dxa"/>
            <w:vAlign w:val="center"/>
            <w:textDirection w:val="lrTb"/>
            <w:noWrap/>
          </w:tcPr>
          <w:p>
            <w:pPr>
              <w:jc w:val="left"/>
              <w:rPr>
                <w:rFonts w:ascii="宋体" w:hAnsi="宋体"/>
                <w:sz w:val="24"/>
              </w:rPr>
            </w:pPr>
            <w:r>
              <w:rPr>
                <w:rFonts w:hint="eastAsia" w:ascii="宋体" w:hAnsi="宋体"/>
                <w:sz w:val="24"/>
              </w:rPr>
              <w:t xml:space="preserve">法定代表人/授权代表人（签字或盖章）：</w:t>
            </w:r>
            <w:r/>
          </w:p>
        </w:tc>
      </w:tr>
      <w:tr>
        <w:trPr>
          <w:jc w:val="center"/>
          <w:trHeight w:val="716"/>
        </w:trPr>
        <w:tc>
          <w:tcPr>
            <w:tcW w:w="4915" w:type="dxa"/>
            <w:vAlign w:val="center"/>
            <w:textDirection w:val="lrTb"/>
            <w:noWrap/>
          </w:tcPr>
          <w:p>
            <w:pPr>
              <w:jc w:val="left"/>
              <w:rPr>
                <w:rFonts w:ascii="宋体" w:hAnsi="宋体"/>
                <w:sz w:val="24"/>
              </w:rPr>
            </w:pPr>
            <w:r>
              <w:rPr>
                <w:rFonts w:hint="eastAsia" w:ascii="宋体" w:hAnsi="宋体"/>
                <w:sz w:val="24"/>
              </w:rPr>
              <w:t xml:space="preserve">经办人（签字）：</w:t>
            </w:r>
            <w:r/>
          </w:p>
        </w:tc>
        <w:tc>
          <w:tcPr>
            <w:tcW w:w="4704" w:type="dxa"/>
            <w:vAlign w:val="center"/>
            <w:textDirection w:val="lrTb"/>
            <w:noWrap/>
          </w:tcPr>
          <w:p>
            <w:pPr>
              <w:jc w:val="left"/>
              <w:rPr>
                <w:rFonts w:ascii="宋体" w:hAnsi="宋体"/>
                <w:sz w:val="24"/>
              </w:rPr>
            </w:pPr>
            <w:r>
              <w:rPr>
                <w:rFonts w:hint="eastAsia" w:ascii="宋体" w:hAnsi="宋体"/>
                <w:sz w:val="24"/>
              </w:rPr>
              <w:t xml:space="preserve">经办人（签字）：</w:t>
            </w:r>
            <w:r/>
          </w:p>
        </w:tc>
      </w:tr>
      <w:tr>
        <w:trPr>
          <w:jc w:val="center"/>
          <w:trHeight w:val="650"/>
        </w:trPr>
        <w:tc>
          <w:tcPr>
            <w:tcW w:w="4915" w:type="dxa"/>
            <w:vAlign w:val="center"/>
            <w:textDirection w:val="lrTb"/>
            <w:noWrap/>
          </w:tcPr>
          <w:p>
            <w:pPr>
              <w:jc w:val="left"/>
              <w:rPr>
                <w:rFonts w:ascii="宋体" w:hAnsi="宋体"/>
                <w:sz w:val="24"/>
              </w:rPr>
            </w:pPr>
            <w:r>
              <w:rPr>
                <w:rFonts w:hint="eastAsia" w:ascii="宋体" w:hAnsi="宋体"/>
                <w:sz w:val="24"/>
              </w:rPr>
              <w:t xml:space="preserve">开户银行：</w:t>
            </w:r>
            <w:r/>
          </w:p>
        </w:tc>
        <w:tc>
          <w:tcPr>
            <w:tcW w:w="4704" w:type="dxa"/>
            <w:vAlign w:val="center"/>
            <w:textDirection w:val="lrTb"/>
            <w:noWrap/>
          </w:tcPr>
          <w:p>
            <w:pPr>
              <w:jc w:val="left"/>
              <w:rPr>
                <w:rFonts w:ascii="宋体" w:hAnsi="宋体"/>
                <w:sz w:val="24"/>
              </w:rPr>
            </w:pPr>
            <w:r>
              <w:rPr>
                <w:rFonts w:hint="eastAsia" w:ascii="宋体" w:hAnsi="宋体"/>
                <w:sz w:val="24"/>
              </w:rPr>
              <w:t xml:space="preserve">开户银行：</w:t>
            </w:r>
            <w:r/>
          </w:p>
        </w:tc>
      </w:tr>
      <w:tr>
        <w:trPr>
          <w:jc w:val="center"/>
          <w:trHeight w:val="583"/>
        </w:trPr>
        <w:tc>
          <w:tcPr>
            <w:tcW w:w="4915" w:type="dxa"/>
            <w:vAlign w:val="center"/>
            <w:textDirection w:val="lrTb"/>
            <w:noWrap/>
          </w:tcPr>
          <w:p>
            <w:pPr>
              <w:jc w:val="left"/>
              <w:rPr>
                <w:rFonts w:ascii="宋体" w:hAnsi="宋体"/>
                <w:sz w:val="24"/>
              </w:rPr>
            </w:pPr>
            <w:r>
              <w:rPr>
                <w:rFonts w:hint="eastAsia" w:ascii="宋体" w:hAnsi="宋体"/>
                <w:sz w:val="24"/>
              </w:rPr>
              <w:t xml:space="preserve">账号：</w:t>
            </w:r>
            <w:r/>
          </w:p>
        </w:tc>
        <w:tc>
          <w:tcPr>
            <w:tcW w:w="4704" w:type="dxa"/>
            <w:vAlign w:val="center"/>
            <w:textDirection w:val="lrTb"/>
            <w:noWrap/>
          </w:tcPr>
          <w:p>
            <w:pPr>
              <w:jc w:val="left"/>
              <w:rPr>
                <w:rFonts w:ascii="宋体" w:hAnsi="宋体"/>
                <w:sz w:val="24"/>
              </w:rPr>
            </w:pPr>
            <w:r>
              <w:rPr>
                <w:rFonts w:hint="eastAsia" w:ascii="宋体" w:hAnsi="宋体"/>
                <w:sz w:val="24"/>
              </w:rPr>
              <w:t xml:space="preserve">账号：</w:t>
            </w:r>
            <w:r/>
          </w:p>
        </w:tc>
      </w:tr>
      <w:tr>
        <w:trPr>
          <w:jc w:val="center"/>
          <w:trHeight w:val="647"/>
        </w:trPr>
        <w:tc>
          <w:tcPr>
            <w:tcW w:w="4915" w:type="dxa"/>
            <w:vAlign w:val="center"/>
            <w:textDirection w:val="lrTb"/>
            <w:noWrap/>
          </w:tcPr>
          <w:p>
            <w:pPr>
              <w:jc w:val="left"/>
              <w:rPr>
                <w:rFonts w:ascii="宋体" w:hAnsi="宋体"/>
                <w:sz w:val="24"/>
              </w:rPr>
            </w:pPr>
            <w:r>
              <w:rPr>
                <w:rFonts w:hint="eastAsia" w:ascii="宋体" w:hAnsi="宋体"/>
                <w:sz w:val="24"/>
              </w:rPr>
              <w:t xml:space="preserve">联 系 人：</w:t>
            </w:r>
            <w:r/>
          </w:p>
        </w:tc>
        <w:tc>
          <w:tcPr>
            <w:tcW w:w="4704" w:type="dxa"/>
            <w:vAlign w:val="center"/>
            <w:textDirection w:val="lrTb"/>
            <w:noWrap/>
          </w:tcPr>
          <w:p>
            <w:pPr>
              <w:jc w:val="left"/>
              <w:rPr>
                <w:rFonts w:ascii="宋体" w:hAnsi="宋体"/>
                <w:sz w:val="24"/>
              </w:rPr>
            </w:pPr>
            <w:r>
              <w:rPr>
                <w:rFonts w:hint="eastAsia" w:ascii="宋体" w:hAnsi="宋体"/>
                <w:sz w:val="24"/>
              </w:rPr>
              <w:t xml:space="preserve">联 系 人：</w:t>
            </w:r>
            <w:r/>
          </w:p>
        </w:tc>
      </w:tr>
      <w:tr>
        <w:trPr>
          <w:jc w:val="center"/>
          <w:trHeight w:val="654"/>
        </w:trPr>
        <w:tc>
          <w:tcPr>
            <w:tcW w:w="4915" w:type="dxa"/>
            <w:vAlign w:val="center"/>
            <w:textDirection w:val="lrTb"/>
            <w:noWrap/>
          </w:tcPr>
          <w:p>
            <w:pPr>
              <w:jc w:val="left"/>
              <w:rPr>
                <w:rFonts w:ascii="宋体" w:hAnsi="宋体"/>
                <w:sz w:val="24"/>
              </w:rPr>
            </w:pPr>
            <w:r>
              <w:rPr>
                <w:rFonts w:hint="eastAsia" w:ascii="宋体" w:hAnsi="宋体"/>
                <w:sz w:val="24"/>
              </w:rPr>
              <w:t xml:space="preserve">电    话：</w:t>
            </w:r>
            <w:r/>
          </w:p>
        </w:tc>
        <w:tc>
          <w:tcPr>
            <w:tcW w:w="4704" w:type="dxa"/>
            <w:vAlign w:val="center"/>
            <w:textDirection w:val="lrTb"/>
            <w:noWrap/>
          </w:tcPr>
          <w:p>
            <w:pPr>
              <w:jc w:val="left"/>
              <w:rPr>
                <w:rFonts w:ascii="宋体" w:hAnsi="宋体"/>
                <w:sz w:val="24"/>
              </w:rPr>
            </w:pPr>
            <w:r>
              <w:rPr>
                <w:rFonts w:hint="eastAsia" w:ascii="宋体" w:hAnsi="宋体"/>
                <w:sz w:val="24"/>
              </w:rPr>
              <w:t xml:space="preserve">电    话：</w:t>
            </w:r>
            <w:r/>
          </w:p>
        </w:tc>
      </w:tr>
      <w:tr>
        <w:trPr>
          <w:jc w:val="center"/>
          <w:trHeight w:val="780"/>
        </w:trPr>
        <w:tc>
          <w:tcPr>
            <w:tcW w:w="4915" w:type="dxa"/>
            <w:vAlign w:val="center"/>
            <w:textDirection w:val="lrTb"/>
            <w:noWrap/>
          </w:tcPr>
          <w:p>
            <w:pPr>
              <w:jc w:val="left"/>
              <w:rPr>
                <w:rFonts w:ascii="宋体" w:hAnsi="宋体"/>
                <w:sz w:val="24"/>
              </w:rPr>
            </w:pPr>
            <w:r>
              <w:rPr>
                <w:rFonts w:hint="eastAsia" w:ascii="宋体" w:hAnsi="宋体"/>
                <w:sz w:val="24"/>
              </w:rPr>
              <w:t xml:space="preserve">日期：年月日</w:t>
            </w:r>
            <w:r/>
          </w:p>
        </w:tc>
        <w:tc>
          <w:tcPr>
            <w:tcW w:w="4704" w:type="dxa"/>
            <w:vAlign w:val="center"/>
            <w:textDirection w:val="lrTb"/>
            <w:noWrap/>
          </w:tcPr>
          <w:p>
            <w:pPr>
              <w:jc w:val="left"/>
              <w:rPr>
                <w:rFonts w:ascii="宋体" w:hAnsi="宋体"/>
                <w:sz w:val="24"/>
              </w:rPr>
            </w:pPr>
            <w:r>
              <w:rPr>
                <w:rFonts w:hint="eastAsia" w:ascii="宋体" w:hAnsi="宋体"/>
                <w:sz w:val="24"/>
              </w:rPr>
              <w:t xml:space="preserve">日期：年月日</w:t>
            </w:r>
            <w:r/>
          </w:p>
        </w:tc>
      </w:tr>
      <w:tr>
        <w:trPr>
          <w:jc w:val="center"/>
          <w:trHeight w:val="1525"/>
        </w:trPr>
        <w:tc>
          <w:tcPr>
            <w:gridSpan w:val="2"/>
            <w:tcW w:w="9619" w:type="dxa"/>
            <w:vAlign w:val="top"/>
            <w:textDirection w:val="lrTb"/>
            <w:noWrap/>
          </w:tcPr>
          <w:p>
            <w:pPr>
              <w:jc w:val="left"/>
              <w:rPr>
                <w:rFonts w:ascii="宋体" w:hAnsi="宋体"/>
                <w:sz w:val="24"/>
              </w:rPr>
            </w:pPr>
            <w:r>
              <w:rPr>
                <w:rFonts w:hint="eastAsia" w:ascii="宋体" w:hAnsi="宋体"/>
                <w:sz w:val="24"/>
              </w:rPr>
              <w:t xml:space="preserve">见证方（盖章）：</w:t>
            </w:r>
            <w:r/>
          </w:p>
          <w:p>
            <w:pPr>
              <w:jc w:val="left"/>
              <w:rPr>
                <w:rFonts w:ascii="宋体" w:hAnsi="宋体"/>
                <w:sz w:val="24"/>
              </w:rPr>
            </w:pPr>
            <w:r>
              <w:rPr>
                <w:rFonts w:ascii="宋体" w:hAnsi="宋体"/>
                <w:sz w:val="24"/>
              </w:rPr>
            </w:r>
            <w:r/>
          </w:p>
          <w:p>
            <w:pPr>
              <w:jc w:val="left"/>
              <w:rPr>
                <w:rFonts w:ascii="宋体" w:hAnsi="宋体"/>
                <w:sz w:val="24"/>
              </w:rPr>
            </w:pPr>
            <w:r>
              <w:rPr>
                <w:rFonts w:ascii="宋体" w:hAnsi="宋体"/>
                <w:sz w:val="24"/>
              </w:rPr>
            </w:r>
            <w:r/>
          </w:p>
          <w:p>
            <w:pPr>
              <w:jc w:val="left"/>
              <w:rPr>
                <w:rFonts w:ascii="宋体" w:hAnsi="宋体"/>
                <w:sz w:val="24"/>
              </w:rPr>
            </w:pPr>
            <w:r>
              <w:rPr>
                <w:rFonts w:hint="eastAsia" w:ascii="宋体" w:hAnsi="宋体"/>
                <w:sz w:val="24"/>
              </w:rPr>
              <w:t xml:space="preserve">日期：年月日</w:t>
            </w:r>
            <w:bookmarkEnd w:id="18"/>
            <w:r/>
            <w:r/>
          </w:p>
        </w:tc>
      </w:tr>
    </w:tbl>
    <w:p>
      <w:pPr>
        <w:spacing w:line="440" w:lineRule="exact"/>
        <w:rPr>
          <w:rFonts w:ascii="宋体" w:hAnsi="宋体" w:cs="Arial"/>
          <w:sz w:val="24"/>
        </w:rPr>
      </w:pPr>
      <w:r>
        <w:rPr>
          <w:rFonts w:ascii="宋体" w:hAnsi="宋体" w:cs="Arial"/>
          <w:sz w:val="24"/>
        </w:rPr>
      </w:r>
      <w:r/>
    </w:p>
    <w:p>
      <w:pPr>
        <w:spacing w:line="360" w:lineRule="auto"/>
        <w:widowControl/>
        <w:rPr>
          <w:rFonts w:ascii="宋体" w:hAnsi="宋体"/>
          <w:sz w:val="28"/>
          <w:szCs w:val="28"/>
          <w:lang w:bidi="mn-Mong-CN"/>
        </w:rPr>
      </w:pPr>
      <w:r>
        <w:rPr>
          <w:rFonts w:ascii="宋体" w:hAnsi="宋体" w:cs="仿宋"/>
          <w:sz w:val="24"/>
        </w:rPr>
        <w:br w:type="page" w:clear="all"/>
      </w:r>
      <w:r>
        <w:rPr>
          <w:rFonts w:hint="eastAsia" w:ascii="宋体" w:hAnsi="宋体"/>
          <w:b/>
          <w:bCs/>
          <w:sz w:val="28"/>
          <w:szCs w:val="28"/>
          <w:lang w:bidi="mn-Mong-CN"/>
        </w:rPr>
        <w:t xml:space="preserve">附件一：</w:t>
      </w:r>
      <w:r/>
    </w:p>
    <w:p>
      <w:pPr>
        <w:jc w:val="center"/>
        <w:spacing w:line="360" w:lineRule="auto"/>
        <w:rPr>
          <w:rFonts w:ascii="宋体" w:hAnsi="宋体"/>
          <w:b/>
          <w:sz w:val="28"/>
          <w:szCs w:val="28"/>
        </w:rPr>
      </w:pPr>
      <w:r>
        <w:rPr>
          <w:rFonts w:hint="eastAsia" w:ascii="宋体" w:hAnsi="宋体"/>
          <w:b/>
          <w:sz w:val="28"/>
          <w:szCs w:val="28"/>
        </w:rPr>
        <w:t xml:space="preserve">无锡市环卫一体化作业服务质量标准与要求</w:t>
      </w:r>
      <w:r/>
    </w:p>
    <w:tbl>
      <w:tblPr>
        <w:tblStyle w:val="783"/>
        <w:tblW w:w="9407"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4"/>
        <w:gridCol w:w="8453"/>
      </w:tblGrid>
      <w:tr>
        <w:trPr>
          <w:jc w:val="center"/>
          <w:trHeight w:val="493"/>
        </w:trPr>
        <w:tc>
          <w:tcPr>
            <w:tcW w:w="954" w:type="dxa"/>
            <w:vAlign w:val="center"/>
            <w:textDirection w:val="lrTb"/>
            <w:noWrap/>
          </w:tcPr>
          <w:p>
            <w:pPr>
              <w:jc w:val="center"/>
              <w:spacing w:line="324" w:lineRule="auto"/>
              <w:widowControl/>
              <w:rPr>
                <w:rFonts w:ascii="宋体" w:hAnsi="宋体" w:cs="宋体"/>
                <w:b/>
                <w:bCs/>
                <w:szCs w:val="21"/>
              </w:rPr>
            </w:pPr>
            <w:r>
              <w:rPr>
                <w:rFonts w:hint="eastAsia" w:ascii="宋体" w:hAnsi="宋体" w:cs="宋体"/>
                <w:b/>
                <w:bCs/>
                <w:szCs w:val="21"/>
              </w:rPr>
              <w:t xml:space="preserve">序号</w:t>
            </w:r>
            <w:r/>
          </w:p>
        </w:tc>
        <w:tc>
          <w:tcPr>
            <w:tcW w:w="8453" w:type="dxa"/>
            <w:vAlign w:val="center"/>
            <w:textDirection w:val="lrTb"/>
            <w:noWrap/>
          </w:tcPr>
          <w:p>
            <w:pPr>
              <w:jc w:val="center"/>
              <w:spacing w:line="324" w:lineRule="auto"/>
              <w:widowControl/>
              <w:rPr>
                <w:rFonts w:ascii="宋体" w:hAnsi="宋体" w:cs="宋体"/>
                <w:b/>
                <w:bCs/>
                <w:szCs w:val="21"/>
              </w:rPr>
            </w:pPr>
            <w:r>
              <w:rPr>
                <w:rFonts w:hint="eastAsia" w:ascii="宋体" w:hAnsi="宋体" w:cs="宋体"/>
                <w:b/>
                <w:bCs/>
                <w:szCs w:val="21"/>
              </w:rPr>
              <w:t xml:space="preserve">服务质量标准与要求</w:t>
            </w:r>
            <w:r/>
          </w:p>
        </w:tc>
      </w:tr>
      <w:tr>
        <w:trPr>
          <w:jc w:val="center"/>
          <w:trHeight w:val="462"/>
        </w:trPr>
        <w:tc>
          <w:tcPr>
            <w:tcW w:w="954" w:type="dxa"/>
            <w:vAlign w:val="center"/>
            <w:textDirection w:val="lrTb"/>
            <w:noWrap/>
          </w:tcPr>
          <w:p>
            <w:pPr>
              <w:jc w:val="center"/>
              <w:spacing w:line="324" w:lineRule="auto"/>
              <w:widowControl/>
              <w:rPr>
                <w:rFonts w:ascii="宋体" w:hAnsi="宋体" w:cs="宋体"/>
                <w:b/>
                <w:bCs/>
                <w:szCs w:val="21"/>
              </w:rPr>
            </w:pPr>
            <w:r>
              <w:rPr>
                <w:rFonts w:hint="eastAsia" w:ascii="宋体" w:hAnsi="宋体" w:cs="宋体"/>
                <w:b/>
                <w:bCs/>
                <w:szCs w:val="21"/>
              </w:rPr>
              <w:t xml:space="preserve">一</w:t>
            </w:r>
            <w:r/>
          </w:p>
        </w:tc>
        <w:tc>
          <w:tcPr>
            <w:tcW w:w="8453" w:type="dxa"/>
            <w:vAlign w:val="center"/>
            <w:textDirection w:val="lrTb"/>
            <w:noWrap/>
          </w:tcPr>
          <w:p>
            <w:pPr>
              <w:spacing w:line="324" w:lineRule="auto"/>
              <w:widowControl/>
              <w:rPr>
                <w:rFonts w:ascii="宋体" w:hAnsi="宋体" w:cs="宋体"/>
                <w:b/>
                <w:bCs/>
                <w:szCs w:val="21"/>
              </w:rPr>
            </w:pPr>
            <w:r>
              <w:rPr>
                <w:rFonts w:hint="eastAsia" w:ascii="宋体" w:hAnsi="宋体" w:cs="宋体"/>
                <w:b/>
                <w:bCs/>
                <w:szCs w:val="21"/>
              </w:rPr>
              <w:t xml:space="preserve">道路清扫保洁考核要求</w:t>
            </w:r>
            <w:r/>
          </w:p>
        </w:tc>
      </w:tr>
      <w:tr>
        <w:trPr>
          <w:jc w:val="center"/>
          <w:trHeight w:val="440"/>
        </w:trPr>
        <w:tc>
          <w:tcPr>
            <w:tcW w:w="954" w:type="dxa"/>
            <w:vAlign w:val="center"/>
            <w:textDirection w:val="lrTb"/>
            <w:noWrap/>
          </w:tcPr>
          <w:p>
            <w:pPr>
              <w:jc w:val="center"/>
              <w:spacing w:line="324" w:lineRule="auto"/>
              <w:widowControl/>
              <w:rPr>
                <w:rFonts w:ascii="宋体" w:hAnsi="宋体" w:cs="宋体"/>
                <w:b/>
                <w:bCs/>
                <w:szCs w:val="21"/>
              </w:rPr>
            </w:pPr>
            <w:r>
              <w:rPr>
                <w:rFonts w:hint="eastAsia" w:ascii="宋体" w:hAnsi="宋体" w:cs="宋体"/>
                <w:b/>
                <w:bCs/>
                <w:szCs w:val="21"/>
              </w:rPr>
              <w:t xml:space="preserve">（一）</w:t>
            </w:r>
            <w:r/>
          </w:p>
        </w:tc>
        <w:tc>
          <w:tcPr>
            <w:tcW w:w="8453" w:type="dxa"/>
            <w:vAlign w:val="center"/>
            <w:textDirection w:val="lrTb"/>
            <w:noWrap/>
          </w:tcPr>
          <w:p>
            <w:pPr>
              <w:spacing w:line="324" w:lineRule="auto"/>
              <w:widowControl/>
              <w:rPr>
                <w:rFonts w:ascii="宋体" w:hAnsi="宋体" w:cs="宋体"/>
                <w:b/>
                <w:bCs/>
                <w:szCs w:val="21"/>
              </w:rPr>
            </w:pPr>
            <w:r>
              <w:rPr>
                <w:rFonts w:hint="eastAsia" w:ascii="宋体" w:hAnsi="宋体" w:cs="宋体"/>
                <w:b/>
                <w:bCs/>
                <w:szCs w:val="21"/>
              </w:rPr>
              <w:t xml:space="preserve">人工清扫保洁作业质量要求</w:t>
            </w:r>
            <w:r/>
          </w:p>
        </w:tc>
      </w:tr>
      <w:tr>
        <w:trPr>
          <w:jc w:val="center"/>
          <w:trHeight w:val="2577"/>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1</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作业时间：一级道路（A类）清扫保洁时间：5:00-18:00，</w:t>
            </w:r>
            <w:r/>
          </w:p>
          <w:p>
            <w:pPr>
              <w:spacing w:line="324" w:lineRule="auto"/>
              <w:widowControl/>
              <w:rPr>
                <w:rFonts w:ascii="宋体" w:hAnsi="宋体" w:cs="宋体"/>
                <w:szCs w:val="21"/>
              </w:rPr>
            </w:pPr>
            <w:r>
              <w:rPr>
                <w:rFonts w:hint="eastAsia" w:ascii="宋体" w:hAnsi="宋体" w:cs="宋体"/>
                <w:szCs w:val="21"/>
              </w:rPr>
              <w:t xml:space="preserve">一级道路（B类）清扫保洁时间：6:00-18:00，白色垃圾停留时间不超过15分钟；</w:t>
            </w:r>
            <w:r/>
          </w:p>
          <w:p>
            <w:pPr>
              <w:spacing w:line="324" w:lineRule="auto"/>
              <w:widowControl/>
              <w:rPr>
                <w:rFonts w:ascii="宋体" w:hAnsi="宋体" w:cs="宋体"/>
                <w:szCs w:val="21"/>
              </w:rPr>
            </w:pPr>
            <w:r>
              <w:rPr>
                <w:rFonts w:hint="eastAsia" w:ascii="宋体" w:hAnsi="宋体" w:cs="宋体"/>
                <w:szCs w:val="21"/>
              </w:rPr>
              <w:t xml:space="preserve">二级道路清扫保洁时间：7:00-18:00，白色垃圾停留时间不超过20分钟；</w:t>
            </w:r>
            <w:r>
              <w:rPr>
                <w:rFonts w:hint="eastAsia" w:ascii="宋体" w:hAnsi="宋体" w:cs="宋体"/>
                <w:szCs w:val="21"/>
              </w:rPr>
              <w:br w:type="textWrapping" w:clear="all"/>
            </w:r>
            <w:r>
              <w:rPr>
                <w:rFonts w:hint="eastAsia" w:ascii="宋体" w:hAnsi="宋体" w:cs="宋体"/>
                <w:szCs w:val="21"/>
              </w:rPr>
              <w:t xml:space="preserve">三级道路清扫保洁时间：7:00-18:00，白色垃圾停留时间不超过25分钟；</w:t>
            </w:r>
            <w:r>
              <w:rPr>
                <w:rFonts w:hint="eastAsia" w:ascii="宋体" w:hAnsi="宋体" w:cs="宋体"/>
                <w:szCs w:val="21"/>
              </w:rPr>
              <w:br w:type="textWrapping" w:clear="all"/>
            </w:r>
            <w:r>
              <w:rPr>
                <w:rFonts w:hint="eastAsia" w:ascii="宋体" w:hAnsi="宋体" w:cs="宋体"/>
                <w:szCs w:val="21"/>
              </w:rPr>
              <w:t xml:space="preserve">四级道路清扫保洁时间：7:00-16:00，白色垃圾停留时间不超过60分钟。</w:t>
            </w:r>
            <w:r>
              <w:rPr>
                <w:rFonts w:hint="eastAsia" w:ascii="宋体" w:hAnsi="宋体" w:cs="宋体"/>
                <w:szCs w:val="21"/>
              </w:rPr>
              <w:br w:type="textWrapping" w:clear="all"/>
            </w:r>
            <w:r>
              <w:rPr>
                <w:rFonts w:hint="eastAsia" w:ascii="宋体" w:hAnsi="宋体" w:cs="宋体"/>
                <w:szCs w:val="21"/>
              </w:rPr>
              <w:t xml:space="preserve">夜间清扫保洁作业时间：11月至次年4月为18:00-21:00，5月至10月18:00-22:00，重大活动及节假日延长1小时（具体以活动结束时间为准）。</w:t>
            </w:r>
            <w:r/>
          </w:p>
        </w:tc>
      </w:tr>
      <w:tr>
        <w:trPr>
          <w:jc w:val="center"/>
          <w:trHeight w:val="748"/>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2</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道路路面及侧石边脚清，无明显泥沙颗粒，无波浪形，无死角；人行道板无明显脏污、无杂草。作业范围内无白色垃圾和杂物。</w:t>
            </w:r>
            <w:r/>
          </w:p>
        </w:tc>
      </w:tr>
      <w:tr>
        <w:trPr>
          <w:jc w:val="center"/>
          <w:trHeight w:val="530"/>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3</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电杆、树穴、隔离墩周围干净整洁，窨井盖不堵塞。</w:t>
            </w:r>
            <w:r/>
          </w:p>
        </w:tc>
      </w:tr>
      <w:tr>
        <w:trPr>
          <w:jc w:val="center"/>
          <w:trHeight w:val="779"/>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4</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人行天桥清扫保洁及护栏清洗质量达标到位，步梯、桥面无垃圾杂物，无泥沙、污水、明显污渍，护栏内侧无积灰、明显污渍。</w:t>
            </w:r>
            <w:r/>
          </w:p>
        </w:tc>
      </w:tr>
      <w:tr>
        <w:trPr>
          <w:jc w:val="center"/>
          <w:trHeight w:val="518"/>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5</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绿化区域无明显积存落叶、无垃圾杂物。</w:t>
            </w:r>
            <w:r/>
          </w:p>
        </w:tc>
      </w:tr>
      <w:tr>
        <w:trPr>
          <w:jc w:val="center"/>
          <w:trHeight w:val="748"/>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6</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交通护栏干净整洁，每旬擦洗一次，雨后即擦，无明显尘土积灰；底部无泥沙、垃圾杂物、杂草。</w:t>
            </w:r>
            <w:r/>
          </w:p>
        </w:tc>
      </w:tr>
      <w:tr>
        <w:trPr>
          <w:jc w:val="center"/>
          <w:trHeight w:val="1168"/>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7</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废物箱、健身器材等城市家居干净整洁，无明显污渍，无乱涂写、乱张贴小广告。废物箱无破损，垃圾分类名称标识准确、清晰。废物箱门关闭，内胆不得随意摆放在道路两侧。废物箱垃圾不得满溢，周围地面无污渍或垃圾杂物。</w:t>
            </w:r>
            <w:r/>
          </w:p>
        </w:tc>
      </w:tr>
      <w:tr>
        <w:trPr>
          <w:jc w:val="center"/>
          <w:trHeight w:val="864"/>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8</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环卫保洁车车身两侧及车尾有完整反光标志（或加贴反光膜）和危险报警闪光灯，配备有反光标志的安全锥；车辆外观完好，干净整洁，无抛洒滴漏现象。</w:t>
            </w:r>
            <w:r/>
          </w:p>
        </w:tc>
      </w:tr>
      <w:tr>
        <w:trPr>
          <w:jc w:val="center"/>
          <w:trHeight w:val="1110"/>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9</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环卫人员作业时须统一穿着符合城市管理部门要求的工作服，且有明显所属地区和单位标志，工作服保持干净、整洁，夜间作业佩戴发光安全标志。工作时间不离岗、不串岗、不聊天，不做与工作无关的事情。</w:t>
            </w:r>
            <w:r/>
          </w:p>
        </w:tc>
      </w:tr>
      <w:tr>
        <w:trPr>
          <w:jc w:val="center"/>
          <w:trHeight w:val="1110"/>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10</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清扫保洁范围内无归堆漏收垃圾。树枝落叶、清扫垃圾、边角泥沙等不得扫入或倒入绿化带、河道、窨井、喇叭口内，不得进行焚烧。清扫保洁范围内无大件垃圾、小型特种垃圾或砖块石块，大型无主垃圾及时清理、无堆积。</w:t>
            </w:r>
            <w:r/>
          </w:p>
        </w:tc>
      </w:tr>
      <w:tr>
        <w:trPr>
          <w:jc w:val="center"/>
          <w:trHeight w:val="471"/>
        </w:trPr>
        <w:tc>
          <w:tcPr>
            <w:tcW w:w="954" w:type="dxa"/>
            <w:vAlign w:val="center"/>
            <w:textDirection w:val="lrTb"/>
            <w:noWrap/>
          </w:tcPr>
          <w:p>
            <w:pPr>
              <w:jc w:val="center"/>
              <w:spacing w:line="324" w:lineRule="auto"/>
              <w:widowControl/>
              <w:rPr>
                <w:rFonts w:ascii="宋体" w:hAnsi="宋体" w:cs="宋体"/>
                <w:b/>
                <w:bCs/>
                <w:szCs w:val="21"/>
              </w:rPr>
            </w:pPr>
            <w:r>
              <w:rPr>
                <w:rFonts w:hint="eastAsia" w:ascii="宋体" w:hAnsi="宋体" w:cs="宋体"/>
                <w:b/>
                <w:bCs/>
                <w:szCs w:val="21"/>
              </w:rPr>
              <w:t xml:space="preserve">（二）</w:t>
            </w:r>
            <w:r/>
          </w:p>
        </w:tc>
        <w:tc>
          <w:tcPr>
            <w:tcW w:w="8453" w:type="dxa"/>
            <w:vAlign w:val="center"/>
            <w:textDirection w:val="lrTb"/>
            <w:noWrap/>
          </w:tcPr>
          <w:p>
            <w:pPr>
              <w:spacing w:line="324" w:lineRule="auto"/>
              <w:widowControl/>
              <w:rPr>
                <w:rFonts w:ascii="宋体" w:hAnsi="宋体" w:cs="宋体"/>
                <w:b/>
                <w:bCs/>
                <w:szCs w:val="21"/>
              </w:rPr>
            </w:pPr>
            <w:r>
              <w:rPr>
                <w:rFonts w:hint="eastAsia" w:ascii="宋体" w:hAnsi="宋体" w:cs="宋体"/>
                <w:b/>
                <w:bCs/>
                <w:szCs w:val="21"/>
              </w:rPr>
              <w:t xml:space="preserve">机械化作业质量要求</w:t>
            </w:r>
            <w:r/>
          </w:p>
        </w:tc>
      </w:tr>
      <w:tr>
        <w:trPr>
          <w:jc w:val="center"/>
          <w:trHeight w:val="748"/>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11</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道路冲洗做到边角清，无泥沙，无明显尘土黄带，道路显本色；人行道及非机动车道清洗，做到标线清晰，无积尘泥沙、明显污渍。</w:t>
            </w:r>
            <w:r/>
          </w:p>
        </w:tc>
      </w:tr>
      <w:tr>
        <w:trPr>
          <w:jc w:val="center"/>
          <w:trHeight w:val="533"/>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12</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道路交通护栏、隔离墩底面洁净，交通标线清晰。</w:t>
            </w:r>
            <w:r/>
          </w:p>
        </w:tc>
      </w:tr>
      <w:tr>
        <w:trPr>
          <w:jc w:val="center"/>
          <w:trHeight w:val="748"/>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13</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机扫、洗扫作业时喷水湿扫，不扬尘，不漏土，不抛洒滴漏；冬季当日最高气温≤3℃时，洗扫、机扫模式改为干扫模式，作业时间不变。</w:t>
            </w:r>
            <w:r/>
          </w:p>
        </w:tc>
      </w:tr>
      <w:tr>
        <w:trPr>
          <w:jc w:val="center"/>
          <w:trHeight w:val="429"/>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14</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车辆在指定地点倾倒垃圾、污水，不乱倒。</w:t>
            </w:r>
            <w:r/>
          </w:p>
        </w:tc>
      </w:tr>
      <w:tr>
        <w:trPr>
          <w:jc w:val="center"/>
          <w:trHeight w:val="748"/>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15</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车容车貌整洁，车辆性能完好。车身标识清晰规范，按规定定期喷涂，喷涂前向主管部门登记备案。</w:t>
            </w:r>
            <w:r/>
          </w:p>
        </w:tc>
      </w:tr>
      <w:tr>
        <w:trPr>
          <w:jc w:val="center"/>
          <w:trHeight w:val="744"/>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16</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机扫、洗扫、冲水文明作业，避让行人。作业时应开启警示灯，日间作业时打开警示音。</w:t>
            </w:r>
            <w:r/>
          </w:p>
        </w:tc>
      </w:tr>
      <w:tr>
        <w:trPr>
          <w:jc w:val="center"/>
          <w:trHeight w:val="384"/>
        </w:trPr>
        <w:tc>
          <w:tcPr>
            <w:tcW w:w="954" w:type="dxa"/>
            <w:vAlign w:val="center"/>
            <w:textDirection w:val="lrTb"/>
            <w:noWrap/>
          </w:tcPr>
          <w:p>
            <w:pPr>
              <w:jc w:val="center"/>
              <w:spacing w:line="324" w:lineRule="auto"/>
              <w:widowControl/>
              <w:rPr>
                <w:rFonts w:ascii="宋体" w:hAnsi="宋体" w:cs="宋体"/>
                <w:b/>
                <w:bCs/>
                <w:szCs w:val="21"/>
              </w:rPr>
            </w:pPr>
            <w:r>
              <w:rPr>
                <w:rFonts w:hint="eastAsia" w:ascii="宋体" w:hAnsi="宋体" w:cs="宋体"/>
                <w:b/>
                <w:bCs/>
                <w:szCs w:val="21"/>
              </w:rPr>
              <w:t xml:space="preserve">二</w:t>
            </w:r>
            <w:r/>
          </w:p>
        </w:tc>
        <w:tc>
          <w:tcPr>
            <w:tcW w:w="8453" w:type="dxa"/>
            <w:vAlign w:val="center"/>
            <w:textDirection w:val="lrTb"/>
            <w:noWrap/>
          </w:tcPr>
          <w:p>
            <w:pPr>
              <w:spacing w:line="324" w:lineRule="auto"/>
              <w:widowControl/>
              <w:rPr>
                <w:rFonts w:ascii="宋体" w:hAnsi="宋体" w:cs="宋体"/>
                <w:b/>
                <w:bCs/>
                <w:szCs w:val="21"/>
              </w:rPr>
            </w:pPr>
            <w:r>
              <w:rPr>
                <w:rFonts w:hint="eastAsia" w:ascii="宋体" w:hAnsi="宋体" w:cs="宋体"/>
                <w:b/>
                <w:bCs/>
                <w:szCs w:val="21"/>
              </w:rPr>
              <w:t xml:space="preserve">机械化信息监管考核要求</w:t>
            </w:r>
            <w:r/>
          </w:p>
        </w:tc>
      </w:tr>
      <w:tr>
        <w:trPr>
          <w:jc w:val="center"/>
          <w:trHeight w:val="748"/>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17</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小型扫路车车辆GPS装置完好，机扫、洗扫、冲水车辆GPS及视频监控等装置完好，接入信息化平台，并运行正常。</w:t>
            </w:r>
            <w:r/>
          </w:p>
        </w:tc>
      </w:tr>
      <w:tr>
        <w:trPr>
          <w:jc w:val="center"/>
          <w:trHeight w:val="1123"/>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18</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p>
        </w:tc>
      </w:tr>
      <w:tr>
        <w:trPr>
          <w:jc w:val="center"/>
          <w:trHeight w:val="1844"/>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19</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高压冲水作业时间：常温天气，白天作业时间9:00-16:00，夜间作业时间22:00－次日凌晨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w:t>
            </w:r>
            <w:r/>
          </w:p>
        </w:tc>
      </w:tr>
      <w:tr>
        <w:trPr>
          <w:jc w:val="center"/>
          <w:trHeight w:val="748"/>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20</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机械化车辆按规定速度作业，小型扫路车不超过10公里/小时，机扫车、洗扫车不超过15公里/小时，高压冲水车不超过20公里/小时。</w:t>
            </w:r>
            <w:r/>
          </w:p>
        </w:tc>
      </w:tr>
      <w:tr>
        <w:trPr>
          <w:jc w:val="center"/>
          <w:trHeight w:val="397"/>
        </w:trPr>
        <w:tc>
          <w:tcPr>
            <w:tcW w:w="954" w:type="dxa"/>
            <w:vAlign w:val="center"/>
            <w:textDirection w:val="lrTb"/>
            <w:noWrap/>
          </w:tcPr>
          <w:p>
            <w:pPr>
              <w:jc w:val="center"/>
              <w:spacing w:line="324" w:lineRule="auto"/>
              <w:widowControl/>
              <w:rPr>
                <w:rFonts w:ascii="宋体" w:hAnsi="宋体" w:cs="宋体"/>
                <w:b/>
                <w:bCs/>
                <w:szCs w:val="21"/>
              </w:rPr>
            </w:pPr>
            <w:r>
              <w:rPr>
                <w:rFonts w:hint="eastAsia" w:ascii="宋体" w:hAnsi="宋体" w:cs="宋体"/>
                <w:b/>
                <w:bCs/>
                <w:szCs w:val="21"/>
              </w:rPr>
              <w:t xml:space="preserve">三</w:t>
            </w:r>
            <w:r/>
          </w:p>
        </w:tc>
        <w:tc>
          <w:tcPr>
            <w:tcW w:w="8453" w:type="dxa"/>
            <w:vAlign w:val="center"/>
            <w:textDirection w:val="lrTb"/>
            <w:noWrap/>
          </w:tcPr>
          <w:p>
            <w:pPr>
              <w:spacing w:line="324" w:lineRule="auto"/>
              <w:widowControl/>
              <w:rPr>
                <w:rFonts w:ascii="宋体" w:hAnsi="宋体" w:cs="宋体"/>
                <w:b/>
                <w:bCs/>
                <w:szCs w:val="21"/>
              </w:rPr>
            </w:pPr>
            <w:r>
              <w:rPr>
                <w:rFonts w:hint="eastAsia" w:ascii="宋体" w:hAnsi="宋体" w:cs="宋体"/>
                <w:b/>
                <w:bCs/>
                <w:szCs w:val="21"/>
              </w:rPr>
              <w:t xml:space="preserve">环卫公厕保洁考核要求</w:t>
            </w:r>
            <w:r/>
          </w:p>
        </w:tc>
      </w:tr>
      <w:tr>
        <w:trPr>
          <w:jc w:val="center"/>
          <w:trHeight w:val="2177"/>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21</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公厕管理要求：（1）专人保洁公厕开放时间为每日6:00-22:00，节假日、重大活动延长至23:00；巡回公厕、24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全面清洗打扫一次，其余时间段内巡回保洁。</w:t>
            </w:r>
            <w:r/>
          </w:p>
        </w:tc>
      </w:tr>
      <w:tr>
        <w:trPr>
          <w:jc w:val="center"/>
          <w:trHeight w:val="1110"/>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22</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按照《无锡市公共厕所建设与管理技术导则》规范设置管理制度牌，公厕导向标志、男女公厕标志、无障碍公厕标志等标识标志，各类标识标牌安全牢固、完好整洁，无破损、无残缺、无锈迹。</w:t>
            </w:r>
            <w:r/>
          </w:p>
        </w:tc>
      </w:tr>
      <w:tr>
        <w:trPr>
          <w:jc w:val="center"/>
          <w:trHeight w:val="1683"/>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23</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公厕外围环卫保洁质量要求：（1）市容环境卫生责任区范围内保持整洁、干净，无乱张贴、无乱涂写、无乱刻画、无乱吊挂、无乱堆放，无垃圾、无污水、无蚊蝇滋生地，无寄养动物；（2）坡道、台阶完好无破损、无障碍物、无杂物、无积水；外墙、屋顶保持整洁，无污迹、无广告、无涂鸦等。</w:t>
            </w:r>
            <w:r/>
          </w:p>
        </w:tc>
      </w:tr>
      <w:tr>
        <w:trPr>
          <w:jc w:val="center"/>
          <w:trHeight w:val="2577"/>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24</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公厕内部环卫保洁质量要求：（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 2处；（4）窗玻璃明亮，窗台、窗框等无积灰、无破损；（5）管理房（工具间）保持整洁，无异味；（6）消毒及时（消毒时间为每年4月至11月），无蛆、无蝇、无蛛网。</w:t>
            </w:r>
            <w:r/>
          </w:p>
        </w:tc>
      </w:tr>
      <w:tr>
        <w:trPr>
          <w:jc w:val="center"/>
          <w:trHeight w:val="3310"/>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25</w:t>
            </w:r>
            <w:r/>
          </w:p>
        </w:tc>
        <w:tc>
          <w:tcPr>
            <w:tcW w:w="8453" w:type="dxa"/>
            <w:vAlign w:val="center"/>
            <w:textDirection w:val="lrTb"/>
            <w:noWrap/>
          </w:tcPr>
          <w:p>
            <w:pPr>
              <w:keepLines/>
              <w:spacing w:line="324" w:lineRule="auto"/>
              <w:widowControl/>
              <w:rPr>
                <w:rFonts w:ascii="宋体" w:hAnsi="宋体" w:cs="宋体"/>
                <w:szCs w:val="21"/>
              </w:rPr>
            </w:pPr>
            <w:r>
              <w:rPr>
                <w:rFonts w:hint="eastAsia" w:ascii="宋体" w:hAnsi="宋体" w:cs="宋体"/>
                <w:szCs w:val="21"/>
              </w:rPr>
              <w:t xml:space="preserve">公厕内部设施设备管养要求：（1）便器外侧无锈迹、无粪便</w:t>
            </w:r>
            <w:r>
              <w:rPr>
                <w:rFonts w:hint="eastAsia" w:ascii="宋体" w:hAnsi="宋体" w:cs="宋体"/>
                <w:szCs w:val="21"/>
              </w:rPr>
              <w:t xml:space="preserve">、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取纸设备及时添加厕纸。</w:t>
            </w:r>
            <w:r/>
          </w:p>
        </w:tc>
      </w:tr>
      <w:tr>
        <w:trPr>
          <w:jc w:val="center"/>
          <w:trHeight w:val="403"/>
        </w:trPr>
        <w:tc>
          <w:tcPr>
            <w:tcW w:w="954" w:type="dxa"/>
            <w:vAlign w:val="center"/>
            <w:textDirection w:val="lrTb"/>
            <w:noWrap/>
          </w:tcPr>
          <w:p>
            <w:pPr>
              <w:jc w:val="center"/>
              <w:spacing w:line="324" w:lineRule="auto"/>
              <w:widowControl/>
              <w:rPr>
                <w:rFonts w:ascii="宋体" w:hAnsi="宋体" w:cs="宋体"/>
                <w:b/>
                <w:bCs/>
                <w:szCs w:val="21"/>
              </w:rPr>
            </w:pPr>
            <w:r>
              <w:rPr>
                <w:rFonts w:hint="eastAsia" w:ascii="宋体" w:hAnsi="宋体" w:cs="宋体"/>
                <w:b/>
                <w:bCs/>
                <w:szCs w:val="21"/>
              </w:rPr>
              <w:t xml:space="preserve">四</w:t>
            </w:r>
            <w:r/>
          </w:p>
        </w:tc>
        <w:tc>
          <w:tcPr>
            <w:tcW w:w="8453" w:type="dxa"/>
            <w:vAlign w:val="center"/>
            <w:textDirection w:val="lrTb"/>
            <w:noWrap/>
          </w:tcPr>
          <w:p>
            <w:pPr>
              <w:spacing w:line="324" w:lineRule="auto"/>
              <w:widowControl/>
              <w:rPr>
                <w:rFonts w:ascii="宋体" w:hAnsi="宋体" w:cs="宋体"/>
                <w:b/>
                <w:bCs/>
                <w:szCs w:val="21"/>
              </w:rPr>
            </w:pPr>
            <w:r>
              <w:rPr>
                <w:rFonts w:hint="eastAsia" w:ascii="宋体" w:hAnsi="宋体" w:cs="宋体"/>
                <w:b/>
                <w:bCs/>
                <w:szCs w:val="21"/>
              </w:rPr>
              <w:t xml:space="preserve">应急保障工作考核要求</w:t>
            </w:r>
            <w:r/>
          </w:p>
        </w:tc>
      </w:tr>
      <w:tr>
        <w:trPr>
          <w:jc w:val="center"/>
          <w:trHeight w:val="748"/>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26</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台风暴雨、雨雪冰冻、高温等恶劣天气做好环卫应急保障工作，高温、大气污染等特殊天气增加机械化作业频次，及时处置110案件。</w:t>
            </w:r>
            <w:r/>
          </w:p>
        </w:tc>
      </w:tr>
      <w:tr>
        <w:trPr>
          <w:jc w:val="center"/>
          <w:trHeight w:val="400"/>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27</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节假日、重大活动保障等加强环卫作业力量，确保环卫保洁服务质量。</w:t>
            </w:r>
            <w:r/>
          </w:p>
        </w:tc>
      </w:tr>
      <w:tr>
        <w:trPr>
          <w:jc w:val="center"/>
          <w:trHeight w:val="594"/>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28</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及时处理反馈投诉案件，解决市民关注问题，不引发社会舆情。</w:t>
            </w:r>
            <w:r/>
          </w:p>
        </w:tc>
      </w:tr>
      <w:tr>
        <w:trPr>
          <w:jc w:val="center"/>
          <w:trHeight w:val="405"/>
        </w:trPr>
        <w:tc>
          <w:tcPr>
            <w:tcW w:w="954" w:type="dxa"/>
            <w:vAlign w:val="center"/>
            <w:textDirection w:val="lrTb"/>
            <w:noWrap/>
          </w:tcPr>
          <w:p>
            <w:pPr>
              <w:jc w:val="center"/>
              <w:spacing w:line="324" w:lineRule="auto"/>
              <w:widowControl/>
              <w:rPr>
                <w:rFonts w:ascii="宋体" w:hAnsi="宋体" w:cs="宋体"/>
                <w:b/>
                <w:bCs/>
                <w:szCs w:val="21"/>
              </w:rPr>
            </w:pPr>
            <w:r>
              <w:rPr>
                <w:rFonts w:hint="eastAsia" w:ascii="宋体" w:hAnsi="宋体" w:cs="宋体"/>
                <w:b/>
                <w:bCs/>
                <w:szCs w:val="21"/>
              </w:rPr>
              <w:t xml:space="preserve">五</w:t>
            </w:r>
            <w:r/>
          </w:p>
        </w:tc>
        <w:tc>
          <w:tcPr>
            <w:tcW w:w="8453" w:type="dxa"/>
            <w:vAlign w:val="center"/>
            <w:textDirection w:val="lrTb"/>
            <w:noWrap/>
          </w:tcPr>
          <w:p>
            <w:pPr>
              <w:spacing w:line="324" w:lineRule="auto"/>
              <w:widowControl/>
              <w:rPr>
                <w:rFonts w:ascii="宋体" w:hAnsi="宋体" w:cs="宋体"/>
                <w:b/>
                <w:bCs/>
                <w:szCs w:val="21"/>
              </w:rPr>
            </w:pPr>
            <w:r>
              <w:rPr>
                <w:rFonts w:hint="eastAsia" w:ascii="宋体" w:hAnsi="宋体" w:cs="宋体"/>
                <w:b/>
                <w:bCs/>
                <w:szCs w:val="21"/>
              </w:rPr>
              <w:t xml:space="preserve">安全生产工作考核要求</w:t>
            </w:r>
            <w:r/>
          </w:p>
        </w:tc>
      </w:tr>
      <w:tr>
        <w:trPr>
          <w:jc w:val="center"/>
          <w:trHeight w:val="894"/>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29</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健全企业内部安全生产管理制度，严格落实环卫作业人员岗前培训、业务培训、安全生产专项培训以及每日班前安全作业提醒。</w:t>
            </w:r>
            <w:r/>
          </w:p>
        </w:tc>
      </w:tr>
      <w:tr>
        <w:trPr>
          <w:jc w:val="center"/>
          <w:trHeight w:val="601"/>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30</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对各级监管部门安全生产检查反馈的问题隐患及时落实整改。</w:t>
            </w:r>
            <w:r/>
          </w:p>
        </w:tc>
      </w:tr>
      <w:tr>
        <w:trPr>
          <w:jc w:val="center"/>
          <w:trHeight w:val="759"/>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31</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开展安全生产自查，对自查发现的问题隐患进行整改；制定安全生产演练方案，开展安全生产演练，形成总结材料。</w:t>
            </w:r>
            <w:r/>
          </w:p>
        </w:tc>
      </w:tr>
      <w:tr>
        <w:trPr>
          <w:jc w:val="center"/>
          <w:trHeight w:val="896"/>
        </w:trPr>
        <w:tc>
          <w:tcPr>
            <w:tcW w:w="954" w:type="dxa"/>
            <w:vAlign w:val="center"/>
            <w:textDirection w:val="lrTb"/>
            <w:noWrap/>
          </w:tcPr>
          <w:p>
            <w:pPr>
              <w:jc w:val="center"/>
              <w:spacing w:line="324" w:lineRule="auto"/>
              <w:widowControl/>
              <w:rPr>
                <w:rFonts w:ascii="宋体" w:hAnsi="宋体" w:cs="宋体"/>
                <w:szCs w:val="21"/>
              </w:rPr>
            </w:pPr>
            <w:r>
              <w:rPr>
                <w:rFonts w:hint="eastAsia" w:ascii="宋体" w:hAnsi="宋体" w:cs="宋体"/>
                <w:szCs w:val="21"/>
              </w:rPr>
              <w:t xml:space="preserve">32</w:t>
            </w:r>
            <w:r/>
          </w:p>
        </w:tc>
        <w:tc>
          <w:tcPr>
            <w:tcW w:w="8453" w:type="dxa"/>
            <w:vAlign w:val="center"/>
            <w:textDirection w:val="lrTb"/>
            <w:noWrap/>
          </w:tcPr>
          <w:p>
            <w:pPr>
              <w:spacing w:line="324" w:lineRule="auto"/>
              <w:widowControl/>
              <w:rPr>
                <w:rFonts w:ascii="宋体" w:hAnsi="宋体" w:cs="宋体"/>
                <w:szCs w:val="21"/>
              </w:rPr>
            </w:pPr>
            <w:r>
              <w:rPr>
                <w:rFonts w:hint="eastAsia" w:ascii="宋体" w:hAnsi="宋体" w:cs="宋体"/>
                <w:szCs w:val="21"/>
              </w:rPr>
              <w:t xml:space="preserve">不发生环卫人员、车辆重大安全事故。根据相关法律法规开展道路移动作业，做好安全防护措施。</w:t>
            </w:r>
            <w:r/>
          </w:p>
        </w:tc>
      </w:tr>
    </w:tbl>
    <w:p>
      <w:pPr>
        <w:spacing w:line="240" w:lineRule="atLeast"/>
        <w:widowControl/>
        <w:rPr>
          <w:rFonts w:ascii="宋体" w:hAnsi="宋体"/>
          <w:b/>
          <w:bCs/>
          <w:sz w:val="18"/>
          <w:szCs w:val="18"/>
          <w:lang w:bidi="mn-Mong-CN"/>
        </w:rPr>
      </w:pPr>
      <w:r>
        <w:rPr>
          <w:rFonts w:ascii="宋体" w:hAnsi="宋体"/>
          <w:b/>
          <w:bCs/>
          <w:sz w:val="18"/>
          <w:szCs w:val="18"/>
          <w:lang w:bidi="mn-Mong-CN"/>
        </w:rPr>
      </w:r>
      <w:r/>
    </w:p>
    <w:p>
      <w:pPr>
        <w:rPr>
          <w:rFonts w:ascii="宋体" w:hAnsi="宋体" w:cs="仿宋"/>
          <w:sz w:val="24"/>
        </w:rPr>
      </w:pPr>
      <w:r>
        <w:rPr>
          <w:rFonts w:ascii="宋体" w:hAnsi="宋体" w:cs="仿宋"/>
          <w:sz w:val="24"/>
        </w:rPr>
        <w:br w:type="page" w:clear="all"/>
      </w:r>
      <w:r/>
    </w:p>
    <w:p>
      <w:pPr>
        <w:spacing w:line="440" w:lineRule="exact"/>
        <w:rPr>
          <w:rFonts w:ascii="宋体" w:hAnsi="宋体" w:cs="宋体"/>
          <w:b/>
          <w:bCs/>
          <w:sz w:val="24"/>
          <w:szCs w:val="24"/>
        </w:rPr>
      </w:pPr>
      <w:r>
        <w:rPr>
          <w:rFonts w:hint="eastAsia" w:ascii="宋体" w:hAnsi="宋体" w:cs="宋体"/>
          <w:b/>
          <w:bCs/>
          <w:sz w:val="24"/>
          <w:szCs w:val="24"/>
        </w:rPr>
        <w:t xml:space="preserve">附件二</w:t>
      </w:r>
      <w:r/>
    </w:p>
    <w:tbl>
      <w:tblPr>
        <w:tblStyle w:val="783"/>
        <w:tblW w:w="9360" w:type="dxa"/>
        <w:tblInd w:w="-15" w:type="dxa"/>
        <w:tblLayout w:type="autofit"/>
        <w:tblCellMar>
          <w:left w:w="108" w:type="dxa"/>
          <w:top w:w="0" w:type="dxa"/>
          <w:right w:w="108" w:type="dxa"/>
          <w:bottom w:w="0" w:type="dxa"/>
        </w:tblCellMar>
        <w:tblLook w:val="04A0" w:firstRow="1" w:lastRow="0" w:firstColumn="1" w:lastColumn="0" w:noHBand="0" w:noVBand="1"/>
      </w:tblPr>
      <w:tblGrid>
        <w:gridCol w:w="5359"/>
        <w:gridCol w:w="4118"/>
      </w:tblGrid>
      <w:tr>
        <w:trPr>
          <w:trHeight w:val="255"/>
        </w:trPr>
        <w:tc>
          <w:tcPr>
            <w:gridSpan w:val="2"/>
            <w:tcBorders>
              <w:top w:val="none" w:color="000000" w:sz="4" w:space="0"/>
              <w:left w:val="none" w:color="000000" w:sz="4" w:space="0"/>
              <w:bottom w:val="single" w:color="000000" w:sz="4" w:space="0"/>
              <w:right w:val="none" w:color="000000" w:sz="4" w:space="0"/>
            </w:tcBorders>
            <w:tcW w:w="9477" w:type="dxa"/>
            <w:vAlign w:val="center"/>
            <w:textDirection w:val="lrTb"/>
            <w:noWrap/>
          </w:tcPr>
          <w:p>
            <w:pPr>
              <w:jc w:val="center"/>
              <w:widowControl/>
              <w:rPr>
                <w:rFonts w:ascii="宋体" w:hAnsi="宋体" w:cs="宋体"/>
                <w:color w:val="000000"/>
                <w:szCs w:val="21"/>
              </w:rPr>
            </w:pPr>
            <w:r>
              <w:rPr>
                <w:rFonts w:hint="eastAsia" w:ascii="宋体" w:hAnsi="宋体"/>
                <w:b/>
                <w:sz w:val="28"/>
                <w:szCs w:val="28"/>
              </w:rPr>
              <w:t xml:space="preserve">滨湖区环卫一体化作业质量检查考核标准</w:t>
            </w:r>
            <w:r/>
          </w:p>
        </w:tc>
      </w:tr>
      <w:tr>
        <w:trPr>
          <w:trHeight w:val="205"/>
        </w:trPr>
        <w:tc>
          <w:tcPr>
            <w:tcBorders>
              <w:top w:val="single" w:color="000000" w:sz="4" w:space="0"/>
              <w:left w:val="single" w:color="000000" w:sz="4" w:space="0"/>
              <w:bottom w:val="single" w:color="000000" w:sz="4" w:space="0"/>
              <w:right w:val="none" w:color="000000" w:sz="4" w:space="0"/>
            </w:tcBorders>
            <w:tcW w:w="535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检  查  内  容</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扣  分  标  准</w:t>
            </w:r>
            <w:r/>
          </w:p>
        </w:tc>
      </w:tr>
      <w:tr>
        <w:trPr>
          <w:trHeight w:val="205"/>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jc w:val="left"/>
              <w:widowControl/>
              <w:rPr>
                <w:rFonts w:ascii="宋体" w:hAnsi="宋体" w:cs="宋体"/>
                <w:b/>
                <w:bCs/>
                <w:color w:val="000000"/>
                <w:szCs w:val="21"/>
              </w:rPr>
            </w:pPr>
            <w:r>
              <w:rPr>
                <w:rFonts w:hint="eastAsia" w:ascii="宋体" w:hAnsi="宋体" w:cs="宋体"/>
                <w:b/>
                <w:bCs/>
                <w:color w:val="000000"/>
                <w:szCs w:val="21"/>
              </w:rPr>
              <w:t xml:space="preserve">一、道路综合保洁</w:t>
            </w:r>
            <w:r/>
          </w:p>
        </w:tc>
      </w:tr>
      <w:tr>
        <w:trPr>
          <w:trHeight w:val="365"/>
        </w:trPr>
        <w:tc>
          <w:tcPr>
            <w:tcBorders>
              <w:top w:val="single" w:color="000000" w:sz="4" w:space="0"/>
              <w:left w:val="single" w:color="000000" w:sz="4" w:space="0"/>
              <w:bottom w:val="single" w:color="000000" w:sz="4" w:space="0"/>
              <w:right w:val="none" w:color="000000" w:sz="4" w:space="0"/>
            </w:tcBorders>
            <w:tcW w:w="5359" w:type="dxa"/>
            <w:vAlign w:val="center"/>
            <w:textDirection w:val="lrTb"/>
            <w:noWrap/>
          </w:tcPr>
          <w:p>
            <w:pPr>
              <w:jc w:val="left"/>
              <w:widowControl/>
              <w:rPr>
                <w:rFonts w:ascii="宋体" w:hAnsi="宋体" w:cs="宋体"/>
                <w:b/>
                <w:bCs/>
                <w:color w:val="000000"/>
                <w:szCs w:val="21"/>
              </w:rPr>
            </w:pPr>
            <w:r>
              <w:rPr>
                <w:rFonts w:hint="eastAsia" w:ascii="宋体" w:hAnsi="宋体" w:cs="宋体"/>
                <w:b/>
                <w:bCs/>
                <w:color w:val="000000"/>
                <w:szCs w:val="21"/>
              </w:rPr>
              <w:t xml:space="preserve">（一）人工综合保洁作业</w:t>
            </w:r>
            <w:r/>
          </w:p>
        </w:tc>
        <w:tc>
          <w:tcPr>
            <w:tcBorders>
              <w:top w:val="single" w:color="000000" w:sz="4" w:space="0"/>
              <w:left w:val="none" w:color="000000" w:sz="4" w:space="0"/>
              <w:bottom w:val="single" w:color="000000" w:sz="4" w:space="0"/>
              <w:right w:val="single" w:color="000000" w:sz="4" w:space="0"/>
            </w:tcBorders>
            <w:tcW w:w="4118"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1.作业时间：一级道路（A 类）清扫保洁时间：5:00-18:00，一级道路（B 类）清扫保洁时间：6:00-18:00；二级道路清扫保洁时间：7:00-18:00；三级道路清扫保洁时间：7:00-18:00；四级道路清扫保洁时间：7:00-16:00。夜间清扫保洁作业时间：11 月至次年4月为 18:00-21:00，5月至10月 18:00-22:00，重大活动及节假日延长 1 小时（具体以活动结束时间为准）。</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不在规定时间内作业每一条扣2分。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w:t>
            </w:r>
            <w:r>
              <w:rPr>
                <w:rStyle w:val="1123"/>
                <w:rFonts w:hint="eastAsia" w:ascii="宋体" w:hAnsi="宋体" w:eastAsia="宋体" w:cs="宋体"/>
                <w:sz w:val="21"/>
                <w:szCs w:val="21"/>
              </w:rPr>
              <w:t xml:space="preserve">.道路清扫不丢扫、不漏扫。</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漏扫一处扣0.5分，以此类推。丢扫一条道路5分，并扣除当日作业经费。</w:t>
            </w:r>
            <w:r/>
          </w:p>
        </w:tc>
      </w:tr>
      <w:tr>
        <w:trPr>
          <w:trHeight w:val="231"/>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w:t>
            </w:r>
            <w:r>
              <w:rPr>
                <w:rStyle w:val="1123"/>
                <w:rFonts w:hint="eastAsia" w:ascii="宋体" w:hAnsi="宋体" w:eastAsia="宋体" w:cs="宋体"/>
                <w:sz w:val="21"/>
                <w:szCs w:val="21"/>
              </w:rPr>
              <w:t xml:space="preserve">.清扫垃圾归堆不漏收、不乱倒。</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发现一处各扣1分，发现乱倒扣2分。</w:t>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w:t>
            </w:r>
            <w:r>
              <w:rPr>
                <w:rStyle w:val="1123"/>
                <w:rFonts w:hint="eastAsia" w:ascii="宋体" w:hAnsi="宋体" w:eastAsia="宋体" w:cs="宋体"/>
                <w:sz w:val="21"/>
                <w:szCs w:val="21"/>
              </w:rPr>
              <w:t xml:space="preserve">.沿主干道两侧施工工地无隔夜生活垃圾。</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发现一处扣2分。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w:t>
            </w:r>
            <w:r>
              <w:rPr>
                <w:rStyle w:val="1123"/>
                <w:rFonts w:hint="eastAsia" w:ascii="宋体" w:hAnsi="宋体" w:eastAsia="宋体" w:cs="宋体"/>
                <w:sz w:val="21"/>
                <w:szCs w:val="21"/>
              </w:rPr>
              <w:t xml:space="preserve">.垃圾、边脚淤泥不得扫入或倒入绿带、河道、窨井、喇叭口内，并疏通窨井盖。</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发现一次各扣3分。</w:t>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w:t>
            </w:r>
            <w:r>
              <w:rPr>
                <w:rStyle w:val="1123"/>
                <w:rFonts w:hint="eastAsia" w:ascii="宋体" w:hAnsi="宋体" w:eastAsia="宋体" w:cs="宋体"/>
                <w:sz w:val="21"/>
                <w:szCs w:val="21"/>
              </w:rPr>
              <w:t xml:space="preserve">.不准焚烧树叶、垃圾等杂物。</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发现一次扣5分。</w:t>
            </w:r>
            <w:r/>
          </w:p>
        </w:tc>
      </w:tr>
      <w:tr>
        <w:trPr>
          <w:trHeight w:val="53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w:t>
            </w:r>
            <w:r>
              <w:rPr>
                <w:rStyle w:val="1123"/>
                <w:rFonts w:hint="eastAsia" w:ascii="宋体" w:hAnsi="宋体" w:eastAsia="宋体" w:cs="宋体"/>
                <w:sz w:val="21"/>
                <w:szCs w:val="21"/>
              </w:rPr>
              <w:t xml:space="preserve">.侧石边脚清，无淤泥，无明显</w:t>
            </w:r>
            <w:r>
              <w:rPr>
                <w:rStyle w:val="1123"/>
                <w:rFonts w:hint="eastAsia" w:ascii="宋体" w:hAnsi="宋体" w:cs="宋体"/>
                <w:sz w:val="21"/>
                <w:szCs w:val="21"/>
              </w:rPr>
              <w:t xml:space="preserve">砂粒</w:t>
            </w:r>
            <w:r>
              <w:rPr>
                <w:rStyle w:val="1123"/>
                <w:rFonts w:hint="eastAsia" w:ascii="宋体" w:hAnsi="宋体" w:eastAsia="宋体" w:cs="宋体"/>
                <w:sz w:val="21"/>
                <w:szCs w:val="21"/>
              </w:rPr>
              <w:t xml:space="preserve">，无波浪形，无死角。</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有边脚淤泥或明显沙粒扣0.5分/米，边脚毛波浪形每3米扣0.5分，死角每处扣0.5分。</w:t>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8.支路、弄口清扫保洁向内延伸5米，电杆、树穴、隔离墩周围干净整洁，窨井盖不堵塞。</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电杆、树穴、隔离墩周围，每处不清扣1分，窨井盖堵塞一半扣0.5分/处，完全堵塞扣1分/处。</w:t>
            </w:r>
            <w:r/>
          </w:p>
        </w:tc>
      </w:tr>
      <w:tr>
        <w:trPr>
          <w:trHeight w:val="711"/>
        </w:trPr>
        <w:tc>
          <w:tcPr>
            <w:tcBorders>
              <w:top w:val="single" w:color="000000" w:sz="4" w:space="0"/>
              <w:left w:val="single" w:color="000000" w:sz="4" w:space="0"/>
              <w:bottom w:val="single" w:color="000000" w:sz="4" w:space="0"/>
              <w:right w:val="single" w:color="000000" w:sz="4" w:space="0"/>
            </w:tcBorders>
            <w:tcW w:w="5343"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w:t>
            </w:r>
            <w:r>
              <w:rPr>
                <w:rStyle w:val="1123"/>
                <w:rFonts w:hint="eastAsia" w:ascii="宋体" w:hAnsi="宋体" w:eastAsia="宋体" w:cs="宋体"/>
                <w:sz w:val="21"/>
                <w:szCs w:val="21"/>
              </w:rPr>
              <w:t xml:space="preserve">.道路清扫保洁、道路两侧绿化带、开放式广场和游园清扫保洁范围内无垃圾杂物、白色垃圾（人工保洁范围有建筑物的道路两侧边到边、墙到墙全面积保洁；无建筑物的道路两侧绿化带到绿化带（含绿化带）全面积保洁）。</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一类道路1000平方米以内每4处垃圾杂物扣0.5分。临时丢弃垃圾停留时间不得超过15分钟，超过15分钟每处扣0.1分。</w:t>
            </w:r>
            <w:r/>
          </w:p>
        </w:tc>
      </w:tr>
      <w:tr>
        <w:trPr>
          <w:trHeight w:val="711"/>
        </w:trPr>
        <w:tc>
          <w:tcPr>
            <w:tcBorders>
              <w:top w:val="single" w:color="000000" w:sz="4" w:space="0"/>
              <w:left w:val="single" w:color="000000" w:sz="4" w:space="0"/>
              <w:bottom w:val="single" w:color="000000" w:sz="4" w:space="0"/>
              <w:right w:val="single" w:color="000000" w:sz="4" w:space="0"/>
            </w:tcBorders>
            <w:tcW w:w="5343" w:type="dxa"/>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二类道路1000平方米以内每6处垃圾杂物扣0.5分。临时丢弃垃圾停留时间不得超过20分钟，超过20分钟每处扣0.1分。</w:t>
            </w:r>
            <w:r/>
          </w:p>
        </w:tc>
      </w:tr>
      <w:tr>
        <w:trPr>
          <w:trHeight w:val="711"/>
        </w:trPr>
        <w:tc>
          <w:tcPr>
            <w:tcBorders>
              <w:top w:val="single" w:color="000000" w:sz="4" w:space="0"/>
              <w:left w:val="single" w:color="000000" w:sz="4" w:space="0"/>
              <w:bottom w:val="single" w:color="000000" w:sz="4" w:space="0"/>
              <w:right w:val="single" w:color="000000" w:sz="4" w:space="0"/>
            </w:tcBorders>
            <w:tcW w:w="5343" w:type="dxa"/>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三类道路1000平方米以内每8处垃圾杂物扣0.5分。临时丢弃垃圾停留时间不得超过25分钟，超过25分钟每处扣0.1分。</w:t>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w:t>
            </w:r>
            <w:r>
              <w:rPr>
                <w:rStyle w:val="1123"/>
                <w:rFonts w:hint="eastAsia" w:ascii="宋体" w:hAnsi="宋体" w:eastAsia="宋体" w:cs="宋体"/>
                <w:sz w:val="21"/>
                <w:szCs w:val="21"/>
              </w:rPr>
              <w:t xml:space="preserve">.绿化分车带内无明显积存落叶。</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发现一处扣0.5分。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w:t>
            </w:r>
            <w:r>
              <w:rPr>
                <w:rStyle w:val="1123"/>
                <w:rFonts w:hint="eastAsia" w:ascii="宋体" w:hAnsi="宋体" w:eastAsia="宋体" w:cs="宋体"/>
                <w:sz w:val="21"/>
                <w:szCs w:val="21"/>
              </w:rPr>
              <w:t xml:space="preserve">.人行天桥清扫保洁及护栏清洗质量达标到位。</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未清扫保洁每座扣2分，雨后三天护栏未清洗每座段扣2分。</w:t>
            </w:r>
            <w:r/>
          </w:p>
        </w:tc>
      </w:tr>
      <w:tr>
        <w:trPr>
          <w:trHeight w:val="36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12.交通护栏底下按2米人工清扫保洁，地面无淤泥、杂物。</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有淤泥或杂物每5米扣1分。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13</w:t>
            </w:r>
            <w:r>
              <w:rPr>
                <w:rStyle w:val="1123"/>
                <w:rFonts w:hint="eastAsia" w:ascii="宋体" w:hAnsi="宋体" w:eastAsia="宋体" w:cs="宋体"/>
                <w:sz w:val="21"/>
                <w:szCs w:val="21"/>
              </w:rPr>
              <w:t xml:space="preserve">.交通护栏按规定时间擦洗，在重大活动期间做到雨后即清洗，随脏随清洗，交通护栏无积灰。</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未按规定时间擦洗每条道路扣3分，有明显尘土积灰每米扣0.2分。</w:t>
            </w:r>
            <w:r/>
          </w:p>
        </w:tc>
      </w:tr>
      <w:tr>
        <w:trPr>
          <w:trHeight w:val="884"/>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14</w:t>
            </w:r>
            <w:r>
              <w:rPr>
                <w:rStyle w:val="1123"/>
                <w:rFonts w:hint="eastAsia" w:ascii="宋体" w:hAnsi="宋体" w:eastAsia="宋体" w:cs="宋体"/>
                <w:sz w:val="21"/>
                <w:szCs w:val="21"/>
              </w:rPr>
              <w:t xml:space="preserve">.每日巡回收集果壳箱内垃圾，做到及时清理，确保垃圾无满溢、散落，箱体无乱涂写、乱张贴，容器分类标志清晰，每日整体擦洗保洁一次，沿路果壳箱周围无堆积、存留垃圾，果壳箱内胆不得随意摆放道路两侧，并将果壳箱门锁紧闭。</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果壳箱内有满箱隔夜垃圾（超过投放口）每只扣1分；周围有垃圾杂物扣1分；外壳不清洁每只扣0.5分，箱体乱涂写、乱张贴未清理每项扣1分；果壳箱内胆随意放置每只扣1分。</w:t>
            </w:r>
            <w:r/>
          </w:p>
        </w:tc>
      </w:tr>
      <w:tr>
        <w:trPr>
          <w:trHeight w:val="711"/>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15.作业单位不得占道摆放垃圾收集容器，主次干道两侧不得设置垃圾收集点，垃圾收集临时停放不得超过30分钟。</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沿路临时收集点收集容器（桶）外有垃圾一处扣1分。垃圾收集容器（桶）放置道路快慢车道或人行道发现一只扣1分。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16</w:t>
            </w:r>
            <w:r>
              <w:rPr>
                <w:rStyle w:val="1123"/>
                <w:rFonts w:hint="eastAsia" w:ascii="宋体" w:hAnsi="宋体" w:eastAsia="宋体" w:cs="宋体"/>
                <w:sz w:val="21"/>
                <w:szCs w:val="21"/>
              </w:rPr>
              <w:t xml:space="preserve">.道路清扫保洁范围内无小型特种垃圾、无砖块石块；人行道板上无油污渍、无杂草。</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有特种、砖石1处扣1分，有油污渍一处扣1分，有杂草1处扣0.5分。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17</w:t>
            </w:r>
            <w:r>
              <w:rPr>
                <w:rStyle w:val="1123"/>
                <w:rFonts w:hint="eastAsia" w:ascii="宋体" w:hAnsi="宋体" w:eastAsia="宋体" w:cs="宋体"/>
                <w:sz w:val="21"/>
                <w:szCs w:val="21"/>
              </w:rPr>
              <w:t xml:space="preserve">.垃圾收集（保洁）车完好整洁，不抛、洒、滴、漏。</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保洁车辆不整洁、破损（抛、洒、滴、漏）每辆/次扣0.5分。</w:t>
            </w:r>
            <w:r/>
          </w:p>
        </w:tc>
      </w:tr>
      <w:tr>
        <w:trPr>
          <w:trHeight w:val="711"/>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18</w:t>
            </w:r>
            <w:r>
              <w:rPr>
                <w:rStyle w:val="1123"/>
                <w:rFonts w:hint="eastAsia" w:ascii="宋体" w:hAnsi="宋体" w:eastAsia="宋体" w:cs="宋体"/>
                <w:sz w:val="21"/>
                <w:szCs w:val="21"/>
              </w:rPr>
              <w:t xml:space="preserve">.上岗统一穿环卫标志服装（工号牌），且有明显所属单位标志，夜间作业佩戴发光安全标志，工作时间不离岗、不串岗、不聊天。</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发现不穿标志服（工号牌）、夜间作业未佩戴发光安全标志每人/次扣1分。离岗每人/次扣1分，串岗、聊天每人/次扣1分。</w:t>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19</w:t>
            </w:r>
            <w:r>
              <w:rPr>
                <w:rStyle w:val="1123"/>
                <w:rFonts w:hint="eastAsia" w:ascii="宋体" w:hAnsi="宋体" w:eastAsia="宋体" w:cs="宋体"/>
                <w:sz w:val="21"/>
                <w:szCs w:val="21"/>
              </w:rPr>
              <w:t xml:space="preserve">.道路清扫保洁实行定员定岗。</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发现缺岗每人/次扣0.1分。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20</w:t>
            </w:r>
            <w:r>
              <w:rPr>
                <w:rStyle w:val="1123"/>
                <w:rFonts w:hint="eastAsia" w:ascii="宋体" w:hAnsi="宋体" w:eastAsia="宋体" w:cs="宋体"/>
                <w:sz w:val="21"/>
                <w:szCs w:val="21"/>
              </w:rPr>
              <w:t xml:space="preserve">.道路两侧无主垃圾及时清理，无堆积。</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24小时未清理的扣3分，48小时未清理的扣5分。</w:t>
            </w:r>
            <w:r/>
          </w:p>
        </w:tc>
      </w:tr>
      <w:tr>
        <w:trPr>
          <w:trHeight w:val="205"/>
        </w:trPr>
        <w:tc>
          <w:tcPr>
            <w:gridSpan w:val="2"/>
            <w:tcBorders>
              <w:top w:val="single" w:color="000000" w:sz="4" w:space="0"/>
              <w:left w:val="single" w:color="000000" w:sz="4" w:space="0"/>
              <w:bottom w:val="none" w:color="000000" w:sz="4" w:space="0"/>
              <w:right w:val="single" w:color="000000" w:sz="4" w:space="0"/>
            </w:tcBorders>
            <w:tcW w:w="9477" w:type="dxa"/>
            <w:vAlign w:val="center"/>
            <w:textDirection w:val="lrTb"/>
            <w:noWrap w:val="false"/>
          </w:tcPr>
          <w:p>
            <w:pPr>
              <w:jc w:val="left"/>
              <w:widowControl/>
              <w:rPr>
                <w:rFonts w:ascii="宋体" w:hAnsi="宋体" w:cs="宋体"/>
                <w:color w:val="000000"/>
                <w:szCs w:val="21"/>
              </w:rPr>
            </w:pPr>
            <w:r>
              <w:rPr>
                <w:rFonts w:hint="eastAsia" w:ascii="宋体" w:hAnsi="宋体" w:cs="宋体"/>
                <w:b/>
                <w:bCs/>
                <w:color w:val="000000"/>
                <w:szCs w:val="21"/>
              </w:rPr>
              <w:t xml:space="preserve">（二）机械机扫、洗扫、冲水及人行道板清洗作业</w:t>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Style w:val="1123"/>
                <w:rFonts w:hint="eastAsia" w:ascii="宋体" w:hAnsi="宋体" w:eastAsia="宋体" w:cs="宋体"/>
                <w:sz w:val="21"/>
                <w:szCs w:val="21"/>
              </w:rPr>
              <w:t xml:space="preserve">.道路侧石边脚清、无淤泥、沙石杂物。</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每米扣0.5分，以此类推。</w:t>
            </w:r>
            <w:r/>
          </w:p>
        </w:tc>
      </w:tr>
      <w:tr>
        <w:trPr>
          <w:trHeight w:val="36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w:t>
            </w:r>
            <w:r>
              <w:rPr>
                <w:rStyle w:val="1123"/>
                <w:rFonts w:hint="eastAsia" w:ascii="宋体" w:hAnsi="宋体" w:eastAsia="宋体" w:cs="宋体"/>
                <w:sz w:val="21"/>
                <w:szCs w:val="21"/>
              </w:rPr>
              <w:t xml:space="preserve">.作业时喷水湿扫，不扬尘，不漏土。</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非冬季低温天气发现干扫扬尘一次扣5分。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w:t>
            </w:r>
            <w:r>
              <w:rPr>
                <w:rStyle w:val="1123"/>
                <w:rFonts w:hint="eastAsia" w:ascii="宋体" w:hAnsi="宋体" w:eastAsia="宋体" w:cs="宋体"/>
                <w:sz w:val="21"/>
                <w:szCs w:val="21"/>
              </w:rPr>
              <w:t xml:space="preserve">.及时清理吸尘管，作业时不抛、洒、滴、漏。</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发现抛、洒、滴、漏一处扣1分。超出10米扣2分，以此类推。</w:t>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w:t>
            </w:r>
            <w:r>
              <w:rPr>
                <w:rStyle w:val="1123"/>
                <w:rFonts w:hint="eastAsia" w:ascii="宋体" w:hAnsi="宋体" w:eastAsia="宋体" w:cs="宋体"/>
                <w:sz w:val="21"/>
                <w:szCs w:val="21"/>
              </w:rPr>
              <w:t xml:space="preserve">.按指定地点倾倒垃圾、污水，不乱倒。</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发现乱倒一次扣5分。</w:t>
            </w:r>
            <w:r/>
          </w:p>
        </w:tc>
      </w:tr>
      <w:tr>
        <w:trPr>
          <w:trHeight w:val="53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w:t>
            </w:r>
            <w:r>
              <w:rPr>
                <w:rStyle w:val="1123"/>
                <w:rFonts w:hint="eastAsia" w:ascii="宋体" w:hAnsi="宋体" w:eastAsia="宋体" w:cs="宋体"/>
                <w:sz w:val="21"/>
                <w:szCs w:val="21"/>
              </w:rPr>
              <w:t xml:space="preserve">.作业前检查扫刷落地高度，一般降至刷毛稍压地面为宜，吸嘴调整到无垃圾遗漏为止。</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扫刷未调到位扣0.5分，未正常工作扣1分扫刷悬空、单侧扫刷落地清扫每项扣2分/次。</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w:t>
            </w:r>
            <w:r>
              <w:rPr>
                <w:rStyle w:val="1123"/>
                <w:rFonts w:hint="eastAsia" w:ascii="宋体" w:hAnsi="宋体" w:eastAsia="宋体" w:cs="宋体"/>
                <w:sz w:val="21"/>
                <w:szCs w:val="21"/>
              </w:rPr>
              <w:t xml:space="preserve">.道路冲洗边脚清，无淤泥，无明显尘土黄带，道路显本色。</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边脚不清扣0.5分/米，有淤泥扣1分/米，有明显尘土黄带每5米扣1分。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w:t>
            </w:r>
            <w:r>
              <w:rPr>
                <w:rStyle w:val="1123"/>
                <w:rFonts w:hint="eastAsia" w:ascii="宋体" w:hAnsi="宋体" w:eastAsia="宋体" w:cs="宋体"/>
                <w:sz w:val="21"/>
                <w:szCs w:val="21"/>
              </w:rPr>
              <w:t xml:space="preserve">.加强对人行道及非机动车道的清洗，确保无积尘泥沙、无油污果渍、标线清晰。</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有淤泥、油污果渍扣1分/处，标线不清晰扣1分/处。</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w:t>
            </w:r>
            <w:r>
              <w:rPr>
                <w:rStyle w:val="1123"/>
                <w:rFonts w:hint="eastAsia" w:ascii="宋体" w:hAnsi="宋体" w:eastAsia="宋体" w:cs="宋体"/>
                <w:sz w:val="21"/>
                <w:szCs w:val="21"/>
              </w:rPr>
              <w:t xml:space="preserve">.道路交通护栏、隔离墩底面清，交通标线清晰。</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交通护栏下地面有明显尘土黄带，每5米扣1分。标线不清晰每5米扣1分。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w:t>
            </w:r>
            <w:r>
              <w:rPr>
                <w:rStyle w:val="1123"/>
                <w:rFonts w:hint="eastAsia" w:ascii="宋体" w:hAnsi="宋体" w:eastAsia="宋体" w:cs="宋体"/>
                <w:sz w:val="21"/>
                <w:szCs w:val="21"/>
              </w:rPr>
              <w:t xml:space="preserve">.应根据路况实际及时调整冲洒水装置，满足道路冲洒水需求</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调整不到位扣2分，出水孔堵塞或水压过小扣2分。</w:t>
            </w:r>
            <w:r/>
          </w:p>
        </w:tc>
      </w:tr>
      <w:tr>
        <w:trPr>
          <w:trHeight w:val="302"/>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w:t>
            </w:r>
            <w:r>
              <w:rPr>
                <w:rStyle w:val="1123"/>
                <w:rFonts w:hint="eastAsia" w:ascii="宋体" w:hAnsi="宋体" w:eastAsia="宋体" w:cs="宋体"/>
                <w:sz w:val="21"/>
                <w:szCs w:val="21"/>
              </w:rPr>
              <w:t xml:space="preserve">.机扫、洗扫、冲水作业文明，注意避让行人，确保作业效果。</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不文明作业扣1分，见行人不避让扣1分。</w:t>
            </w:r>
            <w:r/>
          </w:p>
        </w:tc>
      </w:tr>
      <w:tr>
        <w:trPr>
          <w:trHeight w:val="53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w:t>
            </w:r>
            <w:r>
              <w:rPr>
                <w:rStyle w:val="1123"/>
                <w:rFonts w:hint="eastAsia" w:ascii="宋体" w:hAnsi="宋体" w:eastAsia="宋体" w:cs="宋体"/>
                <w:sz w:val="21"/>
                <w:szCs w:val="21"/>
              </w:rPr>
              <w:t xml:space="preserve">.车容车貌整洁，车辆性能完好。车身标记清晰规范，按规定定期喷涂，喷涂前向主管部门登记备案。</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车容车貌不洁扣2分/辆，车辆性能不完好每车扣3分/次。未按规定定期喷涂每车扣5分/次。</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12.机扫、洗扫、冲水车辆GPS及视频监控等装置完好，运行正常。</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不报修、不完好每辆扣1分/次。</w:t>
            </w:r>
            <w:r/>
          </w:p>
        </w:tc>
      </w:tr>
      <w:tr>
        <w:trPr>
          <w:trHeight w:val="205"/>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jc w:val="left"/>
              <w:widowControl/>
              <w:rPr>
                <w:rFonts w:ascii="宋体" w:hAnsi="宋体" w:cs="宋体"/>
                <w:color w:val="000000"/>
                <w:szCs w:val="21"/>
              </w:rPr>
            </w:pPr>
            <w:r>
              <w:rPr>
                <w:rFonts w:hint="eastAsia" w:ascii="宋体" w:hAnsi="宋体" w:cs="宋体"/>
                <w:b/>
                <w:bCs/>
                <w:color w:val="000000"/>
                <w:szCs w:val="21"/>
              </w:rPr>
              <w:t xml:space="preserve">二、信息系统GPS机械化作业</w:t>
            </w:r>
            <w:r/>
          </w:p>
        </w:tc>
      </w:tr>
      <w:tr>
        <w:trPr>
          <w:trHeight w:val="1402"/>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1.机扫车、洗扫车在规定时间内开展机械化作业，作业时避开早高峰和晚高峰时间段（小型扫路车参照执行）；高压冲水作业时间：常温天气，白天作业时间 9:00-16:00，夜间作业时间 22:00-次日凌晨 4:00，作业时段内中雨及以上天气（以天气预报为依据）停止冲水，冬季当日最低气温≤3℃时，停止冲水作业；其他台风、汛期等特殊天气及时按照市级主管部门要求调整作业时间和作业模式。</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未在规定时间内完成（超时或提前作业）每条/次扣0.2分，未经核准擅自变更作业方式每条/次扣5分。</w:t>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2.机械化车辆按规定速度作业，小型扫路车不超过 10 公里/小时，机扫车、洗扫车不超过 15 公里/小时，高压冲水车不超过 20 公里/小时。</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超过规定时速每辆车/次扣0.1分。</w:t>
            </w:r>
            <w:r/>
          </w:p>
        </w:tc>
      </w:tr>
      <w:tr>
        <w:trPr>
          <w:trHeight w:val="777"/>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w:t>
            </w:r>
            <w:r>
              <w:rPr>
                <w:rStyle w:val="1123"/>
                <w:rFonts w:hint="eastAsia" w:ascii="宋体" w:hAnsi="宋体" w:eastAsia="宋体" w:cs="宋体"/>
                <w:sz w:val="21"/>
                <w:szCs w:val="21"/>
              </w:rPr>
              <w:t xml:space="preserve">.道路机扫（洗扫）每天上下午各清扫一遍，不丢扫，不漏扫。作业路段上车辆不得缺趟、无故未作业。</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清扫（洗扫）上午或下午缺趟每车每次扣0.5分，并扣除相应任务经费，丢扫、漏扫每米扣0.5分；未作业每车每次扣5分，并扣除相应任务经费。</w:t>
            </w:r>
            <w:r/>
          </w:p>
        </w:tc>
      </w:tr>
      <w:tr>
        <w:trPr>
          <w:trHeight w:val="53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w:t>
            </w:r>
            <w:r>
              <w:rPr>
                <w:rStyle w:val="1123"/>
                <w:rFonts w:hint="eastAsia" w:ascii="宋体" w:hAnsi="宋体" w:eastAsia="宋体" w:cs="宋体"/>
                <w:sz w:val="21"/>
                <w:szCs w:val="21"/>
              </w:rPr>
              <w:t xml:space="preserve">.道路冲洗按核定任务及标准作业，不漏冲；冲水方式采用前喷+双侧喷，车辆按规定时间、趟数，定车、定地段作业。</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每漏冲一条扣3分，并扣除当日任务经费。</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w:t>
            </w:r>
            <w:r>
              <w:rPr>
                <w:rStyle w:val="1123"/>
                <w:rFonts w:hint="eastAsia" w:ascii="宋体" w:hAnsi="宋体" w:eastAsia="宋体" w:cs="宋体"/>
                <w:sz w:val="21"/>
                <w:szCs w:val="21"/>
              </w:rPr>
              <w:t xml:space="preserve">.作业过程中不得用机扫车替代洗扫车完成规定作业任务。</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用机扫车代替洗扫车进行作业的，核减路段相应作业经费的差价。</w:t>
            </w:r>
            <w:r/>
          </w:p>
        </w:tc>
      </w:tr>
      <w:tr>
        <w:trPr>
          <w:trHeight w:val="332"/>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jc w:val="left"/>
              <w:widowControl/>
              <w:rPr>
                <w:rFonts w:ascii="宋体" w:hAnsi="宋体" w:cs="宋体"/>
                <w:b/>
                <w:bCs/>
                <w:color w:val="000000"/>
                <w:szCs w:val="21"/>
              </w:rPr>
            </w:pPr>
            <w:r>
              <w:rPr>
                <w:rFonts w:hint="eastAsia" w:ascii="宋体" w:hAnsi="宋体" w:cs="宋体"/>
                <w:b/>
                <w:bCs/>
                <w:color w:val="000000"/>
                <w:szCs w:val="21"/>
              </w:rPr>
              <w:t xml:space="preserve">三、公厕综合保洁</w:t>
            </w:r>
            <w:r/>
          </w:p>
        </w:tc>
      </w:tr>
      <w:tr>
        <w:trPr>
          <w:trHeight w:val="332"/>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jc w:val="left"/>
              <w:widowControl/>
              <w:rPr>
                <w:rFonts w:ascii="宋体" w:hAnsi="宋体" w:cs="宋体"/>
                <w:b/>
                <w:bCs/>
                <w:color w:val="000000"/>
                <w:szCs w:val="21"/>
              </w:rPr>
            </w:pPr>
            <w:r>
              <w:rPr>
                <w:rFonts w:hint="eastAsia" w:ascii="宋体" w:hAnsi="宋体" w:cs="宋体"/>
                <w:b/>
                <w:bCs/>
                <w:color w:val="000000"/>
                <w:szCs w:val="21"/>
              </w:rPr>
              <w:t xml:space="preserve">（一）专人保洁管理公厕</w:t>
            </w:r>
            <w:r/>
          </w:p>
        </w:tc>
      </w:tr>
      <w:tr>
        <w:trPr>
          <w:trHeight w:val="711"/>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1.公厕有专人保洁管理，管理制度张贴在公厕外（大门外）墙壁上。规范设置公厕导向牌、男女标识牌、无障碍标志等标识。管理人员上岗时不得随意离岗和兼做其他事情。</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缺一项扣5分。</w:t>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2.室内外环境保持整洁。周围5米内的地面、绿化带、外墙面清，无垃圾杂物、无乱牵乱挂、乱涂乱画，张贴广告、寄养动物等现象。</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发现一项扣2分。</w:t>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w:t>
            </w:r>
            <w:r>
              <w:rPr>
                <w:rStyle w:val="1123"/>
                <w:rFonts w:hint="eastAsia" w:ascii="宋体" w:hAnsi="宋体" w:eastAsia="宋体" w:cs="宋体"/>
                <w:sz w:val="21"/>
                <w:szCs w:val="21"/>
              </w:rPr>
              <w:t xml:space="preserve">.管理房内物品摆放整齐，有条理，不杂乱。</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发现一项扣2分。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w:t>
            </w:r>
            <w:r>
              <w:rPr>
                <w:rStyle w:val="1123"/>
                <w:rFonts w:hint="eastAsia" w:ascii="宋体" w:hAnsi="宋体" w:eastAsia="宋体" w:cs="宋体"/>
                <w:sz w:val="21"/>
                <w:szCs w:val="21"/>
              </w:rPr>
              <w:t xml:space="preserve">.室内外不得堆放与公厕无关的物品，不得随意改变使用功能挪作他用。</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发现一项扣3分。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w:t>
            </w:r>
            <w:r>
              <w:rPr>
                <w:rStyle w:val="1123"/>
                <w:rFonts w:hint="eastAsia" w:ascii="宋体" w:hAnsi="宋体" w:eastAsia="宋体" w:cs="宋体"/>
                <w:sz w:val="21"/>
                <w:szCs w:val="21"/>
              </w:rPr>
              <w:t xml:space="preserve">.室内地面清洁、干燥，无积水、无尿垢，窗台、墙裙、隔位板无积灰。</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发现一项扣1分。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6.消毒及时（消毒时间为每年4月-11月），无蛆、无蝇、无蛛网。</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发现一项扣2分。</w:t>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w:t>
            </w:r>
            <w:r>
              <w:rPr>
                <w:rStyle w:val="1123"/>
                <w:rFonts w:hint="eastAsia" w:ascii="宋体" w:hAnsi="宋体" w:eastAsia="宋体" w:cs="宋体"/>
                <w:sz w:val="21"/>
                <w:szCs w:val="21"/>
              </w:rPr>
              <w:t xml:space="preserve">.大小便池（槽）内无尿垢、无粪便堆积。</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发现一项扣2分。</w:t>
            </w:r>
            <w:r/>
          </w:p>
        </w:tc>
      </w:tr>
      <w:tr>
        <w:trPr>
          <w:trHeight w:val="36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8.化粪池定时清理，不满溢。</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缺清坑一次/只扣5分，外溢一次扣5分。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9.设施设备（照明、烘手器、水龙头、水表、粪池井盖等）完好，运行正常（发现问题24小时内解决）。</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不完好每项扣3分，不运行扣5分。</w:t>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10.开放时间：早晨6:00至晚上22:00，节假日、重大活动延长至23:00，准时开放，不得晚开早关门；24 小时开放公厕全天候开放。</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发现一次扣3分。</w:t>
            </w:r>
            <w:r/>
          </w:p>
        </w:tc>
      </w:tr>
      <w:tr>
        <w:trPr>
          <w:trHeight w:val="231"/>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w:t>
            </w:r>
            <w:r>
              <w:rPr>
                <w:rStyle w:val="1123"/>
                <w:rFonts w:hint="eastAsia" w:ascii="宋体" w:hAnsi="宋体" w:eastAsia="宋体" w:cs="宋体"/>
                <w:sz w:val="21"/>
                <w:szCs w:val="21"/>
              </w:rPr>
              <w:t xml:space="preserve">.公厕免费对外开放，不得擅自收费和变相收费。</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发现一次扣3分。</w:t>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w:t>
            </w:r>
            <w:r>
              <w:rPr>
                <w:rStyle w:val="1123"/>
                <w:rFonts w:hint="eastAsia" w:ascii="宋体" w:hAnsi="宋体" w:eastAsia="宋体" w:cs="宋体"/>
                <w:sz w:val="21"/>
                <w:szCs w:val="21"/>
              </w:rPr>
              <w:t xml:space="preserve">.保洁员统一着环卫工作服。</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发现不统一着装每次扣1分。</w:t>
            </w:r>
            <w:r/>
          </w:p>
        </w:tc>
      </w:tr>
      <w:tr>
        <w:trPr>
          <w:trHeight w:val="205"/>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jc w:val="left"/>
              <w:widowControl/>
              <w:rPr>
                <w:rFonts w:ascii="宋体" w:hAnsi="宋体" w:cs="宋体"/>
                <w:color w:val="000000"/>
                <w:szCs w:val="21"/>
              </w:rPr>
            </w:pPr>
            <w:r>
              <w:rPr>
                <w:rFonts w:hint="eastAsia" w:ascii="宋体" w:hAnsi="宋体" w:cs="宋体"/>
                <w:b/>
                <w:bCs/>
                <w:color w:val="000000"/>
                <w:szCs w:val="21"/>
              </w:rPr>
              <w:t xml:space="preserve">（二）巡回保洁管理公厕</w:t>
            </w:r>
            <w:r/>
          </w:p>
        </w:tc>
      </w:tr>
      <w:tr>
        <w:trPr>
          <w:trHeight w:val="53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Style w:val="1123"/>
                <w:rFonts w:hint="eastAsia" w:ascii="宋体" w:hAnsi="宋体" w:eastAsia="宋体" w:cs="宋体"/>
                <w:sz w:val="21"/>
                <w:szCs w:val="21"/>
              </w:rPr>
              <w:t xml:space="preserve">.公厕有专人保洁管理，管理制度张贴在公厕外（大门外）墙壁上。规范设置公厕导向牌、男女标识牌、无障碍标志等标识</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缺一项扣2分。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w:t>
            </w:r>
            <w:r>
              <w:rPr>
                <w:rStyle w:val="1123"/>
                <w:rFonts w:hint="eastAsia" w:ascii="宋体" w:hAnsi="宋体" w:eastAsia="宋体" w:cs="宋体"/>
                <w:sz w:val="21"/>
                <w:szCs w:val="21"/>
              </w:rPr>
              <w:t xml:space="preserve">.每天上午、下午和夜晚各全面清洗打扫一次，各时间段内再巡回保洁一次。</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少一次扣2分。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3.消毒及时（消毒时间为每年4月至11月），无蛆、无蝇、无蛛网。</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发现一项扣1分。</w:t>
            </w:r>
            <w:r/>
          </w:p>
        </w:tc>
      </w:tr>
      <w:tr>
        <w:trPr>
          <w:trHeight w:val="777"/>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4.室内地面清洁、无积水、无积尿，隔位板、窗台、室内墙裙（瓷砖部分）等无积灰。周围3—5米内的地面、绿化带、外墙面清，无垃圾杂物、无乱牵乱挂、乱涂乱画，张贴广告、寄养动物等现象。</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发现一项扣1分。</w:t>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w:t>
            </w:r>
            <w:r>
              <w:rPr>
                <w:rStyle w:val="1123"/>
                <w:rFonts w:hint="eastAsia" w:ascii="宋体" w:hAnsi="宋体" w:eastAsia="宋体" w:cs="宋体"/>
                <w:sz w:val="21"/>
                <w:szCs w:val="21"/>
              </w:rPr>
              <w:t xml:space="preserve">.室内外无蛛网、无乱张贴。不得放置积尿桶。</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蛛网：2.5米以上三只扣1分，2.5米以下二只扣1分，乱张贴一张扣1分。发现积尿桶一只扣1分。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w:t>
            </w:r>
            <w:r>
              <w:rPr>
                <w:rStyle w:val="1123"/>
                <w:rFonts w:hint="eastAsia" w:ascii="宋体" w:hAnsi="宋体" w:eastAsia="宋体" w:cs="宋体"/>
                <w:sz w:val="21"/>
                <w:szCs w:val="21"/>
              </w:rPr>
              <w:t xml:space="preserve">.倒粪口无粪斑。粪池每年清坑一次，粪池无外溢。</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粪斑一处扣1分。外溢一次扣3分，清坑缺一次/只扣3分。</w:t>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w:t>
            </w:r>
            <w:r>
              <w:rPr>
                <w:rStyle w:val="1123"/>
                <w:rFonts w:hint="eastAsia" w:ascii="宋体" w:hAnsi="宋体" w:eastAsia="宋体" w:cs="宋体"/>
                <w:sz w:val="21"/>
                <w:szCs w:val="21"/>
              </w:rPr>
              <w:t xml:space="preserve">.大小便池（槽）内无尿垢、无粪便堆积。</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有一项扣1分。</w:t>
            </w:r>
            <w:r/>
          </w:p>
        </w:tc>
      </w:tr>
      <w:tr>
        <w:trPr>
          <w:trHeight w:val="36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8.洗刷池储水量不少于池容积的60%。</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无水扣5分，储水量少于池容积的60%扣3分。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9.设施设备（照明、水龙头、水表、粪池井盖等）完好，运行正常（发现问题24小时内解决）。</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不完好每项扣2分，不运行扣3分。</w:t>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w:t>
            </w:r>
            <w:r>
              <w:rPr>
                <w:rStyle w:val="1123"/>
                <w:rFonts w:hint="eastAsia" w:ascii="宋体" w:hAnsi="宋体" w:eastAsia="宋体" w:cs="宋体"/>
                <w:sz w:val="21"/>
                <w:szCs w:val="21"/>
              </w:rPr>
              <w:t xml:space="preserve">.保洁员统一着环卫工作服。</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发现不统一着装每次扣1分。</w:t>
            </w:r>
            <w:r/>
          </w:p>
        </w:tc>
      </w:tr>
      <w:tr>
        <w:trPr>
          <w:trHeight w:val="205"/>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jc w:val="left"/>
              <w:widowControl/>
              <w:rPr>
                <w:rFonts w:ascii="宋体" w:hAnsi="宋体" w:cs="宋体"/>
                <w:color w:val="000000"/>
                <w:szCs w:val="21"/>
              </w:rPr>
            </w:pPr>
            <w:r>
              <w:rPr>
                <w:rFonts w:hint="eastAsia" w:ascii="宋体" w:hAnsi="宋体" w:cs="宋体"/>
                <w:b/>
                <w:bCs/>
                <w:color w:val="000000"/>
                <w:szCs w:val="21"/>
              </w:rPr>
              <w:t xml:space="preserve">四、生活垃圾收集、运输</w:t>
            </w:r>
            <w:r/>
          </w:p>
        </w:tc>
      </w:tr>
      <w:tr>
        <w:trPr>
          <w:trHeight w:val="205"/>
        </w:trPr>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1.生活垃圾收集作业规范，台账资料记录齐全。</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缺一项扣2分、不全扣1分。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2.生活垃圾收集上、下午各一次，节假日及重大活动期间各增加一遍巡回收集，确保日产日清。</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缺少一次各扣3分。</w:t>
            </w:r>
            <w:r/>
          </w:p>
        </w:tc>
      </w:tr>
      <w:tr>
        <w:trPr>
          <w:trHeight w:val="884"/>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机械收集垃圾无抛、洒、滴、漏，做到工完场清、收集容器摆放有序，严禁野蛮作业，乱扔收集容器，主次干道不得设置垃圾收集点，垃圾收集临时停放不得超过30分钟，设置点及周围2-3m内应整洁，无散落、存留垃圾和污水。</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发现一处扣1分，野蛮作业扣3分；占道放置（快、慢车道及人行道）垃圾收集容器发现一只扣1分；设置点周围地面脏扣1分。</w:t>
            </w:r>
            <w:r/>
          </w:p>
        </w:tc>
      </w:tr>
      <w:tr>
        <w:trPr>
          <w:trHeight w:val="365"/>
        </w:trPr>
        <w:tc>
          <w:tcPr>
            <w:tcBorders>
              <w:top w:val="single" w:color="000000" w:sz="4" w:space="0"/>
              <w:left w:val="single" w:color="000000" w:sz="4" w:space="0"/>
              <w:bottom w:val="single" w:color="000000" w:sz="4" w:space="0"/>
              <w:right w:val="non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4.垃圾桶确保整洁、无破损、残缺，每日清洗一次，随时盖盖。</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不整洁、破损、缺盖每项、每只扣0.5分。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5.垃圾收集秩序良好，不得逆向行驶，尽量减少占道影响交通、降低机械收集时的噪音。</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有投诉每次扣1分。</w:t>
            </w:r>
            <w:r/>
          </w:p>
        </w:tc>
      </w:tr>
      <w:tr>
        <w:trPr>
          <w:trHeight w:val="365"/>
        </w:trPr>
        <w:tc>
          <w:tcPr>
            <w:tcBorders>
              <w:top w:val="single" w:color="000000" w:sz="4" w:space="0"/>
              <w:left w:val="single" w:color="000000" w:sz="4" w:space="0"/>
              <w:bottom w:val="single" w:color="000000" w:sz="4" w:space="0"/>
              <w:right w:val="none" w:color="000000" w:sz="4" w:space="0"/>
            </w:tcBorders>
            <w:tcW w:w="5359"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6.垃圾收集车辆车况良好、车容整洁、无破损，按规定统一标识。</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发现不整洁或有破损每辆扣1分。</w:t>
            </w:r>
            <w:r/>
          </w:p>
        </w:tc>
      </w:tr>
      <w:tr>
        <w:trPr>
          <w:trHeight w:val="711"/>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7.生活垃圾密闭运输，在运输过程中无垃圾抛洒滴漏和拖挂现象，及时排污，途中不抛、洒、滴、漏，减少二次污染。转运途中车尾盖及时盖好，安全作业，严禁辅助工站在车尾转场。</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发现抛洒滴漏一处扣2分。其它发现一项扣1分。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8.垃圾桶内垃圾及时收集不漏收、不堆积，做到工完场清。</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垃圾桶内满桶每只扣1分，收集结束周围不清每处扣0.5分。漏收一只扣1分。</w:t>
            </w:r>
            <w:r/>
          </w:p>
        </w:tc>
      </w:tr>
      <w:tr>
        <w:trPr>
          <w:trHeight w:val="205"/>
        </w:trPr>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9.生活垃圾分类投放的小区实行分类收集。</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不按规定实行分类收集扣1分。</w:t>
            </w:r>
            <w:r/>
          </w:p>
        </w:tc>
      </w:tr>
      <w:tr>
        <w:trPr>
          <w:trHeight w:val="231"/>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10.作业人员必须统一着装，服装整洁，文明作业。</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没有统一着装每人/次扣1分。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11.生活垃圾服从市调度进入处理厂（场）计量处理，不乱倒、偷倒。</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发现乱倒、偷倒一次扣5分，不服从调度扣2分。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12.不得将餐厨垃圾、危险废物、工业垃圾和建筑垃圾等混入生活垃圾内清运，分别收集处置。</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发现一次扣5分。</w:t>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13.未经申报设立专人专车专卡管理，擅自代运区级独立财政承担的镇（街道）、村（社区）生活垃圾及区域范围以外有偿服务生活垃圾。</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发现一次扣5分。</w:t>
            </w:r>
            <w:r/>
          </w:p>
        </w:tc>
      </w:tr>
      <w:tr>
        <w:trPr>
          <w:trHeight w:val="205"/>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jc w:val="left"/>
              <w:widowControl/>
              <w:rPr>
                <w:rFonts w:ascii="宋体" w:hAnsi="宋体" w:cs="宋体"/>
                <w:color w:val="000000"/>
                <w:szCs w:val="21"/>
              </w:rPr>
            </w:pPr>
            <w:r>
              <w:rPr>
                <w:rFonts w:hint="eastAsia" w:ascii="宋体" w:hAnsi="宋体" w:cs="宋体"/>
                <w:b/>
                <w:bCs/>
                <w:color w:val="000000"/>
                <w:szCs w:val="21"/>
              </w:rPr>
              <w:t xml:space="preserve">五、化粪池清坑及运输</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1.有粪池管理台账（清坑计划、清坑记录、清坑验收），记录齐全。</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无台账扣2分，记录不全扣1分。清坑以居民（社居委）验收签字为准。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2.粪池不外溢。接到投诉市区1小时内到现场，属环卫责任的24小时内解决。</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外溢（属环卫责任）每只扣2分，24小时内不解决每只扣1分。</w:t>
            </w:r>
            <w:r/>
          </w:p>
        </w:tc>
      </w:tr>
      <w:tr>
        <w:trPr>
          <w:trHeight w:val="365"/>
        </w:trPr>
        <w:tc>
          <w:tcPr>
            <w:tcBorders>
              <w:top w:val="single" w:color="000000" w:sz="4" w:space="0"/>
              <w:left w:val="single" w:color="000000" w:sz="4" w:space="0"/>
              <w:bottom w:val="single" w:color="000000" w:sz="4" w:space="0"/>
              <w:right w:val="non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3.公厕粪池消毒及时，无蛆、蛹（消毒时间：每年4月—11月）。</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发现三龄活蛆扣1分。</w:t>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4.粪池每年清坑一次，粪池每年清坑率达100%。</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清坑以居民（社居委）验收签字为准，未清坑（按清坑计划抽查）每只扣0.5分，清坑率每下降10%扣5分。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5.清坑后须工完场清，粪脚不得堆放隔夜，粪池抽粪口无粪便、无斑迹，粪池盖完好齐全，确保安全。</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未冲洗干净每只扣1分。未加盖发现一次扣2分。粪脚堆放隔夜扣1分。</w:t>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6.清坑粪脚不超过20公分，粪面不超过10公分（结块）。蓄粪池离地面不得小于30公分。粪渣日清日运，不得堆放在粪池周围和乱倒。</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有一项扣1分。</w:t>
            </w:r>
            <w:r/>
          </w:p>
        </w:tc>
      </w:tr>
      <w:tr>
        <w:trPr>
          <w:trHeight w:val="231"/>
        </w:trPr>
        <w:tc>
          <w:tcPr>
            <w:tcBorders>
              <w:top w:val="none" w:color="000000" w:sz="4" w:space="0"/>
              <w:left w:val="single" w:color="000000" w:sz="4" w:space="0"/>
              <w:bottom w:val="single" w:color="000000" w:sz="4" w:space="0"/>
              <w:right w:val="none" w:color="000000" w:sz="4" w:space="0"/>
            </w:tcBorders>
            <w:tcW w:w="5359"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7.粪便运输作业规范，有管理制度、台账记录齐全。</w:t>
            </w:r>
            <w:r/>
          </w:p>
        </w:tc>
        <w:tc>
          <w:tcPr>
            <w:tcBorders>
              <w:top w:val="none" w:color="000000" w:sz="4" w:space="0"/>
              <w:left w:val="single" w:color="000000" w:sz="4" w:space="0"/>
              <w:bottom w:val="single" w:color="000000" w:sz="4" w:space="0"/>
              <w:right w:val="single" w:color="000000" w:sz="4" w:space="0"/>
            </w:tcBorders>
            <w:tcW w:w="4118"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缺一项扣2分，不全扣1分。</w:t>
            </w:r>
            <w:r/>
          </w:p>
        </w:tc>
      </w:tr>
      <w:tr>
        <w:trPr>
          <w:trHeight w:val="365"/>
        </w:trPr>
        <w:tc>
          <w:tcPr>
            <w:tcBorders>
              <w:top w:val="single" w:color="000000" w:sz="4" w:space="0"/>
              <w:left w:val="single" w:color="000000" w:sz="4" w:space="0"/>
              <w:bottom w:val="single" w:color="000000" w:sz="4" w:space="0"/>
              <w:right w:val="non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8.粪便运输车辆车况良好、车容整洁，按规定统一标识。</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不完好扣1分，不整洁每辆扣0.5分。</w:t>
            </w:r>
            <w:r/>
          </w:p>
        </w:tc>
      </w:tr>
      <w:tr>
        <w:trPr>
          <w:trHeight w:val="53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9.粪便密闭运输，车辆吸粪管道应完好、畅通，阀门应严密，无破损、滴漏。运输中无、抛、洒、滴、漏现象。</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有破损发现每次扣1分，有滴漏每次扣1分。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10.翻坑作业规范，装载适量，不外溢。装载的粪便，应及时卸清，不得将粪便长时间存留在车罐内。</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有投诉每次扣1分。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11.粪便应按指定处理站计量排放。驾驶员应自觉服从处理站管理员和监管人员的调度。</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不服从调度、不按规定排放每项扣2分。</w:t>
            </w:r>
            <w:r/>
          </w:p>
        </w:tc>
      </w:tr>
      <w:tr>
        <w:trPr>
          <w:trHeight w:val="231"/>
        </w:trPr>
        <w:tc>
          <w:tcPr>
            <w:tcBorders>
              <w:top w:val="single" w:color="000000" w:sz="4" w:space="0"/>
              <w:left w:val="single" w:color="000000" w:sz="4" w:space="0"/>
              <w:bottom w:val="single" w:color="000000" w:sz="4" w:space="0"/>
              <w:right w:val="non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12.不得将有毒有害及工业废水排放至粪便处理站。</w:t>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发现一次扣5分。</w:t>
            </w:r>
            <w:r/>
          </w:p>
        </w:tc>
      </w:tr>
      <w:tr>
        <w:trPr>
          <w:trHeight w:val="53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13.未经申报设立专人专车专卡管理，擅自代运区级独立财政承担的镇（街道）、村（社区）粪便及区域范围以外有偿服务粪便。</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发现一次扣5分。</w:t>
            </w:r>
            <w:r/>
          </w:p>
        </w:tc>
      </w:tr>
      <w:tr>
        <w:trPr>
          <w:trHeight w:val="205"/>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jc w:val="left"/>
              <w:widowControl/>
              <w:rPr>
                <w:rFonts w:ascii="宋体" w:hAnsi="宋体" w:cs="宋体"/>
                <w:color w:val="000000"/>
                <w:szCs w:val="21"/>
              </w:rPr>
            </w:pPr>
            <w:r>
              <w:rPr>
                <w:rFonts w:hint="eastAsia" w:ascii="宋体" w:hAnsi="宋体" w:cs="宋体"/>
                <w:b/>
                <w:bCs/>
                <w:color w:val="000000"/>
                <w:szCs w:val="21"/>
              </w:rPr>
              <w:t xml:space="preserve">六、优质服务</w:t>
            </w:r>
            <w:r/>
          </w:p>
        </w:tc>
      </w:tr>
      <w:tr>
        <w:trPr>
          <w:trHeight w:val="53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Style w:val="1123"/>
                <w:rFonts w:hint="eastAsia" w:ascii="宋体" w:hAnsi="宋体" w:eastAsia="宋体" w:cs="宋体"/>
                <w:sz w:val="21"/>
                <w:szCs w:val="21"/>
              </w:rPr>
              <w:t xml:space="preserve">.各类投诉处理反馈及时，无新闻媒体曝光。</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处理反馈不及时，每件1分；发生新闻媒体曝光的，经核实，确属作业单位责任，每次扣5分。</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w:t>
            </w:r>
            <w:r>
              <w:rPr>
                <w:rStyle w:val="1123"/>
                <w:rFonts w:hint="eastAsia" w:ascii="宋体" w:hAnsi="宋体" w:eastAsia="宋体" w:cs="宋体"/>
                <w:sz w:val="21"/>
                <w:szCs w:val="21"/>
              </w:rPr>
              <w:t xml:space="preserve">.各项创建及重大活动等环卫服务质量到位。</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保障不到位，或因质量问题对保障和创建产生影响的，扣5分/次。</w:t>
            </w:r>
            <w:r/>
          </w:p>
        </w:tc>
      </w:tr>
      <w:tr>
        <w:trPr>
          <w:trHeight w:val="586"/>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3.雨雪冰雹、汛期和台风等恶劣天气做好应急保障，雾霾天和高温天气增加机械化作业频次，110案件要及时处置到位。</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应急保障不到位扣5分/次，雾霾天和高温天气未增加机械化作业频次扣1分/次，110案件未及时处置扣3分/次。</w:t>
            </w:r>
            <w:r/>
          </w:p>
        </w:tc>
      </w:tr>
      <w:tr>
        <w:trPr>
          <w:trHeight w:val="205"/>
        </w:trPr>
        <w:tc>
          <w:tcPr>
            <w:gridSpan w:val="2"/>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七、安全生产及其他</w:t>
            </w:r>
            <w:r/>
          </w:p>
        </w:tc>
      </w:tr>
      <w:tr>
        <w:trPr>
          <w:trHeight w:val="39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Style w:val="1123"/>
                <w:rFonts w:hint="eastAsia" w:ascii="宋体" w:hAnsi="宋体" w:eastAsia="宋体" w:cs="宋体"/>
                <w:sz w:val="21"/>
                <w:szCs w:val="21"/>
              </w:rPr>
              <w:t xml:space="preserve">.环卫作业人员先培训后上岗，定期开展业务培训，并做好相应台账；</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台账不完善，扣1分/次。</w:t>
            </w:r>
            <w:r/>
          </w:p>
        </w:tc>
      </w:tr>
      <w:tr>
        <w:trPr>
          <w:trHeight w:val="36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2.每季度组织1次安全生产专项培训，并形成完整台账。</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培训缺一次扣3分；台账不完善，扣1分/次</w:t>
            </w:r>
            <w:r/>
          </w:p>
        </w:tc>
      </w:tr>
      <w:tr>
        <w:trPr>
          <w:trHeight w:val="205"/>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w:t>
            </w:r>
            <w:r>
              <w:rPr>
                <w:rStyle w:val="1123"/>
                <w:rFonts w:hint="eastAsia" w:ascii="宋体" w:hAnsi="宋体" w:eastAsia="宋体" w:cs="宋体"/>
                <w:sz w:val="21"/>
                <w:szCs w:val="21"/>
              </w:rPr>
              <w:t xml:space="preserve">.作业单位应每年为环卫从业人员购买保险。</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未购买保险扣0.1分/人。</w:t>
            </w:r>
            <w:r/>
          </w:p>
        </w:tc>
      </w:tr>
      <w:tr>
        <w:trPr>
          <w:trHeight w:val="408"/>
        </w:trPr>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w:t>
            </w:r>
            <w:r>
              <w:rPr>
                <w:rStyle w:val="1123"/>
                <w:rFonts w:hint="eastAsia" w:ascii="宋体" w:hAnsi="宋体" w:eastAsia="宋体" w:cs="宋体"/>
                <w:sz w:val="21"/>
                <w:szCs w:val="21"/>
              </w:rPr>
              <w:t xml:space="preserve">.无重大安全事故（人员、车辆）。</w:t>
            </w:r>
            <w:r/>
          </w:p>
        </w:tc>
        <w:tc>
          <w:tcPr>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发生重大安全事故，经核实，确属作业单位责任，每次扣5分。</w:t>
            </w:r>
            <w:r/>
          </w:p>
        </w:tc>
      </w:tr>
    </w:tbl>
    <w:p>
      <w:pPr>
        <w:rPr>
          <w:rFonts w:ascii="宋体" w:hAnsi="宋体" w:cs="宋体"/>
        </w:rPr>
      </w:pPr>
      <w:r>
        <w:rPr>
          <w:rFonts w:ascii="宋体" w:hAnsi="宋体" w:cs="宋体"/>
        </w:rPr>
      </w:r>
      <w:r/>
    </w:p>
    <w:p>
      <w:pPr>
        <w:rPr>
          <w:rFonts w:ascii="宋体" w:hAnsi="宋体" w:cs="宋体"/>
          <w:szCs w:val="21"/>
        </w:rPr>
      </w:pPr>
      <w:r>
        <w:rPr>
          <w:rFonts w:hint="eastAsia" w:ascii="宋体" w:hAnsi="宋体" w:cs="宋体"/>
          <w:szCs w:val="21"/>
        </w:rPr>
        <w:t xml:space="preserve">备注：</w:t>
      </w:r>
      <w:r/>
    </w:p>
    <w:p>
      <w:pPr>
        <w:rPr>
          <w:rFonts w:ascii="宋体" w:hAnsi="宋体" w:cs="宋体"/>
          <w:szCs w:val="21"/>
        </w:rPr>
      </w:pPr>
      <w:r>
        <w:rPr>
          <w:rFonts w:hint="eastAsia" w:ascii="宋体" w:hAnsi="宋体" w:cs="宋体"/>
          <w:szCs w:val="21"/>
        </w:rPr>
        <w:t xml:space="preserve">1.月度经费根据每月监管考核扣分情况参照以下分档累进方式进行核减。月度考核得分核减分为5档，分档累进计算。</w:t>
      </w:r>
      <w:r/>
    </w:p>
    <w:p>
      <w:pPr>
        <w:rPr>
          <w:rFonts w:ascii="宋体" w:hAnsi="宋体" w:cs="宋体"/>
          <w:szCs w:val="21"/>
        </w:rPr>
      </w:pPr>
      <w:r>
        <w:rPr>
          <w:rFonts w:hint="eastAsia" w:ascii="宋体" w:hAnsi="宋体" w:cs="宋体"/>
          <w:szCs w:val="21"/>
        </w:rPr>
        <w:t xml:space="preserve">第一档：月度考核总分≥95分，不核减。</w:t>
      </w:r>
      <w:r/>
    </w:p>
    <w:p>
      <w:pPr>
        <w:rPr>
          <w:rFonts w:ascii="宋体" w:hAnsi="宋体" w:cs="宋体"/>
          <w:szCs w:val="21"/>
        </w:rPr>
      </w:pPr>
      <w:r>
        <w:rPr>
          <w:rFonts w:hint="eastAsia" w:ascii="宋体" w:hAnsi="宋体" w:cs="宋体"/>
          <w:szCs w:val="21"/>
        </w:rPr>
        <w:t xml:space="preserve">第二档：95分＞月度考核总分≥90分，每扣1分，核减该片区当月作业经费的0.75%。</w:t>
      </w:r>
      <w:r/>
    </w:p>
    <w:p>
      <w:pPr>
        <w:rPr>
          <w:rFonts w:ascii="宋体" w:hAnsi="宋体" w:cs="宋体"/>
          <w:szCs w:val="21"/>
        </w:rPr>
      </w:pPr>
      <w:r>
        <w:rPr>
          <w:rFonts w:hint="eastAsia" w:ascii="宋体" w:hAnsi="宋体" w:cs="宋体"/>
          <w:szCs w:val="21"/>
        </w:rPr>
        <w:t xml:space="preserve">第三档：90分＞月度考核总分≥85分，每扣1分，核减该片区当月作业经费的1%。</w:t>
      </w:r>
      <w:r/>
    </w:p>
    <w:p>
      <w:pPr>
        <w:rPr>
          <w:rFonts w:ascii="宋体" w:hAnsi="宋体" w:cs="宋体"/>
          <w:szCs w:val="21"/>
        </w:rPr>
      </w:pPr>
      <w:r>
        <w:rPr>
          <w:rFonts w:hint="eastAsia" w:ascii="宋体" w:hAnsi="宋体" w:cs="宋体"/>
          <w:szCs w:val="21"/>
        </w:rPr>
        <w:t xml:space="preserve">第四档：85分＞月度考核总分≥80分，每扣1分，核减该片区当月作业的1.25%。</w:t>
      </w:r>
      <w:r/>
    </w:p>
    <w:p>
      <w:pPr>
        <w:rPr>
          <w:rFonts w:ascii="宋体" w:hAnsi="宋体" w:cs="宋体"/>
          <w:szCs w:val="21"/>
        </w:rPr>
      </w:pPr>
      <w:r>
        <w:rPr>
          <w:rFonts w:hint="eastAsia" w:ascii="宋体" w:hAnsi="宋体" w:cs="宋体"/>
          <w:szCs w:val="21"/>
        </w:rPr>
        <w:t xml:space="preserve">第五档：月度考核总分＜80分，每扣1分，核减该片区当月作业经费的1.5%。</w:t>
      </w:r>
      <w:r/>
    </w:p>
    <w:p>
      <w:pPr>
        <w:rPr>
          <w:rFonts w:ascii="宋体" w:hAnsi="宋体" w:cs="宋体"/>
          <w:szCs w:val="21"/>
        </w:rPr>
      </w:pPr>
      <w:r>
        <w:rPr>
          <w:rFonts w:hint="eastAsia" w:ascii="宋体" w:hAnsi="宋体" w:cs="宋体"/>
          <w:szCs w:val="21"/>
        </w:rPr>
        <w:t xml:space="preserve">重大活动及各项创建迎检中的环卫保障每出现一次保障不到位的情况，核减该片区当月作业经费的0.5%。</w:t>
      </w:r>
      <w:r/>
    </w:p>
    <w:p>
      <w:pPr>
        <w:rPr>
          <w:rFonts w:ascii="宋体" w:hAnsi="宋体" w:cs="宋体"/>
          <w:sz w:val="24"/>
          <w:szCs w:val="24"/>
        </w:rPr>
      </w:pPr>
      <w:r>
        <w:rPr>
          <w:rFonts w:ascii="宋体" w:hAnsi="宋体" w:cs="宋体"/>
          <w:sz w:val="24"/>
          <w:szCs w:val="24"/>
        </w:rPr>
      </w:r>
      <w:r/>
    </w:p>
    <w:p>
      <w:pPr>
        <w:spacing w:line="500" w:lineRule="exact"/>
        <w:rPr>
          <w:rFonts w:ascii="仿宋" w:hAnsi="仿宋" w:eastAsia="仿宋" w:cs="仿宋"/>
          <w:b/>
          <w:bCs/>
          <w:sz w:val="32"/>
          <w:szCs w:val="32"/>
        </w:rPr>
      </w:pPr>
      <w:r>
        <w:rPr>
          <w:rFonts w:ascii="仿宋" w:hAnsi="仿宋" w:eastAsia="仿宋" w:cs="仿宋"/>
          <w:b/>
          <w:bCs/>
          <w:sz w:val="32"/>
          <w:szCs w:val="32"/>
        </w:rPr>
      </w:r>
      <w:r/>
    </w:p>
    <w:p>
      <w:pPr>
        <w:spacing w:line="440" w:lineRule="exact"/>
        <w:rPr>
          <w:rFonts w:ascii="宋体" w:hAnsi="宋体" w:cs="宋体"/>
          <w:b/>
          <w:bCs/>
          <w:sz w:val="24"/>
          <w:szCs w:val="24"/>
        </w:rPr>
      </w:pPr>
      <w:r>
        <w:br w:type="page" w:clear="all"/>
      </w:r>
      <w:r>
        <w:rPr>
          <w:rFonts w:hint="eastAsia" w:ascii="宋体" w:hAnsi="宋体" w:cs="宋体"/>
          <w:b/>
          <w:bCs/>
          <w:sz w:val="24"/>
          <w:szCs w:val="24"/>
        </w:rPr>
        <w:t xml:space="preserve">附件三</w:t>
      </w:r>
      <w:r/>
    </w:p>
    <w:p>
      <w:pPr>
        <w:jc w:val="center"/>
        <w:widowControl/>
        <w:rPr>
          <w:rFonts w:ascii="宋体" w:hAnsi="宋体" w:cs="宋体"/>
          <w:sz w:val="28"/>
          <w:szCs w:val="28"/>
        </w:rPr>
      </w:pPr>
      <w:r>
        <w:rPr>
          <w:rFonts w:hint="eastAsia" w:ascii="宋体" w:hAnsi="宋体" w:cs="宋体"/>
          <w:b/>
          <w:sz w:val="28"/>
          <w:szCs w:val="28"/>
        </w:rPr>
        <w:t xml:space="preserve">作业任务量（详见另附件清单）</w:t>
      </w:r>
      <w:r/>
    </w:p>
    <w:p>
      <w:pPr>
        <w:jc w:val="left"/>
        <w:spacing w:line="500" w:lineRule="exact"/>
        <w:rPr>
          <w:rFonts w:ascii="宋体" w:hAnsi="宋体" w:cs="宋体"/>
          <w:b/>
          <w:bCs/>
          <w:sz w:val="28"/>
          <w:szCs w:val="28"/>
        </w:rPr>
      </w:pPr>
      <w:r/>
      <w:bookmarkStart w:id="19" w:name="_Hlk47708307"/>
      <w:r>
        <w:rPr>
          <w:rFonts w:ascii="仿宋" w:hAnsi="仿宋" w:eastAsia="仿宋" w:cs="仿宋"/>
          <w:b/>
          <w:bCs/>
          <w:sz w:val="32"/>
          <w:szCs w:val="32"/>
        </w:rPr>
        <w:br w:type="page" w:clear="all"/>
      </w:r>
      <w:r>
        <w:rPr>
          <w:rFonts w:hint="eastAsia" w:ascii="宋体" w:hAnsi="宋体" w:cs="宋体"/>
          <w:b/>
          <w:bCs/>
          <w:sz w:val="28"/>
          <w:szCs w:val="28"/>
        </w:rPr>
        <w:t xml:space="preserve">附件四</w:t>
      </w:r>
      <w:bookmarkEnd w:id="19"/>
      <w:r/>
    </w:p>
    <w:p>
      <w:pPr>
        <w:jc w:val="center"/>
        <w:spacing w:line="500" w:lineRule="exact"/>
        <w:rPr>
          <w:rFonts w:ascii="宋体" w:hAnsi="宋体" w:cs="宋体"/>
          <w:b/>
          <w:bCs/>
          <w:sz w:val="28"/>
          <w:szCs w:val="28"/>
        </w:rPr>
      </w:pPr>
      <w:r>
        <w:rPr>
          <w:rFonts w:hint="eastAsia" w:ascii="宋体" w:hAnsi="宋体" w:cs="宋体"/>
          <w:b/>
          <w:bCs/>
          <w:sz w:val="28"/>
          <w:szCs w:val="28"/>
        </w:rPr>
        <w:t xml:space="preserve">廉政协议书</w:t>
      </w:r>
      <w:r/>
    </w:p>
    <w:p>
      <w:pPr>
        <w:spacing w:line="500" w:lineRule="exact"/>
        <w:rPr>
          <w:rFonts w:ascii="宋体" w:hAnsi="宋体" w:cs="仿宋"/>
          <w:sz w:val="24"/>
        </w:rPr>
      </w:pPr>
      <w:r>
        <w:rPr>
          <w:rFonts w:hint="eastAsia" w:ascii="宋体" w:hAnsi="宋体" w:cs="仿宋"/>
          <w:sz w:val="24"/>
        </w:rPr>
        <w:t xml:space="preserve">甲方名称：</w:t>
      </w:r>
      <w:r/>
    </w:p>
    <w:p>
      <w:pPr>
        <w:spacing w:line="500" w:lineRule="exact"/>
        <w:rPr>
          <w:rFonts w:ascii="宋体" w:hAnsi="宋体" w:cs="仿宋"/>
          <w:sz w:val="24"/>
        </w:rPr>
      </w:pPr>
      <w:r>
        <w:rPr>
          <w:rFonts w:hint="eastAsia" w:ascii="宋体" w:hAnsi="宋体" w:cs="仿宋"/>
          <w:sz w:val="24"/>
        </w:rPr>
        <w:t xml:space="preserve">乙方名称：</w:t>
      </w:r>
      <w:r/>
    </w:p>
    <w:p>
      <w:pPr>
        <w:ind w:firstLine="480"/>
        <w:spacing w:line="500" w:lineRule="exact"/>
        <w:rPr>
          <w:rFonts w:ascii="宋体" w:hAnsi="宋体" w:cs="仿宋"/>
          <w:sz w:val="24"/>
        </w:rPr>
      </w:pPr>
      <w:r>
        <w:rPr>
          <w:rFonts w:hint="eastAsia" w:ascii="宋体" w:hAnsi="宋体" w:cs="仿宋"/>
          <w:sz w:val="24"/>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政协议。</w:t>
      </w:r>
      <w:r/>
    </w:p>
    <w:p>
      <w:pPr>
        <w:ind w:firstLine="480"/>
        <w:spacing w:line="500" w:lineRule="exact"/>
        <w:rPr>
          <w:rFonts w:ascii="宋体" w:hAnsi="宋体" w:cs="仿宋"/>
          <w:sz w:val="24"/>
        </w:rPr>
      </w:pPr>
      <w:r>
        <w:rPr>
          <w:rFonts w:hint="eastAsia" w:ascii="宋体" w:hAnsi="宋体" w:cs="仿宋"/>
          <w:sz w:val="24"/>
        </w:rPr>
        <w:t xml:space="preserve">同时面向社会接受监督，对违法违纪问题发现一起、查处一起，并追究相关责任。（举报电话：0510-81178409）</w:t>
      </w:r>
      <w:r/>
    </w:p>
    <w:p>
      <w:pPr>
        <w:ind w:firstLine="480"/>
        <w:spacing w:line="500" w:lineRule="exact"/>
        <w:rPr>
          <w:rFonts w:ascii="宋体" w:hAnsi="宋体" w:cs="仿宋"/>
          <w:sz w:val="24"/>
        </w:rPr>
      </w:pPr>
      <w:r>
        <w:rPr>
          <w:rFonts w:hint="eastAsia" w:ascii="宋体" w:hAnsi="宋体" w:cs="仿宋"/>
          <w:sz w:val="24"/>
        </w:rPr>
        <w:t xml:space="preserve">第一条 甲方工作人员在项目的事前、事中、事后应遵守以下规定。</w:t>
      </w:r>
      <w:r/>
    </w:p>
    <w:p>
      <w:pPr>
        <w:ind w:firstLine="480"/>
        <w:spacing w:line="500" w:lineRule="exact"/>
        <w:rPr>
          <w:rFonts w:ascii="宋体" w:hAnsi="宋体" w:cs="仿宋"/>
          <w:sz w:val="24"/>
        </w:rPr>
      </w:pPr>
      <w:r>
        <w:rPr>
          <w:rFonts w:hint="eastAsia" w:ascii="宋体" w:hAnsi="宋体" w:cs="仿宋"/>
          <w:sz w:val="24"/>
        </w:rPr>
        <w:t xml:space="preserve">（一）不准向乙方索要或接受回扣、礼金、有价证券、贵重物品和好处费、感谢费等；不准在乙方报销任何应由甲方或其工作人员个人支付的费用。</w:t>
      </w:r>
      <w:r/>
    </w:p>
    <w:p>
      <w:pPr>
        <w:ind w:firstLine="480"/>
        <w:spacing w:line="500" w:lineRule="exact"/>
        <w:rPr>
          <w:rFonts w:ascii="宋体" w:hAnsi="宋体" w:cs="仿宋"/>
          <w:sz w:val="24"/>
        </w:rPr>
      </w:pPr>
      <w:r>
        <w:rPr>
          <w:rFonts w:hint="eastAsia" w:ascii="宋体" w:hAnsi="宋体" w:cs="仿宋"/>
          <w:sz w:val="24"/>
        </w:rPr>
        <w:t xml:space="preserve">（二）不准参加乙方安排的超标准宴请及健身、娱乐等活动；不得接受乙方提供的通讯工具、交通工具、高档办公用品等。</w:t>
      </w:r>
      <w:r/>
    </w:p>
    <w:p>
      <w:pPr>
        <w:ind w:firstLine="480"/>
        <w:spacing w:line="500" w:lineRule="exact"/>
        <w:rPr>
          <w:rFonts w:ascii="宋体" w:hAnsi="宋体" w:cs="仿宋"/>
          <w:sz w:val="24"/>
        </w:rPr>
      </w:pPr>
      <w:r>
        <w:rPr>
          <w:rFonts w:hint="eastAsia" w:ascii="宋体" w:hAnsi="宋体" w:cs="仿宋"/>
          <w:sz w:val="24"/>
        </w:rPr>
        <w:t xml:space="preserve">（三）不准要求、暗示和接受乙方为个人装修住房、婚丧嫁娶、配偶子女工作安排以及出国（境）、旅游等提供方便。</w:t>
      </w:r>
      <w:r/>
    </w:p>
    <w:p>
      <w:pPr>
        <w:ind w:firstLine="480"/>
        <w:spacing w:line="500" w:lineRule="exact"/>
        <w:rPr>
          <w:rFonts w:ascii="宋体" w:hAnsi="宋体" w:cs="仿宋"/>
          <w:sz w:val="24"/>
        </w:rPr>
      </w:pPr>
      <w:r>
        <w:rPr>
          <w:rFonts w:hint="eastAsia" w:ascii="宋体" w:hAnsi="宋体" w:cs="仿宋"/>
          <w:sz w:val="24"/>
        </w:rPr>
        <w:t xml:space="preserve">（四）配偶、子女不得参与乙方承包本项目有关的设备材料供应、项目分包、劳务等经济活动。</w:t>
      </w:r>
      <w:r/>
    </w:p>
    <w:p>
      <w:pPr>
        <w:ind w:firstLine="480"/>
        <w:spacing w:line="500" w:lineRule="exact"/>
        <w:rPr>
          <w:rFonts w:ascii="宋体" w:hAnsi="宋体" w:cs="仿宋"/>
          <w:sz w:val="24"/>
        </w:rPr>
      </w:pPr>
      <w:r>
        <w:rPr>
          <w:rFonts w:hint="eastAsia" w:ascii="宋体" w:hAnsi="宋体" w:cs="仿宋"/>
          <w:sz w:val="24"/>
        </w:rPr>
        <w:t xml:space="preserve">（五）不得以任何理由向乙方推荐分包单位或要求乙方购买项目协议规定以外的材料、设备和服务等。</w:t>
      </w:r>
      <w:r/>
    </w:p>
    <w:p>
      <w:pPr>
        <w:ind w:firstLine="480"/>
        <w:spacing w:line="500" w:lineRule="exact"/>
        <w:rPr>
          <w:rFonts w:ascii="宋体" w:hAnsi="宋体" w:cs="仿宋"/>
          <w:sz w:val="24"/>
        </w:rPr>
      </w:pPr>
      <w:r>
        <w:rPr>
          <w:rFonts w:hint="eastAsia" w:ascii="宋体" w:hAnsi="宋体" w:cs="仿宋"/>
          <w:sz w:val="24"/>
        </w:rPr>
        <w:t xml:space="preserve">（六）其它与项目有关的党风廉政建设和预防腐败的规定。</w:t>
      </w:r>
      <w:r/>
    </w:p>
    <w:p>
      <w:pPr>
        <w:ind w:firstLine="480"/>
        <w:spacing w:line="500" w:lineRule="exact"/>
        <w:rPr>
          <w:rFonts w:ascii="宋体" w:hAnsi="宋体" w:cs="仿宋"/>
          <w:sz w:val="24"/>
        </w:rPr>
      </w:pPr>
      <w:r>
        <w:rPr>
          <w:rFonts w:hint="eastAsia" w:ascii="宋体" w:hAnsi="宋体" w:cs="仿宋"/>
          <w:sz w:val="24"/>
        </w:rPr>
        <w:t xml:space="preserve">第二条 乙方应与甲方保持正常的业务交往，按照有关法律法规和程序开展业务工作，严格执行项目建设的有关政策、法规，特别是有关强制性标准和规范，并遵守以下规定：</w:t>
      </w:r>
      <w:r/>
    </w:p>
    <w:p>
      <w:pPr>
        <w:ind w:firstLine="480"/>
        <w:spacing w:line="500" w:lineRule="exact"/>
        <w:rPr>
          <w:rFonts w:ascii="宋体" w:hAnsi="宋体" w:cs="仿宋"/>
          <w:sz w:val="24"/>
        </w:rPr>
      </w:pPr>
      <w:r>
        <w:rPr>
          <w:rFonts w:hint="eastAsia" w:ascii="宋体" w:hAnsi="宋体" w:cs="仿宋"/>
          <w:sz w:val="24"/>
        </w:rPr>
        <w:t xml:space="preserve">（一）不准以任何理由向甲方及其工作人员行贿或赠送礼金、有价证券、贵重物品等。</w:t>
      </w:r>
      <w:r/>
    </w:p>
    <w:p>
      <w:pPr>
        <w:ind w:firstLine="480"/>
        <w:spacing w:line="500" w:lineRule="exact"/>
        <w:rPr>
          <w:rFonts w:ascii="宋体" w:hAnsi="宋体" w:cs="仿宋"/>
          <w:sz w:val="24"/>
        </w:rPr>
      </w:pPr>
      <w:r>
        <w:rPr>
          <w:rFonts w:hint="eastAsia" w:ascii="宋体" w:hAnsi="宋体" w:cs="仿宋"/>
          <w:sz w:val="24"/>
        </w:rPr>
        <w:t xml:space="preserve">（二）不准以任何名义为甲方及其工作人员报销应由个人支付的费用。</w:t>
      </w:r>
      <w:r/>
    </w:p>
    <w:p>
      <w:pPr>
        <w:ind w:firstLine="480"/>
        <w:spacing w:line="500" w:lineRule="exact"/>
        <w:rPr>
          <w:rFonts w:ascii="宋体" w:hAnsi="宋体" w:cs="仿宋"/>
          <w:sz w:val="24"/>
        </w:rPr>
      </w:pPr>
      <w:r>
        <w:rPr>
          <w:rFonts w:hint="eastAsia" w:ascii="宋体" w:hAnsi="宋体" w:cs="仿宋"/>
          <w:sz w:val="24"/>
        </w:rPr>
        <w:t xml:space="preserve">（三）不准以任何理由安排甲方工作人员参加超标准宴请及健身、娱乐和旅游等活动。</w:t>
      </w:r>
      <w:r/>
    </w:p>
    <w:p>
      <w:pPr>
        <w:ind w:firstLine="480"/>
        <w:spacing w:line="500" w:lineRule="exact"/>
        <w:rPr>
          <w:rFonts w:ascii="宋体" w:hAnsi="宋体" w:cs="仿宋"/>
          <w:sz w:val="24"/>
        </w:rPr>
      </w:pPr>
      <w:r>
        <w:rPr>
          <w:rFonts w:hint="eastAsia" w:ascii="宋体" w:hAnsi="宋体" w:cs="仿宋"/>
          <w:sz w:val="24"/>
        </w:rPr>
        <w:t xml:space="preserve">（四）不准为甲方及其工作人员购置或提供通讯工具、交通工具、高档办公用品和装修住房等。</w:t>
      </w:r>
      <w:r/>
    </w:p>
    <w:p>
      <w:pPr>
        <w:ind w:firstLine="480"/>
        <w:spacing w:line="500" w:lineRule="exact"/>
        <w:rPr>
          <w:rFonts w:ascii="宋体" w:hAnsi="宋体" w:cs="仿宋"/>
          <w:sz w:val="24"/>
        </w:rPr>
      </w:pPr>
      <w:r>
        <w:rPr>
          <w:rFonts w:hint="eastAsia" w:ascii="宋体" w:hAnsi="宋体" w:cs="仿宋"/>
          <w:sz w:val="24"/>
        </w:rPr>
        <w:t xml:space="preserve">（五）其他有关党风廉政建设和预防腐败的规定。</w:t>
      </w:r>
      <w:r/>
    </w:p>
    <w:p>
      <w:pPr>
        <w:ind w:firstLine="480"/>
        <w:spacing w:line="500" w:lineRule="exact"/>
        <w:rPr>
          <w:rFonts w:ascii="宋体" w:hAnsi="宋体" w:cs="仿宋"/>
          <w:sz w:val="24"/>
        </w:rPr>
      </w:pPr>
      <w:r>
        <w:rPr>
          <w:rFonts w:hint="eastAsia" w:ascii="宋体" w:hAnsi="宋体" w:cs="仿宋"/>
          <w:sz w:val="24"/>
        </w:rPr>
        <w:t xml:space="preserve">第三条 三方不得违反项目管理规章制度，不得为获取不正当利益，就项目费用、材料供应、工程量变动、项目验收、项目质量等问题相互串通，损害国家、集体或他人利益。</w:t>
      </w:r>
      <w:r/>
    </w:p>
    <w:p>
      <w:pPr>
        <w:ind w:firstLine="480"/>
        <w:spacing w:line="500" w:lineRule="exact"/>
        <w:rPr>
          <w:rFonts w:ascii="宋体" w:hAnsi="宋体" w:cs="仿宋"/>
          <w:sz w:val="24"/>
        </w:rPr>
      </w:pPr>
      <w:r>
        <w:rPr>
          <w:rFonts w:hint="eastAsia" w:ascii="宋体" w:hAnsi="宋体" w:cs="仿宋"/>
          <w:sz w:val="24"/>
        </w:rPr>
        <w:t xml:space="preserve">第四条 三方发现其他方在业务活动中有违反本协议行为的，有及时提醒其他方纠正的权利和义务。情节严重的，有向该方上级有关部门举报的权利。</w:t>
      </w:r>
      <w:r/>
    </w:p>
    <w:p>
      <w:pPr>
        <w:ind w:firstLine="480"/>
        <w:spacing w:line="500" w:lineRule="exact"/>
        <w:rPr>
          <w:rFonts w:ascii="宋体" w:hAnsi="宋体" w:cs="仿宋"/>
          <w:sz w:val="24"/>
        </w:rPr>
      </w:pPr>
      <w:r>
        <w:rPr>
          <w:rFonts w:hint="eastAsia" w:ascii="宋体" w:hAnsi="宋体" w:cs="仿宋"/>
          <w:sz w:val="24"/>
        </w:rPr>
        <w:t xml:space="preserve">第五条违约责任</w:t>
      </w:r>
      <w:r/>
    </w:p>
    <w:p>
      <w:pPr>
        <w:ind w:firstLine="480"/>
        <w:spacing w:line="500" w:lineRule="exact"/>
        <w:rPr>
          <w:rFonts w:ascii="宋体" w:hAnsi="宋体" w:cs="仿宋"/>
          <w:sz w:val="24"/>
        </w:rPr>
      </w:pPr>
      <w:r>
        <w:rPr>
          <w:rFonts w:hint="eastAsia" w:ascii="宋体" w:hAnsi="宋体" w:cs="仿宋"/>
          <w:sz w:val="24"/>
        </w:rPr>
        <w:t xml:space="preserve">（一）甲方工作人员有违反本协议第一条、第三条行为的，甲方监督部门按照管理权限，依据有关法律法规和规定给予党纪、政纪处分或组织处理；涉嫌犯罪的，移交司法机关追究刑事责任；造成经济损失的，应予以赔偿。</w:t>
      </w:r>
      <w:r/>
    </w:p>
    <w:p>
      <w:pPr>
        <w:ind w:firstLine="480"/>
        <w:spacing w:line="500" w:lineRule="exact"/>
        <w:rPr>
          <w:rFonts w:ascii="宋体" w:hAnsi="宋体" w:cs="仿宋"/>
          <w:sz w:val="24"/>
        </w:rPr>
      </w:pPr>
      <w:r>
        <w:rPr>
          <w:rFonts w:hint="eastAsia" w:ascii="宋体" w:hAnsi="宋体" w:cs="仿宋"/>
          <w:sz w:val="24"/>
        </w:rPr>
        <w:t xml:space="preserve">（二）甲方和乙方工作人员有违反本协议第二条、第三条行为的，由甲方监督部门向上级或上级主管部门报告，建议对乙方予以一至二年内不得进入本市招标投标市场或被列入合格供方黑名单等处理。涉嫌犯罪的，移交司法机关追究刑事责任；造成经济损失的，应予以赔偿。</w:t>
      </w:r>
      <w:r/>
    </w:p>
    <w:p>
      <w:pPr>
        <w:ind w:firstLine="480"/>
        <w:spacing w:line="500" w:lineRule="exact"/>
        <w:rPr>
          <w:rFonts w:ascii="宋体" w:hAnsi="宋体" w:cs="仿宋"/>
          <w:sz w:val="24"/>
        </w:rPr>
      </w:pPr>
      <w:r>
        <w:rPr>
          <w:rFonts w:hint="eastAsia" w:ascii="宋体" w:hAnsi="宋体" w:cs="仿宋"/>
          <w:sz w:val="24"/>
        </w:rPr>
        <w:t xml:space="preserve">（三）乙方将部分辅助项目依法分包的，乙方与分包单位就协议的履行承担连带责任。</w:t>
      </w:r>
      <w:r/>
    </w:p>
    <w:p>
      <w:pPr>
        <w:ind w:firstLine="480"/>
        <w:spacing w:line="500" w:lineRule="exact"/>
        <w:rPr>
          <w:rFonts w:ascii="宋体" w:hAnsi="宋体" w:cs="仿宋"/>
          <w:sz w:val="24"/>
        </w:rPr>
      </w:pPr>
      <w:r>
        <w:rPr>
          <w:rFonts w:hint="eastAsia" w:ascii="宋体" w:hAnsi="宋体" w:cs="仿宋"/>
          <w:sz w:val="24"/>
        </w:rPr>
        <w:t xml:space="preserve">第六条 本协议作为主合同的附件，与主合同具有同等法律效力，各方签署后立即生效。</w:t>
      </w:r>
      <w:r/>
    </w:p>
    <w:p>
      <w:pPr>
        <w:ind w:firstLine="480"/>
        <w:spacing w:line="500" w:lineRule="exact"/>
        <w:rPr>
          <w:rFonts w:ascii="宋体" w:hAnsi="宋体" w:cs="仿宋"/>
          <w:sz w:val="24"/>
        </w:rPr>
      </w:pPr>
      <w:r>
        <w:rPr>
          <w:rFonts w:ascii="宋体" w:hAnsi="宋体" w:cs="仿宋"/>
          <w:sz w:val="24"/>
        </w:rPr>
      </w:r>
      <w:r/>
    </w:p>
    <w:p>
      <w:pPr>
        <w:ind w:firstLine="480"/>
        <w:spacing w:line="500" w:lineRule="exact"/>
        <w:rPr>
          <w:rFonts w:ascii="宋体" w:hAnsi="宋体" w:cs="仿宋"/>
          <w:sz w:val="24"/>
        </w:rPr>
      </w:pPr>
      <w:r>
        <w:rPr>
          <w:rFonts w:hint="eastAsia" w:ascii="宋体" w:hAnsi="宋体" w:cs="仿宋"/>
          <w:sz w:val="24"/>
        </w:rPr>
        <w:t xml:space="preserve">甲方 ：乙方 ：</w:t>
      </w:r>
      <w:r/>
    </w:p>
    <w:p>
      <w:pPr>
        <w:ind w:firstLine="480"/>
        <w:spacing w:line="500" w:lineRule="exact"/>
        <w:rPr>
          <w:rFonts w:ascii="宋体" w:hAnsi="宋体" w:cs="仿宋"/>
          <w:sz w:val="24"/>
        </w:rPr>
      </w:pPr>
      <w:r>
        <w:rPr>
          <w:rFonts w:hint="eastAsia" w:ascii="宋体" w:hAnsi="宋体" w:cs="仿宋"/>
          <w:sz w:val="24"/>
        </w:rPr>
        <w:t xml:space="preserve">法定代表人或代表人签字或盖章：      法定代表人或代表人签字或盖章：</w:t>
      </w:r>
      <w:r/>
    </w:p>
    <w:p>
      <w:pPr>
        <w:ind w:firstLine="480"/>
        <w:spacing w:line="500" w:lineRule="exact"/>
        <w:rPr>
          <w:rFonts w:ascii="宋体" w:hAnsi="宋体" w:cs="仿宋"/>
          <w:sz w:val="24"/>
        </w:rPr>
      </w:pPr>
      <w:r>
        <w:rPr>
          <w:rFonts w:hint="eastAsia" w:ascii="宋体" w:hAnsi="宋体" w:cs="仿宋"/>
          <w:sz w:val="24"/>
        </w:rPr>
        <w:t xml:space="preserve">年    月    日年    月    日</w:t>
      </w:r>
      <w:r/>
    </w:p>
    <w:p>
      <w:pPr>
        <w:jc w:val="left"/>
        <w:spacing w:line="500" w:lineRule="exact"/>
        <w:rPr>
          <w:rFonts w:ascii="宋体" w:hAnsi="宋体" w:cs="宋体"/>
          <w:b/>
          <w:bCs/>
          <w:sz w:val="28"/>
          <w:szCs w:val="28"/>
        </w:rPr>
      </w:pPr>
      <w:r>
        <w:rPr>
          <w:rFonts w:ascii="仿宋" w:hAnsi="仿宋" w:eastAsia="仿宋" w:cs="仿宋"/>
          <w:sz w:val="32"/>
          <w:szCs w:val="32"/>
        </w:rPr>
        <w:br w:type="page" w:clear="all"/>
      </w:r>
      <w:r>
        <w:rPr>
          <w:rFonts w:hint="eastAsia" w:ascii="宋体" w:hAnsi="宋体" w:cs="宋体"/>
          <w:b/>
          <w:bCs/>
          <w:sz w:val="28"/>
          <w:szCs w:val="28"/>
        </w:rPr>
        <w:t xml:space="preserve">附件五</w:t>
      </w:r>
      <w:r/>
    </w:p>
    <w:p>
      <w:pPr>
        <w:jc w:val="center"/>
        <w:spacing w:line="500" w:lineRule="exact"/>
        <w:rPr>
          <w:rFonts w:ascii="宋体" w:hAnsi="宋体" w:cs="宋体"/>
          <w:b/>
          <w:bCs/>
          <w:sz w:val="28"/>
          <w:szCs w:val="28"/>
        </w:rPr>
      </w:pPr>
      <w:r>
        <w:rPr>
          <w:rFonts w:hint="eastAsia" w:ascii="宋体" w:hAnsi="宋体" w:cs="宋体"/>
          <w:b/>
          <w:bCs/>
          <w:sz w:val="28"/>
          <w:szCs w:val="28"/>
        </w:rPr>
        <w:t xml:space="preserve">安全生产协议书</w:t>
      </w:r>
      <w:r/>
    </w:p>
    <w:p>
      <w:pPr>
        <w:ind w:left="420"/>
        <w:spacing w:line="500" w:lineRule="exact"/>
        <w:rPr>
          <w:rFonts w:ascii="宋体" w:hAnsi="宋体" w:cs="仿宋"/>
          <w:sz w:val="24"/>
        </w:rPr>
      </w:pPr>
      <w:r>
        <w:rPr>
          <w:rFonts w:hint="eastAsia" w:ascii="宋体" w:hAnsi="宋体" w:cs="仿宋"/>
          <w:sz w:val="24"/>
        </w:rPr>
        <w:t xml:space="preserve">甲方名称：</w:t>
      </w:r>
      <w:r/>
    </w:p>
    <w:p>
      <w:pPr>
        <w:ind w:left="420"/>
        <w:spacing w:line="500" w:lineRule="exact"/>
        <w:rPr>
          <w:rFonts w:ascii="宋体" w:hAnsi="宋体" w:cs="仿宋"/>
          <w:sz w:val="24"/>
        </w:rPr>
      </w:pPr>
      <w:r>
        <w:rPr>
          <w:rFonts w:hint="eastAsia" w:ascii="宋体" w:hAnsi="宋体" w:cs="仿宋"/>
          <w:sz w:val="24"/>
        </w:rPr>
        <w:t xml:space="preserve">乙方名称：</w:t>
      </w:r>
      <w:r/>
    </w:p>
    <w:p>
      <w:pPr>
        <w:spacing w:line="500" w:lineRule="exact"/>
        <w:rPr>
          <w:rFonts w:ascii="宋体" w:hAnsi="宋体" w:cs="仿宋"/>
          <w:sz w:val="24"/>
        </w:rPr>
      </w:pPr>
      <w:r>
        <w:rPr>
          <w:rFonts w:ascii="宋体" w:hAnsi="宋体" w:cs="仿宋"/>
          <w:sz w:val="24"/>
        </w:rPr>
      </w:r>
      <w:r/>
    </w:p>
    <w:p>
      <w:pPr>
        <w:ind w:firstLine="480"/>
        <w:jc w:val="left"/>
        <w:spacing w:line="500" w:lineRule="exact"/>
        <w:rPr>
          <w:rFonts w:ascii="宋体" w:hAnsi="宋体" w:cs="仿宋"/>
          <w:sz w:val="24"/>
        </w:rPr>
      </w:pPr>
      <w:r>
        <w:rPr>
          <w:rFonts w:hint="eastAsia" w:ascii="宋体" w:hAnsi="宋体" w:cs="仿宋"/>
          <w:sz w:val="24"/>
        </w:rPr>
        <w:t xml:space="preserve">双方根据《中华人民共和国安全生产法》的规定，一致同意签订本安全生产协议，作为项目合同的附件，并与本项目合同具有同等的法律效力。</w:t>
      </w:r>
      <w:r/>
    </w:p>
    <w:p>
      <w:pPr>
        <w:ind w:firstLine="480"/>
        <w:spacing w:line="500" w:lineRule="exact"/>
        <w:rPr>
          <w:rFonts w:ascii="宋体" w:hAnsi="宋体" w:cs="仿宋"/>
          <w:sz w:val="24"/>
        </w:rPr>
      </w:pPr>
      <w:r>
        <w:rPr>
          <w:rFonts w:hint="eastAsia" w:ascii="宋体" w:hAnsi="宋体" w:cs="仿宋"/>
          <w:sz w:val="24"/>
        </w:rPr>
        <w:t xml:space="preserve">第一条</w:t>
      </w:r>
      <w:r>
        <w:rPr>
          <w:rFonts w:hint="eastAsia" w:ascii="宋体" w:hAnsi="宋体" w:cs="仿宋"/>
          <w:sz w:val="24"/>
        </w:rPr>
        <w:tab/>
      </w:r>
      <w:r>
        <w:rPr>
          <w:rFonts w:hint="eastAsia" w:ascii="宋体" w:hAnsi="宋体" w:cs="仿宋"/>
          <w:sz w:val="24"/>
        </w:rPr>
        <w:t xml:space="preserve">安全生产目标</w:t>
      </w:r>
      <w:r/>
    </w:p>
    <w:p>
      <w:pPr>
        <w:ind w:firstLine="480"/>
        <w:spacing w:line="500" w:lineRule="exact"/>
        <w:rPr>
          <w:rFonts w:ascii="宋体" w:hAnsi="宋体" w:cs="仿宋"/>
          <w:sz w:val="24"/>
        </w:rPr>
      </w:pPr>
      <w:r>
        <w:rPr>
          <w:rFonts w:hint="eastAsia" w:ascii="宋体" w:hAnsi="宋体" w:cs="仿宋"/>
          <w:sz w:val="24"/>
        </w:rPr>
        <w:t xml:space="preserve">1.1 遵守安全生产的规定，实现安全生产管理目标：无重伤、无死亡等安全事故。 </w:t>
      </w:r>
      <w:r/>
    </w:p>
    <w:p>
      <w:pPr>
        <w:ind w:firstLine="480"/>
        <w:spacing w:line="500" w:lineRule="exact"/>
        <w:rPr>
          <w:rFonts w:ascii="宋体" w:hAnsi="宋体" w:cs="仿宋"/>
          <w:sz w:val="24"/>
        </w:rPr>
      </w:pPr>
      <w:r>
        <w:rPr>
          <w:rFonts w:hint="eastAsia" w:ascii="宋体" w:hAnsi="宋体" w:cs="仿宋"/>
          <w:sz w:val="24"/>
        </w:rPr>
        <w:t xml:space="preserve">第二条</w:t>
      </w:r>
      <w:r>
        <w:rPr>
          <w:rFonts w:hint="eastAsia" w:ascii="宋体" w:hAnsi="宋体" w:cs="仿宋"/>
          <w:sz w:val="24"/>
        </w:rPr>
        <w:tab/>
      </w:r>
      <w:r>
        <w:rPr>
          <w:rFonts w:hint="eastAsia" w:ascii="宋体" w:hAnsi="宋体" w:cs="仿宋"/>
          <w:sz w:val="24"/>
        </w:rPr>
        <w:t xml:space="preserve">甲方的权利和义务</w:t>
      </w:r>
      <w:r/>
    </w:p>
    <w:p>
      <w:pPr>
        <w:ind w:firstLine="480"/>
        <w:spacing w:line="500" w:lineRule="exact"/>
        <w:rPr>
          <w:rFonts w:ascii="宋体" w:hAnsi="宋体" w:cs="仿宋"/>
          <w:sz w:val="24"/>
        </w:rPr>
      </w:pPr>
      <w:r>
        <w:rPr>
          <w:rFonts w:hint="eastAsia" w:ascii="宋体" w:hAnsi="宋体" w:cs="仿宋"/>
          <w:sz w:val="24"/>
        </w:rPr>
        <w:t xml:space="preserve">2.1 甲方的权利</w:t>
      </w:r>
      <w:r/>
    </w:p>
    <w:p>
      <w:pPr>
        <w:ind w:firstLine="480"/>
        <w:spacing w:line="500" w:lineRule="exact"/>
        <w:rPr>
          <w:rFonts w:ascii="宋体" w:hAnsi="宋体" w:cs="仿宋"/>
          <w:sz w:val="24"/>
        </w:rPr>
      </w:pPr>
      <w:r>
        <w:rPr>
          <w:rFonts w:hint="eastAsia" w:ascii="宋体" w:hAnsi="宋体" w:cs="仿宋"/>
          <w:sz w:val="24"/>
        </w:rPr>
        <w:t xml:space="preserve">2.1.1 甲方有权对乙方执行安全生产措施不到位之处，要求乙方进行立即整改。</w:t>
      </w:r>
      <w:r/>
    </w:p>
    <w:p>
      <w:pPr>
        <w:ind w:firstLine="480"/>
        <w:spacing w:line="500" w:lineRule="exact"/>
        <w:rPr>
          <w:rFonts w:ascii="宋体" w:hAnsi="宋体" w:cs="仿宋"/>
          <w:sz w:val="24"/>
        </w:rPr>
      </w:pPr>
      <w:r>
        <w:rPr>
          <w:rFonts w:hint="eastAsia" w:ascii="宋体" w:hAnsi="宋体" w:cs="仿宋"/>
          <w:sz w:val="24"/>
        </w:rPr>
        <w:t xml:space="preserve">2.1.2 在确认无遗留劳动争议纠纷及劳务纠纷后，与乙方进行财务结算。</w:t>
      </w:r>
      <w:r/>
    </w:p>
    <w:p>
      <w:pPr>
        <w:ind w:firstLine="480"/>
        <w:spacing w:line="500" w:lineRule="exact"/>
        <w:rPr>
          <w:rFonts w:ascii="宋体" w:hAnsi="宋体" w:cs="仿宋"/>
          <w:sz w:val="24"/>
        </w:rPr>
      </w:pPr>
      <w:r>
        <w:rPr>
          <w:rFonts w:hint="eastAsia" w:ascii="宋体" w:hAnsi="宋体" w:cs="仿宋"/>
          <w:sz w:val="24"/>
        </w:rPr>
        <w:t xml:space="preserve">2.2 甲方的义务</w:t>
      </w:r>
      <w:r/>
    </w:p>
    <w:p>
      <w:pPr>
        <w:ind w:firstLine="480"/>
        <w:spacing w:line="500" w:lineRule="exact"/>
        <w:rPr>
          <w:rFonts w:ascii="宋体" w:hAnsi="宋体" w:cs="仿宋"/>
          <w:sz w:val="24"/>
        </w:rPr>
      </w:pPr>
      <w:r>
        <w:rPr>
          <w:rFonts w:hint="eastAsia" w:ascii="宋体" w:hAnsi="宋体" w:cs="仿宋"/>
          <w:sz w:val="24"/>
        </w:rPr>
        <w:t xml:space="preserve">2.2.1 协助乙方做好作业前的安全教育和考核工作。 </w:t>
      </w:r>
      <w:r/>
    </w:p>
    <w:p>
      <w:pPr>
        <w:ind w:firstLine="480"/>
        <w:spacing w:line="500" w:lineRule="exact"/>
        <w:rPr>
          <w:rFonts w:ascii="宋体" w:hAnsi="宋体" w:cs="仿宋"/>
          <w:sz w:val="24"/>
        </w:rPr>
      </w:pPr>
      <w:r>
        <w:rPr>
          <w:rFonts w:hint="eastAsia" w:ascii="宋体" w:hAnsi="宋体" w:cs="仿宋"/>
          <w:sz w:val="24"/>
        </w:rPr>
        <w:t xml:space="preserve">2.2.2 介绍作业环境，为乙方提供必要的安全作业条件。</w:t>
      </w:r>
      <w:r/>
    </w:p>
    <w:p>
      <w:pPr>
        <w:ind w:firstLine="480"/>
        <w:spacing w:line="500" w:lineRule="exact"/>
        <w:rPr>
          <w:rFonts w:ascii="宋体" w:hAnsi="宋体" w:cs="仿宋"/>
          <w:sz w:val="24"/>
        </w:rPr>
      </w:pPr>
      <w:r>
        <w:rPr>
          <w:rFonts w:hint="eastAsia" w:ascii="宋体" w:hAnsi="宋体" w:cs="仿宋"/>
          <w:sz w:val="24"/>
        </w:rPr>
        <w:t xml:space="preserve">2.2.3 乙方人员在作业期间，造成伤亡、火灾等事故（包括由承包人责任造成发包人人员、他方人员、行人伤亡等），甲方有协助紧急抢救伤员的义务。</w:t>
      </w:r>
      <w:r/>
    </w:p>
    <w:p>
      <w:pPr>
        <w:ind w:firstLine="480"/>
        <w:spacing w:line="500" w:lineRule="exact"/>
        <w:rPr>
          <w:rFonts w:ascii="宋体" w:hAnsi="宋体" w:cs="仿宋"/>
          <w:sz w:val="24"/>
        </w:rPr>
      </w:pPr>
      <w:r>
        <w:rPr>
          <w:rFonts w:hint="eastAsia" w:ascii="宋体" w:hAnsi="宋体" w:cs="仿宋"/>
          <w:sz w:val="24"/>
        </w:rPr>
        <w:t xml:space="preserve">第三条</w:t>
      </w:r>
      <w:r>
        <w:rPr>
          <w:rFonts w:hint="eastAsia" w:ascii="宋体" w:hAnsi="宋体" w:cs="仿宋"/>
          <w:sz w:val="24"/>
        </w:rPr>
        <w:tab/>
      </w:r>
      <w:r>
        <w:rPr>
          <w:rFonts w:hint="eastAsia" w:ascii="宋体" w:hAnsi="宋体" w:cs="仿宋"/>
          <w:sz w:val="24"/>
        </w:rPr>
        <w:t xml:space="preserve">乙方的义务 </w:t>
      </w:r>
      <w:r/>
    </w:p>
    <w:p>
      <w:pPr>
        <w:ind w:firstLine="480"/>
        <w:spacing w:line="500" w:lineRule="exact"/>
        <w:rPr>
          <w:rFonts w:ascii="宋体" w:hAnsi="宋体" w:cs="仿宋"/>
          <w:sz w:val="24"/>
        </w:rPr>
      </w:pPr>
      <w:r>
        <w:rPr>
          <w:rFonts w:hint="eastAsia" w:ascii="宋体" w:hAnsi="宋体" w:cs="仿宋"/>
          <w:sz w:val="24"/>
        </w:rPr>
        <w:t xml:space="preserve">3.1 乙方必须认真对本单位员工进行安全生产制度及安全技术知识教育，增强法治观念，提高员工的安全生产意识和自我保护能力，督促员工自觉遵守项目现场安全规定。</w:t>
      </w:r>
      <w:r/>
    </w:p>
    <w:p>
      <w:pPr>
        <w:ind w:firstLine="480"/>
        <w:spacing w:line="500" w:lineRule="exact"/>
        <w:rPr>
          <w:rFonts w:ascii="宋体" w:hAnsi="宋体" w:cs="仿宋"/>
          <w:sz w:val="24"/>
        </w:rPr>
      </w:pPr>
      <w:r>
        <w:rPr>
          <w:rFonts w:hint="eastAsia" w:ascii="宋体" w:hAnsi="宋体" w:cs="仿宋"/>
          <w:sz w:val="24"/>
        </w:rPr>
        <w:t xml:space="preserve">3.2 乙方现场作业人员应佩戴符合安全要求的防护用品。</w:t>
      </w:r>
      <w:r/>
    </w:p>
    <w:p>
      <w:pPr>
        <w:ind w:firstLine="480"/>
        <w:spacing w:line="500" w:lineRule="exact"/>
        <w:rPr>
          <w:rFonts w:ascii="宋体" w:hAnsi="宋体" w:cs="仿宋"/>
          <w:sz w:val="24"/>
        </w:rPr>
      </w:pPr>
      <w:r>
        <w:rPr>
          <w:rFonts w:hint="eastAsia" w:ascii="宋体" w:hAnsi="宋体" w:cs="仿宋"/>
          <w:sz w:val="24"/>
        </w:rPr>
        <w:t xml:space="preserve">3.3 乙方现场办公室应按照有关消防管理条例合理配备消防器材；同时设置应急救援医疗包。</w:t>
      </w:r>
      <w:r/>
    </w:p>
    <w:p>
      <w:pPr>
        <w:ind w:firstLine="480"/>
        <w:spacing w:line="500" w:lineRule="exact"/>
        <w:rPr>
          <w:rFonts w:ascii="宋体" w:hAnsi="宋体" w:cs="仿宋"/>
          <w:sz w:val="24"/>
        </w:rPr>
      </w:pPr>
      <w:r>
        <w:rPr>
          <w:rFonts w:hint="eastAsia" w:ascii="宋体" w:hAnsi="宋体" w:cs="仿宋"/>
          <w:sz w:val="24"/>
        </w:rPr>
        <w:t xml:space="preserve">3.4 乙方在现场工作期间必须严格执行和遵守发包人的安全生产、防火管理的各类规定，接受甲方的督促、检查和指导。对于查出的安全隐患，乙方必须限期整改。</w:t>
      </w:r>
      <w:r/>
    </w:p>
    <w:p>
      <w:pPr>
        <w:ind w:firstLine="480"/>
        <w:spacing w:line="500" w:lineRule="exact"/>
        <w:rPr>
          <w:rFonts w:ascii="宋体" w:hAnsi="宋体" w:cs="仿宋"/>
          <w:sz w:val="24"/>
        </w:rPr>
      </w:pPr>
      <w:r>
        <w:rPr>
          <w:rFonts w:hint="eastAsia" w:ascii="宋体" w:hAnsi="宋体" w:cs="仿宋"/>
          <w:sz w:val="24"/>
        </w:rPr>
        <w:t xml:space="preserve">3.5 乙方在本项目实施工作过程中发生的</w:t>
      </w:r>
      <w:bookmarkStart w:id="20" w:name="OLE_LINK12"/>
      <w:r/>
      <w:bookmarkStart w:id="21" w:name="OLE_LINK11"/>
      <w:r>
        <w:rPr>
          <w:rFonts w:hint="eastAsia" w:ascii="宋体" w:hAnsi="宋体" w:cs="仿宋"/>
          <w:sz w:val="24"/>
        </w:rPr>
        <w:t xml:space="preserve">伤亡事故</w:t>
      </w:r>
      <w:bookmarkEnd w:id="20"/>
      <w:r/>
      <w:bookmarkEnd w:id="21"/>
      <w:r>
        <w:rPr>
          <w:rFonts w:hint="eastAsia" w:ascii="宋体" w:hAnsi="宋体" w:cs="仿宋"/>
          <w:sz w:val="24"/>
        </w:rPr>
        <w:t xml:space="preserve">等人身财产损失，除依法由第三人承担的责任外，均由乙方承担全部责任。 </w:t>
      </w:r>
      <w:r/>
    </w:p>
    <w:p>
      <w:pPr>
        <w:ind w:firstLine="480"/>
        <w:spacing w:line="500" w:lineRule="exact"/>
        <w:rPr>
          <w:rFonts w:ascii="宋体" w:hAnsi="宋体" w:cs="仿宋"/>
          <w:sz w:val="24"/>
        </w:rPr>
      </w:pPr>
      <w:r>
        <w:rPr>
          <w:rFonts w:hint="eastAsia" w:ascii="宋体" w:hAnsi="宋体" w:cs="仿宋"/>
          <w:sz w:val="24"/>
        </w:rPr>
        <w:t xml:space="preserve">第四条</w:t>
      </w:r>
      <w:r>
        <w:rPr>
          <w:rFonts w:hint="eastAsia" w:ascii="宋体" w:hAnsi="宋体" w:cs="仿宋"/>
          <w:sz w:val="24"/>
        </w:rPr>
        <w:tab/>
      </w:r>
      <w:r>
        <w:rPr>
          <w:rFonts w:hint="eastAsia" w:ascii="宋体" w:hAnsi="宋体" w:cs="仿宋"/>
          <w:sz w:val="24"/>
        </w:rPr>
        <w:t xml:space="preserve">其他</w:t>
      </w:r>
      <w:r/>
    </w:p>
    <w:p>
      <w:pPr>
        <w:ind w:firstLine="480"/>
        <w:spacing w:line="500" w:lineRule="exact"/>
        <w:rPr>
          <w:rFonts w:ascii="宋体" w:hAnsi="宋体" w:cs="仿宋"/>
          <w:sz w:val="24"/>
        </w:rPr>
      </w:pPr>
      <w:r>
        <w:rPr>
          <w:rFonts w:hint="eastAsia" w:ascii="宋体" w:hAnsi="宋体" w:cs="仿宋"/>
          <w:sz w:val="24"/>
        </w:rPr>
        <w:t xml:space="preserve">4.1 乙方发生安全事故的，由乙方负责事故上报，经济赔偿及善后处理，甲方因此遭受损失的，有权向乙方追偿。</w:t>
      </w:r>
      <w:r/>
    </w:p>
    <w:p>
      <w:pPr>
        <w:ind w:firstLine="480"/>
        <w:spacing w:line="500" w:lineRule="exact"/>
        <w:rPr>
          <w:rFonts w:ascii="宋体" w:hAnsi="宋体" w:cs="仿宋"/>
          <w:sz w:val="24"/>
        </w:rPr>
      </w:pPr>
      <w:r>
        <w:rPr>
          <w:rFonts w:hint="eastAsia" w:ascii="宋体" w:hAnsi="宋体" w:cs="仿宋"/>
          <w:sz w:val="24"/>
        </w:rPr>
        <w:t xml:space="preserve">本合同自甲方加盖公章、乙方法定代表人或授权代表签字或加盖公司公章起生效。</w:t>
      </w:r>
      <w:r/>
    </w:p>
    <w:p>
      <w:pPr>
        <w:ind w:firstLine="480"/>
        <w:spacing w:line="500" w:lineRule="exact"/>
        <w:rPr>
          <w:rFonts w:ascii="宋体" w:hAnsi="宋体" w:cs="仿宋"/>
          <w:sz w:val="24"/>
        </w:rPr>
      </w:pPr>
      <w:r>
        <w:rPr>
          <w:rFonts w:hint="eastAsia" w:ascii="宋体" w:hAnsi="宋体" w:cs="仿宋"/>
          <w:sz w:val="24"/>
        </w:rPr>
        <w:t xml:space="preserve">甲方 ：乙方 ：</w:t>
      </w:r>
      <w:r/>
    </w:p>
    <w:p>
      <w:pPr>
        <w:ind w:firstLine="480"/>
        <w:spacing w:line="500" w:lineRule="exact"/>
        <w:rPr>
          <w:rFonts w:ascii="宋体" w:hAnsi="宋体" w:cs="仿宋"/>
          <w:sz w:val="24"/>
        </w:rPr>
      </w:pPr>
      <w:r>
        <w:rPr>
          <w:rFonts w:hint="eastAsia" w:ascii="宋体" w:hAnsi="宋体" w:cs="仿宋"/>
          <w:sz w:val="24"/>
        </w:rPr>
        <w:t xml:space="preserve">法定代表人或代表人签字或盖章：     法定代表人或代表人签字或盖章：</w:t>
      </w:r>
      <w:r/>
    </w:p>
    <w:p>
      <w:pPr>
        <w:ind w:firstLine="480"/>
        <w:spacing w:line="500" w:lineRule="exact"/>
        <w:rPr>
          <w:rFonts w:ascii="宋体" w:hAnsi="宋体" w:cs="仿宋"/>
          <w:sz w:val="24"/>
        </w:rPr>
      </w:pPr>
      <w:r>
        <w:rPr>
          <w:rFonts w:hint="eastAsia" w:ascii="宋体" w:hAnsi="宋体" w:cs="仿宋"/>
          <w:sz w:val="24"/>
        </w:rPr>
        <w:t xml:space="preserve">年    月    日年    月    日</w:t>
      </w:r>
      <w:r/>
    </w:p>
    <w:p>
      <w:pPr>
        <w:ind w:firstLine="560"/>
        <w:jc w:val="center"/>
        <w:spacing w:line="360" w:lineRule="auto"/>
        <w:rPr>
          <w:rFonts w:ascii="宋体" w:hAnsi="宋体" w:cs="宋体"/>
          <w:b/>
          <w:color w:val="000000"/>
          <w:sz w:val="28"/>
          <w:szCs w:val="28"/>
        </w:rPr>
      </w:pPr>
      <w:r>
        <w:rPr>
          <w:rFonts w:ascii="宋体" w:hAnsi="宋体" w:cs="宋体"/>
          <w:b/>
          <w:color w:val="000000"/>
          <w:sz w:val="28"/>
          <w:szCs w:val="28"/>
        </w:rPr>
      </w:r>
      <w:r/>
    </w:p>
    <w:p>
      <w:pPr>
        <w:ind w:firstLine="560"/>
        <w:jc w:val="center"/>
        <w:spacing w:line="360" w:lineRule="auto"/>
        <w:rPr>
          <w:rFonts w:ascii="宋体" w:hAnsi="宋体" w:cs="宋体"/>
          <w:b/>
          <w:color w:val="000000"/>
          <w:sz w:val="28"/>
          <w:szCs w:val="28"/>
        </w:rPr>
      </w:pPr>
      <w:r>
        <w:rPr>
          <w:rFonts w:ascii="宋体" w:hAnsi="宋体" w:cs="宋体"/>
          <w:b/>
          <w:color w:val="000000"/>
          <w:sz w:val="28"/>
          <w:szCs w:val="28"/>
        </w:rPr>
      </w:r>
      <w:r/>
    </w:p>
    <w:p>
      <w:pPr>
        <w:ind w:firstLine="560"/>
        <w:jc w:val="center"/>
        <w:spacing w:line="360" w:lineRule="auto"/>
        <w:rPr>
          <w:rFonts w:ascii="宋体" w:hAnsi="宋体" w:cs="宋体"/>
          <w:b/>
          <w:color w:val="000000"/>
          <w:sz w:val="28"/>
          <w:szCs w:val="28"/>
        </w:rPr>
      </w:pPr>
      <w:r>
        <w:rPr>
          <w:rFonts w:ascii="宋体" w:hAnsi="宋体" w:cs="宋体"/>
          <w:b/>
          <w:color w:val="000000"/>
          <w:sz w:val="28"/>
          <w:szCs w:val="28"/>
        </w:rPr>
      </w:r>
      <w:r/>
    </w:p>
    <w:p>
      <w:pPr>
        <w:rPr>
          <w:rFonts w:ascii="宋体" w:hAnsi="宋体" w:cs="宋体"/>
          <w:bCs/>
          <w:color w:val="000000"/>
          <w:sz w:val="28"/>
          <w:szCs w:val="28"/>
        </w:rPr>
      </w:pPr>
      <w:r>
        <w:rPr>
          <w:rFonts w:hint="eastAsia" w:ascii="宋体" w:hAnsi="宋体" w:cs="宋体"/>
          <w:bCs/>
          <w:color w:val="000000"/>
          <w:sz w:val="28"/>
          <w:szCs w:val="28"/>
        </w:rPr>
        <w:br w:type="page" w:clear="all"/>
      </w:r>
      <w:r/>
    </w:p>
    <w:p>
      <w:pPr>
        <w:jc w:val="center"/>
        <w:spacing w:line="360" w:lineRule="auto"/>
        <w:rPr>
          <w:rFonts w:ascii="宋体" w:hAnsi="宋体" w:cs="宋体"/>
          <w:b/>
          <w:color w:val="000000"/>
          <w:sz w:val="32"/>
          <w:szCs w:val="32"/>
        </w:rPr>
        <w:outlineLvl w:val="0"/>
      </w:pPr>
      <w:r/>
      <w:bookmarkStart w:id="22" w:name="_Toc30649"/>
      <w:r>
        <w:rPr>
          <w:rFonts w:hint="eastAsia" w:ascii="宋体" w:hAnsi="宋体" w:cs="宋体"/>
          <w:b/>
          <w:color w:val="000000"/>
          <w:sz w:val="32"/>
          <w:szCs w:val="32"/>
        </w:rPr>
        <w:t xml:space="preserve">五、附件</w:t>
      </w:r>
      <w:bookmarkEnd w:id="22"/>
      <w:r/>
      <w:r/>
    </w:p>
    <w:p>
      <w:pPr>
        <w:spacing w:line="360" w:lineRule="auto"/>
        <w:tabs>
          <w:tab w:val="left" w:pos="630" w:leader="none"/>
          <w:tab w:val="left" w:pos="735" w:leader="none"/>
          <w:tab w:val="left" w:pos="945" w:leader="none"/>
        </w:tabs>
        <w:rPr>
          <w:rFonts w:ascii="宋体" w:hAnsi="宋体" w:cs="宋体"/>
          <w:bCs/>
          <w:color w:val="000000"/>
          <w:sz w:val="24"/>
          <w:szCs w:val="24"/>
        </w:rPr>
        <w:outlineLvl w:val="1"/>
      </w:pPr>
      <w:r>
        <w:rPr>
          <w:rFonts w:hint="eastAsia" w:ascii="宋体" w:hAnsi="宋体" w:cs="宋体"/>
          <w:bCs/>
          <w:color w:val="000000"/>
          <w:sz w:val="24"/>
          <w:szCs w:val="24"/>
        </w:rPr>
        <w:t xml:space="preserve">附件一：评分标准</w:t>
      </w:r>
      <w:r/>
    </w:p>
    <w:p>
      <w:pPr>
        <w:numPr>
          <w:ilvl w:val="1"/>
          <w:numId w:val="0"/>
        </w:numPr>
        <w:ind w:left="1" w:firstLine="523"/>
        <w:spacing w:line="360" w:lineRule="auto"/>
        <w:tabs>
          <w:tab w:val="left" w:pos="525" w:leader="none"/>
          <w:tab w:val="left" w:pos="945" w:leader="none"/>
        </w:tabs>
        <w:rPr>
          <w:rFonts w:ascii="宋体" w:hAnsi="宋体" w:cs="宋体"/>
          <w:bCs/>
          <w:sz w:val="24"/>
          <w:szCs w:val="24"/>
        </w:rPr>
      </w:pPr>
      <w:r>
        <w:rPr>
          <w:rFonts w:hint="eastAsia" w:ascii="宋体" w:hAnsi="宋体" w:cs="宋体"/>
          <w:bCs/>
          <w:sz w:val="24"/>
          <w:szCs w:val="24"/>
        </w:rPr>
        <w:t xml:space="preserve">比较与评价采用综合评分法（计分均保留2位小数），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按技术文件得分由高到低顺序排列。投标文件满足招标文件全部实质性要求，且按照评审因素的量化指标评审得分最高的投标人为排名第一的中标候选人。未列入本评分细则的其他条件不作为评分内容。</w:t>
      </w:r>
      <w:r/>
    </w:p>
    <w:p>
      <w:pPr>
        <w:ind w:firstLine="482"/>
        <w:spacing w:line="360" w:lineRule="auto"/>
        <w:rPr>
          <w:rFonts w:ascii="宋体" w:hAnsi="宋体" w:cs="宋体"/>
          <w:b/>
          <w:bCs/>
          <w:color w:val="000000"/>
          <w:sz w:val="24"/>
          <w:szCs w:val="24"/>
        </w:rPr>
      </w:pPr>
      <w:r>
        <w:rPr>
          <w:rFonts w:hint="eastAsia" w:ascii="宋体" w:hAnsi="宋体" w:cs="宋体"/>
          <w:b/>
          <w:bCs/>
          <w:sz w:val="24"/>
          <w:szCs w:val="24"/>
        </w:rPr>
        <w:t xml:space="preserve">特别注意：本项目采用暗</w:t>
      </w:r>
      <w:r>
        <w:rPr>
          <w:rFonts w:hint="eastAsia" w:ascii="宋体" w:hAnsi="宋体" w:cs="宋体"/>
          <w:b/>
          <w:bCs/>
          <w:color w:val="000000"/>
          <w:sz w:val="24"/>
          <w:szCs w:val="24"/>
        </w:rPr>
        <w:t xml:space="preserve">标形式，投标供应商须对商务部分和技术文件部分分别进行制作。其中技术文件部分属于暗标，投标供应商在制作技术文件部分相关内容时不得有体现投标供应商身份的内容，否则投标无效。</w:t>
      </w:r>
      <w:r/>
    </w:p>
    <w:p>
      <w:pPr>
        <w:ind w:firstLine="480"/>
        <w:spacing w:line="360" w:lineRule="auto"/>
        <w:rPr>
          <w:rFonts w:ascii="宋体" w:hAnsi="宋体" w:cs="宋体"/>
          <w:sz w:val="24"/>
          <w:szCs w:val="24"/>
        </w:rPr>
      </w:pPr>
      <w:r>
        <w:rPr>
          <w:rFonts w:hint="eastAsia" w:ascii="宋体" w:hAnsi="宋体" w:cs="宋体"/>
          <w:sz w:val="24"/>
          <w:szCs w:val="24"/>
        </w:rPr>
        <w:t xml:space="preserve">具体评分标准如下：</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（一）评分项目及分值（总分100分）</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1.投标报价                                     20分</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2.投标供应商评价                               20分</w:t>
      </w:r>
      <w:r/>
    </w:p>
    <w:p>
      <w:pPr>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3.技术文件（暗标）                             60分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（二）各项目评分标准</w:t>
      </w:r>
      <w:r/>
    </w:p>
    <w:p>
      <w:pPr>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1.投标报价（20分）</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投标报价得分=（评标基准价／投标报价）×价格权值×100。</w:t>
      </w:r>
      <w:r/>
    </w:p>
    <w:p>
      <w:pPr>
        <w:ind w:firstLine="480"/>
        <w:jc w:val="left"/>
        <w:spacing w:line="360" w:lineRule="auto"/>
        <w:rPr>
          <w:rFonts w:hAnsi="宋体"/>
          <w:b/>
          <w:sz w:val="24"/>
          <w:szCs w:val="24"/>
        </w:rPr>
      </w:pPr>
      <w:r>
        <w:rPr>
          <w:rFonts w:hint="eastAsia" w:hAnsi="宋体"/>
          <w:b/>
          <w:sz w:val="24"/>
          <w:szCs w:val="24"/>
        </w:rPr>
        <w:t xml:space="preserve">1.1价格扣除：非专门面向中小微企业的项目，给予价格扣除。</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spacing w:line="360" w:lineRule="auto"/>
        <w:tabs>
          <w:tab w:val="left" w:pos="1365" w:leader="none"/>
        </w:tabs>
        <w:rPr>
          <w:rFonts w:ascii="宋体" w:hAnsi="宋体" w:cs="宋体"/>
          <w:bCs/>
          <w:color w:val="000000"/>
          <w:sz w:val="24"/>
          <w:szCs w:val="24"/>
        </w:rPr>
      </w:pPr>
      <w:r>
        <w:rPr>
          <w:rFonts w:hint="eastAsia" w:ascii="宋体" w:hAnsi="宋体" w:cs="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tabs>
          <w:tab w:val="left" w:pos="1365" w:leader="none"/>
        </w:tabs>
        <w:rPr>
          <w:rFonts w:ascii="宋体" w:hAnsi="宋体" w:cs="宋体"/>
          <w:bCs/>
          <w:color w:val="000000"/>
          <w:sz w:val="24"/>
          <w:szCs w:val="24"/>
        </w:rPr>
      </w:pPr>
      <w:r>
        <w:rPr>
          <w:rFonts w:hint="eastAsia" w:ascii="宋体" w:hAnsi="宋体" w:cs="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tabs>
          <w:tab w:val="left" w:pos="1365" w:leader="none"/>
        </w:tabs>
        <w:rPr>
          <w:rFonts w:ascii="宋体" w:hAnsi="宋体" w:cs="宋体"/>
          <w:bCs/>
          <w:color w:val="000000"/>
          <w:sz w:val="24"/>
          <w:szCs w:val="24"/>
        </w:rPr>
      </w:pPr>
      <w:r>
        <w:rPr>
          <w:rFonts w:hint="eastAsia" w:ascii="宋体" w:hAnsi="宋体" w:cs="宋体"/>
          <w:bCs/>
          <w:color w:val="000000"/>
          <w:sz w:val="24"/>
          <w:szCs w:val="24"/>
        </w:rPr>
        <w:t xml:space="preserve">（4）残疾人福利单位、监狱企业属于小型、微型企业的，不重复享受政策。</w:t>
      </w:r>
      <w:r/>
    </w:p>
    <w:p>
      <w:pPr>
        <w:ind w:firstLine="480"/>
        <w:spacing w:line="360" w:lineRule="auto"/>
        <w:tabs>
          <w:tab w:val="left" w:pos="1365" w:leader="none"/>
        </w:tabs>
        <w:rPr>
          <w:rFonts w:ascii="宋体" w:hAnsi="宋体" w:cs="宋体"/>
          <w:b/>
          <w:color w:val="000000"/>
          <w:sz w:val="24"/>
          <w:szCs w:val="24"/>
        </w:rPr>
      </w:pPr>
      <w:r>
        <w:rPr>
          <w:rFonts w:hint="eastAsia" w:ascii="宋体" w:hAnsi="宋体" w:cs="宋体"/>
          <w:b/>
          <w:color w:val="000000"/>
          <w:sz w:val="24"/>
          <w:szCs w:val="24"/>
        </w:rPr>
        <w:t xml:space="preserve">1.2评审过程中出现下列情形之一的，评审委员会应当启动异常低价投标（响应）审查程序： </w:t>
      </w:r>
      <w:r/>
    </w:p>
    <w:p>
      <w:pPr>
        <w:ind w:firstLine="480"/>
        <w:spacing w:line="360" w:lineRule="auto"/>
        <w:tabs>
          <w:tab w:val="left" w:pos="1365" w:leader="none"/>
        </w:tabs>
        <w:rPr>
          <w:rFonts w:ascii="宋体" w:hAnsi="宋体" w:cs="宋体"/>
          <w:bCs/>
          <w:color w:val="000000"/>
          <w:sz w:val="24"/>
          <w:szCs w:val="24"/>
        </w:rPr>
      </w:pPr>
      <w:r>
        <w:rPr>
          <w:rFonts w:hint="eastAsia" w:ascii="宋体" w:hAnsi="宋体" w:cs="宋体"/>
          <w:bCs/>
          <w:color w:val="000000"/>
          <w:sz w:val="24"/>
          <w:szCs w:val="24"/>
        </w:rPr>
        <w:t xml:space="preserve">（1）投标（响应）报价低于全部通过符合性审查供应商投标（响应）报价平均值50%的，即投标（响应）报价〈全部通过符合性审查供应商投标（响应）报价平均值×50%； </w:t>
      </w:r>
      <w:r/>
    </w:p>
    <w:p>
      <w:pPr>
        <w:ind w:firstLine="480"/>
        <w:spacing w:line="360" w:lineRule="auto"/>
        <w:tabs>
          <w:tab w:val="left" w:pos="1365" w:leader="none"/>
        </w:tabs>
        <w:rPr>
          <w:rFonts w:ascii="宋体" w:hAnsi="宋体" w:cs="宋体"/>
          <w:bCs/>
          <w:color w:val="000000"/>
          <w:sz w:val="24"/>
          <w:szCs w:val="24"/>
        </w:rPr>
      </w:pPr>
      <w:r>
        <w:rPr>
          <w:rFonts w:hint="eastAsia" w:ascii="宋体" w:hAnsi="宋体" w:cs="宋体"/>
          <w:bCs/>
          <w:color w:val="000000"/>
          <w:sz w:val="24"/>
          <w:szCs w:val="24"/>
        </w:rPr>
        <w:t xml:space="preserve">（2）投标（响应）报价低于通过符合性审查的次低报价供应商投标（响应）报价50%的，即投标（响应）报价〈通过符合性审查的次低报价供应商投标（响应）报价×50%； </w:t>
      </w:r>
      <w:r/>
    </w:p>
    <w:p>
      <w:pPr>
        <w:ind w:firstLine="480"/>
        <w:spacing w:line="360" w:lineRule="auto"/>
        <w:tabs>
          <w:tab w:val="left" w:pos="1365" w:leader="none"/>
        </w:tabs>
        <w:rPr>
          <w:rFonts w:ascii="宋体" w:hAnsi="宋体" w:cs="宋体"/>
          <w:bCs/>
          <w:color w:val="000000"/>
          <w:sz w:val="24"/>
          <w:szCs w:val="24"/>
        </w:rPr>
      </w:pPr>
      <w:r>
        <w:rPr>
          <w:rFonts w:hint="eastAsia" w:ascii="宋体" w:hAnsi="宋体" w:cs="宋体"/>
          <w:bCs/>
          <w:color w:val="000000"/>
          <w:sz w:val="24"/>
          <w:szCs w:val="24"/>
        </w:rPr>
        <w:t xml:space="preserve">（3）投标（响应）报价低于采购项目最高限价45%的，即投标（响应）报价〈采购项目最高限价×45%； </w:t>
      </w:r>
      <w:r/>
    </w:p>
    <w:p>
      <w:pPr>
        <w:ind w:firstLine="480"/>
        <w:spacing w:line="360" w:lineRule="auto"/>
        <w:tabs>
          <w:tab w:val="left" w:pos="1365" w:leader="none"/>
        </w:tabs>
        <w:rPr>
          <w:rFonts w:ascii="宋体" w:hAnsi="宋体" w:cs="宋体"/>
          <w:bCs/>
          <w:color w:val="000000"/>
          <w:sz w:val="24"/>
          <w:szCs w:val="24"/>
        </w:rPr>
      </w:pPr>
      <w:r>
        <w:rPr>
          <w:rFonts w:hint="eastAsia" w:ascii="宋体" w:hAnsi="宋体" w:cs="宋体"/>
          <w:bCs/>
          <w:color w:val="000000"/>
          <w:sz w:val="24"/>
          <w:szCs w:val="24"/>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ascii="宋体" w:hAnsi="宋体" w:cs="宋体"/>
          <w:bCs/>
          <w:color w:val="000000"/>
          <w:sz w:val="24"/>
          <w:szCs w:val="24"/>
        </w:rPr>
      </w:pPr>
      <w:r>
        <w:rPr>
          <w:rFonts w:hint="eastAsia" w:ascii="宋体" w:hAnsi="宋体" w:cs="宋体"/>
          <w:bCs/>
          <w:color w:val="000000"/>
          <w:sz w:val="24"/>
          <w:szCs w:val="24"/>
        </w:rPr>
        <w:t xml:space="preserve">评审委员会启动异常低价投标（响应）审查后，属于前述第1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38"/>
        <w:spacing w:line="360" w:lineRule="auto"/>
        <w:rPr>
          <w:rFonts w:ascii="宋体" w:hAnsi="宋体" w:cs="宋体"/>
          <w:b w:val="0"/>
          <w:color w:val="000000"/>
          <w:sz w:val="24"/>
          <w:szCs w:val="24"/>
        </w:rPr>
      </w:pPr>
      <w:r>
        <w:rPr>
          <w:rFonts w:hint="eastAsia" w:ascii="宋体" w:hAnsi="宋体" w:cs="宋体"/>
          <w:b w:val="0"/>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2"/>
        <w:spacing w:line="360" w:lineRule="auto"/>
        <w:tabs>
          <w:tab w:val="left" w:pos="420" w:leader="none"/>
          <w:tab w:val="left" w:pos="945" w:leader="none"/>
          <w:tab w:val="left" w:pos="1155" w:leader="none"/>
        </w:tabs>
        <w:rPr>
          <w:rFonts w:ascii="宋体" w:hAnsi="宋体" w:cs="宋体"/>
          <w:b/>
          <w:bCs/>
          <w:color w:val="000000"/>
          <w:sz w:val="24"/>
          <w:szCs w:val="24"/>
        </w:rPr>
      </w:pPr>
      <w:r>
        <w:rPr>
          <w:rFonts w:hint="eastAsia" w:ascii="宋体" w:hAnsi="宋体" w:cs="宋体"/>
          <w:b/>
          <w:bCs/>
          <w:color w:val="000000"/>
          <w:sz w:val="24"/>
          <w:szCs w:val="24"/>
        </w:rPr>
        <w:t xml:space="preserve">2.投标供应商评价（20分）</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2.1业绩（4分）：</w:t>
      </w:r>
      <w:r>
        <w:rPr>
          <w:rFonts w:hint="eastAsia" w:ascii="宋体" w:hAnsi="宋体" w:cs="宋体"/>
          <w:color w:val="000000"/>
          <w:sz w:val="24"/>
          <w:szCs w:val="24"/>
        </w:rPr>
        <w:t xml:space="preserve">投标供应商自2023年1</w:t>
      </w:r>
      <w:r>
        <w:rPr>
          <w:rFonts w:hint="eastAsia" w:ascii="宋体" w:hAnsi="宋体" w:cs="宋体"/>
          <w:sz w:val="24"/>
          <w:szCs w:val="24"/>
        </w:rPr>
        <w:t xml:space="preserve">月1日以来承担过同类业绩（至少包括道路保洁、公厕管养、居民生活垃圾收运、化粪池清理内容）的，每有1个业绩得2分，最高得4分。</w:t>
      </w:r>
      <w:r>
        <w:rPr>
          <w:rFonts w:hint="eastAsia" w:ascii="宋体" w:hAnsi="宋体" w:cs="宋体"/>
          <w:b/>
          <w:bCs/>
          <w:sz w:val="24"/>
          <w:szCs w:val="24"/>
        </w:rPr>
        <w:t xml:space="preserve">【业绩时间以合同签订日期为准，合同及中标通知</w:t>
      </w:r>
      <w:r>
        <w:rPr>
          <w:rFonts w:hint="eastAsia" w:ascii="宋体" w:hAnsi="宋体" w:cs="宋体"/>
          <w:b/>
          <w:bCs/>
          <w:color w:val="000000"/>
          <w:sz w:val="24"/>
          <w:szCs w:val="24"/>
        </w:rPr>
        <w:t xml:space="preserve">书扫描件放入投标文件中并加盖公章（或电子公章），不提供或提供不全不得分】</w:t>
      </w:r>
      <w:r/>
    </w:p>
    <w:p>
      <w:pPr>
        <w:ind w:firstLine="482"/>
        <w:spacing w:line="360" w:lineRule="auto"/>
        <w:rPr>
          <w:rFonts w:ascii="宋体" w:hAnsi="宋体" w:cs="宋体"/>
          <w:b/>
          <w:bCs/>
          <w:sz w:val="24"/>
          <w:szCs w:val="24"/>
        </w:rPr>
      </w:pPr>
      <w:r>
        <w:rPr>
          <w:rFonts w:hint="eastAsia" w:ascii="宋体" w:hAnsi="宋体"/>
          <w:b/>
          <w:bCs/>
          <w:sz w:val="24"/>
          <w:szCs w:val="24"/>
          <w:shd w:val="clear" w:color="auto" w:fill="ffffff"/>
        </w:rPr>
        <w:t xml:space="preserve">2.2投标供应商荣誉（4分）：</w:t>
      </w:r>
      <w:r>
        <w:rPr>
          <w:rFonts w:hint="eastAsia" w:ascii="宋体" w:hAnsi="宋体"/>
          <w:sz w:val="24"/>
          <w:szCs w:val="24"/>
          <w:shd w:val="clear" w:color="auto" w:fill="ffffff"/>
        </w:rPr>
        <w:t xml:space="preserve">投标供应商自2023年1月1日以来，获得过县、区级行政主管部门颁发的荣誉的，每有1个得1分；获得过市级（含）及以上行政主管部门颁发的荣誉的，每有1个得2分；本项最高得4分。</w:t>
      </w:r>
      <w:r>
        <w:rPr>
          <w:rFonts w:hint="eastAsia" w:ascii="宋体" w:hAnsi="宋体" w:cs="宋体"/>
          <w:b/>
          <w:bCs/>
          <w:sz w:val="24"/>
          <w:szCs w:val="24"/>
        </w:rPr>
        <w:t xml:space="preserve">【</w:t>
      </w:r>
      <w:r>
        <w:rPr>
          <w:rFonts w:hint="eastAsia" w:ascii="宋体" w:hAnsi="宋体"/>
          <w:b/>
          <w:sz w:val="24"/>
          <w:szCs w:val="24"/>
          <w:shd w:val="clear" w:color="auto" w:fill="ffffff"/>
        </w:rPr>
        <w:t xml:space="preserve">同一荣誉不重复计分，按最高级别荣誉得分计取。时间以获奖证书或相关获奖证明文件落款日期为准，提供获奖证书或相关获奖证明文件（须能清晰体现投标供应商名称）扫描件</w:t>
      </w:r>
      <w:r>
        <w:rPr>
          <w:rFonts w:hint="eastAsia" w:ascii="宋体" w:hAnsi="宋体" w:cs="宋体"/>
          <w:b/>
          <w:bCs/>
          <w:sz w:val="24"/>
          <w:szCs w:val="24"/>
        </w:rPr>
        <w:t xml:space="preserve">放入投标文件中并加盖公章（或电子公章），不提供或提供不全不得分】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2.3</w:t>
      </w:r>
      <w:r>
        <w:rPr>
          <w:rFonts w:hint="eastAsia" w:ascii="宋体" w:hAnsi="宋体"/>
          <w:b/>
          <w:bCs/>
          <w:sz w:val="24"/>
          <w:szCs w:val="24"/>
          <w:shd w:val="clear" w:color="auto" w:fill="ffffff"/>
        </w:rPr>
        <w:t xml:space="preserve">人员配置（4分）：</w:t>
      </w:r>
      <w:r>
        <w:rPr>
          <w:rFonts w:hint="eastAsia" w:ascii="宋体" w:hAnsi="宋体" w:cs="宋体"/>
          <w:sz w:val="24"/>
          <w:szCs w:val="24"/>
        </w:rPr>
        <w:t xml:space="preserve">投标供应商为本项目配备的项目管理人员中具有安全生产培训证书，有一个得2分，最高得4分。</w:t>
      </w:r>
      <w:r>
        <w:rPr>
          <w:rFonts w:hint="eastAsia" w:ascii="宋体" w:hAnsi="宋体" w:cs="宋体"/>
          <w:b/>
          <w:bCs/>
          <w:sz w:val="24"/>
          <w:szCs w:val="24"/>
        </w:rPr>
        <w:t xml:space="preserve">【</w:t>
      </w:r>
      <w:r>
        <w:rPr>
          <w:rFonts w:hint="eastAsia" w:ascii="宋体" w:hAnsi="宋体"/>
          <w:b/>
          <w:bCs/>
          <w:sz w:val="24"/>
          <w:szCs w:val="24"/>
          <w:shd w:val="clear" w:color="auto" w:fill="ffffff"/>
        </w:rPr>
        <w:t xml:space="preserve">提供人员的证书扫描件、社保机构出具的与本企业的近三个月中任意一个月（不含投标当月）的缴费证明扫描件</w:t>
      </w:r>
      <w:r>
        <w:rPr>
          <w:rFonts w:hint="eastAsia" w:ascii="宋体" w:hAnsi="宋体" w:cs="宋体"/>
          <w:b/>
          <w:bCs/>
          <w:sz w:val="24"/>
          <w:szCs w:val="24"/>
        </w:rPr>
        <w:t xml:space="preserve">放入投标文件中并加盖公章（或电子公章），不提供或提供不全不得分】</w:t>
      </w:r>
      <w:r/>
    </w:p>
    <w:p>
      <w:pPr>
        <w:ind w:firstLine="482"/>
        <w:spacing w:line="360" w:lineRule="auto"/>
        <w:rPr>
          <w:rFonts w:ascii="宋体" w:hAnsi="宋体" w:cs="宋体"/>
          <w:b/>
          <w:bCs/>
          <w:color w:val="000000"/>
          <w:sz w:val="24"/>
          <w:szCs w:val="24"/>
        </w:rPr>
      </w:pPr>
      <w:r>
        <w:rPr>
          <w:rFonts w:hint="eastAsia" w:ascii="宋体" w:hAnsi="宋体"/>
          <w:b/>
          <w:bCs/>
          <w:sz w:val="24"/>
          <w:szCs w:val="24"/>
          <w:shd w:val="clear" w:color="auto" w:fill="ffffff"/>
        </w:rPr>
        <w:t xml:space="preserve">2.4</w:t>
      </w:r>
      <w:r>
        <w:rPr>
          <w:rFonts w:hint="eastAsia" w:ascii="宋体" w:hAnsi="宋体"/>
          <w:b/>
          <w:bCs/>
          <w:sz w:val="24"/>
          <w:szCs w:val="24"/>
        </w:rPr>
        <w:t xml:space="preserve">信息化保障（4分）：</w:t>
      </w:r>
      <w:r>
        <w:rPr>
          <w:rFonts w:hint="eastAsia" w:ascii="宋体" w:hAnsi="宋体" w:cs="宋体"/>
          <w:sz w:val="24"/>
          <w:szCs w:val="24"/>
        </w:rPr>
        <w:t xml:space="preserve">投标供应商具备环卫作业信息化管理平台的得4分。</w:t>
      </w:r>
      <w:r>
        <w:rPr>
          <w:rFonts w:hint="eastAsia" w:ascii="宋体" w:hAnsi="宋体" w:cs="宋体"/>
          <w:b/>
          <w:bCs/>
          <w:sz w:val="24"/>
          <w:szCs w:val="24"/>
        </w:rPr>
        <w:t xml:space="preserve">【投标文件中提供环卫作业信息化管理平台主页面、车辆运行管理、实时定位、实时视频、视频回放、车辆在线状况、在线轨迹、轨迹回放等功能截图，每提供一项得0.5分，最多得4分。另须提供信息化管理平台开发（或运维）合同、发票的原件扫描件并加盖公章（或电子公章），</w:t>
      </w:r>
      <w:r>
        <w:rPr>
          <w:rFonts w:hint="eastAsia" w:ascii="宋体" w:hAnsi="宋体" w:cs="宋体"/>
          <w:b/>
          <w:bCs/>
          <w:color w:val="000000"/>
          <w:sz w:val="24"/>
          <w:szCs w:val="24"/>
        </w:rPr>
        <w:t xml:space="preserve">不提供或提供不全不得分】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2.5作业机械设备（4分）：</w:t>
      </w:r>
      <w:r>
        <w:rPr>
          <w:rFonts w:hint="eastAsia" w:ascii="宋体" w:hAnsi="宋体" w:cs="宋体"/>
          <w:sz w:val="24"/>
          <w:szCs w:val="24"/>
        </w:rPr>
        <w:t xml:space="preserve">在满足采购需求中“车辆最低配备要求”的基础上，另行配备新能源机械化作业车辆（洗扫车、洒水车、吸粪车、垃圾收集车），每有一种车型得1分，最高得4分。</w:t>
      </w:r>
      <w:r>
        <w:rPr>
          <w:rFonts w:hint="eastAsia" w:ascii="宋体" w:hAnsi="宋体" w:cs="宋体"/>
          <w:b/>
          <w:bCs/>
          <w:sz w:val="24"/>
          <w:szCs w:val="24"/>
        </w:rPr>
        <w:t xml:space="preserve">【</w:t>
      </w:r>
      <w:r>
        <w:rPr>
          <w:rFonts w:hint="eastAsia" w:ascii="宋体" w:hAnsi="宋体" w:cs="宋体"/>
          <w:b/>
          <w:bCs/>
          <w:sz w:val="24"/>
        </w:rPr>
        <w:t xml:space="preserve">投标时车辆配置以拟投入的机械设备表（格式见附件）为准：</w:t>
      </w:r>
      <w:r>
        <w:rPr>
          <w:rFonts w:hint="eastAsia" w:ascii="宋体" w:hAnsi="宋体" w:cs="宋体"/>
          <w:b/>
          <w:bCs/>
          <w:sz w:val="24"/>
          <w:szCs w:val="24"/>
        </w:rPr>
        <w:t xml:space="preserve">①</w:t>
      </w:r>
      <w:r>
        <w:rPr>
          <w:rFonts w:hint="eastAsia" w:ascii="宋体" w:hAnsi="宋体" w:cs="宋体"/>
          <w:b/>
          <w:bCs/>
          <w:sz w:val="24"/>
        </w:rPr>
        <w:t xml:space="preserve">投标供应商所投入的车辆如为自有：投标时须提供车辆照片（含车牌的车辆实景图片）、购置发票、行驶证，</w:t>
      </w:r>
      <w:r>
        <w:rPr>
          <w:rFonts w:hint="eastAsia" w:ascii="宋体" w:hAnsi="宋体" w:cs="宋体"/>
          <w:b/>
          <w:bCs/>
          <w:sz w:val="24"/>
          <w:szCs w:val="24"/>
        </w:rPr>
        <w:t xml:space="preserve">车辆</w:t>
      </w:r>
      <w:r>
        <w:rPr>
          <w:rFonts w:hint="eastAsia" w:ascii="宋体" w:hAnsi="宋体" w:cs="宋体"/>
          <w:b/>
          <w:bCs/>
          <w:sz w:val="24"/>
        </w:rPr>
        <w:t xml:space="preserve">保单、车辆铭牌；</w:t>
      </w:r>
      <w:r>
        <w:rPr>
          <w:rFonts w:hint="eastAsia" w:ascii="宋体" w:hAnsi="宋体" w:cs="宋体"/>
          <w:b/>
          <w:bCs/>
          <w:sz w:val="24"/>
          <w:szCs w:val="24"/>
        </w:rPr>
        <w:t xml:space="preserve">②</w:t>
      </w:r>
      <w:r>
        <w:rPr>
          <w:rFonts w:hint="eastAsia" w:ascii="宋体" w:hAnsi="宋体" w:cs="宋体"/>
          <w:b/>
          <w:bCs/>
          <w:sz w:val="24"/>
        </w:rPr>
        <w:t xml:space="preserve">投标供应商所投入的车辆如为租赁：投标时须提供车辆照片（含车牌的车辆实景图片）、车辆租赁合同（投标时租赁期需涵盖首年度服务期（2027年10月））、行驶证、</w:t>
      </w:r>
      <w:r>
        <w:rPr>
          <w:rFonts w:hint="eastAsia" w:ascii="宋体" w:hAnsi="宋体" w:cs="宋体"/>
          <w:b/>
          <w:bCs/>
          <w:sz w:val="24"/>
          <w:szCs w:val="24"/>
        </w:rPr>
        <w:t xml:space="preserve">车辆</w:t>
      </w:r>
      <w:r>
        <w:rPr>
          <w:rFonts w:hint="eastAsia" w:ascii="宋体" w:hAnsi="宋体" w:cs="宋体"/>
          <w:b/>
          <w:bCs/>
          <w:sz w:val="24"/>
        </w:rPr>
        <w:t xml:space="preserve">保单、租赁发票、车辆铭牌。同时投标人须承诺每年度确保全部车辆落实到位，车辆租赁周期覆盖当年度服务周期（承诺书格式自拟）。</w:t>
      </w:r>
      <w:r>
        <w:rPr>
          <w:rFonts w:hint="eastAsia" w:ascii="宋体" w:hAnsi="宋体" w:cs="宋体"/>
          <w:b/>
          <w:bCs/>
          <w:sz w:val="24"/>
          <w:szCs w:val="24"/>
        </w:rPr>
        <w:t xml:space="preserve">以上证明材料须提供原件扫描件放入投标文件中并加盖公章（或电子公章），不提供或不符合要求均不得分</w:t>
      </w:r>
      <w:r>
        <w:rPr>
          <w:rFonts w:hint="eastAsia" w:ascii="宋体" w:hAnsi="宋体" w:cs="宋体"/>
          <w:b/>
          <w:bCs/>
          <w:sz w:val="24"/>
        </w:rPr>
        <w:t xml:space="preserve">】</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3.技术文件（暗标）（60分）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技术文件（暗标部分）应突出技术方案的核心内容，做到简明扼要、重点突出、内容详实、条理清晰。总页数一般不超过500页。</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（1）针对本项目的管理机构和管理制度（8分）：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包括但不限于：①项目整体组织架构；②企业内部管理机制。</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A.内容详细完整，针对性强、可操作性强，思路合理的得8分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B.内容较为简单、可行、细节待完善的得5分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C.内容粗略、无针对性、基本满足项目需求的得3分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D.上述内容不满足采购需求或无相关内容的或存在违反现行相关规范的，则本项不得分。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（2）针对本项目的整体服务方案（8分）：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包括但不限于：①机械作业方案；②人工作业方案。</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A.内容详细完整，针对性强、可操作性强，思路合理的得8分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B.内容较为简单、可行、细节待完善的得5分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C.内容粗略、无针对性、基本满足项目需求的得3分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D.上述内容不满足采购需求或无相关内容的或存在违反现行相关规范的，则本项不得分。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（3）针对本项目的当前环卫作业现状分析方案（8分）：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包括但不限于：①各类道路环卫作业现状分析；②公厕管养现状分析；③生活垃圾收运作业现状分析；④化粪池清坑及运输作业现状分析。</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A.内容详细完整，针对性强、可操作性强，思路合理的得8分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B.内容较为简单、可行、细节待完善的得5分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C.内容粗略、无针对性、基本满足项目需求的得3分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D.上述内容不满足采购需求或无相关内容的或存在违反现行相关规范的，则本项不得分。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（4）针对本项目的应急保障措施（8分）：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包括但不限于：①节假日、重大活动保障方案；②灾害性天气等环卫应急保障方案。</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A.内容详细完整，针对性强、可操作性强，思路合理的得8分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B.内容较为简单、可行、细节待完善的得5分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C.内容粗略、无针对性、基本满足项目需求的得3分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D.上述内容不满足采购需求或无相关内容的或存在违反现行相关规范的，则本项不得分。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（5）针对本项目的服务质量保障措施（10分）：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包括但不限于：①服务的设备维护及保证措施；②服务质量管理措施。</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A.内容详细完整，针对性强、可操作性强，思路合理的得10分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B.内容较为简单、可行、细节待完善的得7分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C.内容粗略、无针对性、基本满足项目需求的得4分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D.上述内容不满足采购需求或无相关内容的或存在违反现行相关规范的，则本项不得分。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（6）针对本项目的安全作业管理实施方案及保障措施（10分）：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包括但不限于：①作业人员及作业车辆安全实施方案；②安全作业保障措施。</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A.内容详细完整，针对性强、可操作性强，思路合理的得10分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B.内容较为简单、可行、细节待完善的得7分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C.内容粗略、无针对性、基本满足项目需求的得4分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D.上述内容不满足采购需求或无相关内容的或存在违反现行相关规范的，则本项不得分。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（7）针对本项目的智慧化平台方案（8分）：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包括投标人提供的环卫作业过程中可实时监控车辆状态信息，规划车辆作业内容，将环卫作业过程中涉及的人、车、物、事有机连接，具体的实施方案。</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A.内容详细完整，针对性强、可操作性强，思路合理的得8分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B.内容较为简单、可行、细节待完善的得5分</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C.内容粗略、无针对性、基本满足项目需求的得3分</w:t>
      </w:r>
      <w:r/>
    </w:p>
    <w:p>
      <w:pPr>
        <w:ind w:firstLine="480"/>
        <w:spacing w:line="360" w:lineRule="auto"/>
        <w:rPr>
          <w:rFonts w:ascii="宋体" w:hAnsi="宋体" w:cs="宋体"/>
          <w:sz w:val="24"/>
          <w:szCs w:val="24"/>
          <w:highlight w:val="yellow"/>
        </w:rPr>
      </w:pPr>
      <w:r>
        <w:rPr>
          <w:rFonts w:hint="eastAsia" w:ascii="宋体" w:hAnsi="宋体"/>
          <w:sz w:val="24"/>
          <w:shd w:val="clear" w:color="auto" w:fill="ffffff"/>
        </w:rPr>
        <w:t xml:space="preserve">D.上述内容不满足采购需求或无相关内容的或存在违反现行相关规范的，则本项不得分。</w:t>
      </w:r>
      <w:r/>
    </w:p>
    <w:p>
      <w:pPr>
        <w:ind w:firstLine="482"/>
        <w:jc w:val="left"/>
        <w:spacing w:line="360" w:lineRule="auto"/>
        <w:tabs>
          <w:tab w:val="left" w:pos="1401" w:leader="none"/>
        </w:tabs>
        <w:rPr>
          <w:rFonts w:ascii="宋体" w:hAnsi="宋体" w:cs="宋体"/>
          <w:b/>
          <w:bCs/>
          <w:sz w:val="24"/>
          <w:szCs w:val="24"/>
          <w:shd w:val="clear" w:color="auto" w:fill="ffffff"/>
        </w:rPr>
      </w:pPr>
      <w:r>
        <w:rPr>
          <w:rFonts w:hint="eastAsia" w:ascii="宋体" w:hAnsi="宋体" w:cs="宋体"/>
          <w:b/>
          <w:bCs/>
          <w:color w:val="000000"/>
          <w:sz w:val="24"/>
          <w:szCs w:val="24"/>
          <w:shd w:val="clear" w:color="auto" w:fill="ffffff"/>
        </w:rPr>
        <w:t xml:space="preserve">计算分项得分时取平均值为投标供应商的得分，各分项得分合计即为投标供应商的总得分。投标文件无相应评分内容时，该</w:t>
      </w:r>
      <w:r>
        <w:rPr>
          <w:rFonts w:hint="eastAsia" w:ascii="宋体" w:hAnsi="宋体" w:cs="宋体"/>
          <w:b/>
          <w:bCs/>
          <w:sz w:val="24"/>
          <w:szCs w:val="24"/>
          <w:shd w:val="clear" w:color="auto" w:fill="ffffff"/>
        </w:rPr>
        <w:t xml:space="preserve">项目为零分。每个评分项由评委独立评分。技术标评委打分的平均值为各投标供应商技术标的得分。最终得分最高的为中标候选人，评分办法及评分细则的解释权属于采购人。</w:t>
      </w:r>
      <w:r/>
    </w:p>
    <w:p>
      <w:pPr>
        <w:rPr>
          <w:rFonts w:ascii="宋体" w:hAnsi="宋体" w:cs="宋体"/>
          <w:bCs/>
          <w:color w:val="000000"/>
          <w:sz w:val="28"/>
          <w:szCs w:val="28"/>
        </w:rPr>
      </w:pPr>
      <w:r>
        <w:rPr>
          <w:rFonts w:hint="eastAsia" w:ascii="宋体" w:hAnsi="宋体" w:cs="宋体"/>
          <w:bCs/>
          <w:color w:val="000000"/>
          <w:sz w:val="28"/>
          <w:szCs w:val="28"/>
        </w:rPr>
        <w:br w:type="page" w:clear="all"/>
      </w:r>
      <w:r/>
    </w:p>
    <w:p>
      <w:pPr>
        <w:jc w:val="left"/>
        <w:spacing w:line="360" w:lineRule="auto"/>
        <w:tabs>
          <w:tab w:val="left" w:pos="1401" w:leader="none"/>
        </w:tabs>
        <w:rPr>
          <w:rFonts w:ascii="宋体" w:hAnsi="宋体" w:cs="宋体"/>
          <w:b/>
          <w:color w:val="000000"/>
          <w:sz w:val="28"/>
          <w:szCs w:val="28"/>
        </w:rPr>
        <w:outlineLvl w:val="1"/>
      </w:pPr>
      <w:r>
        <w:rPr>
          <w:rFonts w:hint="eastAsia" w:ascii="宋体" w:hAnsi="宋体" w:cs="宋体"/>
          <w:b/>
          <w:color w:val="000000"/>
          <w:sz w:val="28"/>
          <w:szCs w:val="28"/>
        </w:rPr>
        <w:t xml:space="preserve">附件二：投标文件格式</w:t>
      </w:r>
      <w:r/>
    </w:p>
    <w:p>
      <w:pPr>
        <w:rPr>
          <w:rFonts w:ascii="宋体" w:hAnsi="宋体" w:cs="宋体"/>
          <w:bCs/>
          <w:color w:val="000000"/>
          <w:sz w:val="32"/>
        </w:rPr>
      </w:pPr>
      <w:r>
        <w:rPr>
          <w:rFonts w:ascii="宋体" w:hAnsi="宋体" w:cs="宋体"/>
          <w:bCs/>
          <w:color w:val="000000"/>
          <w:sz w:val="32"/>
        </w:rPr>
      </w:r>
      <w:r/>
    </w:p>
    <w:p>
      <w:pPr>
        <w:pStyle w:val="934"/>
        <w:rPr>
          <w:rFonts w:ascii="宋体" w:hAnsi="宋体" w:eastAsia="宋体" w:cs="宋体"/>
          <w:color w:val="000000"/>
          <w:sz w:val="32"/>
        </w:rPr>
      </w:pPr>
      <w:r>
        <w:rPr>
          <w:rFonts w:ascii="宋体" w:hAnsi="宋体" w:eastAsia="宋体" w:cs="宋体"/>
          <w:color w:val="000000"/>
          <w:sz w:val="32"/>
        </w:rPr>
      </w:r>
      <w:r/>
    </w:p>
    <w:p>
      <w:pPr>
        <w:pStyle w:val="934"/>
        <w:rPr>
          <w:rFonts w:ascii="宋体" w:hAnsi="宋体" w:eastAsia="宋体" w:cs="宋体"/>
          <w:color w:val="000000"/>
          <w:sz w:val="32"/>
        </w:rPr>
      </w:pPr>
      <w:r>
        <w:rPr>
          <w:rFonts w:ascii="宋体" w:hAnsi="宋体" w:eastAsia="宋体" w:cs="宋体"/>
          <w:color w:val="000000"/>
          <w:sz w:val="32"/>
        </w:rPr>
      </w:r>
      <w:r/>
    </w:p>
    <w:p>
      <w:pPr>
        <w:rPr>
          <w:rFonts w:ascii="宋体" w:hAnsi="宋体" w:cs="宋体"/>
          <w:b/>
          <w:color w:val="000000"/>
          <w:sz w:val="32"/>
        </w:rPr>
      </w:pPr>
      <w:r>
        <w:rPr>
          <w:rFonts w:ascii="宋体" w:hAnsi="宋体" w:cs="宋体"/>
          <w:b/>
          <w:color w:val="000000"/>
          <w:sz w:val="32"/>
        </w:rPr>
      </w:r>
      <w:r/>
    </w:p>
    <w:p>
      <w:pPr>
        <w:jc w:val="center"/>
        <w:rPr>
          <w:rFonts w:ascii="宋体" w:hAnsi="宋体" w:cs="宋体"/>
          <w:b/>
          <w:color w:val="000000"/>
          <w:sz w:val="52"/>
          <w:szCs w:val="52"/>
        </w:rPr>
      </w:pPr>
      <w:r>
        <w:rPr>
          <w:rFonts w:hint="eastAsia" w:ascii="宋体" w:hAnsi="宋体" w:cs="宋体"/>
          <w:b/>
          <w:color w:val="000000"/>
          <w:sz w:val="52"/>
          <w:szCs w:val="52"/>
        </w:rPr>
        <w:t xml:space="preserve">投</w:t>
      </w:r>
      <w:r/>
    </w:p>
    <w:p>
      <w:pPr>
        <w:jc w:val="center"/>
        <w:rPr>
          <w:rFonts w:ascii="宋体" w:hAnsi="宋体" w:cs="宋体"/>
          <w:b/>
          <w:color w:val="000000"/>
          <w:sz w:val="72"/>
        </w:rPr>
      </w:pPr>
      <w:r>
        <w:rPr>
          <w:rFonts w:ascii="宋体" w:hAnsi="宋体" w:cs="宋体"/>
          <w:b/>
          <w:color w:val="000000"/>
          <w:sz w:val="72"/>
        </w:rPr>
      </w:r>
      <w:r/>
    </w:p>
    <w:p>
      <w:pPr>
        <w:jc w:val="center"/>
        <w:rPr>
          <w:rFonts w:ascii="宋体" w:hAnsi="宋体" w:cs="宋体"/>
          <w:b/>
          <w:color w:val="000000"/>
          <w:sz w:val="52"/>
          <w:szCs w:val="52"/>
        </w:rPr>
      </w:pPr>
      <w:r>
        <w:rPr>
          <w:rFonts w:hint="eastAsia" w:ascii="宋体" w:hAnsi="宋体" w:cs="宋体"/>
          <w:b/>
          <w:color w:val="000000"/>
          <w:sz w:val="52"/>
          <w:szCs w:val="52"/>
        </w:rPr>
        <w:t xml:space="preserve">标</w:t>
      </w:r>
      <w:r/>
    </w:p>
    <w:p>
      <w:pPr>
        <w:jc w:val="center"/>
        <w:rPr>
          <w:rFonts w:ascii="宋体" w:hAnsi="宋体" w:cs="宋体"/>
          <w:b/>
          <w:color w:val="000000"/>
          <w:sz w:val="72"/>
        </w:rPr>
      </w:pPr>
      <w:r>
        <w:rPr>
          <w:rFonts w:ascii="宋体" w:hAnsi="宋体" w:cs="宋体"/>
          <w:b/>
          <w:color w:val="000000"/>
          <w:sz w:val="72"/>
        </w:rPr>
      </w:r>
      <w:r/>
    </w:p>
    <w:p>
      <w:pPr>
        <w:jc w:val="center"/>
        <w:rPr>
          <w:rFonts w:ascii="宋体" w:hAnsi="宋体" w:cs="宋体"/>
          <w:b/>
          <w:color w:val="000000"/>
          <w:sz w:val="52"/>
          <w:szCs w:val="52"/>
        </w:rPr>
      </w:pPr>
      <w:r>
        <w:rPr>
          <w:rFonts w:hint="eastAsia" w:ascii="宋体" w:hAnsi="宋体" w:cs="宋体"/>
          <w:b/>
          <w:color w:val="000000"/>
          <w:sz w:val="52"/>
          <w:szCs w:val="52"/>
        </w:rPr>
        <w:t xml:space="preserve">文</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hint="eastAsia" w:ascii="宋体" w:hAnsi="宋体" w:cs="宋体"/>
          <w:b/>
          <w:color w:val="000000"/>
          <w:sz w:val="52"/>
          <w:szCs w:val="52"/>
        </w:rPr>
        <w:t xml:space="preserve">件</w:t>
      </w:r>
      <w:r/>
    </w:p>
    <w:p>
      <w:pPr>
        <w:rPr>
          <w:rFonts w:ascii="宋体" w:hAnsi="宋体" w:cs="宋体"/>
          <w:b/>
          <w:color w:val="000000"/>
          <w:sz w:val="72"/>
        </w:rPr>
      </w:pPr>
      <w:r>
        <w:rPr>
          <w:rFonts w:ascii="宋体" w:hAnsi="宋体" w:cs="宋体"/>
          <w:b/>
          <w:color w:val="000000"/>
          <w:sz w:val="72"/>
        </w:rPr>
      </w:r>
      <w:r/>
    </w:p>
    <w:p>
      <w:pPr>
        <w:rPr>
          <w:rFonts w:ascii="宋体" w:hAnsi="宋体" w:cs="宋体"/>
          <w:b/>
          <w:color w:val="000000"/>
          <w:sz w:val="28"/>
        </w:rPr>
      </w:pPr>
      <w:r>
        <w:rPr>
          <w:rFonts w:ascii="宋体" w:hAnsi="宋体" w:cs="宋体"/>
          <w:b/>
          <w:color w:val="000000"/>
          <w:sz w:val="28"/>
        </w:rPr>
      </w:r>
      <w:r/>
    </w:p>
    <w:p>
      <w:pPr>
        <w:ind w:firstLine="560"/>
        <w:spacing w:line="480" w:lineRule="auto"/>
        <w:rPr>
          <w:rFonts w:ascii="宋体" w:hAnsi="宋体" w:cs="宋体"/>
          <w:b/>
          <w:color w:val="000000"/>
          <w:sz w:val="28"/>
          <w:szCs w:val="28"/>
        </w:rPr>
      </w:pPr>
      <w:r>
        <w:rPr>
          <w:rFonts w:hint="eastAsia" w:ascii="宋体" w:hAnsi="宋体" w:cs="宋体"/>
          <w:b/>
          <w:color w:val="000000"/>
          <w:sz w:val="28"/>
          <w:szCs w:val="28"/>
        </w:rPr>
        <w:t xml:space="preserve">采购项目编号：</w:t>
      </w:r>
      <w:r/>
    </w:p>
    <w:p>
      <w:pPr>
        <w:ind w:firstLine="560"/>
        <w:spacing w:line="480" w:lineRule="auto"/>
        <w:rPr>
          <w:rFonts w:ascii="宋体" w:hAnsi="宋体" w:cs="宋体"/>
          <w:b/>
          <w:color w:val="000000"/>
          <w:sz w:val="28"/>
          <w:szCs w:val="28"/>
        </w:rPr>
      </w:pPr>
      <w:r>
        <w:rPr>
          <w:rFonts w:hint="eastAsia" w:ascii="宋体" w:hAnsi="宋体" w:cs="宋体"/>
          <w:b/>
          <w:color w:val="000000"/>
          <w:sz w:val="28"/>
          <w:szCs w:val="28"/>
        </w:rPr>
        <w:t xml:space="preserve">采购项目名称：滨湖区环卫一体化作业服务项目</w:t>
      </w:r>
      <w:r/>
    </w:p>
    <w:p>
      <w:pPr>
        <w:ind w:firstLine="560"/>
        <w:spacing w:line="480" w:lineRule="auto"/>
        <w:rPr>
          <w:rFonts w:ascii="宋体" w:hAnsi="宋体" w:cs="宋体"/>
          <w:b/>
          <w:color w:val="000000"/>
          <w:sz w:val="28"/>
          <w:szCs w:val="28"/>
        </w:rPr>
      </w:pPr>
      <w:r>
        <w:rPr>
          <w:rFonts w:hint="eastAsia" w:ascii="宋体" w:hAnsi="宋体" w:cs="宋体"/>
          <w:b/>
          <w:color w:val="000000"/>
          <w:sz w:val="28"/>
          <w:szCs w:val="28"/>
        </w:rPr>
        <w:t xml:space="preserve">投标供应商：</w:t>
      </w:r>
      <w:r/>
    </w:p>
    <w:p>
      <w:pPr>
        <w:rPr>
          <w:rFonts w:ascii="宋体" w:hAnsi="宋体" w:cs="宋体"/>
          <w:b/>
          <w:color w:val="000000"/>
          <w:sz w:val="32"/>
        </w:rPr>
      </w:pPr>
      <w:r>
        <w:rPr>
          <w:rFonts w:ascii="宋体" w:hAnsi="宋体" w:cs="宋体"/>
          <w:b/>
          <w:color w:val="000000"/>
          <w:sz w:val="32"/>
        </w:rPr>
      </w:r>
      <w:r/>
    </w:p>
    <w:p>
      <w:pPr>
        <w:jc w:val="center"/>
        <w:rPr>
          <w:rFonts w:ascii="宋体" w:hAnsi="宋体" w:cs="宋体"/>
          <w:b/>
          <w:color w:val="000000"/>
          <w:sz w:val="36"/>
          <w:szCs w:val="36"/>
        </w:rPr>
      </w:pPr>
      <w:r>
        <w:rPr>
          <w:rFonts w:hint="eastAsia" w:ascii="宋体" w:hAnsi="宋体" w:cs="宋体"/>
          <w:b/>
          <w:color w:val="000000"/>
          <w:sz w:val="36"/>
          <w:szCs w:val="36"/>
        </w:rPr>
        <w:t xml:space="preserve">二〇二六年月</w:t>
      </w:r>
      <w:r/>
    </w:p>
    <w:p>
      <w:pPr>
        <w:rPr>
          <w:rFonts w:ascii="宋体" w:hAnsi="宋体" w:cs="宋体"/>
          <w:b/>
          <w:color w:val="000000"/>
          <w:sz w:val="24"/>
          <w:szCs w:val="24"/>
        </w:rPr>
      </w:pPr>
      <w:r/>
      <w:bookmarkStart w:id="23" w:name="一．报价函（格式）"/>
      <w:r/>
      <w:bookmarkEnd w:id="23"/>
      <w:r>
        <w:rPr>
          <w:rFonts w:hint="eastAsia" w:ascii="宋体" w:hAnsi="宋体" w:cs="宋体"/>
          <w:b/>
          <w:color w:val="000000"/>
          <w:sz w:val="24"/>
          <w:szCs w:val="24"/>
        </w:rPr>
        <w:br w:type="page" w:clear="all"/>
      </w:r>
      <w:r/>
    </w:p>
    <w:p>
      <w:pPr>
        <w:rPr>
          <w:rFonts w:ascii="宋体" w:hAnsi="宋体" w:cs="宋体"/>
          <w:b/>
          <w:color w:val="000000"/>
          <w:sz w:val="24"/>
          <w:szCs w:val="24"/>
        </w:rPr>
      </w:pPr>
      <w:r>
        <w:rPr>
          <w:rFonts w:hint="eastAsia" w:ascii="宋体" w:hAnsi="宋体" w:cs="宋体"/>
          <w:b/>
          <w:color w:val="000000"/>
          <w:sz w:val="24"/>
          <w:szCs w:val="24"/>
        </w:rPr>
        <w:t xml:space="preserve">（一）投标函（格式）：</w:t>
      </w:r>
      <w:r/>
    </w:p>
    <w:p>
      <w:pPr>
        <w:jc w:val="center"/>
        <w:spacing w:line="360" w:lineRule="auto"/>
        <w:rPr>
          <w:rFonts w:ascii="宋体" w:hAnsi="宋体" w:cs="宋体"/>
          <w:b/>
          <w:color w:val="000000"/>
          <w:sz w:val="24"/>
          <w:szCs w:val="24"/>
        </w:rPr>
      </w:pPr>
      <w:r>
        <w:rPr>
          <w:rFonts w:hint="eastAsia" w:ascii="宋体" w:hAnsi="宋体" w:cs="宋体"/>
          <w:b/>
          <w:color w:val="000000"/>
          <w:sz w:val="28"/>
          <w:szCs w:val="28"/>
        </w:rPr>
        <w:t xml:space="preserve">投标函</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致：无锡市滨湖区城市管理局</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我方收到贵方编号招标文件，经仔细阅读和研究，我方决定参加此项目的投标。</w:t>
      </w:r>
      <w:r/>
    </w:p>
    <w:p>
      <w:pPr>
        <w:ind w:left="-103" w:firstLine="525"/>
        <w:spacing w:line="360" w:lineRule="auto"/>
        <w:tabs>
          <w:tab w:val="left" w:pos="315" w:leader="none"/>
          <w:tab w:val="left" w:pos="840" w:leader="none"/>
          <w:tab w:val="left" w:pos="945" w:leader="none"/>
          <w:tab w:val="left" w:pos="1050" w:leader="none"/>
          <w:tab w:val="left" w:pos="1260" w:leader="none"/>
        </w:tabs>
        <w:rPr>
          <w:rFonts w:ascii="宋体" w:hAnsi="宋体" w:cs="宋体"/>
          <w:bCs/>
          <w:color w:val="000000"/>
          <w:sz w:val="24"/>
          <w:szCs w:val="24"/>
        </w:rPr>
      </w:pPr>
      <w:r>
        <w:rPr>
          <w:rFonts w:hint="eastAsia" w:eastAsia="Times New Roman"/>
          <w:bCs/>
          <w:color w:val="000000"/>
          <w:sz w:val="24"/>
          <w:szCs w:val="24"/>
        </w:rPr>
        <w:t xml:space="preserve">一、</w:t>
      </w:r>
      <w:r>
        <w:rPr>
          <w:rFonts w:hint="eastAsia" w:ascii="宋体" w:hAnsi="宋体" w:cs="宋体"/>
          <w:bCs/>
          <w:color w:val="000000"/>
          <w:sz w:val="24"/>
          <w:szCs w:val="24"/>
        </w:rPr>
        <w:t xml:space="preserve">我方愿意按照招标文件的一切要求，提供本项目的投标，投标总价见《开标一览表》。</w:t>
      </w:r>
      <w:r/>
    </w:p>
    <w:p>
      <w:pPr>
        <w:ind w:left="-103"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86"/>
          <w:bCs/>
          <w:color w:val="000000"/>
        </w:rPr>
      </w:pPr>
      <w:r>
        <w:rPr>
          <w:rFonts w:hint="eastAsia" w:eastAsia="Times New Roman"/>
          <w:bCs/>
          <w:color w:val="000000"/>
          <w:sz w:val="24"/>
          <w:szCs w:val="24"/>
        </w:rPr>
        <w:t xml:space="preserve">二、</w:t>
      </w:r>
      <w:r>
        <w:rPr>
          <w:rFonts w:hint="eastAsia" w:ascii="宋体" w:hAnsi="宋体" w:cs="宋体"/>
          <w:bCs/>
          <w:color w:val="000000"/>
          <w:sz w:val="24"/>
          <w:szCs w:val="24"/>
        </w:rPr>
        <w:t xml:space="preserve">我方愿意提供</w:t>
      </w:r>
      <w:r>
        <w:rPr>
          <w:rFonts w:hint="eastAsia" w:ascii="宋体" w:hAnsi="宋体" w:cs="宋体"/>
          <w:b/>
          <w:color w:val="000000"/>
          <w:sz w:val="24"/>
          <w:szCs w:val="24"/>
        </w:rPr>
        <w:t xml:space="preserve">无锡市滨湖区城市管理局</w:t>
      </w:r>
      <w:r>
        <w:rPr>
          <w:rFonts w:hint="eastAsia" w:ascii="宋体" w:hAnsi="宋体" w:cs="宋体"/>
          <w:bCs/>
          <w:color w:val="000000"/>
          <w:sz w:val="24"/>
          <w:szCs w:val="24"/>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三、我方同意按招标文件中的规定，从规定的开标日期起遵循本投标文件，并在规定的投标有效期期满之前均具有约束力。</w:t>
      </w:r>
      <w:r/>
    </w:p>
    <w:p>
      <w:pPr>
        <w:ind w:firstLine="480"/>
        <w:spacing w:line="360" w:lineRule="auto"/>
        <w:tabs>
          <w:tab w:val="left" w:pos="0" w:leader="none"/>
          <w:tab w:val="left" w:pos="315" w:leader="none"/>
          <w:tab w:val="left" w:pos="525" w:leader="none"/>
          <w:tab w:val="left" w:pos="945" w:leader="none"/>
          <w:tab w:val="left" w:pos="1050" w:leader="none"/>
        </w:tabs>
      </w:pPr>
      <w:r>
        <w:rPr>
          <w:rFonts w:hint="eastAsia" w:ascii="宋体" w:hAnsi="宋体" w:cs="宋体"/>
          <w:bCs/>
          <w:color w:val="000000"/>
          <w:sz w:val="24"/>
          <w:szCs w:val="24"/>
        </w:rPr>
        <w:t xml:space="preserve">四、如果我方的投标文件被接受，我方将履行采购文件中规定的每一项要求，按期、按质、按量，履行合同义务。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五、我方完全同意招标文件规定的决定中标者的方式。</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六、我方愿意遵守《中华人民共和国政府采购法》，并按《中华人民共和国民法典》、财政部《政府采购货物和服务招标投标管理办法》</w:t>
      </w:r>
      <w:r>
        <w:rPr>
          <w:rFonts w:hint="eastAsia" w:ascii="宋体" w:hAnsi="宋体" w:cs="宋体"/>
          <w:color w:val="000000"/>
          <w:sz w:val="24"/>
          <w:szCs w:val="24"/>
        </w:rPr>
        <w:t xml:space="preserve">和</w:t>
      </w:r>
      <w:r>
        <w:rPr>
          <w:rFonts w:hint="eastAsia" w:ascii="宋体" w:hAnsi="宋体" w:cs="宋体"/>
          <w:bCs/>
          <w:color w:val="000000"/>
          <w:sz w:val="24"/>
          <w:szCs w:val="24"/>
        </w:rPr>
        <w:t xml:space="preserve">合同条款履行自己的全部责任。</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七、我方愿意向贵方提供任何与本项报价有关的数据、情况和技术资料。若贵方需要，我方愿意提供我方做出的一切承诺的证明材料。</w:t>
      </w:r>
      <w:r/>
    </w:p>
    <w:p>
      <w:pPr>
        <w:ind w:firstLine="480"/>
        <w:spacing w:line="360" w:lineRule="auto"/>
        <w:rPr>
          <w:rFonts w:ascii="宋体" w:hAnsi="宋体" w:cs="宋体"/>
          <w:color w:val="000000"/>
          <w:szCs w:val="22"/>
        </w:rPr>
      </w:pPr>
      <w:r>
        <w:rPr>
          <w:rFonts w:hint="eastAsia" w:ascii="宋体" w:hAnsi="宋体" w:cs="宋体"/>
          <w:bCs/>
          <w:color w:val="000000"/>
          <w:sz w:val="24"/>
          <w:szCs w:val="24"/>
        </w:rPr>
        <w:t xml:space="preserve">八、我方与其他供应商不存在单位负责人为同一人或者存在直接控股、管理关系。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九、我方已详细审核全部采购文件及其有效补充文件，我们知道必须放弃提出含糊不清或误解问题的权利。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cs="宋体"/>
          <w:bCs/>
          <w:color w:val="000000"/>
          <w:sz w:val="24"/>
          <w:szCs w:val="22"/>
        </w:rPr>
      </w:pPr>
      <w:r>
        <w:rPr>
          <w:rFonts w:hint="eastAsia" w:ascii="宋体" w:hAnsi="宋体" w:cs="宋体"/>
          <w:bCs/>
          <w:color w:val="000000"/>
          <w:sz w:val="24"/>
          <w:szCs w:val="22"/>
        </w:rPr>
        <w:t xml:space="preserve">十、如我方在投标截止期后撤回投标及中标后拒绝遵守投标承诺或拒绝在规定的时间内与</w:t>
      </w:r>
      <w:r>
        <w:rPr>
          <w:rFonts w:hint="eastAsia" w:ascii="宋体" w:hAnsi="宋体" w:cs="宋体"/>
          <w:bCs/>
          <w:color w:val="000000"/>
          <w:sz w:val="24"/>
          <w:szCs w:val="24"/>
        </w:rPr>
        <w:t xml:space="preserve">采购人</w:t>
      </w:r>
      <w:r>
        <w:rPr>
          <w:rFonts w:hint="eastAsia" w:ascii="宋体" w:hAnsi="宋体" w:cs="宋体"/>
          <w:bCs/>
          <w:color w:val="000000"/>
          <w:sz w:val="24"/>
          <w:szCs w:val="22"/>
        </w:rPr>
        <w:t xml:space="preserve">签订合同，则接受政府采购监督管理部门的处理。</w:t>
      </w:r>
      <w:r/>
    </w:p>
    <w:p>
      <w:pPr>
        <w:ind w:firstLine="480"/>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十一、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pStyle w:val="1121"/>
        <w:ind w:left="0"/>
      </w:pPr>
      <w:r/>
      <w:r/>
    </w:p>
    <w:p>
      <w:pPr>
        <w:ind w:firstLine="480"/>
        <w:spacing w:line="360" w:lineRule="auto"/>
        <w:rPr>
          <w:rFonts w:ascii="宋体" w:hAnsi="宋体" w:cs="宋体"/>
          <w:bCs/>
          <w:sz w:val="24"/>
          <w:szCs w:val="24"/>
        </w:rPr>
      </w:pPr>
      <w:r>
        <w:rPr>
          <w:rFonts w:hint="eastAsia" w:ascii="宋体" w:hAnsi="宋体" w:cs="宋体"/>
          <w:bCs/>
          <w:color w:val="000000"/>
          <w:sz w:val="24"/>
          <w:szCs w:val="24"/>
        </w:rPr>
        <w:t xml:space="preserve">十二、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w:t>
      </w:r>
      <w:r>
        <w:rPr>
          <w:rFonts w:hint="eastAsia" w:ascii="宋体" w:hAnsi="宋体" w:cs="宋体"/>
          <w:bCs/>
          <w:sz w:val="24"/>
          <w:szCs w:val="24"/>
        </w:rPr>
        <w:t xml:space="preserve">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sz w:val="24"/>
          <w:szCs w:val="24"/>
        </w:rPr>
      </w:pPr>
      <w:r>
        <w:rPr>
          <w:rFonts w:hint="eastAsia" w:ascii="宋体" w:hAnsi="宋体" w:cs="宋体"/>
          <w:bCs/>
          <w:sz w:val="24"/>
          <w:szCs w:val="24"/>
        </w:rPr>
        <w:t xml:space="preserve">十三、我方承诺不将中标项目转包给他人；如需分包，将严格按照投标文件中所载明的分包方案执行，并在分包前取得采购人同意，否则不进行任何分包。</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十四、我方绝不提供虚假材料谋取中标、绝不采取不正当手段诋毁、排挤其他供应商、绝不与采购人、其他供应商或者采购中心恶意串通、绝不向采购人、采购代理机构工作人员和评委进行商业贿赂、绝不在采购过程</w:t>
      </w:r>
      <w:r>
        <w:rPr>
          <w:rFonts w:hint="eastAsia" w:ascii="宋体" w:hAnsi="宋体" w:cs="宋体"/>
          <w:bCs/>
          <w:color w:val="000000"/>
          <w:sz w:val="24"/>
          <w:szCs w:val="24"/>
        </w:rPr>
        <w:t xml:space="preserve">中与供应商进行协商谈判、绝不拒绝有关部门监督检查或提供虚假情况，如有违反，无条件接受贵方及相关管理部门的处罚。</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十五、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400" w:lineRule="exact"/>
        <w:rPr>
          <w:rFonts w:ascii="宋体" w:hAnsi="宋体" w:cs="宋体"/>
          <w:bCs/>
          <w:color w:val="000000"/>
          <w:sz w:val="24"/>
          <w:szCs w:val="24"/>
        </w:rPr>
      </w:pPr>
      <w:r>
        <w:rPr>
          <w:rFonts w:hint="eastAsia" w:ascii="宋体" w:hAnsi="宋体" w:cs="宋体"/>
          <w:bCs/>
          <w:color w:val="000000"/>
          <w:sz w:val="24"/>
          <w:szCs w:val="24"/>
        </w:rPr>
        <w:t xml:space="preserve">以上条款，如有违反，愿依照国家相关法律处理，并承担由此给采购人带来的损失。</w:t>
      </w:r>
      <w:r/>
    </w:p>
    <w:p>
      <w:pPr>
        <w:ind w:firstLine="480"/>
        <w:spacing w:line="400" w:lineRule="exact"/>
        <w:rPr>
          <w:rFonts w:ascii="宋体" w:hAnsi="宋体" w:cs="宋体"/>
          <w:bCs/>
          <w:color w:val="000000"/>
          <w:sz w:val="24"/>
          <w:szCs w:val="24"/>
        </w:rPr>
      </w:pPr>
      <w:r>
        <w:rPr>
          <w:rFonts w:ascii="宋体" w:hAnsi="宋体" w:cs="宋体"/>
          <w:bCs/>
          <w:color w:val="000000"/>
          <w:sz w:val="24"/>
          <w:szCs w:val="24"/>
        </w:rPr>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投标供应商（盖章）：</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法定代表人或法定代表人授权代表（签字或盖章）：</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电话：                         邮箱：</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通讯地址：                     邮编：</w:t>
      </w:r>
      <w:r/>
    </w:p>
    <w:p>
      <w:pPr>
        <w:rPr>
          <w:rFonts w:ascii="宋体" w:hAnsi="宋体" w:cs="宋体"/>
          <w:b/>
          <w:color w:val="000000"/>
          <w:sz w:val="28"/>
          <w:szCs w:val="28"/>
        </w:rPr>
      </w:pPr>
      <w:r>
        <w:rPr>
          <w:rFonts w:hint="eastAsia" w:ascii="宋体" w:hAnsi="宋体" w:cs="宋体"/>
          <w:bCs/>
          <w:color w:val="000000"/>
          <w:sz w:val="24"/>
          <w:szCs w:val="24"/>
        </w:rPr>
        <w:br w:type="page" w:clear="all"/>
      </w:r>
      <w:r>
        <w:rPr>
          <w:rFonts w:hint="eastAsia" w:ascii="宋体" w:hAnsi="宋体" w:cs="宋体"/>
          <w:b/>
          <w:color w:val="000000"/>
          <w:sz w:val="24"/>
          <w:szCs w:val="24"/>
        </w:rPr>
        <w:t xml:space="preserve">（二）（投标供应商）关于资格的声明函（格式）：</w:t>
      </w:r>
      <w:r/>
    </w:p>
    <w:p>
      <w:pPr>
        <w:spacing w:line="360" w:lineRule="auto"/>
        <w:rPr>
          <w:rFonts w:ascii="宋体" w:hAnsi="宋体" w:cs="宋体"/>
          <w:b/>
          <w:color w:val="000000"/>
          <w:sz w:val="36"/>
        </w:rPr>
      </w:pPr>
      <w:r>
        <w:rPr>
          <w:rFonts w:ascii="宋体" w:hAnsi="宋体" w:cs="宋体"/>
          <w:b/>
          <w:color w:val="000000"/>
          <w:sz w:val="36"/>
        </w:rPr>
      </w:r>
      <w:r/>
    </w:p>
    <w:p>
      <w:pPr>
        <w:jc w:val="center"/>
        <w:rPr>
          <w:rFonts w:ascii="宋体" w:hAnsi="宋体" w:cs="宋体"/>
          <w:b/>
          <w:color w:val="000000"/>
          <w:sz w:val="28"/>
          <w:szCs w:val="28"/>
        </w:rPr>
      </w:pPr>
      <w:r/>
      <w:bookmarkStart w:id="24" w:name="报价方关于资格的声明函（格式）"/>
      <w:r/>
      <w:bookmarkEnd w:id="24"/>
      <w:r>
        <w:rPr>
          <w:rFonts w:hint="eastAsia" w:ascii="宋体" w:hAnsi="宋体" w:cs="宋体"/>
          <w:b/>
          <w:color w:val="000000"/>
          <w:sz w:val="28"/>
          <w:szCs w:val="28"/>
        </w:rPr>
        <w:t xml:space="preserve">关于资格的声明函</w:t>
      </w:r>
      <w:r/>
    </w:p>
    <w:p>
      <w:pPr>
        <w:jc w:val="center"/>
        <w:rPr>
          <w:rFonts w:ascii="宋体" w:hAnsi="宋体" w:cs="宋体"/>
          <w:bCs/>
          <w:color w:val="000000"/>
          <w:sz w:val="32"/>
        </w:rPr>
      </w:pPr>
      <w:r>
        <w:rPr>
          <w:rFonts w:ascii="宋体" w:hAnsi="宋体" w:cs="宋体"/>
          <w:bCs/>
          <w:color w:val="000000"/>
          <w:sz w:val="32"/>
        </w:rPr>
      </w:r>
      <w:r/>
    </w:p>
    <w:p>
      <w:pPr>
        <w:jc w:val="center"/>
        <w:spacing w:line="480" w:lineRule="auto"/>
        <w:rPr>
          <w:rFonts w:ascii="宋体" w:hAnsi="宋体" w:cs="宋体"/>
          <w:bCs/>
          <w:color w:val="000000"/>
          <w:sz w:val="24"/>
          <w:szCs w:val="24"/>
        </w:rPr>
      </w:pPr>
      <w:r>
        <w:rPr>
          <w:rFonts w:hint="eastAsia" w:ascii="宋体" w:hAnsi="宋体" w:cs="宋体"/>
          <w:bCs/>
          <w:color w:val="000000"/>
          <w:sz w:val="24"/>
          <w:szCs w:val="24"/>
        </w:rPr>
        <w:t xml:space="preserve">采购项目编号：</w:t>
      </w:r>
      <w:r/>
    </w:p>
    <w:p>
      <w:pPr>
        <w:jc w:val="center"/>
        <w:spacing w:line="480" w:lineRule="auto"/>
        <w:tabs>
          <w:tab w:val="left" w:pos="6300" w:leader="none"/>
        </w:tabs>
        <w:rPr>
          <w:rFonts w:ascii="宋体" w:hAnsi="宋体" w:cs="宋体"/>
          <w:bCs/>
          <w:color w:val="000000"/>
          <w:sz w:val="24"/>
          <w:szCs w:val="24"/>
        </w:rPr>
      </w:pPr>
      <w:r>
        <w:rPr>
          <w:rFonts w:hint="eastAsia" w:ascii="宋体" w:hAnsi="宋体" w:cs="宋体"/>
          <w:bCs/>
          <w:color w:val="000000"/>
          <w:sz w:val="24"/>
          <w:szCs w:val="24"/>
        </w:rPr>
        <w:t xml:space="preserve">日期：</w:t>
      </w:r>
      <w:r/>
    </w:p>
    <w:p>
      <w:pPr>
        <w:spacing w:line="480" w:lineRule="auto"/>
        <w:rPr>
          <w:rFonts w:ascii="宋体" w:hAnsi="宋体" w:cs="宋体"/>
          <w:bCs/>
          <w:color w:val="000000"/>
          <w:sz w:val="24"/>
          <w:szCs w:val="24"/>
        </w:rPr>
      </w:pPr>
      <w:r>
        <w:rPr>
          <w:rFonts w:hint="eastAsia" w:ascii="宋体" w:hAnsi="宋体" w:cs="宋体"/>
          <w:bCs/>
          <w:color w:val="000000"/>
          <w:sz w:val="24"/>
          <w:szCs w:val="24"/>
        </w:rPr>
        <w:t xml:space="preserve">致：</w:t>
      </w:r>
      <w:r>
        <w:rPr>
          <w:rFonts w:hint="eastAsia" w:ascii="宋体" w:hAnsi="宋体" w:cs="宋体"/>
          <w:bCs/>
          <w:color w:val="000000"/>
          <w:sz w:val="24"/>
          <w:szCs w:val="24"/>
          <w:u w:val="single"/>
        </w:rPr>
        <w:t xml:space="preserve">无锡市滨湖区城市管理局</w:t>
      </w:r>
      <w:r/>
    </w:p>
    <w:p>
      <w:pPr>
        <w:ind w:firstLine="480"/>
        <w:spacing w:line="360" w:lineRule="auto"/>
        <w:rPr>
          <w:rFonts w:ascii="宋体" w:hAnsi="宋体"/>
          <w:bCs/>
          <w:sz w:val="24"/>
          <w:szCs w:val="24"/>
        </w:rPr>
      </w:pPr>
      <w:r>
        <w:rPr>
          <w:rFonts w:ascii="宋体" w:hAnsi="宋体"/>
          <w:bCs/>
          <w:sz w:val="24"/>
          <w:szCs w:val="24"/>
        </w:rPr>
        <w:t xml:space="preserve">我公司</w:t>
      </w:r>
      <w:r>
        <w:rPr>
          <w:rFonts w:hint="eastAsia" w:ascii="宋体" w:hAnsi="宋体"/>
          <w:bCs/>
          <w:sz w:val="24"/>
          <w:szCs w:val="24"/>
        </w:rPr>
        <w:t xml:space="preserve">（</w:t>
      </w:r>
      <w:r>
        <w:rPr>
          <w:rFonts w:ascii="宋体" w:hAnsi="宋体"/>
          <w:bCs/>
          <w:sz w:val="24"/>
          <w:szCs w:val="24"/>
        </w:rPr>
        <w:t xml:space="preserve">单位</w:t>
      </w:r>
      <w:r>
        <w:rPr>
          <w:rFonts w:hint="eastAsia" w:ascii="宋体" w:hAnsi="宋体"/>
          <w:bCs/>
          <w:sz w:val="24"/>
          <w:szCs w:val="24"/>
        </w:rPr>
        <w:t xml:space="preserve">）</w:t>
      </w:r>
      <w:r>
        <w:rPr>
          <w:rFonts w:ascii="宋体" w:hAnsi="宋体"/>
          <w:bCs/>
          <w:sz w:val="24"/>
          <w:szCs w:val="24"/>
        </w:rPr>
        <w:t xml:space="preserve">愿针对本次进行投标。</w:t>
      </w:r>
      <w:r/>
    </w:p>
    <w:p>
      <w:pPr>
        <w:ind w:firstLine="480"/>
        <w:spacing w:line="360" w:lineRule="auto"/>
        <w:rPr>
          <w:rFonts w:ascii="宋体" w:hAnsi="宋体"/>
          <w:sz w:val="24"/>
          <w:szCs w:val="24"/>
        </w:rPr>
      </w:pPr>
      <w:r>
        <w:rPr>
          <w:rFonts w:ascii="宋体" w:hAnsi="宋体"/>
          <w:sz w:val="24"/>
          <w:szCs w:val="24"/>
        </w:rPr>
        <w:t xml:space="preserve">我公司</w:t>
      </w:r>
      <w:r>
        <w:rPr>
          <w:rFonts w:hint="eastAsia" w:ascii="宋体" w:hAnsi="宋体"/>
          <w:sz w:val="24"/>
          <w:szCs w:val="24"/>
        </w:rPr>
        <w:t xml:space="preserve">（</w:t>
      </w:r>
      <w:r>
        <w:rPr>
          <w:rFonts w:ascii="宋体" w:hAnsi="宋体"/>
          <w:bCs/>
          <w:sz w:val="24"/>
          <w:szCs w:val="24"/>
        </w:rPr>
        <w:t xml:space="preserve">单位</w:t>
      </w:r>
      <w:r>
        <w:rPr>
          <w:rFonts w:hint="eastAsia" w:ascii="宋体" w:hAnsi="宋体"/>
          <w:bCs/>
          <w:sz w:val="24"/>
          <w:szCs w:val="24"/>
        </w:rPr>
        <w:t xml:space="preserve">）</w:t>
      </w:r>
      <w:r>
        <w:rPr>
          <w:rFonts w:ascii="宋体" w:hAnsi="宋体"/>
          <w:sz w:val="24"/>
          <w:szCs w:val="24"/>
        </w:rPr>
        <w:t xml:space="preserve">符合《中华人民共和国政府采购法》第二十二条的规定，在此郑重承诺具备以下条件：</w:t>
      </w:r>
      <w:r/>
    </w:p>
    <w:p>
      <w:pPr>
        <w:ind w:firstLine="480"/>
        <w:spacing w:line="360" w:lineRule="auto"/>
        <w:rPr>
          <w:rFonts w:ascii="宋体" w:hAnsi="宋体"/>
          <w:sz w:val="24"/>
          <w:szCs w:val="24"/>
        </w:rPr>
      </w:pPr>
      <w:r>
        <w:rPr>
          <w:rFonts w:ascii="宋体" w:hAnsi="宋体"/>
          <w:sz w:val="24"/>
          <w:szCs w:val="24"/>
        </w:rPr>
        <w:t xml:space="preserve">(一)具有独立承担民事责任的能力；</w:t>
      </w:r>
      <w:r/>
    </w:p>
    <w:p>
      <w:pPr>
        <w:ind w:firstLine="480"/>
        <w:spacing w:line="360" w:lineRule="auto"/>
        <w:rPr>
          <w:rFonts w:ascii="宋体" w:hAnsi="宋体"/>
          <w:sz w:val="24"/>
          <w:szCs w:val="24"/>
        </w:rPr>
      </w:pPr>
      <w:r>
        <w:rPr>
          <w:rFonts w:ascii="宋体" w:hAnsi="宋体"/>
          <w:sz w:val="24"/>
          <w:szCs w:val="24"/>
        </w:rPr>
        <w:t xml:space="preserve">(二)具有良好的商业信誉和健全的财务会计制度；</w:t>
      </w:r>
      <w:r/>
    </w:p>
    <w:p>
      <w:pPr>
        <w:ind w:firstLine="480"/>
        <w:spacing w:line="360" w:lineRule="auto"/>
        <w:rPr>
          <w:rFonts w:ascii="宋体" w:hAnsi="宋体"/>
          <w:sz w:val="24"/>
          <w:szCs w:val="24"/>
        </w:rPr>
      </w:pPr>
      <w:r>
        <w:rPr>
          <w:rFonts w:ascii="宋体" w:hAnsi="宋体"/>
          <w:sz w:val="24"/>
          <w:szCs w:val="24"/>
        </w:rPr>
        <w:t xml:space="preserve">(三)具有履行合同所必需的设备和专业技术能力；</w:t>
      </w:r>
      <w:r/>
    </w:p>
    <w:p>
      <w:pPr>
        <w:ind w:firstLine="480"/>
        <w:spacing w:line="360" w:lineRule="auto"/>
        <w:rPr>
          <w:rFonts w:ascii="宋体" w:hAnsi="宋体"/>
          <w:sz w:val="24"/>
          <w:szCs w:val="24"/>
        </w:rPr>
      </w:pPr>
      <w:r>
        <w:rPr>
          <w:rFonts w:ascii="宋体" w:hAnsi="宋体"/>
          <w:sz w:val="24"/>
          <w:szCs w:val="24"/>
        </w:rPr>
        <w:t xml:space="preserve">(四)有依法缴纳税收和社会保障资金的良好记录；</w:t>
      </w:r>
      <w:r/>
    </w:p>
    <w:p>
      <w:pPr>
        <w:ind w:firstLine="480"/>
        <w:spacing w:line="360" w:lineRule="auto"/>
        <w:rPr>
          <w:rFonts w:ascii="宋体" w:hAnsi="宋体"/>
          <w:sz w:val="24"/>
          <w:szCs w:val="24"/>
        </w:rPr>
      </w:pPr>
      <w:r>
        <w:rPr>
          <w:rFonts w:ascii="宋体" w:hAnsi="宋体"/>
          <w:sz w:val="24"/>
          <w:szCs w:val="24"/>
        </w:rPr>
        <w:t xml:space="preserve">(五)近三年内，在经营活动中没有重大违法记录；</w:t>
      </w:r>
      <w:r/>
    </w:p>
    <w:p>
      <w:pPr>
        <w:ind w:firstLine="480"/>
        <w:spacing w:line="360" w:lineRule="auto"/>
        <w:rPr>
          <w:rFonts w:ascii="宋体" w:hAnsi="宋体"/>
          <w:bCs/>
          <w:sz w:val="24"/>
          <w:szCs w:val="24"/>
        </w:rPr>
      </w:pPr>
      <w:r>
        <w:rPr>
          <w:rFonts w:ascii="宋体" w:hAnsi="宋体"/>
          <w:bCs/>
          <w:sz w:val="24"/>
          <w:szCs w:val="24"/>
        </w:rPr>
        <w:t xml:space="preserve">(六)投标文件中所有关于投标资格的文件、证明、陈述均是真实的、准确的。</w:t>
      </w:r>
      <w:r/>
    </w:p>
    <w:p>
      <w:pPr>
        <w:ind w:firstLine="480"/>
        <w:spacing w:line="360" w:lineRule="auto"/>
        <w:rPr>
          <w:rFonts w:ascii="宋体" w:hAnsi="宋体"/>
          <w:bCs/>
          <w:sz w:val="24"/>
          <w:szCs w:val="24"/>
        </w:rPr>
      </w:pPr>
      <w:r>
        <w:rPr>
          <w:rFonts w:ascii="宋体" w:hAnsi="宋体"/>
          <w:bCs/>
          <w:sz w:val="24"/>
          <w:szCs w:val="24"/>
        </w:rPr>
        <w:t xml:space="preserve">若有违背，我公司</w:t>
      </w:r>
      <w:r>
        <w:rPr>
          <w:rFonts w:hint="eastAsia" w:ascii="宋体" w:hAnsi="宋体"/>
          <w:bCs/>
          <w:sz w:val="24"/>
          <w:szCs w:val="24"/>
        </w:rPr>
        <w:t xml:space="preserve">（</w:t>
      </w:r>
      <w:r>
        <w:rPr>
          <w:rFonts w:ascii="宋体" w:hAnsi="宋体"/>
          <w:bCs/>
          <w:sz w:val="24"/>
          <w:szCs w:val="24"/>
        </w:rPr>
        <w:t xml:space="preserve">单位</w:t>
      </w:r>
      <w:r>
        <w:rPr>
          <w:rFonts w:hint="eastAsia" w:ascii="宋体" w:hAnsi="宋体"/>
          <w:bCs/>
          <w:sz w:val="24"/>
          <w:szCs w:val="24"/>
        </w:rPr>
        <w:t xml:space="preserve">）</w:t>
      </w:r>
      <w:r>
        <w:rPr>
          <w:rFonts w:ascii="宋体" w:hAnsi="宋体"/>
          <w:bCs/>
          <w:sz w:val="24"/>
          <w:szCs w:val="24"/>
        </w:rPr>
        <w:t xml:space="preserve">愿意承担由此而产生的一切后果。</w:t>
      </w:r>
      <w:r/>
    </w:p>
    <w:p>
      <w:pPr>
        <w:spacing w:line="480" w:lineRule="auto"/>
        <w:rPr>
          <w:rFonts w:ascii="宋体" w:hAnsi="宋体" w:cs="宋体"/>
          <w:bCs/>
          <w:color w:val="000000"/>
          <w:sz w:val="24"/>
          <w:szCs w:val="24"/>
        </w:rPr>
      </w:pPr>
      <w:r>
        <w:rPr>
          <w:rFonts w:ascii="宋体" w:hAnsi="宋体" w:cs="宋体"/>
          <w:bCs/>
          <w:color w:val="000000"/>
          <w:sz w:val="24"/>
          <w:szCs w:val="24"/>
        </w:rPr>
      </w:r>
      <w:r/>
    </w:p>
    <w:p>
      <w:pPr>
        <w:spacing w:line="480" w:lineRule="auto"/>
        <w:rPr>
          <w:rFonts w:ascii="宋体" w:hAnsi="宋体" w:cs="宋体"/>
          <w:bCs/>
          <w:color w:val="000000"/>
          <w:sz w:val="24"/>
          <w:szCs w:val="24"/>
        </w:rPr>
      </w:pPr>
      <w:r>
        <w:rPr>
          <w:rFonts w:hint="eastAsia" w:ascii="宋体" w:hAnsi="宋体" w:cs="宋体"/>
          <w:bCs/>
          <w:color w:val="000000"/>
          <w:sz w:val="24"/>
          <w:szCs w:val="24"/>
        </w:rPr>
        <w:t xml:space="preserve">投标供应商（盖章）：</w:t>
      </w:r>
      <w:r/>
    </w:p>
    <w:p>
      <w:pPr>
        <w:spacing w:line="480" w:lineRule="auto"/>
        <w:rPr>
          <w:rFonts w:ascii="宋体" w:hAnsi="宋体" w:cs="宋体"/>
          <w:bCs/>
          <w:color w:val="000000"/>
          <w:sz w:val="24"/>
          <w:szCs w:val="24"/>
        </w:rPr>
      </w:pPr>
      <w:r>
        <w:rPr>
          <w:rFonts w:hint="eastAsia" w:ascii="宋体" w:hAnsi="宋体" w:cs="宋体"/>
          <w:bCs/>
          <w:color w:val="000000"/>
          <w:sz w:val="24"/>
          <w:szCs w:val="24"/>
        </w:rPr>
        <w:t xml:space="preserve">法定代表人或法定代表人授权代表（签字或盖章）：</w:t>
      </w:r>
      <w:r/>
    </w:p>
    <w:p>
      <w:pPr>
        <w:spacing w:line="480" w:lineRule="auto"/>
        <w:rPr>
          <w:rFonts w:ascii="宋体" w:hAnsi="宋体" w:cs="宋体"/>
          <w:bCs/>
          <w:color w:val="000000"/>
          <w:sz w:val="24"/>
          <w:szCs w:val="24"/>
        </w:rPr>
      </w:pPr>
      <w:r>
        <w:rPr>
          <w:rFonts w:ascii="宋体" w:hAnsi="宋体" w:cs="宋体"/>
          <w:bCs/>
          <w:color w:val="000000"/>
          <w:sz w:val="24"/>
          <w:szCs w:val="24"/>
        </w:rPr>
      </w:r>
      <w:r/>
    </w:p>
    <w:p>
      <w:pPr>
        <w:ind w:firstLine="480"/>
        <w:rPr>
          <w:rFonts w:ascii="宋体" w:hAnsi="宋体" w:cs="宋体"/>
          <w:bCs/>
          <w:color w:val="000000"/>
          <w:sz w:val="24"/>
          <w:szCs w:val="24"/>
        </w:rPr>
      </w:pPr>
      <w:r>
        <w:rPr>
          <w:rFonts w:ascii="宋体" w:hAnsi="宋体" w:cs="宋体"/>
          <w:bCs/>
          <w:color w:val="000000"/>
          <w:sz w:val="24"/>
          <w:szCs w:val="24"/>
        </w:rPr>
      </w:r>
      <w:r/>
    </w:p>
    <w:p>
      <w:pPr>
        <w:ind w:firstLine="480"/>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ind w:firstLine="480"/>
        <w:rPr>
          <w:rFonts w:ascii="宋体" w:hAnsi="宋体" w:cs="宋体"/>
          <w:bCs/>
          <w:color w:val="000000"/>
          <w:sz w:val="24"/>
          <w:szCs w:val="24"/>
        </w:rPr>
      </w:pPr>
      <w:r>
        <w:rPr>
          <w:rFonts w:ascii="宋体" w:hAnsi="宋体" w:cs="宋体"/>
          <w:bCs/>
          <w:color w:val="000000"/>
          <w:sz w:val="24"/>
          <w:szCs w:val="24"/>
        </w:rPr>
      </w:r>
      <w:r/>
    </w:p>
    <w:p>
      <w:pPr>
        <w:ind w:firstLine="420"/>
        <w:spacing w:line="360" w:lineRule="auto"/>
        <w:rPr>
          <w:rFonts w:ascii="宋体" w:hAnsi="宋体" w:cs="宋体"/>
          <w:bCs/>
          <w:color w:val="000000"/>
          <w:sz w:val="24"/>
          <w:szCs w:val="24"/>
        </w:rPr>
      </w:pPr>
      <w:r>
        <w:rPr>
          <w:rFonts w:hint="eastAsia" w:ascii="宋体" w:hAnsi="宋体" w:cs="宋体"/>
          <w:color w:val="000000"/>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cs="宋体"/>
          <w:color w:val="000000"/>
          <w:sz w:val="24"/>
          <w:szCs w:val="24"/>
        </w:rPr>
        <w:t xml:space="preserve">]</w:t>
      </w:r>
      <w:r/>
    </w:p>
    <w:p>
      <w:pPr>
        <w:ind w:firstLine="480"/>
        <w:rPr>
          <w:rFonts w:ascii="宋体" w:hAnsi="宋体" w:cs="宋体"/>
          <w:bCs/>
          <w:color w:val="000000"/>
          <w:sz w:val="24"/>
          <w:szCs w:val="24"/>
        </w:rPr>
      </w:pPr>
      <w:r>
        <w:rPr>
          <w:rFonts w:ascii="宋体" w:hAnsi="宋体" w:cs="宋体"/>
          <w:bCs/>
          <w:color w:val="000000"/>
          <w:sz w:val="24"/>
          <w:szCs w:val="24"/>
        </w:rPr>
      </w:r>
      <w:r/>
    </w:p>
    <w:p>
      <w:pPr>
        <w:rPr>
          <w:rFonts w:ascii="宋体" w:hAnsi="宋体" w:cs="宋体"/>
          <w:b/>
          <w:color w:val="000000"/>
          <w:sz w:val="28"/>
          <w:szCs w:val="28"/>
        </w:rPr>
      </w:pPr>
      <w:r>
        <w:rPr>
          <w:rFonts w:hint="eastAsia" w:ascii="宋体" w:hAnsi="宋体" w:cs="宋体"/>
          <w:bCs/>
          <w:color w:val="000000"/>
          <w:sz w:val="24"/>
          <w:szCs w:val="24"/>
        </w:rPr>
        <w:br w:type="page" w:clear="all"/>
      </w:r>
      <w:r>
        <w:rPr>
          <w:rFonts w:hint="eastAsia" w:ascii="宋体" w:hAnsi="宋体" w:cs="宋体"/>
          <w:b/>
          <w:color w:val="000000"/>
          <w:sz w:val="24"/>
          <w:szCs w:val="24"/>
        </w:rPr>
        <w:t xml:space="preserve">（三）（投标供应商）法定代表人授权委托书（格式）：</w:t>
      </w:r>
      <w:r/>
    </w:p>
    <w:p>
      <w:pPr>
        <w:rPr>
          <w:rFonts w:ascii="宋体" w:hAnsi="宋体" w:cs="宋体"/>
          <w:b/>
          <w:color w:val="000000"/>
          <w:sz w:val="28"/>
          <w:szCs w:val="28"/>
        </w:rPr>
      </w:pPr>
      <w:r>
        <w:rPr>
          <w:rFonts w:ascii="宋体" w:hAnsi="宋体" w:cs="宋体"/>
          <w:b/>
          <w:color w:val="000000"/>
          <w:sz w:val="28"/>
          <w:szCs w:val="28"/>
        </w:rPr>
      </w:r>
      <w:r/>
    </w:p>
    <w:p>
      <w:pPr>
        <w:jc w:val="center"/>
        <w:spacing w:line="360" w:lineRule="auto"/>
        <w:rPr>
          <w:rFonts w:ascii="宋体" w:hAnsi="宋体" w:cs="宋体"/>
          <w:b/>
          <w:color w:val="000000"/>
          <w:sz w:val="36"/>
        </w:rPr>
      </w:pPr>
      <w:r>
        <w:rPr>
          <w:rFonts w:hint="eastAsia" w:ascii="宋体" w:hAnsi="宋体" w:cs="宋体"/>
          <w:b/>
          <w:color w:val="000000"/>
          <w:sz w:val="28"/>
          <w:szCs w:val="28"/>
        </w:rPr>
        <w:t xml:space="preserve">法定代表人授权委托书</w:t>
      </w:r>
      <w:r/>
    </w:p>
    <w:p>
      <w:pPr>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采购项目编号：</w:t>
      </w:r>
      <w:r/>
    </w:p>
    <w:p>
      <w:pPr>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日期：</w:t>
      </w:r>
      <w:r/>
    </w:p>
    <w:p>
      <w:pPr>
        <w:spacing w:line="600" w:lineRule="exact"/>
        <w:rPr>
          <w:rFonts w:ascii="宋体" w:hAnsi="宋体" w:cs="宋体"/>
          <w:bCs/>
          <w:color w:val="000000"/>
          <w:sz w:val="24"/>
          <w:szCs w:val="24"/>
        </w:rPr>
      </w:pPr>
      <w:r>
        <w:rPr>
          <w:rFonts w:hint="eastAsia" w:ascii="宋体" w:hAnsi="宋体" w:cs="宋体"/>
          <w:bCs/>
          <w:color w:val="000000"/>
          <w:sz w:val="24"/>
          <w:szCs w:val="24"/>
        </w:rPr>
        <w:t xml:space="preserve">致：</w:t>
      </w:r>
      <w:r>
        <w:rPr>
          <w:rFonts w:hint="eastAsia" w:ascii="宋体" w:hAnsi="宋体" w:cs="宋体"/>
          <w:bCs/>
          <w:color w:val="000000"/>
          <w:sz w:val="24"/>
          <w:szCs w:val="24"/>
          <w:u w:val="single"/>
        </w:rPr>
        <w:t xml:space="preserve">无锡市滨湖区城市管理局</w:t>
      </w:r>
      <w:r/>
    </w:p>
    <w:p>
      <w:pPr>
        <w:ind w:firstLine="480"/>
        <w:spacing w:line="600" w:lineRule="exact"/>
        <w:rPr>
          <w:rFonts w:ascii="宋体" w:hAnsi="宋体" w:cs="宋体"/>
          <w:bCs/>
          <w:color w:val="000000"/>
          <w:sz w:val="24"/>
          <w:szCs w:val="24"/>
        </w:rPr>
      </w:pPr>
      <w:r>
        <w:rPr>
          <w:rFonts w:hint="eastAsia" w:ascii="宋体" w:hAnsi="宋体" w:cs="宋体"/>
          <w:bCs/>
          <w:color w:val="000000"/>
          <w:sz w:val="24"/>
          <w:szCs w:val="24"/>
        </w:rPr>
        <w:t xml:space="preserve">系中华人民共和国合法公司（单位），特授权代表我公司（单位）全权办理针对本项目的投标、参与开标、签约等具体工作，并签署全部有关的文件、协议及合同。</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我公司（单位）对被授权代表的签名负全部责任。</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被授权代表情况：</w:t>
      </w:r>
      <w:r/>
    </w:p>
    <w:p>
      <w:pPr>
        <w:ind w:firstLine="525"/>
        <w:spacing w:line="580" w:lineRule="exact"/>
        <w:rPr>
          <w:rFonts w:ascii="宋体" w:hAnsi="宋体" w:cs="宋体"/>
          <w:bCs/>
          <w:color w:val="000000"/>
          <w:sz w:val="24"/>
          <w:szCs w:val="24"/>
        </w:rPr>
      </w:pPr>
      <w:r>
        <w:rPr>
          <w:rFonts w:hint="eastAsia" w:ascii="宋体" w:hAnsi="宋体" w:cs="宋体"/>
          <w:bCs/>
          <w:color w:val="000000"/>
          <w:sz w:val="24"/>
          <w:szCs w:val="24"/>
        </w:rPr>
        <w:t xml:space="preserve">姓名：         性别：               电话：</w:t>
      </w:r>
      <w:r/>
    </w:p>
    <w:p>
      <w:pPr>
        <w:ind w:firstLine="3240"/>
        <w:spacing w:line="580" w:lineRule="exact"/>
        <w:rPr>
          <w:rFonts w:ascii="宋体" w:hAnsi="宋体" w:cs="宋体"/>
          <w:bCs/>
          <w:color w:val="000000"/>
          <w:sz w:val="24"/>
          <w:szCs w:val="24"/>
        </w:rPr>
      </w:pPr>
      <w:r>
        <w:rPr>
          <w:rFonts w:ascii="宋体" w:hAnsi="宋体" w:cs="宋体"/>
          <w:bCs/>
          <w:color w:val="000000"/>
          <w:sz w:val="24"/>
          <w:szCs w:val="24"/>
        </w:rPr>
      </w:r>
      <w:r/>
    </w:p>
    <w:p>
      <w:pPr>
        <w:ind w:firstLine="3240"/>
        <w:spacing w:line="580" w:lineRule="exact"/>
        <w:rPr>
          <w:rFonts w:ascii="宋体" w:hAnsi="宋体" w:cs="宋体"/>
          <w:bCs/>
          <w:color w:val="000000"/>
          <w:sz w:val="24"/>
          <w:szCs w:val="24"/>
        </w:rPr>
      </w:pPr>
      <w:r>
        <w:rPr>
          <w:rFonts w:ascii="宋体" w:hAnsi="宋体" w:cs="宋体"/>
          <w:bCs/>
          <w:color w:val="000000"/>
          <w:sz w:val="24"/>
          <w:szCs w:val="24"/>
        </w:rPr>
      </w:r>
      <w:r/>
    </w:p>
    <w:p>
      <w:pPr>
        <w:ind w:firstLine="4180"/>
        <w:spacing w:line="580" w:lineRule="exact"/>
        <w:rPr>
          <w:rFonts w:ascii="宋体" w:hAnsi="宋体" w:cs="宋体"/>
          <w:bCs/>
          <w:color w:val="000000"/>
          <w:sz w:val="24"/>
          <w:szCs w:val="24"/>
        </w:rPr>
      </w:pPr>
      <w:r>
        <w:rPr>
          <w:rFonts w:hint="eastAsia" w:ascii="宋体" w:hAnsi="宋体" w:cs="宋体"/>
          <w:bCs/>
          <w:color w:val="000000"/>
          <w:sz w:val="24"/>
          <w:szCs w:val="24"/>
        </w:rPr>
        <w:t xml:space="preserve">单位名称（盖章）：</w:t>
      </w:r>
      <w:r/>
    </w:p>
    <w:p>
      <w:pPr>
        <w:ind w:firstLine="4080"/>
        <w:spacing w:line="580" w:lineRule="exact"/>
        <w:rPr>
          <w:rFonts w:ascii="宋体" w:hAnsi="宋体" w:cs="宋体"/>
          <w:bCs/>
          <w:color w:val="000000"/>
          <w:sz w:val="24"/>
          <w:szCs w:val="24"/>
        </w:rPr>
      </w:pPr>
      <w:r>
        <w:rPr>
          <w:rFonts w:hint="eastAsia" w:ascii="宋体" w:hAnsi="宋体" w:cs="宋体"/>
          <w:bCs/>
          <w:color w:val="000000"/>
          <w:sz w:val="24"/>
          <w:szCs w:val="24"/>
        </w:rPr>
        <w:t xml:space="preserve">法定代表人（签字或盖章）：</w:t>
      </w:r>
      <w:r/>
    </w:p>
    <w:p>
      <w:pPr>
        <w:rPr>
          <w:rFonts w:ascii="宋体" w:hAnsi="宋体" w:cs="宋体"/>
          <w:bCs/>
          <w:color w:val="000000"/>
          <w:sz w:val="24"/>
          <w:szCs w:val="24"/>
        </w:rPr>
      </w:pPr>
      <w:r>
        <w:rPr>
          <w:rFonts w:hint="eastAsia" w:ascii="宋体" w:hAnsi="宋体" w:cs="宋体"/>
          <w:bCs/>
          <w:color w:val="000000"/>
          <w:sz w:val="24"/>
          <w:szCs w:val="24"/>
        </w:rPr>
        <w:br w:type="page" w:clear="all"/>
      </w:r>
      <w:r/>
    </w:p>
    <w:p>
      <w:pPr>
        <w:ind w:firstLine="480"/>
        <w:spacing w:line="360" w:lineRule="auto"/>
        <w:rPr>
          <w:sz w:val="24"/>
          <w:szCs w:val="24"/>
        </w:rPr>
      </w:pPr>
      <w:r>
        <w:rPr>
          <w:sz w:val="24"/>
          <w:szCs w:val="24"/>
        </w:rPr>
      </w:r>
      <w:r/>
    </w:p>
    <w:p>
      <w:r>
        <w:rPr>
          <w:rFonts w:hint="eastAsia" w:ascii="宋体" w:hAnsi="宋体" w:cs="宋体"/>
          <w:bCs/>
          <w:color w:val="000000"/>
          <w:sz w:val="24"/>
          <w:szCs w:val="24"/>
        </w:rPr>
        <w:t xml:space="preserve">供应商法定代表人身份证扫描件：</w:t>
      </w:r>
      <w:r/>
    </w:p>
    <w:tbl>
      <w:tblPr>
        <w:tblStyle w:val="783"/>
        <w:tblW w:w="8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614"/>
        <w:gridCol w:w="4306"/>
      </w:tblGrid>
      <w:tr>
        <w:trPr>
          <w:jc w:val="center"/>
          <w:trHeight w:val="2260"/>
        </w:trPr>
        <w:tc>
          <w:tcPr>
            <w:tcW w:w="3998" w:type="dxa"/>
            <w:vAlign w:val="top"/>
            <w:textDirection w:val="lrTb"/>
            <w:noWrap/>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W w:w="614" w:type="dxa"/>
            <w:vAlign w:val="top"/>
            <w:textDirection w:val="lrTb"/>
            <w:noWrap/>
          </w:tcPr>
          <w:p>
            <w:pPr>
              <w:jc w:val="left"/>
              <w:widowControl/>
              <w:rPr>
                <w:rFonts w:ascii="宋体" w:hAnsi="宋体"/>
                <w:sz w:val="24"/>
              </w:rPr>
            </w:pPr>
            <w:r>
              <w:rPr>
                <w:rFonts w:ascii="宋体" w:hAnsi="宋体"/>
                <w:sz w:val="24"/>
              </w:rPr>
            </w:r>
            <w:r/>
          </w:p>
        </w:tc>
        <w:tc>
          <w:tcPr>
            <w:tcW w:w="4306" w:type="dxa"/>
            <w:vAlign w:val="top"/>
            <w:textDirection w:val="lrTb"/>
            <w:noWrap/>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jc w:val="left"/>
        <w:rPr>
          <w:rFonts w:ascii="宋体" w:hAnsi="宋体" w:cs="宋体"/>
          <w:bCs/>
          <w:color w:val="000000"/>
          <w:sz w:val="24"/>
          <w:szCs w:val="24"/>
        </w:rPr>
      </w:pPr>
      <w:r>
        <w:rPr>
          <w:rFonts w:ascii="宋体" w:hAnsi="宋体" w:cs="宋体"/>
          <w:bCs/>
          <w:color w:val="000000"/>
          <w:sz w:val="24"/>
          <w:szCs w:val="24"/>
        </w:rPr>
      </w:r>
      <w:r/>
    </w:p>
    <w:p>
      <w:pPr>
        <w:jc w:val="left"/>
        <w:rPr>
          <w:rFonts w:ascii="宋体" w:hAnsi="宋体" w:cs="宋体"/>
          <w:bCs/>
          <w:color w:val="000000"/>
          <w:sz w:val="24"/>
          <w:szCs w:val="24"/>
        </w:rPr>
      </w:pPr>
      <w:r>
        <w:rPr>
          <w:rFonts w:ascii="宋体" w:hAnsi="宋体" w:cs="宋体"/>
          <w:bCs/>
          <w:color w:val="000000"/>
          <w:sz w:val="24"/>
          <w:szCs w:val="24"/>
        </w:rPr>
      </w:r>
      <w:r/>
    </w:p>
    <w:p>
      <w:pPr>
        <w:jc w:val="left"/>
        <w:rPr>
          <w:rFonts w:ascii="宋体" w:hAnsi="宋体" w:cs="宋体"/>
          <w:bCs/>
          <w:color w:val="000000"/>
          <w:sz w:val="24"/>
          <w:szCs w:val="24"/>
        </w:rPr>
      </w:pPr>
      <w:r>
        <w:rPr>
          <w:rFonts w:ascii="宋体" w:hAnsi="宋体" w:cs="宋体"/>
          <w:bCs/>
          <w:color w:val="000000"/>
          <w:sz w:val="24"/>
          <w:szCs w:val="24"/>
        </w:rPr>
      </w:r>
      <w:r/>
    </w:p>
    <w:p>
      <w:pPr>
        <w:jc w:val="left"/>
        <w:rPr>
          <w:rFonts w:ascii="宋体" w:hAnsi="宋体" w:cs="宋体"/>
          <w:bCs/>
          <w:color w:val="000000"/>
          <w:sz w:val="24"/>
          <w:szCs w:val="24"/>
        </w:rPr>
      </w:pPr>
      <w:r>
        <w:rPr>
          <w:rFonts w:ascii="宋体" w:hAnsi="宋体" w:cs="宋体"/>
          <w:bCs/>
          <w:color w:val="000000"/>
          <w:sz w:val="24"/>
          <w:szCs w:val="24"/>
        </w:rPr>
      </w:r>
      <w:r/>
    </w:p>
    <w:p>
      <w:pPr>
        <w:jc w:val="left"/>
        <w:rPr>
          <w:rFonts w:ascii="宋体" w:hAnsi="宋体" w:cs="宋体"/>
          <w:bCs/>
          <w:color w:val="000000"/>
          <w:sz w:val="24"/>
          <w:szCs w:val="24"/>
        </w:rPr>
      </w:pPr>
      <w:r>
        <w:rPr>
          <w:rFonts w:ascii="宋体" w:hAnsi="宋体" w:cs="宋体"/>
          <w:bCs/>
          <w:color w:val="000000"/>
          <w:sz w:val="24"/>
          <w:szCs w:val="24"/>
        </w:rPr>
      </w:r>
      <w:r/>
    </w:p>
    <w:p>
      <w:pPr>
        <w:jc w:val="left"/>
        <w:rPr>
          <w:rFonts w:ascii="宋体" w:hAnsi="宋体" w:cs="宋体"/>
          <w:bCs/>
          <w:color w:val="000000"/>
          <w:sz w:val="24"/>
          <w:szCs w:val="24"/>
        </w:rPr>
      </w:pPr>
      <w:r>
        <w:rPr>
          <w:rFonts w:ascii="宋体" w:hAnsi="宋体" w:cs="宋体"/>
          <w:bCs/>
          <w:color w:val="000000"/>
          <w:sz w:val="24"/>
          <w:szCs w:val="24"/>
        </w:rPr>
      </w:r>
      <w:r/>
    </w:p>
    <w:p>
      <w:pPr>
        <w:jc w:val="left"/>
        <w:rPr>
          <w:rFonts w:ascii="宋体" w:hAnsi="宋体"/>
          <w:bCs/>
          <w:sz w:val="24"/>
          <w:szCs w:val="24"/>
        </w:rPr>
      </w:pPr>
      <w:r>
        <w:rPr>
          <w:rFonts w:hint="eastAsia" w:ascii="宋体" w:hAnsi="宋体" w:cs="宋体"/>
          <w:bCs/>
          <w:color w:val="000000"/>
          <w:sz w:val="24"/>
          <w:szCs w:val="24"/>
        </w:rPr>
        <w:t xml:space="preserve">法定代表人授权代表身份证扫描件：</w:t>
      </w:r>
      <w:r>
        <w:rPr>
          <w:rFonts w:hint="eastAsia" w:ascii="宋体" w:hAnsi="宋体" w:cs="宋体"/>
          <w:bCs/>
          <w:i/>
          <w:iCs/>
          <w:color w:val="000000"/>
          <w:sz w:val="22"/>
          <w:szCs w:val="22"/>
        </w:rPr>
        <w:t xml:space="preserve">（法定代表人亲自参与投标的除外）</w:t>
      </w:r>
      <w:r/>
    </w:p>
    <w:tbl>
      <w:tblPr>
        <w:tblStyle w:val="783"/>
        <w:tblW w:w="8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614"/>
        <w:gridCol w:w="4306"/>
      </w:tblGrid>
      <w:tr>
        <w:trPr>
          <w:jc w:val="center"/>
          <w:trHeight w:val="2422"/>
        </w:trPr>
        <w:tc>
          <w:tcPr>
            <w:tcW w:w="3998" w:type="dxa"/>
            <w:vAlign w:val="top"/>
            <w:textDirection w:val="lrTb"/>
            <w:noWrap/>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被授权代表身份证复印件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W w:w="614" w:type="dxa"/>
            <w:vAlign w:val="top"/>
            <w:textDirection w:val="lrTb"/>
            <w:noWrap/>
          </w:tcPr>
          <w:p>
            <w:pPr>
              <w:jc w:val="left"/>
              <w:widowControl/>
              <w:rPr>
                <w:rFonts w:ascii="宋体" w:hAnsi="宋体"/>
                <w:sz w:val="24"/>
              </w:rPr>
            </w:pPr>
            <w:r>
              <w:rPr>
                <w:rFonts w:ascii="宋体" w:hAnsi="宋体"/>
                <w:sz w:val="24"/>
              </w:rPr>
            </w:r>
            <w:r/>
          </w:p>
        </w:tc>
        <w:tc>
          <w:tcPr>
            <w:tcW w:w="4306" w:type="dxa"/>
            <w:vAlign w:val="top"/>
            <w:textDirection w:val="lrTb"/>
            <w:noWrap/>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被授权代表身份证复印件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jc w:val="left"/>
        <w:rPr>
          <w:rFonts w:ascii="宋体" w:hAnsi="宋体" w:cs="宋体"/>
          <w:b/>
          <w:color w:val="000000"/>
          <w:sz w:val="24"/>
          <w:szCs w:val="24"/>
        </w:rPr>
      </w:pPr>
      <w:r>
        <w:rPr>
          <w:rFonts w:hint="eastAsia" w:ascii="宋体" w:hAnsi="宋体" w:cs="宋体"/>
          <w:bCs/>
          <w:color w:val="000000"/>
          <w:sz w:val="24"/>
          <w:szCs w:val="24"/>
        </w:rPr>
        <w:br w:type="page" w:clear="all"/>
      </w:r>
      <w:r>
        <w:rPr>
          <w:rFonts w:hint="eastAsia" w:ascii="宋体" w:hAnsi="宋体" w:cs="宋体"/>
          <w:b/>
          <w:color w:val="000000"/>
          <w:sz w:val="24"/>
          <w:szCs w:val="24"/>
        </w:rPr>
        <w:t xml:space="preserve">（四）开标一览表（格式）：</w:t>
      </w:r>
      <w:r/>
    </w:p>
    <w:p>
      <w:pPr>
        <w:jc w:val="center"/>
        <w:spacing w:line="360" w:lineRule="auto"/>
        <w:rPr>
          <w:rFonts w:ascii="宋体" w:hAnsi="宋体" w:cs="宋体"/>
          <w:b/>
          <w:color w:val="000000"/>
          <w:sz w:val="28"/>
          <w:szCs w:val="28"/>
        </w:rPr>
      </w:pPr>
      <w:r>
        <w:rPr>
          <w:rFonts w:hint="eastAsia" w:ascii="宋体" w:hAnsi="宋体" w:cs="宋体"/>
          <w:b/>
          <w:color w:val="000000"/>
          <w:sz w:val="28"/>
          <w:szCs w:val="28"/>
        </w:rPr>
        <w:t xml:space="preserve">开标一览表</w:t>
      </w:r>
      <w:r/>
    </w:p>
    <w:p>
      <w:pPr>
        <w:spacing w:line="360" w:lineRule="auto"/>
        <w:rPr>
          <w:rFonts w:eastAsia="黑体"/>
          <w:bCs/>
          <w:sz w:val="24"/>
          <w:szCs w:val="24"/>
        </w:rPr>
      </w:pPr>
      <w:r>
        <w:rPr>
          <w:rFonts w:hint="eastAsia" w:ascii="宋体" w:hAnsi="宋体" w:cs="宋体"/>
          <w:bCs/>
          <w:sz w:val="24"/>
          <w:szCs w:val="24"/>
        </w:rPr>
        <w:t xml:space="preserve">投标供应商名称(盖章)                       采购项目编号：</w:t>
      </w:r>
      <w:r/>
    </w:p>
    <w:tbl>
      <w:tblPr>
        <w:tblStyle w:val="783"/>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97"/>
        <w:gridCol w:w="6283"/>
      </w:tblGrid>
      <w:tr>
        <w:trPr>
          <w:jc w:val="center"/>
          <w:trHeight w:val="783"/>
        </w:trPr>
        <w:tc>
          <w:tcPr>
            <w:tcW w:w="2897"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项目名称</w:t>
            </w:r>
            <w:r/>
          </w:p>
        </w:tc>
        <w:tc>
          <w:tcPr>
            <w:tcW w:w="6283" w:type="dxa"/>
            <w:vAlign w:val="center"/>
            <w:textDirection w:val="lrTb"/>
            <w:noWrap/>
          </w:tcPr>
          <w:p>
            <w:pPr>
              <w:spacing w:line="360" w:lineRule="auto"/>
              <w:rPr>
                <w:rFonts w:ascii="宋体" w:hAnsi="宋体" w:cs="宋体"/>
                <w:sz w:val="24"/>
                <w:u w:val="single"/>
              </w:rPr>
            </w:pPr>
            <w:r>
              <w:rPr>
                <w:rFonts w:hint="eastAsia" w:ascii="宋体" w:hAnsi="宋体" w:cs="宋体"/>
                <w:sz w:val="24"/>
              </w:rPr>
              <w:t xml:space="preserve">滨湖区环卫一体化作业服务项目</w:t>
            </w:r>
            <w:r/>
          </w:p>
        </w:tc>
      </w:tr>
      <w:tr>
        <w:trPr>
          <w:jc w:val="center"/>
          <w:trHeight w:val="1282"/>
        </w:trPr>
        <w:tc>
          <w:tcPr>
            <w:tcW w:w="2897"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项目报价/一年</w:t>
            </w:r>
            <w:r/>
          </w:p>
        </w:tc>
        <w:tc>
          <w:tcPr>
            <w:tcW w:w="6283" w:type="dxa"/>
            <w:vAlign w:val="center"/>
            <w:textDirection w:val="lrTb"/>
            <w:noWrap/>
          </w:tcPr>
          <w:p>
            <w:pPr>
              <w:spacing w:line="360" w:lineRule="auto"/>
              <w:rPr>
                <w:rFonts w:ascii="宋体" w:hAnsi="宋体" w:cs="宋体"/>
                <w:sz w:val="24"/>
              </w:rPr>
            </w:pPr>
            <w:r>
              <w:rPr>
                <w:rFonts w:hint="eastAsia" w:ascii="宋体" w:hAnsi="宋体" w:cs="宋体"/>
                <w:sz w:val="24"/>
              </w:rPr>
              <w:t xml:space="preserve">人民币(大写)：</w:t>
            </w:r>
            <w:r/>
          </w:p>
          <w:p>
            <w:pPr>
              <w:ind w:firstLine="24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人民币(小写)：</w:t>
            </w:r>
            <w:r>
              <w:rPr>
                <w:rFonts w:hint="eastAsia" w:ascii="宋体" w:hAnsi="宋体" w:cs="宋体"/>
                <w:b/>
                <w:bCs/>
                <w:sz w:val="24"/>
              </w:rPr>
              <w:t xml:space="preserve">万元</w:t>
            </w:r>
            <w:r/>
          </w:p>
        </w:tc>
      </w:tr>
      <w:tr>
        <w:trPr>
          <w:jc w:val="center"/>
          <w:trHeight w:val="1282"/>
        </w:trPr>
        <w:tc>
          <w:tcPr>
            <w:tcW w:w="2897" w:type="dxa"/>
            <w:vAlign w:val="center"/>
            <w:textDirection w:val="lrTb"/>
            <w:noWrap/>
          </w:tcPr>
          <w:p>
            <w:pPr>
              <w:jc w:val="center"/>
              <w:spacing w:line="360" w:lineRule="auto"/>
              <w:rPr>
                <w:b/>
                <w:bCs/>
                <w:sz w:val="24"/>
              </w:rPr>
            </w:pPr>
            <w:r>
              <w:rPr>
                <w:rFonts w:hint="eastAsia" w:ascii="宋体" w:hAnsi="宋体" w:cs="宋体"/>
                <w:sz w:val="24"/>
              </w:rPr>
              <w:t xml:space="preserve">项目总报价/三年</w:t>
            </w:r>
            <w:r/>
          </w:p>
        </w:tc>
        <w:tc>
          <w:tcPr>
            <w:tcW w:w="6283" w:type="dxa"/>
            <w:vAlign w:val="center"/>
            <w:textDirection w:val="lrTb"/>
            <w:noWrap/>
          </w:tcPr>
          <w:p>
            <w:pPr>
              <w:spacing w:line="360" w:lineRule="auto"/>
              <w:rPr>
                <w:rFonts w:ascii="宋体" w:hAnsi="宋体" w:cs="宋体"/>
                <w:sz w:val="24"/>
              </w:rPr>
            </w:pPr>
            <w:r>
              <w:rPr>
                <w:rFonts w:hint="eastAsia" w:ascii="宋体" w:hAnsi="宋体" w:cs="宋体"/>
                <w:sz w:val="24"/>
              </w:rPr>
              <w:t xml:space="preserve">人民币(大写)：</w:t>
            </w:r>
            <w:r/>
          </w:p>
          <w:p>
            <w:pPr>
              <w:ind w:firstLine="240"/>
              <w:spacing w:line="360" w:lineRule="auto"/>
              <w:rPr>
                <w:rFonts w:ascii="宋体" w:hAnsi="宋体" w:cs="宋体"/>
                <w:sz w:val="24"/>
              </w:rPr>
            </w:pPr>
            <w:r>
              <w:rPr>
                <w:rFonts w:ascii="宋体" w:hAnsi="宋体" w:cs="宋体"/>
                <w:sz w:val="24"/>
              </w:rPr>
            </w:r>
            <w:r/>
          </w:p>
          <w:p>
            <w:pPr>
              <w:spacing w:line="360" w:lineRule="auto"/>
              <w:rPr>
                <w:sz w:val="24"/>
              </w:rPr>
            </w:pPr>
            <w:r>
              <w:rPr>
                <w:rFonts w:hint="eastAsia" w:ascii="宋体" w:hAnsi="宋体" w:cs="宋体"/>
                <w:sz w:val="24"/>
              </w:rPr>
              <w:t xml:space="preserve">人民币(小写)：</w:t>
            </w:r>
            <w:r>
              <w:rPr>
                <w:rFonts w:hint="eastAsia" w:ascii="宋体" w:hAnsi="宋体" w:cs="宋体"/>
                <w:b/>
                <w:bCs/>
                <w:sz w:val="24"/>
              </w:rPr>
              <w:t xml:space="preserve">万元</w:t>
            </w:r>
            <w:r/>
          </w:p>
        </w:tc>
      </w:tr>
      <w:tr>
        <w:trPr>
          <w:jc w:val="center"/>
          <w:trHeight w:val="1063"/>
        </w:trPr>
        <w:tc>
          <w:tcPr>
            <w:tcW w:w="2897"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合同履行期限</w:t>
            </w:r>
            <w:r/>
          </w:p>
        </w:tc>
        <w:tc>
          <w:tcPr>
            <w:tcW w:w="6283" w:type="dxa"/>
            <w:vAlign w:val="center"/>
            <w:textDirection w:val="lrTb"/>
            <w:noWrap/>
          </w:tcPr>
          <w:p>
            <w:pPr>
              <w:spacing w:line="360" w:lineRule="auto"/>
              <w:rPr>
                <w:rFonts w:ascii="宋体" w:hAnsi="宋体" w:cs="宋体"/>
                <w:sz w:val="24"/>
              </w:rPr>
            </w:pPr>
            <w:r>
              <w:rPr>
                <w:rFonts w:hint="eastAsia" w:ascii="宋体" w:hAnsi="宋体" w:cs="宋体"/>
                <w:sz w:val="24"/>
              </w:rPr>
              <w:t xml:space="preserve">三年（以合同约定时间为准，本次总报价按三年计算）</w:t>
            </w:r>
            <w:r>
              <w:rPr>
                <w:rFonts w:hint="eastAsia" w:ascii="宋体" w:hAnsi="宋体"/>
                <w:bCs/>
                <w:sz w:val="24"/>
              </w:rPr>
              <w:t xml:space="preserve">。</w:t>
            </w:r>
            <w:r/>
          </w:p>
        </w:tc>
      </w:tr>
      <w:tr>
        <w:trPr>
          <w:jc w:val="center"/>
          <w:trHeight w:val="966"/>
        </w:trPr>
        <w:tc>
          <w:tcPr>
            <w:tcW w:w="2897"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总项目负责人</w:t>
            </w:r>
            <w:r/>
          </w:p>
        </w:tc>
        <w:tc>
          <w:tcPr>
            <w:tcW w:w="6283" w:type="dxa"/>
            <w:vAlign w:val="center"/>
            <w:textDirection w:val="lrTb"/>
            <w:noWrap/>
          </w:tcPr>
          <w:p>
            <w:pPr>
              <w:ind w:firstLine="240"/>
              <w:spacing w:line="360" w:lineRule="auto"/>
              <w:rPr>
                <w:rFonts w:ascii="宋体" w:hAnsi="宋体" w:cs="宋体"/>
                <w:sz w:val="24"/>
              </w:rPr>
            </w:pPr>
            <w:r>
              <w:rPr>
                <w:rFonts w:ascii="宋体" w:hAnsi="宋体" w:cs="宋体"/>
                <w:sz w:val="24"/>
              </w:rPr>
            </w:r>
            <w:r/>
          </w:p>
        </w:tc>
      </w:tr>
      <w:tr>
        <w:trPr>
          <w:jc w:val="center"/>
          <w:trHeight w:val="767"/>
        </w:trPr>
        <w:tc>
          <w:tcPr>
            <w:tcW w:w="2897" w:type="dxa"/>
            <w:vAlign w:val="center"/>
            <w:textDirection w:val="lrTb"/>
            <w:noWrap/>
          </w:tcPr>
          <w:p>
            <w:pPr>
              <w:jc w:val="center"/>
              <w:spacing w:line="360" w:lineRule="auto"/>
              <w:rPr>
                <w:sz w:val="24"/>
              </w:rPr>
            </w:pPr>
            <w:r>
              <w:rPr>
                <w:rFonts w:hint="eastAsia"/>
                <w:sz w:val="24"/>
              </w:rPr>
              <w:t xml:space="preserve">是否属于小、微型企业/监狱企业/残疾人福利性单位</w:t>
            </w:r>
            <w:r/>
          </w:p>
        </w:tc>
        <w:tc>
          <w:tcPr>
            <w:tcW w:w="6283" w:type="dxa"/>
            <w:vAlign w:val="center"/>
            <w:textDirection w:val="lrTb"/>
            <w:noWrap/>
          </w:tcPr>
          <w:p>
            <w:pPr>
              <w:ind w:firstLine="240"/>
              <w:spacing w:line="360" w:lineRule="auto"/>
              <w:rPr>
                <w:sz w:val="24"/>
              </w:rPr>
            </w:pPr>
            <w:r>
              <w:rPr>
                <w:sz w:val="24"/>
              </w:rPr>
            </w:r>
            <w:r/>
          </w:p>
        </w:tc>
      </w:tr>
    </w:tbl>
    <w:p>
      <w:pPr>
        <w:ind w:left="-216" w:firstLine="221"/>
        <w:spacing w:line="360" w:lineRule="auto"/>
        <w:rPr>
          <w:rFonts w:ascii="宋体"/>
          <w:bCs/>
          <w:szCs w:val="21"/>
        </w:rPr>
      </w:pPr>
      <w:r>
        <w:rPr>
          <w:rFonts w:hint="eastAsia" w:ascii="宋体"/>
          <w:b/>
          <w:szCs w:val="21"/>
        </w:rPr>
        <w:t xml:space="preserve">注：</w:t>
      </w:r>
      <w:r>
        <w:rPr>
          <w:rFonts w:hint="eastAsia" w:ascii="宋体"/>
          <w:bCs/>
          <w:szCs w:val="21"/>
        </w:rPr>
        <w:t xml:space="preserve">1.在“是否属于小、微型企业（或监狱企业、残疾人福利性单位）”栏内填写“是”或“否”。如填写“是”，必须提供投标供应商《中小企业声明函》（服务）；或提供由省级以上监狱管理局、戒毒管理局(含新疆生产建设兵团)出具的投标供应商属于监狱企业的证明文件；或提供投标供应商《残疾人福利性单位声明函》。如未按要求填写和提供有效证明或相关内容表述不清的，不得享受价格扣除。投标供应商对所报相关数据的真实性负责，招标代理公司有权将相关内容进行公示。</w:t>
      </w:r>
      <w:r/>
    </w:p>
    <w:p>
      <w:pPr>
        <w:ind w:left="-216" w:firstLine="221"/>
        <w:spacing w:line="360" w:lineRule="auto"/>
        <w:rPr>
          <w:rFonts w:ascii="宋体"/>
          <w:bCs/>
          <w:szCs w:val="21"/>
        </w:rPr>
      </w:pPr>
      <w:r>
        <w:rPr>
          <w:rFonts w:hint="eastAsia" w:ascii="宋体"/>
          <w:bCs/>
          <w:szCs w:val="21"/>
        </w:rPr>
        <w:t xml:space="preserve">2.开标一览表的价格评审时以招标文件给定的格式为准。</w:t>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法定代表人或授权代表（签字或盖章）：__________</w:t>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日期：________年____月____日</w:t>
      </w:r>
      <w:r/>
    </w:p>
    <w:p>
      <w:pPr>
        <w:rPr>
          <w:rFonts w:ascii="宋体" w:hAnsi="宋体" w:cs="宋体"/>
          <w:b/>
          <w:sz w:val="24"/>
          <w:szCs w:val="24"/>
        </w:rPr>
      </w:pPr>
      <w:r>
        <w:rPr>
          <w:rFonts w:hint="eastAsia" w:ascii="宋体" w:hAnsi="宋体" w:cs="宋体"/>
          <w:b/>
          <w:sz w:val="24"/>
          <w:szCs w:val="24"/>
        </w:rPr>
        <w:br w:type="page" w:clear="all"/>
      </w:r>
      <w:r/>
    </w:p>
    <w:p>
      <w:pPr>
        <w:rPr>
          <w:rFonts w:ascii="宋体" w:hAnsi="宋体" w:cs="宋体"/>
          <w:b/>
          <w:color w:val="000000"/>
          <w:sz w:val="24"/>
          <w:szCs w:val="24"/>
        </w:rPr>
      </w:pPr>
      <w:r>
        <w:rPr>
          <w:rFonts w:hint="eastAsia" w:ascii="宋体" w:hAnsi="宋体" w:cs="宋体"/>
          <w:b/>
          <w:color w:val="000000"/>
          <w:sz w:val="24"/>
          <w:szCs w:val="24"/>
        </w:rPr>
        <w:t xml:space="preserve">（五）报价明细表（格式）：</w:t>
      </w:r>
      <w:r/>
    </w:p>
    <w:p>
      <w:pPr>
        <w:jc w:val="center"/>
        <w:spacing w:line="400" w:lineRule="exact"/>
        <w:rPr>
          <w:rFonts w:ascii="宋体" w:hAnsi="宋体" w:cs="宋体"/>
          <w:b/>
          <w:color w:val="000000"/>
          <w:sz w:val="28"/>
          <w:szCs w:val="28"/>
        </w:rPr>
      </w:pPr>
      <w:r>
        <w:rPr>
          <w:rFonts w:hint="eastAsia" w:ascii="宋体" w:hAnsi="宋体" w:cs="宋体"/>
          <w:b/>
          <w:color w:val="000000"/>
          <w:sz w:val="28"/>
          <w:szCs w:val="28"/>
        </w:rPr>
        <w:t xml:space="preserve">（1）投标报价组成明细表</w:t>
      </w:r>
      <w:r/>
    </w:p>
    <w:p>
      <w:pPr>
        <w:ind w:firstLine="840"/>
        <w:spacing w:line="400" w:lineRule="exact"/>
        <w:rPr>
          <w:rFonts w:ascii="宋体" w:hAnsi="宋体" w:cs="宋体"/>
          <w:b/>
          <w:color w:val="000000"/>
          <w:sz w:val="28"/>
          <w:szCs w:val="28"/>
        </w:rPr>
      </w:pPr>
      <w:r>
        <w:rPr>
          <w:rFonts w:ascii="宋体" w:hAnsi="宋体" w:cs="宋体"/>
          <w:b/>
          <w:color w:val="000000"/>
          <w:sz w:val="28"/>
          <w:szCs w:val="28"/>
        </w:rPr>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投标供应商名称（盖章）                 </w:t>
      </w:r>
      <w:r>
        <w:rPr>
          <w:rFonts w:hint="eastAsia" w:ascii="宋体" w:hAnsi="宋体"/>
          <w:bCs/>
          <w:sz w:val="24"/>
        </w:rPr>
        <w:t xml:space="preserve">采购项目编号：</w:t>
      </w:r>
      <w:r/>
    </w:p>
    <w:tbl>
      <w:tblPr>
        <w:tblStyle w:val="783"/>
        <w:tblW w:w="1033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305"/>
        <w:gridCol w:w="1370"/>
        <w:gridCol w:w="1309"/>
        <w:gridCol w:w="1159"/>
        <w:gridCol w:w="1041"/>
        <w:gridCol w:w="1034"/>
        <w:gridCol w:w="966"/>
        <w:gridCol w:w="1152"/>
      </w:tblGrid>
      <w:tr>
        <w:trPr>
          <w:jc w:val="center"/>
          <w:trHeight w:val="349"/>
        </w:trPr>
        <w:tc>
          <w:tcPr>
            <w:tcW w:w="2305" w:type="dxa"/>
            <w:vAlign w:val="center"/>
            <w:textDirection w:val="lrTb"/>
            <w:noWrap w:val="false"/>
          </w:tcPr>
          <w:p>
            <w:pPr>
              <w:jc w:val="center"/>
              <w:spacing w:before="85" w:line="226" w:lineRule="auto"/>
              <w:rPr>
                <w:rFonts w:ascii="宋体" w:hAnsi="宋体" w:cs="宋体"/>
                <w:sz w:val="18"/>
                <w:szCs w:val="18"/>
              </w:rPr>
            </w:pPr>
            <w:r>
              <w:rPr>
                <w:rFonts w:ascii="宋体" w:hAnsi="宋体" w:cs="宋体"/>
                <w:b/>
                <w:bCs/>
                <w:spacing w:val="2"/>
                <w:sz w:val="18"/>
                <w:szCs w:val="18"/>
              </w:rPr>
              <w:t xml:space="preserve">片区名称</w:t>
            </w:r>
            <w:r/>
          </w:p>
        </w:tc>
        <w:tc>
          <w:tcPr>
            <w:tcW w:w="1370" w:type="dxa"/>
            <w:vAlign w:val="center"/>
            <w:textDirection w:val="lrTb"/>
            <w:noWrap w:val="false"/>
          </w:tcPr>
          <w:p>
            <w:pPr>
              <w:jc w:val="center"/>
              <w:spacing w:before="85" w:line="225" w:lineRule="auto"/>
              <w:rPr>
                <w:rFonts w:ascii="宋体" w:hAnsi="宋体" w:cs="宋体"/>
                <w:sz w:val="18"/>
                <w:szCs w:val="18"/>
              </w:rPr>
            </w:pPr>
            <w:r>
              <w:rPr>
                <w:rFonts w:ascii="宋体" w:hAnsi="宋体" w:cs="宋体"/>
                <w:b/>
                <w:bCs/>
                <w:spacing w:val="3"/>
                <w:sz w:val="18"/>
                <w:szCs w:val="18"/>
              </w:rPr>
              <w:t xml:space="preserve">第一片区</w:t>
            </w:r>
            <w:r/>
          </w:p>
        </w:tc>
        <w:tc>
          <w:tcPr>
            <w:tcW w:w="1309" w:type="dxa"/>
            <w:vAlign w:val="center"/>
            <w:textDirection w:val="lrTb"/>
            <w:noWrap w:val="false"/>
          </w:tcPr>
          <w:p>
            <w:pPr>
              <w:ind w:left="56"/>
              <w:jc w:val="center"/>
              <w:spacing w:before="85" w:line="225" w:lineRule="auto"/>
              <w:rPr>
                <w:rFonts w:ascii="宋体" w:hAnsi="宋体" w:cs="宋体"/>
                <w:sz w:val="18"/>
                <w:szCs w:val="18"/>
              </w:rPr>
            </w:pPr>
            <w:r>
              <w:rPr>
                <w:rFonts w:ascii="宋体" w:hAnsi="宋体" w:cs="宋体"/>
                <w:b/>
                <w:bCs/>
                <w:spacing w:val="3"/>
                <w:sz w:val="18"/>
                <w:szCs w:val="18"/>
              </w:rPr>
              <w:t xml:space="preserve">第二片区</w:t>
            </w:r>
            <w:r/>
          </w:p>
        </w:tc>
        <w:tc>
          <w:tcPr>
            <w:tcW w:w="1159" w:type="dxa"/>
            <w:vAlign w:val="center"/>
            <w:textDirection w:val="lrTb"/>
            <w:noWrap w:val="false"/>
          </w:tcPr>
          <w:p>
            <w:pPr>
              <w:jc w:val="center"/>
              <w:spacing w:before="12"/>
              <w:rPr>
                <w:rFonts w:ascii="宋体" w:hAnsi="宋体" w:cs="宋体"/>
                <w:b/>
                <w:bCs/>
                <w:spacing w:val="-5"/>
                <w:sz w:val="18"/>
                <w:szCs w:val="18"/>
              </w:rPr>
            </w:pPr>
            <w:r>
              <w:rPr>
                <w:rFonts w:ascii="宋体" w:hAnsi="宋体" w:cs="宋体"/>
                <w:b/>
                <w:bCs/>
                <w:spacing w:val="-5"/>
                <w:sz w:val="18"/>
                <w:szCs w:val="18"/>
              </w:rPr>
              <w:t xml:space="preserve">第三片区</w:t>
            </w:r>
            <w:r/>
          </w:p>
        </w:tc>
        <w:tc>
          <w:tcPr>
            <w:tcW w:w="1041" w:type="dxa"/>
            <w:vAlign w:val="center"/>
            <w:textDirection w:val="lrTb"/>
            <w:noWrap w:val="false"/>
          </w:tcPr>
          <w:p>
            <w:pPr>
              <w:jc w:val="center"/>
              <w:spacing w:before="12"/>
              <w:rPr>
                <w:rFonts w:ascii="宋体" w:hAnsi="宋体" w:cs="宋体"/>
                <w:b/>
                <w:bCs/>
                <w:spacing w:val="-5"/>
                <w:sz w:val="18"/>
                <w:szCs w:val="18"/>
              </w:rPr>
            </w:pPr>
            <w:r>
              <w:rPr>
                <w:rFonts w:ascii="宋体" w:hAnsi="宋体" w:cs="宋体"/>
                <w:b/>
                <w:bCs/>
                <w:spacing w:val="-5"/>
                <w:sz w:val="18"/>
                <w:szCs w:val="18"/>
              </w:rPr>
              <w:t xml:space="preserve">第四片区</w:t>
            </w:r>
            <w:r/>
          </w:p>
        </w:tc>
        <w:tc>
          <w:tcPr>
            <w:tcW w:w="1034" w:type="dxa"/>
            <w:vAlign w:val="center"/>
            <w:textDirection w:val="lrTb"/>
            <w:noWrap w:val="false"/>
          </w:tcPr>
          <w:p>
            <w:pPr>
              <w:jc w:val="center"/>
              <w:spacing w:before="12"/>
              <w:rPr>
                <w:rFonts w:ascii="宋体" w:hAnsi="宋体" w:cs="宋体"/>
                <w:b/>
                <w:bCs/>
                <w:spacing w:val="-5"/>
                <w:sz w:val="18"/>
                <w:szCs w:val="18"/>
              </w:rPr>
            </w:pPr>
            <w:r>
              <w:rPr>
                <w:rFonts w:ascii="宋体" w:hAnsi="宋体" w:cs="宋体"/>
                <w:b/>
                <w:bCs/>
                <w:spacing w:val="-5"/>
                <w:sz w:val="18"/>
                <w:szCs w:val="18"/>
              </w:rPr>
              <w:t xml:space="preserve">第五片区</w:t>
            </w:r>
            <w:r/>
          </w:p>
        </w:tc>
        <w:tc>
          <w:tcPr>
            <w:tcW w:w="966" w:type="dxa"/>
            <w:vAlign w:val="center"/>
            <w:textDirection w:val="lrTb"/>
            <w:noWrap w:val="false"/>
          </w:tcPr>
          <w:p>
            <w:pPr>
              <w:jc w:val="center"/>
              <w:spacing w:before="12"/>
              <w:rPr>
                <w:rFonts w:ascii="宋体" w:hAnsi="宋体" w:cs="宋体"/>
                <w:b/>
                <w:bCs/>
                <w:spacing w:val="-5"/>
                <w:sz w:val="18"/>
                <w:szCs w:val="18"/>
              </w:rPr>
            </w:pPr>
            <w:r>
              <w:rPr>
                <w:rFonts w:ascii="宋体" w:hAnsi="宋体" w:cs="宋体"/>
                <w:b/>
                <w:bCs/>
                <w:spacing w:val="-5"/>
                <w:sz w:val="18"/>
                <w:szCs w:val="18"/>
              </w:rPr>
              <w:t xml:space="preserve">第六片区</w:t>
            </w:r>
            <w:r/>
          </w:p>
        </w:tc>
        <w:tc>
          <w:tcPr>
            <w:tcW w:w="1152" w:type="dxa"/>
            <w:vAlign w:val="center"/>
            <w:textDirection w:val="lrTb"/>
            <w:noWrap w:val="false"/>
          </w:tcPr>
          <w:p>
            <w:pPr>
              <w:jc w:val="center"/>
              <w:spacing w:before="12"/>
              <w:rPr>
                <w:rFonts w:ascii="宋体" w:hAnsi="宋体" w:cs="宋体"/>
                <w:b/>
                <w:bCs/>
                <w:spacing w:val="-5"/>
                <w:sz w:val="18"/>
                <w:szCs w:val="18"/>
              </w:rPr>
            </w:pPr>
            <w:r>
              <w:rPr>
                <w:rFonts w:ascii="宋体" w:hAnsi="宋体" w:cs="宋体"/>
                <w:b/>
                <w:bCs/>
                <w:spacing w:val="-5"/>
                <w:sz w:val="18"/>
                <w:szCs w:val="18"/>
              </w:rPr>
              <w:t xml:space="preserve">第七片区</w:t>
            </w:r>
            <w:r/>
          </w:p>
        </w:tc>
      </w:tr>
      <w:tr>
        <w:trPr>
          <w:jc w:val="center"/>
          <w:trHeight w:val="715"/>
        </w:trPr>
        <w:tc>
          <w:tcPr>
            <w:tcW w:w="2305" w:type="dxa"/>
            <w:vAlign w:val="center"/>
            <w:textDirection w:val="lrTb"/>
            <w:noWrap w:val="false"/>
          </w:tcPr>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作业范围</w:t>
            </w:r>
            <w:r/>
          </w:p>
        </w:tc>
        <w:tc>
          <w:tcPr>
            <w:tcW w:w="1370" w:type="dxa"/>
            <w:vAlign w:val="center"/>
            <w:textDirection w:val="lrTb"/>
            <w:noWrap w:val="false"/>
          </w:tcPr>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河埒街道（梁溪河</w:t>
            </w:r>
            <w:r>
              <w:rPr>
                <w:rFonts w:hint="eastAsia" w:ascii="宋体" w:hAnsi="宋体" w:cs="宋体"/>
                <w:b/>
                <w:bCs/>
                <w:spacing w:val="2"/>
                <w:sz w:val="18"/>
                <w:szCs w:val="18"/>
              </w:rPr>
              <w:t xml:space="preserve">南、</w:t>
            </w:r>
            <w:r>
              <w:rPr>
                <w:rFonts w:ascii="宋体" w:hAnsi="宋体" w:cs="宋体"/>
                <w:b/>
                <w:bCs/>
                <w:spacing w:val="2"/>
                <w:sz w:val="18"/>
                <w:szCs w:val="18"/>
              </w:rPr>
              <w:t xml:space="preserve">梁溪河北）</w:t>
            </w:r>
            <w:r/>
          </w:p>
        </w:tc>
        <w:tc>
          <w:tcPr>
            <w:tcW w:w="1309" w:type="dxa"/>
            <w:vAlign w:val="center"/>
            <w:textDirection w:val="lrTb"/>
            <w:noWrap w:val="false"/>
          </w:tcPr>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荣巷街道</w:t>
            </w:r>
            <w:r/>
          </w:p>
        </w:tc>
        <w:tc>
          <w:tcPr>
            <w:tcW w:w="1159" w:type="dxa"/>
            <w:vAlign w:val="center"/>
            <w:textDirection w:val="lrTb"/>
            <w:noWrap w:val="false"/>
          </w:tcPr>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蠡园开发区</w:t>
            </w:r>
            <w:r/>
          </w:p>
        </w:tc>
        <w:tc>
          <w:tcPr>
            <w:tcW w:w="1041" w:type="dxa"/>
            <w:vAlign w:val="center"/>
            <w:textDirection w:val="lrTb"/>
            <w:noWrap w:val="false"/>
          </w:tcPr>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蠡湖街道</w:t>
            </w:r>
            <w:r/>
          </w:p>
        </w:tc>
        <w:tc>
          <w:tcPr>
            <w:tcW w:w="1034" w:type="dxa"/>
            <w:vAlign w:val="center"/>
            <w:textDirection w:val="lrTb"/>
            <w:noWrap w:val="false"/>
          </w:tcPr>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雪浪街道</w:t>
            </w:r>
            <w:r/>
          </w:p>
        </w:tc>
        <w:tc>
          <w:tcPr>
            <w:tcW w:w="966" w:type="dxa"/>
            <w:vAlign w:val="center"/>
            <w:textDirection w:val="lrTb"/>
            <w:noWrap w:val="false"/>
          </w:tcPr>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胡埭镇</w:t>
            </w:r>
            <w:r/>
          </w:p>
        </w:tc>
        <w:tc>
          <w:tcPr>
            <w:tcW w:w="1152" w:type="dxa"/>
            <w:vAlign w:val="center"/>
            <w:textDirection w:val="lrTb"/>
            <w:noWrap w:val="false"/>
          </w:tcPr>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马山街道</w:t>
            </w:r>
            <w:r/>
          </w:p>
        </w:tc>
      </w:tr>
      <w:tr>
        <w:trPr>
          <w:jc w:val="center"/>
          <w:trHeight w:val="588"/>
        </w:trPr>
        <w:tc>
          <w:tcPr>
            <w:tcW w:w="2305" w:type="dxa"/>
            <w:vAlign w:val="center"/>
            <w:textDirection w:val="lrTb"/>
            <w:noWrap w:val="false"/>
          </w:tcPr>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项目名称/价格</w:t>
            </w:r>
            <w:r/>
          </w:p>
        </w:tc>
        <w:tc>
          <w:tcPr>
            <w:tcW w:w="1370" w:type="dxa"/>
            <w:vAlign w:val="center"/>
            <w:textDirection w:val="lrTb"/>
            <w:noWrap w:val="false"/>
          </w:tcPr>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单价</w:t>
            </w:r>
            <w:r/>
          </w:p>
          <w:p>
            <w:pPr>
              <w:jc w:val="center"/>
              <w:spacing w:before="85" w:line="226" w:lineRule="auto"/>
              <w:rPr>
                <w:rFonts w:ascii="宋体" w:hAnsi="宋体" w:cs="宋体"/>
                <w:b/>
                <w:bCs/>
                <w:spacing w:val="2"/>
                <w:sz w:val="18"/>
                <w:szCs w:val="18"/>
              </w:rPr>
            </w:pPr>
            <w:r>
              <w:rPr>
                <w:rFonts w:hint="eastAsia" w:ascii="宋体" w:hAnsi="宋体" w:cs="宋体"/>
                <w:b/>
                <w:bCs/>
                <w:spacing w:val="2"/>
                <w:sz w:val="18"/>
                <w:szCs w:val="18"/>
              </w:rPr>
              <w:t xml:space="preserve">（</w:t>
            </w:r>
            <w:r>
              <w:rPr>
                <w:rFonts w:ascii="宋体" w:hAnsi="宋体" w:cs="宋体"/>
                <w:b/>
                <w:bCs/>
                <w:spacing w:val="2"/>
                <w:sz w:val="18"/>
                <w:szCs w:val="18"/>
              </w:rPr>
              <w:t xml:space="preserve">万元/年</w:t>
            </w:r>
            <w:r>
              <w:rPr>
                <w:rFonts w:hint="eastAsia" w:ascii="宋体" w:hAnsi="宋体" w:cs="宋体"/>
                <w:b/>
                <w:bCs/>
                <w:spacing w:val="2"/>
                <w:sz w:val="18"/>
                <w:szCs w:val="18"/>
              </w:rPr>
              <w:t xml:space="preserve">）</w:t>
            </w:r>
            <w:r/>
          </w:p>
        </w:tc>
        <w:tc>
          <w:tcPr>
            <w:tcW w:w="1309" w:type="dxa"/>
            <w:vAlign w:val="center"/>
            <w:textDirection w:val="lrTb"/>
            <w:noWrap w:val="false"/>
          </w:tcPr>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单价</w:t>
            </w:r>
            <w:r/>
          </w:p>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(万元/年)</w:t>
            </w:r>
            <w:r/>
          </w:p>
        </w:tc>
        <w:tc>
          <w:tcPr>
            <w:tcW w:w="1159" w:type="dxa"/>
            <w:vAlign w:val="center"/>
            <w:textDirection w:val="lrTb"/>
            <w:noWrap w:val="false"/>
          </w:tcPr>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单价</w:t>
            </w:r>
            <w:r/>
          </w:p>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(万元/年)</w:t>
            </w:r>
            <w:r/>
          </w:p>
        </w:tc>
        <w:tc>
          <w:tcPr>
            <w:tcW w:w="1041" w:type="dxa"/>
            <w:vAlign w:val="center"/>
            <w:textDirection w:val="lrTb"/>
            <w:noWrap w:val="false"/>
          </w:tcPr>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单价</w:t>
            </w:r>
            <w:r/>
          </w:p>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(万元/年)</w:t>
            </w:r>
            <w:r/>
          </w:p>
        </w:tc>
        <w:tc>
          <w:tcPr>
            <w:tcW w:w="1034" w:type="dxa"/>
            <w:vAlign w:val="center"/>
            <w:textDirection w:val="lrTb"/>
            <w:noWrap w:val="false"/>
          </w:tcPr>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单价</w:t>
            </w:r>
            <w:r/>
          </w:p>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(万元/年)</w:t>
            </w:r>
            <w:r/>
          </w:p>
        </w:tc>
        <w:tc>
          <w:tcPr>
            <w:tcW w:w="966" w:type="dxa"/>
            <w:vAlign w:val="center"/>
            <w:textDirection w:val="lrTb"/>
            <w:noWrap w:val="false"/>
          </w:tcPr>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单价</w:t>
            </w:r>
            <w:r/>
          </w:p>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(万元/年)</w:t>
            </w:r>
            <w:r/>
          </w:p>
        </w:tc>
        <w:tc>
          <w:tcPr>
            <w:tcW w:w="1152" w:type="dxa"/>
            <w:vAlign w:val="center"/>
            <w:textDirection w:val="lrTb"/>
            <w:noWrap w:val="false"/>
          </w:tcPr>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单价</w:t>
            </w:r>
            <w:r/>
          </w:p>
          <w:p>
            <w:pPr>
              <w:jc w:val="center"/>
              <w:spacing w:before="85" w:line="226" w:lineRule="auto"/>
              <w:rPr>
                <w:rFonts w:ascii="宋体" w:hAnsi="宋体" w:cs="宋体"/>
                <w:b/>
                <w:bCs/>
                <w:spacing w:val="2"/>
                <w:sz w:val="18"/>
                <w:szCs w:val="18"/>
              </w:rPr>
            </w:pPr>
            <w:r>
              <w:rPr>
                <w:rFonts w:ascii="宋体" w:hAnsi="宋体" w:cs="宋体"/>
                <w:b/>
                <w:bCs/>
                <w:spacing w:val="2"/>
                <w:sz w:val="18"/>
                <w:szCs w:val="18"/>
              </w:rPr>
              <w:t xml:space="preserve">(万元/年)</w:t>
            </w:r>
            <w:r/>
          </w:p>
        </w:tc>
      </w:tr>
      <w:tr>
        <w:trPr>
          <w:jc w:val="center"/>
          <w:trHeight w:val="357"/>
        </w:trPr>
        <w:tc>
          <w:tcPr>
            <w:tcW w:w="2305" w:type="dxa"/>
            <w:vAlign w:val="top"/>
            <w:textDirection w:val="lrTb"/>
            <w:noWrap w:val="false"/>
          </w:tcPr>
          <w:p>
            <w:pPr>
              <w:ind w:left="32"/>
              <w:spacing w:before="69" w:line="225" w:lineRule="auto"/>
              <w:rPr>
                <w:rFonts w:ascii="宋体" w:hAnsi="宋体" w:cs="宋体"/>
                <w:sz w:val="18"/>
                <w:szCs w:val="18"/>
              </w:rPr>
            </w:pPr>
            <w:r>
              <w:rPr>
                <w:rFonts w:ascii="宋体" w:hAnsi="宋体" w:cs="宋体"/>
                <w:b/>
                <w:bCs/>
                <w:spacing w:val="3"/>
                <w:sz w:val="18"/>
                <w:szCs w:val="18"/>
              </w:rPr>
              <w:t xml:space="preserve">一、道路保洁</w:t>
            </w:r>
            <w:r/>
          </w:p>
        </w:tc>
        <w:tc>
          <w:tcPr>
            <w:tcW w:w="1370" w:type="dxa"/>
            <w:vAlign w:val="center"/>
            <w:textDirection w:val="lrTb"/>
            <w:noWrap w:val="false"/>
          </w:tcPr>
          <w:p>
            <w:pPr>
              <w:pStyle w:val="1122"/>
              <w:rPr>
                <w:sz w:val="18"/>
                <w:szCs w:val="18"/>
              </w:rPr>
            </w:pPr>
            <w:r>
              <w:rPr>
                <w:sz w:val="18"/>
                <w:szCs w:val="18"/>
              </w:rPr>
            </w:r>
            <w:r/>
          </w:p>
        </w:tc>
        <w:tc>
          <w:tcPr>
            <w:tcW w:w="1309" w:type="dxa"/>
            <w:vAlign w:val="center"/>
            <w:textDirection w:val="lrTb"/>
            <w:noWrap w:val="false"/>
          </w:tcPr>
          <w:p>
            <w:pPr>
              <w:pStyle w:val="1122"/>
              <w:rPr>
                <w:sz w:val="18"/>
                <w:szCs w:val="18"/>
              </w:rPr>
            </w:pPr>
            <w:r>
              <w:rPr>
                <w:sz w:val="18"/>
                <w:szCs w:val="18"/>
              </w:rPr>
            </w:r>
            <w:r/>
          </w:p>
        </w:tc>
        <w:tc>
          <w:tcPr>
            <w:tcW w:w="1159" w:type="dxa"/>
            <w:vAlign w:val="center"/>
            <w:textDirection w:val="lrTb"/>
            <w:noWrap w:val="false"/>
          </w:tcPr>
          <w:p>
            <w:pPr>
              <w:pStyle w:val="1122"/>
              <w:rPr>
                <w:sz w:val="18"/>
                <w:szCs w:val="18"/>
              </w:rPr>
            </w:pPr>
            <w:r>
              <w:rPr>
                <w:sz w:val="18"/>
                <w:szCs w:val="18"/>
              </w:rPr>
            </w:r>
            <w:r/>
          </w:p>
        </w:tc>
        <w:tc>
          <w:tcPr>
            <w:tcW w:w="1041" w:type="dxa"/>
            <w:vAlign w:val="center"/>
            <w:textDirection w:val="lrTb"/>
            <w:noWrap w:val="false"/>
          </w:tcPr>
          <w:p>
            <w:pPr>
              <w:pStyle w:val="1122"/>
              <w:rPr>
                <w:sz w:val="18"/>
                <w:szCs w:val="18"/>
              </w:rPr>
            </w:pPr>
            <w:r>
              <w:rPr>
                <w:sz w:val="18"/>
                <w:szCs w:val="18"/>
              </w:rPr>
            </w:r>
            <w:r/>
          </w:p>
        </w:tc>
        <w:tc>
          <w:tcPr>
            <w:tcW w:w="1034" w:type="dxa"/>
            <w:vAlign w:val="center"/>
            <w:textDirection w:val="lrTb"/>
            <w:noWrap w:val="false"/>
          </w:tcPr>
          <w:p>
            <w:pPr>
              <w:pStyle w:val="1122"/>
              <w:rPr>
                <w:sz w:val="18"/>
                <w:szCs w:val="18"/>
              </w:rPr>
            </w:pPr>
            <w:r>
              <w:rPr>
                <w:sz w:val="18"/>
                <w:szCs w:val="18"/>
              </w:rPr>
            </w:r>
            <w:r/>
          </w:p>
        </w:tc>
        <w:tc>
          <w:tcPr>
            <w:tcW w:w="966" w:type="dxa"/>
            <w:vAlign w:val="center"/>
            <w:textDirection w:val="lrTb"/>
            <w:noWrap w:val="false"/>
          </w:tcPr>
          <w:p>
            <w:pPr>
              <w:pStyle w:val="1122"/>
              <w:rPr>
                <w:sz w:val="18"/>
                <w:szCs w:val="18"/>
              </w:rPr>
            </w:pPr>
            <w:r>
              <w:rPr>
                <w:sz w:val="18"/>
                <w:szCs w:val="18"/>
              </w:rPr>
            </w:r>
            <w:r/>
          </w:p>
        </w:tc>
        <w:tc>
          <w:tcPr>
            <w:tcW w:w="1152" w:type="dxa"/>
            <w:vAlign w:val="center"/>
            <w:textDirection w:val="lrTb"/>
            <w:noWrap w:val="false"/>
          </w:tcPr>
          <w:p>
            <w:pPr>
              <w:pStyle w:val="1122"/>
              <w:rPr>
                <w:sz w:val="18"/>
                <w:szCs w:val="18"/>
              </w:rPr>
            </w:pPr>
            <w:r>
              <w:rPr>
                <w:sz w:val="18"/>
                <w:szCs w:val="18"/>
              </w:rPr>
            </w:r>
            <w:r/>
          </w:p>
        </w:tc>
      </w:tr>
      <w:tr>
        <w:trPr>
          <w:jc w:val="center"/>
          <w:trHeight w:val="190"/>
        </w:trPr>
        <w:tc>
          <w:tcPr>
            <w:tcW w:w="2305" w:type="dxa"/>
            <w:vAlign w:val="top"/>
            <w:textDirection w:val="lrTb"/>
            <w:noWrap w:val="false"/>
          </w:tcPr>
          <w:p>
            <w:pPr>
              <w:spacing w:before="69" w:line="223" w:lineRule="auto"/>
              <w:rPr>
                <w:rFonts w:ascii="宋体" w:hAnsi="宋体" w:cs="宋体"/>
                <w:sz w:val="18"/>
                <w:szCs w:val="18"/>
              </w:rPr>
            </w:pPr>
            <w:r>
              <w:rPr>
                <w:rFonts w:ascii="宋体" w:hAnsi="宋体" w:cs="宋体"/>
                <w:spacing w:val="5"/>
                <w:sz w:val="18"/>
                <w:szCs w:val="18"/>
              </w:rPr>
              <w:t xml:space="preserve">①市管非特定片区道路部分</w:t>
            </w:r>
            <w:r/>
          </w:p>
        </w:tc>
        <w:tc>
          <w:tcPr>
            <w:tcW w:w="1370" w:type="dxa"/>
            <w:vAlign w:val="center"/>
            <w:textDirection w:val="lrTb"/>
            <w:noWrap w:val="false"/>
          </w:tcPr>
          <w:p>
            <w:pPr>
              <w:pStyle w:val="1122"/>
              <w:rPr>
                <w:sz w:val="18"/>
                <w:szCs w:val="18"/>
                <w:lang w:eastAsia="zh-CN"/>
              </w:rPr>
            </w:pPr>
            <w:r>
              <w:rPr>
                <w:sz w:val="18"/>
                <w:szCs w:val="18"/>
                <w:lang w:eastAsia="zh-CN"/>
              </w:rPr>
            </w:r>
            <w:r/>
          </w:p>
        </w:tc>
        <w:tc>
          <w:tcPr>
            <w:tcW w:w="1309" w:type="dxa"/>
            <w:vAlign w:val="center"/>
            <w:textDirection w:val="lrTb"/>
            <w:noWrap w:val="false"/>
          </w:tcPr>
          <w:p>
            <w:pPr>
              <w:pStyle w:val="1122"/>
              <w:rPr>
                <w:sz w:val="18"/>
                <w:szCs w:val="18"/>
                <w:lang w:eastAsia="zh-CN"/>
              </w:rPr>
            </w:pPr>
            <w:r>
              <w:rPr>
                <w:sz w:val="18"/>
                <w:szCs w:val="18"/>
                <w:lang w:eastAsia="zh-CN"/>
              </w:rPr>
            </w:r>
            <w:r/>
          </w:p>
        </w:tc>
        <w:tc>
          <w:tcPr>
            <w:tcW w:w="1159" w:type="dxa"/>
            <w:vAlign w:val="center"/>
            <w:textDirection w:val="lrTb"/>
            <w:noWrap w:val="false"/>
          </w:tcPr>
          <w:p>
            <w:pPr>
              <w:pStyle w:val="1122"/>
              <w:rPr>
                <w:sz w:val="18"/>
                <w:szCs w:val="18"/>
                <w:lang w:eastAsia="zh-CN"/>
              </w:rPr>
            </w:pPr>
            <w:r>
              <w:rPr>
                <w:sz w:val="18"/>
                <w:szCs w:val="18"/>
                <w:lang w:eastAsia="zh-CN"/>
              </w:rPr>
            </w:r>
            <w:r/>
          </w:p>
        </w:tc>
        <w:tc>
          <w:tcPr>
            <w:tcW w:w="1041" w:type="dxa"/>
            <w:vAlign w:val="center"/>
            <w:textDirection w:val="lrTb"/>
            <w:noWrap w:val="false"/>
          </w:tcPr>
          <w:p>
            <w:pPr>
              <w:pStyle w:val="1122"/>
              <w:rPr>
                <w:sz w:val="18"/>
                <w:szCs w:val="18"/>
                <w:lang w:eastAsia="zh-CN"/>
              </w:rPr>
            </w:pPr>
            <w:r>
              <w:rPr>
                <w:sz w:val="18"/>
                <w:szCs w:val="18"/>
                <w:lang w:eastAsia="zh-CN"/>
              </w:rPr>
            </w:r>
            <w:r/>
          </w:p>
        </w:tc>
        <w:tc>
          <w:tcPr>
            <w:tcW w:w="1034" w:type="dxa"/>
            <w:vAlign w:val="center"/>
            <w:textDirection w:val="lrTb"/>
            <w:noWrap w:val="false"/>
          </w:tcPr>
          <w:p>
            <w:pPr>
              <w:pStyle w:val="1122"/>
              <w:rPr>
                <w:sz w:val="18"/>
                <w:szCs w:val="18"/>
                <w:lang w:eastAsia="zh-CN"/>
              </w:rPr>
            </w:pPr>
            <w:r>
              <w:rPr>
                <w:sz w:val="18"/>
                <w:szCs w:val="18"/>
                <w:lang w:eastAsia="zh-CN"/>
              </w:rPr>
            </w:r>
            <w:r/>
          </w:p>
        </w:tc>
        <w:tc>
          <w:tcPr>
            <w:tcW w:w="966" w:type="dxa"/>
            <w:vAlign w:val="center"/>
            <w:textDirection w:val="lrTb"/>
            <w:noWrap w:val="false"/>
          </w:tcPr>
          <w:p>
            <w:pPr>
              <w:pStyle w:val="1122"/>
              <w:rPr>
                <w:sz w:val="18"/>
                <w:szCs w:val="18"/>
                <w:lang w:eastAsia="zh-CN"/>
              </w:rPr>
            </w:pPr>
            <w:r>
              <w:rPr>
                <w:sz w:val="18"/>
                <w:szCs w:val="18"/>
                <w:lang w:eastAsia="zh-CN"/>
              </w:rPr>
            </w:r>
            <w:r/>
          </w:p>
        </w:tc>
        <w:tc>
          <w:tcPr>
            <w:tcW w:w="1152" w:type="dxa"/>
            <w:vAlign w:val="center"/>
            <w:textDirection w:val="lrTb"/>
            <w:noWrap w:val="false"/>
          </w:tcPr>
          <w:p>
            <w:pPr>
              <w:pStyle w:val="1122"/>
              <w:rPr>
                <w:sz w:val="18"/>
                <w:szCs w:val="18"/>
                <w:lang w:eastAsia="zh-CN"/>
              </w:rPr>
            </w:pPr>
            <w:r>
              <w:rPr>
                <w:sz w:val="18"/>
                <w:szCs w:val="18"/>
                <w:lang w:eastAsia="zh-CN"/>
              </w:rPr>
            </w:r>
            <w:r/>
          </w:p>
        </w:tc>
      </w:tr>
      <w:tr>
        <w:trPr>
          <w:jc w:val="center"/>
          <w:trHeight w:val="287"/>
        </w:trPr>
        <w:tc>
          <w:tcPr>
            <w:tcW w:w="2305" w:type="dxa"/>
            <w:vAlign w:val="top"/>
            <w:textDirection w:val="lrTb"/>
            <w:noWrap w:val="false"/>
          </w:tcPr>
          <w:p>
            <w:pPr>
              <w:spacing w:before="70" w:line="223" w:lineRule="auto"/>
              <w:rPr>
                <w:rFonts w:ascii="宋体" w:hAnsi="宋体" w:cs="宋体"/>
                <w:sz w:val="18"/>
                <w:szCs w:val="18"/>
              </w:rPr>
            </w:pPr>
            <w:r>
              <w:rPr>
                <w:rFonts w:ascii="宋体" w:hAnsi="宋体" w:cs="宋体"/>
                <w:spacing w:val="5"/>
                <w:sz w:val="18"/>
                <w:szCs w:val="18"/>
              </w:rPr>
              <w:t xml:space="preserve">②市管特定片区道路部分</w:t>
            </w:r>
            <w:r/>
          </w:p>
        </w:tc>
        <w:tc>
          <w:tcPr>
            <w:tcW w:w="1370" w:type="dxa"/>
            <w:vAlign w:val="center"/>
            <w:textDirection w:val="lrTb"/>
            <w:noWrap w:val="false"/>
          </w:tcPr>
          <w:p>
            <w:pPr>
              <w:pStyle w:val="1122"/>
              <w:rPr>
                <w:sz w:val="18"/>
                <w:szCs w:val="18"/>
                <w:lang w:eastAsia="zh-CN"/>
              </w:rPr>
            </w:pPr>
            <w:r>
              <w:rPr>
                <w:sz w:val="18"/>
                <w:szCs w:val="18"/>
                <w:lang w:eastAsia="zh-CN"/>
              </w:rPr>
            </w:r>
            <w:r/>
          </w:p>
        </w:tc>
        <w:tc>
          <w:tcPr>
            <w:tcW w:w="1309" w:type="dxa"/>
            <w:vAlign w:val="center"/>
            <w:textDirection w:val="lrTb"/>
            <w:noWrap w:val="false"/>
          </w:tcPr>
          <w:p>
            <w:pPr>
              <w:pStyle w:val="1122"/>
              <w:rPr>
                <w:sz w:val="18"/>
                <w:szCs w:val="18"/>
                <w:lang w:eastAsia="zh-CN"/>
              </w:rPr>
            </w:pPr>
            <w:r>
              <w:rPr>
                <w:sz w:val="18"/>
                <w:szCs w:val="18"/>
                <w:lang w:eastAsia="zh-CN"/>
              </w:rPr>
            </w:r>
            <w:r/>
          </w:p>
        </w:tc>
        <w:tc>
          <w:tcPr>
            <w:tcW w:w="1159" w:type="dxa"/>
            <w:vAlign w:val="center"/>
            <w:textDirection w:val="lrTb"/>
            <w:noWrap w:val="false"/>
          </w:tcPr>
          <w:p>
            <w:pPr>
              <w:pStyle w:val="1122"/>
              <w:rPr>
                <w:sz w:val="18"/>
                <w:szCs w:val="18"/>
                <w:lang w:eastAsia="zh-CN"/>
              </w:rPr>
            </w:pPr>
            <w:r>
              <w:rPr>
                <w:sz w:val="18"/>
                <w:szCs w:val="18"/>
                <w:lang w:eastAsia="zh-CN"/>
              </w:rPr>
            </w:r>
            <w:r/>
          </w:p>
        </w:tc>
        <w:tc>
          <w:tcPr>
            <w:tcW w:w="1041" w:type="dxa"/>
            <w:vAlign w:val="center"/>
            <w:textDirection w:val="lrTb"/>
            <w:noWrap w:val="false"/>
          </w:tcPr>
          <w:p>
            <w:pPr>
              <w:pStyle w:val="1122"/>
              <w:rPr>
                <w:sz w:val="18"/>
                <w:szCs w:val="18"/>
                <w:lang w:eastAsia="zh-CN"/>
              </w:rPr>
            </w:pPr>
            <w:r>
              <w:rPr>
                <w:sz w:val="18"/>
                <w:szCs w:val="18"/>
                <w:lang w:eastAsia="zh-CN"/>
              </w:rPr>
            </w:r>
            <w:r/>
          </w:p>
        </w:tc>
        <w:tc>
          <w:tcPr>
            <w:tcW w:w="1034" w:type="dxa"/>
            <w:vAlign w:val="center"/>
            <w:textDirection w:val="lrTb"/>
            <w:noWrap w:val="false"/>
          </w:tcPr>
          <w:p>
            <w:pPr>
              <w:pStyle w:val="1122"/>
              <w:rPr>
                <w:sz w:val="18"/>
                <w:szCs w:val="18"/>
                <w:lang w:eastAsia="zh-CN"/>
              </w:rPr>
            </w:pPr>
            <w:r>
              <w:rPr>
                <w:sz w:val="18"/>
                <w:szCs w:val="18"/>
                <w:lang w:eastAsia="zh-CN"/>
              </w:rPr>
            </w:r>
            <w:r/>
          </w:p>
        </w:tc>
        <w:tc>
          <w:tcPr>
            <w:tcW w:w="966" w:type="dxa"/>
            <w:vAlign w:val="center"/>
            <w:textDirection w:val="lrTb"/>
            <w:noWrap w:val="false"/>
          </w:tcPr>
          <w:p>
            <w:pPr>
              <w:pStyle w:val="1122"/>
              <w:rPr>
                <w:sz w:val="18"/>
                <w:szCs w:val="18"/>
                <w:lang w:eastAsia="zh-CN"/>
              </w:rPr>
            </w:pPr>
            <w:r>
              <w:rPr>
                <w:sz w:val="18"/>
                <w:szCs w:val="18"/>
                <w:lang w:eastAsia="zh-CN"/>
              </w:rPr>
            </w:r>
            <w:r/>
          </w:p>
        </w:tc>
        <w:tc>
          <w:tcPr>
            <w:tcW w:w="1152" w:type="dxa"/>
            <w:vAlign w:val="center"/>
            <w:textDirection w:val="lrTb"/>
            <w:noWrap w:val="false"/>
          </w:tcPr>
          <w:p>
            <w:pPr>
              <w:pStyle w:val="1122"/>
              <w:rPr>
                <w:sz w:val="18"/>
                <w:szCs w:val="18"/>
                <w:lang w:eastAsia="zh-CN"/>
              </w:rPr>
            </w:pPr>
            <w:r>
              <w:rPr>
                <w:sz w:val="18"/>
                <w:szCs w:val="18"/>
                <w:lang w:eastAsia="zh-CN"/>
              </w:rPr>
            </w:r>
            <w:r/>
          </w:p>
        </w:tc>
      </w:tr>
      <w:tr>
        <w:trPr>
          <w:jc w:val="center"/>
          <w:trHeight w:val="273"/>
        </w:trPr>
        <w:tc>
          <w:tcPr>
            <w:tcW w:w="2305" w:type="dxa"/>
            <w:vAlign w:val="top"/>
            <w:textDirection w:val="lrTb"/>
            <w:noWrap w:val="false"/>
          </w:tcPr>
          <w:p>
            <w:pPr>
              <w:spacing w:before="70" w:line="223" w:lineRule="auto"/>
              <w:rPr>
                <w:rFonts w:ascii="宋体" w:hAnsi="宋体" w:cs="宋体"/>
                <w:sz w:val="18"/>
                <w:szCs w:val="18"/>
              </w:rPr>
            </w:pPr>
            <w:r>
              <w:rPr>
                <w:rFonts w:ascii="宋体" w:hAnsi="宋体" w:cs="宋体"/>
                <w:spacing w:val="4"/>
                <w:sz w:val="18"/>
                <w:szCs w:val="18"/>
              </w:rPr>
              <w:t xml:space="preserve">③2017年下放区管道路部分</w:t>
            </w:r>
            <w:r/>
          </w:p>
        </w:tc>
        <w:tc>
          <w:tcPr>
            <w:tcW w:w="1370" w:type="dxa"/>
            <w:vAlign w:val="center"/>
            <w:textDirection w:val="lrTb"/>
            <w:noWrap w:val="false"/>
          </w:tcPr>
          <w:p>
            <w:pPr>
              <w:pStyle w:val="1122"/>
              <w:rPr>
                <w:sz w:val="18"/>
                <w:szCs w:val="18"/>
                <w:lang w:eastAsia="zh-CN"/>
              </w:rPr>
            </w:pPr>
            <w:r>
              <w:rPr>
                <w:sz w:val="18"/>
                <w:szCs w:val="18"/>
                <w:lang w:eastAsia="zh-CN"/>
              </w:rPr>
            </w:r>
            <w:r/>
          </w:p>
        </w:tc>
        <w:tc>
          <w:tcPr>
            <w:tcW w:w="1309" w:type="dxa"/>
            <w:vAlign w:val="center"/>
            <w:textDirection w:val="lrTb"/>
            <w:noWrap w:val="false"/>
          </w:tcPr>
          <w:p>
            <w:pPr>
              <w:pStyle w:val="1122"/>
              <w:rPr>
                <w:sz w:val="18"/>
                <w:szCs w:val="18"/>
                <w:lang w:eastAsia="zh-CN"/>
              </w:rPr>
            </w:pPr>
            <w:r>
              <w:rPr>
                <w:sz w:val="18"/>
                <w:szCs w:val="18"/>
                <w:lang w:eastAsia="zh-CN"/>
              </w:rPr>
            </w:r>
            <w:r/>
          </w:p>
        </w:tc>
        <w:tc>
          <w:tcPr>
            <w:tcW w:w="1159" w:type="dxa"/>
            <w:vAlign w:val="center"/>
            <w:textDirection w:val="lrTb"/>
            <w:noWrap w:val="false"/>
          </w:tcPr>
          <w:p>
            <w:pPr>
              <w:pStyle w:val="1122"/>
              <w:rPr>
                <w:sz w:val="18"/>
                <w:szCs w:val="18"/>
                <w:lang w:eastAsia="zh-CN"/>
              </w:rPr>
            </w:pPr>
            <w:r>
              <w:rPr>
                <w:sz w:val="18"/>
                <w:szCs w:val="18"/>
                <w:lang w:eastAsia="zh-CN"/>
              </w:rPr>
            </w:r>
            <w:r/>
          </w:p>
        </w:tc>
        <w:tc>
          <w:tcPr>
            <w:tcW w:w="1041" w:type="dxa"/>
            <w:vAlign w:val="center"/>
            <w:textDirection w:val="lrTb"/>
            <w:noWrap w:val="false"/>
          </w:tcPr>
          <w:p>
            <w:pPr>
              <w:pStyle w:val="1122"/>
              <w:rPr>
                <w:sz w:val="18"/>
                <w:szCs w:val="18"/>
                <w:lang w:eastAsia="zh-CN"/>
              </w:rPr>
            </w:pPr>
            <w:r>
              <w:rPr>
                <w:sz w:val="18"/>
                <w:szCs w:val="18"/>
                <w:lang w:eastAsia="zh-CN"/>
              </w:rPr>
            </w:r>
            <w:r/>
          </w:p>
        </w:tc>
        <w:tc>
          <w:tcPr>
            <w:tcW w:w="1034" w:type="dxa"/>
            <w:vAlign w:val="center"/>
            <w:textDirection w:val="lrTb"/>
            <w:noWrap w:val="false"/>
          </w:tcPr>
          <w:p>
            <w:pPr>
              <w:pStyle w:val="1122"/>
              <w:rPr>
                <w:sz w:val="18"/>
                <w:szCs w:val="18"/>
                <w:lang w:eastAsia="zh-CN"/>
              </w:rPr>
            </w:pPr>
            <w:r>
              <w:rPr>
                <w:sz w:val="18"/>
                <w:szCs w:val="18"/>
                <w:lang w:eastAsia="zh-CN"/>
              </w:rPr>
            </w:r>
            <w:r/>
          </w:p>
        </w:tc>
        <w:tc>
          <w:tcPr>
            <w:tcW w:w="966" w:type="dxa"/>
            <w:vAlign w:val="center"/>
            <w:textDirection w:val="lrTb"/>
            <w:noWrap w:val="false"/>
          </w:tcPr>
          <w:p>
            <w:pPr>
              <w:pStyle w:val="1122"/>
              <w:rPr>
                <w:sz w:val="18"/>
                <w:szCs w:val="18"/>
                <w:lang w:eastAsia="zh-CN"/>
              </w:rPr>
            </w:pPr>
            <w:r>
              <w:rPr>
                <w:sz w:val="18"/>
                <w:szCs w:val="18"/>
                <w:lang w:eastAsia="zh-CN"/>
              </w:rPr>
            </w:r>
            <w:r/>
          </w:p>
        </w:tc>
        <w:tc>
          <w:tcPr>
            <w:tcW w:w="1152" w:type="dxa"/>
            <w:vAlign w:val="center"/>
            <w:textDirection w:val="lrTb"/>
            <w:noWrap w:val="false"/>
          </w:tcPr>
          <w:p>
            <w:pPr>
              <w:pStyle w:val="1122"/>
              <w:rPr>
                <w:sz w:val="18"/>
                <w:szCs w:val="18"/>
                <w:lang w:eastAsia="zh-CN"/>
              </w:rPr>
            </w:pPr>
            <w:r>
              <w:rPr>
                <w:sz w:val="18"/>
                <w:szCs w:val="18"/>
                <w:lang w:eastAsia="zh-CN"/>
              </w:rPr>
            </w:r>
            <w:r/>
          </w:p>
        </w:tc>
      </w:tr>
      <w:tr>
        <w:trPr>
          <w:jc w:val="center"/>
          <w:trHeight w:val="520"/>
        </w:trPr>
        <w:tc>
          <w:tcPr>
            <w:tcW w:w="2305" w:type="dxa"/>
            <w:vAlign w:val="top"/>
            <w:textDirection w:val="lrTb"/>
            <w:noWrap w:val="false"/>
          </w:tcPr>
          <w:p>
            <w:pPr>
              <w:spacing w:before="70" w:line="223" w:lineRule="auto"/>
              <w:rPr>
                <w:rFonts w:ascii="宋体" w:hAnsi="宋体" w:cs="宋体"/>
                <w:sz w:val="18"/>
                <w:szCs w:val="18"/>
              </w:rPr>
            </w:pPr>
            <w:r>
              <w:rPr>
                <w:rFonts w:ascii="宋体" w:hAnsi="宋体" w:cs="宋体"/>
                <w:spacing w:val="5"/>
                <w:sz w:val="18"/>
                <w:szCs w:val="18"/>
              </w:rPr>
              <w:t xml:space="preserve">④近年区级建设道路部分</w:t>
            </w:r>
            <w:r/>
          </w:p>
        </w:tc>
        <w:tc>
          <w:tcPr>
            <w:tcW w:w="1370" w:type="dxa"/>
            <w:vAlign w:val="center"/>
            <w:textDirection w:val="lrTb"/>
            <w:noWrap w:val="false"/>
          </w:tcPr>
          <w:p>
            <w:pPr>
              <w:pStyle w:val="1122"/>
              <w:rPr>
                <w:sz w:val="18"/>
                <w:szCs w:val="18"/>
                <w:lang w:eastAsia="zh-CN"/>
              </w:rPr>
            </w:pPr>
            <w:r>
              <w:rPr>
                <w:sz w:val="18"/>
                <w:szCs w:val="18"/>
                <w:lang w:eastAsia="zh-CN"/>
              </w:rPr>
            </w:r>
            <w:r/>
          </w:p>
        </w:tc>
        <w:tc>
          <w:tcPr>
            <w:tcW w:w="1309" w:type="dxa"/>
            <w:vAlign w:val="center"/>
            <w:textDirection w:val="lrTb"/>
            <w:noWrap w:val="false"/>
          </w:tcPr>
          <w:p>
            <w:pPr>
              <w:pStyle w:val="1122"/>
              <w:rPr>
                <w:sz w:val="18"/>
                <w:szCs w:val="18"/>
                <w:lang w:eastAsia="zh-CN"/>
              </w:rPr>
            </w:pPr>
            <w:r>
              <w:rPr>
                <w:sz w:val="18"/>
                <w:szCs w:val="18"/>
                <w:lang w:eastAsia="zh-CN"/>
              </w:rPr>
            </w:r>
            <w:r/>
          </w:p>
        </w:tc>
        <w:tc>
          <w:tcPr>
            <w:tcW w:w="1159" w:type="dxa"/>
            <w:vAlign w:val="center"/>
            <w:textDirection w:val="lrTb"/>
            <w:noWrap w:val="false"/>
          </w:tcPr>
          <w:p>
            <w:pPr>
              <w:pStyle w:val="1122"/>
              <w:rPr>
                <w:sz w:val="18"/>
                <w:szCs w:val="18"/>
                <w:lang w:eastAsia="zh-CN"/>
              </w:rPr>
            </w:pPr>
            <w:r>
              <w:rPr>
                <w:sz w:val="18"/>
                <w:szCs w:val="18"/>
                <w:lang w:eastAsia="zh-CN"/>
              </w:rPr>
            </w:r>
            <w:r/>
          </w:p>
        </w:tc>
        <w:tc>
          <w:tcPr>
            <w:tcW w:w="1041" w:type="dxa"/>
            <w:vAlign w:val="center"/>
            <w:textDirection w:val="lrTb"/>
            <w:noWrap w:val="false"/>
          </w:tcPr>
          <w:p>
            <w:pPr>
              <w:pStyle w:val="1122"/>
              <w:rPr>
                <w:sz w:val="18"/>
                <w:szCs w:val="18"/>
                <w:lang w:eastAsia="zh-CN"/>
              </w:rPr>
            </w:pPr>
            <w:r>
              <w:rPr>
                <w:sz w:val="18"/>
                <w:szCs w:val="18"/>
                <w:lang w:eastAsia="zh-CN"/>
              </w:rPr>
            </w:r>
            <w:r/>
          </w:p>
        </w:tc>
        <w:tc>
          <w:tcPr>
            <w:tcW w:w="1034" w:type="dxa"/>
            <w:vAlign w:val="center"/>
            <w:textDirection w:val="lrTb"/>
            <w:noWrap w:val="false"/>
          </w:tcPr>
          <w:p>
            <w:pPr>
              <w:pStyle w:val="1122"/>
              <w:rPr>
                <w:sz w:val="18"/>
                <w:szCs w:val="18"/>
                <w:lang w:eastAsia="zh-CN"/>
              </w:rPr>
            </w:pPr>
            <w:r>
              <w:rPr>
                <w:sz w:val="18"/>
                <w:szCs w:val="18"/>
                <w:lang w:eastAsia="zh-CN"/>
              </w:rPr>
            </w:r>
            <w:r/>
          </w:p>
        </w:tc>
        <w:tc>
          <w:tcPr>
            <w:tcW w:w="966" w:type="dxa"/>
            <w:vAlign w:val="center"/>
            <w:textDirection w:val="lrTb"/>
            <w:noWrap w:val="false"/>
          </w:tcPr>
          <w:p>
            <w:pPr>
              <w:pStyle w:val="1122"/>
              <w:rPr>
                <w:sz w:val="18"/>
                <w:szCs w:val="18"/>
                <w:lang w:eastAsia="zh-CN"/>
              </w:rPr>
            </w:pPr>
            <w:r>
              <w:rPr>
                <w:sz w:val="18"/>
                <w:szCs w:val="18"/>
                <w:lang w:eastAsia="zh-CN"/>
              </w:rPr>
            </w:r>
            <w:r/>
          </w:p>
        </w:tc>
        <w:tc>
          <w:tcPr>
            <w:tcW w:w="1152" w:type="dxa"/>
            <w:vAlign w:val="center"/>
            <w:textDirection w:val="lrTb"/>
            <w:noWrap w:val="false"/>
          </w:tcPr>
          <w:p>
            <w:pPr>
              <w:pStyle w:val="1122"/>
              <w:rPr>
                <w:sz w:val="18"/>
                <w:szCs w:val="18"/>
                <w:lang w:eastAsia="zh-CN"/>
              </w:rPr>
            </w:pPr>
            <w:r>
              <w:rPr>
                <w:sz w:val="18"/>
                <w:szCs w:val="18"/>
                <w:lang w:eastAsia="zh-CN"/>
              </w:rPr>
            </w:r>
            <w:r/>
          </w:p>
        </w:tc>
      </w:tr>
      <w:tr>
        <w:trPr>
          <w:jc w:val="center"/>
          <w:trHeight w:val="357"/>
        </w:trPr>
        <w:tc>
          <w:tcPr>
            <w:tcW w:w="2305" w:type="dxa"/>
            <w:vAlign w:val="top"/>
            <w:textDirection w:val="lrTb"/>
            <w:noWrap w:val="false"/>
          </w:tcPr>
          <w:p>
            <w:pPr>
              <w:spacing w:before="71" w:line="223" w:lineRule="auto"/>
              <w:rPr>
                <w:rFonts w:ascii="宋体" w:hAnsi="宋体" w:cs="宋体"/>
                <w:sz w:val="18"/>
                <w:szCs w:val="18"/>
              </w:rPr>
            </w:pPr>
            <w:r>
              <w:rPr>
                <w:rFonts w:ascii="宋体" w:hAnsi="宋体" w:cs="宋体"/>
                <w:spacing w:val="5"/>
                <w:sz w:val="18"/>
                <w:szCs w:val="18"/>
              </w:rPr>
              <w:t xml:space="preserve">⑤原河埒片区道路部分</w:t>
            </w:r>
            <w:r/>
          </w:p>
        </w:tc>
        <w:tc>
          <w:tcPr>
            <w:tcW w:w="1370" w:type="dxa"/>
            <w:vAlign w:val="center"/>
            <w:textDirection w:val="lrTb"/>
            <w:noWrap w:val="false"/>
          </w:tcPr>
          <w:p>
            <w:pPr>
              <w:pStyle w:val="1122"/>
              <w:rPr>
                <w:sz w:val="18"/>
                <w:szCs w:val="18"/>
                <w:lang w:eastAsia="zh-CN"/>
              </w:rPr>
            </w:pPr>
            <w:r>
              <w:rPr>
                <w:sz w:val="18"/>
                <w:szCs w:val="18"/>
                <w:lang w:eastAsia="zh-CN"/>
              </w:rPr>
            </w:r>
            <w:r/>
          </w:p>
        </w:tc>
        <w:tc>
          <w:tcPr>
            <w:tcW w:w="1309" w:type="dxa"/>
            <w:vAlign w:val="center"/>
            <w:textDirection w:val="lrTb"/>
            <w:noWrap w:val="false"/>
          </w:tcPr>
          <w:p>
            <w:pPr>
              <w:pStyle w:val="1122"/>
              <w:rPr>
                <w:sz w:val="18"/>
                <w:szCs w:val="18"/>
                <w:lang w:eastAsia="zh-CN"/>
              </w:rPr>
            </w:pPr>
            <w:r>
              <w:rPr>
                <w:sz w:val="18"/>
                <w:szCs w:val="18"/>
                <w:lang w:eastAsia="zh-CN"/>
              </w:rPr>
            </w:r>
            <w:r/>
          </w:p>
        </w:tc>
        <w:tc>
          <w:tcPr>
            <w:tcW w:w="1159" w:type="dxa"/>
            <w:vAlign w:val="center"/>
            <w:textDirection w:val="lrTb"/>
            <w:noWrap w:val="false"/>
          </w:tcPr>
          <w:p>
            <w:pPr>
              <w:pStyle w:val="1122"/>
              <w:rPr>
                <w:sz w:val="18"/>
                <w:szCs w:val="18"/>
                <w:lang w:eastAsia="zh-CN"/>
              </w:rPr>
            </w:pPr>
            <w:r>
              <w:rPr>
                <w:sz w:val="18"/>
                <w:szCs w:val="18"/>
                <w:lang w:eastAsia="zh-CN"/>
              </w:rPr>
            </w:r>
            <w:r/>
          </w:p>
        </w:tc>
        <w:tc>
          <w:tcPr>
            <w:tcW w:w="1041" w:type="dxa"/>
            <w:vAlign w:val="center"/>
            <w:textDirection w:val="lrTb"/>
            <w:noWrap w:val="false"/>
          </w:tcPr>
          <w:p>
            <w:pPr>
              <w:pStyle w:val="1122"/>
              <w:rPr>
                <w:sz w:val="18"/>
                <w:szCs w:val="18"/>
                <w:lang w:eastAsia="zh-CN"/>
              </w:rPr>
            </w:pPr>
            <w:r>
              <w:rPr>
                <w:sz w:val="18"/>
                <w:szCs w:val="18"/>
                <w:lang w:eastAsia="zh-CN"/>
              </w:rPr>
            </w:r>
            <w:r/>
          </w:p>
        </w:tc>
        <w:tc>
          <w:tcPr>
            <w:tcW w:w="1034" w:type="dxa"/>
            <w:vAlign w:val="center"/>
            <w:textDirection w:val="lrTb"/>
            <w:noWrap w:val="false"/>
          </w:tcPr>
          <w:p>
            <w:pPr>
              <w:pStyle w:val="1122"/>
              <w:rPr>
                <w:sz w:val="18"/>
                <w:szCs w:val="18"/>
                <w:lang w:eastAsia="zh-CN"/>
              </w:rPr>
            </w:pPr>
            <w:r>
              <w:rPr>
                <w:sz w:val="18"/>
                <w:szCs w:val="18"/>
                <w:lang w:eastAsia="zh-CN"/>
              </w:rPr>
            </w:r>
            <w:r/>
          </w:p>
        </w:tc>
        <w:tc>
          <w:tcPr>
            <w:tcW w:w="966" w:type="dxa"/>
            <w:vAlign w:val="center"/>
            <w:textDirection w:val="lrTb"/>
            <w:noWrap w:val="false"/>
          </w:tcPr>
          <w:p>
            <w:pPr>
              <w:pStyle w:val="1122"/>
              <w:rPr>
                <w:sz w:val="18"/>
                <w:szCs w:val="18"/>
                <w:lang w:eastAsia="zh-CN"/>
              </w:rPr>
            </w:pPr>
            <w:r>
              <w:rPr>
                <w:sz w:val="18"/>
                <w:szCs w:val="18"/>
                <w:lang w:eastAsia="zh-CN"/>
              </w:rPr>
            </w:r>
            <w:r/>
          </w:p>
        </w:tc>
        <w:tc>
          <w:tcPr>
            <w:tcW w:w="1152" w:type="dxa"/>
            <w:vAlign w:val="center"/>
            <w:textDirection w:val="lrTb"/>
            <w:noWrap w:val="false"/>
          </w:tcPr>
          <w:p>
            <w:pPr>
              <w:pStyle w:val="1122"/>
              <w:rPr>
                <w:sz w:val="18"/>
                <w:szCs w:val="18"/>
                <w:lang w:eastAsia="zh-CN"/>
              </w:rPr>
            </w:pPr>
            <w:r>
              <w:rPr>
                <w:sz w:val="18"/>
                <w:szCs w:val="18"/>
                <w:lang w:eastAsia="zh-CN"/>
              </w:rPr>
            </w:r>
            <w:r/>
          </w:p>
        </w:tc>
      </w:tr>
      <w:tr>
        <w:trPr>
          <w:jc w:val="center"/>
          <w:trHeight w:val="521"/>
        </w:trPr>
        <w:tc>
          <w:tcPr>
            <w:tcW w:w="2305" w:type="dxa"/>
            <w:vAlign w:val="top"/>
            <w:textDirection w:val="lrTb"/>
            <w:noWrap w:val="false"/>
          </w:tcPr>
          <w:p>
            <w:pPr>
              <w:spacing w:before="71" w:line="223" w:lineRule="auto"/>
              <w:rPr>
                <w:rFonts w:ascii="宋体" w:hAnsi="宋体" w:cs="宋体"/>
                <w:sz w:val="18"/>
                <w:szCs w:val="18"/>
              </w:rPr>
            </w:pPr>
            <w:r>
              <w:rPr>
                <w:rFonts w:ascii="宋体" w:hAnsi="宋体" w:cs="宋体"/>
                <w:spacing w:val="5"/>
                <w:sz w:val="18"/>
                <w:szCs w:val="18"/>
              </w:rPr>
              <w:t xml:space="preserve">⑥太湖新城划转9</w:t>
            </w:r>
            <w:r>
              <w:rPr>
                <w:rFonts w:ascii="宋体" w:hAnsi="宋体" w:cs="宋体"/>
                <w:sz w:val="18"/>
                <w:szCs w:val="18"/>
              </w:rPr>
              <w:t xml:space="preserve">km</w:t>
            </w:r>
            <w:r>
              <w:rPr>
                <w:rFonts w:ascii="宋体" w:hAnsi="宋体" w:cs="宋体"/>
                <w:spacing w:val="5"/>
                <w:sz w:val="18"/>
                <w:szCs w:val="18"/>
              </w:rPr>
              <w:t xml:space="preserve">²道路部分</w:t>
            </w:r>
            <w:r/>
          </w:p>
        </w:tc>
        <w:tc>
          <w:tcPr>
            <w:tcW w:w="1370" w:type="dxa"/>
            <w:vAlign w:val="center"/>
            <w:textDirection w:val="lrTb"/>
            <w:noWrap w:val="false"/>
          </w:tcPr>
          <w:p>
            <w:pPr>
              <w:pStyle w:val="1122"/>
              <w:rPr>
                <w:sz w:val="18"/>
                <w:szCs w:val="18"/>
              </w:rPr>
            </w:pPr>
            <w:r>
              <w:rPr>
                <w:sz w:val="18"/>
                <w:szCs w:val="18"/>
              </w:rPr>
            </w:r>
            <w:r/>
          </w:p>
        </w:tc>
        <w:tc>
          <w:tcPr>
            <w:tcW w:w="1309" w:type="dxa"/>
            <w:vAlign w:val="center"/>
            <w:textDirection w:val="lrTb"/>
            <w:noWrap w:val="false"/>
          </w:tcPr>
          <w:p>
            <w:pPr>
              <w:pStyle w:val="1122"/>
              <w:rPr>
                <w:sz w:val="18"/>
                <w:szCs w:val="18"/>
              </w:rPr>
            </w:pPr>
            <w:r>
              <w:rPr>
                <w:sz w:val="18"/>
                <w:szCs w:val="18"/>
              </w:rPr>
            </w:r>
            <w:r/>
          </w:p>
        </w:tc>
        <w:tc>
          <w:tcPr>
            <w:tcW w:w="1159" w:type="dxa"/>
            <w:vAlign w:val="center"/>
            <w:textDirection w:val="lrTb"/>
            <w:noWrap w:val="false"/>
          </w:tcPr>
          <w:p>
            <w:pPr>
              <w:pStyle w:val="1122"/>
              <w:rPr>
                <w:sz w:val="18"/>
                <w:szCs w:val="18"/>
              </w:rPr>
            </w:pPr>
            <w:r>
              <w:rPr>
                <w:sz w:val="18"/>
                <w:szCs w:val="18"/>
              </w:rPr>
            </w:r>
            <w:r/>
          </w:p>
        </w:tc>
        <w:tc>
          <w:tcPr>
            <w:tcW w:w="1041" w:type="dxa"/>
            <w:vAlign w:val="center"/>
            <w:textDirection w:val="lrTb"/>
            <w:noWrap w:val="false"/>
          </w:tcPr>
          <w:p>
            <w:pPr>
              <w:pStyle w:val="1122"/>
              <w:rPr>
                <w:sz w:val="18"/>
                <w:szCs w:val="18"/>
              </w:rPr>
            </w:pPr>
            <w:r>
              <w:rPr>
                <w:sz w:val="18"/>
                <w:szCs w:val="18"/>
              </w:rPr>
            </w:r>
            <w:r/>
          </w:p>
        </w:tc>
        <w:tc>
          <w:tcPr>
            <w:tcW w:w="1034" w:type="dxa"/>
            <w:vAlign w:val="center"/>
            <w:textDirection w:val="lrTb"/>
            <w:noWrap w:val="false"/>
          </w:tcPr>
          <w:p>
            <w:pPr>
              <w:pStyle w:val="1122"/>
              <w:rPr>
                <w:sz w:val="18"/>
                <w:szCs w:val="18"/>
              </w:rPr>
            </w:pPr>
            <w:r>
              <w:rPr>
                <w:sz w:val="18"/>
                <w:szCs w:val="18"/>
              </w:rPr>
            </w:r>
            <w:r/>
          </w:p>
        </w:tc>
        <w:tc>
          <w:tcPr>
            <w:tcW w:w="966" w:type="dxa"/>
            <w:vAlign w:val="center"/>
            <w:textDirection w:val="lrTb"/>
            <w:noWrap w:val="false"/>
          </w:tcPr>
          <w:p>
            <w:pPr>
              <w:pStyle w:val="1122"/>
              <w:rPr>
                <w:sz w:val="18"/>
                <w:szCs w:val="18"/>
              </w:rPr>
            </w:pPr>
            <w:r>
              <w:rPr>
                <w:sz w:val="18"/>
                <w:szCs w:val="18"/>
              </w:rPr>
            </w:r>
            <w:r/>
          </w:p>
        </w:tc>
        <w:tc>
          <w:tcPr>
            <w:tcW w:w="1152" w:type="dxa"/>
            <w:vAlign w:val="center"/>
            <w:textDirection w:val="lrTb"/>
            <w:noWrap w:val="false"/>
          </w:tcPr>
          <w:p>
            <w:pPr>
              <w:pStyle w:val="1122"/>
              <w:rPr>
                <w:sz w:val="18"/>
                <w:szCs w:val="18"/>
              </w:rPr>
            </w:pPr>
            <w:r>
              <w:rPr>
                <w:sz w:val="18"/>
                <w:szCs w:val="18"/>
              </w:rPr>
            </w:r>
            <w:r/>
          </w:p>
        </w:tc>
      </w:tr>
      <w:tr>
        <w:trPr>
          <w:jc w:val="center"/>
          <w:trHeight w:val="357"/>
        </w:trPr>
        <w:tc>
          <w:tcPr>
            <w:tcW w:w="2305" w:type="dxa"/>
            <w:vAlign w:val="top"/>
            <w:textDirection w:val="lrTb"/>
            <w:noWrap w:val="false"/>
          </w:tcPr>
          <w:p>
            <w:pPr>
              <w:spacing w:before="72" w:line="223" w:lineRule="auto"/>
              <w:rPr>
                <w:rFonts w:ascii="宋体" w:hAnsi="宋体" w:cs="宋体"/>
                <w:sz w:val="18"/>
                <w:szCs w:val="18"/>
              </w:rPr>
            </w:pPr>
            <w:r>
              <w:rPr>
                <w:rFonts w:ascii="宋体" w:hAnsi="宋体" w:cs="宋体"/>
                <w:spacing w:val="5"/>
                <w:sz w:val="18"/>
                <w:szCs w:val="18"/>
              </w:rPr>
              <w:t xml:space="preserve">⑦现镇级保障道路部分</w:t>
            </w:r>
            <w:r/>
          </w:p>
        </w:tc>
        <w:tc>
          <w:tcPr>
            <w:tcW w:w="1370" w:type="dxa"/>
            <w:vAlign w:val="center"/>
            <w:textDirection w:val="lrTb"/>
            <w:noWrap w:val="false"/>
          </w:tcPr>
          <w:p>
            <w:pPr>
              <w:pStyle w:val="1122"/>
              <w:rPr>
                <w:sz w:val="18"/>
                <w:szCs w:val="18"/>
                <w:lang w:eastAsia="zh-CN"/>
              </w:rPr>
            </w:pPr>
            <w:r>
              <w:rPr>
                <w:sz w:val="18"/>
                <w:szCs w:val="18"/>
                <w:lang w:eastAsia="zh-CN"/>
              </w:rPr>
            </w:r>
            <w:r/>
          </w:p>
        </w:tc>
        <w:tc>
          <w:tcPr>
            <w:tcW w:w="1309" w:type="dxa"/>
            <w:vAlign w:val="center"/>
            <w:textDirection w:val="lrTb"/>
            <w:noWrap w:val="false"/>
          </w:tcPr>
          <w:p>
            <w:pPr>
              <w:pStyle w:val="1122"/>
              <w:rPr>
                <w:sz w:val="18"/>
                <w:szCs w:val="18"/>
                <w:lang w:eastAsia="zh-CN"/>
              </w:rPr>
            </w:pPr>
            <w:r>
              <w:rPr>
                <w:sz w:val="18"/>
                <w:szCs w:val="18"/>
                <w:lang w:eastAsia="zh-CN"/>
              </w:rPr>
            </w:r>
            <w:r/>
          </w:p>
        </w:tc>
        <w:tc>
          <w:tcPr>
            <w:tcW w:w="1159" w:type="dxa"/>
            <w:vAlign w:val="center"/>
            <w:textDirection w:val="lrTb"/>
            <w:noWrap w:val="false"/>
          </w:tcPr>
          <w:p>
            <w:pPr>
              <w:pStyle w:val="1122"/>
              <w:rPr>
                <w:sz w:val="18"/>
                <w:szCs w:val="18"/>
                <w:lang w:eastAsia="zh-CN"/>
              </w:rPr>
            </w:pPr>
            <w:r>
              <w:rPr>
                <w:sz w:val="18"/>
                <w:szCs w:val="18"/>
                <w:lang w:eastAsia="zh-CN"/>
              </w:rPr>
            </w:r>
            <w:r/>
          </w:p>
        </w:tc>
        <w:tc>
          <w:tcPr>
            <w:tcW w:w="1041" w:type="dxa"/>
            <w:vAlign w:val="center"/>
            <w:textDirection w:val="lrTb"/>
            <w:noWrap w:val="false"/>
          </w:tcPr>
          <w:p>
            <w:pPr>
              <w:pStyle w:val="1122"/>
              <w:rPr>
                <w:sz w:val="18"/>
                <w:szCs w:val="18"/>
                <w:lang w:eastAsia="zh-CN"/>
              </w:rPr>
            </w:pPr>
            <w:r>
              <w:rPr>
                <w:sz w:val="18"/>
                <w:szCs w:val="18"/>
                <w:lang w:eastAsia="zh-CN"/>
              </w:rPr>
            </w:r>
            <w:r/>
          </w:p>
        </w:tc>
        <w:tc>
          <w:tcPr>
            <w:tcW w:w="1034" w:type="dxa"/>
            <w:vAlign w:val="center"/>
            <w:textDirection w:val="lrTb"/>
            <w:noWrap w:val="false"/>
          </w:tcPr>
          <w:p>
            <w:pPr>
              <w:pStyle w:val="1122"/>
              <w:rPr>
                <w:sz w:val="18"/>
                <w:szCs w:val="18"/>
                <w:lang w:eastAsia="zh-CN"/>
              </w:rPr>
            </w:pPr>
            <w:r>
              <w:rPr>
                <w:sz w:val="18"/>
                <w:szCs w:val="18"/>
                <w:lang w:eastAsia="zh-CN"/>
              </w:rPr>
            </w:r>
            <w:r/>
          </w:p>
        </w:tc>
        <w:tc>
          <w:tcPr>
            <w:tcW w:w="966" w:type="dxa"/>
            <w:vAlign w:val="center"/>
            <w:textDirection w:val="lrTb"/>
            <w:noWrap w:val="false"/>
          </w:tcPr>
          <w:p>
            <w:pPr>
              <w:pStyle w:val="1122"/>
              <w:rPr>
                <w:sz w:val="18"/>
                <w:szCs w:val="18"/>
                <w:lang w:eastAsia="zh-CN"/>
              </w:rPr>
            </w:pPr>
            <w:r>
              <w:rPr>
                <w:sz w:val="18"/>
                <w:szCs w:val="18"/>
                <w:lang w:eastAsia="zh-CN"/>
              </w:rPr>
            </w:r>
            <w:r/>
          </w:p>
        </w:tc>
        <w:tc>
          <w:tcPr>
            <w:tcW w:w="1152" w:type="dxa"/>
            <w:vAlign w:val="center"/>
            <w:textDirection w:val="lrTb"/>
            <w:noWrap w:val="false"/>
          </w:tcPr>
          <w:p>
            <w:pPr>
              <w:pStyle w:val="1122"/>
              <w:rPr>
                <w:sz w:val="18"/>
                <w:szCs w:val="18"/>
                <w:lang w:eastAsia="zh-CN"/>
              </w:rPr>
            </w:pPr>
            <w:r>
              <w:rPr>
                <w:sz w:val="18"/>
                <w:szCs w:val="18"/>
                <w:lang w:eastAsia="zh-CN"/>
              </w:rPr>
            </w:r>
            <w:r/>
          </w:p>
        </w:tc>
      </w:tr>
      <w:tr>
        <w:trPr>
          <w:jc w:val="center"/>
          <w:trHeight w:val="357"/>
        </w:trPr>
        <w:tc>
          <w:tcPr>
            <w:tcW w:w="2305" w:type="dxa"/>
            <w:vAlign w:val="top"/>
            <w:textDirection w:val="lrTb"/>
            <w:noWrap w:val="false"/>
          </w:tcPr>
          <w:p>
            <w:pPr>
              <w:spacing w:before="72" w:line="223" w:lineRule="auto"/>
              <w:rPr>
                <w:rFonts w:ascii="宋体" w:hAnsi="宋体" w:cs="宋体"/>
                <w:sz w:val="18"/>
                <w:szCs w:val="18"/>
              </w:rPr>
            </w:pPr>
            <w:r>
              <w:rPr>
                <w:rFonts w:ascii="宋体" w:hAnsi="宋体" w:cs="宋体"/>
                <w:spacing w:val="4"/>
                <w:sz w:val="18"/>
                <w:szCs w:val="18"/>
              </w:rPr>
              <w:t xml:space="preserve">⑧国省干道部分</w:t>
            </w:r>
            <w:r/>
          </w:p>
        </w:tc>
        <w:tc>
          <w:tcPr>
            <w:tcW w:w="1370" w:type="dxa"/>
            <w:vAlign w:val="center"/>
            <w:textDirection w:val="lrTb"/>
            <w:noWrap w:val="false"/>
          </w:tcPr>
          <w:p>
            <w:pPr>
              <w:pStyle w:val="1122"/>
              <w:rPr>
                <w:sz w:val="18"/>
                <w:szCs w:val="18"/>
              </w:rPr>
            </w:pPr>
            <w:r>
              <w:rPr>
                <w:sz w:val="18"/>
                <w:szCs w:val="18"/>
              </w:rPr>
            </w:r>
            <w:r/>
          </w:p>
        </w:tc>
        <w:tc>
          <w:tcPr>
            <w:tcW w:w="1309" w:type="dxa"/>
            <w:vAlign w:val="center"/>
            <w:textDirection w:val="lrTb"/>
            <w:noWrap w:val="false"/>
          </w:tcPr>
          <w:p>
            <w:pPr>
              <w:pStyle w:val="1122"/>
              <w:rPr>
                <w:sz w:val="18"/>
                <w:szCs w:val="18"/>
              </w:rPr>
            </w:pPr>
            <w:r>
              <w:rPr>
                <w:sz w:val="18"/>
                <w:szCs w:val="18"/>
              </w:rPr>
            </w:r>
            <w:r/>
          </w:p>
        </w:tc>
        <w:tc>
          <w:tcPr>
            <w:tcW w:w="1159" w:type="dxa"/>
            <w:vAlign w:val="center"/>
            <w:textDirection w:val="lrTb"/>
            <w:noWrap w:val="false"/>
          </w:tcPr>
          <w:p>
            <w:pPr>
              <w:pStyle w:val="1122"/>
              <w:rPr>
                <w:sz w:val="18"/>
                <w:szCs w:val="18"/>
              </w:rPr>
            </w:pPr>
            <w:r>
              <w:rPr>
                <w:sz w:val="18"/>
                <w:szCs w:val="18"/>
              </w:rPr>
            </w:r>
            <w:r/>
          </w:p>
        </w:tc>
        <w:tc>
          <w:tcPr>
            <w:tcW w:w="1041" w:type="dxa"/>
            <w:vAlign w:val="center"/>
            <w:textDirection w:val="lrTb"/>
            <w:noWrap w:val="false"/>
          </w:tcPr>
          <w:p>
            <w:pPr>
              <w:pStyle w:val="1122"/>
              <w:rPr>
                <w:sz w:val="18"/>
                <w:szCs w:val="18"/>
              </w:rPr>
            </w:pPr>
            <w:r>
              <w:rPr>
                <w:sz w:val="18"/>
                <w:szCs w:val="18"/>
              </w:rPr>
            </w:r>
            <w:r/>
          </w:p>
        </w:tc>
        <w:tc>
          <w:tcPr>
            <w:tcW w:w="1034" w:type="dxa"/>
            <w:vAlign w:val="center"/>
            <w:textDirection w:val="lrTb"/>
            <w:noWrap w:val="false"/>
          </w:tcPr>
          <w:p>
            <w:pPr>
              <w:pStyle w:val="1122"/>
              <w:rPr>
                <w:sz w:val="18"/>
                <w:szCs w:val="18"/>
              </w:rPr>
            </w:pPr>
            <w:r>
              <w:rPr>
                <w:sz w:val="18"/>
                <w:szCs w:val="18"/>
              </w:rPr>
            </w:r>
            <w:r/>
          </w:p>
        </w:tc>
        <w:tc>
          <w:tcPr>
            <w:tcW w:w="966" w:type="dxa"/>
            <w:vAlign w:val="center"/>
            <w:textDirection w:val="lrTb"/>
            <w:noWrap w:val="false"/>
          </w:tcPr>
          <w:p>
            <w:pPr>
              <w:pStyle w:val="1122"/>
              <w:rPr>
                <w:sz w:val="18"/>
                <w:szCs w:val="18"/>
              </w:rPr>
            </w:pPr>
            <w:r>
              <w:rPr>
                <w:sz w:val="18"/>
                <w:szCs w:val="18"/>
              </w:rPr>
            </w:r>
            <w:r/>
          </w:p>
        </w:tc>
        <w:tc>
          <w:tcPr>
            <w:tcW w:w="1152" w:type="dxa"/>
            <w:vAlign w:val="center"/>
            <w:textDirection w:val="lrTb"/>
            <w:noWrap w:val="false"/>
          </w:tcPr>
          <w:p>
            <w:pPr>
              <w:pStyle w:val="1122"/>
              <w:rPr>
                <w:sz w:val="18"/>
                <w:szCs w:val="18"/>
              </w:rPr>
            </w:pPr>
            <w:r>
              <w:rPr>
                <w:sz w:val="18"/>
                <w:szCs w:val="18"/>
              </w:rPr>
            </w:r>
            <w:r/>
          </w:p>
        </w:tc>
      </w:tr>
      <w:tr>
        <w:trPr>
          <w:jc w:val="center"/>
          <w:trHeight w:val="357"/>
        </w:trPr>
        <w:tc>
          <w:tcPr>
            <w:tcW w:w="2305" w:type="dxa"/>
            <w:vAlign w:val="top"/>
            <w:textDirection w:val="lrTb"/>
            <w:noWrap w:val="false"/>
          </w:tcPr>
          <w:p>
            <w:pPr>
              <w:ind w:left="199"/>
              <w:spacing w:before="72" w:line="225" w:lineRule="auto"/>
              <w:rPr>
                <w:rFonts w:ascii="宋体" w:hAnsi="宋体" w:cs="宋体"/>
                <w:sz w:val="18"/>
                <w:szCs w:val="18"/>
              </w:rPr>
            </w:pPr>
            <w:r>
              <w:rPr>
                <w:rFonts w:ascii="宋体" w:hAnsi="宋体" w:cs="宋体"/>
                <w:b/>
                <w:bCs/>
                <w:spacing w:val="4"/>
                <w:sz w:val="18"/>
                <w:szCs w:val="18"/>
              </w:rPr>
              <w:t xml:space="preserve">道路保洁小计</w:t>
            </w:r>
            <w:r/>
          </w:p>
        </w:tc>
        <w:tc>
          <w:tcPr>
            <w:tcW w:w="1370" w:type="dxa"/>
            <w:vAlign w:val="center"/>
            <w:textDirection w:val="lrTb"/>
            <w:noWrap w:val="false"/>
          </w:tcPr>
          <w:p>
            <w:pPr>
              <w:pStyle w:val="1122"/>
              <w:rPr>
                <w:sz w:val="18"/>
                <w:szCs w:val="18"/>
              </w:rPr>
            </w:pPr>
            <w:r>
              <w:rPr>
                <w:sz w:val="18"/>
                <w:szCs w:val="18"/>
              </w:rPr>
            </w:r>
            <w:r/>
          </w:p>
        </w:tc>
        <w:tc>
          <w:tcPr>
            <w:tcW w:w="1309" w:type="dxa"/>
            <w:vAlign w:val="center"/>
            <w:textDirection w:val="lrTb"/>
            <w:noWrap w:val="false"/>
          </w:tcPr>
          <w:p>
            <w:pPr>
              <w:pStyle w:val="1122"/>
              <w:rPr>
                <w:sz w:val="18"/>
                <w:szCs w:val="18"/>
              </w:rPr>
            </w:pPr>
            <w:r>
              <w:rPr>
                <w:sz w:val="18"/>
                <w:szCs w:val="18"/>
              </w:rPr>
            </w:r>
            <w:r/>
          </w:p>
        </w:tc>
        <w:tc>
          <w:tcPr>
            <w:tcW w:w="1159" w:type="dxa"/>
            <w:vAlign w:val="center"/>
            <w:textDirection w:val="lrTb"/>
            <w:noWrap w:val="false"/>
          </w:tcPr>
          <w:p>
            <w:pPr>
              <w:pStyle w:val="1122"/>
              <w:rPr>
                <w:sz w:val="18"/>
                <w:szCs w:val="18"/>
              </w:rPr>
            </w:pPr>
            <w:r>
              <w:rPr>
                <w:sz w:val="18"/>
                <w:szCs w:val="18"/>
              </w:rPr>
            </w:r>
            <w:r/>
          </w:p>
        </w:tc>
        <w:tc>
          <w:tcPr>
            <w:tcW w:w="1041" w:type="dxa"/>
            <w:vAlign w:val="center"/>
            <w:textDirection w:val="lrTb"/>
            <w:noWrap w:val="false"/>
          </w:tcPr>
          <w:p>
            <w:pPr>
              <w:pStyle w:val="1122"/>
              <w:rPr>
                <w:sz w:val="18"/>
                <w:szCs w:val="18"/>
              </w:rPr>
            </w:pPr>
            <w:r>
              <w:rPr>
                <w:sz w:val="18"/>
                <w:szCs w:val="18"/>
              </w:rPr>
            </w:r>
            <w:r/>
          </w:p>
        </w:tc>
        <w:tc>
          <w:tcPr>
            <w:tcW w:w="1034" w:type="dxa"/>
            <w:vAlign w:val="center"/>
            <w:textDirection w:val="lrTb"/>
            <w:noWrap w:val="false"/>
          </w:tcPr>
          <w:p>
            <w:pPr>
              <w:pStyle w:val="1122"/>
              <w:rPr>
                <w:sz w:val="18"/>
                <w:szCs w:val="18"/>
              </w:rPr>
            </w:pPr>
            <w:r>
              <w:rPr>
                <w:sz w:val="18"/>
                <w:szCs w:val="18"/>
              </w:rPr>
            </w:r>
            <w:r/>
          </w:p>
        </w:tc>
        <w:tc>
          <w:tcPr>
            <w:tcW w:w="966" w:type="dxa"/>
            <w:vAlign w:val="center"/>
            <w:textDirection w:val="lrTb"/>
            <w:noWrap w:val="false"/>
          </w:tcPr>
          <w:p>
            <w:pPr>
              <w:pStyle w:val="1122"/>
              <w:rPr>
                <w:sz w:val="18"/>
                <w:szCs w:val="18"/>
              </w:rPr>
            </w:pPr>
            <w:r>
              <w:rPr>
                <w:sz w:val="18"/>
                <w:szCs w:val="18"/>
              </w:rPr>
            </w:r>
            <w:r/>
          </w:p>
        </w:tc>
        <w:tc>
          <w:tcPr>
            <w:tcW w:w="1152" w:type="dxa"/>
            <w:vAlign w:val="center"/>
            <w:textDirection w:val="lrTb"/>
            <w:noWrap w:val="false"/>
          </w:tcPr>
          <w:p>
            <w:pPr>
              <w:pStyle w:val="1122"/>
              <w:rPr>
                <w:sz w:val="18"/>
                <w:szCs w:val="18"/>
              </w:rPr>
            </w:pPr>
            <w:r>
              <w:rPr>
                <w:sz w:val="18"/>
                <w:szCs w:val="18"/>
              </w:rPr>
            </w:r>
            <w:r/>
          </w:p>
        </w:tc>
      </w:tr>
      <w:tr>
        <w:trPr>
          <w:jc w:val="center"/>
          <w:trHeight w:val="357"/>
        </w:trPr>
        <w:tc>
          <w:tcPr>
            <w:tcW w:w="2305" w:type="dxa"/>
            <w:vAlign w:val="top"/>
            <w:textDirection w:val="lrTb"/>
            <w:noWrap w:val="false"/>
          </w:tcPr>
          <w:p>
            <w:pPr>
              <w:ind w:left="32"/>
              <w:spacing w:before="73" w:line="225" w:lineRule="auto"/>
              <w:rPr>
                <w:rFonts w:ascii="宋体" w:hAnsi="宋体" w:cs="宋体"/>
                <w:sz w:val="18"/>
                <w:szCs w:val="18"/>
              </w:rPr>
            </w:pPr>
            <w:r>
              <w:rPr>
                <w:rFonts w:ascii="宋体" w:hAnsi="宋体" w:cs="宋体"/>
                <w:b/>
                <w:bCs/>
                <w:spacing w:val="3"/>
                <w:sz w:val="18"/>
                <w:szCs w:val="18"/>
              </w:rPr>
              <w:t xml:space="preserve">二、公厕管养</w:t>
            </w:r>
            <w:r/>
          </w:p>
        </w:tc>
        <w:tc>
          <w:tcPr>
            <w:tcW w:w="1370" w:type="dxa"/>
            <w:vAlign w:val="center"/>
            <w:textDirection w:val="lrTb"/>
            <w:noWrap w:val="false"/>
          </w:tcPr>
          <w:p>
            <w:pPr>
              <w:pStyle w:val="1122"/>
              <w:rPr>
                <w:sz w:val="18"/>
                <w:szCs w:val="18"/>
              </w:rPr>
            </w:pPr>
            <w:r>
              <w:rPr>
                <w:sz w:val="18"/>
                <w:szCs w:val="18"/>
              </w:rPr>
            </w:r>
            <w:r/>
          </w:p>
        </w:tc>
        <w:tc>
          <w:tcPr>
            <w:tcW w:w="1309" w:type="dxa"/>
            <w:vAlign w:val="center"/>
            <w:textDirection w:val="lrTb"/>
            <w:noWrap w:val="false"/>
          </w:tcPr>
          <w:p>
            <w:pPr>
              <w:pStyle w:val="1122"/>
              <w:rPr>
                <w:sz w:val="18"/>
                <w:szCs w:val="18"/>
              </w:rPr>
            </w:pPr>
            <w:r>
              <w:rPr>
                <w:sz w:val="18"/>
                <w:szCs w:val="18"/>
              </w:rPr>
            </w:r>
            <w:r/>
          </w:p>
        </w:tc>
        <w:tc>
          <w:tcPr>
            <w:tcW w:w="1159" w:type="dxa"/>
            <w:vAlign w:val="center"/>
            <w:textDirection w:val="lrTb"/>
            <w:noWrap w:val="false"/>
          </w:tcPr>
          <w:p>
            <w:pPr>
              <w:pStyle w:val="1122"/>
              <w:rPr>
                <w:sz w:val="18"/>
                <w:szCs w:val="18"/>
              </w:rPr>
            </w:pPr>
            <w:r>
              <w:rPr>
                <w:sz w:val="18"/>
                <w:szCs w:val="18"/>
              </w:rPr>
            </w:r>
            <w:r/>
          </w:p>
        </w:tc>
        <w:tc>
          <w:tcPr>
            <w:tcW w:w="1041" w:type="dxa"/>
            <w:vAlign w:val="center"/>
            <w:textDirection w:val="lrTb"/>
            <w:noWrap w:val="false"/>
          </w:tcPr>
          <w:p>
            <w:pPr>
              <w:pStyle w:val="1122"/>
              <w:rPr>
                <w:sz w:val="18"/>
                <w:szCs w:val="18"/>
              </w:rPr>
            </w:pPr>
            <w:r>
              <w:rPr>
                <w:sz w:val="18"/>
                <w:szCs w:val="18"/>
              </w:rPr>
            </w:r>
            <w:r/>
          </w:p>
        </w:tc>
        <w:tc>
          <w:tcPr>
            <w:tcW w:w="1034" w:type="dxa"/>
            <w:vAlign w:val="center"/>
            <w:textDirection w:val="lrTb"/>
            <w:noWrap w:val="false"/>
          </w:tcPr>
          <w:p>
            <w:pPr>
              <w:pStyle w:val="1122"/>
              <w:rPr>
                <w:sz w:val="18"/>
                <w:szCs w:val="18"/>
              </w:rPr>
            </w:pPr>
            <w:r>
              <w:rPr>
                <w:sz w:val="18"/>
                <w:szCs w:val="18"/>
              </w:rPr>
            </w:r>
            <w:r/>
          </w:p>
        </w:tc>
        <w:tc>
          <w:tcPr>
            <w:tcW w:w="966" w:type="dxa"/>
            <w:vAlign w:val="center"/>
            <w:textDirection w:val="lrTb"/>
            <w:noWrap w:val="false"/>
          </w:tcPr>
          <w:p>
            <w:pPr>
              <w:pStyle w:val="1122"/>
              <w:rPr>
                <w:sz w:val="18"/>
                <w:szCs w:val="18"/>
              </w:rPr>
            </w:pPr>
            <w:r>
              <w:rPr>
                <w:sz w:val="18"/>
                <w:szCs w:val="18"/>
              </w:rPr>
            </w:r>
            <w:r/>
          </w:p>
        </w:tc>
        <w:tc>
          <w:tcPr>
            <w:tcW w:w="1152" w:type="dxa"/>
            <w:vAlign w:val="center"/>
            <w:textDirection w:val="lrTb"/>
            <w:noWrap w:val="false"/>
          </w:tcPr>
          <w:p>
            <w:pPr>
              <w:pStyle w:val="1122"/>
              <w:rPr>
                <w:sz w:val="18"/>
                <w:szCs w:val="18"/>
              </w:rPr>
            </w:pPr>
            <w:r>
              <w:rPr>
                <w:sz w:val="18"/>
                <w:szCs w:val="18"/>
              </w:rPr>
            </w:r>
            <w:r/>
          </w:p>
        </w:tc>
      </w:tr>
      <w:tr>
        <w:trPr>
          <w:jc w:val="center"/>
          <w:trHeight w:val="357"/>
        </w:trPr>
        <w:tc>
          <w:tcPr>
            <w:tcW w:w="2305" w:type="dxa"/>
            <w:vAlign w:val="top"/>
            <w:textDirection w:val="lrTb"/>
            <w:noWrap w:val="false"/>
          </w:tcPr>
          <w:p>
            <w:pPr>
              <w:spacing w:before="73" w:line="223" w:lineRule="auto"/>
              <w:rPr>
                <w:rFonts w:ascii="宋体" w:hAnsi="宋体" w:cs="宋体"/>
                <w:sz w:val="18"/>
                <w:szCs w:val="18"/>
              </w:rPr>
            </w:pPr>
            <w:r>
              <w:rPr>
                <w:rFonts w:ascii="宋体" w:hAnsi="宋体" w:cs="宋体"/>
                <w:spacing w:val="4"/>
                <w:sz w:val="18"/>
                <w:szCs w:val="18"/>
              </w:rPr>
              <w:t xml:space="preserve">①2017年下放区管公厕</w:t>
            </w:r>
            <w:r/>
          </w:p>
        </w:tc>
        <w:tc>
          <w:tcPr>
            <w:tcW w:w="1370" w:type="dxa"/>
            <w:vAlign w:val="center"/>
            <w:textDirection w:val="lrTb"/>
            <w:noWrap w:val="false"/>
          </w:tcPr>
          <w:p>
            <w:pPr>
              <w:pStyle w:val="1122"/>
              <w:rPr>
                <w:sz w:val="18"/>
                <w:szCs w:val="18"/>
              </w:rPr>
            </w:pPr>
            <w:r>
              <w:rPr>
                <w:sz w:val="18"/>
                <w:szCs w:val="18"/>
              </w:rPr>
            </w:r>
            <w:r/>
          </w:p>
        </w:tc>
        <w:tc>
          <w:tcPr>
            <w:tcW w:w="1309" w:type="dxa"/>
            <w:vAlign w:val="center"/>
            <w:textDirection w:val="lrTb"/>
            <w:noWrap w:val="false"/>
          </w:tcPr>
          <w:p>
            <w:pPr>
              <w:pStyle w:val="1122"/>
              <w:rPr>
                <w:sz w:val="18"/>
                <w:szCs w:val="18"/>
              </w:rPr>
            </w:pPr>
            <w:r>
              <w:rPr>
                <w:sz w:val="18"/>
                <w:szCs w:val="18"/>
              </w:rPr>
            </w:r>
            <w:r/>
          </w:p>
        </w:tc>
        <w:tc>
          <w:tcPr>
            <w:tcW w:w="1159" w:type="dxa"/>
            <w:vAlign w:val="center"/>
            <w:textDirection w:val="lrTb"/>
            <w:noWrap w:val="false"/>
          </w:tcPr>
          <w:p>
            <w:pPr>
              <w:pStyle w:val="1122"/>
              <w:rPr>
                <w:sz w:val="18"/>
                <w:szCs w:val="18"/>
              </w:rPr>
            </w:pPr>
            <w:r>
              <w:rPr>
                <w:sz w:val="18"/>
                <w:szCs w:val="18"/>
              </w:rPr>
            </w:r>
            <w:r/>
          </w:p>
        </w:tc>
        <w:tc>
          <w:tcPr>
            <w:tcW w:w="1041" w:type="dxa"/>
            <w:vAlign w:val="center"/>
            <w:textDirection w:val="lrTb"/>
            <w:noWrap w:val="false"/>
          </w:tcPr>
          <w:p>
            <w:pPr>
              <w:pStyle w:val="1122"/>
              <w:rPr>
                <w:sz w:val="18"/>
                <w:szCs w:val="18"/>
              </w:rPr>
            </w:pPr>
            <w:r>
              <w:rPr>
                <w:sz w:val="18"/>
                <w:szCs w:val="18"/>
              </w:rPr>
            </w:r>
            <w:r/>
          </w:p>
        </w:tc>
        <w:tc>
          <w:tcPr>
            <w:tcW w:w="1034" w:type="dxa"/>
            <w:vAlign w:val="center"/>
            <w:textDirection w:val="lrTb"/>
            <w:noWrap w:val="false"/>
          </w:tcPr>
          <w:p>
            <w:pPr>
              <w:pStyle w:val="1122"/>
              <w:rPr>
                <w:sz w:val="18"/>
                <w:szCs w:val="18"/>
              </w:rPr>
            </w:pPr>
            <w:r>
              <w:rPr>
                <w:sz w:val="18"/>
                <w:szCs w:val="18"/>
              </w:rPr>
            </w:r>
            <w:r/>
          </w:p>
        </w:tc>
        <w:tc>
          <w:tcPr>
            <w:tcW w:w="966" w:type="dxa"/>
            <w:vAlign w:val="center"/>
            <w:textDirection w:val="lrTb"/>
            <w:noWrap w:val="false"/>
          </w:tcPr>
          <w:p>
            <w:pPr>
              <w:pStyle w:val="1122"/>
              <w:rPr>
                <w:sz w:val="18"/>
                <w:szCs w:val="18"/>
              </w:rPr>
            </w:pPr>
            <w:r>
              <w:rPr>
                <w:sz w:val="18"/>
                <w:szCs w:val="18"/>
              </w:rPr>
            </w:r>
            <w:r/>
          </w:p>
        </w:tc>
        <w:tc>
          <w:tcPr>
            <w:tcW w:w="1152" w:type="dxa"/>
            <w:vAlign w:val="center"/>
            <w:textDirection w:val="lrTb"/>
            <w:noWrap w:val="false"/>
          </w:tcPr>
          <w:p>
            <w:pPr>
              <w:pStyle w:val="1122"/>
              <w:rPr>
                <w:sz w:val="18"/>
                <w:szCs w:val="18"/>
              </w:rPr>
            </w:pPr>
            <w:r>
              <w:rPr>
                <w:sz w:val="18"/>
                <w:szCs w:val="18"/>
              </w:rPr>
            </w:r>
            <w:r/>
          </w:p>
        </w:tc>
      </w:tr>
      <w:tr>
        <w:trPr>
          <w:jc w:val="center"/>
          <w:trHeight w:val="357"/>
        </w:trPr>
        <w:tc>
          <w:tcPr>
            <w:tcW w:w="2305" w:type="dxa"/>
            <w:vAlign w:val="top"/>
            <w:textDirection w:val="lrTb"/>
            <w:noWrap w:val="false"/>
          </w:tcPr>
          <w:p>
            <w:pPr>
              <w:spacing w:before="74" w:line="223" w:lineRule="auto"/>
              <w:rPr>
                <w:rFonts w:ascii="宋体" w:hAnsi="宋体" w:cs="宋体"/>
                <w:sz w:val="18"/>
                <w:szCs w:val="18"/>
              </w:rPr>
            </w:pPr>
            <w:r>
              <w:rPr>
                <w:rFonts w:ascii="宋体" w:hAnsi="宋体" w:cs="宋体"/>
                <w:spacing w:val="5"/>
                <w:sz w:val="18"/>
                <w:szCs w:val="18"/>
              </w:rPr>
              <w:t xml:space="preserve">②区级出资建设的公厕</w:t>
            </w:r>
            <w:r/>
          </w:p>
        </w:tc>
        <w:tc>
          <w:tcPr>
            <w:tcW w:w="1370" w:type="dxa"/>
            <w:vAlign w:val="center"/>
            <w:textDirection w:val="lrTb"/>
            <w:noWrap w:val="false"/>
          </w:tcPr>
          <w:p>
            <w:pPr>
              <w:pStyle w:val="1122"/>
              <w:rPr>
                <w:sz w:val="18"/>
                <w:szCs w:val="18"/>
                <w:lang w:eastAsia="zh-CN"/>
              </w:rPr>
            </w:pPr>
            <w:r>
              <w:rPr>
                <w:sz w:val="18"/>
                <w:szCs w:val="18"/>
                <w:lang w:eastAsia="zh-CN"/>
              </w:rPr>
            </w:r>
            <w:r/>
          </w:p>
        </w:tc>
        <w:tc>
          <w:tcPr>
            <w:tcW w:w="1309" w:type="dxa"/>
            <w:vAlign w:val="center"/>
            <w:textDirection w:val="lrTb"/>
            <w:noWrap w:val="false"/>
          </w:tcPr>
          <w:p>
            <w:pPr>
              <w:pStyle w:val="1122"/>
              <w:rPr>
                <w:sz w:val="18"/>
                <w:szCs w:val="18"/>
                <w:lang w:eastAsia="zh-CN"/>
              </w:rPr>
            </w:pPr>
            <w:r>
              <w:rPr>
                <w:sz w:val="18"/>
                <w:szCs w:val="18"/>
                <w:lang w:eastAsia="zh-CN"/>
              </w:rPr>
            </w:r>
            <w:r/>
          </w:p>
        </w:tc>
        <w:tc>
          <w:tcPr>
            <w:tcW w:w="1159" w:type="dxa"/>
            <w:vAlign w:val="center"/>
            <w:textDirection w:val="lrTb"/>
            <w:noWrap w:val="false"/>
          </w:tcPr>
          <w:p>
            <w:pPr>
              <w:pStyle w:val="1122"/>
              <w:rPr>
                <w:sz w:val="18"/>
                <w:szCs w:val="18"/>
                <w:lang w:eastAsia="zh-CN"/>
              </w:rPr>
            </w:pPr>
            <w:r>
              <w:rPr>
                <w:sz w:val="18"/>
                <w:szCs w:val="18"/>
                <w:lang w:eastAsia="zh-CN"/>
              </w:rPr>
            </w:r>
            <w:r/>
          </w:p>
        </w:tc>
        <w:tc>
          <w:tcPr>
            <w:tcW w:w="1041" w:type="dxa"/>
            <w:vAlign w:val="center"/>
            <w:textDirection w:val="lrTb"/>
            <w:noWrap w:val="false"/>
          </w:tcPr>
          <w:p>
            <w:pPr>
              <w:pStyle w:val="1122"/>
              <w:rPr>
                <w:sz w:val="18"/>
                <w:szCs w:val="18"/>
                <w:lang w:eastAsia="zh-CN"/>
              </w:rPr>
            </w:pPr>
            <w:r>
              <w:rPr>
                <w:sz w:val="18"/>
                <w:szCs w:val="18"/>
                <w:lang w:eastAsia="zh-CN"/>
              </w:rPr>
            </w:r>
            <w:r/>
          </w:p>
        </w:tc>
        <w:tc>
          <w:tcPr>
            <w:tcW w:w="1034" w:type="dxa"/>
            <w:vAlign w:val="center"/>
            <w:textDirection w:val="lrTb"/>
            <w:noWrap w:val="false"/>
          </w:tcPr>
          <w:p>
            <w:pPr>
              <w:pStyle w:val="1122"/>
              <w:rPr>
                <w:sz w:val="18"/>
                <w:szCs w:val="18"/>
                <w:lang w:eastAsia="zh-CN"/>
              </w:rPr>
            </w:pPr>
            <w:r>
              <w:rPr>
                <w:sz w:val="18"/>
                <w:szCs w:val="18"/>
                <w:lang w:eastAsia="zh-CN"/>
              </w:rPr>
            </w:r>
            <w:r/>
          </w:p>
        </w:tc>
        <w:tc>
          <w:tcPr>
            <w:tcW w:w="966" w:type="dxa"/>
            <w:vAlign w:val="center"/>
            <w:textDirection w:val="lrTb"/>
            <w:noWrap w:val="false"/>
          </w:tcPr>
          <w:p>
            <w:pPr>
              <w:pStyle w:val="1122"/>
              <w:rPr>
                <w:sz w:val="18"/>
                <w:szCs w:val="18"/>
                <w:lang w:eastAsia="zh-CN"/>
              </w:rPr>
            </w:pPr>
            <w:r>
              <w:rPr>
                <w:sz w:val="18"/>
                <w:szCs w:val="18"/>
                <w:lang w:eastAsia="zh-CN"/>
              </w:rPr>
            </w:r>
            <w:r/>
          </w:p>
        </w:tc>
        <w:tc>
          <w:tcPr>
            <w:tcW w:w="1152" w:type="dxa"/>
            <w:vAlign w:val="center"/>
            <w:textDirection w:val="lrTb"/>
            <w:noWrap w:val="false"/>
          </w:tcPr>
          <w:p>
            <w:pPr>
              <w:pStyle w:val="1122"/>
              <w:rPr>
                <w:sz w:val="18"/>
                <w:szCs w:val="18"/>
                <w:lang w:eastAsia="zh-CN"/>
              </w:rPr>
            </w:pPr>
            <w:r>
              <w:rPr>
                <w:sz w:val="18"/>
                <w:szCs w:val="18"/>
                <w:lang w:eastAsia="zh-CN"/>
              </w:rPr>
            </w:r>
            <w:r/>
          </w:p>
        </w:tc>
      </w:tr>
      <w:tr>
        <w:trPr>
          <w:jc w:val="center"/>
          <w:trHeight w:val="357"/>
        </w:trPr>
        <w:tc>
          <w:tcPr>
            <w:tcW w:w="2305" w:type="dxa"/>
            <w:vAlign w:val="top"/>
            <w:textDirection w:val="lrTb"/>
            <w:noWrap w:val="false"/>
          </w:tcPr>
          <w:p>
            <w:pPr>
              <w:spacing w:before="74" w:line="223" w:lineRule="auto"/>
              <w:rPr>
                <w:rFonts w:ascii="宋体" w:hAnsi="宋体" w:cs="宋体"/>
                <w:sz w:val="18"/>
                <w:szCs w:val="18"/>
              </w:rPr>
            </w:pPr>
            <w:r>
              <w:rPr>
                <w:rFonts w:ascii="宋体" w:hAnsi="宋体" w:cs="宋体"/>
                <w:spacing w:val="5"/>
                <w:sz w:val="18"/>
                <w:szCs w:val="18"/>
              </w:rPr>
              <w:t xml:space="preserve">③商品房小区接管公厕</w:t>
            </w:r>
            <w:r/>
          </w:p>
        </w:tc>
        <w:tc>
          <w:tcPr>
            <w:tcW w:w="1370" w:type="dxa"/>
            <w:vAlign w:val="center"/>
            <w:textDirection w:val="lrTb"/>
            <w:noWrap w:val="false"/>
          </w:tcPr>
          <w:p>
            <w:pPr>
              <w:pStyle w:val="1122"/>
              <w:rPr>
                <w:sz w:val="18"/>
                <w:szCs w:val="18"/>
                <w:lang w:eastAsia="zh-CN"/>
              </w:rPr>
            </w:pPr>
            <w:r>
              <w:rPr>
                <w:sz w:val="18"/>
                <w:szCs w:val="18"/>
                <w:lang w:eastAsia="zh-CN"/>
              </w:rPr>
            </w:r>
            <w:r/>
          </w:p>
        </w:tc>
        <w:tc>
          <w:tcPr>
            <w:tcW w:w="1309" w:type="dxa"/>
            <w:vAlign w:val="center"/>
            <w:textDirection w:val="lrTb"/>
            <w:noWrap w:val="false"/>
          </w:tcPr>
          <w:p>
            <w:pPr>
              <w:pStyle w:val="1122"/>
              <w:rPr>
                <w:sz w:val="18"/>
                <w:szCs w:val="18"/>
                <w:lang w:eastAsia="zh-CN"/>
              </w:rPr>
            </w:pPr>
            <w:r>
              <w:rPr>
                <w:sz w:val="18"/>
                <w:szCs w:val="18"/>
                <w:lang w:eastAsia="zh-CN"/>
              </w:rPr>
            </w:r>
            <w:r/>
          </w:p>
        </w:tc>
        <w:tc>
          <w:tcPr>
            <w:tcW w:w="1159" w:type="dxa"/>
            <w:vAlign w:val="center"/>
            <w:textDirection w:val="lrTb"/>
            <w:noWrap w:val="false"/>
          </w:tcPr>
          <w:p>
            <w:pPr>
              <w:pStyle w:val="1122"/>
              <w:rPr>
                <w:sz w:val="18"/>
                <w:szCs w:val="18"/>
                <w:lang w:eastAsia="zh-CN"/>
              </w:rPr>
            </w:pPr>
            <w:r>
              <w:rPr>
                <w:sz w:val="18"/>
                <w:szCs w:val="18"/>
                <w:lang w:eastAsia="zh-CN"/>
              </w:rPr>
            </w:r>
            <w:r/>
          </w:p>
        </w:tc>
        <w:tc>
          <w:tcPr>
            <w:tcW w:w="1041" w:type="dxa"/>
            <w:vAlign w:val="center"/>
            <w:textDirection w:val="lrTb"/>
            <w:noWrap w:val="false"/>
          </w:tcPr>
          <w:p>
            <w:pPr>
              <w:pStyle w:val="1122"/>
              <w:rPr>
                <w:sz w:val="18"/>
                <w:szCs w:val="18"/>
                <w:lang w:eastAsia="zh-CN"/>
              </w:rPr>
            </w:pPr>
            <w:r>
              <w:rPr>
                <w:sz w:val="18"/>
                <w:szCs w:val="18"/>
                <w:lang w:eastAsia="zh-CN"/>
              </w:rPr>
            </w:r>
            <w:r/>
          </w:p>
        </w:tc>
        <w:tc>
          <w:tcPr>
            <w:tcW w:w="1034" w:type="dxa"/>
            <w:vAlign w:val="center"/>
            <w:textDirection w:val="lrTb"/>
            <w:noWrap w:val="false"/>
          </w:tcPr>
          <w:p>
            <w:pPr>
              <w:pStyle w:val="1122"/>
              <w:rPr>
                <w:sz w:val="18"/>
                <w:szCs w:val="18"/>
                <w:lang w:eastAsia="zh-CN"/>
              </w:rPr>
            </w:pPr>
            <w:r>
              <w:rPr>
                <w:sz w:val="18"/>
                <w:szCs w:val="18"/>
                <w:lang w:eastAsia="zh-CN"/>
              </w:rPr>
            </w:r>
            <w:r/>
          </w:p>
        </w:tc>
        <w:tc>
          <w:tcPr>
            <w:tcW w:w="966" w:type="dxa"/>
            <w:vAlign w:val="center"/>
            <w:textDirection w:val="lrTb"/>
            <w:noWrap w:val="false"/>
          </w:tcPr>
          <w:p>
            <w:pPr>
              <w:pStyle w:val="1122"/>
              <w:rPr>
                <w:sz w:val="18"/>
                <w:szCs w:val="18"/>
                <w:lang w:eastAsia="zh-CN"/>
              </w:rPr>
            </w:pPr>
            <w:r>
              <w:rPr>
                <w:sz w:val="18"/>
                <w:szCs w:val="18"/>
                <w:lang w:eastAsia="zh-CN"/>
              </w:rPr>
            </w:r>
            <w:r/>
          </w:p>
        </w:tc>
        <w:tc>
          <w:tcPr>
            <w:tcW w:w="1152" w:type="dxa"/>
            <w:vAlign w:val="center"/>
            <w:textDirection w:val="lrTb"/>
            <w:noWrap w:val="false"/>
          </w:tcPr>
          <w:p>
            <w:pPr>
              <w:pStyle w:val="1122"/>
              <w:rPr>
                <w:sz w:val="18"/>
                <w:szCs w:val="18"/>
                <w:lang w:eastAsia="zh-CN"/>
              </w:rPr>
            </w:pPr>
            <w:r>
              <w:rPr>
                <w:sz w:val="18"/>
                <w:szCs w:val="18"/>
                <w:lang w:eastAsia="zh-CN"/>
              </w:rPr>
            </w:r>
            <w:r/>
          </w:p>
        </w:tc>
      </w:tr>
      <w:tr>
        <w:trPr>
          <w:jc w:val="center"/>
          <w:trHeight w:val="357"/>
        </w:trPr>
        <w:tc>
          <w:tcPr>
            <w:tcW w:w="2305" w:type="dxa"/>
            <w:vAlign w:val="top"/>
            <w:textDirection w:val="lrTb"/>
            <w:noWrap w:val="false"/>
          </w:tcPr>
          <w:p>
            <w:pPr>
              <w:spacing w:before="74" w:line="223" w:lineRule="auto"/>
              <w:rPr>
                <w:rFonts w:ascii="宋体" w:hAnsi="宋体" w:cs="宋体"/>
                <w:sz w:val="18"/>
                <w:szCs w:val="18"/>
              </w:rPr>
            </w:pPr>
            <w:r>
              <w:rPr>
                <w:rFonts w:ascii="宋体" w:hAnsi="宋体" w:cs="宋体"/>
                <w:spacing w:val="4"/>
                <w:sz w:val="18"/>
                <w:szCs w:val="18"/>
              </w:rPr>
              <w:t xml:space="preserve">④现镇级管养公厕</w:t>
            </w:r>
            <w:r/>
          </w:p>
        </w:tc>
        <w:tc>
          <w:tcPr>
            <w:tcW w:w="1370" w:type="dxa"/>
            <w:vAlign w:val="center"/>
            <w:textDirection w:val="lrTb"/>
            <w:noWrap w:val="false"/>
          </w:tcPr>
          <w:p>
            <w:pPr>
              <w:pStyle w:val="1122"/>
              <w:rPr>
                <w:sz w:val="18"/>
                <w:szCs w:val="18"/>
              </w:rPr>
            </w:pPr>
            <w:r>
              <w:rPr>
                <w:sz w:val="18"/>
                <w:szCs w:val="18"/>
              </w:rPr>
            </w:r>
            <w:r/>
          </w:p>
        </w:tc>
        <w:tc>
          <w:tcPr>
            <w:tcW w:w="1309" w:type="dxa"/>
            <w:vAlign w:val="center"/>
            <w:textDirection w:val="lrTb"/>
            <w:noWrap w:val="false"/>
          </w:tcPr>
          <w:p>
            <w:pPr>
              <w:pStyle w:val="1122"/>
              <w:rPr>
                <w:sz w:val="18"/>
                <w:szCs w:val="18"/>
              </w:rPr>
            </w:pPr>
            <w:r>
              <w:rPr>
                <w:sz w:val="18"/>
                <w:szCs w:val="18"/>
              </w:rPr>
            </w:r>
            <w:r/>
          </w:p>
        </w:tc>
        <w:tc>
          <w:tcPr>
            <w:tcW w:w="1159" w:type="dxa"/>
            <w:vAlign w:val="center"/>
            <w:textDirection w:val="lrTb"/>
            <w:noWrap w:val="false"/>
          </w:tcPr>
          <w:p>
            <w:pPr>
              <w:pStyle w:val="1122"/>
              <w:rPr>
                <w:sz w:val="18"/>
                <w:szCs w:val="18"/>
              </w:rPr>
            </w:pPr>
            <w:r>
              <w:rPr>
                <w:sz w:val="18"/>
                <w:szCs w:val="18"/>
              </w:rPr>
            </w:r>
            <w:r/>
          </w:p>
        </w:tc>
        <w:tc>
          <w:tcPr>
            <w:tcW w:w="1041" w:type="dxa"/>
            <w:vAlign w:val="center"/>
            <w:textDirection w:val="lrTb"/>
            <w:noWrap w:val="false"/>
          </w:tcPr>
          <w:p>
            <w:pPr>
              <w:pStyle w:val="1122"/>
              <w:rPr>
                <w:sz w:val="18"/>
                <w:szCs w:val="18"/>
              </w:rPr>
            </w:pPr>
            <w:r>
              <w:rPr>
                <w:sz w:val="18"/>
                <w:szCs w:val="18"/>
              </w:rPr>
            </w:r>
            <w:r/>
          </w:p>
        </w:tc>
        <w:tc>
          <w:tcPr>
            <w:tcW w:w="1034" w:type="dxa"/>
            <w:vAlign w:val="center"/>
            <w:textDirection w:val="lrTb"/>
            <w:noWrap w:val="false"/>
          </w:tcPr>
          <w:p>
            <w:pPr>
              <w:pStyle w:val="1122"/>
              <w:rPr>
                <w:sz w:val="18"/>
                <w:szCs w:val="18"/>
              </w:rPr>
            </w:pPr>
            <w:r>
              <w:rPr>
                <w:sz w:val="18"/>
                <w:szCs w:val="18"/>
              </w:rPr>
            </w:r>
            <w:r/>
          </w:p>
        </w:tc>
        <w:tc>
          <w:tcPr>
            <w:tcW w:w="966" w:type="dxa"/>
            <w:vAlign w:val="center"/>
            <w:textDirection w:val="lrTb"/>
            <w:noWrap w:val="false"/>
          </w:tcPr>
          <w:p>
            <w:pPr>
              <w:pStyle w:val="1122"/>
              <w:rPr>
                <w:sz w:val="18"/>
                <w:szCs w:val="18"/>
              </w:rPr>
            </w:pPr>
            <w:r>
              <w:rPr>
                <w:sz w:val="18"/>
                <w:szCs w:val="18"/>
              </w:rPr>
            </w:r>
            <w:r/>
          </w:p>
        </w:tc>
        <w:tc>
          <w:tcPr>
            <w:tcW w:w="1152" w:type="dxa"/>
            <w:vAlign w:val="center"/>
            <w:textDirection w:val="lrTb"/>
            <w:noWrap w:val="false"/>
          </w:tcPr>
          <w:p>
            <w:pPr>
              <w:pStyle w:val="1122"/>
              <w:rPr>
                <w:sz w:val="18"/>
                <w:szCs w:val="18"/>
              </w:rPr>
            </w:pPr>
            <w:r>
              <w:rPr>
                <w:sz w:val="18"/>
                <w:szCs w:val="18"/>
              </w:rPr>
            </w:r>
            <w:r/>
          </w:p>
        </w:tc>
      </w:tr>
      <w:tr>
        <w:trPr>
          <w:jc w:val="center"/>
          <w:trHeight w:val="357"/>
        </w:trPr>
        <w:tc>
          <w:tcPr>
            <w:tcW w:w="2305" w:type="dxa"/>
            <w:vAlign w:val="top"/>
            <w:textDirection w:val="lrTb"/>
            <w:noWrap w:val="false"/>
          </w:tcPr>
          <w:p>
            <w:pPr>
              <w:ind w:left="205"/>
              <w:spacing w:before="75" w:line="225" w:lineRule="auto"/>
              <w:rPr>
                <w:rFonts w:ascii="宋体" w:hAnsi="宋体" w:cs="宋体"/>
                <w:sz w:val="18"/>
                <w:szCs w:val="18"/>
              </w:rPr>
            </w:pPr>
            <w:r>
              <w:rPr>
                <w:rFonts w:ascii="宋体" w:hAnsi="宋体" w:cs="宋体"/>
                <w:b/>
                <w:bCs/>
                <w:spacing w:val="3"/>
                <w:sz w:val="18"/>
                <w:szCs w:val="18"/>
              </w:rPr>
              <w:t xml:space="preserve">公厕管养小计</w:t>
            </w:r>
            <w:r/>
          </w:p>
        </w:tc>
        <w:tc>
          <w:tcPr>
            <w:tcW w:w="1370" w:type="dxa"/>
            <w:vAlign w:val="center"/>
            <w:textDirection w:val="lrTb"/>
            <w:noWrap w:val="false"/>
          </w:tcPr>
          <w:p>
            <w:pPr>
              <w:pStyle w:val="1122"/>
              <w:rPr>
                <w:sz w:val="18"/>
                <w:szCs w:val="18"/>
              </w:rPr>
            </w:pPr>
            <w:r>
              <w:rPr>
                <w:sz w:val="18"/>
                <w:szCs w:val="18"/>
              </w:rPr>
            </w:r>
            <w:r/>
          </w:p>
        </w:tc>
        <w:tc>
          <w:tcPr>
            <w:tcW w:w="1309" w:type="dxa"/>
            <w:vAlign w:val="center"/>
            <w:textDirection w:val="lrTb"/>
            <w:noWrap w:val="false"/>
          </w:tcPr>
          <w:p>
            <w:pPr>
              <w:pStyle w:val="1122"/>
              <w:rPr>
                <w:sz w:val="18"/>
                <w:szCs w:val="18"/>
              </w:rPr>
            </w:pPr>
            <w:r>
              <w:rPr>
                <w:sz w:val="18"/>
                <w:szCs w:val="18"/>
              </w:rPr>
            </w:r>
            <w:r/>
          </w:p>
        </w:tc>
        <w:tc>
          <w:tcPr>
            <w:tcW w:w="1159" w:type="dxa"/>
            <w:vAlign w:val="center"/>
            <w:textDirection w:val="lrTb"/>
            <w:noWrap w:val="false"/>
          </w:tcPr>
          <w:p>
            <w:pPr>
              <w:pStyle w:val="1122"/>
              <w:rPr>
                <w:sz w:val="18"/>
                <w:szCs w:val="18"/>
              </w:rPr>
            </w:pPr>
            <w:r>
              <w:rPr>
                <w:sz w:val="18"/>
                <w:szCs w:val="18"/>
              </w:rPr>
            </w:r>
            <w:r/>
          </w:p>
        </w:tc>
        <w:tc>
          <w:tcPr>
            <w:tcW w:w="1041" w:type="dxa"/>
            <w:vAlign w:val="center"/>
            <w:textDirection w:val="lrTb"/>
            <w:noWrap w:val="false"/>
          </w:tcPr>
          <w:p>
            <w:pPr>
              <w:pStyle w:val="1122"/>
              <w:rPr>
                <w:sz w:val="18"/>
                <w:szCs w:val="18"/>
              </w:rPr>
            </w:pPr>
            <w:r>
              <w:rPr>
                <w:sz w:val="18"/>
                <w:szCs w:val="18"/>
              </w:rPr>
            </w:r>
            <w:r/>
          </w:p>
        </w:tc>
        <w:tc>
          <w:tcPr>
            <w:tcW w:w="1034" w:type="dxa"/>
            <w:vAlign w:val="center"/>
            <w:textDirection w:val="lrTb"/>
            <w:noWrap w:val="false"/>
          </w:tcPr>
          <w:p>
            <w:pPr>
              <w:pStyle w:val="1122"/>
              <w:rPr>
                <w:sz w:val="18"/>
                <w:szCs w:val="18"/>
              </w:rPr>
            </w:pPr>
            <w:r>
              <w:rPr>
                <w:sz w:val="18"/>
                <w:szCs w:val="18"/>
              </w:rPr>
            </w:r>
            <w:r/>
          </w:p>
        </w:tc>
        <w:tc>
          <w:tcPr>
            <w:tcW w:w="966" w:type="dxa"/>
            <w:vAlign w:val="center"/>
            <w:textDirection w:val="lrTb"/>
            <w:noWrap w:val="false"/>
          </w:tcPr>
          <w:p>
            <w:pPr>
              <w:pStyle w:val="1122"/>
              <w:rPr>
                <w:sz w:val="18"/>
                <w:szCs w:val="18"/>
              </w:rPr>
            </w:pPr>
            <w:r>
              <w:rPr>
                <w:sz w:val="18"/>
                <w:szCs w:val="18"/>
              </w:rPr>
            </w:r>
            <w:r/>
          </w:p>
        </w:tc>
        <w:tc>
          <w:tcPr>
            <w:tcW w:w="1152" w:type="dxa"/>
            <w:vAlign w:val="center"/>
            <w:textDirection w:val="lrTb"/>
            <w:noWrap w:val="false"/>
          </w:tcPr>
          <w:p>
            <w:pPr>
              <w:pStyle w:val="1122"/>
              <w:rPr>
                <w:sz w:val="18"/>
                <w:szCs w:val="18"/>
              </w:rPr>
            </w:pPr>
            <w:r>
              <w:rPr>
                <w:sz w:val="18"/>
                <w:szCs w:val="18"/>
              </w:rPr>
            </w:r>
            <w:r/>
          </w:p>
        </w:tc>
      </w:tr>
      <w:tr>
        <w:trPr>
          <w:jc w:val="center"/>
          <w:trHeight w:val="357"/>
        </w:trPr>
        <w:tc>
          <w:tcPr>
            <w:tcW w:w="2305" w:type="dxa"/>
            <w:vAlign w:val="top"/>
            <w:textDirection w:val="lrTb"/>
            <w:noWrap w:val="false"/>
          </w:tcPr>
          <w:p>
            <w:pPr>
              <w:ind w:left="29"/>
              <w:spacing w:before="75" w:line="225" w:lineRule="auto"/>
              <w:rPr>
                <w:rFonts w:ascii="宋体" w:hAnsi="宋体" w:cs="宋体"/>
                <w:sz w:val="18"/>
                <w:szCs w:val="18"/>
              </w:rPr>
            </w:pPr>
            <w:r>
              <w:rPr>
                <w:rFonts w:ascii="宋体" w:hAnsi="宋体" w:cs="宋体"/>
                <w:b/>
                <w:bCs/>
                <w:spacing w:val="4"/>
                <w:sz w:val="18"/>
                <w:szCs w:val="18"/>
              </w:rPr>
              <w:t xml:space="preserve">三、居民生活垃圾收运</w:t>
            </w:r>
            <w:r/>
          </w:p>
        </w:tc>
        <w:tc>
          <w:tcPr>
            <w:tcW w:w="1370" w:type="dxa"/>
            <w:vAlign w:val="center"/>
            <w:textDirection w:val="lrTb"/>
            <w:noWrap w:val="false"/>
          </w:tcPr>
          <w:p>
            <w:pPr>
              <w:pStyle w:val="1122"/>
              <w:rPr>
                <w:sz w:val="18"/>
                <w:szCs w:val="18"/>
                <w:lang w:eastAsia="zh-CN"/>
              </w:rPr>
            </w:pPr>
            <w:r>
              <w:rPr>
                <w:sz w:val="18"/>
                <w:szCs w:val="18"/>
                <w:lang w:eastAsia="zh-CN"/>
              </w:rPr>
            </w:r>
            <w:r/>
          </w:p>
        </w:tc>
        <w:tc>
          <w:tcPr>
            <w:tcW w:w="1309" w:type="dxa"/>
            <w:vAlign w:val="center"/>
            <w:textDirection w:val="lrTb"/>
            <w:noWrap w:val="false"/>
          </w:tcPr>
          <w:p>
            <w:pPr>
              <w:pStyle w:val="1122"/>
              <w:rPr>
                <w:sz w:val="18"/>
                <w:szCs w:val="18"/>
                <w:lang w:eastAsia="zh-CN"/>
              </w:rPr>
            </w:pPr>
            <w:r>
              <w:rPr>
                <w:sz w:val="18"/>
                <w:szCs w:val="18"/>
                <w:lang w:eastAsia="zh-CN"/>
              </w:rPr>
            </w:r>
            <w:r/>
          </w:p>
        </w:tc>
        <w:tc>
          <w:tcPr>
            <w:tcW w:w="1159" w:type="dxa"/>
            <w:vAlign w:val="center"/>
            <w:textDirection w:val="lrTb"/>
            <w:noWrap w:val="false"/>
          </w:tcPr>
          <w:p>
            <w:pPr>
              <w:pStyle w:val="1122"/>
              <w:rPr>
                <w:sz w:val="18"/>
                <w:szCs w:val="18"/>
                <w:lang w:eastAsia="zh-CN"/>
              </w:rPr>
            </w:pPr>
            <w:r>
              <w:rPr>
                <w:sz w:val="18"/>
                <w:szCs w:val="18"/>
                <w:lang w:eastAsia="zh-CN"/>
              </w:rPr>
            </w:r>
            <w:r/>
          </w:p>
        </w:tc>
        <w:tc>
          <w:tcPr>
            <w:tcW w:w="1041" w:type="dxa"/>
            <w:vAlign w:val="center"/>
            <w:textDirection w:val="lrTb"/>
            <w:noWrap w:val="false"/>
          </w:tcPr>
          <w:p>
            <w:pPr>
              <w:pStyle w:val="1122"/>
              <w:rPr>
                <w:sz w:val="18"/>
                <w:szCs w:val="18"/>
                <w:lang w:eastAsia="zh-CN"/>
              </w:rPr>
            </w:pPr>
            <w:r>
              <w:rPr>
                <w:sz w:val="18"/>
                <w:szCs w:val="18"/>
                <w:lang w:eastAsia="zh-CN"/>
              </w:rPr>
            </w:r>
            <w:r/>
          </w:p>
        </w:tc>
        <w:tc>
          <w:tcPr>
            <w:tcW w:w="1034" w:type="dxa"/>
            <w:vAlign w:val="center"/>
            <w:textDirection w:val="lrTb"/>
            <w:noWrap w:val="false"/>
          </w:tcPr>
          <w:p>
            <w:pPr>
              <w:pStyle w:val="1122"/>
              <w:rPr>
                <w:sz w:val="18"/>
                <w:szCs w:val="18"/>
                <w:lang w:eastAsia="zh-CN"/>
              </w:rPr>
            </w:pPr>
            <w:r>
              <w:rPr>
                <w:sz w:val="18"/>
                <w:szCs w:val="18"/>
                <w:lang w:eastAsia="zh-CN"/>
              </w:rPr>
            </w:r>
            <w:r/>
          </w:p>
        </w:tc>
        <w:tc>
          <w:tcPr>
            <w:tcW w:w="966" w:type="dxa"/>
            <w:vAlign w:val="center"/>
            <w:textDirection w:val="lrTb"/>
            <w:noWrap w:val="false"/>
          </w:tcPr>
          <w:p>
            <w:pPr>
              <w:pStyle w:val="1122"/>
              <w:rPr>
                <w:sz w:val="18"/>
                <w:szCs w:val="18"/>
                <w:lang w:eastAsia="zh-CN"/>
              </w:rPr>
            </w:pPr>
            <w:r>
              <w:rPr>
                <w:sz w:val="18"/>
                <w:szCs w:val="18"/>
                <w:lang w:eastAsia="zh-CN"/>
              </w:rPr>
            </w:r>
            <w:r/>
          </w:p>
        </w:tc>
        <w:tc>
          <w:tcPr>
            <w:tcW w:w="1152" w:type="dxa"/>
            <w:vAlign w:val="center"/>
            <w:textDirection w:val="lrTb"/>
            <w:noWrap w:val="false"/>
          </w:tcPr>
          <w:p>
            <w:pPr>
              <w:pStyle w:val="1122"/>
              <w:rPr>
                <w:sz w:val="18"/>
                <w:szCs w:val="18"/>
                <w:lang w:eastAsia="zh-CN"/>
              </w:rPr>
            </w:pPr>
            <w:r>
              <w:rPr>
                <w:sz w:val="18"/>
                <w:szCs w:val="18"/>
                <w:lang w:eastAsia="zh-CN"/>
              </w:rPr>
            </w:r>
            <w:r/>
          </w:p>
        </w:tc>
      </w:tr>
      <w:tr>
        <w:trPr>
          <w:jc w:val="center"/>
          <w:trHeight w:val="357"/>
        </w:trPr>
        <w:tc>
          <w:tcPr>
            <w:tcW w:w="2305" w:type="dxa"/>
            <w:vAlign w:val="top"/>
            <w:textDirection w:val="lrTb"/>
            <w:noWrap w:val="false"/>
          </w:tcPr>
          <w:p>
            <w:pPr>
              <w:spacing w:before="77"/>
              <w:rPr>
                <w:rFonts w:ascii="宋体" w:hAnsi="宋体" w:cs="宋体"/>
                <w:sz w:val="18"/>
                <w:szCs w:val="18"/>
              </w:rPr>
            </w:pPr>
            <w:r>
              <w:rPr>
                <w:rFonts w:ascii="宋体" w:hAnsi="宋体" w:cs="宋体"/>
                <w:b/>
                <w:bCs/>
                <w:spacing w:val="2"/>
                <w:sz w:val="18"/>
                <w:szCs w:val="18"/>
              </w:rPr>
              <w:t xml:space="preserve">四、化粪池清理</w:t>
            </w:r>
            <w:r/>
          </w:p>
        </w:tc>
        <w:tc>
          <w:tcPr>
            <w:tcW w:w="1370" w:type="dxa"/>
            <w:vAlign w:val="center"/>
            <w:textDirection w:val="lrTb"/>
            <w:noWrap w:val="false"/>
          </w:tcPr>
          <w:p>
            <w:pPr>
              <w:pStyle w:val="1122"/>
              <w:rPr>
                <w:sz w:val="18"/>
                <w:szCs w:val="18"/>
              </w:rPr>
            </w:pPr>
            <w:r>
              <w:rPr>
                <w:sz w:val="18"/>
                <w:szCs w:val="18"/>
              </w:rPr>
            </w:r>
            <w:r/>
          </w:p>
        </w:tc>
        <w:tc>
          <w:tcPr>
            <w:tcW w:w="1309" w:type="dxa"/>
            <w:vAlign w:val="center"/>
            <w:textDirection w:val="lrTb"/>
            <w:noWrap w:val="false"/>
          </w:tcPr>
          <w:p>
            <w:pPr>
              <w:pStyle w:val="1122"/>
              <w:rPr>
                <w:sz w:val="18"/>
                <w:szCs w:val="18"/>
              </w:rPr>
            </w:pPr>
            <w:r>
              <w:rPr>
                <w:sz w:val="18"/>
                <w:szCs w:val="18"/>
              </w:rPr>
            </w:r>
            <w:r/>
          </w:p>
        </w:tc>
        <w:tc>
          <w:tcPr>
            <w:tcW w:w="1159" w:type="dxa"/>
            <w:vAlign w:val="center"/>
            <w:textDirection w:val="lrTb"/>
            <w:noWrap w:val="false"/>
          </w:tcPr>
          <w:p>
            <w:pPr>
              <w:pStyle w:val="1122"/>
              <w:rPr>
                <w:sz w:val="18"/>
                <w:szCs w:val="18"/>
              </w:rPr>
            </w:pPr>
            <w:r>
              <w:rPr>
                <w:sz w:val="18"/>
                <w:szCs w:val="18"/>
              </w:rPr>
            </w:r>
            <w:r/>
          </w:p>
        </w:tc>
        <w:tc>
          <w:tcPr>
            <w:tcW w:w="1041" w:type="dxa"/>
            <w:vAlign w:val="center"/>
            <w:textDirection w:val="lrTb"/>
            <w:noWrap w:val="false"/>
          </w:tcPr>
          <w:p>
            <w:pPr>
              <w:pStyle w:val="1122"/>
              <w:rPr>
                <w:sz w:val="18"/>
                <w:szCs w:val="18"/>
              </w:rPr>
            </w:pPr>
            <w:r>
              <w:rPr>
                <w:sz w:val="18"/>
                <w:szCs w:val="18"/>
              </w:rPr>
            </w:r>
            <w:r/>
          </w:p>
        </w:tc>
        <w:tc>
          <w:tcPr>
            <w:tcW w:w="1034" w:type="dxa"/>
            <w:vAlign w:val="center"/>
            <w:textDirection w:val="lrTb"/>
            <w:noWrap w:val="false"/>
          </w:tcPr>
          <w:p>
            <w:pPr>
              <w:pStyle w:val="1122"/>
              <w:rPr>
                <w:sz w:val="18"/>
                <w:szCs w:val="18"/>
              </w:rPr>
            </w:pPr>
            <w:r>
              <w:rPr>
                <w:sz w:val="18"/>
                <w:szCs w:val="18"/>
              </w:rPr>
            </w:r>
            <w:r/>
          </w:p>
        </w:tc>
        <w:tc>
          <w:tcPr>
            <w:tcW w:w="966" w:type="dxa"/>
            <w:vAlign w:val="center"/>
            <w:textDirection w:val="lrTb"/>
            <w:noWrap w:val="false"/>
          </w:tcPr>
          <w:p>
            <w:pPr>
              <w:pStyle w:val="1122"/>
              <w:rPr>
                <w:sz w:val="18"/>
                <w:szCs w:val="18"/>
              </w:rPr>
            </w:pPr>
            <w:r>
              <w:rPr>
                <w:sz w:val="18"/>
                <w:szCs w:val="18"/>
              </w:rPr>
            </w:r>
            <w:r/>
          </w:p>
        </w:tc>
        <w:tc>
          <w:tcPr>
            <w:tcW w:w="1152" w:type="dxa"/>
            <w:vAlign w:val="center"/>
            <w:textDirection w:val="lrTb"/>
            <w:noWrap w:val="false"/>
          </w:tcPr>
          <w:p>
            <w:pPr>
              <w:pStyle w:val="1122"/>
              <w:rPr>
                <w:sz w:val="18"/>
                <w:szCs w:val="18"/>
              </w:rPr>
            </w:pPr>
            <w:r>
              <w:rPr>
                <w:sz w:val="18"/>
                <w:szCs w:val="18"/>
              </w:rPr>
            </w:r>
            <w:r/>
          </w:p>
        </w:tc>
      </w:tr>
      <w:tr>
        <w:trPr>
          <w:jc w:val="center"/>
          <w:trHeight w:val="967"/>
        </w:trPr>
        <w:tc>
          <w:tcPr>
            <w:tcW w:w="2305" w:type="dxa"/>
            <w:vAlign w:val="top"/>
            <w:textDirection w:val="lrTb"/>
            <w:noWrap w:val="false"/>
          </w:tcPr>
          <w:p>
            <w:pPr>
              <w:spacing w:before="78"/>
              <w:rPr>
                <w:rFonts w:ascii="宋体" w:hAnsi="宋体" w:cs="宋体"/>
                <w:sz w:val="18"/>
                <w:szCs w:val="18"/>
              </w:rPr>
            </w:pPr>
            <w:r>
              <w:rPr>
                <w:rFonts w:hint="eastAsia" w:ascii="宋体" w:hAnsi="宋体" w:cs="宋体"/>
                <w:b/>
                <w:bCs/>
                <w:spacing w:val="3"/>
                <w:sz w:val="18"/>
                <w:szCs w:val="18"/>
              </w:rPr>
              <w:t xml:space="preserve">五、不可竞争费：爱心早餐（一线环卫工人指道路清扫保洁人员，早餐按每人每天6元标准执行）</w:t>
            </w:r>
            <w:r/>
          </w:p>
        </w:tc>
        <w:tc>
          <w:tcPr>
            <w:tcW w:w="1370" w:type="dxa"/>
            <w:vAlign w:val="center"/>
            <w:textDirection w:val="lrTb"/>
            <w:noWrap w:val="false"/>
          </w:tcPr>
          <w:p>
            <w:pPr>
              <w:pStyle w:val="1122"/>
              <w:jc w:val="center"/>
              <w:rPr>
                <w:rFonts w:eastAsia="宋体"/>
                <w:sz w:val="18"/>
                <w:szCs w:val="18"/>
                <w:lang w:eastAsia="zh-CN"/>
              </w:rPr>
            </w:pPr>
            <w:r>
              <w:rPr>
                <w:rFonts w:hint="eastAsia" w:eastAsia="宋体"/>
                <w:sz w:val="18"/>
                <w:szCs w:val="18"/>
                <w:lang w:eastAsia="zh-CN"/>
              </w:rPr>
              <w:t xml:space="preserve">21.24</w:t>
            </w:r>
            <w:r/>
          </w:p>
        </w:tc>
        <w:tc>
          <w:tcPr>
            <w:tcW w:w="1309" w:type="dxa"/>
            <w:vAlign w:val="center"/>
            <w:textDirection w:val="lrTb"/>
            <w:noWrap w:val="false"/>
          </w:tcPr>
          <w:p>
            <w:pPr>
              <w:pStyle w:val="1122"/>
              <w:jc w:val="center"/>
              <w:rPr>
                <w:rFonts w:eastAsia="宋体"/>
                <w:sz w:val="18"/>
                <w:szCs w:val="18"/>
                <w:lang w:eastAsia="zh-CN"/>
              </w:rPr>
            </w:pPr>
            <w:r>
              <w:rPr>
                <w:rFonts w:hint="eastAsia" w:eastAsia="宋体"/>
                <w:sz w:val="18"/>
                <w:szCs w:val="18"/>
                <w:lang w:eastAsia="zh-CN"/>
              </w:rPr>
              <w:t xml:space="preserve">20.59</w:t>
            </w:r>
            <w:r/>
          </w:p>
        </w:tc>
        <w:tc>
          <w:tcPr>
            <w:tcW w:w="1159" w:type="dxa"/>
            <w:vAlign w:val="center"/>
            <w:textDirection w:val="lrTb"/>
            <w:noWrap w:val="false"/>
          </w:tcPr>
          <w:p>
            <w:pPr>
              <w:pStyle w:val="1122"/>
              <w:jc w:val="center"/>
              <w:rPr>
                <w:rFonts w:eastAsia="宋体"/>
                <w:sz w:val="18"/>
                <w:szCs w:val="18"/>
                <w:lang w:eastAsia="zh-CN"/>
              </w:rPr>
            </w:pPr>
            <w:r>
              <w:rPr>
                <w:rFonts w:hint="eastAsia" w:eastAsia="宋体"/>
                <w:sz w:val="18"/>
                <w:szCs w:val="18"/>
                <w:lang w:eastAsia="zh-CN"/>
              </w:rPr>
              <w:t xml:space="preserve">16.43</w:t>
            </w:r>
            <w:r/>
          </w:p>
        </w:tc>
        <w:tc>
          <w:tcPr>
            <w:tcW w:w="1041" w:type="dxa"/>
            <w:vAlign w:val="center"/>
            <w:textDirection w:val="lrTb"/>
            <w:noWrap w:val="false"/>
          </w:tcPr>
          <w:p>
            <w:pPr>
              <w:pStyle w:val="1122"/>
              <w:jc w:val="center"/>
              <w:rPr>
                <w:rFonts w:eastAsia="宋体"/>
                <w:sz w:val="18"/>
                <w:szCs w:val="18"/>
                <w:lang w:eastAsia="zh-CN"/>
              </w:rPr>
            </w:pPr>
            <w:r>
              <w:rPr>
                <w:rFonts w:hint="eastAsia" w:eastAsia="宋体"/>
                <w:sz w:val="18"/>
                <w:szCs w:val="18"/>
                <w:lang w:eastAsia="zh-CN"/>
              </w:rPr>
              <w:t xml:space="preserve">20.81</w:t>
            </w:r>
            <w:r/>
          </w:p>
        </w:tc>
        <w:tc>
          <w:tcPr>
            <w:tcW w:w="1034" w:type="dxa"/>
            <w:vAlign w:val="center"/>
            <w:textDirection w:val="lrTb"/>
            <w:noWrap w:val="false"/>
          </w:tcPr>
          <w:p>
            <w:pPr>
              <w:pStyle w:val="1122"/>
              <w:jc w:val="center"/>
              <w:rPr>
                <w:rFonts w:eastAsia="宋体"/>
                <w:sz w:val="18"/>
                <w:szCs w:val="18"/>
                <w:lang w:eastAsia="zh-CN"/>
              </w:rPr>
            </w:pPr>
            <w:r>
              <w:rPr>
                <w:rFonts w:hint="eastAsia" w:eastAsia="宋体"/>
                <w:sz w:val="18"/>
                <w:szCs w:val="18"/>
                <w:lang w:eastAsia="zh-CN"/>
              </w:rPr>
              <w:t xml:space="preserve">60.01</w:t>
            </w:r>
            <w:r/>
          </w:p>
        </w:tc>
        <w:tc>
          <w:tcPr>
            <w:tcW w:w="966" w:type="dxa"/>
            <w:vAlign w:val="center"/>
            <w:textDirection w:val="lrTb"/>
            <w:noWrap w:val="false"/>
          </w:tcPr>
          <w:p>
            <w:pPr>
              <w:pStyle w:val="1122"/>
              <w:jc w:val="center"/>
              <w:rPr>
                <w:rFonts w:eastAsia="宋体"/>
                <w:sz w:val="18"/>
                <w:szCs w:val="18"/>
                <w:lang w:eastAsia="zh-CN"/>
              </w:rPr>
            </w:pPr>
            <w:r>
              <w:rPr>
                <w:rFonts w:hint="eastAsia" w:eastAsia="宋体"/>
                <w:sz w:val="18"/>
                <w:szCs w:val="18"/>
                <w:lang w:eastAsia="zh-CN"/>
              </w:rPr>
              <w:t xml:space="preserve">37.23</w:t>
            </w:r>
            <w:r/>
          </w:p>
        </w:tc>
        <w:tc>
          <w:tcPr>
            <w:tcW w:w="1152" w:type="dxa"/>
            <w:vAlign w:val="center"/>
            <w:textDirection w:val="lrTb"/>
            <w:noWrap w:val="false"/>
          </w:tcPr>
          <w:p>
            <w:pPr>
              <w:pStyle w:val="1122"/>
              <w:jc w:val="center"/>
              <w:rPr>
                <w:rFonts w:eastAsia="宋体"/>
                <w:sz w:val="18"/>
                <w:szCs w:val="18"/>
                <w:lang w:eastAsia="zh-CN"/>
              </w:rPr>
            </w:pPr>
            <w:r>
              <w:rPr>
                <w:rFonts w:hint="eastAsia" w:eastAsia="宋体"/>
                <w:sz w:val="18"/>
                <w:szCs w:val="18"/>
                <w:lang w:eastAsia="zh-CN"/>
              </w:rPr>
              <w:t xml:space="preserve">29.57</w:t>
            </w:r>
            <w:r/>
          </w:p>
        </w:tc>
      </w:tr>
      <w:tr>
        <w:trPr>
          <w:jc w:val="center"/>
          <w:trHeight w:val="557"/>
        </w:trPr>
        <w:tc>
          <w:tcPr>
            <w:tcW w:w="2305" w:type="dxa"/>
            <w:vAlign w:val="top"/>
            <w:textDirection w:val="lrTb"/>
            <w:noWrap w:val="false"/>
          </w:tcPr>
          <w:p>
            <w:pPr>
              <w:ind w:left="31"/>
              <w:spacing w:before="78"/>
              <w:rPr>
                <w:rFonts w:ascii="宋体" w:hAnsi="宋体" w:cs="宋体"/>
                <w:sz w:val="18"/>
                <w:szCs w:val="18"/>
              </w:rPr>
            </w:pPr>
            <w:r>
              <w:rPr>
                <w:rFonts w:ascii="宋体" w:hAnsi="宋体" w:cs="宋体"/>
                <w:b/>
                <w:bCs/>
                <w:spacing w:val="4"/>
                <w:sz w:val="18"/>
                <w:szCs w:val="18"/>
              </w:rPr>
              <w:t xml:space="preserve">单年报价合计（万元/年）</w:t>
            </w:r>
            <w:r/>
          </w:p>
        </w:tc>
        <w:tc>
          <w:tcPr>
            <w:tcW w:w="1370" w:type="dxa"/>
            <w:vAlign w:val="center"/>
            <w:textDirection w:val="lrTb"/>
            <w:noWrap w:val="false"/>
          </w:tcPr>
          <w:p>
            <w:pPr>
              <w:pStyle w:val="1122"/>
              <w:rPr>
                <w:sz w:val="18"/>
                <w:szCs w:val="18"/>
                <w:lang w:eastAsia="zh-CN"/>
              </w:rPr>
            </w:pPr>
            <w:r>
              <w:rPr>
                <w:sz w:val="18"/>
                <w:szCs w:val="18"/>
                <w:lang w:eastAsia="zh-CN"/>
              </w:rPr>
            </w:r>
            <w:r/>
          </w:p>
        </w:tc>
        <w:tc>
          <w:tcPr>
            <w:tcW w:w="1309" w:type="dxa"/>
            <w:vAlign w:val="center"/>
            <w:textDirection w:val="lrTb"/>
            <w:noWrap w:val="false"/>
          </w:tcPr>
          <w:p>
            <w:pPr>
              <w:pStyle w:val="1122"/>
              <w:rPr>
                <w:sz w:val="18"/>
                <w:szCs w:val="18"/>
                <w:lang w:eastAsia="zh-CN"/>
              </w:rPr>
            </w:pPr>
            <w:r>
              <w:rPr>
                <w:sz w:val="18"/>
                <w:szCs w:val="18"/>
                <w:lang w:eastAsia="zh-CN"/>
              </w:rPr>
            </w:r>
            <w:r/>
          </w:p>
        </w:tc>
        <w:tc>
          <w:tcPr>
            <w:tcW w:w="1159" w:type="dxa"/>
            <w:vAlign w:val="center"/>
            <w:textDirection w:val="lrTb"/>
            <w:noWrap w:val="false"/>
          </w:tcPr>
          <w:p>
            <w:pPr>
              <w:pStyle w:val="1122"/>
              <w:rPr>
                <w:sz w:val="18"/>
                <w:szCs w:val="18"/>
                <w:lang w:eastAsia="zh-CN"/>
              </w:rPr>
            </w:pPr>
            <w:r>
              <w:rPr>
                <w:sz w:val="18"/>
                <w:szCs w:val="18"/>
                <w:lang w:eastAsia="zh-CN"/>
              </w:rPr>
            </w:r>
            <w:r/>
          </w:p>
        </w:tc>
        <w:tc>
          <w:tcPr>
            <w:tcW w:w="1041" w:type="dxa"/>
            <w:vAlign w:val="center"/>
            <w:textDirection w:val="lrTb"/>
            <w:noWrap w:val="false"/>
          </w:tcPr>
          <w:p>
            <w:pPr>
              <w:pStyle w:val="1122"/>
              <w:rPr>
                <w:sz w:val="18"/>
                <w:szCs w:val="18"/>
                <w:lang w:eastAsia="zh-CN"/>
              </w:rPr>
            </w:pPr>
            <w:r>
              <w:rPr>
                <w:sz w:val="18"/>
                <w:szCs w:val="18"/>
                <w:lang w:eastAsia="zh-CN"/>
              </w:rPr>
            </w:r>
            <w:r/>
          </w:p>
        </w:tc>
        <w:tc>
          <w:tcPr>
            <w:tcW w:w="1034" w:type="dxa"/>
            <w:vAlign w:val="center"/>
            <w:textDirection w:val="lrTb"/>
            <w:noWrap w:val="false"/>
          </w:tcPr>
          <w:p>
            <w:pPr>
              <w:pStyle w:val="1122"/>
              <w:rPr>
                <w:sz w:val="18"/>
                <w:szCs w:val="18"/>
                <w:lang w:eastAsia="zh-CN"/>
              </w:rPr>
            </w:pPr>
            <w:r>
              <w:rPr>
                <w:sz w:val="18"/>
                <w:szCs w:val="18"/>
                <w:lang w:eastAsia="zh-CN"/>
              </w:rPr>
            </w:r>
            <w:r/>
          </w:p>
        </w:tc>
        <w:tc>
          <w:tcPr>
            <w:tcW w:w="966" w:type="dxa"/>
            <w:vAlign w:val="center"/>
            <w:textDirection w:val="lrTb"/>
            <w:noWrap w:val="false"/>
          </w:tcPr>
          <w:p>
            <w:pPr>
              <w:pStyle w:val="1122"/>
              <w:rPr>
                <w:sz w:val="18"/>
                <w:szCs w:val="18"/>
                <w:lang w:eastAsia="zh-CN"/>
              </w:rPr>
            </w:pPr>
            <w:r>
              <w:rPr>
                <w:sz w:val="18"/>
                <w:szCs w:val="18"/>
                <w:lang w:eastAsia="zh-CN"/>
              </w:rPr>
            </w:r>
            <w:r/>
          </w:p>
        </w:tc>
        <w:tc>
          <w:tcPr>
            <w:tcW w:w="1152" w:type="dxa"/>
            <w:vAlign w:val="center"/>
            <w:textDirection w:val="lrTb"/>
            <w:noWrap w:val="false"/>
          </w:tcPr>
          <w:p>
            <w:pPr>
              <w:pStyle w:val="1122"/>
              <w:rPr>
                <w:sz w:val="18"/>
                <w:szCs w:val="18"/>
                <w:lang w:eastAsia="zh-CN"/>
              </w:rPr>
            </w:pPr>
            <w:r>
              <w:rPr>
                <w:sz w:val="18"/>
                <w:szCs w:val="18"/>
                <w:lang w:eastAsia="zh-CN"/>
              </w:rPr>
            </w:r>
            <w:r/>
          </w:p>
        </w:tc>
      </w:tr>
      <w:tr>
        <w:trPr>
          <w:jc w:val="center"/>
          <w:trHeight w:val="357"/>
        </w:trPr>
        <w:tc>
          <w:tcPr>
            <w:tcW w:w="2305" w:type="dxa"/>
            <w:vAlign w:val="top"/>
            <w:textDirection w:val="lrTb"/>
            <w:noWrap w:val="false"/>
          </w:tcPr>
          <w:p>
            <w:pPr>
              <w:ind w:left="29"/>
              <w:spacing w:before="79"/>
              <w:rPr>
                <w:rFonts w:ascii="宋体" w:hAnsi="宋体" w:cs="宋体"/>
                <w:sz w:val="18"/>
                <w:szCs w:val="18"/>
              </w:rPr>
            </w:pPr>
            <w:r>
              <w:rPr>
                <w:rFonts w:ascii="宋体" w:hAnsi="宋体" w:cs="宋体"/>
                <w:b/>
                <w:bCs/>
                <w:spacing w:val="4"/>
                <w:sz w:val="18"/>
                <w:szCs w:val="18"/>
              </w:rPr>
              <w:t xml:space="preserve">三年报价总计（万元）</w:t>
            </w:r>
            <w:r/>
          </w:p>
        </w:tc>
        <w:tc>
          <w:tcPr>
            <w:tcW w:w="1370" w:type="dxa"/>
            <w:vAlign w:val="center"/>
            <w:textDirection w:val="lrTb"/>
            <w:noWrap w:val="false"/>
          </w:tcPr>
          <w:p>
            <w:pPr>
              <w:pStyle w:val="1122"/>
              <w:rPr>
                <w:sz w:val="18"/>
                <w:szCs w:val="18"/>
                <w:lang w:eastAsia="zh-CN"/>
              </w:rPr>
            </w:pPr>
            <w:r>
              <w:rPr>
                <w:sz w:val="18"/>
                <w:szCs w:val="18"/>
                <w:lang w:eastAsia="zh-CN"/>
              </w:rPr>
            </w:r>
            <w:r/>
          </w:p>
        </w:tc>
        <w:tc>
          <w:tcPr>
            <w:tcW w:w="1309" w:type="dxa"/>
            <w:vAlign w:val="center"/>
            <w:textDirection w:val="lrTb"/>
            <w:noWrap w:val="false"/>
          </w:tcPr>
          <w:p>
            <w:pPr>
              <w:pStyle w:val="1122"/>
              <w:rPr>
                <w:sz w:val="18"/>
                <w:szCs w:val="18"/>
                <w:lang w:eastAsia="zh-CN"/>
              </w:rPr>
            </w:pPr>
            <w:r>
              <w:rPr>
                <w:sz w:val="18"/>
                <w:szCs w:val="18"/>
                <w:lang w:eastAsia="zh-CN"/>
              </w:rPr>
            </w:r>
            <w:r/>
          </w:p>
        </w:tc>
        <w:tc>
          <w:tcPr>
            <w:tcW w:w="1159" w:type="dxa"/>
            <w:vAlign w:val="center"/>
            <w:textDirection w:val="lrTb"/>
            <w:noWrap w:val="false"/>
          </w:tcPr>
          <w:p>
            <w:pPr>
              <w:pStyle w:val="1122"/>
              <w:rPr>
                <w:sz w:val="18"/>
                <w:szCs w:val="18"/>
                <w:lang w:eastAsia="zh-CN"/>
              </w:rPr>
            </w:pPr>
            <w:r>
              <w:rPr>
                <w:sz w:val="18"/>
                <w:szCs w:val="18"/>
                <w:lang w:eastAsia="zh-CN"/>
              </w:rPr>
            </w:r>
            <w:r/>
          </w:p>
        </w:tc>
        <w:tc>
          <w:tcPr>
            <w:tcW w:w="1041" w:type="dxa"/>
            <w:vAlign w:val="center"/>
            <w:textDirection w:val="lrTb"/>
            <w:noWrap w:val="false"/>
          </w:tcPr>
          <w:p>
            <w:pPr>
              <w:pStyle w:val="1122"/>
              <w:rPr>
                <w:sz w:val="18"/>
                <w:szCs w:val="18"/>
                <w:lang w:eastAsia="zh-CN"/>
              </w:rPr>
            </w:pPr>
            <w:r>
              <w:rPr>
                <w:sz w:val="18"/>
                <w:szCs w:val="18"/>
                <w:lang w:eastAsia="zh-CN"/>
              </w:rPr>
            </w:r>
            <w:r/>
          </w:p>
        </w:tc>
        <w:tc>
          <w:tcPr>
            <w:tcW w:w="1034" w:type="dxa"/>
            <w:vAlign w:val="center"/>
            <w:textDirection w:val="lrTb"/>
            <w:noWrap w:val="false"/>
          </w:tcPr>
          <w:p>
            <w:pPr>
              <w:pStyle w:val="1122"/>
              <w:rPr>
                <w:sz w:val="18"/>
                <w:szCs w:val="18"/>
                <w:lang w:eastAsia="zh-CN"/>
              </w:rPr>
            </w:pPr>
            <w:r>
              <w:rPr>
                <w:sz w:val="18"/>
                <w:szCs w:val="18"/>
                <w:lang w:eastAsia="zh-CN"/>
              </w:rPr>
            </w:r>
            <w:r/>
          </w:p>
        </w:tc>
        <w:tc>
          <w:tcPr>
            <w:tcW w:w="966" w:type="dxa"/>
            <w:vAlign w:val="center"/>
            <w:textDirection w:val="lrTb"/>
            <w:noWrap w:val="false"/>
          </w:tcPr>
          <w:p>
            <w:pPr>
              <w:pStyle w:val="1122"/>
              <w:rPr>
                <w:sz w:val="18"/>
                <w:szCs w:val="18"/>
                <w:lang w:eastAsia="zh-CN"/>
              </w:rPr>
            </w:pPr>
            <w:r>
              <w:rPr>
                <w:sz w:val="18"/>
                <w:szCs w:val="18"/>
                <w:lang w:eastAsia="zh-CN"/>
              </w:rPr>
            </w:r>
            <w:r/>
          </w:p>
        </w:tc>
        <w:tc>
          <w:tcPr>
            <w:tcW w:w="1152" w:type="dxa"/>
            <w:vAlign w:val="center"/>
            <w:textDirection w:val="lrTb"/>
            <w:noWrap w:val="false"/>
          </w:tcPr>
          <w:p>
            <w:pPr>
              <w:pStyle w:val="1122"/>
              <w:rPr>
                <w:sz w:val="18"/>
                <w:szCs w:val="18"/>
                <w:lang w:eastAsia="zh-CN"/>
              </w:rPr>
            </w:pPr>
            <w:r>
              <w:rPr>
                <w:sz w:val="18"/>
                <w:szCs w:val="18"/>
                <w:lang w:eastAsia="zh-CN"/>
              </w:rPr>
            </w:r>
            <w:r/>
          </w:p>
        </w:tc>
      </w:tr>
      <w:tr>
        <w:trPr>
          <w:jc w:val="center"/>
          <w:trHeight w:val="440"/>
        </w:trPr>
        <w:tc>
          <w:tcPr>
            <w:tcW w:w="2305" w:type="dxa"/>
            <w:vAlign w:val="top"/>
            <w:textDirection w:val="lrTb"/>
            <w:noWrap w:val="false"/>
          </w:tcPr>
          <w:p>
            <w:pPr>
              <w:ind w:left="34"/>
              <w:spacing w:before="79" w:line="224" w:lineRule="auto"/>
              <w:rPr>
                <w:rFonts w:ascii="宋体" w:hAnsi="宋体" w:cs="宋体"/>
                <w:b/>
                <w:bCs/>
                <w:spacing w:val="4"/>
                <w:sz w:val="18"/>
                <w:szCs w:val="18"/>
              </w:rPr>
            </w:pPr>
            <w:r>
              <w:rPr>
                <w:rFonts w:ascii="宋体" w:hAnsi="宋体" w:cs="宋体"/>
                <w:b/>
                <w:bCs/>
                <w:spacing w:val="2"/>
                <w:sz w:val="18"/>
                <w:szCs w:val="18"/>
              </w:rPr>
              <w:t xml:space="preserve">总价（万元）</w:t>
            </w:r>
            <w:r/>
          </w:p>
        </w:tc>
        <w:tc>
          <w:tcPr>
            <w:gridSpan w:val="7"/>
            <w:tcW w:w="8031" w:type="dxa"/>
            <w:vAlign w:val="center"/>
            <w:textDirection w:val="lrTb"/>
            <w:noWrap w:val="false"/>
          </w:tcPr>
          <w:p>
            <w:pPr>
              <w:pStyle w:val="1122"/>
              <w:rPr>
                <w:sz w:val="18"/>
                <w:szCs w:val="18"/>
              </w:rPr>
            </w:pPr>
            <w:r>
              <w:rPr>
                <w:sz w:val="18"/>
                <w:szCs w:val="18"/>
              </w:rPr>
            </w:r>
            <w:r/>
          </w:p>
        </w:tc>
      </w:tr>
    </w:tbl>
    <w:p>
      <w:pPr>
        <w:ind w:firstLine="315"/>
        <w:spacing w:line="240" w:lineRule="auto"/>
        <w:rPr>
          <w:rFonts w:ascii="宋体"/>
          <w:bCs/>
          <w:szCs w:val="21"/>
        </w:rPr>
        <w:outlineLvl w:val="0"/>
      </w:pPr>
      <w:r>
        <w:rPr>
          <w:rFonts w:hint="eastAsia" w:ascii="宋体"/>
          <w:bCs/>
          <w:szCs w:val="21"/>
        </w:rPr>
        <w:t xml:space="preserve">注：1.上表中投标总价应与开标一览表及“苏采云”系统中填写的投标总价一致。</w:t>
      </w:r>
      <w:r/>
    </w:p>
    <w:p>
      <w:pPr>
        <w:ind w:firstLine="315"/>
        <w:spacing w:line="240" w:lineRule="auto"/>
        <w:rPr>
          <w:rFonts w:ascii="宋体"/>
          <w:bCs/>
          <w:szCs w:val="21"/>
        </w:rPr>
        <w:outlineLvl w:val="0"/>
      </w:pPr>
      <w:r>
        <w:rPr>
          <w:rFonts w:hint="eastAsia" w:ascii="宋体"/>
          <w:bCs/>
          <w:szCs w:val="21"/>
        </w:rPr>
        <w:t xml:space="preserve">2.不可竞争费（不可更改）：爱心早餐，一线环卫工人指道路清扫保洁人员，早餐按每人每天6元标准执行。</w:t>
      </w:r>
      <w:r/>
    </w:p>
    <w:p>
      <w:pPr>
        <w:jc w:val="right"/>
        <w:rPr>
          <w:rFonts w:ascii="宋体" w:hAnsi="宋体" w:cs="宋体"/>
          <w:sz w:val="24"/>
          <w:szCs w:val="24"/>
        </w:rPr>
      </w:pPr>
      <w:r>
        <w:rPr>
          <w:rFonts w:hint="eastAsia" w:ascii="宋体" w:hAnsi="宋体" w:cs="宋体"/>
          <w:sz w:val="24"/>
          <w:szCs w:val="24"/>
        </w:rPr>
        <w:t xml:space="preserve">法定代表人或授权代表（签字或盖章）：__________</w:t>
      </w:r>
      <w:r/>
    </w:p>
    <w:p>
      <w:pPr>
        <w:jc w:val="right"/>
        <w:rPr>
          <w:rFonts w:hint="eastAsia" w:ascii="宋体" w:hAnsi="宋体" w:cs="宋体"/>
          <w:sz w:val="24"/>
          <w:szCs w:val="24"/>
        </w:rPr>
      </w:pPr>
      <w:r>
        <w:rPr>
          <w:rFonts w:hint="eastAsia"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日期：________年____月____日</w:t>
      </w:r>
      <w:r/>
    </w:p>
    <w:p>
      <w:pPr>
        <w:rPr>
          <w:rFonts w:ascii="宋体" w:hAnsi="宋体" w:cs="宋体"/>
          <w:sz w:val="24"/>
          <w:szCs w:val="24"/>
        </w:rPr>
      </w:pPr>
      <w:r>
        <w:rPr>
          <w:rFonts w:hint="eastAsia" w:ascii="宋体" w:hAnsi="宋体" w:cs="宋体"/>
          <w:sz w:val="24"/>
          <w:szCs w:val="24"/>
        </w:rPr>
        <w:br w:type="page" w:clear="all"/>
      </w:r>
      <w:r/>
    </w:p>
    <w:p>
      <w:pPr>
        <w:jc w:val="center"/>
        <w:spacing w:line="400" w:lineRule="exact"/>
        <w:rPr>
          <w:rFonts w:ascii="宋体" w:hAnsi="宋体" w:cs="宋体"/>
          <w:b/>
          <w:color w:val="000000"/>
          <w:sz w:val="28"/>
          <w:szCs w:val="28"/>
        </w:rPr>
      </w:pPr>
      <w:r>
        <w:rPr>
          <w:rFonts w:hint="eastAsia" w:ascii="宋体" w:hAnsi="宋体" w:cs="宋体"/>
          <w:b/>
          <w:color w:val="000000"/>
          <w:sz w:val="28"/>
          <w:szCs w:val="28"/>
        </w:rPr>
        <w:t xml:space="preserve">（2）综合单价分析表 </w:t>
      </w:r>
      <w:r/>
    </w:p>
    <w:p>
      <w:pPr>
        <w:spacing w:line="360" w:lineRule="auto"/>
        <w:rPr>
          <w:rFonts w:ascii="宋体" w:hAnsi="宋体"/>
          <w:bCs/>
          <w:sz w:val="24"/>
        </w:rPr>
      </w:pPr>
      <w:r>
        <w:rPr>
          <w:rFonts w:hint="eastAsia" w:ascii="宋体" w:hAnsi="宋体"/>
          <w:bCs/>
          <w:sz w:val="24"/>
        </w:rPr>
        <w:t xml:space="preserve">投标供应商名称（盖章）                                  采购项目编号：</w:t>
      </w:r>
      <w:r/>
    </w:p>
    <w:tbl>
      <w:tblPr>
        <w:tblStyle w:val="783"/>
        <w:tblW w:w="9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680"/>
        <w:gridCol w:w="2134"/>
        <w:gridCol w:w="1794"/>
        <w:gridCol w:w="2905"/>
      </w:tblGrid>
      <w:tr>
        <w:trPr>
          <w:jc w:val="center"/>
          <w:trHeight w:val="466"/>
        </w:trPr>
        <w:tc>
          <w:tcPr>
            <w:tcW w:w="659" w:type="dxa"/>
            <w:vAlign w:val="center"/>
            <w:textDirection w:val="lrTb"/>
            <w:noWrap/>
          </w:tcPr>
          <w:p>
            <w:pPr>
              <w:jc w:val="center"/>
              <w:widowControl/>
              <w:rPr>
                <w:rFonts w:ascii="宋体" w:hAnsi="宋体" w:cs="宋体"/>
                <w:b/>
                <w:bCs/>
                <w:sz w:val="18"/>
                <w:szCs w:val="18"/>
              </w:rPr>
            </w:pPr>
            <w:r>
              <w:rPr>
                <w:rFonts w:hint="eastAsia" w:ascii="宋体" w:hAnsi="宋体" w:cs="宋体"/>
                <w:b/>
                <w:bCs/>
                <w:sz w:val="18"/>
                <w:szCs w:val="18"/>
              </w:rPr>
              <w:t xml:space="preserve">序号</w:t>
            </w:r>
            <w:r/>
          </w:p>
        </w:tc>
        <w:tc>
          <w:tcPr>
            <w:tcW w:w="1680" w:type="dxa"/>
            <w:vAlign w:val="center"/>
            <w:textDirection w:val="lrTb"/>
            <w:noWrap/>
          </w:tcPr>
          <w:p>
            <w:pPr>
              <w:jc w:val="center"/>
              <w:widowControl/>
              <w:rPr>
                <w:rFonts w:ascii="宋体" w:hAnsi="宋体" w:cs="宋体"/>
                <w:b/>
                <w:bCs/>
                <w:sz w:val="18"/>
                <w:szCs w:val="18"/>
              </w:rPr>
            </w:pPr>
            <w:r>
              <w:rPr>
                <w:rFonts w:hint="eastAsia" w:ascii="宋体" w:hAnsi="宋体" w:cs="宋体"/>
                <w:b/>
                <w:bCs/>
                <w:sz w:val="18"/>
                <w:szCs w:val="18"/>
              </w:rPr>
              <w:t xml:space="preserve">费用名称</w:t>
            </w:r>
            <w:r/>
          </w:p>
        </w:tc>
        <w:tc>
          <w:tcPr>
            <w:gridSpan w:val="3"/>
            <w:tcW w:w="6833" w:type="dxa"/>
            <w:vAlign w:val="center"/>
            <w:textDirection w:val="lrTb"/>
            <w:noWrap/>
          </w:tcPr>
          <w:p>
            <w:pPr>
              <w:jc w:val="center"/>
              <w:widowControl/>
              <w:rPr>
                <w:rFonts w:ascii="宋体" w:hAnsi="宋体" w:cs="宋体"/>
                <w:b/>
                <w:bCs/>
                <w:sz w:val="18"/>
                <w:szCs w:val="18"/>
              </w:rPr>
            </w:pPr>
            <w:r>
              <w:rPr>
                <w:rFonts w:hint="eastAsia" w:ascii="宋体" w:hAnsi="宋体" w:cs="宋体"/>
                <w:b/>
                <w:bCs/>
                <w:sz w:val="18"/>
                <w:szCs w:val="18"/>
              </w:rPr>
              <w:t xml:space="preserve">金额（元）</w:t>
            </w:r>
            <w:r/>
          </w:p>
        </w:tc>
      </w:tr>
      <w:tr>
        <w:trPr>
          <w:cantSplit/>
          <w:jc w:val="center"/>
          <w:trHeight w:val="599"/>
        </w:trPr>
        <w:tc>
          <w:tcPr>
            <w:tcW w:w="659" w:type="dxa"/>
            <w:vAlign w:val="center"/>
            <w:vMerge w:val="restart"/>
            <w:textDirection w:val="lrTb"/>
            <w:noWrap/>
          </w:tcPr>
          <w:p>
            <w:pPr>
              <w:jc w:val="center"/>
              <w:widowControl/>
              <w:rPr>
                <w:rFonts w:ascii="宋体" w:hAnsi="宋体" w:cs="宋体"/>
                <w:sz w:val="18"/>
                <w:szCs w:val="18"/>
              </w:rPr>
            </w:pPr>
            <w:r>
              <w:rPr>
                <w:rFonts w:hint="eastAsia" w:ascii="宋体" w:hAnsi="宋体" w:cs="宋体"/>
                <w:sz w:val="18"/>
                <w:szCs w:val="18"/>
              </w:rPr>
              <w:t xml:space="preserve">1</w:t>
            </w:r>
            <w:r/>
          </w:p>
        </w:tc>
        <w:tc>
          <w:tcPr>
            <w:tcW w:w="1680" w:type="dxa"/>
            <w:vAlign w:val="center"/>
            <w:vMerge w:val="restart"/>
            <w:textDirection w:val="lrTb"/>
            <w:noWrap/>
          </w:tcPr>
          <w:p>
            <w:pPr>
              <w:jc w:val="center"/>
              <w:widowControl/>
              <w:rPr>
                <w:rFonts w:ascii="宋体" w:hAnsi="宋体" w:cs="宋体"/>
                <w:sz w:val="18"/>
                <w:szCs w:val="18"/>
              </w:rPr>
            </w:pPr>
            <w:r>
              <w:rPr>
                <w:rFonts w:hint="eastAsia" w:ascii="宋体" w:hAnsi="宋体" w:cs="宋体"/>
                <w:sz w:val="18"/>
                <w:szCs w:val="18"/>
              </w:rPr>
              <w:t xml:space="preserve">清扫车辆耗油费用、保险费用</w:t>
            </w:r>
            <w:r/>
          </w:p>
          <w:p>
            <w:pPr>
              <w:jc w:val="center"/>
              <w:widowControl/>
              <w:rPr>
                <w:rFonts w:ascii="宋体" w:hAnsi="宋体" w:cs="宋体"/>
                <w:sz w:val="18"/>
                <w:szCs w:val="18"/>
              </w:rPr>
            </w:pPr>
            <w:r>
              <w:rPr>
                <w:rFonts w:hint="eastAsia" w:ascii="宋体" w:hAnsi="宋体" w:cs="宋体"/>
                <w:sz w:val="18"/>
                <w:szCs w:val="18"/>
              </w:rPr>
              <w:t xml:space="preserve">（一年）</w:t>
            </w:r>
            <w:r/>
          </w:p>
        </w:tc>
        <w:tc>
          <w:tcPr>
            <w:tcW w:w="2134" w:type="dxa"/>
            <w:vAlign w:val="center"/>
            <w:textDirection w:val="lrTb"/>
            <w:noWrap/>
          </w:tcPr>
          <w:p>
            <w:pPr>
              <w:jc w:val="center"/>
              <w:widowControl/>
              <w:rPr>
                <w:rFonts w:ascii="宋体" w:hAnsi="宋体" w:cs="宋体"/>
                <w:sz w:val="18"/>
                <w:szCs w:val="18"/>
              </w:rPr>
            </w:pPr>
            <w:r>
              <w:rPr>
                <w:rFonts w:ascii="宋体" w:hAnsi="宋体" w:cs="宋体"/>
                <w:sz w:val="18"/>
                <w:szCs w:val="18"/>
              </w:rPr>
              <w:t xml:space="preserve">机扫车</w:t>
            </w:r>
            <w:r/>
          </w:p>
        </w:tc>
        <w:tc>
          <w:tcPr>
            <w:gridSpan w:val="2"/>
            <w:tcW w:w="4699" w:type="dxa"/>
            <w:vAlign w:val="center"/>
            <w:textDirection w:val="lrTb"/>
            <w:noWrap/>
          </w:tcPr>
          <w:p>
            <w:pPr>
              <w:jc w:val="left"/>
              <w:widowControl/>
              <w:rPr>
                <w:rFonts w:ascii="宋体" w:hAnsi="宋体" w:cs="宋体"/>
                <w:sz w:val="18"/>
                <w:szCs w:val="18"/>
              </w:rPr>
            </w:pPr>
            <w:r>
              <w:rPr>
                <w:rFonts w:hint="eastAsia" w:ascii="宋体" w:hAnsi="宋体" w:cs="宋体"/>
                <w:sz w:val="18"/>
                <w:szCs w:val="18"/>
              </w:rPr>
              <w:t xml:space="preserve">油费：</w:t>
            </w:r>
            <w:r/>
          </w:p>
          <w:p>
            <w:pPr>
              <w:jc w:val="left"/>
              <w:widowControl/>
              <w:rPr>
                <w:rFonts w:ascii="宋体" w:hAnsi="宋体" w:cs="宋体"/>
                <w:sz w:val="18"/>
                <w:szCs w:val="18"/>
              </w:rPr>
            </w:pPr>
            <w:r>
              <w:rPr>
                <w:rFonts w:hint="eastAsia" w:ascii="宋体" w:hAnsi="宋体" w:cs="宋体"/>
                <w:sz w:val="18"/>
                <w:szCs w:val="18"/>
              </w:rPr>
              <w:t xml:space="preserve">保险费：</w:t>
            </w:r>
            <w:r/>
          </w:p>
        </w:tc>
      </w:tr>
      <w:tr>
        <w:trPr>
          <w:cantSplit/>
          <w:jc w:val="center"/>
          <w:trHeight w:val="693"/>
        </w:trPr>
        <w:tc>
          <w:tcPr>
            <w:tcW w:w="659" w:type="dxa"/>
            <w:vAlign w:val="center"/>
            <w:vMerge w:val="continue"/>
            <w:textDirection w:val="lrTb"/>
            <w:noWrap/>
          </w:tcPr>
          <w:p>
            <w:pPr>
              <w:jc w:val="center"/>
              <w:widowControl/>
              <w:rPr>
                <w:rFonts w:ascii="宋体" w:hAnsi="宋体" w:cs="宋体"/>
                <w:sz w:val="18"/>
                <w:szCs w:val="18"/>
              </w:rPr>
            </w:pPr>
            <w:r>
              <w:rPr>
                <w:rFonts w:ascii="宋体" w:hAnsi="宋体" w:cs="宋体"/>
                <w:sz w:val="18"/>
                <w:szCs w:val="18"/>
              </w:rPr>
            </w:r>
            <w:r/>
          </w:p>
        </w:tc>
        <w:tc>
          <w:tcPr>
            <w:tcW w:w="1680" w:type="dxa"/>
            <w:vAlign w:val="center"/>
            <w:vMerge w:val="continue"/>
            <w:textDirection w:val="lrTb"/>
            <w:noWrap/>
          </w:tcPr>
          <w:p>
            <w:pPr>
              <w:jc w:val="center"/>
              <w:widowControl/>
              <w:rPr>
                <w:rFonts w:ascii="宋体" w:hAnsi="宋体" w:cs="宋体"/>
                <w:sz w:val="18"/>
                <w:szCs w:val="18"/>
              </w:rPr>
            </w:pPr>
            <w:r>
              <w:rPr>
                <w:rFonts w:ascii="宋体" w:hAnsi="宋体" w:cs="宋体"/>
                <w:sz w:val="18"/>
                <w:szCs w:val="18"/>
              </w:rPr>
            </w:r>
            <w:r/>
          </w:p>
        </w:tc>
        <w:tc>
          <w:tcPr>
            <w:tcW w:w="2134"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洗扫车</w:t>
            </w:r>
            <w:r/>
          </w:p>
        </w:tc>
        <w:tc>
          <w:tcPr>
            <w:gridSpan w:val="2"/>
            <w:tcW w:w="4699" w:type="dxa"/>
            <w:vAlign w:val="center"/>
            <w:textDirection w:val="lrTb"/>
            <w:noWrap/>
          </w:tcPr>
          <w:p>
            <w:pPr>
              <w:jc w:val="left"/>
              <w:widowControl/>
              <w:rPr>
                <w:rFonts w:ascii="宋体" w:hAnsi="宋体" w:cs="宋体"/>
                <w:sz w:val="18"/>
                <w:szCs w:val="18"/>
              </w:rPr>
            </w:pPr>
            <w:r>
              <w:rPr>
                <w:rFonts w:hint="eastAsia" w:ascii="宋体" w:hAnsi="宋体" w:cs="宋体"/>
                <w:sz w:val="18"/>
                <w:szCs w:val="18"/>
              </w:rPr>
              <w:t xml:space="preserve">油费：</w:t>
            </w:r>
            <w:r/>
          </w:p>
          <w:p>
            <w:pPr>
              <w:jc w:val="left"/>
              <w:widowControl/>
              <w:rPr>
                <w:rFonts w:ascii="宋体" w:hAnsi="宋体" w:cs="宋体"/>
                <w:sz w:val="18"/>
                <w:szCs w:val="18"/>
              </w:rPr>
            </w:pPr>
            <w:r>
              <w:rPr>
                <w:rFonts w:hint="eastAsia" w:ascii="宋体" w:hAnsi="宋体" w:cs="宋体"/>
                <w:sz w:val="18"/>
                <w:szCs w:val="18"/>
              </w:rPr>
              <w:t xml:space="preserve">保险费：</w:t>
            </w:r>
            <w:r/>
          </w:p>
        </w:tc>
      </w:tr>
      <w:tr>
        <w:trPr>
          <w:cantSplit/>
          <w:jc w:val="center"/>
          <w:trHeight w:val="599"/>
        </w:trPr>
        <w:tc>
          <w:tcPr>
            <w:tcW w:w="659" w:type="dxa"/>
            <w:vAlign w:val="center"/>
            <w:vMerge w:val="continue"/>
            <w:textDirection w:val="lrTb"/>
            <w:noWrap/>
          </w:tcPr>
          <w:p>
            <w:pPr>
              <w:jc w:val="center"/>
              <w:widowControl/>
              <w:rPr>
                <w:rFonts w:ascii="宋体" w:hAnsi="宋体" w:cs="宋体"/>
                <w:sz w:val="18"/>
                <w:szCs w:val="18"/>
              </w:rPr>
            </w:pPr>
            <w:r>
              <w:rPr>
                <w:rFonts w:ascii="宋体" w:hAnsi="宋体" w:cs="宋体"/>
                <w:sz w:val="18"/>
                <w:szCs w:val="18"/>
              </w:rPr>
            </w:r>
            <w:r/>
          </w:p>
        </w:tc>
        <w:tc>
          <w:tcPr>
            <w:tcW w:w="1680" w:type="dxa"/>
            <w:vAlign w:val="center"/>
            <w:vMerge w:val="continue"/>
            <w:textDirection w:val="lrTb"/>
            <w:noWrap/>
          </w:tcPr>
          <w:p>
            <w:pPr>
              <w:jc w:val="center"/>
              <w:widowControl/>
              <w:rPr>
                <w:rFonts w:ascii="宋体" w:hAnsi="宋体" w:cs="宋体"/>
                <w:sz w:val="18"/>
                <w:szCs w:val="18"/>
              </w:rPr>
            </w:pPr>
            <w:r>
              <w:rPr>
                <w:rFonts w:ascii="宋体" w:hAnsi="宋体" w:cs="宋体"/>
                <w:sz w:val="18"/>
                <w:szCs w:val="18"/>
              </w:rPr>
            </w:r>
            <w:r/>
          </w:p>
        </w:tc>
        <w:tc>
          <w:tcPr>
            <w:tcW w:w="2134"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高压冲水车</w:t>
            </w:r>
            <w:r/>
          </w:p>
        </w:tc>
        <w:tc>
          <w:tcPr>
            <w:gridSpan w:val="2"/>
            <w:tcW w:w="4699" w:type="dxa"/>
            <w:vAlign w:val="center"/>
            <w:textDirection w:val="lrTb"/>
            <w:noWrap/>
          </w:tcPr>
          <w:p>
            <w:pPr>
              <w:jc w:val="left"/>
              <w:widowControl/>
              <w:rPr>
                <w:rFonts w:ascii="宋体" w:hAnsi="宋体" w:cs="宋体"/>
                <w:sz w:val="18"/>
                <w:szCs w:val="18"/>
              </w:rPr>
            </w:pPr>
            <w:r>
              <w:rPr>
                <w:rFonts w:hint="eastAsia" w:ascii="宋体" w:hAnsi="宋体" w:cs="宋体"/>
                <w:sz w:val="18"/>
                <w:szCs w:val="18"/>
              </w:rPr>
              <w:t xml:space="preserve">油费：</w:t>
            </w:r>
            <w:r/>
          </w:p>
          <w:p>
            <w:pPr>
              <w:jc w:val="left"/>
              <w:widowControl/>
              <w:rPr>
                <w:rFonts w:ascii="宋体" w:hAnsi="宋体" w:cs="宋体"/>
                <w:sz w:val="18"/>
                <w:szCs w:val="18"/>
              </w:rPr>
            </w:pPr>
            <w:r>
              <w:rPr>
                <w:rFonts w:hint="eastAsia" w:ascii="宋体" w:hAnsi="宋体" w:cs="宋体"/>
                <w:sz w:val="18"/>
                <w:szCs w:val="18"/>
              </w:rPr>
              <w:t xml:space="preserve">保险费：</w:t>
            </w:r>
            <w:r/>
          </w:p>
        </w:tc>
      </w:tr>
      <w:tr>
        <w:trPr>
          <w:cantSplit/>
          <w:jc w:val="center"/>
          <w:trHeight w:val="599"/>
        </w:trPr>
        <w:tc>
          <w:tcPr>
            <w:tcW w:w="659" w:type="dxa"/>
            <w:vAlign w:val="center"/>
            <w:vMerge w:val="continue"/>
            <w:textDirection w:val="lrTb"/>
            <w:noWrap/>
          </w:tcPr>
          <w:p>
            <w:pPr>
              <w:jc w:val="center"/>
              <w:widowControl/>
              <w:rPr>
                <w:rFonts w:ascii="宋体" w:hAnsi="宋体" w:cs="宋体"/>
                <w:sz w:val="18"/>
                <w:szCs w:val="18"/>
              </w:rPr>
            </w:pPr>
            <w:r>
              <w:rPr>
                <w:rFonts w:ascii="宋体" w:hAnsi="宋体" w:cs="宋体"/>
                <w:sz w:val="18"/>
                <w:szCs w:val="18"/>
              </w:rPr>
            </w:r>
            <w:r/>
          </w:p>
        </w:tc>
        <w:tc>
          <w:tcPr>
            <w:tcW w:w="1680" w:type="dxa"/>
            <w:vAlign w:val="center"/>
            <w:vMerge w:val="continue"/>
            <w:textDirection w:val="lrTb"/>
            <w:noWrap/>
          </w:tcPr>
          <w:p>
            <w:pPr>
              <w:jc w:val="center"/>
              <w:widowControl/>
              <w:rPr>
                <w:rFonts w:ascii="宋体" w:hAnsi="宋体" w:cs="宋体"/>
                <w:sz w:val="18"/>
                <w:szCs w:val="18"/>
              </w:rPr>
            </w:pPr>
            <w:r>
              <w:rPr>
                <w:rFonts w:ascii="宋体" w:hAnsi="宋体" w:cs="宋体"/>
                <w:sz w:val="18"/>
                <w:szCs w:val="18"/>
              </w:rPr>
            </w:r>
            <w:r/>
          </w:p>
        </w:tc>
        <w:tc>
          <w:tcPr>
            <w:tcW w:w="2134"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小型机扫（洗扫、冲水）</w:t>
            </w:r>
            <w:r/>
          </w:p>
        </w:tc>
        <w:tc>
          <w:tcPr>
            <w:gridSpan w:val="2"/>
            <w:tcW w:w="4699" w:type="dxa"/>
            <w:vAlign w:val="center"/>
            <w:textDirection w:val="lrTb"/>
            <w:noWrap/>
          </w:tcPr>
          <w:p>
            <w:pPr>
              <w:jc w:val="left"/>
              <w:widowControl/>
              <w:rPr>
                <w:rFonts w:ascii="宋体" w:hAnsi="宋体" w:cs="宋体"/>
                <w:sz w:val="18"/>
                <w:szCs w:val="18"/>
              </w:rPr>
            </w:pPr>
            <w:r>
              <w:rPr>
                <w:rFonts w:hint="eastAsia" w:ascii="宋体" w:hAnsi="宋体" w:cs="宋体"/>
                <w:sz w:val="18"/>
                <w:szCs w:val="18"/>
              </w:rPr>
              <w:t xml:space="preserve">油费：</w:t>
            </w:r>
            <w:r/>
          </w:p>
          <w:p>
            <w:pPr>
              <w:jc w:val="left"/>
              <w:widowControl/>
              <w:rPr>
                <w:rFonts w:ascii="宋体" w:hAnsi="宋体" w:cs="宋体"/>
                <w:sz w:val="18"/>
                <w:szCs w:val="18"/>
              </w:rPr>
            </w:pPr>
            <w:r>
              <w:rPr>
                <w:rFonts w:hint="eastAsia" w:ascii="宋体" w:hAnsi="宋体" w:cs="宋体"/>
                <w:sz w:val="18"/>
                <w:szCs w:val="18"/>
              </w:rPr>
              <w:t xml:space="preserve">保险费：</w:t>
            </w:r>
            <w:r/>
          </w:p>
        </w:tc>
      </w:tr>
      <w:tr>
        <w:trPr>
          <w:cantSplit/>
          <w:jc w:val="center"/>
          <w:trHeight w:val="599"/>
        </w:trPr>
        <w:tc>
          <w:tcPr>
            <w:tcW w:w="659" w:type="dxa"/>
            <w:vAlign w:val="center"/>
            <w:vMerge w:val="continue"/>
            <w:textDirection w:val="lrTb"/>
            <w:noWrap/>
          </w:tcPr>
          <w:p>
            <w:pPr>
              <w:jc w:val="center"/>
              <w:widowControl/>
              <w:rPr>
                <w:rFonts w:ascii="宋体" w:hAnsi="宋体" w:cs="宋体"/>
                <w:sz w:val="18"/>
                <w:szCs w:val="18"/>
              </w:rPr>
            </w:pPr>
            <w:r>
              <w:rPr>
                <w:rFonts w:ascii="宋体" w:hAnsi="宋体" w:cs="宋体"/>
                <w:sz w:val="18"/>
                <w:szCs w:val="18"/>
              </w:rPr>
            </w:r>
            <w:r/>
          </w:p>
        </w:tc>
        <w:tc>
          <w:tcPr>
            <w:tcW w:w="1680" w:type="dxa"/>
            <w:vAlign w:val="center"/>
            <w:vMerge w:val="continue"/>
            <w:textDirection w:val="lrTb"/>
            <w:noWrap/>
          </w:tcPr>
          <w:p>
            <w:pPr>
              <w:jc w:val="center"/>
              <w:widowControl/>
              <w:rPr>
                <w:rFonts w:ascii="宋体" w:hAnsi="宋体" w:cs="宋体"/>
                <w:sz w:val="18"/>
                <w:szCs w:val="18"/>
              </w:rPr>
            </w:pPr>
            <w:r>
              <w:rPr>
                <w:rFonts w:ascii="宋体" w:hAnsi="宋体" w:cs="宋体"/>
                <w:sz w:val="18"/>
                <w:szCs w:val="18"/>
              </w:rPr>
            </w:r>
            <w:r/>
          </w:p>
        </w:tc>
        <w:tc>
          <w:tcPr>
            <w:tcW w:w="2134"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吸粪车（吸污车）</w:t>
            </w:r>
            <w:r/>
          </w:p>
        </w:tc>
        <w:tc>
          <w:tcPr>
            <w:gridSpan w:val="2"/>
            <w:tcW w:w="4699" w:type="dxa"/>
            <w:vAlign w:val="center"/>
            <w:textDirection w:val="lrTb"/>
            <w:noWrap/>
          </w:tcPr>
          <w:p>
            <w:pPr>
              <w:jc w:val="left"/>
              <w:widowControl/>
              <w:rPr>
                <w:rFonts w:ascii="宋体" w:hAnsi="宋体" w:cs="宋体"/>
                <w:sz w:val="18"/>
                <w:szCs w:val="18"/>
              </w:rPr>
            </w:pPr>
            <w:r>
              <w:rPr>
                <w:rFonts w:hint="eastAsia" w:ascii="宋体" w:hAnsi="宋体" w:cs="宋体"/>
                <w:sz w:val="18"/>
                <w:szCs w:val="18"/>
              </w:rPr>
              <w:t xml:space="preserve">油费：</w:t>
            </w:r>
            <w:r/>
          </w:p>
          <w:p>
            <w:pPr>
              <w:jc w:val="left"/>
              <w:widowControl/>
              <w:rPr>
                <w:rFonts w:ascii="宋体" w:hAnsi="宋体" w:cs="宋体"/>
                <w:sz w:val="18"/>
                <w:szCs w:val="18"/>
              </w:rPr>
            </w:pPr>
            <w:r>
              <w:rPr>
                <w:rFonts w:hint="eastAsia" w:ascii="宋体" w:hAnsi="宋体" w:cs="宋体"/>
                <w:sz w:val="18"/>
                <w:szCs w:val="18"/>
              </w:rPr>
              <w:t xml:space="preserve">保险费：</w:t>
            </w:r>
            <w:r/>
          </w:p>
        </w:tc>
      </w:tr>
      <w:tr>
        <w:trPr>
          <w:cantSplit/>
          <w:jc w:val="center"/>
          <w:trHeight w:val="689"/>
        </w:trPr>
        <w:tc>
          <w:tcPr>
            <w:tcW w:w="659" w:type="dxa"/>
            <w:vAlign w:val="center"/>
            <w:vMerge w:val="continue"/>
            <w:textDirection w:val="lrTb"/>
            <w:noWrap/>
          </w:tcPr>
          <w:p>
            <w:pPr>
              <w:jc w:val="center"/>
              <w:widowControl/>
              <w:rPr>
                <w:rFonts w:ascii="宋体" w:hAnsi="宋体" w:cs="宋体"/>
                <w:sz w:val="18"/>
                <w:szCs w:val="18"/>
              </w:rPr>
            </w:pPr>
            <w:r>
              <w:rPr>
                <w:rFonts w:ascii="宋体" w:hAnsi="宋体" w:cs="宋体"/>
                <w:sz w:val="18"/>
                <w:szCs w:val="18"/>
              </w:rPr>
            </w:r>
            <w:r/>
          </w:p>
        </w:tc>
        <w:tc>
          <w:tcPr>
            <w:tcW w:w="1680" w:type="dxa"/>
            <w:vAlign w:val="center"/>
            <w:vMerge w:val="continue"/>
            <w:textDirection w:val="lrTb"/>
            <w:noWrap/>
          </w:tcPr>
          <w:p>
            <w:pPr>
              <w:jc w:val="center"/>
              <w:widowControl/>
              <w:rPr>
                <w:rFonts w:ascii="宋体" w:hAnsi="宋体" w:cs="宋体"/>
                <w:sz w:val="18"/>
                <w:szCs w:val="18"/>
              </w:rPr>
            </w:pPr>
            <w:r>
              <w:rPr>
                <w:rFonts w:ascii="宋体" w:hAnsi="宋体" w:cs="宋体"/>
                <w:sz w:val="18"/>
                <w:szCs w:val="18"/>
              </w:rPr>
            </w:r>
            <w:r/>
          </w:p>
        </w:tc>
        <w:tc>
          <w:tcPr>
            <w:tcW w:w="2134"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其他垃圾收集车</w:t>
            </w:r>
            <w:r/>
          </w:p>
        </w:tc>
        <w:tc>
          <w:tcPr>
            <w:gridSpan w:val="2"/>
            <w:tcW w:w="4699" w:type="dxa"/>
            <w:vAlign w:val="center"/>
            <w:textDirection w:val="lrTb"/>
            <w:noWrap/>
          </w:tcPr>
          <w:p>
            <w:pPr>
              <w:jc w:val="left"/>
              <w:widowControl/>
              <w:rPr>
                <w:rFonts w:ascii="宋体" w:hAnsi="宋体" w:cs="宋体"/>
                <w:sz w:val="18"/>
                <w:szCs w:val="18"/>
              </w:rPr>
            </w:pPr>
            <w:r>
              <w:rPr>
                <w:rFonts w:hint="eastAsia" w:ascii="宋体" w:hAnsi="宋体" w:cs="宋体"/>
                <w:sz w:val="18"/>
                <w:szCs w:val="18"/>
              </w:rPr>
              <w:t xml:space="preserve">油费：</w:t>
            </w:r>
            <w:r/>
          </w:p>
          <w:p>
            <w:pPr>
              <w:jc w:val="left"/>
              <w:widowControl/>
              <w:rPr>
                <w:rFonts w:ascii="宋体" w:hAnsi="宋体" w:cs="宋体"/>
                <w:sz w:val="18"/>
                <w:szCs w:val="18"/>
              </w:rPr>
            </w:pPr>
            <w:r>
              <w:rPr>
                <w:rFonts w:hint="eastAsia" w:ascii="宋体" w:hAnsi="宋体" w:cs="宋体"/>
                <w:sz w:val="18"/>
                <w:szCs w:val="18"/>
              </w:rPr>
              <w:t xml:space="preserve">保险费：</w:t>
            </w:r>
            <w:r/>
          </w:p>
        </w:tc>
      </w:tr>
      <w:tr>
        <w:trPr>
          <w:cantSplit/>
          <w:jc w:val="center"/>
          <w:trHeight w:val="703"/>
        </w:trPr>
        <w:tc>
          <w:tcPr>
            <w:tcW w:w="659" w:type="dxa"/>
            <w:vAlign w:val="center"/>
            <w:vMerge w:val="continue"/>
            <w:textDirection w:val="lrTb"/>
            <w:noWrap/>
          </w:tcPr>
          <w:p>
            <w:pPr>
              <w:jc w:val="center"/>
              <w:widowControl/>
              <w:rPr>
                <w:rFonts w:ascii="宋体" w:hAnsi="宋体" w:cs="宋体"/>
                <w:sz w:val="18"/>
                <w:szCs w:val="18"/>
              </w:rPr>
            </w:pPr>
            <w:r>
              <w:rPr>
                <w:rFonts w:ascii="宋体" w:hAnsi="宋体" w:cs="宋体"/>
                <w:sz w:val="18"/>
                <w:szCs w:val="18"/>
              </w:rPr>
            </w:r>
            <w:r/>
          </w:p>
        </w:tc>
        <w:tc>
          <w:tcPr>
            <w:tcW w:w="1680" w:type="dxa"/>
            <w:vAlign w:val="center"/>
            <w:vMerge w:val="continue"/>
            <w:textDirection w:val="lrTb"/>
            <w:noWrap/>
          </w:tcPr>
          <w:p>
            <w:pPr>
              <w:jc w:val="center"/>
              <w:widowControl/>
              <w:rPr>
                <w:rFonts w:ascii="宋体" w:hAnsi="宋体" w:cs="宋体"/>
                <w:sz w:val="18"/>
                <w:szCs w:val="18"/>
              </w:rPr>
            </w:pPr>
            <w:r>
              <w:rPr>
                <w:rFonts w:ascii="宋体" w:hAnsi="宋体" w:cs="宋体"/>
                <w:sz w:val="18"/>
                <w:szCs w:val="18"/>
              </w:rPr>
            </w:r>
            <w:r/>
          </w:p>
        </w:tc>
        <w:tc>
          <w:tcPr>
            <w:tcW w:w="2134"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家庭厨余收集车</w:t>
            </w:r>
            <w:r/>
          </w:p>
        </w:tc>
        <w:tc>
          <w:tcPr>
            <w:gridSpan w:val="2"/>
            <w:tcW w:w="4699" w:type="dxa"/>
            <w:vAlign w:val="center"/>
            <w:textDirection w:val="lrTb"/>
            <w:noWrap/>
          </w:tcPr>
          <w:p>
            <w:pPr>
              <w:jc w:val="left"/>
              <w:widowControl/>
              <w:rPr>
                <w:rFonts w:ascii="宋体" w:hAnsi="宋体" w:cs="宋体"/>
                <w:sz w:val="18"/>
                <w:szCs w:val="18"/>
              </w:rPr>
            </w:pPr>
            <w:r>
              <w:rPr>
                <w:rFonts w:hint="eastAsia" w:ascii="宋体" w:hAnsi="宋体" w:cs="宋体"/>
                <w:sz w:val="18"/>
                <w:szCs w:val="18"/>
              </w:rPr>
              <w:t xml:space="preserve">油费：</w:t>
            </w:r>
            <w:r/>
          </w:p>
          <w:p>
            <w:pPr>
              <w:jc w:val="left"/>
              <w:widowControl/>
              <w:rPr>
                <w:rFonts w:ascii="宋体" w:hAnsi="宋体" w:cs="宋体"/>
                <w:sz w:val="18"/>
                <w:szCs w:val="18"/>
              </w:rPr>
            </w:pPr>
            <w:r>
              <w:rPr>
                <w:rFonts w:hint="eastAsia" w:ascii="宋体" w:hAnsi="宋体" w:cs="宋体"/>
                <w:sz w:val="18"/>
                <w:szCs w:val="18"/>
              </w:rPr>
              <w:t xml:space="preserve">保险费：</w:t>
            </w:r>
            <w:r/>
          </w:p>
        </w:tc>
      </w:tr>
      <w:tr>
        <w:trPr>
          <w:cantSplit/>
          <w:jc w:val="center"/>
          <w:trHeight w:val="496"/>
        </w:trPr>
        <w:tc>
          <w:tcPr>
            <w:tcW w:w="659" w:type="dxa"/>
            <w:vAlign w:val="center"/>
            <w:vMerge w:val="continue"/>
            <w:textDirection w:val="lrTb"/>
            <w:noWrap/>
          </w:tcPr>
          <w:p>
            <w:pPr>
              <w:jc w:val="center"/>
              <w:widowControl/>
              <w:rPr>
                <w:rFonts w:ascii="宋体" w:hAnsi="宋体" w:cs="宋体"/>
                <w:sz w:val="18"/>
                <w:szCs w:val="18"/>
              </w:rPr>
            </w:pPr>
            <w:r>
              <w:rPr>
                <w:rFonts w:ascii="宋体" w:hAnsi="宋体" w:cs="宋体"/>
                <w:sz w:val="18"/>
                <w:szCs w:val="18"/>
              </w:rPr>
            </w:r>
            <w:r/>
          </w:p>
        </w:tc>
        <w:tc>
          <w:tcPr>
            <w:tcW w:w="16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小计</w:t>
            </w:r>
            <w:r/>
          </w:p>
        </w:tc>
        <w:tc>
          <w:tcPr>
            <w:gridSpan w:val="3"/>
            <w:tcW w:w="6833" w:type="dxa"/>
            <w:vAlign w:val="center"/>
            <w:textDirection w:val="lrTb"/>
            <w:noWrap/>
          </w:tcPr>
          <w:p>
            <w:pPr>
              <w:jc w:val="center"/>
              <w:widowControl/>
              <w:rPr>
                <w:rFonts w:ascii="宋体" w:hAnsi="宋体" w:cs="宋体"/>
                <w:sz w:val="18"/>
                <w:szCs w:val="18"/>
              </w:rPr>
            </w:pPr>
            <w:r>
              <w:rPr>
                <w:rFonts w:ascii="宋体" w:hAnsi="宋体" w:cs="宋体"/>
                <w:sz w:val="18"/>
                <w:szCs w:val="18"/>
              </w:rPr>
            </w:r>
            <w:r/>
          </w:p>
        </w:tc>
      </w:tr>
      <w:tr>
        <w:trPr>
          <w:jc w:val="center"/>
          <w:trHeight w:val="894"/>
        </w:trPr>
        <w:tc>
          <w:tcPr>
            <w:tcW w:w="659"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2</w:t>
            </w:r>
            <w:r/>
          </w:p>
        </w:tc>
        <w:tc>
          <w:tcPr>
            <w:tcW w:w="16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车辆、设备维修保养费（一年）</w:t>
            </w:r>
            <w:r/>
          </w:p>
        </w:tc>
        <w:tc>
          <w:tcPr>
            <w:gridSpan w:val="3"/>
            <w:tcW w:w="6833" w:type="dxa"/>
            <w:vAlign w:val="center"/>
            <w:textDirection w:val="lrTb"/>
            <w:noWrap/>
          </w:tcPr>
          <w:p>
            <w:pPr>
              <w:jc w:val="center"/>
              <w:widowControl/>
              <w:rPr>
                <w:rFonts w:ascii="宋体" w:hAnsi="宋体" w:cs="宋体"/>
                <w:sz w:val="18"/>
                <w:szCs w:val="18"/>
              </w:rPr>
            </w:pPr>
            <w:r>
              <w:rPr>
                <w:rFonts w:ascii="宋体" w:hAnsi="宋体" w:cs="宋体"/>
                <w:sz w:val="18"/>
                <w:szCs w:val="18"/>
              </w:rPr>
            </w:r>
            <w:r/>
          </w:p>
        </w:tc>
      </w:tr>
      <w:tr>
        <w:trPr>
          <w:jc w:val="center"/>
          <w:trHeight w:val="894"/>
        </w:trPr>
        <w:tc>
          <w:tcPr>
            <w:tcW w:w="659"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3</w:t>
            </w:r>
            <w:r/>
          </w:p>
        </w:tc>
        <w:tc>
          <w:tcPr>
            <w:tcW w:w="16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员工工资福利及法定计提费用</w:t>
            </w:r>
            <w:r/>
          </w:p>
          <w:p>
            <w:pPr>
              <w:jc w:val="center"/>
              <w:widowControl/>
              <w:rPr>
                <w:rFonts w:ascii="宋体" w:hAnsi="宋体" w:cs="宋体"/>
                <w:sz w:val="18"/>
                <w:szCs w:val="18"/>
              </w:rPr>
            </w:pPr>
            <w:r>
              <w:rPr>
                <w:rFonts w:hint="eastAsia" w:ascii="宋体" w:hAnsi="宋体" w:cs="宋体"/>
                <w:sz w:val="18"/>
                <w:szCs w:val="18"/>
              </w:rPr>
              <w:t xml:space="preserve">（一年）</w:t>
            </w:r>
            <w:r/>
          </w:p>
        </w:tc>
        <w:tc>
          <w:tcPr>
            <w:gridSpan w:val="3"/>
            <w:tcW w:w="6833" w:type="dxa"/>
            <w:vAlign w:val="center"/>
            <w:textDirection w:val="lrTb"/>
            <w:noWrap/>
          </w:tcPr>
          <w:p>
            <w:pPr>
              <w:jc w:val="center"/>
              <w:widowControl/>
              <w:rPr>
                <w:rFonts w:ascii="宋体" w:hAnsi="宋体" w:cs="宋体"/>
                <w:sz w:val="18"/>
                <w:szCs w:val="18"/>
              </w:rPr>
            </w:pPr>
            <w:r>
              <w:rPr>
                <w:rFonts w:ascii="宋体" w:hAnsi="宋体" w:cs="宋体"/>
                <w:sz w:val="18"/>
                <w:szCs w:val="18"/>
              </w:rPr>
            </w:r>
            <w:r/>
          </w:p>
        </w:tc>
      </w:tr>
      <w:tr>
        <w:trPr>
          <w:jc w:val="center"/>
          <w:trHeight w:val="479"/>
        </w:trPr>
        <w:tc>
          <w:tcPr>
            <w:tcW w:w="659"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4</w:t>
            </w:r>
            <w:r/>
          </w:p>
        </w:tc>
        <w:tc>
          <w:tcPr>
            <w:tcW w:w="16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办公费（一年）</w:t>
            </w:r>
            <w:r/>
          </w:p>
        </w:tc>
        <w:tc>
          <w:tcPr>
            <w:gridSpan w:val="3"/>
            <w:tcW w:w="6833" w:type="dxa"/>
            <w:vAlign w:val="center"/>
            <w:textDirection w:val="lrTb"/>
            <w:noWrap/>
          </w:tcPr>
          <w:p>
            <w:pPr>
              <w:jc w:val="center"/>
              <w:widowControl/>
              <w:rPr>
                <w:rFonts w:ascii="宋体" w:hAnsi="宋体" w:cs="宋体"/>
                <w:sz w:val="18"/>
                <w:szCs w:val="18"/>
              </w:rPr>
            </w:pPr>
            <w:r>
              <w:rPr>
                <w:rFonts w:ascii="宋体" w:hAnsi="宋体" w:cs="宋体"/>
                <w:sz w:val="18"/>
                <w:szCs w:val="18"/>
              </w:rPr>
            </w:r>
            <w:r/>
          </w:p>
        </w:tc>
      </w:tr>
      <w:tr>
        <w:trPr>
          <w:jc w:val="center"/>
          <w:trHeight w:val="599"/>
        </w:trPr>
        <w:tc>
          <w:tcPr>
            <w:tcW w:w="659"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5</w:t>
            </w:r>
            <w:r/>
          </w:p>
        </w:tc>
        <w:tc>
          <w:tcPr>
            <w:tcW w:w="16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其他费用</w:t>
            </w:r>
            <w:r/>
          </w:p>
          <w:p>
            <w:pPr>
              <w:jc w:val="center"/>
              <w:widowControl/>
              <w:rPr>
                <w:rFonts w:ascii="宋体" w:hAnsi="宋体" w:cs="宋体"/>
                <w:sz w:val="18"/>
                <w:szCs w:val="18"/>
              </w:rPr>
            </w:pPr>
            <w:r>
              <w:rPr>
                <w:rFonts w:hint="eastAsia" w:ascii="宋体" w:hAnsi="宋体" w:cs="宋体"/>
                <w:sz w:val="18"/>
                <w:szCs w:val="18"/>
              </w:rPr>
              <w:t xml:space="preserve">（一年）</w:t>
            </w:r>
            <w:r/>
          </w:p>
        </w:tc>
        <w:tc>
          <w:tcPr>
            <w:gridSpan w:val="3"/>
            <w:tcW w:w="6833" w:type="dxa"/>
            <w:vAlign w:val="center"/>
            <w:textDirection w:val="lrTb"/>
            <w:noWrap/>
          </w:tcPr>
          <w:p>
            <w:pPr>
              <w:jc w:val="center"/>
              <w:widowControl/>
              <w:rPr>
                <w:rFonts w:ascii="宋体" w:hAnsi="宋体" w:cs="宋体"/>
                <w:sz w:val="18"/>
                <w:szCs w:val="18"/>
              </w:rPr>
            </w:pPr>
            <w:r>
              <w:rPr>
                <w:rFonts w:ascii="宋体" w:hAnsi="宋体" w:cs="宋体"/>
                <w:sz w:val="18"/>
                <w:szCs w:val="18"/>
              </w:rPr>
            </w:r>
            <w:r/>
          </w:p>
        </w:tc>
      </w:tr>
      <w:tr>
        <w:trPr>
          <w:jc w:val="center"/>
          <w:trHeight w:val="599"/>
        </w:trPr>
        <w:tc>
          <w:tcPr>
            <w:tcW w:w="659"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6</w:t>
            </w:r>
            <w:r/>
          </w:p>
        </w:tc>
        <w:tc>
          <w:tcPr>
            <w:tcW w:w="16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以上小计</w:t>
            </w:r>
            <w:r/>
          </w:p>
          <w:p>
            <w:pPr>
              <w:jc w:val="center"/>
              <w:widowControl/>
              <w:rPr>
                <w:rFonts w:ascii="宋体" w:hAnsi="宋体" w:cs="宋体"/>
                <w:sz w:val="18"/>
                <w:szCs w:val="18"/>
              </w:rPr>
            </w:pPr>
            <w:r>
              <w:rPr>
                <w:rFonts w:hint="eastAsia" w:ascii="宋体" w:hAnsi="宋体" w:cs="宋体"/>
                <w:sz w:val="18"/>
                <w:szCs w:val="18"/>
              </w:rPr>
              <w:t xml:space="preserve">（一年）</w:t>
            </w:r>
            <w:r/>
          </w:p>
        </w:tc>
        <w:tc>
          <w:tcPr>
            <w:gridSpan w:val="2"/>
            <w:tcW w:w="3928"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1+2+3+4+5</w:t>
            </w:r>
            <w:r/>
          </w:p>
        </w:tc>
        <w:tc>
          <w:tcPr>
            <w:tcW w:w="2905" w:type="dxa"/>
            <w:vAlign w:val="center"/>
            <w:textDirection w:val="lrTb"/>
            <w:noWrap/>
          </w:tcPr>
          <w:p>
            <w:pPr>
              <w:jc w:val="center"/>
              <w:widowControl/>
              <w:rPr>
                <w:rFonts w:ascii="宋体" w:hAnsi="宋体" w:cs="宋体"/>
                <w:sz w:val="18"/>
                <w:szCs w:val="18"/>
              </w:rPr>
            </w:pPr>
            <w:r>
              <w:rPr>
                <w:rFonts w:ascii="宋体" w:hAnsi="宋体" w:cs="宋体"/>
                <w:sz w:val="18"/>
                <w:szCs w:val="18"/>
              </w:rPr>
            </w:r>
            <w:r/>
          </w:p>
        </w:tc>
      </w:tr>
      <w:tr>
        <w:trPr>
          <w:jc w:val="center"/>
          <w:trHeight w:val="599"/>
        </w:trPr>
        <w:tc>
          <w:tcPr>
            <w:tcW w:w="659"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7</w:t>
            </w:r>
            <w:r/>
          </w:p>
        </w:tc>
        <w:tc>
          <w:tcPr>
            <w:tcW w:w="16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管理费、利润</w:t>
            </w:r>
            <w:r/>
          </w:p>
          <w:p>
            <w:pPr>
              <w:jc w:val="center"/>
              <w:widowControl/>
              <w:rPr>
                <w:rFonts w:ascii="宋体" w:hAnsi="宋体" w:cs="宋体"/>
                <w:sz w:val="18"/>
                <w:szCs w:val="18"/>
              </w:rPr>
            </w:pPr>
            <w:r>
              <w:rPr>
                <w:rFonts w:hint="eastAsia" w:ascii="宋体" w:hAnsi="宋体" w:cs="宋体"/>
                <w:sz w:val="18"/>
                <w:szCs w:val="18"/>
              </w:rPr>
              <w:t xml:space="preserve">（一年）</w:t>
            </w:r>
            <w:r/>
          </w:p>
        </w:tc>
        <w:tc>
          <w:tcPr>
            <w:gridSpan w:val="2"/>
            <w:tcW w:w="3928"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6×费率 %</w:t>
            </w:r>
            <w:r/>
          </w:p>
        </w:tc>
        <w:tc>
          <w:tcPr>
            <w:tcW w:w="2905" w:type="dxa"/>
            <w:vAlign w:val="center"/>
            <w:textDirection w:val="lrTb"/>
            <w:noWrap/>
          </w:tcPr>
          <w:p>
            <w:pPr>
              <w:jc w:val="center"/>
              <w:widowControl/>
              <w:rPr>
                <w:rFonts w:ascii="宋体" w:hAnsi="宋体" w:cs="宋体"/>
                <w:sz w:val="18"/>
                <w:szCs w:val="18"/>
              </w:rPr>
            </w:pPr>
            <w:r>
              <w:rPr>
                <w:rFonts w:ascii="宋体" w:hAnsi="宋体" w:cs="宋体"/>
                <w:sz w:val="18"/>
                <w:szCs w:val="18"/>
              </w:rPr>
            </w:r>
            <w:r/>
          </w:p>
        </w:tc>
      </w:tr>
      <w:tr>
        <w:trPr>
          <w:jc w:val="center"/>
          <w:trHeight w:val="523"/>
        </w:trPr>
        <w:tc>
          <w:tcPr>
            <w:tcW w:w="659"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8</w:t>
            </w:r>
            <w:r/>
          </w:p>
        </w:tc>
        <w:tc>
          <w:tcPr>
            <w:tcW w:w="1680"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税金</w:t>
            </w:r>
            <w:r/>
          </w:p>
          <w:p>
            <w:pPr>
              <w:jc w:val="center"/>
              <w:widowControl/>
              <w:rPr>
                <w:rFonts w:ascii="宋体" w:hAnsi="宋体" w:cs="宋体"/>
                <w:sz w:val="18"/>
                <w:szCs w:val="18"/>
              </w:rPr>
            </w:pPr>
            <w:r>
              <w:rPr>
                <w:rFonts w:hint="eastAsia" w:ascii="宋体" w:hAnsi="宋体" w:cs="宋体"/>
                <w:sz w:val="18"/>
                <w:szCs w:val="18"/>
              </w:rPr>
              <w:t xml:space="preserve">（一年）</w:t>
            </w:r>
            <w:r/>
          </w:p>
        </w:tc>
        <w:tc>
          <w:tcPr>
            <w:gridSpan w:val="2"/>
            <w:tcW w:w="3928"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[（6+7）]×税率%</w:t>
            </w:r>
            <w:r/>
          </w:p>
        </w:tc>
        <w:tc>
          <w:tcPr>
            <w:tcW w:w="2905" w:type="dxa"/>
            <w:vAlign w:val="center"/>
            <w:textDirection w:val="lrTb"/>
            <w:noWrap/>
          </w:tcPr>
          <w:p>
            <w:pPr>
              <w:jc w:val="center"/>
              <w:widowControl/>
              <w:rPr>
                <w:rFonts w:ascii="宋体" w:hAnsi="宋体" w:cs="宋体"/>
                <w:sz w:val="18"/>
                <w:szCs w:val="18"/>
              </w:rPr>
            </w:pPr>
            <w:r>
              <w:rPr>
                <w:rFonts w:ascii="宋体" w:hAnsi="宋体" w:cs="宋体"/>
                <w:sz w:val="18"/>
                <w:szCs w:val="18"/>
              </w:rPr>
            </w:r>
            <w:r/>
          </w:p>
        </w:tc>
      </w:tr>
      <w:tr>
        <w:trPr>
          <w:jc w:val="center"/>
          <w:trHeight w:val="455"/>
        </w:trPr>
        <w:tc>
          <w:tcPr>
            <w:tcW w:w="659"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9</w:t>
            </w:r>
            <w:r/>
          </w:p>
        </w:tc>
        <w:tc>
          <w:tcPr>
            <w:gridSpan w:val="3"/>
            <w:tcW w:w="5608"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一年费用合计 （6+7+8）</w:t>
            </w:r>
            <w:r/>
          </w:p>
        </w:tc>
        <w:tc>
          <w:tcPr>
            <w:tcW w:w="2905" w:type="dxa"/>
            <w:vAlign w:val="center"/>
            <w:textDirection w:val="lrTb"/>
            <w:noWrap/>
          </w:tcPr>
          <w:p>
            <w:pPr>
              <w:jc w:val="center"/>
              <w:widowControl/>
              <w:rPr>
                <w:rFonts w:ascii="宋体" w:hAnsi="宋体" w:cs="宋体"/>
                <w:sz w:val="18"/>
                <w:szCs w:val="18"/>
              </w:rPr>
            </w:pPr>
            <w:r>
              <w:rPr>
                <w:rFonts w:ascii="宋体" w:hAnsi="宋体" w:cs="宋体"/>
                <w:sz w:val="18"/>
                <w:szCs w:val="18"/>
              </w:rPr>
            </w:r>
            <w:r/>
          </w:p>
        </w:tc>
      </w:tr>
      <w:tr>
        <w:trPr>
          <w:jc w:val="center"/>
          <w:trHeight w:val="593"/>
        </w:trPr>
        <w:tc>
          <w:tcPr>
            <w:tcW w:w="659"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10</w:t>
            </w:r>
            <w:r/>
          </w:p>
        </w:tc>
        <w:tc>
          <w:tcPr>
            <w:gridSpan w:val="3"/>
            <w:tcW w:w="5608"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三年费用合计（9）*3年</w:t>
            </w:r>
            <w:r/>
          </w:p>
        </w:tc>
        <w:tc>
          <w:tcPr>
            <w:tcW w:w="2905" w:type="dxa"/>
            <w:vAlign w:val="center"/>
            <w:textDirection w:val="lrTb"/>
            <w:noWrap/>
          </w:tcPr>
          <w:p>
            <w:pPr>
              <w:jc w:val="center"/>
              <w:widowControl/>
              <w:rPr>
                <w:rFonts w:ascii="宋体" w:hAnsi="宋体" w:cs="宋体"/>
                <w:sz w:val="18"/>
                <w:szCs w:val="18"/>
              </w:rPr>
            </w:pPr>
            <w:r>
              <w:rPr>
                <w:rFonts w:ascii="宋体" w:hAnsi="宋体" w:cs="宋体"/>
                <w:sz w:val="18"/>
                <w:szCs w:val="18"/>
              </w:rPr>
            </w:r>
            <w:r/>
          </w:p>
        </w:tc>
      </w:tr>
    </w:tbl>
    <w:p>
      <w:pPr>
        <w:ind w:firstLine="316"/>
        <w:spacing w:line="360" w:lineRule="auto"/>
        <w:rPr>
          <w:rFonts w:ascii="宋体"/>
          <w:bCs/>
          <w:szCs w:val="21"/>
        </w:rPr>
        <w:outlineLvl w:val="0"/>
      </w:pPr>
      <w:r>
        <w:rPr>
          <w:rFonts w:hint="eastAsia" w:ascii="宋体"/>
          <w:b/>
          <w:szCs w:val="21"/>
        </w:rPr>
        <w:t xml:space="preserve">注：</w:t>
      </w:r>
      <w:r>
        <w:rPr>
          <w:rFonts w:hint="eastAsia" w:ascii="宋体"/>
          <w:bCs/>
          <w:szCs w:val="21"/>
        </w:rPr>
        <w:t xml:space="preserve">（1）表格不够可自行延长。</w:t>
      </w:r>
      <w:r/>
    </w:p>
    <w:p>
      <w:pPr>
        <w:jc w:val="right"/>
        <w:rPr>
          <w:rFonts w:ascii="宋体" w:hAnsi="宋体" w:cs="宋体"/>
          <w:sz w:val="24"/>
          <w:szCs w:val="24"/>
        </w:rPr>
      </w:pPr>
      <w:r>
        <w:rPr>
          <w:rFonts w:hint="eastAsia" w:ascii="宋体" w:hAnsi="宋体" w:cs="宋体"/>
          <w:sz w:val="24"/>
          <w:szCs w:val="24"/>
        </w:rPr>
        <w:t xml:space="preserve">法定代表人或授权代表（签字或盖章）：__________</w:t>
      </w:r>
      <w:r/>
    </w:p>
    <w:p>
      <w:pPr>
        <w:jc w:val="right"/>
        <w:rPr>
          <w:rFonts w:ascii="宋体" w:hAnsi="宋体" w:cs="宋体"/>
          <w:sz w:val="24"/>
          <w:szCs w:val="24"/>
        </w:rPr>
      </w:pPr>
      <w:r>
        <w:rPr>
          <w:rFonts w:ascii="宋体" w:hAnsi="宋体" w:cs="宋体"/>
          <w:sz w:val="24"/>
          <w:szCs w:val="24"/>
        </w:rPr>
      </w:r>
      <w:r/>
    </w:p>
    <w:p>
      <w:pPr>
        <w:pStyle w:val="892"/>
        <w:jc w:val="right"/>
        <w:rPr>
          <w:rFonts w:ascii="宋体" w:hAnsi="宋体" w:cs="宋体"/>
          <w:bCs/>
          <w:color w:val="000000"/>
          <w:sz w:val="24"/>
          <w:szCs w:val="24"/>
        </w:rPr>
      </w:pPr>
      <w:r>
        <w:rPr>
          <w:rFonts w:hint="eastAsia" w:ascii="宋体" w:hAnsi="宋体" w:cs="宋体"/>
          <w:sz w:val="24"/>
          <w:szCs w:val="24"/>
        </w:rPr>
        <w:t xml:space="preserve">日期：________年____月____日</w:t>
      </w:r>
      <w:r/>
    </w:p>
    <w:p>
      <w:pPr>
        <w:pStyle w:val="854"/>
      </w:pPr>
      <w:r/>
      <w:r/>
    </w:p>
    <w:p>
      <w:pPr>
        <w:pStyle w:val="854"/>
      </w:pPr>
      <w:r/>
      <w:r/>
    </w:p>
    <w:p>
      <w:pPr>
        <w:jc w:val="center"/>
        <w:spacing w:line="360" w:lineRule="auto"/>
        <w:rPr>
          <w:rFonts w:ascii="宋体" w:hAnsi="宋体" w:cs="宋体"/>
          <w:b/>
          <w:color w:val="000000"/>
          <w:sz w:val="28"/>
          <w:szCs w:val="28"/>
        </w:rPr>
        <w:outlineLvl w:val="0"/>
      </w:pPr>
      <w:r>
        <w:rPr>
          <w:rFonts w:ascii="宋体" w:hAnsi="宋体"/>
          <w:bCs/>
          <w:sz w:val="28"/>
          <w:szCs w:val="28"/>
        </w:rPr>
        <w:br w:type="page" w:clear="all"/>
      </w:r>
      <w:r>
        <w:rPr>
          <w:rFonts w:hint="eastAsia" w:ascii="宋体" w:hAnsi="宋体" w:cs="宋体"/>
          <w:b/>
          <w:color w:val="000000"/>
          <w:sz w:val="28"/>
          <w:szCs w:val="28"/>
        </w:rPr>
        <w:t xml:space="preserve">（3）员工工资福利及法定计提费用明细表</w:t>
      </w:r>
      <w:r/>
    </w:p>
    <w:p>
      <w:pPr>
        <w:spacing w:line="360" w:lineRule="auto"/>
      </w:pPr>
      <w:r>
        <w:rPr>
          <w:rFonts w:hint="eastAsia" w:ascii="宋体" w:hAnsi="宋体"/>
          <w:bCs/>
          <w:sz w:val="24"/>
        </w:rPr>
        <w:t xml:space="preserve">投标供应商名称（盖章）                                 采购项目编号：</w:t>
      </w:r>
      <w:r/>
    </w:p>
    <w:tbl>
      <w:tblPr>
        <w:tblStyle w:val="783"/>
        <w:tblW w:w="9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2232"/>
        <w:gridCol w:w="1076"/>
        <w:gridCol w:w="1345"/>
        <w:gridCol w:w="1161"/>
        <w:gridCol w:w="1635"/>
        <w:gridCol w:w="1005"/>
      </w:tblGrid>
      <w:tr>
        <w:trPr>
          <w:jc w:val="center"/>
          <w:trHeight w:val="740"/>
        </w:trPr>
        <w:tc>
          <w:tcPr>
            <w:tcW w:w="843" w:type="dxa"/>
            <w:vAlign w:val="center"/>
            <w:textDirection w:val="lrTb"/>
            <w:noWrap/>
          </w:tcPr>
          <w:p>
            <w:pPr>
              <w:jc w:val="center"/>
              <w:widowControl/>
              <w:rPr>
                <w:rFonts w:ascii="宋体" w:hAnsi="宋体" w:cs="宋体"/>
                <w:b/>
                <w:bCs/>
                <w:sz w:val="18"/>
                <w:szCs w:val="18"/>
              </w:rPr>
            </w:pPr>
            <w:r>
              <w:rPr>
                <w:rFonts w:hint="eastAsia" w:ascii="宋体" w:hAnsi="宋体" w:cs="宋体"/>
                <w:b/>
                <w:bCs/>
                <w:sz w:val="18"/>
                <w:szCs w:val="18"/>
              </w:rPr>
              <w:t xml:space="preserve">序号</w:t>
            </w:r>
            <w:r/>
          </w:p>
        </w:tc>
        <w:tc>
          <w:tcPr>
            <w:tcW w:w="2232" w:type="dxa"/>
            <w:vAlign w:val="center"/>
            <w:textDirection w:val="lrTb"/>
            <w:noWrap/>
          </w:tcPr>
          <w:p>
            <w:pPr>
              <w:jc w:val="center"/>
              <w:widowControl/>
              <w:rPr>
                <w:rFonts w:ascii="宋体" w:hAnsi="宋体" w:cs="宋体"/>
                <w:b/>
                <w:bCs/>
                <w:sz w:val="18"/>
                <w:szCs w:val="18"/>
              </w:rPr>
            </w:pPr>
            <w:r>
              <w:rPr>
                <w:rFonts w:hint="eastAsia" w:ascii="宋体" w:hAnsi="宋体" w:cs="宋体"/>
                <w:b/>
                <w:bCs/>
                <w:sz w:val="18"/>
                <w:szCs w:val="18"/>
              </w:rPr>
              <w:t xml:space="preserve">项目名称</w:t>
            </w:r>
            <w:r/>
          </w:p>
        </w:tc>
        <w:tc>
          <w:tcPr>
            <w:tcW w:w="1076" w:type="dxa"/>
            <w:vAlign w:val="center"/>
            <w:textDirection w:val="lrTb"/>
            <w:noWrap/>
          </w:tcPr>
          <w:p>
            <w:pPr>
              <w:jc w:val="center"/>
              <w:widowControl/>
              <w:rPr>
                <w:rFonts w:ascii="宋体" w:hAnsi="宋体" w:cs="宋体"/>
                <w:b/>
                <w:bCs/>
                <w:sz w:val="18"/>
                <w:szCs w:val="18"/>
              </w:rPr>
            </w:pPr>
            <w:r>
              <w:rPr>
                <w:rFonts w:hint="eastAsia" w:ascii="宋体" w:hAnsi="宋体" w:cs="宋体"/>
                <w:b/>
                <w:bCs/>
                <w:sz w:val="18"/>
                <w:szCs w:val="18"/>
              </w:rPr>
              <w:t xml:space="preserve">人数配置</w:t>
            </w:r>
            <w:r/>
          </w:p>
        </w:tc>
        <w:tc>
          <w:tcPr>
            <w:tcW w:w="1345" w:type="dxa"/>
            <w:vAlign w:val="center"/>
            <w:textDirection w:val="lrTb"/>
            <w:noWrap/>
          </w:tcPr>
          <w:p>
            <w:pPr>
              <w:jc w:val="center"/>
              <w:widowControl/>
              <w:rPr>
                <w:rFonts w:ascii="宋体" w:hAnsi="宋体" w:cs="宋体"/>
                <w:b/>
                <w:bCs/>
                <w:sz w:val="18"/>
                <w:szCs w:val="18"/>
              </w:rPr>
            </w:pPr>
            <w:r>
              <w:rPr>
                <w:rFonts w:hint="eastAsia" w:ascii="宋体" w:hAnsi="宋体" w:cs="宋体"/>
                <w:b/>
                <w:bCs/>
                <w:sz w:val="18"/>
                <w:szCs w:val="18"/>
              </w:rPr>
              <w:t xml:space="preserve">人员费用标准（元/月）</w:t>
            </w:r>
            <w:r/>
          </w:p>
        </w:tc>
        <w:tc>
          <w:tcPr>
            <w:tcW w:w="1161" w:type="dxa"/>
            <w:vAlign w:val="center"/>
            <w:textDirection w:val="lrTb"/>
            <w:noWrap/>
          </w:tcPr>
          <w:p>
            <w:pPr>
              <w:jc w:val="center"/>
              <w:widowControl/>
              <w:rPr>
                <w:rFonts w:ascii="宋体" w:hAnsi="宋体" w:cs="宋体"/>
                <w:b/>
                <w:bCs/>
                <w:sz w:val="18"/>
                <w:szCs w:val="18"/>
              </w:rPr>
            </w:pPr>
            <w:r>
              <w:rPr>
                <w:rFonts w:hint="eastAsia" w:ascii="宋体" w:hAnsi="宋体" w:cs="宋体"/>
                <w:b/>
                <w:bCs/>
                <w:sz w:val="18"/>
                <w:szCs w:val="18"/>
              </w:rPr>
              <w:t xml:space="preserve">合计费用</w:t>
            </w:r>
            <w:r/>
          </w:p>
          <w:p>
            <w:pPr>
              <w:jc w:val="center"/>
              <w:widowControl/>
              <w:rPr>
                <w:rFonts w:ascii="宋体" w:hAnsi="宋体" w:cs="宋体"/>
                <w:b/>
                <w:bCs/>
                <w:sz w:val="18"/>
                <w:szCs w:val="18"/>
              </w:rPr>
            </w:pPr>
            <w:r>
              <w:rPr>
                <w:rFonts w:hint="eastAsia" w:ascii="宋体" w:hAnsi="宋体" w:cs="宋体"/>
                <w:b/>
                <w:bCs/>
                <w:sz w:val="18"/>
                <w:szCs w:val="18"/>
              </w:rPr>
              <w:t xml:space="preserve">（元/月）</w:t>
            </w:r>
            <w:r/>
          </w:p>
        </w:tc>
        <w:tc>
          <w:tcPr>
            <w:tcW w:w="1635" w:type="dxa"/>
            <w:vAlign w:val="center"/>
            <w:textDirection w:val="lrTb"/>
            <w:noWrap/>
          </w:tcPr>
          <w:p>
            <w:pPr>
              <w:jc w:val="center"/>
              <w:widowControl/>
              <w:rPr>
                <w:rFonts w:ascii="宋体" w:hAnsi="宋体" w:cs="宋体"/>
                <w:b/>
                <w:bCs/>
                <w:sz w:val="18"/>
                <w:szCs w:val="18"/>
              </w:rPr>
            </w:pPr>
            <w:r>
              <w:rPr>
                <w:rFonts w:hint="eastAsia" w:ascii="宋体" w:hAnsi="宋体" w:cs="宋体"/>
                <w:b/>
                <w:bCs/>
                <w:sz w:val="18"/>
                <w:szCs w:val="18"/>
              </w:rPr>
              <w:t xml:space="preserve">合计费用</w:t>
            </w:r>
            <w:r/>
          </w:p>
          <w:p>
            <w:pPr>
              <w:jc w:val="center"/>
              <w:widowControl/>
              <w:rPr>
                <w:rFonts w:ascii="宋体" w:hAnsi="宋体" w:cs="宋体"/>
                <w:b/>
                <w:bCs/>
                <w:sz w:val="18"/>
                <w:szCs w:val="18"/>
              </w:rPr>
            </w:pPr>
            <w:r>
              <w:rPr>
                <w:rFonts w:hint="eastAsia" w:ascii="宋体" w:hAnsi="宋体" w:cs="宋体"/>
                <w:b/>
                <w:bCs/>
                <w:sz w:val="18"/>
                <w:szCs w:val="18"/>
              </w:rPr>
              <w:t xml:space="preserve">（元/年）</w:t>
            </w:r>
            <w:r/>
          </w:p>
        </w:tc>
        <w:tc>
          <w:tcPr>
            <w:tcW w:w="1005" w:type="dxa"/>
            <w:vAlign w:val="center"/>
            <w:textDirection w:val="lrTb"/>
            <w:noWrap/>
          </w:tcPr>
          <w:p>
            <w:pPr>
              <w:jc w:val="center"/>
              <w:widowControl/>
              <w:rPr>
                <w:rFonts w:ascii="宋体" w:hAnsi="宋体" w:cs="宋体"/>
                <w:b/>
                <w:bCs/>
                <w:sz w:val="18"/>
                <w:szCs w:val="18"/>
              </w:rPr>
            </w:pPr>
            <w:r>
              <w:rPr>
                <w:rFonts w:hint="eastAsia" w:ascii="宋体" w:hAnsi="宋体" w:cs="宋体"/>
                <w:b/>
                <w:bCs/>
                <w:sz w:val="18"/>
                <w:szCs w:val="18"/>
              </w:rPr>
              <w:t xml:space="preserve">备注</w:t>
            </w:r>
            <w:r/>
          </w:p>
        </w:tc>
      </w:tr>
      <w:tr>
        <w:trPr>
          <w:jc w:val="center"/>
          <w:trHeight w:val="447"/>
        </w:trPr>
        <w:tc>
          <w:tcPr>
            <w:tcW w:w="843" w:type="dxa"/>
            <w:vAlign w:val="center"/>
            <w:textDirection w:val="lrTb"/>
            <w:noWrap/>
          </w:tcPr>
          <w:p>
            <w:pPr>
              <w:jc w:val="center"/>
              <w:rPr>
                <w:rFonts w:ascii="宋体"/>
                <w:b/>
                <w:sz w:val="18"/>
                <w:szCs w:val="18"/>
              </w:rPr>
            </w:pPr>
            <w:r>
              <w:rPr>
                <w:rFonts w:hint="eastAsia" w:ascii="宋体"/>
                <w:b/>
                <w:sz w:val="18"/>
                <w:szCs w:val="18"/>
              </w:rPr>
              <w:t xml:space="preserve">1</w:t>
            </w:r>
            <w:r/>
          </w:p>
        </w:tc>
        <w:tc>
          <w:tcPr>
            <w:tcW w:w="2232" w:type="dxa"/>
            <w:vAlign w:val="center"/>
            <w:textDirection w:val="lrTb"/>
            <w:noWrap/>
          </w:tcPr>
          <w:p>
            <w:pPr>
              <w:rPr>
                <w:rFonts w:ascii="宋体"/>
                <w:b/>
                <w:sz w:val="18"/>
                <w:szCs w:val="18"/>
              </w:rPr>
            </w:pPr>
            <w:r>
              <w:rPr>
                <w:rFonts w:hint="eastAsia" w:ascii="宋体"/>
                <w:b/>
                <w:sz w:val="18"/>
                <w:szCs w:val="18"/>
              </w:rPr>
              <w:t xml:space="preserve">员工工资及福利</w:t>
            </w:r>
            <w:r/>
          </w:p>
        </w:tc>
        <w:tc>
          <w:tcPr>
            <w:tcW w:w="1076" w:type="dxa"/>
            <w:vAlign w:val="center"/>
            <w:textDirection w:val="lrTb"/>
            <w:noWrap/>
          </w:tcPr>
          <w:p>
            <w:pPr>
              <w:jc w:val="center"/>
              <w:rPr>
                <w:rFonts w:ascii="宋体"/>
                <w:sz w:val="18"/>
                <w:szCs w:val="18"/>
              </w:rPr>
            </w:pPr>
            <w:r>
              <w:rPr>
                <w:rFonts w:ascii="宋体"/>
                <w:sz w:val="18"/>
                <w:szCs w:val="18"/>
              </w:rPr>
            </w:r>
            <w:r/>
          </w:p>
        </w:tc>
        <w:tc>
          <w:tcPr>
            <w:tcW w:w="1345" w:type="dxa"/>
            <w:vAlign w:val="center"/>
            <w:textDirection w:val="lrTb"/>
            <w:noWrap/>
          </w:tcPr>
          <w:p>
            <w:pPr>
              <w:jc w:val="center"/>
              <w:rPr>
                <w:rFonts w:ascii="宋体"/>
                <w:sz w:val="18"/>
                <w:szCs w:val="18"/>
              </w:rPr>
            </w:pPr>
            <w:r>
              <w:rPr>
                <w:rFonts w:ascii="宋体"/>
                <w:sz w:val="18"/>
                <w:szCs w:val="18"/>
              </w:rPr>
            </w:r>
            <w:r/>
          </w:p>
        </w:tc>
        <w:tc>
          <w:tcPr>
            <w:tcW w:w="1161" w:type="dxa"/>
            <w:vAlign w:val="center"/>
            <w:textDirection w:val="lrTb"/>
            <w:noWrap/>
          </w:tcPr>
          <w:p>
            <w:pPr>
              <w:jc w:val="center"/>
              <w:rPr>
                <w:rFonts w:ascii="宋体"/>
                <w:sz w:val="18"/>
                <w:szCs w:val="18"/>
              </w:rPr>
            </w:pPr>
            <w:r>
              <w:rPr>
                <w:rFonts w:ascii="宋体"/>
                <w:sz w:val="18"/>
                <w:szCs w:val="18"/>
              </w:rPr>
            </w:r>
            <w:r/>
          </w:p>
        </w:tc>
        <w:tc>
          <w:tcPr>
            <w:tcW w:w="1635" w:type="dxa"/>
            <w:vAlign w:val="center"/>
            <w:textDirection w:val="lrTb"/>
            <w:noWrap/>
          </w:tcPr>
          <w:p>
            <w:pPr>
              <w:jc w:val="center"/>
              <w:rPr>
                <w:rFonts w:ascii="宋体"/>
                <w:sz w:val="18"/>
                <w:szCs w:val="18"/>
              </w:rPr>
            </w:pPr>
            <w:r>
              <w:rPr>
                <w:rFonts w:ascii="宋体"/>
                <w:sz w:val="18"/>
                <w:szCs w:val="18"/>
              </w:rPr>
            </w:r>
            <w:r/>
          </w:p>
        </w:tc>
        <w:tc>
          <w:tcPr>
            <w:tcW w:w="1005" w:type="dxa"/>
            <w:vAlign w:val="center"/>
            <w:textDirection w:val="lrTb"/>
            <w:noWrap/>
          </w:tcPr>
          <w:p>
            <w:pPr>
              <w:jc w:val="center"/>
              <w:rPr>
                <w:rFonts w:ascii="宋体"/>
                <w:sz w:val="18"/>
                <w:szCs w:val="18"/>
              </w:rPr>
            </w:pPr>
            <w:r>
              <w:rPr>
                <w:rFonts w:ascii="宋体"/>
                <w:sz w:val="18"/>
                <w:szCs w:val="18"/>
              </w:rPr>
            </w:r>
            <w:r/>
          </w:p>
        </w:tc>
      </w:tr>
      <w:tr>
        <w:trPr>
          <w:jc w:val="center"/>
          <w:trHeight w:val="591"/>
        </w:trPr>
        <w:tc>
          <w:tcPr>
            <w:tcW w:w="843" w:type="dxa"/>
            <w:vAlign w:val="center"/>
            <w:textDirection w:val="lrTb"/>
            <w:noWrap/>
          </w:tcPr>
          <w:p>
            <w:pPr>
              <w:jc w:val="center"/>
              <w:rPr>
                <w:rFonts w:ascii="宋体"/>
                <w:sz w:val="18"/>
                <w:szCs w:val="18"/>
              </w:rPr>
            </w:pPr>
            <w:r>
              <w:rPr>
                <w:rFonts w:hint="eastAsia" w:ascii="宋体"/>
                <w:sz w:val="18"/>
                <w:szCs w:val="18"/>
              </w:rPr>
              <w:t xml:space="preserve">（1）</w:t>
            </w:r>
            <w:r/>
          </w:p>
        </w:tc>
        <w:tc>
          <w:tcPr>
            <w:tcW w:w="2232" w:type="dxa"/>
            <w:vAlign w:val="center"/>
            <w:textDirection w:val="lrTb"/>
            <w:noWrap/>
          </w:tcPr>
          <w:p>
            <w:pPr>
              <w:jc w:val="left"/>
              <w:rPr>
                <w:rFonts w:ascii="宋体"/>
                <w:sz w:val="18"/>
                <w:szCs w:val="18"/>
              </w:rPr>
            </w:pPr>
            <w:r>
              <w:rPr>
                <w:rFonts w:hint="eastAsia" w:ascii="宋体"/>
                <w:b/>
                <w:sz w:val="18"/>
                <w:szCs w:val="18"/>
              </w:rPr>
              <w:t xml:space="preserve">各工种工作人员工资（请列明具体工种）</w:t>
            </w:r>
            <w:r/>
          </w:p>
        </w:tc>
        <w:tc>
          <w:tcPr>
            <w:tcW w:w="1076" w:type="dxa"/>
            <w:vAlign w:val="center"/>
            <w:textDirection w:val="lrTb"/>
            <w:noWrap/>
          </w:tcPr>
          <w:p>
            <w:pPr>
              <w:jc w:val="center"/>
              <w:rPr>
                <w:rFonts w:ascii="宋体"/>
                <w:sz w:val="18"/>
                <w:szCs w:val="18"/>
              </w:rPr>
            </w:pPr>
            <w:r>
              <w:rPr>
                <w:rFonts w:ascii="宋体"/>
                <w:sz w:val="18"/>
                <w:szCs w:val="18"/>
              </w:rPr>
            </w:r>
            <w:r/>
          </w:p>
        </w:tc>
        <w:tc>
          <w:tcPr>
            <w:tcW w:w="1345" w:type="dxa"/>
            <w:vAlign w:val="center"/>
            <w:textDirection w:val="lrTb"/>
            <w:noWrap/>
          </w:tcPr>
          <w:p>
            <w:pPr>
              <w:jc w:val="center"/>
              <w:rPr>
                <w:rFonts w:ascii="宋体"/>
                <w:sz w:val="18"/>
                <w:szCs w:val="18"/>
              </w:rPr>
            </w:pPr>
            <w:r>
              <w:rPr>
                <w:rFonts w:ascii="宋体"/>
                <w:sz w:val="18"/>
                <w:szCs w:val="18"/>
              </w:rPr>
            </w:r>
            <w:r/>
          </w:p>
        </w:tc>
        <w:tc>
          <w:tcPr>
            <w:tcW w:w="1161" w:type="dxa"/>
            <w:vAlign w:val="center"/>
            <w:textDirection w:val="lrTb"/>
            <w:noWrap/>
          </w:tcPr>
          <w:p>
            <w:pPr>
              <w:jc w:val="center"/>
              <w:rPr>
                <w:rFonts w:ascii="宋体"/>
                <w:sz w:val="18"/>
                <w:szCs w:val="18"/>
              </w:rPr>
            </w:pPr>
            <w:r>
              <w:rPr>
                <w:rFonts w:ascii="宋体"/>
                <w:sz w:val="18"/>
                <w:szCs w:val="18"/>
              </w:rPr>
            </w:r>
            <w:r/>
          </w:p>
        </w:tc>
        <w:tc>
          <w:tcPr>
            <w:tcW w:w="1635" w:type="dxa"/>
            <w:vAlign w:val="center"/>
            <w:textDirection w:val="lrTb"/>
            <w:noWrap/>
          </w:tcPr>
          <w:p>
            <w:pPr>
              <w:jc w:val="center"/>
              <w:rPr>
                <w:rFonts w:ascii="宋体"/>
                <w:sz w:val="18"/>
                <w:szCs w:val="18"/>
              </w:rPr>
            </w:pPr>
            <w:r>
              <w:rPr>
                <w:rFonts w:ascii="宋体"/>
                <w:sz w:val="18"/>
                <w:szCs w:val="18"/>
              </w:rPr>
            </w:r>
            <w:r/>
          </w:p>
        </w:tc>
        <w:tc>
          <w:tcPr>
            <w:tcW w:w="1005" w:type="dxa"/>
            <w:vAlign w:val="center"/>
            <w:textDirection w:val="lrTb"/>
            <w:noWrap/>
          </w:tcPr>
          <w:p>
            <w:pPr>
              <w:jc w:val="center"/>
              <w:rPr>
                <w:rFonts w:ascii="宋体"/>
                <w:sz w:val="18"/>
                <w:szCs w:val="18"/>
              </w:rPr>
            </w:pPr>
            <w:r>
              <w:rPr>
                <w:rFonts w:ascii="宋体"/>
                <w:sz w:val="18"/>
                <w:szCs w:val="18"/>
              </w:rPr>
            </w:r>
            <w:r/>
          </w:p>
        </w:tc>
      </w:tr>
      <w:tr>
        <w:trPr>
          <w:jc w:val="center"/>
          <w:trHeight w:val="413"/>
        </w:trPr>
        <w:tc>
          <w:tcPr>
            <w:tcW w:w="843" w:type="dxa"/>
            <w:vAlign w:val="center"/>
            <w:textDirection w:val="lrTb"/>
            <w:noWrap/>
          </w:tcPr>
          <w:p>
            <w:pPr>
              <w:jc w:val="center"/>
              <w:rPr>
                <w:rFonts w:ascii="宋体"/>
                <w:sz w:val="18"/>
                <w:szCs w:val="18"/>
              </w:rPr>
            </w:pPr>
            <w:r>
              <w:rPr>
                <w:rFonts w:hint="eastAsia" w:ascii="宋体"/>
                <w:sz w:val="18"/>
                <w:szCs w:val="18"/>
              </w:rPr>
              <w:t xml:space="preserve">（2）</w:t>
            </w:r>
            <w:r/>
          </w:p>
        </w:tc>
        <w:tc>
          <w:tcPr>
            <w:tcW w:w="2232" w:type="dxa"/>
            <w:vAlign w:val="center"/>
            <w:textDirection w:val="lrTb"/>
            <w:noWrap/>
          </w:tcPr>
          <w:p>
            <w:pPr>
              <w:jc w:val="left"/>
              <w:rPr>
                <w:rFonts w:ascii="宋体"/>
                <w:sz w:val="18"/>
                <w:szCs w:val="18"/>
              </w:rPr>
            </w:pPr>
            <w:r>
              <w:rPr>
                <w:rFonts w:hint="eastAsia" w:ascii="宋体"/>
                <w:sz w:val="18"/>
                <w:szCs w:val="18"/>
              </w:rPr>
              <w:t xml:space="preserve">法定节假日加班工资</w:t>
            </w:r>
            <w:r/>
          </w:p>
        </w:tc>
        <w:tc>
          <w:tcPr>
            <w:tcW w:w="1076" w:type="dxa"/>
            <w:vAlign w:val="center"/>
            <w:textDirection w:val="lrTb"/>
            <w:noWrap/>
          </w:tcPr>
          <w:p>
            <w:pPr>
              <w:jc w:val="center"/>
              <w:rPr>
                <w:rFonts w:ascii="宋体"/>
                <w:sz w:val="18"/>
                <w:szCs w:val="18"/>
              </w:rPr>
            </w:pPr>
            <w:r>
              <w:rPr>
                <w:rFonts w:ascii="宋体"/>
                <w:sz w:val="18"/>
                <w:szCs w:val="18"/>
              </w:rPr>
            </w:r>
            <w:r/>
          </w:p>
        </w:tc>
        <w:tc>
          <w:tcPr>
            <w:tcW w:w="1345" w:type="dxa"/>
            <w:vAlign w:val="center"/>
            <w:textDirection w:val="lrTb"/>
            <w:noWrap/>
          </w:tcPr>
          <w:p>
            <w:pPr>
              <w:jc w:val="center"/>
              <w:rPr>
                <w:rFonts w:ascii="宋体"/>
                <w:sz w:val="18"/>
                <w:szCs w:val="18"/>
              </w:rPr>
            </w:pPr>
            <w:r>
              <w:rPr>
                <w:rFonts w:ascii="宋体"/>
                <w:sz w:val="18"/>
                <w:szCs w:val="18"/>
              </w:rPr>
            </w:r>
            <w:r/>
          </w:p>
        </w:tc>
        <w:tc>
          <w:tcPr>
            <w:tcW w:w="1161" w:type="dxa"/>
            <w:vAlign w:val="center"/>
            <w:textDirection w:val="lrTb"/>
            <w:noWrap/>
          </w:tcPr>
          <w:p>
            <w:pPr>
              <w:jc w:val="center"/>
              <w:rPr>
                <w:rFonts w:ascii="宋体"/>
                <w:sz w:val="18"/>
                <w:szCs w:val="18"/>
              </w:rPr>
            </w:pPr>
            <w:r>
              <w:rPr>
                <w:rFonts w:ascii="宋体"/>
                <w:sz w:val="18"/>
                <w:szCs w:val="18"/>
              </w:rPr>
            </w:r>
            <w:r/>
          </w:p>
        </w:tc>
        <w:tc>
          <w:tcPr>
            <w:tcW w:w="1635" w:type="dxa"/>
            <w:vAlign w:val="center"/>
            <w:textDirection w:val="lrTb"/>
            <w:noWrap/>
          </w:tcPr>
          <w:p>
            <w:pPr>
              <w:jc w:val="center"/>
              <w:rPr>
                <w:rFonts w:ascii="宋体"/>
                <w:sz w:val="18"/>
                <w:szCs w:val="18"/>
              </w:rPr>
            </w:pPr>
            <w:r>
              <w:rPr>
                <w:rFonts w:ascii="宋体"/>
                <w:sz w:val="18"/>
                <w:szCs w:val="18"/>
              </w:rPr>
            </w:r>
            <w:r/>
          </w:p>
        </w:tc>
        <w:tc>
          <w:tcPr>
            <w:tcW w:w="1005" w:type="dxa"/>
            <w:vAlign w:val="center"/>
            <w:textDirection w:val="lrTb"/>
            <w:noWrap/>
          </w:tcPr>
          <w:p>
            <w:pPr>
              <w:rPr>
                <w:rFonts w:ascii="宋体"/>
                <w:sz w:val="18"/>
                <w:szCs w:val="18"/>
              </w:rPr>
            </w:pPr>
            <w:r>
              <w:rPr>
                <w:rFonts w:ascii="宋体"/>
                <w:sz w:val="18"/>
                <w:szCs w:val="18"/>
              </w:rPr>
            </w:r>
            <w:r/>
          </w:p>
        </w:tc>
      </w:tr>
      <w:tr>
        <w:trPr>
          <w:jc w:val="center"/>
          <w:trHeight w:val="380"/>
        </w:trPr>
        <w:tc>
          <w:tcPr>
            <w:tcW w:w="843" w:type="dxa"/>
            <w:vAlign w:val="center"/>
            <w:textDirection w:val="lrTb"/>
            <w:noWrap/>
          </w:tcPr>
          <w:p>
            <w:pPr>
              <w:jc w:val="center"/>
              <w:rPr>
                <w:rFonts w:ascii="宋体"/>
                <w:sz w:val="18"/>
                <w:szCs w:val="18"/>
              </w:rPr>
            </w:pPr>
            <w:r>
              <w:rPr>
                <w:rFonts w:hint="eastAsia" w:ascii="宋体"/>
                <w:sz w:val="18"/>
                <w:szCs w:val="18"/>
              </w:rPr>
              <w:t xml:space="preserve">（3）</w:t>
            </w:r>
            <w:r/>
          </w:p>
        </w:tc>
        <w:tc>
          <w:tcPr>
            <w:tcW w:w="2232" w:type="dxa"/>
            <w:vAlign w:val="center"/>
            <w:textDirection w:val="lrTb"/>
            <w:noWrap/>
          </w:tcPr>
          <w:p>
            <w:pPr>
              <w:jc w:val="left"/>
              <w:rPr>
                <w:rFonts w:ascii="宋体"/>
                <w:sz w:val="18"/>
                <w:szCs w:val="18"/>
              </w:rPr>
            </w:pPr>
            <w:r>
              <w:rPr>
                <w:rFonts w:hint="eastAsia" w:ascii="宋体"/>
                <w:sz w:val="18"/>
                <w:szCs w:val="18"/>
              </w:rPr>
              <w:t xml:space="preserve">员工保险费</w:t>
            </w:r>
            <w:r/>
          </w:p>
        </w:tc>
        <w:tc>
          <w:tcPr>
            <w:tcW w:w="1076" w:type="dxa"/>
            <w:vAlign w:val="center"/>
            <w:textDirection w:val="lrTb"/>
            <w:noWrap/>
          </w:tcPr>
          <w:p>
            <w:pPr>
              <w:jc w:val="center"/>
              <w:rPr>
                <w:rFonts w:ascii="宋体"/>
                <w:sz w:val="18"/>
                <w:szCs w:val="18"/>
              </w:rPr>
            </w:pPr>
            <w:r>
              <w:rPr>
                <w:rFonts w:ascii="宋体"/>
                <w:sz w:val="18"/>
                <w:szCs w:val="18"/>
              </w:rPr>
            </w:r>
            <w:r/>
          </w:p>
        </w:tc>
        <w:tc>
          <w:tcPr>
            <w:tcW w:w="1345" w:type="dxa"/>
            <w:vAlign w:val="center"/>
            <w:textDirection w:val="lrTb"/>
            <w:noWrap/>
          </w:tcPr>
          <w:p>
            <w:pPr>
              <w:jc w:val="center"/>
              <w:rPr>
                <w:rFonts w:ascii="宋体"/>
                <w:sz w:val="18"/>
                <w:szCs w:val="18"/>
              </w:rPr>
            </w:pPr>
            <w:r>
              <w:rPr>
                <w:rFonts w:ascii="宋体"/>
                <w:sz w:val="18"/>
                <w:szCs w:val="18"/>
              </w:rPr>
            </w:r>
            <w:r/>
          </w:p>
        </w:tc>
        <w:tc>
          <w:tcPr>
            <w:tcW w:w="1161" w:type="dxa"/>
            <w:vAlign w:val="center"/>
            <w:textDirection w:val="lrTb"/>
            <w:noWrap/>
          </w:tcPr>
          <w:p>
            <w:pPr>
              <w:jc w:val="center"/>
              <w:rPr>
                <w:rFonts w:ascii="宋体"/>
                <w:sz w:val="18"/>
                <w:szCs w:val="18"/>
              </w:rPr>
            </w:pPr>
            <w:r>
              <w:rPr>
                <w:rFonts w:ascii="宋体"/>
                <w:sz w:val="18"/>
                <w:szCs w:val="18"/>
              </w:rPr>
            </w:r>
            <w:r/>
          </w:p>
        </w:tc>
        <w:tc>
          <w:tcPr>
            <w:tcW w:w="1635" w:type="dxa"/>
            <w:vAlign w:val="center"/>
            <w:textDirection w:val="lrTb"/>
            <w:noWrap/>
          </w:tcPr>
          <w:p>
            <w:pPr>
              <w:jc w:val="center"/>
              <w:rPr>
                <w:rFonts w:ascii="宋体"/>
                <w:sz w:val="18"/>
                <w:szCs w:val="18"/>
              </w:rPr>
            </w:pPr>
            <w:r>
              <w:rPr>
                <w:rFonts w:ascii="宋体"/>
                <w:sz w:val="18"/>
                <w:szCs w:val="18"/>
              </w:rPr>
            </w:r>
            <w:r/>
          </w:p>
        </w:tc>
        <w:tc>
          <w:tcPr>
            <w:tcW w:w="1005" w:type="dxa"/>
            <w:vAlign w:val="center"/>
            <w:textDirection w:val="lrTb"/>
            <w:noWrap/>
          </w:tcPr>
          <w:p>
            <w:pPr>
              <w:rPr>
                <w:rFonts w:ascii="宋体"/>
                <w:sz w:val="18"/>
                <w:szCs w:val="18"/>
              </w:rPr>
            </w:pPr>
            <w:r>
              <w:rPr>
                <w:rFonts w:ascii="宋体"/>
                <w:sz w:val="18"/>
                <w:szCs w:val="18"/>
              </w:rPr>
            </w:r>
            <w:r/>
          </w:p>
        </w:tc>
      </w:tr>
      <w:tr>
        <w:trPr>
          <w:jc w:val="center"/>
          <w:trHeight w:val="369"/>
        </w:trPr>
        <w:tc>
          <w:tcPr>
            <w:tcW w:w="843" w:type="dxa"/>
            <w:vAlign w:val="center"/>
            <w:textDirection w:val="lrTb"/>
            <w:noWrap/>
          </w:tcPr>
          <w:p>
            <w:pPr>
              <w:jc w:val="center"/>
              <w:rPr>
                <w:rFonts w:ascii="宋体"/>
                <w:sz w:val="18"/>
                <w:szCs w:val="18"/>
              </w:rPr>
            </w:pPr>
            <w:r>
              <w:rPr>
                <w:rFonts w:hint="eastAsia" w:ascii="宋体"/>
                <w:sz w:val="18"/>
                <w:szCs w:val="18"/>
              </w:rPr>
              <w:t xml:space="preserve">（4）</w:t>
            </w:r>
            <w:r/>
          </w:p>
        </w:tc>
        <w:tc>
          <w:tcPr>
            <w:tcW w:w="2232" w:type="dxa"/>
            <w:vAlign w:val="center"/>
            <w:textDirection w:val="lrTb"/>
            <w:noWrap/>
          </w:tcPr>
          <w:p>
            <w:pPr>
              <w:jc w:val="left"/>
              <w:rPr>
                <w:rFonts w:ascii="宋体"/>
                <w:sz w:val="18"/>
                <w:szCs w:val="18"/>
              </w:rPr>
            </w:pPr>
            <w:r>
              <w:rPr>
                <w:rFonts w:hint="eastAsia" w:ascii="宋体"/>
                <w:sz w:val="18"/>
                <w:szCs w:val="18"/>
              </w:rPr>
              <w:t xml:space="preserve">高温费</w:t>
            </w:r>
            <w:r/>
          </w:p>
        </w:tc>
        <w:tc>
          <w:tcPr>
            <w:tcW w:w="1076" w:type="dxa"/>
            <w:vAlign w:val="center"/>
            <w:textDirection w:val="lrTb"/>
            <w:noWrap/>
          </w:tcPr>
          <w:p>
            <w:pPr>
              <w:jc w:val="center"/>
              <w:rPr>
                <w:rFonts w:ascii="宋体"/>
                <w:sz w:val="18"/>
                <w:szCs w:val="18"/>
              </w:rPr>
            </w:pPr>
            <w:r>
              <w:rPr>
                <w:rFonts w:ascii="宋体"/>
                <w:sz w:val="18"/>
                <w:szCs w:val="18"/>
              </w:rPr>
            </w:r>
            <w:r/>
          </w:p>
        </w:tc>
        <w:tc>
          <w:tcPr>
            <w:tcW w:w="1345" w:type="dxa"/>
            <w:vAlign w:val="center"/>
            <w:textDirection w:val="lrTb"/>
            <w:noWrap/>
          </w:tcPr>
          <w:p>
            <w:pPr>
              <w:jc w:val="center"/>
              <w:rPr>
                <w:rFonts w:ascii="宋体"/>
                <w:sz w:val="18"/>
                <w:szCs w:val="18"/>
              </w:rPr>
            </w:pPr>
            <w:r>
              <w:rPr>
                <w:rFonts w:ascii="宋体"/>
                <w:sz w:val="18"/>
                <w:szCs w:val="18"/>
              </w:rPr>
            </w:r>
            <w:r/>
          </w:p>
        </w:tc>
        <w:tc>
          <w:tcPr>
            <w:tcW w:w="1161" w:type="dxa"/>
            <w:vAlign w:val="center"/>
            <w:textDirection w:val="lrTb"/>
            <w:noWrap/>
          </w:tcPr>
          <w:p>
            <w:pPr>
              <w:jc w:val="center"/>
              <w:rPr>
                <w:rFonts w:ascii="宋体"/>
                <w:sz w:val="18"/>
                <w:szCs w:val="18"/>
              </w:rPr>
            </w:pPr>
            <w:r>
              <w:rPr>
                <w:rFonts w:ascii="宋体"/>
                <w:sz w:val="18"/>
                <w:szCs w:val="18"/>
              </w:rPr>
            </w:r>
            <w:r/>
          </w:p>
        </w:tc>
        <w:tc>
          <w:tcPr>
            <w:tcW w:w="1635" w:type="dxa"/>
            <w:vAlign w:val="center"/>
            <w:textDirection w:val="lrTb"/>
            <w:noWrap/>
          </w:tcPr>
          <w:p>
            <w:pPr>
              <w:jc w:val="center"/>
              <w:rPr>
                <w:rFonts w:ascii="宋体"/>
                <w:sz w:val="18"/>
                <w:szCs w:val="18"/>
              </w:rPr>
            </w:pPr>
            <w:r>
              <w:rPr>
                <w:rFonts w:ascii="宋体"/>
                <w:sz w:val="18"/>
                <w:szCs w:val="18"/>
              </w:rPr>
            </w:r>
            <w:r/>
          </w:p>
        </w:tc>
        <w:tc>
          <w:tcPr>
            <w:tcW w:w="1005" w:type="dxa"/>
            <w:vAlign w:val="center"/>
            <w:textDirection w:val="lrTb"/>
            <w:noWrap/>
          </w:tcPr>
          <w:p>
            <w:pPr>
              <w:rPr>
                <w:rFonts w:ascii="宋体"/>
                <w:sz w:val="18"/>
                <w:szCs w:val="18"/>
              </w:rPr>
            </w:pPr>
            <w:r>
              <w:rPr>
                <w:rFonts w:ascii="宋体"/>
                <w:sz w:val="18"/>
                <w:szCs w:val="18"/>
              </w:rPr>
            </w:r>
            <w:r/>
          </w:p>
        </w:tc>
      </w:tr>
      <w:tr>
        <w:trPr>
          <w:jc w:val="center"/>
          <w:trHeight w:val="358"/>
        </w:trPr>
        <w:tc>
          <w:tcPr>
            <w:tcW w:w="843" w:type="dxa"/>
            <w:vAlign w:val="center"/>
            <w:textDirection w:val="lrTb"/>
            <w:noWrap/>
          </w:tcPr>
          <w:p>
            <w:pPr>
              <w:jc w:val="center"/>
              <w:rPr>
                <w:rFonts w:ascii="宋体"/>
                <w:sz w:val="18"/>
                <w:szCs w:val="18"/>
              </w:rPr>
            </w:pPr>
            <w:r>
              <w:rPr>
                <w:rFonts w:hint="eastAsia" w:ascii="宋体"/>
                <w:sz w:val="18"/>
                <w:szCs w:val="18"/>
              </w:rPr>
              <w:t xml:space="preserve">（5）</w:t>
            </w:r>
            <w:r/>
          </w:p>
        </w:tc>
        <w:tc>
          <w:tcPr>
            <w:tcW w:w="2232" w:type="dxa"/>
            <w:vAlign w:val="center"/>
            <w:textDirection w:val="lrTb"/>
            <w:noWrap/>
          </w:tcPr>
          <w:p>
            <w:pPr>
              <w:jc w:val="left"/>
              <w:rPr>
                <w:rFonts w:ascii="宋体"/>
                <w:sz w:val="18"/>
                <w:szCs w:val="18"/>
              </w:rPr>
            </w:pPr>
            <w:r>
              <w:rPr>
                <w:rFonts w:hint="eastAsia" w:ascii="宋体"/>
                <w:sz w:val="18"/>
                <w:szCs w:val="18"/>
              </w:rPr>
              <w:t xml:space="preserve">其他员工福利</w:t>
            </w:r>
            <w:r/>
          </w:p>
        </w:tc>
        <w:tc>
          <w:tcPr>
            <w:tcW w:w="1076" w:type="dxa"/>
            <w:vAlign w:val="center"/>
            <w:textDirection w:val="lrTb"/>
            <w:noWrap/>
          </w:tcPr>
          <w:p>
            <w:pPr>
              <w:jc w:val="center"/>
              <w:rPr>
                <w:rFonts w:ascii="宋体"/>
                <w:sz w:val="18"/>
                <w:szCs w:val="18"/>
              </w:rPr>
            </w:pPr>
            <w:r>
              <w:rPr>
                <w:rFonts w:ascii="宋体"/>
                <w:sz w:val="18"/>
                <w:szCs w:val="18"/>
              </w:rPr>
            </w:r>
            <w:r/>
          </w:p>
        </w:tc>
        <w:tc>
          <w:tcPr>
            <w:tcW w:w="1345" w:type="dxa"/>
            <w:vAlign w:val="center"/>
            <w:textDirection w:val="lrTb"/>
            <w:noWrap/>
          </w:tcPr>
          <w:p>
            <w:pPr>
              <w:jc w:val="center"/>
              <w:rPr>
                <w:rFonts w:ascii="宋体"/>
                <w:sz w:val="18"/>
                <w:szCs w:val="18"/>
              </w:rPr>
            </w:pPr>
            <w:r>
              <w:rPr>
                <w:rFonts w:ascii="宋体"/>
                <w:sz w:val="18"/>
                <w:szCs w:val="18"/>
              </w:rPr>
            </w:r>
            <w:r/>
          </w:p>
        </w:tc>
        <w:tc>
          <w:tcPr>
            <w:tcW w:w="1161" w:type="dxa"/>
            <w:vAlign w:val="center"/>
            <w:textDirection w:val="lrTb"/>
            <w:noWrap/>
          </w:tcPr>
          <w:p>
            <w:pPr>
              <w:jc w:val="center"/>
              <w:rPr>
                <w:rFonts w:ascii="宋体"/>
                <w:sz w:val="18"/>
                <w:szCs w:val="18"/>
              </w:rPr>
            </w:pPr>
            <w:r>
              <w:rPr>
                <w:rFonts w:ascii="宋体"/>
                <w:sz w:val="18"/>
                <w:szCs w:val="18"/>
              </w:rPr>
            </w:r>
            <w:r/>
          </w:p>
        </w:tc>
        <w:tc>
          <w:tcPr>
            <w:tcW w:w="1635" w:type="dxa"/>
            <w:vAlign w:val="center"/>
            <w:textDirection w:val="lrTb"/>
            <w:noWrap/>
          </w:tcPr>
          <w:p>
            <w:pPr>
              <w:jc w:val="center"/>
              <w:rPr>
                <w:rFonts w:ascii="宋体"/>
                <w:sz w:val="18"/>
                <w:szCs w:val="18"/>
              </w:rPr>
            </w:pPr>
            <w:r>
              <w:rPr>
                <w:rFonts w:ascii="宋体"/>
                <w:sz w:val="18"/>
                <w:szCs w:val="18"/>
              </w:rPr>
            </w:r>
            <w:r/>
          </w:p>
        </w:tc>
        <w:tc>
          <w:tcPr>
            <w:tcW w:w="1005" w:type="dxa"/>
            <w:vAlign w:val="center"/>
            <w:textDirection w:val="lrTb"/>
            <w:noWrap/>
          </w:tcPr>
          <w:p>
            <w:pPr>
              <w:rPr>
                <w:rFonts w:ascii="宋体"/>
                <w:sz w:val="18"/>
                <w:szCs w:val="18"/>
              </w:rPr>
            </w:pPr>
            <w:r>
              <w:rPr>
                <w:rFonts w:ascii="宋体"/>
                <w:sz w:val="18"/>
                <w:szCs w:val="18"/>
              </w:rPr>
            </w:r>
            <w:r/>
          </w:p>
        </w:tc>
      </w:tr>
      <w:tr>
        <w:trPr>
          <w:jc w:val="center"/>
          <w:trHeight w:val="412"/>
        </w:trPr>
        <w:tc>
          <w:tcPr>
            <w:tcW w:w="843" w:type="dxa"/>
            <w:vAlign w:val="center"/>
            <w:textDirection w:val="lrTb"/>
            <w:noWrap/>
          </w:tcPr>
          <w:p>
            <w:pPr>
              <w:jc w:val="center"/>
              <w:rPr>
                <w:rFonts w:ascii="宋体"/>
                <w:sz w:val="18"/>
                <w:szCs w:val="18"/>
              </w:rPr>
            </w:pPr>
            <w:r>
              <w:rPr>
                <w:rFonts w:hint="eastAsia" w:ascii="宋体"/>
                <w:sz w:val="18"/>
                <w:szCs w:val="18"/>
              </w:rPr>
              <w:t xml:space="preserve">… …</w:t>
            </w:r>
            <w:r/>
          </w:p>
        </w:tc>
        <w:tc>
          <w:tcPr>
            <w:tcW w:w="2232" w:type="dxa"/>
            <w:vAlign w:val="center"/>
            <w:textDirection w:val="lrTb"/>
            <w:noWrap/>
          </w:tcPr>
          <w:p>
            <w:pPr>
              <w:jc w:val="left"/>
              <w:rPr>
                <w:rFonts w:ascii="宋体"/>
                <w:sz w:val="18"/>
                <w:szCs w:val="18"/>
              </w:rPr>
            </w:pPr>
            <w:r>
              <w:rPr>
                <w:rFonts w:ascii="宋体"/>
                <w:sz w:val="18"/>
                <w:szCs w:val="18"/>
              </w:rPr>
            </w:r>
            <w:r/>
          </w:p>
        </w:tc>
        <w:tc>
          <w:tcPr>
            <w:tcW w:w="1076" w:type="dxa"/>
            <w:vAlign w:val="center"/>
            <w:textDirection w:val="lrTb"/>
            <w:noWrap/>
          </w:tcPr>
          <w:p>
            <w:pPr>
              <w:jc w:val="center"/>
              <w:rPr>
                <w:rFonts w:ascii="宋体"/>
                <w:sz w:val="18"/>
                <w:szCs w:val="18"/>
              </w:rPr>
            </w:pPr>
            <w:r>
              <w:rPr>
                <w:rFonts w:ascii="宋体"/>
                <w:sz w:val="18"/>
                <w:szCs w:val="18"/>
              </w:rPr>
            </w:r>
            <w:r/>
          </w:p>
        </w:tc>
        <w:tc>
          <w:tcPr>
            <w:tcW w:w="1345" w:type="dxa"/>
            <w:vAlign w:val="center"/>
            <w:textDirection w:val="lrTb"/>
            <w:noWrap/>
          </w:tcPr>
          <w:p>
            <w:pPr>
              <w:jc w:val="center"/>
              <w:rPr>
                <w:rFonts w:ascii="宋体"/>
                <w:sz w:val="18"/>
                <w:szCs w:val="18"/>
              </w:rPr>
            </w:pPr>
            <w:r>
              <w:rPr>
                <w:rFonts w:ascii="宋体"/>
                <w:sz w:val="18"/>
                <w:szCs w:val="18"/>
              </w:rPr>
            </w:r>
            <w:r/>
          </w:p>
        </w:tc>
        <w:tc>
          <w:tcPr>
            <w:tcW w:w="1161" w:type="dxa"/>
            <w:vAlign w:val="center"/>
            <w:textDirection w:val="lrTb"/>
            <w:noWrap/>
          </w:tcPr>
          <w:p>
            <w:pPr>
              <w:jc w:val="center"/>
              <w:rPr>
                <w:rFonts w:ascii="宋体"/>
                <w:sz w:val="18"/>
                <w:szCs w:val="18"/>
              </w:rPr>
            </w:pPr>
            <w:r>
              <w:rPr>
                <w:rFonts w:ascii="宋体"/>
                <w:sz w:val="18"/>
                <w:szCs w:val="18"/>
              </w:rPr>
            </w:r>
            <w:r/>
          </w:p>
        </w:tc>
        <w:tc>
          <w:tcPr>
            <w:tcW w:w="1635" w:type="dxa"/>
            <w:vAlign w:val="center"/>
            <w:textDirection w:val="lrTb"/>
            <w:noWrap/>
          </w:tcPr>
          <w:p>
            <w:pPr>
              <w:jc w:val="center"/>
              <w:rPr>
                <w:rFonts w:ascii="宋体"/>
                <w:sz w:val="18"/>
                <w:szCs w:val="18"/>
              </w:rPr>
            </w:pPr>
            <w:r>
              <w:rPr>
                <w:rFonts w:ascii="宋体"/>
                <w:sz w:val="18"/>
                <w:szCs w:val="18"/>
              </w:rPr>
            </w:r>
            <w:r/>
          </w:p>
        </w:tc>
        <w:tc>
          <w:tcPr>
            <w:tcW w:w="1005" w:type="dxa"/>
            <w:vAlign w:val="center"/>
            <w:textDirection w:val="lrTb"/>
            <w:noWrap/>
          </w:tcPr>
          <w:p>
            <w:pPr>
              <w:jc w:val="center"/>
              <w:rPr>
                <w:rFonts w:ascii="宋体"/>
                <w:sz w:val="18"/>
                <w:szCs w:val="18"/>
              </w:rPr>
            </w:pPr>
            <w:r>
              <w:rPr>
                <w:rFonts w:ascii="宋体"/>
                <w:sz w:val="18"/>
                <w:szCs w:val="18"/>
              </w:rPr>
            </w:r>
            <w:r/>
          </w:p>
        </w:tc>
      </w:tr>
      <w:tr>
        <w:trPr>
          <w:jc w:val="center"/>
          <w:trHeight w:val="317"/>
        </w:trPr>
        <w:tc>
          <w:tcPr>
            <w:tcW w:w="843" w:type="dxa"/>
            <w:vAlign w:val="center"/>
            <w:textDirection w:val="lrTb"/>
            <w:noWrap/>
          </w:tcPr>
          <w:p>
            <w:pPr>
              <w:jc w:val="center"/>
              <w:rPr>
                <w:rFonts w:ascii="宋体"/>
                <w:b/>
                <w:sz w:val="18"/>
                <w:szCs w:val="18"/>
              </w:rPr>
            </w:pPr>
            <w:r>
              <w:rPr>
                <w:rFonts w:hint="eastAsia" w:ascii="宋体"/>
                <w:b/>
                <w:sz w:val="18"/>
                <w:szCs w:val="18"/>
              </w:rPr>
              <w:t xml:space="preserve">2</w:t>
            </w:r>
            <w:r/>
          </w:p>
        </w:tc>
        <w:tc>
          <w:tcPr>
            <w:tcW w:w="2232" w:type="dxa"/>
            <w:vAlign w:val="center"/>
            <w:textDirection w:val="lrTb"/>
            <w:noWrap/>
          </w:tcPr>
          <w:p>
            <w:pPr>
              <w:jc w:val="left"/>
              <w:rPr>
                <w:rFonts w:ascii="宋体"/>
                <w:b/>
                <w:sz w:val="18"/>
                <w:szCs w:val="18"/>
              </w:rPr>
            </w:pPr>
            <w:r>
              <w:rPr>
                <w:rFonts w:hint="eastAsia" w:ascii="宋体"/>
                <w:b/>
                <w:sz w:val="18"/>
                <w:szCs w:val="18"/>
              </w:rPr>
              <w:t xml:space="preserve">法定计提费用</w:t>
            </w:r>
            <w:r/>
          </w:p>
        </w:tc>
        <w:tc>
          <w:tcPr>
            <w:tcW w:w="1076" w:type="dxa"/>
            <w:vAlign w:val="center"/>
            <w:textDirection w:val="lrTb"/>
            <w:noWrap/>
          </w:tcPr>
          <w:p>
            <w:pPr>
              <w:jc w:val="center"/>
              <w:rPr>
                <w:rFonts w:ascii="宋体"/>
                <w:b/>
                <w:sz w:val="18"/>
                <w:szCs w:val="18"/>
              </w:rPr>
            </w:pPr>
            <w:r>
              <w:rPr>
                <w:rFonts w:ascii="宋体"/>
                <w:b/>
                <w:sz w:val="18"/>
                <w:szCs w:val="18"/>
              </w:rPr>
            </w:r>
            <w:r/>
          </w:p>
        </w:tc>
        <w:tc>
          <w:tcPr>
            <w:tcW w:w="1345" w:type="dxa"/>
            <w:vAlign w:val="center"/>
            <w:textDirection w:val="lrTb"/>
            <w:noWrap/>
          </w:tcPr>
          <w:p>
            <w:pPr>
              <w:jc w:val="center"/>
              <w:rPr>
                <w:rFonts w:ascii="宋体"/>
                <w:sz w:val="18"/>
                <w:szCs w:val="18"/>
              </w:rPr>
            </w:pPr>
            <w:r>
              <w:rPr>
                <w:rFonts w:ascii="宋体"/>
                <w:sz w:val="18"/>
                <w:szCs w:val="18"/>
              </w:rPr>
            </w:r>
            <w:r/>
          </w:p>
        </w:tc>
        <w:tc>
          <w:tcPr>
            <w:tcW w:w="1161" w:type="dxa"/>
            <w:vAlign w:val="center"/>
            <w:textDirection w:val="lrTb"/>
            <w:noWrap/>
          </w:tcPr>
          <w:p>
            <w:pPr>
              <w:jc w:val="center"/>
              <w:rPr>
                <w:rFonts w:ascii="宋体"/>
                <w:sz w:val="18"/>
                <w:szCs w:val="18"/>
              </w:rPr>
            </w:pPr>
            <w:r>
              <w:rPr>
                <w:rFonts w:ascii="宋体"/>
                <w:sz w:val="18"/>
                <w:szCs w:val="18"/>
              </w:rPr>
            </w:r>
            <w:r/>
          </w:p>
        </w:tc>
        <w:tc>
          <w:tcPr>
            <w:tcW w:w="1635" w:type="dxa"/>
            <w:vAlign w:val="center"/>
            <w:textDirection w:val="lrTb"/>
            <w:noWrap/>
          </w:tcPr>
          <w:p>
            <w:pPr>
              <w:jc w:val="center"/>
              <w:rPr>
                <w:rFonts w:ascii="宋体"/>
                <w:sz w:val="18"/>
                <w:szCs w:val="18"/>
              </w:rPr>
            </w:pPr>
            <w:r>
              <w:rPr>
                <w:rFonts w:ascii="宋体"/>
                <w:sz w:val="18"/>
                <w:szCs w:val="18"/>
              </w:rPr>
            </w:r>
            <w:r/>
          </w:p>
        </w:tc>
        <w:tc>
          <w:tcPr>
            <w:tcW w:w="1005" w:type="dxa"/>
            <w:vAlign w:val="center"/>
            <w:textDirection w:val="lrTb"/>
            <w:noWrap/>
          </w:tcPr>
          <w:p>
            <w:pPr>
              <w:jc w:val="center"/>
              <w:rPr>
                <w:rFonts w:ascii="宋体"/>
                <w:sz w:val="18"/>
                <w:szCs w:val="18"/>
              </w:rPr>
            </w:pPr>
            <w:r>
              <w:rPr>
                <w:rFonts w:ascii="宋体"/>
                <w:sz w:val="18"/>
                <w:szCs w:val="18"/>
              </w:rPr>
            </w:r>
            <w:r/>
          </w:p>
        </w:tc>
      </w:tr>
      <w:tr>
        <w:trPr>
          <w:jc w:val="center"/>
          <w:trHeight w:val="379"/>
        </w:trPr>
        <w:tc>
          <w:tcPr>
            <w:tcW w:w="843" w:type="dxa"/>
            <w:vAlign w:val="center"/>
            <w:textDirection w:val="lrTb"/>
            <w:noWrap/>
          </w:tcPr>
          <w:p>
            <w:pPr>
              <w:jc w:val="center"/>
              <w:rPr>
                <w:rFonts w:ascii="宋体"/>
                <w:sz w:val="18"/>
                <w:szCs w:val="18"/>
              </w:rPr>
            </w:pPr>
            <w:r>
              <w:rPr>
                <w:rFonts w:hint="eastAsia" w:ascii="宋体"/>
                <w:sz w:val="18"/>
                <w:szCs w:val="18"/>
              </w:rPr>
              <w:t xml:space="preserve">（1）</w:t>
            </w:r>
            <w:r/>
          </w:p>
        </w:tc>
        <w:tc>
          <w:tcPr>
            <w:tcW w:w="2232" w:type="dxa"/>
            <w:vAlign w:val="center"/>
            <w:textDirection w:val="lrTb"/>
            <w:noWrap/>
          </w:tcPr>
          <w:p>
            <w:pPr>
              <w:jc w:val="left"/>
              <w:rPr>
                <w:rFonts w:ascii="宋体"/>
                <w:sz w:val="18"/>
                <w:szCs w:val="18"/>
              </w:rPr>
            </w:pPr>
            <w:r>
              <w:rPr>
                <w:rFonts w:hint="eastAsia" w:ascii="宋体"/>
                <w:sz w:val="18"/>
                <w:szCs w:val="18"/>
              </w:rPr>
              <w:t xml:space="preserve">养老保险</w:t>
            </w:r>
            <w:r/>
          </w:p>
        </w:tc>
        <w:tc>
          <w:tcPr>
            <w:tcW w:w="1076" w:type="dxa"/>
            <w:vAlign w:val="center"/>
            <w:textDirection w:val="lrTb"/>
            <w:noWrap/>
          </w:tcPr>
          <w:p>
            <w:pPr>
              <w:jc w:val="center"/>
              <w:rPr>
                <w:rFonts w:ascii="宋体"/>
                <w:sz w:val="18"/>
                <w:szCs w:val="18"/>
              </w:rPr>
            </w:pPr>
            <w:r>
              <w:rPr>
                <w:rFonts w:ascii="宋体"/>
                <w:sz w:val="18"/>
                <w:szCs w:val="18"/>
              </w:rPr>
            </w:r>
            <w:r/>
          </w:p>
        </w:tc>
        <w:tc>
          <w:tcPr>
            <w:tcW w:w="1345" w:type="dxa"/>
            <w:vAlign w:val="center"/>
            <w:textDirection w:val="lrTb"/>
            <w:noWrap/>
          </w:tcPr>
          <w:p>
            <w:pPr>
              <w:jc w:val="center"/>
              <w:rPr>
                <w:rFonts w:ascii="宋体"/>
                <w:sz w:val="18"/>
                <w:szCs w:val="18"/>
              </w:rPr>
            </w:pPr>
            <w:r>
              <w:rPr>
                <w:rFonts w:ascii="宋体"/>
                <w:sz w:val="18"/>
                <w:szCs w:val="18"/>
              </w:rPr>
            </w:r>
            <w:r/>
          </w:p>
        </w:tc>
        <w:tc>
          <w:tcPr>
            <w:tcW w:w="1161" w:type="dxa"/>
            <w:vAlign w:val="center"/>
            <w:textDirection w:val="lrTb"/>
            <w:noWrap/>
          </w:tcPr>
          <w:p>
            <w:pPr>
              <w:jc w:val="center"/>
              <w:rPr>
                <w:rFonts w:ascii="宋体"/>
                <w:sz w:val="18"/>
                <w:szCs w:val="18"/>
              </w:rPr>
            </w:pPr>
            <w:r>
              <w:rPr>
                <w:rFonts w:ascii="宋体"/>
                <w:sz w:val="18"/>
                <w:szCs w:val="18"/>
              </w:rPr>
            </w:r>
            <w:r/>
          </w:p>
        </w:tc>
        <w:tc>
          <w:tcPr>
            <w:tcW w:w="1635" w:type="dxa"/>
            <w:vAlign w:val="center"/>
            <w:textDirection w:val="lrTb"/>
            <w:noWrap/>
          </w:tcPr>
          <w:p>
            <w:pPr>
              <w:jc w:val="center"/>
              <w:rPr>
                <w:rFonts w:ascii="宋体"/>
                <w:sz w:val="18"/>
                <w:szCs w:val="18"/>
              </w:rPr>
            </w:pPr>
            <w:r>
              <w:rPr>
                <w:rFonts w:ascii="宋体"/>
                <w:sz w:val="18"/>
                <w:szCs w:val="18"/>
              </w:rPr>
            </w:r>
            <w:r/>
          </w:p>
        </w:tc>
        <w:tc>
          <w:tcPr>
            <w:tcW w:w="1005" w:type="dxa"/>
            <w:vAlign w:val="center"/>
            <w:textDirection w:val="lrTb"/>
            <w:noWrap/>
          </w:tcPr>
          <w:p>
            <w:pPr>
              <w:jc w:val="center"/>
              <w:rPr>
                <w:rFonts w:ascii="宋体"/>
                <w:sz w:val="18"/>
                <w:szCs w:val="18"/>
              </w:rPr>
            </w:pPr>
            <w:r>
              <w:rPr>
                <w:rFonts w:ascii="宋体"/>
                <w:sz w:val="18"/>
                <w:szCs w:val="18"/>
              </w:rPr>
            </w:r>
            <w:r/>
          </w:p>
        </w:tc>
      </w:tr>
      <w:tr>
        <w:trPr>
          <w:jc w:val="center"/>
          <w:trHeight w:val="346"/>
        </w:trPr>
        <w:tc>
          <w:tcPr>
            <w:tcW w:w="843" w:type="dxa"/>
            <w:vAlign w:val="center"/>
            <w:textDirection w:val="lrTb"/>
            <w:noWrap/>
          </w:tcPr>
          <w:p>
            <w:pPr>
              <w:jc w:val="center"/>
              <w:rPr>
                <w:rFonts w:ascii="宋体"/>
                <w:sz w:val="18"/>
                <w:szCs w:val="18"/>
              </w:rPr>
            </w:pPr>
            <w:r>
              <w:rPr>
                <w:rFonts w:hint="eastAsia" w:ascii="宋体"/>
                <w:sz w:val="18"/>
                <w:szCs w:val="18"/>
              </w:rPr>
              <w:t xml:space="preserve">（2）</w:t>
            </w:r>
            <w:r/>
          </w:p>
        </w:tc>
        <w:tc>
          <w:tcPr>
            <w:tcW w:w="2232" w:type="dxa"/>
            <w:vAlign w:val="center"/>
            <w:textDirection w:val="lrTb"/>
            <w:noWrap/>
          </w:tcPr>
          <w:p>
            <w:pPr>
              <w:jc w:val="left"/>
              <w:rPr>
                <w:rFonts w:ascii="宋体"/>
                <w:sz w:val="18"/>
                <w:szCs w:val="18"/>
              </w:rPr>
            </w:pPr>
            <w:r>
              <w:rPr>
                <w:rFonts w:hint="eastAsia" w:ascii="宋体"/>
                <w:sz w:val="18"/>
                <w:szCs w:val="18"/>
              </w:rPr>
              <w:t xml:space="preserve">医疗统筹</w:t>
            </w:r>
            <w:r/>
          </w:p>
        </w:tc>
        <w:tc>
          <w:tcPr>
            <w:tcW w:w="1076" w:type="dxa"/>
            <w:vAlign w:val="center"/>
            <w:textDirection w:val="lrTb"/>
            <w:noWrap/>
          </w:tcPr>
          <w:p>
            <w:pPr>
              <w:jc w:val="center"/>
              <w:rPr>
                <w:rFonts w:ascii="宋体"/>
                <w:sz w:val="18"/>
                <w:szCs w:val="18"/>
              </w:rPr>
            </w:pPr>
            <w:r>
              <w:rPr>
                <w:rFonts w:ascii="宋体"/>
                <w:sz w:val="18"/>
                <w:szCs w:val="18"/>
              </w:rPr>
            </w:r>
            <w:r/>
          </w:p>
        </w:tc>
        <w:tc>
          <w:tcPr>
            <w:tcW w:w="1345" w:type="dxa"/>
            <w:vAlign w:val="center"/>
            <w:textDirection w:val="lrTb"/>
            <w:noWrap/>
          </w:tcPr>
          <w:p>
            <w:pPr>
              <w:jc w:val="center"/>
              <w:rPr>
                <w:rFonts w:ascii="宋体"/>
                <w:sz w:val="18"/>
                <w:szCs w:val="18"/>
              </w:rPr>
            </w:pPr>
            <w:r>
              <w:rPr>
                <w:rFonts w:ascii="宋体"/>
                <w:sz w:val="18"/>
                <w:szCs w:val="18"/>
              </w:rPr>
            </w:r>
            <w:r/>
          </w:p>
        </w:tc>
        <w:tc>
          <w:tcPr>
            <w:tcW w:w="1161" w:type="dxa"/>
            <w:vAlign w:val="center"/>
            <w:textDirection w:val="lrTb"/>
            <w:noWrap/>
          </w:tcPr>
          <w:p>
            <w:pPr>
              <w:jc w:val="center"/>
              <w:rPr>
                <w:rFonts w:ascii="宋体"/>
                <w:sz w:val="18"/>
                <w:szCs w:val="18"/>
              </w:rPr>
            </w:pPr>
            <w:r>
              <w:rPr>
                <w:rFonts w:ascii="宋体"/>
                <w:sz w:val="18"/>
                <w:szCs w:val="18"/>
              </w:rPr>
            </w:r>
            <w:r/>
          </w:p>
        </w:tc>
        <w:tc>
          <w:tcPr>
            <w:tcW w:w="1635" w:type="dxa"/>
            <w:vAlign w:val="center"/>
            <w:textDirection w:val="lrTb"/>
            <w:noWrap/>
          </w:tcPr>
          <w:p>
            <w:pPr>
              <w:jc w:val="center"/>
              <w:rPr>
                <w:rFonts w:ascii="宋体"/>
                <w:sz w:val="18"/>
                <w:szCs w:val="18"/>
              </w:rPr>
            </w:pPr>
            <w:r>
              <w:rPr>
                <w:rFonts w:ascii="宋体"/>
                <w:sz w:val="18"/>
                <w:szCs w:val="18"/>
              </w:rPr>
            </w:r>
            <w:r/>
          </w:p>
        </w:tc>
        <w:tc>
          <w:tcPr>
            <w:tcW w:w="1005" w:type="dxa"/>
            <w:vAlign w:val="center"/>
            <w:textDirection w:val="lrTb"/>
            <w:noWrap/>
          </w:tcPr>
          <w:p>
            <w:pPr>
              <w:jc w:val="center"/>
              <w:rPr>
                <w:rFonts w:ascii="宋体"/>
                <w:sz w:val="18"/>
                <w:szCs w:val="18"/>
              </w:rPr>
            </w:pPr>
            <w:r>
              <w:rPr>
                <w:rFonts w:ascii="宋体"/>
                <w:sz w:val="18"/>
                <w:szCs w:val="18"/>
              </w:rPr>
            </w:r>
            <w:r/>
          </w:p>
        </w:tc>
      </w:tr>
      <w:tr>
        <w:trPr>
          <w:jc w:val="center"/>
          <w:trHeight w:val="369"/>
        </w:trPr>
        <w:tc>
          <w:tcPr>
            <w:tcW w:w="843" w:type="dxa"/>
            <w:vAlign w:val="center"/>
            <w:textDirection w:val="lrTb"/>
            <w:noWrap/>
          </w:tcPr>
          <w:p>
            <w:pPr>
              <w:jc w:val="center"/>
              <w:rPr>
                <w:rFonts w:ascii="宋体"/>
                <w:sz w:val="18"/>
                <w:szCs w:val="18"/>
              </w:rPr>
            </w:pPr>
            <w:r>
              <w:rPr>
                <w:rFonts w:hint="eastAsia" w:ascii="宋体"/>
                <w:sz w:val="18"/>
                <w:szCs w:val="18"/>
              </w:rPr>
              <w:t xml:space="preserve">（3）</w:t>
            </w:r>
            <w:r/>
          </w:p>
        </w:tc>
        <w:tc>
          <w:tcPr>
            <w:tcW w:w="2232" w:type="dxa"/>
            <w:vAlign w:val="center"/>
            <w:textDirection w:val="lrTb"/>
            <w:noWrap/>
          </w:tcPr>
          <w:p>
            <w:pPr>
              <w:jc w:val="left"/>
              <w:rPr>
                <w:rFonts w:ascii="宋体"/>
                <w:sz w:val="18"/>
                <w:szCs w:val="18"/>
              </w:rPr>
            </w:pPr>
            <w:r>
              <w:rPr>
                <w:rFonts w:hint="eastAsia" w:ascii="宋体"/>
                <w:sz w:val="18"/>
                <w:szCs w:val="18"/>
              </w:rPr>
              <w:t xml:space="preserve">失业</w:t>
            </w:r>
            <w:r/>
          </w:p>
        </w:tc>
        <w:tc>
          <w:tcPr>
            <w:tcW w:w="1076" w:type="dxa"/>
            <w:vAlign w:val="center"/>
            <w:textDirection w:val="lrTb"/>
            <w:noWrap/>
          </w:tcPr>
          <w:p>
            <w:pPr>
              <w:jc w:val="center"/>
              <w:rPr>
                <w:rFonts w:ascii="宋体"/>
                <w:sz w:val="18"/>
                <w:szCs w:val="18"/>
              </w:rPr>
            </w:pPr>
            <w:r>
              <w:rPr>
                <w:rFonts w:ascii="宋体"/>
                <w:sz w:val="18"/>
                <w:szCs w:val="18"/>
              </w:rPr>
            </w:r>
            <w:r/>
          </w:p>
        </w:tc>
        <w:tc>
          <w:tcPr>
            <w:tcW w:w="1345" w:type="dxa"/>
            <w:vAlign w:val="center"/>
            <w:textDirection w:val="lrTb"/>
            <w:noWrap/>
          </w:tcPr>
          <w:p>
            <w:pPr>
              <w:jc w:val="center"/>
              <w:rPr>
                <w:rFonts w:ascii="宋体"/>
                <w:sz w:val="18"/>
                <w:szCs w:val="18"/>
              </w:rPr>
            </w:pPr>
            <w:r>
              <w:rPr>
                <w:rFonts w:ascii="宋体"/>
                <w:sz w:val="18"/>
                <w:szCs w:val="18"/>
              </w:rPr>
            </w:r>
            <w:r/>
          </w:p>
        </w:tc>
        <w:tc>
          <w:tcPr>
            <w:tcW w:w="1161" w:type="dxa"/>
            <w:vAlign w:val="center"/>
            <w:textDirection w:val="lrTb"/>
            <w:noWrap/>
          </w:tcPr>
          <w:p>
            <w:pPr>
              <w:jc w:val="center"/>
              <w:rPr>
                <w:rFonts w:ascii="宋体"/>
                <w:sz w:val="18"/>
                <w:szCs w:val="18"/>
              </w:rPr>
            </w:pPr>
            <w:r>
              <w:rPr>
                <w:rFonts w:ascii="宋体"/>
                <w:sz w:val="18"/>
                <w:szCs w:val="18"/>
              </w:rPr>
            </w:r>
            <w:r/>
          </w:p>
        </w:tc>
        <w:tc>
          <w:tcPr>
            <w:tcW w:w="1635" w:type="dxa"/>
            <w:vAlign w:val="center"/>
            <w:textDirection w:val="lrTb"/>
            <w:noWrap/>
          </w:tcPr>
          <w:p>
            <w:pPr>
              <w:jc w:val="center"/>
              <w:rPr>
                <w:rFonts w:ascii="宋体"/>
                <w:sz w:val="18"/>
                <w:szCs w:val="18"/>
              </w:rPr>
            </w:pPr>
            <w:r>
              <w:rPr>
                <w:rFonts w:ascii="宋体"/>
                <w:sz w:val="18"/>
                <w:szCs w:val="18"/>
              </w:rPr>
            </w:r>
            <w:r/>
          </w:p>
        </w:tc>
        <w:tc>
          <w:tcPr>
            <w:tcW w:w="1005" w:type="dxa"/>
            <w:vAlign w:val="center"/>
            <w:textDirection w:val="lrTb"/>
            <w:noWrap/>
          </w:tcPr>
          <w:p>
            <w:pPr>
              <w:jc w:val="center"/>
              <w:rPr>
                <w:rFonts w:ascii="宋体"/>
                <w:sz w:val="18"/>
                <w:szCs w:val="18"/>
              </w:rPr>
            </w:pPr>
            <w:r>
              <w:rPr>
                <w:rFonts w:ascii="宋体"/>
                <w:sz w:val="18"/>
                <w:szCs w:val="18"/>
              </w:rPr>
            </w:r>
            <w:r/>
          </w:p>
        </w:tc>
      </w:tr>
      <w:tr>
        <w:trPr>
          <w:jc w:val="center"/>
          <w:trHeight w:val="363"/>
        </w:trPr>
        <w:tc>
          <w:tcPr>
            <w:tcW w:w="843" w:type="dxa"/>
            <w:vAlign w:val="center"/>
            <w:textDirection w:val="lrTb"/>
            <w:noWrap/>
          </w:tcPr>
          <w:p>
            <w:pPr>
              <w:jc w:val="center"/>
              <w:rPr>
                <w:rFonts w:ascii="宋体"/>
                <w:sz w:val="18"/>
                <w:szCs w:val="18"/>
              </w:rPr>
            </w:pPr>
            <w:r>
              <w:rPr>
                <w:rFonts w:hint="eastAsia" w:ascii="宋体"/>
                <w:sz w:val="18"/>
                <w:szCs w:val="18"/>
              </w:rPr>
              <w:t xml:space="preserve">（4）</w:t>
            </w:r>
            <w:r/>
          </w:p>
        </w:tc>
        <w:tc>
          <w:tcPr>
            <w:tcW w:w="2232" w:type="dxa"/>
            <w:vAlign w:val="center"/>
            <w:textDirection w:val="lrTb"/>
            <w:noWrap/>
          </w:tcPr>
          <w:p>
            <w:pPr>
              <w:jc w:val="left"/>
              <w:rPr>
                <w:rFonts w:ascii="宋体"/>
                <w:sz w:val="18"/>
                <w:szCs w:val="18"/>
              </w:rPr>
            </w:pPr>
            <w:r>
              <w:rPr>
                <w:rFonts w:hint="eastAsia" w:ascii="宋体"/>
                <w:sz w:val="18"/>
                <w:szCs w:val="18"/>
              </w:rPr>
              <w:t xml:space="preserve">工伤</w:t>
            </w:r>
            <w:r/>
          </w:p>
        </w:tc>
        <w:tc>
          <w:tcPr>
            <w:tcW w:w="1076" w:type="dxa"/>
            <w:vAlign w:val="center"/>
            <w:textDirection w:val="lrTb"/>
            <w:noWrap/>
          </w:tcPr>
          <w:p>
            <w:pPr>
              <w:jc w:val="center"/>
              <w:rPr>
                <w:rFonts w:ascii="宋体"/>
                <w:sz w:val="18"/>
                <w:szCs w:val="18"/>
              </w:rPr>
            </w:pPr>
            <w:r>
              <w:rPr>
                <w:rFonts w:ascii="宋体"/>
                <w:sz w:val="18"/>
                <w:szCs w:val="18"/>
              </w:rPr>
            </w:r>
            <w:r/>
          </w:p>
        </w:tc>
        <w:tc>
          <w:tcPr>
            <w:tcW w:w="1345" w:type="dxa"/>
            <w:vAlign w:val="center"/>
            <w:textDirection w:val="lrTb"/>
            <w:noWrap/>
          </w:tcPr>
          <w:p>
            <w:pPr>
              <w:jc w:val="center"/>
              <w:rPr>
                <w:rFonts w:ascii="宋体"/>
                <w:sz w:val="18"/>
                <w:szCs w:val="18"/>
              </w:rPr>
            </w:pPr>
            <w:r>
              <w:rPr>
                <w:rFonts w:ascii="宋体"/>
                <w:sz w:val="18"/>
                <w:szCs w:val="18"/>
              </w:rPr>
            </w:r>
            <w:r/>
          </w:p>
        </w:tc>
        <w:tc>
          <w:tcPr>
            <w:tcW w:w="1161" w:type="dxa"/>
            <w:vAlign w:val="center"/>
            <w:textDirection w:val="lrTb"/>
            <w:noWrap/>
          </w:tcPr>
          <w:p>
            <w:pPr>
              <w:jc w:val="center"/>
              <w:rPr>
                <w:rFonts w:ascii="宋体"/>
                <w:sz w:val="18"/>
                <w:szCs w:val="18"/>
              </w:rPr>
            </w:pPr>
            <w:r>
              <w:rPr>
                <w:rFonts w:ascii="宋体"/>
                <w:sz w:val="18"/>
                <w:szCs w:val="18"/>
              </w:rPr>
            </w:r>
            <w:r/>
          </w:p>
        </w:tc>
        <w:tc>
          <w:tcPr>
            <w:tcW w:w="1635" w:type="dxa"/>
            <w:vAlign w:val="center"/>
            <w:textDirection w:val="lrTb"/>
            <w:noWrap/>
          </w:tcPr>
          <w:p>
            <w:pPr>
              <w:jc w:val="center"/>
              <w:rPr>
                <w:rFonts w:ascii="宋体"/>
                <w:sz w:val="18"/>
                <w:szCs w:val="18"/>
              </w:rPr>
            </w:pPr>
            <w:r>
              <w:rPr>
                <w:rFonts w:ascii="宋体"/>
                <w:sz w:val="18"/>
                <w:szCs w:val="18"/>
              </w:rPr>
            </w:r>
            <w:r/>
          </w:p>
        </w:tc>
        <w:tc>
          <w:tcPr>
            <w:tcW w:w="1005" w:type="dxa"/>
            <w:vAlign w:val="center"/>
            <w:textDirection w:val="lrTb"/>
            <w:noWrap/>
          </w:tcPr>
          <w:p>
            <w:pPr>
              <w:jc w:val="center"/>
              <w:rPr>
                <w:rFonts w:ascii="宋体"/>
                <w:sz w:val="18"/>
                <w:szCs w:val="18"/>
              </w:rPr>
            </w:pPr>
            <w:r>
              <w:rPr>
                <w:rFonts w:ascii="宋体"/>
                <w:sz w:val="18"/>
                <w:szCs w:val="18"/>
              </w:rPr>
            </w:r>
            <w:r/>
          </w:p>
        </w:tc>
      </w:tr>
      <w:tr>
        <w:trPr>
          <w:jc w:val="center"/>
          <w:trHeight w:val="381"/>
        </w:trPr>
        <w:tc>
          <w:tcPr>
            <w:tcW w:w="843" w:type="dxa"/>
            <w:vAlign w:val="center"/>
            <w:textDirection w:val="lrTb"/>
            <w:noWrap/>
          </w:tcPr>
          <w:p>
            <w:pPr>
              <w:jc w:val="center"/>
              <w:rPr>
                <w:rFonts w:ascii="宋体"/>
                <w:sz w:val="18"/>
                <w:szCs w:val="18"/>
              </w:rPr>
            </w:pPr>
            <w:r>
              <w:rPr>
                <w:rFonts w:hint="eastAsia" w:ascii="宋体"/>
                <w:sz w:val="18"/>
                <w:szCs w:val="18"/>
              </w:rPr>
              <w:t xml:space="preserve">（5）</w:t>
            </w:r>
            <w:r/>
          </w:p>
        </w:tc>
        <w:tc>
          <w:tcPr>
            <w:tcW w:w="2232" w:type="dxa"/>
            <w:vAlign w:val="center"/>
            <w:textDirection w:val="lrTb"/>
            <w:noWrap/>
          </w:tcPr>
          <w:p>
            <w:pPr>
              <w:jc w:val="left"/>
              <w:rPr>
                <w:rFonts w:ascii="宋体"/>
                <w:sz w:val="18"/>
                <w:szCs w:val="18"/>
              </w:rPr>
            </w:pPr>
            <w:r>
              <w:rPr>
                <w:rFonts w:hint="eastAsia" w:ascii="宋体"/>
                <w:sz w:val="18"/>
                <w:szCs w:val="18"/>
              </w:rPr>
              <w:t xml:space="preserve">生育</w:t>
            </w:r>
            <w:r/>
          </w:p>
        </w:tc>
        <w:tc>
          <w:tcPr>
            <w:tcW w:w="1076" w:type="dxa"/>
            <w:vAlign w:val="center"/>
            <w:textDirection w:val="lrTb"/>
            <w:noWrap/>
          </w:tcPr>
          <w:p>
            <w:pPr>
              <w:jc w:val="center"/>
              <w:rPr>
                <w:rFonts w:ascii="宋体"/>
                <w:sz w:val="18"/>
                <w:szCs w:val="18"/>
              </w:rPr>
            </w:pPr>
            <w:r>
              <w:rPr>
                <w:rFonts w:ascii="宋体"/>
                <w:sz w:val="18"/>
                <w:szCs w:val="18"/>
              </w:rPr>
            </w:r>
            <w:r/>
          </w:p>
        </w:tc>
        <w:tc>
          <w:tcPr>
            <w:tcW w:w="1345" w:type="dxa"/>
            <w:vAlign w:val="center"/>
            <w:textDirection w:val="lrTb"/>
            <w:noWrap/>
          </w:tcPr>
          <w:p>
            <w:pPr>
              <w:jc w:val="center"/>
              <w:rPr>
                <w:rFonts w:ascii="宋体"/>
                <w:sz w:val="18"/>
                <w:szCs w:val="18"/>
              </w:rPr>
            </w:pPr>
            <w:r>
              <w:rPr>
                <w:rFonts w:ascii="宋体"/>
                <w:sz w:val="18"/>
                <w:szCs w:val="18"/>
              </w:rPr>
            </w:r>
            <w:r/>
          </w:p>
        </w:tc>
        <w:tc>
          <w:tcPr>
            <w:tcW w:w="1161" w:type="dxa"/>
            <w:vAlign w:val="center"/>
            <w:textDirection w:val="lrTb"/>
            <w:noWrap/>
          </w:tcPr>
          <w:p>
            <w:pPr>
              <w:jc w:val="center"/>
              <w:rPr>
                <w:rFonts w:ascii="宋体"/>
                <w:sz w:val="18"/>
                <w:szCs w:val="18"/>
              </w:rPr>
            </w:pPr>
            <w:r>
              <w:rPr>
                <w:rFonts w:ascii="宋体"/>
                <w:sz w:val="18"/>
                <w:szCs w:val="18"/>
              </w:rPr>
            </w:r>
            <w:r/>
          </w:p>
        </w:tc>
        <w:tc>
          <w:tcPr>
            <w:tcW w:w="1635" w:type="dxa"/>
            <w:vAlign w:val="center"/>
            <w:textDirection w:val="lrTb"/>
            <w:noWrap/>
          </w:tcPr>
          <w:p>
            <w:pPr>
              <w:jc w:val="center"/>
              <w:rPr>
                <w:rFonts w:ascii="宋体"/>
                <w:sz w:val="18"/>
                <w:szCs w:val="18"/>
              </w:rPr>
            </w:pPr>
            <w:r>
              <w:rPr>
                <w:rFonts w:ascii="宋体"/>
                <w:sz w:val="18"/>
                <w:szCs w:val="18"/>
              </w:rPr>
            </w:r>
            <w:r/>
          </w:p>
        </w:tc>
        <w:tc>
          <w:tcPr>
            <w:tcW w:w="1005" w:type="dxa"/>
            <w:vAlign w:val="center"/>
            <w:textDirection w:val="lrTb"/>
            <w:noWrap/>
          </w:tcPr>
          <w:p>
            <w:pPr>
              <w:jc w:val="center"/>
              <w:rPr>
                <w:rFonts w:ascii="宋体"/>
                <w:sz w:val="18"/>
                <w:szCs w:val="18"/>
              </w:rPr>
            </w:pPr>
            <w:r>
              <w:rPr>
                <w:rFonts w:ascii="宋体"/>
                <w:sz w:val="18"/>
                <w:szCs w:val="18"/>
              </w:rPr>
            </w:r>
            <w:r/>
          </w:p>
        </w:tc>
      </w:tr>
      <w:tr>
        <w:trPr>
          <w:jc w:val="center"/>
          <w:trHeight w:val="365"/>
        </w:trPr>
        <w:tc>
          <w:tcPr>
            <w:tcW w:w="843" w:type="dxa"/>
            <w:vAlign w:val="center"/>
            <w:textDirection w:val="lrTb"/>
            <w:noWrap/>
          </w:tcPr>
          <w:p>
            <w:pPr>
              <w:jc w:val="center"/>
              <w:rPr>
                <w:rFonts w:ascii="宋体"/>
                <w:sz w:val="18"/>
                <w:szCs w:val="18"/>
              </w:rPr>
            </w:pPr>
            <w:r>
              <w:rPr>
                <w:rFonts w:hint="eastAsia" w:ascii="宋体"/>
                <w:sz w:val="18"/>
                <w:szCs w:val="18"/>
              </w:rPr>
              <w:t xml:space="preserve">（6）</w:t>
            </w:r>
            <w:r/>
          </w:p>
        </w:tc>
        <w:tc>
          <w:tcPr>
            <w:tcW w:w="2232" w:type="dxa"/>
            <w:vAlign w:val="center"/>
            <w:textDirection w:val="lrTb"/>
            <w:noWrap/>
          </w:tcPr>
          <w:p>
            <w:pPr>
              <w:jc w:val="left"/>
              <w:rPr>
                <w:rFonts w:ascii="宋体"/>
                <w:sz w:val="18"/>
                <w:szCs w:val="18"/>
              </w:rPr>
            </w:pPr>
            <w:r>
              <w:rPr>
                <w:rFonts w:hint="eastAsia" w:ascii="宋体"/>
                <w:sz w:val="18"/>
                <w:szCs w:val="18"/>
              </w:rPr>
              <w:t xml:space="preserve">其他法定计提费用</w:t>
            </w:r>
            <w:r/>
          </w:p>
        </w:tc>
        <w:tc>
          <w:tcPr>
            <w:tcW w:w="1076" w:type="dxa"/>
            <w:vAlign w:val="center"/>
            <w:textDirection w:val="lrTb"/>
            <w:noWrap/>
          </w:tcPr>
          <w:p>
            <w:pPr>
              <w:jc w:val="center"/>
              <w:rPr>
                <w:rFonts w:ascii="宋体"/>
                <w:sz w:val="18"/>
                <w:szCs w:val="18"/>
              </w:rPr>
            </w:pPr>
            <w:r>
              <w:rPr>
                <w:rFonts w:ascii="宋体"/>
                <w:sz w:val="18"/>
                <w:szCs w:val="18"/>
              </w:rPr>
            </w:r>
            <w:r/>
          </w:p>
        </w:tc>
        <w:tc>
          <w:tcPr>
            <w:tcW w:w="1345" w:type="dxa"/>
            <w:vAlign w:val="center"/>
            <w:textDirection w:val="lrTb"/>
            <w:noWrap/>
          </w:tcPr>
          <w:p>
            <w:pPr>
              <w:jc w:val="center"/>
              <w:rPr>
                <w:rFonts w:ascii="宋体"/>
                <w:sz w:val="18"/>
                <w:szCs w:val="18"/>
              </w:rPr>
            </w:pPr>
            <w:r>
              <w:rPr>
                <w:rFonts w:ascii="宋体"/>
                <w:sz w:val="18"/>
                <w:szCs w:val="18"/>
              </w:rPr>
            </w:r>
            <w:r/>
          </w:p>
        </w:tc>
        <w:tc>
          <w:tcPr>
            <w:tcW w:w="1161" w:type="dxa"/>
            <w:vAlign w:val="center"/>
            <w:textDirection w:val="lrTb"/>
            <w:noWrap/>
          </w:tcPr>
          <w:p>
            <w:pPr>
              <w:jc w:val="center"/>
              <w:rPr>
                <w:rFonts w:ascii="宋体"/>
                <w:sz w:val="18"/>
                <w:szCs w:val="18"/>
              </w:rPr>
            </w:pPr>
            <w:r>
              <w:rPr>
                <w:rFonts w:ascii="宋体"/>
                <w:sz w:val="18"/>
                <w:szCs w:val="18"/>
              </w:rPr>
            </w:r>
            <w:r/>
          </w:p>
        </w:tc>
        <w:tc>
          <w:tcPr>
            <w:tcW w:w="1635" w:type="dxa"/>
            <w:vAlign w:val="center"/>
            <w:textDirection w:val="lrTb"/>
            <w:noWrap/>
          </w:tcPr>
          <w:p>
            <w:pPr>
              <w:jc w:val="center"/>
              <w:rPr>
                <w:rFonts w:ascii="宋体"/>
                <w:sz w:val="18"/>
                <w:szCs w:val="18"/>
              </w:rPr>
            </w:pPr>
            <w:r>
              <w:rPr>
                <w:rFonts w:ascii="宋体"/>
                <w:sz w:val="18"/>
                <w:szCs w:val="18"/>
              </w:rPr>
            </w:r>
            <w:r/>
          </w:p>
        </w:tc>
        <w:tc>
          <w:tcPr>
            <w:tcW w:w="1005" w:type="dxa"/>
            <w:vAlign w:val="center"/>
            <w:textDirection w:val="lrTb"/>
            <w:noWrap/>
          </w:tcPr>
          <w:p>
            <w:pPr>
              <w:jc w:val="center"/>
              <w:rPr>
                <w:rFonts w:ascii="宋体"/>
                <w:sz w:val="18"/>
                <w:szCs w:val="18"/>
              </w:rPr>
            </w:pPr>
            <w:r>
              <w:rPr>
                <w:rFonts w:ascii="宋体"/>
                <w:sz w:val="18"/>
                <w:szCs w:val="18"/>
              </w:rPr>
            </w:r>
            <w:r/>
          </w:p>
        </w:tc>
      </w:tr>
      <w:tr>
        <w:trPr>
          <w:jc w:val="center"/>
          <w:trHeight w:val="369"/>
        </w:trPr>
        <w:tc>
          <w:tcPr>
            <w:tcW w:w="843" w:type="dxa"/>
            <w:vAlign w:val="center"/>
            <w:textDirection w:val="lrTb"/>
            <w:noWrap/>
          </w:tcPr>
          <w:p>
            <w:pPr>
              <w:jc w:val="center"/>
              <w:rPr>
                <w:rFonts w:ascii="宋体"/>
                <w:sz w:val="18"/>
                <w:szCs w:val="18"/>
              </w:rPr>
            </w:pPr>
            <w:r>
              <w:rPr>
                <w:rFonts w:hint="eastAsia" w:ascii="宋体"/>
                <w:sz w:val="18"/>
                <w:szCs w:val="18"/>
              </w:rPr>
              <w:t xml:space="preserve">… …</w:t>
            </w:r>
            <w:r/>
          </w:p>
        </w:tc>
        <w:tc>
          <w:tcPr>
            <w:tcW w:w="2232" w:type="dxa"/>
            <w:vAlign w:val="center"/>
            <w:textDirection w:val="lrTb"/>
            <w:noWrap/>
          </w:tcPr>
          <w:p>
            <w:pPr>
              <w:jc w:val="center"/>
              <w:rPr>
                <w:rFonts w:ascii="宋体"/>
                <w:sz w:val="18"/>
                <w:szCs w:val="18"/>
              </w:rPr>
            </w:pPr>
            <w:r>
              <w:rPr>
                <w:rFonts w:ascii="宋体"/>
                <w:sz w:val="18"/>
                <w:szCs w:val="18"/>
              </w:rPr>
            </w:r>
            <w:r/>
          </w:p>
        </w:tc>
        <w:tc>
          <w:tcPr>
            <w:tcW w:w="1076" w:type="dxa"/>
            <w:vAlign w:val="center"/>
            <w:textDirection w:val="lrTb"/>
            <w:noWrap/>
          </w:tcPr>
          <w:p>
            <w:pPr>
              <w:jc w:val="center"/>
              <w:rPr>
                <w:rFonts w:ascii="宋体"/>
                <w:sz w:val="18"/>
                <w:szCs w:val="18"/>
              </w:rPr>
            </w:pPr>
            <w:r>
              <w:rPr>
                <w:rFonts w:ascii="宋体"/>
                <w:sz w:val="18"/>
                <w:szCs w:val="18"/>
              </w:rPr>
            </w:r>
            <w:r/>
          </w:p>
        </w:tc>
        <w:tc>
          <w:tcPr>
            <w:tcW w:w="1345" w:type="dxa"/>
            <w:vAlign w:val="center"/>
            <w:textDirection w:val="lrTb"/>
            <w:noWrap/>
          </w:tcPr>
          <w:p>
            <w:pPr>
              <w:jc w:val="center"/>
              <w:rPr>
                <w:rFonts w:ascii="宋体"/>
                <w:sz w:val="18"/>
                <w:szCs w:val="18"/>
              </w:rPr>
            </w:pPr>
            <w:r>
              <w:rPr>
                <w:rFonts w:ascii="宋体"/>
                <w:sz w:val="18"/>
                <w:szCs w:val="18"/>
              </w:rPr>
            </w:r>
            <w:r/>
          </w:p>
        </w:tc>
        <w:tc>
          <w:tcPr>
            <w:tcW w:w="1161" w:type="dxa"/>
            <w:vAlign w:val="center"/>
            <w:textDirection w:val="lrTb"/>
            <w:noWrap/>
          </w:tcPr>
          <w:p>
            <w:pPr>
              <w:jc w:val="center"/>
              <w:rPr>
                <w:rFonts w:ascii="宋体"/>
                <w:sz w:val="18"/>
                <w:szCs w:val="18"/>
              </w:rPr>
            </w:pPr>
            <w:r>
              <w:rPr>
                <w:rFonts w:ascii="宋体"/>
                <w:sz w:val="18"/>
                <w:szCs w:val="18"/>
              </w:rPr>
            </w:r>
            <w:r/>
          </w:p>
        </w:tc>
        <w:tc>
          <w:tcPr>
            <w:tcW w:w="1635" w:type="dxa"/>
            <w:vAlign w:val="center"/>
            <w:textDirection w:val="lrTb"/>
            <w:noWrap/>
          </w:tcPr>
          <w:p>
            <w:pPr>
              <w:jc w:val="center"/>
              <w:rPr>
                <w:rFonts w:ascii="宋体"/>
                <w:sz w:val="18"/>
                <w:szCs w:val="18"/>
              </w:rPr>
            </w:pPr>
            <w:r>
              <w:rPr>
                <w:rFonts w:ascii="宋体"/>
                <w:sz w:val="18"/>
                <w:szCs w:val="18"/>
              </w:rPr>
            </w:r>
            <w:r/>
          </w:p>
        </w:tc>
        <w:tc>
          <w:tcPr>
            <w:tcW w:w="1005" w:type="dxa"/>
            <w:vAlign w:val="center"/>
            <w:textDirection w:val="lrTb"/>
            <w:noWrap/>
          </w:tcPr>
          <w:p>
            <w:pPr>
              <w:jc w:val="center"/>
              <w:rPr>
                <w:rFonts w:ascii="宋体"/>
                <w:sz w:val="18"/>
                <w:szCs w:val="18"/>
              </w:rPr>
            </w:pPr>
            <w:r>
              <w:rPr>
                <w:rFonts w:ascii="宋体"/>
                <w:sz w:val="18"/>
                <w:szCs w:val="18"/>
              </w:rPr>
            </w:r>
            <w:r/>
          </w:p>
        </w:tc>
      </w:tr>
      <w:tr>
        <w:trPr>
          <w:jc w:val="center"/>
          <w:trHeight w:val="472"/>
        </w:trPr>
        <w:tc>
          <w:tcPr>
            <w:gridSpan w:val="2"/>
            <w:tcW w:w="3075" w:type="dxa"/>
            <w:vAlign w:val="center"/>
            <w:textDirection w:val="lrTb"/>
            <w:noWrap/>
          </w:tcPr>
          <w:p>
            <w:pPr>
              <w:jc w:val="center"/>
              <w:rPr>
                <w:rFonts w:ascii="宋体"/>
                <w:sz w:val="18"/>
                <w:szCs w:val="18"/>
              </w:rPr>
            </w:pPr>
            <w:r>
              <w:rPr>
                <w:rFonts w:hint="eastAsia" w:ascii="宋体"/>
                <w:sz w:val="18"/>
                <w:szCs w:val="18"/>
              </w:rPr>
              <w:t xml:space="preserve">合计：</w:t>
            </w:r>
            <w:r/>
          </w:p>
        </w:tc>
        <w:tc>
          <w:tcPr>
            <w:tcW w:w="1076" w:type="dxa"/>
            <w:vAlign w:val="center"/>
            <w:textDirection w:val="lrTb"/>
            <w:noWrap/>
          </w:tcPr>
          <w:p>
            <w:pPr>
              <w:jc w:val="center"/>
              <w:rPr>
                <w:rFonts w:ascii="宋体"/>
                <w:sz w:val="18"/>
                <w:szCs w:val="18"/>
              </w:rPr>
            </w:pPr>
            <w:r>
              <w:rPr>
                <w:rFonts w:ascii="宋体"/>
                <w:sz w:val="18"/>
                <w:szCs w:val="18"/>
              </w:rPr>
            </w:r>
            <w:r/>
          </w:p>
        </w:tc>
        <w:tc>
          <w:tcPr>
            <w:tcW w:w="1345" w:type="dxa"/>
            <w:vAlign w:val="center"/>
            <w:textDirection w:val="lrTb"/>
            <w:noWrap/>
          </w:tcPr>
          <w:p>
            <w:pPr>
              <w:jc w:val="center"/>
              <w:rPr>
                <w:rFonts w:ascii="宋体"/>
                <w:sz w:val="18"/>
                <w:szCs w:val="18"/>
              </w:rPr>
            </w:pPr>
            <w:r>
              <w:rPr>
                <w:rFonts w:ascii="宋体"/>
                <w:sz w:val="18"/>
                <w:szCs w:val="18"/>
              </w:rPr>
            </w:r>
            <w:r/>
          </w:p>
        </w:tc>
        <w:tc>
          <w:tcPr>
            <w:tcW w:w="1161" w:type="dxa"/>
            <w:vAlign w:val="center"/>
            <w:textDirection w:val="lrTb"/>
            <w:noWrap/>
          </w:tcPr>
          <w:p>
            <w:pPr>
              <w:jc w:val="center"/>
              <w:rPr>
                <w:rFonts w:ascii="宋体"/>
                <w:sz w:val="18"/>
                <w:szCs w:val="18"/>
              </w:rPr>
            </w:pPr>
            <w:r>
              <w:rPr>
                <w:rFonts w:ascii="宋体"/>
                <w:sz w:val="18"/>
                <w:szCs w:val="18"/>
              </w:rPr>
            </w:r>
            <w:r/>
          </w:p>
        </w:tc>
        <w:tc>
          <w:tcPr>
            <w:tcW w:w="1635" w:type="dxa"/>
            <w:vAlign w:val="center"/>
            <w:textDirection w:val="lrTb"/>
            <w:noWrap/>
          </w:tcPr>
          <w:p>
            <w:pPr>
              <w:jc w:val="center"/>
              <w:rPr>
                <w:rFonts w:ascii="宋体"/>
                <w:sz w:val="18"/>
                <w:szCs w:val="18"/>
              </w:rPr>
            </w:pPr>
            <w:r>
              <w:rPr>
                <w:rFonts w:ascii="宋体"/>
                <w:sz w:val="18"/>
                <w:szCs w:val="18"/>
              </w:rPr>
            </w:r>
            <w:r/>
          </w:p>
        </w:tc>
        <w:tc>
          <w:tcPr>
            <w:tcW w:w="1005" w:type="dxa"/>
            <w:vAlign w:val="center"/>
            <w:textDirection w:val="lrTb"/>
            <w:noWrap/>
          </w:tcPr>
          <w:p>
            <w:pPr>
              <w:jc w:val="center"/>
              <w:rPr>
                <w:rFonts w:ascii="宋体"/>
                <w:sz w:val="18"/>
                <w:szCs w:val="18"/>
              </w:rPr>
            </w:pPr>
            <w:r>
              <w:rPr>
                <w:rFonts w:ascii="宋体"/>
                <w:sz w:val="18"/>
                <w:szCs w:val="18"/>
              </w:rPr>
            </w:r>
            <w:r/>
          </w:p>
        </w:tc>
      </w:tr>
    </w:tbl>
    <w:p>
      <w:pPr>
        <w:ind w:firstLine="315"/>
        <w:rPr>
          <w:rFonts w:ascii="宋体"/>
          <w:bCs/>
          <w:szCs w:val="21"/>
        </w:rPr>
        <w:outlineLvl w:val="0"/>
      </w:pPr>
      <w:r>
        <w:rPr>
          <w:rFonts w:hint="eastAsia" w:ascii="宋体"/>
          <w:bCs/>
          <w:szCs w:val="21"/>
        </w:rPr>
        <w:t xml:space="preserve">注： ①总价应包含为完成本招标文件规定的全部服务内容所涉及的一切费用，包括但不限于：本项目招标代理服务费、人工费、材料费、机械使用费、燃油费、耗材费、办公费、停车费、智慧环卫运营费、公共厕所设施设备维保费、水费、电费、粪便处置费、管理费、税金和利润，以及合同明示或暗示的所有一般风险、责任和义务所涉及的一切费用。总之，投标报价应为完成该项目的全部费用。</w:t>
      </w:r>
      <w:r>
        <w:rPr>
          <w:rFonts w:ascii="宋体"/>
          <w:bCs/>
          <w:szCs w:val="21"/>
        </w:rPr>
        <w:t xml:space="preserve">②</w:t>
      </w:r>
      <w:r>
        <w:rPr>
          <w:rFonts w:hint="eastAsia" w:ascii="宋体"/>
          <w:bCs/>
          <w:szCs w:val="21"/>
        </w:rPr>
        <w:t xml:space="preserve">用工须符合《中华人民共和国劳动合同法》规定，依法签订并履行劳动（劳务）合同，每月工作时间不得超过法定上限。</w:t>
      </w:r>
      <w:r>
        <w:rPr>
          <w:rFonts w:ascii="宋体"/>
          <w:bCs/>
          <w:szCs w:val="21"/>
        </w:rPr>
        <w:t xml:space="preserve">③</w:t>
      </w:r>
      <w:r>
        <w:rPr>
          <w:rFonts w:hint="eastAsia" w:ascii="宋体"/>
          <w:bCs/>
          <w:szCs w:val="21"/>
        </w:rPr>
        <w:t xml:space="preserve">按照《关于2</w:t>
      </w:r>
      <w:r>
        <w:rPr>
          <w:rFonts w:hint="eastAsia" w:ascii="宋体"/>
          <w:bCs/>
          <w:szCs w:val="21"/>
        </w:rPr>
        <w:t xml:space="preserve">025年无锡市区环卫一体化作业招标工作的指导意见》（锡城管发〔2025〕60号）要求，一线环卫职工月工资收入不得低于无锡市最低工资水平的120%，如遇政策调整按最新政策执行。投标供应商拟投入人员在本单位缴纳社保的比例不得低于总投入人数的60%，其中项目负责人及管理人员必须在本单位缴纳社保，中标供应商应为参与本项目的所有人员（包含轮岗人员）购买意外伤害保险或雇主责任险，保额为50万元（含）及以上。同时中标供应商须为超龄劳动者参加工伤保险并缴纳工伤保险费，并在发出中标通知书之日起15日内向采购方提供证明文件，后</w:t>
      </w:r>
      <w:r>
        <w:rPr>
          <w:rFonts w:hint="eastAsia" w:ascii="宋体"/>
          <w:bCs/>
          <w:szCs w:val="21"/>
        </w:rPr>
        <w:t xml:space="preserve">续凭保单签订合同。④投标供应商报价时应充分考虑服务期内所有可能影响到报价的因素，包括但不限于最低工资标准上调、社保缴费基数调整等政策性调整风险。如发生漏报、缺报、少报项目，均将被视为投标供应商的报价让利行为，损失自负。投标人可根据采购需求自行添加条目进行投报，不限于本表所列项目。⑤上述表格中“各工种工作人员工资”是指“总项目负责人，专项服务小组人员，公厕巡查人员及各片区作业人员等工资”，投标人可根据自身成本结构自行增列明细条目。⑥上述报价表由投标单位参照，包括但不限于此，可根据采购需求自行添加条目进行投报。</w:t>
      </w:r>
      <w:r/>
    </w:p>
    <w:p>
      <w:pPr>
        <w:jc w:val="right"/>
        <w:rPr>
          <w:rFonts w:ascii="宋体" w:hAnsi="宋体" w:cs="宋体"/>
          <w:sz w:val="24"/>
          <w:szCs w:val="24"/>
        </w:rPr>
      </w:pPr>
      <w:r>
        <w:rPr>
          <w:rFonts w:hint="eastAsia" w:ascii="宋体" w:hAnsi="宋体" w:cs="宋体"/>
          <w:sz w:val="24"/>
          <w:szCs w:val="24"/>
        </w:rPr>
        <w:t xml:space="preserve">法定代表人或授权代表（签字或盖章）：__________</w:t>
      </w:r>
      <w:r/>
    </w:p>
    <w:p>
      <w:pPr>
        <w:pStyle w:val="892"/>
        <w:jc w:val="right"/>
        <w:rPr>
          <w:rFonts w:ascii="宋体" w:hAnsi="宋体" w:cs="宋体"/>
          <w:sz w:val="24"/>
          <w:szCs w:val="24"/>
        </w:rPr>
      </w:pPr>
      <w:r>
        <w:rPr>
          <w:rFonts w:ascii="宋体" w:hAnsi="宋体" w:cs="宋体"/>
          <w:sz w:val="24"/>
          <w:szCs w:val="24"/>
        </w:rPr>
      </w:r>
      <w:r/>
    </w:p>
    <w:p>
      <w:pPr>
        <w:pStyle w:val="892"/>
        <w:jc w:val="right"/>
        <w:rPr>
          <w:rFonts w:ascii="宋体" w:hAnsi="宋体" w:cs="宋体"/>
          <w:sz w:val="24"/>
          <w:szCs w:val="24"/>
        </w:rPr>
      </w:pPr>
      <w:r>
        <w:rPr>
          <w:rFonts w:hint="eastAsia" w:ascii="宋体" w:hAnsi="宋体" w:cs="宋体"/>
          <w:sz w:val="24"/>
          <w:szCs w:val="24"/>
        </w:rPr>
        <w:t xml:space="preserve">日期：________年____月____日</w:t>
      </w:r>
      <w:r/>
    </w:p>
    <w:p>
      <w:pPr>
        <w:rPr>
          <w:rFonts w:ascii="宋体" w:hAnsi="宋体" w:cs="宋体"/>
          <w:b/>
          <w:color w:val="000000"/>
          <w:sz w:val="24"/>
          <w:szCs w:val="24"/>
        </w:rPr>
      </w:pPr>
      <w:r>
        <w:rPr>
          <w:rFonts w:hint="eastAsia" w:ascii="宋体" w:hAnsi="宋体" w:cs="宋体"/>
          <w:b/>
          <w:color w:val="000000"/>
          <w:sz w:val="24"/>
          <w:szCs w:val="24"/>
        </w:rPr>
        <w:br w:type="page" w:clear="all"/>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（七）投标偏离表</w:t>
      </w:r>
      <w:r/>
    </w:p>
    <w:p>
      <w:pPr>
        <w:jc w:val="center"/>
        <w:spacing w:line="360" w:lineRule="auto"/>
        <w:rPr>
          <w:rFonts w:ascii="宋体" w:hAnsi="宋体" w:cs="宋体"/>
          <w:b/>
          <w:color w:val="000000"/>
          <w:sz w:val="24"/>
          <w:szCs w:val="24"/>
        </w:rPr>
      </w:pPr>
      <w:r>
        <w:rPr>
          <w:rFonts w:hint="eastAsia" w:ascii="宋体" w:hAnsi="宋体"/>
          <w:b/>
          <w:bCs/>
          <w:sz w:val="28"/>
          <w:szCs w:val="28"/>
        </w:rPr>
        <w:t xml:space="preserve">投标偏离表</w:t>
      </w:r>
      <w:r/>
    </w:p>
    <w:p>
      <w:pPr>
        <w:spacing w:line="400" w:lineRule="exact"/>
        <w:rPr>
          <w:rFonts w:ascii="宋体" w:hAnsi="宋体" w:cs="宋体"/>
          <w:bCs/>
          <w:color w:val="000000"/>
          <w:sz w:val="24"/>
          <w:szCs w:val="24"/>
        </w:rPr>
        <w:outlineLvl w:val="0"/>
      </w:pPr>
      <w:r>
        <w:rPr>
          <w:rFonts w:hint="eastAsia" w:ascii="宋体" w:hAnsi="宋体" w:cs="宋体"/>
          <w:bCs/>
          <w:color w:val="000000"/>
          <w:sz w:val="24"/>
          <w:szCs w:val="24"/>
        </w:rPr>
        <w:t xml:space="preserve">供应商名称（盖章）                采购项目编号：</w:t>
      </w:r>
      <w:r/>
    </w:p>
    <w:tbl>
      <w:tblPr>
        <w:tblStyle w:val="783"/>
        <w:tblW w:w="9318" w:type="dxa"/>
        <w:tblInd w:w="-30" w:type="dxa"/>
        <w:tblLayout w:type="fixed"/>
        <w:tblCellMar>
          <w:left w:w="15" w:type="dxa"/>
          <w:top w:w="15" w:type="dxa"/>
          <w:right w:w="15" w:type="dxa"/>
          <w:bottom w:w="0" w:type="dxa"/>
        </w:tblCellMar>
        <w:tblLook w:val="04A0" w:firstRow="1" w:lastRow="0" w:firstColumn="1" w:lastColumn="0" w:noHBand="0" w:noVBand="1"/>
      </w:tblPr>
      <w:tblGrid>
        <w:gridCol w:w="1975"/>
        <w:gridCol w:w="2498"/>
        <w:gridCol w:w="2643"/>
        <w:gridCol w:w="2202"/>
      </w:tblGrid>
      <w:tr>
        <w:trPr>
          <w:cantSplit/>
          <w:trHeight w:val="8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75" w:type="dxa"/>
            <w:vAlign w:val="center"/>
            <w:textDirection w:val="lrTb"/>
            <w:noWrap/>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rPr>
                <w:rFonts w:ascii="宋体" w:hAnsi="宋体" w:cs="宋体"/>
                <w:b/>
                <w:bCs/>
                <w:color w:val="000000"/>
                <w:sz w:val="24"/>
                <w:szCs w:val="24"/>
              </w:rPr>
            </w:pPr>
            <w:r>
              <w:rPr>
                <w:rFonts w:hint="eastAsia" w:ascii="宋体" w:hAnsi="宋体" w:cs="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偏离说明</w:t>
            </w:r>
            <w:r/>
          </w:p>
        </w:tc>
      </w:tr>
      <w:tr>
        <w:trPr>
          <w:cantSplit/>
          <w:trHeight w:val="8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75" w:type="dxa"/>
            <w:vAlign w:val="center"/>
            <w:textDirection w:val="lrTb"/>
            <w:noWrap/>
          </w:tcPr>
          <w:p>
            <w:pPr>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cantSplit/>
          <w:trHeight w:val="8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75" w:type="dxa"/>
            <w:vAlign w:val="center"/>
            <w:textDirection w:val="lrTb"/>
            <w:noWrap/>
          </w:tcPr>
          <w:p>
            <w:pPr>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cantSplit/>
          <w:trHeight w:val="85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75" w:type="dxa"/>
            <w:vAlign w:val="center"/>
            <w:textDirection w:val="lrTb"/>
            <w:noWrap/>
          </w:tcPr>
          <w:p>
            <w:pPr>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rPr>
                <w:rFonts w:ascii="宋体" w:hAnsi="宋体" w:cs="宋体"/>
                <w:bCs/>
                <w:color w:val="000000"/>
              </w:rPr>
            </w:pP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W w:w="2202" w:type="dxa"/>
            <w:vAlign w:val="center"/>
            <w:textDirection w:val="lrTb"/>
            <w:noWrap/>
          </w:tcPr>
          <w:p>
            <w:pPr>
              <w:jc w:val="center"/>
              <w:rPr>
                <w:rFonts w:ascii="宋体" w:hAnsi="宋体" w:cs="宋体"/>
                <w:bCs/>
                <w:color w:val="000000"/>
              </w:rPr>
            </w:pPr>
            <w:r>
              <w:rPr>
                <w:rFonts w:ascii="宋体" w:hAnsi="宋体" w:cs="宋体"/>
                <w:bCs/>
                <w:color w:val="000000"/>
              </w:rPr>
            </w:r>
            <w:r/>
          </w:p>
        </w:tc>
      </w:tr>
    </w:tbl>
    <w:p>
      <w:pPr>
        <w:rPr>
          <w:rFonts w:ascii="宋体" w:hAnsi="宋体" w:cs="宋体"/>
          <w:bCs/>
          <w:color w:val="000000"/>
          <w:szCs w:val="21"/>
        </w:rPr>
        <w:outlineLvl w:val="0"/>
      </w:pPr>
      <w:r>
        <w:rPr>
          <w:rFonts w:hint="eastAsia" w:ascii="宋体" w:hAnsi="宋体" w:cs="宋体"/>
          <w:bCs/>
          <w:color w:val="000000"/>
          <w:szCs w:val="21"/>
        </w:rPr>
        <w:t xml:space="preserve">注：</w:t>
      </w:r>
      <w:r/>
    </w:p>
    <w:p>
      <w:pPr>
        <w:ind w:firstLine="480"/>
        <w:rPr>
          <w:rFonts w:ascii="宋体" w:hAnsi="宋体" w:cs="宋体"/>
          <w:bCs/>
          <w:color w:val="000000"/>
          <w:szCs w:val="21"/>
        </w:rPr>
        <w:outlineLvl w:val="0"/>
      </w:pPr>
      <w:r>
        <w:rPr>
          <w:rFonts w:hint="eastAsia" w:ascii="宋体" w:hAnsi="宋体" w:cs="宋体"/>
          <w:bCs/>
          <w:color w:val="000000"/>
          <w:szCs w:val="21"/>
        </w:rPr>
        <w:t xml:space="preserve">（1）本表不得删除。</w:t>
      </w:r>
      <w:r/>
    </w:p>
    <w:p>
      <w:pPr>
        <w:ind w:firstLine="480"/>
        <w:rPr>
          <w:rFonts w:ascii="宋体" w:hAnsi="宋体" w:cs="宋体"/>
          <w:bCs/>
          <w:color w:val="000000"/>
          <w:szCs w:val="21"/>
        </w:rPr>
        <w:outlineLvl w:val="0"/>
      </w:pPr>
      <w:r>
        <w:rPr>
          <w:rFonts w:hint="eastAsia" w:ascii="宋体" w:hAnsi="宋体" w:cs="宋体"/>
          <w:bCs/>
          <w:color w:val="000000"/>
          <w:szCs w:val="21"/>
        </w:rPr>
        <w:t xml:space="preserve">（2）如无任何服务偏离，请于本表 “偏离说明”中注明“无偏离”。</w:t>
      </w:r>
      <w:r/>
    </w:p>
    <w:p>
      <w:pPr>
        <w:ind w:firstLine="480"/>
        <w:rPr>
          <w:rFonts w:ascii="宋体" w:hAnsi="宋体" w:cs="宋体"/>
          <w:bCs/>
          <w:color w:val="000000"/>
          <w:szCs w:val="21"/>
        </w:rPr>
        <w:outlineLvl w:val="0"/>
      </w:pPr>
      <w:r>
        <w:rPr>
          <w:rFonts w:hint="eastAsia" w:ascii="宋体" w:hAnsi="宋体" w:cs="宋体"/>
          <w:bCs/>
          <w:color w:val="000000"/>
          <w:szCs w:val="21"/>
        </w:rPr>
        <w:t xml:space="preserve">（3）如有服务偏离项，请于本表中列明偏离内容，如需要可自行延长，其余无偏离内容不须赘述。</w:t>
      </w:r>
      <w:r/>
    </w:p>
    <w:p>
      <w:pPr>
        <w:ind w:firstLine="480"/>
        <w:rPr>
          <w:rFonts w:ascii="宋体" w:hAnsi="宋体" w:cs="宋体"/>
          <w:bCs/>
          <w:color w:val="000000"/>
          <w:szCs w:val="21"/>
        </w:rPr>
        <w:outlineLvl w:val="0"/>
      </w:pPr>
      <w:r>
        <w:rPr>
          <w:rFonts w:hint="eastAsia" w:ascii="宋体" w:hAnsi="宋体" w:cs="宋体"/>
          <w:bCs/>
          <w:color w:val="000000"/>
          <w:szCs w:val="21"/>
        </w:rPr>
        <w:t xml:space="preserve">（4）“偏离说明”项下应按下列规定填写：优于的，填写“正偏离”；符合的，填写“无偏离”。低于的，填写“负偏离”。</w:t>
      </w:r>
      <w:r/>
    </w:p>
    <w:p>
      <w:pPr>
        <w:ind w:firstLine="480"/>
        <w:rPr>
          <w:rFonts w:ascii="宋体" w:hAnsi="宋体" w:cs="宋体"/>
          <w:bCs/>
          <w:color w:val="000000"/>
          <w:szCs w:val="21"/>
        </w:rPr>
        <w:outlineLvl w:val="0"/>
      </w:pPr>
      <w:r>
        <w:rPr>
          <w:rFonts w:hint="eastAsia" w:ascii="宋体" w:hAnsi="宋体" w:cs="宋体"/>
          <w:bCs/>
          <w:color w:val="000000"/>
          <w:szCs w:val="21"/>
        </w:rPr>
        <w:t xml:space="preserve">（5）表格不够可自行延长，但不得改变文本格式。</w:t>
      </w:r>
      <w:r/>
    </w:p>
    <w:p>
      <w:pPr>
        <w:rPr>
          <w:rFonts w:ascii="宋体" w:hAnsi="宋体"/>
          <w:b/>
          <w:bCs/>
          <w:sz w:val="28"/>
          <w:szCs w:val="28"/>
        </w:rPr>
      </w:pPr>
      <w:r>
        <w:rPr>
          <w:rFonts w:ascii="宋体" w:hAnsi="宋体"/>
          <w:b/>
          <w:bCs/>
          <w:sz w:val="28"/>
          <w:szCs w:val="28"/>
        </w:rPr>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法定代表人或授权代表（签字或盖章）：__________</w:t>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日期：________年____月____日</w:t>
      </w:r>
      <w:r/>
    </w:p>
    <w:p>
      <w:pPr>
        <w:spacing w:line="480" w:lineRule="auto"/>
        <w:rPr>
          <w:rFonts w:ascii="宋体" w:hAnsi="宋体" w:cs="宋体"/>
          <w:b/>
          <w:color w:val="000000"/>
          <w:sz w:val="24"/>
          <w:szCs w:val="24"/>
        </w:rPr>
      </w:pPr>
      <w:r>
        <w:rPr>
          <w:rFonts w:ascii="宋体" w:hAnsi="宋体" w:cs="宋体"/>
          <w:b/>
          <w:color w:val="000000"/>
          <w:sz w:val="24"/>
          <w:szCs w:val="24"/>
        </w:rPr>
      </w:r>
      <w:r/>
    </w:p>
    <w:p>
      <w:pPr>
        <w:ind w:firstLine="480"/>
        <w:rPr>
          <w:rFonts w:ascii="宋体" w:hAnsi="宋体" w:cs="宋体"/>
          <w:bCs/>
          <w:color w:val="000000"/>
          <w:sz w:val="24"/>
          <w:szCs w:val="24"/>
        </w:rPr>
      </w:pPr>
      <w:r>
        <w:rPr>
          <w:rFonts w:ascii="宋体" w:hAnsi="宋体" w:cs="宋体"/>
          <w:bCs/>
          <w:color w:val="000000"/>
          <w:sz w:val="24"/>
          <w:szCs w:val="24"/>
        </w:rPr>
      </w:r>
      <w:r/>
    </w:p>
    <w:p>
      <w:pPr>
        <w:ind w:firstLine="480"/>
        <w:rPr>
          <w:rFonts w:ascii="宋体" w:hAnsi="宋体" w:cs="宋体"/>
          <w:bCs/>
          <w:color w:val="000000"/>
          <w:sz w:val="24"/>
          <w:szCs w:val="24"/>
        </w:rPr>
      </w:pPr>
      <w:r>
        <w:rPr>
          <w:rFonts w:ascii="宋体" w:hAnsi="宋体" w:cs="宋体"/>
          <w:bCs/>
          <w:color w:val="000000"/>
          <w:sz w:val="24"/>
          <w:szCs w:val="24"/>
        </w:rPr>
      </w:r>
      <w:r/>
    </w:p>
    <w:p>
      <w:pPr>
        <w:ind w:firstLine="480"/>
        <w:rPr>
          <w:rFonts w:ascii="宋体" w:hAnsi="宋体" w:cs="宋体"/>
          <w:bCs/>
          <w:color w:val="000000"/>
          <w:sz w:val="24"/>
          <w:szCs w:val="24"/>
        </w:rPr>
      </w:pPr>
      <w:r>
        <w:rPr>
          <w:rFonts w:ascii="宋体" w:hAnsi="宋体" w:cs="宋体"/>
          <w:bCs/>
          <w:color w:val="000000"/>
          <w:sz w:val="24"/>
          <w:szCs w:val="24"/>
        </w:rPr>
      </w:r>
      <w:r/>
    </w:p>
    <w:p>
      <w:pPr>
        <w:ind w:firstLine="480"/>
        <w:rPr>
          <w:rFonts w:ascii="宋体" w:hAnsi="宋体" w:cs="宋体"/>
          <w:bCs/>
          <w:color w:val="000000"/>
          <w:sz w:val="24"/>
          <w:szCs w:val="24"/>
        </w:rPr>
      </w:pPr>
      <w:r>
        <w:rPr>
          <w:rFonts w:ascii="宋体" w:hAnsi="宋体" w:cs="宋体"/>
          <w:bCs/>
          <w:color w:val="000000"/>
          <w:sz w:val="24"/>
          <w:szCs w:val="24"/>
        </w:rPr>
      </w:r>
      <w:r/>
    </w:p>
    <w:p>
      <w:pPr>
        <w:ind w:firstLine="480"/>
        <w:rPr>
          <w:rFonts w:ascii="宋体" w:hAnsi="宋体" w:cs="宋体"/>
          <w:bCs/>
          <w:color w:val="000000"/>
          <w:sz w:val="24"/>
          <w:szCs w:val="24"/>
        </w:rPr>
      </w:pPr>
      <w:r>
        <w:rPr>
          <w:rFonts w:ascii="宋体" w:hAnsi="宋体" w:cs="宋体"/>
          <w:bCs/>
          <w:color w:val="000000"/>
          <w:sz w:val="24"/>
          <w:szCs w:val="24"/>
        </w:rPr>
      </w:r>
      <w:r/>
    </w:p>
    <w:p>
      <w:pPr>
        <w:ind w:firstLine="480"/>
        <w:rPr>
          <w:rFonts w:ascii="宋体" w:hAnsi="宋体" w:cs="宋体"/>
          <w:bCs/>
          <w:color w:val="000000"/>
          <w:sz w:val="24"/>
          <w:szCs w:val="24"/>
        </w:rPr>
      </w:pPr>
      <w:r>
        <w:rPr>
          <w:rFonts w:ascii="宋体" w:hAnsi="宋体" w:cs="宋体"/>
          <w:bCs/>
          <w:color w:val="000000"/>
          <w:sz w:val="24"/>
          <w:szCs w:val="24"/>
        </w:rPr>
      </w:r>
      <w:r/>
    </w:p>
    <w:p>
      <w:pPr>
        <w:ind w:firstLine="480"/>
        <w:rPr>
          <w:rFonts w:ascii="宋体" w:hAnsi="宋体" w:cs="宋体"/>
          <w:bCs/>
          <w:color w:val="000000"/>
          <w:sz w:val="24"/>
          <w:szCs w:val="24"/>
        </w:rPr>
      </w:pPr>
      <w:r>
        <w:rPr>
          <w:rFonts w:ascii="宋体" w:hAnsi="宋体" w:cs="宋体"/>
          <w:bCs/>
          <w:color w:val="000000"/>
          <w:sz w:val="24"/>
          <w:szCs w:val="24"/>
        </w:rPr>
      </w:r>
      <w:r/>
    </w:p>
    <w:p>
      <w:pPr>
        <w:spacing w:line="360" w:lineRule="auto"/>
        <w:rPr>
          <w:rFonts w:ascii="宋体" w:hAnsi="宋体" w:cs="宋体"/>
          <w:b/>
          <w:color w:val="000000"/>
          <w:sz w:val="24"/>
          <w:szCs w:val="24"/>
        </w:rPr>
      </w:pPr>
      <w:r>
        <w:rPr>
          <w:rFonts w:hint="eastAsia" w:ascii="宋体" w:hAnsi="宋体" w:cs="宋体"/>
          <w:bCs/>
          <w:color w:val="000000"/>
          <w:sz w:val="24"/>
          <w:szCs w:val="24"/>
        </w:rPr>
        <w:br w:type="page" w:clear="all"/>
      </w:r>
      <w:r>
        <w:rPr>
          <w:rFonts w:hint="eastAsia" w:ascii="宋体" w:hAnsi="宋体" w:cs="宋体"/>
          <w:b/>
          <w:color w:val="000000"/>
          <w:sz w:val="24"/>
          <w:szCs w:val="24"/>
        </w:rPr>
        <w:t xml:space="preserve">（八）承诺书（格式）：</w:t>
      </w:r>
      <w:r/>
    </w:p>
    <w:p>
      <w:pPr>
        <w:pStyle w:val="812"/>
        <w:spacing w:line="360" w:lineRule="auto"/>
        <w:rPr>
          <w:rFonts w:ascii="宋体" w:hAnsi="宋体" w:eastAsia="宋体" w:cs="宋体"/>
          <w:bCs w:val="0"/>
          <w:color w:val="000000"/>
          <w:sz w:val="28"/>
          <w:szCs w:val="21"/>
        </w:rPr>
      </w:pPr>
      <w:r>
        <w:rPr>
          <w:rFonts w:hint="eastAsia" w:ascii="宋体" w:hAnsi="宋体" w:eastAsia="宋体" w:cs="宋体"/>
          <w:bCs w:val="0"/>
          <w:color w:val="000000"/>
          <w:sz w:val="28"/>
          <w:szCs w:val="21"/>
        </w:rPr>
        <w:t xml:space="preserve">承诺书一（服务保障承诺）</w:t>
      </w:r>
      <w:r/>
    </w:p>
    <w:p>
      <w:pPr>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致：</w:t>
      </w:r>
      <w:r>
        <w:rPr>
          <w:rFonts w:hint="eastAsia" w:ascii="宋体" w:hAnsi="宋体" w:cs="宋体"/>
          <w:sz w:val="24"/>
          <w:u w:val="single"/>
          <w:shd w:val="clear" w:color="auto" w:fill="ffffff"/>
        </w:rPr>
        <w:t xml:space="preserve">无锡市滨湖区城市管理局 </w:t>
      </w:r>
      <w:r/>
    </w:p>
    <w:p>
      <w:pPr>
        <w:ind w:firstLine="480"/>
        <w:spacing w:line="360" w:lineRule="auto"/>
        <w:rPr>
          <w:rFonts w:ascii="宋体" w:hAnsi="宋体"/>
          <w:sz w:val="24"/>
          <w:szCs w:val="18"/>
          <w:shd w:val="clear" w:color="auto" w:fill="ffffff"/>
        </w:rPr>
      </w:pPr>
      <w:r>
        <w:rPr>
          <w:rFonts w:hint="eastAsia" w:ascii="宋体" w:hAnsi="宋体" w:cs="宋体"/>
          <w:sz w:val="24"/>
          <w:shd w:val="clear" w:color="auto" w:fill="ffffff"/>
        </w:rPr>
        <w:t xml:space="preserve">我公司自愿参加贵单位（公司）</w:t>
      </w:r>
      <w:r>
        <w:rPr>
          <w:rFonts w:hint="eastAsia" w:ascii="宋体" w:hAnsi="宋体" w:cs="宋体"/>
          <w:sz w:val="24"/>
          <w:u w:val="single"/>
          <w:shd w:val="clear" w:color="auto" w:fill="ffffff"/>
        </w:rPr>
        <w:t xml:space="preserve">滨湖区环卫一体化作业服务项目</w:t>
      </w:r>
      <w:r>
        <w:rPr>
          <w:rFonts w:hint="eastAsia" w:ascii="宋体" w:hAnsi="宋体"/>
          <w:sz w:val="24"/>
          <w:shd w:val="clear" w:color="auto" w:fill="ffffff"/>
        </w:rPr>
        <w:t xml:space="preserve">的投标，若中标，承诺如下：</w:t>
      </w:r>
      <w:r/>
    </w:p>
    <w:p>
      <w:pPr>
        <w:ind w:firstLine="426"/>
        <w:jc w:val="left"/>
        <w:spacing w:line="360" w:lineRule="auto"/>
        <w:rPr>
          <w:rFonts w:ascii="宋体" w:hAnsi="宋体"/>
          <w:b/>
          <w:bCs/>
          <w:sz w:val="24"/>
          <w:shd w:val="clear" w:color="auto" w:fill="ffffff"/>
        </w:rPr>
      </w:pPr>
      <w:r>
        <w:rPr>
          <w:rFonts w:hint="eastAsia" w:ascii="宋体" w:hAnsi="宋体"/>
          <w:b/>
          <w:bCs/>
          <w:sz w:val="24"/>
          <w:shd w:val="clear" w:color="auto" w:fill="ffffff"/>
        </w:rPr>
        <w:t xml:space="preserve">1.我公司承诺拟配备专门服务于本次招投标项目的大、小型作业车辆，最低配置总车辆不少于162辆，各片区单独设置最低车辆配置，具体如下：</w:t>
      </w:r>
      <w:r/>
    </w:p>
    <w:p>
      <w:pPr>
        <w:ind w:firstLine="482"/>
        <w:spacing w:line="360" w:lineRule="auto"/>
        <w:rPr>
          <w:rFonts w:ascii="宋体" w:hAnsi="宋体" w:cs="宋体"/>
          <w:b/>
          <w:bCs/>
          <w:sz w:val="24"/>
        </w:rPr>
      </w:pPr>
      <w:r>
        <w:rPr>
          <w:rFonts w:hint="eastAsia" w:ascii="宋体" w:hAnsi="宋体" w:cs="宋体"/>
          <w:b/>
          <w:bCs/>
          <w:sz w:val="24"/>
        </w:rPr>
        <w:t xml:space="preserve">第一片区（河埒街道（梁溪河北）、河埒街道（梁溪河南））：</w:t>
      </w:r>
      <w:r/>
    </w:p>
    <w:p>
      <w:pPr>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1）机扫车（总质量≥18000kg）（每天每车作业里程70公里）不少于1辆；</w:t>
      </w:r>
      <w:r/>
    </w:p>
    <w:p>
      <w:pPr>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p>
    <w:p>
      <w:pPr>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3）高压冲水车（总质量≥18000kg）（最高清洗压力不少于9Mpa且配备前置喷水架，每天每车作业里程80公里）不少于2辆；</w:t>
      </w:r>
      <w:r/>
    </w:p>
    <w:p>
      <w:pPr>
        <w:ind w:firstLine="480"/>
        <w:spacing w:line="360" w:lineRule="auto"/>
        <w:rPr>
          <w:rFonts w:ascii="宋体" w:hAnsi="宋体" w:cs="宋体"/>
          <w:sz w:val="24"/>
        </w:rPr>
      </w:pPr>
      <w:r>
        <w:rPr>
          <w:rFonts w:hint="eastAsia" w:ascii="宋体" w:hAnsi="宋体" w:cs="宋体"/>
          <w:sz w:val="24"/>
        </w:rPr>
        <w:t xml:space="preserve">4）小型机扫（洗扫、冲水）车不少于1辆（每天每车作业里程48公里）；</w:t>
      </w:r>
      <w:r/>
    </w:p>
    <w:p>
      <w:pPr>
        <w:ind w:firstLine="480"/>
        <w:spacing w:line="360" w:lineRule="auto"/>
        <w:rPr>
          <w:rFonts w:ascii="宋体" w:hAnsi="宋体" w:cs="宋体"/>
          <w:sz w:val="24"/>
        </w:rPr>
      </w:pPr>
      <w:r>
        <w:rPr>
          <w:rFonts w:hint="eastAsia" w:ascii="宋体" w:hAnsi="宋体" w:cs="宋体"/>
          <w:sz w:val="24"/>
        </w:rPr>
        <w:t xml:space="preserve">5）吸粪车（吸污车）（核定载质量≥1150kg）不少于5辆；</w:t>
      </w:r>
      <w:r/>
    </w:p>
    <w:p>
      <w:pPr>
        <w:ind w:firstLine="480"/>
        <w:spacing w:line="360" w:lineRule="auto"/>
        <w:rPr>
          <w:rFonts w:ascii="宋体" w:hAnsi="宋体" w:cs="宋体"/>
          <w:sz w:val="24"/>
        </w:rPr>
      </w:pPr>
      <w:r>
        <w:rPr>
          <w:rFonts w:hint="eastAsia" w:ascii="宋体" w:hAnsi="宋体" w:cs="宋体"/>
          <w:sz w:val="24"/>
        </w:rPr>
        <w:t xml:space="preserve">6）其他垃圾收集车（核定载质量≥3000kg）不少于13辆；</w:t>
      </w:r>
      <w:r/>
    </w:p>
    <w:p>
      <w:pPr>
        <w:ind w:firstLine="480"/>
        <w:spacing w:line="360" w:lineRule="auto"/>
        <w:rPr>
          <w:rFonts w:ascii="宋体" w:hAnsi="宋体" w:cs="宋体"/>
          <w:sz w:val="24"/>
        </w:rPr>
      </w:pPr>
      <w:r>
        <w:rPr>
          <w:rFonts w:hint="eastAsia" w:ascii="宋体" w:hAnsi="宋体" w:cs="宋体"/>
          <w:sz w:val="24"/>
        </w:rPr>
        <w:t xml:space="preserve">7）家庭厨余收集车（核定载质量≥3000kg）不少于2辆。</w:t>
      </w:r>
      <w:r/>
    </w:p>
    <w:p>
      <w:pPr>
        <w:ind w:firstLine="482"/>
        <w:spacing w:line="360" w:lineRule="auto"/>
        <w:rPr>
          <w:rFonts w:ascii="宋体" w:hAnsi="宋体" w:cs="宋体"/>
          <w:b/>
          <w:bCs/>
          <w:sz w:val="24"/>
        </w:rPr>
      </w:pPr>
      <w:r>
        <w:rPr>
          <w:rFonts w:hint="eastAsia" w:ascii="宋体" w:hAnsi="宋体" w:cs="宋体"/>
          <w:b/>
          <w:bCs/>
          <w:sz w:val="24"/>
        </w:rPr>
        <w:t xml:space="preserve">第二片区（荣巷街道）：</w:t>
      </w:r>
      <w:r/>
    </w:p>
    <w:p>
      <w:pPr>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1）机扫车（总质量≥18000kg）（每天每车作业里程70公里）不少于2辆；</w:t>
      </w:r>
      <w:r/>
    </w:p>
    <w:p>
      <w:pPr>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p>
    <w:p>
      <w:pPr>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3）高压冲水车（总质量≥18000kg）（最高清洗压力不少于9Mpa且配备前置喷水架，每天每车作业里程80公里）不少于2辆；</w:t>
      </w:r>
      <w:r/>
    </w:p>
    <w:p>
      <w:pPr>
        <w:ind w:firstLine="480"/>
        <w:spacing w:line="360" w:lineRule="auto"/>
        <w:rPr>
          <w:rFonts w:ascii="宋体" w:hAnsi="宋体" w:cs="宋体"/>
          <w:sz w:val="24"/>
        </w:rPr>
      </w:pPr>
      <w:r>
        <w:rPr>
          <w:rFonts w:hint="eastAsia" w:ascii="宋体" w:hAnsi="宋体" w:cs="宋体"/>
          <w:sz w:val="24"/>
        </w:rPr>
        <w:t xml:space="preserve">4）小型机扫（洗扫、冲水）车不少于2辆（每天每车作业里程48公里）；</w:t>
      </w:r>
      <w:r/>
    </w:p>
    <w:p>
      <w:pPr>
        <w:ind w:firstLine="480"/>
        <w:spacing w:line="360" w:lineRule="auto"/>
        <w:rPr>
          <w:rFonts w:ascii="宋体" w:hAnsi="宋体" w:cs="宋体"/>
          <w:sz w:val="24"/>
        </w:rPr>
      </w:pPr>
      <w:r>
        <w:rPr>
          <w:rFonts w:hint="eastAsia" w:ascii="宋体" w:hAnsi="宋体" w:cs="宋体"/>
          <w:sz w:val="24"/>
        </w:rPr>
        <w:t xml:space="preserve">5）吸粪车（吸污车）（核定载质量≥1150kg）不少于2辆；</w:t>
      </w:r>
      <w:r/>
    </w:p>
    <w:p>
      <w:pPr>
        <w:ind w:firstLine="480"/>
        <w:spacing w:line="360" w:lineRule="auto"/>
        <w:rPr>
          <w:rFonts w:ascii="宋体" w:hAnsi="宋体" w:cs="宋体"/>
          <w:sz w:val="24"/>
        </w:rPr>
      </w:pPr>
      <w:r>
        <w:rPr>
          <w:rFonts w:hint="eastAsia" w:ascii="宋体" w:hAnsi="宋体" w:cs="宋体"/>
          <w:sz w:val="24"/>
        </w:rPr>
        <w:t xml:space="preserve">6）其他垃圾收集车（核定载质量≥3000kg）不少于7辆；</w:t>
      </w:r>
      <w:r/>
    </w:p>
    <w:p>
      <w:pPr>
        <w:ind w:firstLine="480"/>
        <w:spacing w:line="360" w:lineRule="auto"/>
        <w:rPr>
          <w:rFonts w:ascii="宋体" w:hAnsi="宋体" w:cs="宋体"/>
          <w:sz w:val="24"/>
        </w:rPr>
      </w:pPr>
      <w:r>
        <w:rPr>
          <w:rFonts w:hint="eastAsia" w:ascii="宋体" w:hAnsi="宋体" w:cs="宋体"/>
          <w:sz w:val="24"/>
        </w:rPr>
        <w:t xml:space="preserve">7）家庭厨余收集车（核定载质量≥3000kg）不少于1辆。</w:t>
      </w:r>
      <w:r/>
    </w:p>
    <w:p>
      <w:pPr>
        <w:ind w:firstLine="482"/>
        <w:spacing w:line="360" w:lineRule="auto"/>
        <w:rPr>
          <w:rFonts w:ascii="宋体" w:hAnsi="宋体" w:cs="宋体"/>
          <w:b/>
          <w:bCs/>
          <w:sz w:val="24"/>
        </w:rPr>
      </w:pPr>
      <w:r>
        <w:rPr>
          <w:rFonts w:hint="eastAsia" w:ascii="宋体" w:hAnsi="宋体" w:cs="宋体"/>
          <w:b/>
          <w:bCs/>
          <w:sz w:val="24"/>
        </w:rPr>
        <w:t xml:space="preserve">第三片区（蠡园街道）：</w:t>
      </w:r>
      <w:r/>
    </w:p>
    <w:p>
      <w:pPr>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1）机扫车（总质量≥18000kg）（每天每车作业里程70公里）不少于2辆；</w:t>
      </w:r>
      <w:r/>
    </w:p>
    <w:p>
      <w:pPr>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p>
    <w:p>
      <w:pPr>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3）高压冲水车（总质量≥18000kg）（最高清洗压力不少于9Mpa且配备前置喷水架，每天每车作业里程80公里）不少于2辆；</w:t>
      </w:r>
      <w:r/>
    </w:p>
    <w:p>
      <w:pPr>
        <w:ind w:firstLine="480"/>
        <w:spacing w:line="360" w:lineRule="auto"/>
        <w:rPr>
          <w:rFonts w:ascii="宋体" w:hAnsi="宋体" w:cs="宋体"/>
          <w:sz w:val="24"/>
        </w:rPr>
      </w:pPr>
      <w:r>
        <w:rPr>
          <w:rFonts w:hint="eastAsia" w:ascii="宋体" w:hAnsi="宋体" w:cs="宋体"/>
          <w:sz w:val="24"/>
        </w:rPr>
        <w:t xml:space="preserve">4）小型机扫（洗扫、冲水）车不少于1辆（每天每车作业里程48公里）；</w:t>
      </w:r>
      <w:r/>
    </w:p>
    <w:p>
      <w:pPr>
        <w:ind w:firstLine="480"/>
        <w:spacing w:line="360" w:lineRule="auto"/>
        <w:rPr>
          <w:rFonts w:ascii="宋体" w:hAnsi="宋体" w:cs="宋体"/>
          <w:sz w:val="24"/>
        </w:rPr>
      </w:pPr>
      <w:r>
        <w:rPr>
          <w:rFonts w:hint="eastAsia" w:ascii="宋体" w:hAnsi="宋体" w:cs="宋体"/>
          <w:sz w:val="24"/>
        </w:rPr>
        <w:t xml:space="preserve">5）吸粪车（吸污车）（核定载质量≥1150kg）不少于1辆；</w:t>
      </w:r>
      <w:r/>
    </w:p>
    <w:p>
      <w:pPr>
        <w:ind w:firstLine="480"/>
        <w:spacing w:line="360" w:lineRule="auto"/>
        <w:rPr>
          <w:rFonts w:ascii="宋体" w:hAnsi="宋体" w:cs="宋体"/>
          <w:sz w:val="24"/>
        </w:rPr>
      </w:pPr>
      <w:r>
        <w:rPr>
          <w:rFonts w:hint="eastAsia" w:ascii="宋体" w:hAnsi="宋体" w:cs="宋体"/>
          <w:sz w:val="24"/>
        </w:rPr>
        <w:t xml:space="preserve">6）其他垃圾收集车（核定载质量≥3000kg）不少于6辆；</w:t>
      </w:r>
      <w:r/>
    </w:p>
    <w:p>
      <w:pPr>
        <w:ind w:firstLine="480"/>
        <w:spacing w:line="360" w:lineRule="auto"/>
        <w:rPr>
          <w:rFonts w:ascii="宋体" w:hAnsi="宋体" w:cs="宋体"/>
          <w:sz w:val="24"/>
        </w:rPr>
      </w:pPr>
      <w:r>
        <w:rPr>
          <w:rFonts w:hint="eastAsia" w:ascii="宋体" w:hAnsi="宋体" w:cs="宋体"/>
          <w:sz w:val="24"/>
        </w:rPr>
        <w:t xml:space="preserve">7）家庭厨余收集车（核定载质量≥3000kg）不少于1辆。</w:t>
      </w:r>
      <w:r/>
    </w:p>
    <w:p>
      <w:pPr>
        <w:ind w:firstLine="482"/>
        <w:spacing w:line="360" w:lineRule="auto"/>
        <w:rPr>
          <w:rFonts w:ascii="宋体" w:hAnsi="宋体" w:cs="宋体"/>
          <w:b/>
          <w:bCs/>
          <w:sz w:val="24"/>
        </w:rPr>
      </w:pPr>
      <w:r>
        <w:rPr>
          <w:rFonts w:hint="eastAsia" w:ascii="宋体" w:hAnsi="宋体" w:cs="宋体"/>
          <w:b/>
          <w:bCs/>
          <w:sz w:val="24"/>
        </w:rPr>
        <w:t xml:space="preserve">第四片区（蠡湖街道）</w:t>
      </w:r>
      <w:r/>
    </w:p>
    <w:p>
      <w:pPr>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1）机扫车（总质量≥18000kg）（每天每车作业里程70公里）不少于2辆；</w:t>
      </w:r>
      <w:r/>
    </w:p>
    <w:p>
      <w:pPr>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p>
    <w:p>
      <w:pPr>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3）高压冲水车（总质量≥18000kg）（最高清洗压力不少于9Mpa且配备前置喷水架，每天每车作业里程80公里）不少于2辆；</w:t>
      </w:r>
      <w:r/>
    </w:p>
    <w:p>
      <w:pPr>
        <w:ind w:firstLine="480"/>
        <w:spacing w:line="360" w:lineRule="auto"/>
        <w:rPr>
          <w:rFonts w:ascii="宋体" w:hAnsi="宋体" w:cs="宋体"/>
          <w:sz w:val="24"/>
        </w:rPr>
      </w:pPr>
      <w:r>
        <w:rPr>
          <w:rFonts w:hint="eastAsia" w:ascii="宋体" w:hAnsi="宋体" w:cs="宋体"/>
          <w:sz w:val="24"/>
        </w:rPr>
        <w:t xml:space="preserve">4）小型机扫（洗扫、冲水）车不少于2辆（每天每车作业里程48公里）；</w:t>
      </w:r>
      <w:r/>
    </w:p>
    <w:p>
      <w:pPr>
        <w:ind w:firstLine="480"/>
        <w:spacing w:line="360" w:lineRule="auto"/>
        <w:rPr>
          <w:rFonts w:ascii="宋体" w:hAnsi="宋体" w:cs="宋体"/>
          <w:sz w:val="24"/>
        </w:rPr>
      </w:pPr>
      <w:r>
        <w:rPr>
          <w:rFonts w:hint="eastAsia" w:ascii="宋体" w:hAnsi="宋体" w:cs="宋体"/>
          <w:sz w:val="24"/>
        </w:rPr>
        <w:t xml:space="preserve">5）吸粪车（吸污车）（核定载质量≥1150kg）不少于2辆；</w:t>
      </w:r>
      <w:r/>
    </w:p>
    <w:p>
      <w:pPr>
        <w:ind w:firstLine="480"/>
        <w:spacing w:line="360" w:lineRule="auto"/>
        <w:rPr>
          <w:rFonts w:ascii="宋体" w:hAnsi="宋体" w:cs="宋体"/>
          <w:sz w:val="24"/>
        </w:rPr>
      </w:pPr>
      <w:r>
        <w:rPr>
          <w:rFonts w:hint="eastAsia" w:ascii="宋体" w:hAnsi="宋体" w:cs="宋体"/>
          <w:sz w:val="24"/>
        </w:rPr>
        <w:t xml:space="preserve">6）其他垃圾收集车（核定载质量≥3000kg）不少于8辆；</w:t>
      </w:r>
      <w:r/>
    </w:p>
    <w:p>
      <w:pPr>
        <w:ind w:firstLine="480"/>
        <w:spacing w:line="360" w:lineRule="auto"/>
        <w:rPr>
          <w:rFonts w:ascii="宋体" w:hAnsi="宋体" w:cs="宋体"/>
          <w:sz w:val="24"/>
        </w:rPr>
      </w:pPr>
      <w:r>
        <w:rPr>
          <w:rFonts w:hint="eastAsia" w:ascii="宋体" w:hAnsi="宋体" w:cs="宋体"/>
          <w:sz w:val="24"/>
        </w:rPr>
        <w:t xml:space="preserve">7）家庭厨余收集车（核定载质量≥3000kg）不少于1辆。</w:t>
      </w:r>
      <w:r/>
    </w:p>
    <w:p>
      <w:pPr>
        <w:ind w:firstLine="482"/>
        <w:spacing w:line="360" w:lineRule="auto"/>
        <w:rPr>
          <w:rFonts w:ascii="宋体" w:hAnsi="宋体" w:cs="宋体"/>
          <w:b/>
          <w:bCs/>
          <w:sz w:val="24"/>
        </w:rPr>
      </w:pPr>
      <w:r>
        <w:rPr>
          <w:rFonts w:hint="eastAsia" w:ascii="宋体" w:hAnsi="宋体" w:cs="宋体"/>
          <w:b/>
          <w:bCs/>
          <w:sz w:val="24"/>
        </w:rPr>
        <w:t xml:space="preserve">第五片区（雪浪街道）：</w:t>
      </w:r>
      <w:r/>
    </w:p>
    <w:p>
      <w:pPr>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1）机扫车（总质量≥18000kg）（每天每车作业里程70公里）不少于7辆；</w:t>
      </w:r>
      <w:r/>
    </w:p>
    <w:p>
      <w:pPr>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2）洗扫车（总质量≥18000kg）（每天每车作业里程55公里）不少于9辆；</w:t>
      </w:r>
      <w:r/>
    </w:p>
    <w:p>
      <w:pPr>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3）高压冲水车（总质量≥18000kg）（最高清洗压力不少于9Mpa且配备前置喷水架，每天每车作业里程80公里）不少于4辆；</w:t>
      </w:r>
      <w:r/>
    </w:p>
    <w:p>
      <w:pPr>
        <w:ind w:firstLine="480"/>
        <w:spacing w:line="360" w:lineRule="auto"/>
        <w:rPr>
          <w:rFonts w:ascii="宋体" w:hAnsi="宋体" w:cs="宋体"/>
          <w:sz w:val="24"/>
        </w:rPr>
      </w:pPr>
      <w:r>
        <w:rPr>
          <w:rFonts w:hint="eastAsia" w:ascii="宋体" w:hAnsi="宋体" w:cs="宋体"/>
          <w:sz w:val="24"/>
        </w:rPr>
        <w:t xml:space="preserve">4）吸粪车（吸污车）（核定载质量≥1150kg）不少于2辆；</w:t>
      </w:r>
      <w:r/>
    </w:p>
    <w:p>
      <w:pPr>
        <w:ind w:firstLine="480"/>
        <w:spacing w:line="360" w:lineRule="auto"/>
        <w:rPr>
          <w:rFonts w:ascii="宋体" w:hAnsi="宋体" w:cs="宋体"/>
          <w:sz w:val="24"/>
        </w:rPr>
      </w:pPr>
      <w:r>
        <w:rPr>
          <w:rFonts w:hint="eastAsia" w:ascii="宋体" w:hAnsi="宋体" w:cs="宋体"/>
          <w:sz w:val="24"/>
        </w:rPr>
        <w:t xml:space="preserve">5）其他垃圾收集车（核定载质量≥3000kg）不少于11辆；</w:t>
      </w:r>
      <w:r/>
    </w:p>
    <w:p>
      <w:pPr>
        <w:ind w:firstLine="480"/>
        <w:spacing w:line="360" w:lineRule="auto"/>
        <w:rPr>
          <w:rFonts w:ascii="宋体" w:hAnsi="宋体" w:cs="宋体"/>
          <w:sz w:val="24"/>
        </w:rPr>
      </w:pPr>
      <w:r>
        <w:rPr>
          <w:rFonts w:hint="eastAsia" w:ascii="宋体" w:hAnsi="宋体" w:cs="宋体"/>
          <w:sz w:val="24"/>
        </w:rPr>
        <w:t xml:space="preserve">6）家庭厨余收集车（核定载质量≥3000kg）不少于1辆。</w:t>
      </w:r>
      <w:r/>
    </w:p>
    <w:p>
      <w:pPr>
        <w:ind w:firstLine="482"/>
        <w:spacing w:line="360" w:lineRule="auto"/>
        <w:rPr>
          <w:rFonts w:ascii="宋体" w:hAnsi="宋体" w:cs="宋体"/>
          <w:b/>
          <w:bCs/>
          <w:sz w:val="24"/>
        </w:rPr>
      </w:pPr>
      <w:r>
        <w:rPr>
          <w:rFonts w:hint="eastAsia" w:ascii="宋体" w:hAnsi="宋体" w:cs="宋体"/>
          <w:b/>
          <w:bCs/>
          <w:sz w:val="24"/>
        </w:rPr>
        <w:t xml:space="preserve">第六片区（胡埭镇）：</w:t>
      </w:r>
      <w:r/>
    </w:p>
    <w:p>
      <w:pPr>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1）机扫车（总质量≥18000kg）（每天每车作业里程70公里）不少于5辆；</w:t>
      </w:r>
      <w:r/>
    </w:p>
    <w:p>
      <w:pPr>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2）洗扫车（总质量≥18000kg）（每天每车作业里程55公里）不少于7辆；</w:t>
      </w:r>
      <w:r/>
    </w:p>
    <w:p>
      <w:pPr>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3）高压冲水车（总质量≥18000kg）（最高清洗压力不少于9Mpa且配备前置喷水架，每天每车作业里程80公里）不少于4辆；</w:t>
      </w:r>
      <w:r/>
    </w:p>
    <w:p>
      <w:pPr>
        <w:ind w:firstLine="480"/>
        <w:spacing w:line="360" w:lineRule="auto"/>
        <w:rPr>
          <w:rFonts w:ascii="宋体" w:hAnsi="宋体" w:cs="宋体"/>
          <w:sz w:val="24"/>
        </w:rPr>
      </w:pPr>
      <w:r>
        <w:rPr>
          <w:rFonts w:hint="eastAsia" w:ascii="宋体" w:hAnsi="宋体" w:cs="宋体"/>
          <w:sz w:val="24"/>
        </w:rPr>
        <w:t xml:space="preserve">4）小型机扫（洗扫、冲水）车不少于1辆（每天每车作业里程48公里）；</w:t>
      </w:r>
      <w:r/>
    </w:p>
    <w:p>
      <w:pPr>
        <w:ind w:firstLine="480"/>
        <w:spacing w:line="360" w:lineRule="auto"/>
        <w:rPr>
          <w:rFonts w:ascii="宋体" w:hAnsi="宋体" w:cs="宋体"/>
          <w:sz w:val="24"/>
        </w:rPr>
      </w:pPr>
      <w:r>
        <w:rPr>
          <w:rFonts w:hint="eastAsia" w:ascii="宋体" w:hAnsi="宋体" w:cs="宋体"/>
          <w:sz w:val="24"/>
        </w:rPr>
        <w:t xml:space="preserve">5）吸粪车（吸污车）（核定载质量≥1150kg）不少于1辆；</w:t>
      </w:r>
      <w:r/>
    </w:p>
    <w:p>
      <w:pPr>
        <w:ind w:firstLine="480"/>
        <w:spacing w:line="360" w:lineRule="auto"/>
        <w:rPr>
          <w:rFonts w:ascii="宋体" w:hAnsi="宋体" w:cs="宋体"/>
          <w:sz w:val="24"/>
        </w:rPr>
      </w:pPr>
      <w:r>
        <w:rPr>
          <w:rFonts w:hint="eastAsia" w:ascii="宋体" w:hAnsi="宋体" w:cs="宋体"/>
          <w:sz w:val="24"/>
        </w:rPr>
        <w:t xml:space="preserve">6）其他垃圾收集车（核定载质量≥3000kg）不少于6辆；</w:t>
      </w:r>
      <w:r/>
    </w:p>
    <w:p>
      <w:pPr>
        <w:ind w:firstLine="480"/>
        <w:spacing w:line="360" w:lineRule="auto"/>
        <w:rPr>
          <w:rFonts w:ascii="宋体" w:hAnsi="宋体" w:cs="宋体"/>
          <w:sz w:val="24"/>
        </w:rPr>
      </w:pPr>
      <w:r>
        <w:rPr>
          <w:rFonts w:hint="eastAsia" w:ascii="宋体" w:hAnsi="宋体" w:cs="宋体"/>
          <w:sz w:val="24"/>
        </w:rPr>
        <w:t xml:space="preserve">7）家庭厨余收集车（核定载质量≥3000kg）不少于1辆。</w:t>
      </w:r>
      <w:r/>
    </w:p>
    <w:p>
      <w:pPr>
        <w:ind w:firstLine="482"/>
        <w:spacing w:line="360" w:lineRule="auto"/>
        <w:rPr>
          <w:rFonts w:ascii="宋体" w:hAnsi="宋体" w:cs="宋体"/>
          <w:b/>
          <w:bCs/>
          <w:sz w:val="24"/>
        </w:rPr>
      </w:pPr>
      <w:r>
        <w:rPr>
          <w:rFonts w:hint="eastAsia" w:ascii="宋体" w:hAnsi="宋体" w:cs="宋体"/>
          <w:b/>
          <w:bCs/>
          <w:sz w:val="24"/>
        </w:rPr>
        <w:t xml:space="preserve">第七片区（马山街道）：</w:t>
      </w:r>
      <w:r/>
    </w:p>
    <w:p>
      <w:pPr>
        <w:ind w:firstLine="480"/>
        <w:spacing w:line="360" w:lineRule="auto"/>
        <w:rPr>
          <w:rFonts w:ascii="宋体" w:hAnsi="宋体" w:cs="宋体"/>
          <w:sz w:val="24"/>
        </w:rPr>
      </w:pPr>
      <w:r>
        <w:rPr>
          <w:rFonts w:hint="eastAsia" w:ascii="宋体" w:hAnsi="宋体" w:cs="宋体"/>
          <w:sz w:val="24"/>
        </w:rPr>
        <w:t xml:space="preserve">1）机扫车（总质量≥18000kg）（每天每车作业里程70公里）不少于4辆；</w:t>
      </w:r>
      <w:r/>
    </w:p>
    <w:p>
      <w:pPr>
        <w:ind w:firstLine="480"/>
        <w:spacing w:line="360" w:lineRule="auto"/>
        <w:rPr>
          <w:rFonts w:ascii="宋体" w:hAnsi="宋体" w:cs="宋体"/>
          <w:sz w:val="24"/>
        </w:rPr>
      </w:pPr>
      <w:r>
        <w:rPr>
          <w:rFonts w:hint="eastAsia" w:ascii="宋体" w:hAnsi="宋体" w:cs="宋体"/>
          <w:sz w:val="24"/>
        </w:rPr>
        <w:t xml:space="preserve">2）洗扫车（总质量≥18000kg）（每天每车作业里程55公里）不少于4辆；</w:t>
      </w:r>
      <w:r/>
    </w:p>
    <w:p>
      <w:pPr>
        <w:ind w:firstLine="480"/>
        <w:spacing w:line="360" w:lineRule="auto"/>
        <w:rPr>
          <w:rFonts w:ascii="宋体" w:hAnsi="宋体" w:cs="宋体"/>
          <w:sz w:val="24"/>
        </w:rPr>
      </w:pPr>
      <w:r>
        <w:rPr>
          <w:rFonts w:hint="eastAsia" w:ascii="宋体" w:hAnsi="宋体" w:cs="宋体"/>
          <w:sz w:val="24"/>
        </w:rPr>
        <w:t xml:space="preserve">3）高压冲水车（总质量≥18000kg）（最高清洗压力不少于9Mpa且配备前置喷水架，每天每车作业里程80公里）不少于3辆；</w:t>
      </w:r>
      <w:r/>
    </w:p>
    <w:p>
      <w:pPr>
        <w:ind w:firstLine="480"/>
        <w:spacing w:line="360" w:lineRule="auto"/>
        <w:rPr>
          <w:rFonts w:ascii="宋体" w:hAnsi="宋体" w:cs="宋体"/>
          <w:sz w:val="24"/>
        </w:rPr>
      </w:pPr>
      <w:r>
        <w:rPr>
          <w:rFonts w:hint="eastAsia" w:ascii="宋体" w:hAnsi="宋体" w:cs="宋体"/>
          <w:sz w:val="24"/>
        </w:rPr>
        <w:t xml:space="preserve">4）吸粪车（吸污车）（核定载质量≥1150kg）不少于1辆；</w:t>
      </w:r>
      <w:r/>
    </w:p>
    <w:p>
      <w:pPr>
        <w:ind w:firstLine="480"/>
        <w:spacing w:line="360" w:lineRule="auto"/>
        <w:rPr>
          <w:rFonts w:ascii="宋体" w:hAnsi="宋体" w:cs="宋体"/>
          <w:sz w:val="24"/>
        </w:rPr>
      </w:pPr>
      <w:r>
        <w:rPr>
          <w:rFonts w:hint="eastAsia" w:ascii="宋体" w:hAnsi="宋体" w:cs="宋体"/>
          <w:sz w:val="24"/>
        </w:rPr>
        <w:t xml:space="preserve">5）其他垃圾收集车（核定载质量≥3000kg）不少于4辆；</w:t>
      </w:r>
      <w:r/>
    </w:p>
    <w:p>
      <w:pPr>
        <w:ind w:firstLine="480"/>
        <w:spacing w:line="360" w:lineRule="auto"/>
        <w:rPr>
          <w:rFonts w:ascii="宋体" w:hAnsi="宋体" w:cs="宋体"/>
          <w:sz w:val="24"/>
        </w:rPr>
      </w:pPr>
      <w:r>
        <w:rPr>
          <w:rFonts w:hint="eastAsia" w:ascii="宋体" w:hAnsi="宋体" w:cs="宋体"/>
          <w:sz w:val="24"/>
        </w:rPr>
        <w:t xml:space="preserve">6）家庭厨余收集车（核定载质量≥3000kg）不少于1辆。</w:t>
      </w:r>
      <w:r/>
    </w:p>
    <w:p>
      <w:pPr>
        <w:ind w:firstLine="480"/>
        <w:spacing w:line="360" w:lineRule="auto"/>
        <w:rPr>
          <w:rFonts w:ascii="宋体" w:hAnsi="宋体"/>
          <w:b/>
          <w:bCs/>
          <w:sz w:val="24"/>
          <w:shd w:val="clear" w:color="auto" w:fill="ffffff"/>
        </w:rPr>
      </w:pPr>
      <w:r>
        <w:rPr>
          <w:rFonts w:hint="eastAsia" w:ascii="宋体" w:hAnsi="宋体"/>
          <w:b/>
          <w:bCs/>
          <w:sz w:val="24"/>
          <w:shd w:val="clear" w:color="auto" w:fill="ffffff"/>
        </w:rPr>
        <w:t xml:space="preserve">2.我公司承诺拟配备符合本项目环卫综合保洁要求的从业人员和一定数量的管理人员如下：</w:t>
      </w:r>
      <w:r/>
    </w:p>
    <w:p>
      <w:pPr>
        <w:ind w:firstLine="424"/>
        <w:jc w:val="left"/>
        <w:spacing w:line="360" w:lineRule="auto"/>
        <w:rPr>
          <w:rFonts w:ascii="宋体" w:hAnsi="宋体"/>
          <w:bCs/>
          <w:sz w:val="24"/>
        </w:rPr>
      </w:pPr>
      <w:r>
        <w:rPr>
          <w:rFonts w:hint="eastAsia" w:ascii="宋体" w:hAnsi="宋体"/>
          <w:bCs/>
          <w:sz w:val="24"/>
        </w:rPr>
        <w:t xml:space="preserve">本项目最低配备总人数不少于1389人员，其中至少包含总项目负责人1名，专项服务小组人员不少于3人，24小时公厕巡查人员不少于6人。各片区单独设置最低人员配置，具体如下：</w:t>
      </w:r>
      <w:r/>
    </w:p>
    <w:p>
      <w:pPr>
        <w:ind w:firstLine="482"/>
        <w:spacing w:line="360" w:lineRule="auto"/>
        <w:rPr>
          <w:rFonts w:ascii="宋体" w:hAnsi="宋体" w:cs="宋体"/>
          <w:b/>
          <w:bCs/>
          <w:sz w:val="24"/>
        </w:rPr>
      </w:pPr>
      <w:r>
        <w:rPr>
          <w:rFonts w:hint="eastAsia" w:ascii="宋体" w:hAnsi="宋体" w:cs="宋体"/>
          <w:b/>
          <w:bCs/>
          <w:sz w:val="24"/>
        </w:rPr>
        <w:t xml:space="preserve">第一片区（河埒街道（梁溪河北）、河埒街道（梁溪河南））：</w:t>
      </w:r>
      <w:r/>
    </w:p>
    <w:p>
      <w:pPr>
        <w:ind w:firstLine="480"/>
        <w:spacing w:line="360" w:lineRule="auto"/>
        <w:rPr>
          <w:rFonts w:ascii="宋体" w:hAnsi="宋体" w:cs="宋体"/>
          <w:sz w:val="24"/>
        </w:rPr>
      </w:pPr>
      <w:r>
        <w:rPr>
          <w:rFonts w:hint="eastAsia" w:ascii="宋体" w:hAnsi="宋体" w:cs="宋体"/>
          <w:sz w:val="24"/>
        </w:rPr>
        <w:t xml:space="preserve">1）片区负责人1人；</w:t>
      </w:r>
      <w:r/>
    </w:p>
    <w:p>
      <w:pPr>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保洁人员不少于97人；</w:t>
      </w:r>
      <w:r/>
    </w:p>
    <w:p>
      <w:pPr>
        <w:ind w:firstLine="480"/>
        <w:spacing w:line="360" w:lineRule="auto"/>
        <w:rPr>
          <w:rFonts w:ascii="宋体" w:hAnsi="宋体" w:cs="宋体"/>
          <w:sz w:val="24"/>
        </w:rPr>
      </w:pPr>
      <w:r>
        <w:rPr>
          <w:rFonts w:hint="eastAsia" w:ascii="宋体" w:hAnsi="宋体" w:cs="宋体"/>
          <w:sz w:val="24"/>
        </w:rPr>
        <w:t xml:space="preserve">3）公厕管养人员不少于43人；</w:t>
      </w:r>
      <w:r/>
    </w:p>
    <w:p>
      <w:pPr>
        <w:ind w:firstLine="480"/>
        <w:spacing w:line="360" w:lineRule="auto"/>
        <w:rPr>
          <w:rFonts w:ascii="宋体" w:hAnsi="宋体" w:cs="宋体"/>
          <w:sz w:val="24"/>
        </w:rPr>
      </w:pPr>
      <w:r>
        <w:rPr>
          <w:rFonts w:hint="eastAsia" w:ascii="宋体" w:hAnsi="宋体" w:cs="宋体"/>
          <w:sz w:val="24"/>
        </w:rPr>
        <w:t xml:space="preserve">4）机械化作业人员不少于8人；</w:t>
      </w:r>
      <w:r/>
    </w:p>
    <w:p>
      <w:pPr>
        <w:ind w:firstLine="480"/>
        <w:spacing w:line="360" w:lineRule="auto"/>
        <w:rPr>
          <w:rFonts w:ascii="宋体" w:hAnsi="宋体" w:cs="宋体"/>
          <w:sz w:val="24"/>
        </w:rPr>
      </w:pPr>
      <w:r>
        <w:rPr>
          <w:rFonts w:hint="eastAsia" w:ascii="宋体" w:hAnsi="宋体" w:cs="宋体"/>
          <w:sz w:val="24"/>
        </w:rPr>
        <w:t xml:space="preserve">5）化粪池清坑人员不少于10人；</w:t>
      </w:r>
      <w:r/>
    </w:p>
    <w:p>
      <w:pPr>
        <w:ind w:firstLine="480"/>
        <w:spacing w:line="360" w:lineRule="auto"/>
        <w:rPr>
          <w:rFonts w:ascii="宋体" w:hAnsi="宋体" w:cs="宋体"/>
          <w:sz w:val="24"/>
        </w:rPr>
      </w:pPr>
      <w:r>
        <w:rPr>
          <w:rFonts w:hint="eastAsia" w:ascii="宋体" w:hAnsi="宋体" w:cs="宋体"/>
          <w:sz w:val="24"/>
        </w:rPr>
        <w:t xml:space="preserve">6）其他垃圾收运人数不少于26人；</w:t>
      </w:r>
      <w:r/>
    </w:p>
    <w:p>
      <w:pPr>
        <w:ind w:firstLine="480"/>
        <w:spacing w:line="360" w:lineRule="auto"/>
        <w:rPr>
          <w:rFonts w:ascii="宋体" w:hAnsi="宋体" w:cs="宋体"/>
          <w:sz w:val="24"/>
        </w:rPr>
      </w:pPr>
      <w:r>
        <w:rPr>
          <w:rFonts w:hint="eastAsia" w:ascii="宋体" w:hAnsi="宋体" w:cs="宋体"/>
          <w:sz w:val="24"/>
        </w:rPr>
        <w:t xml:space="preserve">7）家庭厨余收运人数不少于4人。</w:t>
      </w:r>
      <w:r/>
    </w:p>
    <w:p>
      <w:pPr>
        <w:ind w:firstLine="482"/>
        <w:spacing w:line="360" w:lineRule="auto"/>
        <w:rPr>
          <w:rFonts w:ascii="宋体" w:hAnsi="宋体" w:cs="宋体"/>
          <w:b/>
          <w:bCs/>
          <w:sz w:val="24"/>
        </w:rPr>
      </w:pPr>
      <w:r>
        <w:rPr>
          <w:rFonts w:hint="eastAsia" w:ascii="宋体" w:hAnsi="宋体" w:cs="宋体"/>
          <w:b/>
          <w:bCs/>
          <w:sz w:val="24"/>
        </w:rPr>
        <w:t xml:space="preserve">第二片区（荣巷街道）：</w:t>
      </w:r>
      <w:r/>
    </w:p>
    <w:p>
      <w:pPr>
        <w:ind w:firstLine="480"/>
        <w:spacing w:line="360" w:lineRule="auto"/>
        <w:rPr>
          <w:rFonts w:ascii="宋体" w:hAnsi="宋体" w:cs="宋体"/>
          <w:sz w:val="24"/>
        </w:rPr>
      </w:pPr>
      <w:r>
        <w:rPr>
          <w:rFonts w:hint="eastAsia" w:ascii="宋体" w:hAnsi="宋体" w:cs="宋体"/>
          <w:sz w:val="24"/>
        </w:rPr>
        <w:t xml:space="preserve">1）片区负责人1人；</w:t>
      </w:r>
      <w:r/>
    </w:p>
    <w:p>
      <w:pPr>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w:t>
      </w:r>
      <w:r>
        <w:rPr>
          <w:rFonts w:ascii="宋体" w:hAnsi="宋体" w:cs="宋体"/>
          <w:sz w:val="24"/>
        </w:rPr>
        <w:t xml:space="preserve">不少于</w:t>
      </w:r>
      <w:r>
        <w:rPr>
          <w:rFonts w:hint="eastAsia" w:ascii="宋体" w:hAnsi="宋体" w:cs="宋体"/>
          <w:sz w:val="24"/>
        </w:rPr>
        <w:t xml:space="preserve">94人；</w:t>
      </w:r>
      <w:r/>
    </w:p>
    <w:p>
      <w:pPr>
        <w:ind w:firstLine="480"/>
        <w:spacing w:line="360" w:lineRule="auto"/>
        <w:rPr>
          <w:rFonts w:ascii="宋体" w:hAnsi="宋体" w:cs="宋体"/>
          <w:sz w:val="24"/>
        </w:rPr>
      </w:pPr>
      <w:r>
        <w:rPr>
          <w:rFonts w:hint="eastAsia" w:ascii="宋体" w:hAnsi="宋体" w:cs="宋体"/>
          <w:sz w:val="24"/>
        </w:rPr>
        <w:t xml:space="preserve">3）公厕管养人员不少于31人；</w:t>
      </w:r>
      <w:r/>
    </w:p>
    <w:p>
      <w:pPr>
        <w:ind w:firstLine="480"/>
        <w:spacing w:line="360" w:lineRule="auto"/>
        <w:rPr>
          <w:rFonts w:ascii="宋体" w:hAnsi="宋体" w:cs="宋体"/>
          <w:sz w:val="24"/>
        </w:rPr>
      </w:pPr>
      <w:r>
        <w:rPr>
          <w:rFonts w:hint="eastAsia" w:ascii="宋体" w:hAnsi="宋体" w:cs="宋体"/>
          <w:sz w:val="24"/>
        </w:rPr>
        <w:t xml:space="preserve">4）机械化作业人员不少于10人；</w:t>
      </w:r>
      <w:r/>
    </w:p>
    <w:p>
      <w:pPr>
        <w:ind w:firstLine="480"/>
        <w:spacing w:line="360" w:lineRule="auto"/>
        <w:rPr>
          <w:rFonts w:ascii="宋体" w:hAnsi="宋体" w:cs="宋体"/>
          <w:sz w:val="24"/>
        </w:rPr>
      </w:pPr>
      <w:r>
        <w:rPr>
          <w:rFonts w:hint="eastAsia" w:ascii="宋体" w:hAnsi="宋体" w:cs="宋体"/>
          <w:sz w:val="24"/>
        </w:rPr>
        <w:t xml:space="preserve">5）化粪池清坑人员不少于4人；</w:t>
      </w:r>
      <w:r/>
    </w:p>
    <w:p>
      <w:pPr>
        <w:ind w:firstLine="480"/>
        <w:spacing w:line="360" w:lineRule="auto"/>
        <w:rPr>
          <w:rFonts w:ascii="宋体" w:hAnsi="宋体" w:cs="宋体"/>
          <w:sz w:val="24"/>
        </w:rPr>
      </w:pPr>
      <w:r>
        <w:rPr>
          <w:rFonts w:hint="eastAsia" w:ascii="宋体" w:hAnsi="宋体" w:cs="宋体"/>
          <w:sz w:val="24"/>
        </w:rPr>
        <w:t xml:space="preserve">6）其他垃圾收运人员不少于14人；</w:t>
      </w:r>
      <w:r/>
    </w:p>
    <w:p>
      <w:pPr>
        <w:ind w:firstLine="480"/>
        <w:spacing w:line="360" w:lineRule="auto"/>
        <w:rPr>
          <w:rFonts w:ascii="宋体" w:hAnsi="宋体" w:cs="宋体"/>
          <w:sz w:val="24"/>
        </w:rPr>
      </w:pPr>
      <w:r>
        <w:rPr>
          <w:rFonts w:hint="eastAsia" w:ascii="宋体" w:hAnsi="宋体" w:cs="宋体"/>
          <w:sz w:val="24"/>
        </w:rPr>
        <w:t xml:space="preserve">7）家庭厨余收运人数不少于2人。</w:t>
      </w:r>
      <w:r/>
    </w:p>
    <w:p>
      <w:pPr>
        <w:ind w:firstLine="482"/>
        <w:spacing w:line="360" w:lineRule="auto"/>
        <w:rPr>
          <w:rFonts w:ascii="宋体" w:hAnsi="宋体" w:cs="宋体"/>
          <w:b/>
          <w:bCs/>
          <w:sz w:val="24"/>
        </w:rPr>
      </w:pPr>
      <w:r>
        <w:rPr>
          <w:rFonts w:hint="eastAsia" w:ascii="宋体" w:hAnsi="宋体" w:cs="宋体"/>
          <w:b/>
          <w:bCs/>
          <w:sz w:val="24"/>
        </w:rPr>
        <w:t xml:space="preserve">第三片区（蠡园街道）：</w:t>
      </w:r>
      <w:r/>
    </w:p>
    <w:p>
      <w:pPr>
        <w:ind w:firstLine="480"/>
        <w:spacing w:line="360" w:lineRule="auto"/>
        <w:rPr>
          <w:rFonts w:ascii="宋体" w:hAnsi="宋体" w:cs="宋体"/>
          <w:sz w:val="24"/>
        </w:rPr>
      </w:pPr>
      <w:r>
        <w:rPr>
          <w:rFonts w:hint="eastAsia" w:ascii="宋体" w:hAnsi="宋体" w:cs="宋体"/>
          <w:sz w:val="24"/>
        </w:rPr>
        <w:t xml:space="preserve">1）片区负责人1人；</w:t>
      </w:r>
      <w:r/>
    </w:p>
    <w:p>
      <w:pPr>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保洁人员不少于75人；</w:t>
      </w:r>
      <w:r/>
    </w:p>
    <w:p>
      <w:pPr>
        <w:ind w:firstLine="480"/>
        <w:spacing w:line="360" w:lineRule="auto"/>
        <w:rPr>
          <w:rFonts w:ascii="宋体" w:hAnsi="宋体" w:cs="宋体"/>
          <w:sz w:val="24"/>
        </w:rPr>
      </w:pPr>
      <w:r>
        <w:rPr>
          <w:rFonts w:hint="eastAsia" w:ascii="宋体" w:hAnsi="宋体" w:cs="宋体"/>
          <w:sz w:val="24"/>
        </w:rPr>
        <w:t xml:space="preserve">3）公厕管养人员不少于14人；</w:t>
      </w:r>
      <w:r/>
    </w:p>
    <w:p>
      <w:pPr>
        <w:ind w:firstLine="480"/>
        <w:spacing w:line="360" w:lineRule="auto"/>
        <w:rPr>
          <w:rFonts w:ascii="宋体" w:hAnsi="宋体" w:cs="宋体"/>
          <w:sz w:val="24"/>
        </w:rPr>
      </w:pPr>
      <w:r>
        <w:rPr>
          <w:rFonts w:hint="eastAsia" w:ascii="宋体" w:hAnsi="宋体" w:cs="宋体"/>
          <w:sz w:val="24"/>
        </w:rPr>
        <w:t xml:space="preserve">4）机械化作业人员不少于9人；</w:t>
      </w:r>
      <w:r/>
    </w:p>
    <w:p>
      <w:pPr>
        <w:ind w:firstLine="480"/>
        <w:spacing w:line="360" w:lineRule="auto"/>
        <w:rPr>
          <w:rFonts w:ascii="宋体" w:hAnsi="宋体" w:cs="宋体"/>
          <w:sz w:val="24"/>
        </w:rPr>
      </w:pPr>
      <w:r>
        <w:rPr>
          <w:rFonts w:hint="eastAsia" w:ascii="宋体" w:hAnsi="宋体" w:cs="宋体"/>
          <w:sz w:val="24"/>
        </w:rPr>
        <w:t xml:space="preserve">5）化粪池清坑人员不少于2人；</w:t>
      </w:r>
      <w:r/>
    </w:p>
    <w:p>
      <w:pPr>
        <w:ind w:firstLine="480"/>
        <w:spacing w:line="360" w:lineRule="auto"/>
        <w:rPr>
          <w:rFonts w:ascii="宋体" w:hAnsi="宋体" w:cs="宋体"/>
          <w:sz w:val="24"/>
        </w:rPr>
      </w:pPr>
      <w:r>
        <w:rPr>
          <w:rFonts w:hint="eastAsia" w:ascii="宋体" w:hAnsi="宋体" w:cs="宋体"/>
          <w:sz w:val="24"/>
        </w:rPr>
        <w:t xml:space="preserve">6）其他垃圾收运人员不少于12人；</w:t>
      </w:r>
      <w:r/>
    </w:p>
    <w:p>
      <w:pPr>
        <w:ind w:firstLine="480"/>
        <w:spacing w:line="360" w:lineRule="auto"/>
        <w:rPr>
          <w:rFonts w:ascii="宋体" w:hAnsi="宋体" w:cs="宋体"/>
          <w:sz w:val="24"/>
        </w:rPr>
      </w:pPr>
      <w:r>
        <w:rPr>
          <w:rFonts w:hint="eastAsia" w:ascii="宋体" w:hAnsi="宋体" w:cs="宋体"/>
          <w:sz w:val="24"/>
        </w:rPr>
        <w:t xml:space="preserve">7）家庭厨余收运人数不少于2人。</w:t>
      </w:r>
      <w:r/>
    </w:p>
    <w:p>
      <w:pPr>
        <w:ind w:firstLine="482"/>
        <w:spacing w:line="360" w:lineRule="auto"/>
        <w:rPr>
          <w:rFonts w:ascii="宋体" w:hAnsi="宋体" w:cs="宋体"/>
          <w:b/>
          <w:bCs/>
          <w:sz w:val="24"/>
        </w:rPr>
      </w:pPr>
      <w:r>
        <w:rPr>
          <w:rFonts w:hint="eastAsia" w:ascii="宋体" w:hAnsi="宋体" w:cs="宋体"/>
          <w:b/>
          <w:bCs/>
          <w:sz w:val="24"/>
        </w:rPr>
        <w:t xml:space="preserve">第四片区（蠡湖街道）：</w:t>
      </w:r>
      <w:r/>
    </w:p>
    <w:p>
      <w:pPr>
        <w:ind w:firstLine="480"/>
        <w:spacing w:line="360" w:lineRule="auto"/>
        <w:rPr>
          <w:rFonts w:ascii="宋体" w:hAnsi="宋体" w:cs="宋体"/>
          <w:sz w:val="24"/>
        </w:rPr>
      </w:pPr>
      <w:r>
        <w:rPr>
          <w:rFonts w:hint="eastAsia" w:ascii="宋体" w:hAnsi="宋体" w:cs="宋体"/>
          <w:sz w:val="24"/>
        </w:rPr>
        <w:t xml:space="preserve">1）片区负责人1人；</w:t>
      </w:r>
      <w:r/>
    </w:p>
    <w:p>
      <w:pPr>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保洁人员不少于95人；</w:t>
      </w:r>
      <w:r/>
    </w:p>
    <w:p>
      <w:pPr>
        <w:ind w:firstLine="480"/>
        <w:spacing w:line="360" w:lineRule="auto"/>
        <w:rPr>
          <w:rFonts w:ascii="宋体" w:hAnsi="宋体" w:cs="宋体"/>
          <w:sz w:val="24"/>
        </w:rPr>
      </w:pPr>
      <w:r>
        <w:rPr>
          <w:rFonts w:hint="eastAsia" w:ascii="宋体" w:hAnsi="宋体" w:cs="宋体"/>
          <w:sz w:val="24"/>
        </w:rPr>
        <w:t xml:space="preserve">3）公厕管养人员不少于18人；</w:t>
      </w:r>
      <w:r/>
    </w:p>
    <w:p>
      <w:pPr>
        <w:ind w:firstLine="480"/>
        <w:spacing w:line="360" w:lineRule="auto"/>
        <w:rPr>
          <w:rFonts w:ascii="宋体" w:hAnsi="宋体" w:cs="宋体"/>
          <w:sz w:val="24"/>
        </w:rPr>
      </w:pPr>
      <w:r>
        <w:rPr>
          <w:rFonts w:hint="eastAsia" w:ascii="宋体" w:hAnsi="宋体" w:cs="宋体"/>
          <w:sz w:val="24"/>
        </w:rPr>
        <w:t xml:space="preserve">4）机械化作业人员不少于10人；</w:t>
      </w:r>
      <w:r/>
    </w:p>
    <w:p>
      <w:pPr>
        <w:ind w:firstLine="480"/>
        <w:spacing w:line="360" w:lineRule="auto"/>
        <w:rPr>
          <w:rFonts w:ascii="宋体" w:hAnsi="宋体" w:cs="宋体"/>
          <w:sz w:val="24"/>
        </w:rPr>
      </w:pPr>
      <w:r>
        <w:rPr>
          <w:rFonts w:hint="eastAsia" w:ascii="宋体" w:hAnsi="宋体" w:cs="宋体"/>
          <w:sz w:val="24"/>
        </w:rPr>
        <w:t xml:space="preserve">5）化粪池清坑人员不少于4人；</w:t>
      </w:r>
      <w:r/>
    </w:p>
    <w:p>
      <w:pPr>
        <w:ind w:firstLine="480"/>
        <w:spacing w:line="360" w:lineRule="auto"/>
        <w:rPr>
          <w:rFonts w:ascii="宋体" w:hAnsi="宋体" w:cs="宋体"/>
          <w:sz w:val="24"/>
        </w:rPr>
      </w:pPr>
      <w:r>
        <w:rPr>
          <w:rFonts w:hint="eastAsia" w:ascii="宋体" w:hAnsi="宋体" w:cs="宋体"/>
          <w:sz w:val="24"/>
        </w:rPr>
        <w:t xml:space="preserve">6）其他垃圾收运人员不少于16人；</w:t>
      </w:r>
      <w:r/>
    </w:p>
    <w:p>
      <w:pPr>
        <w:ind w:firstLine="480"/>
        <w:spacing w:line="360" w:lineRule="auto"/>
        <w:rPr>
          <w:rFonts w:ascii="宋体" w:hAnsi="宋体" w:cs="宋体"/>
          <w:sz w:val="24"/>
        </w:rPr>
      </w:pPr>
      <w:r>
        <w:rPr>
          <w:rFonts w:hint="eastAsia" w:ascii="宋体" w:hAnsi="宋体" w:cs="宋体"/>
          <w:sz w:val="24"/>
        </w:rPr>
        <w:t xml:space="preserve">7）家庭厨余收运人数不少于2人。</w:t>
      </w:r>
      <w:r/>
    </w:p>
    <w:p>
      <w:pPr>
        <w:ind w:firstLine="482"/>
        <w:spacing w:line="360" w:lineRule="auto"/>
        <w:rPr>
          <w:rFonts w:ascii="宋体" w:hAnsi="宋体" w:cs="宋体"/>
          <w:b/>
          <w:bCs/>
          <w:sz w:val="24"/>
        </w:rPr>
      </w:pPr>
      <w:r>
        <w:rPr>
          <w:rFonts w:hint="eastAsia" w:ascii="宋体" w:hAnsi="宋体" w:cs="宋体"/>
          <w:b/>
          <w:bCs/>
          <w:sz w:val="24"/>
        </w:rPr>
        <w:t xml:space="preserve">第五片区（雪浪街道）：</w:t>
      </w:r>
      <w:r/>
    </w:p>
    <w:p>
      <w:pPr>
        <w:ind w:firstLine="480"/>
        <w:spacing w:line="360" w:lineRule="auto"/>
        <w:rPr>
          <w:rFonts w:ascii="宋体" w:hAnsi="宋体" w:cs="宋体"/>
          <w:sz w:val="24"/>
        </w:rPr>
      </w:pPr>
      <w:r>
        <w:rPr>
          <w:rFonts w:hint="eastAsia" w:ascii="宋体" w:hAnsi="宋体" w:cs="宋体"/>
          <w:sz w:val="24"/>
        </w:rPr>
        <w:t xml:space="preserve">1）片区负责人1人；</w:t>
      </w:r>
      <w:r/>
    </w:p>
    <w:p>
      <w:pPr>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w:t>
      </w:r>
      <w:r>
        <w:rPr>
          <w:rFonts w:ascii="宋体" w:hAnsi="宋体" w:cs="宋体"/>
          <w:sz w:val="24"/>
        </w:rPr>
        <w:t xml:space="preserve">不少于</w:t>
      </w:r>
      <w:r>
        <w:rPr>
          <w:rFonts w:hint="eastAsia" w:ascii="宋体" w:hAnsi="宋体" w:cs="宋体"/>
          <w:sz w:val="24"/>
        </w:rPr>
        <w:t xml:space="preserve">274人；</w:t>
      </w:r>
      <w:r/>
    </w:p>
    <w:p>
      <w:pPr>
        <w:ind w:firstLine="480"/>
        <w:spacing w:line="360" w:lineRule="auto"/>
        <w:rPr>
          <w:rFonts w:ascii="宋体" w:hAnsi="宋体" w:cs="宋体"/>
          <w:sz w:val="24"/>
        </w:rPr>
      </w:pPr>
      <w:r>
        <w:rPr>
          <w:rFonts w:hint="eastAsia" w:ascii="宋体" w:hAnsi="宋体" w:cs="宋体"/>
          <w:sz w:val="24"/>
        </w:rPr>
        <w:t xml:space="preserve">3）公厕管养人员不少于33人；</w:t>
      </w:r>
      <w:r/>
    </w:p>
    <w:p>
      <w:pPr>
        <w:ind w:firstLine="480"/>
        <w:spacing w:line="360" w:lineRule="auto"/>
        <w:rPr>
          <w:rFonts w:ascii="宋体" w:hAnsi="宋体" w:cs="宋体"/>
          <w:sz w:val="24"/>
        </w:rPr>
      </w:pPr>
      <w:r>
        <w:rPr>
          <w:rFonts w:hint="eastAsia" w:ascii="宋体" w:hAnsi="宋体" w:cs="宋体"/>
          <w:sz w:val="24"/>
        </w:rPr>
        <w:t xml:space="preserve">4）机械化作业人员不少于20人；</w:t>
      </w:r>
      <w:r/>
    </w:p>
    <w:p>
      <w:pPr>
        <w:ind w:firstLine="480"/>
        <w:spacing w:line="360" w:lineRule="auto"/>
        <w:rPr>
          <w:rFonts w:ascii="宋体" w:hAnsi="宋体" w:cs="宋体"/>
          <w:sz w:val="24"/>
        </w:rPr>
      </w:pPr>
      <w:r>
        <w:rPr>
          <w:rFonts w:hint="eastAsia" w:ascii="宋体" w:hAnsi="宋体" w:cs="宋体"/>
          <w:sz w:val="24"/>
        </w:rPr>
        <w:t xml:space="preserve">5）化粪池清坑人员不少于4人；</w:t>
      </w:r>
      <w:r/>
    </w:p>
    <w:p>
      <w:pPr>
        <w:ind w:firstLine="480"/>
        <w:spacing w:line="360" w:lineRule="auto"/>
        <w:rPr>
          <w:rFonts w:ascii="宋体" w:hAnsi="宋体" w:cs="宋体"/>
          <w:sz w:val="24"/>
        </w:rPr>
      </w:pPr>
      <w:r>
        <w:rPr>
          <w:rFonts w:hint="eastAsia" w:ascii="宋体" w:hAnsi="宋体" w:cs="宋体"/>
          <w:sz w:val="24"/>
        </w:rPr>
        <w:t xml:space="preserve">6）其他垃圾收运人员不少于22人；</w:t>
      </w:r>
      <w:r/>
    </w:p>
    <w:p>
      <w:pPr>
        <w:ind w:firstLine="480"/>
        <w:spacing w:line="360" w:lineRule="auto"/>
        <w:rPr>
          <w:rFonts w:ascii="宋体" w:hAnsi="宋体" w:cs="宋体"/>
          <w:sz w:val="24"/>
        </w:rPr>
      </w:pPr>
      <w:r>
        <w:rPr>
          <w:rFonts w:hint="eastAsia" w:ascii="宋体" w:hAnsi="宋体" w:cs="宋体"/>
          <w:sz w:val="24"/>
        </w:rPr>
        <w:t xml:space="preserve">7）家庭厨余收运人数不少于2人。</w:t>
      </w:r>
      <w:r/>
    </w:p>
    <w:p>
      <w:pPr>
        <w:ind w:firstLine="482"/>
        <w:spacing w:line="360" w:lineRule="auto"/>
        <w:rPr>
          <w:rFonts w:ascii="宋体" w:hAnsi="宋体" w:cs="宋体"/>
          <w:b/>
          <w:bCs/>
          <w:sz w:val="24"/>
        </w:rPr>
      </w:pPr>
      <w:r>
        <w:rPr>
          <w:rFonts w:hint="eastAsia" w:ascii="宋体" w:hAnsi="宋体" w:cs="宋体"/>
          <w:b/>
          <w:bCs/>
          <w:sz w:val="24"/>
        </w:rPr>
        <w:t xml:space="preserve">第六片区（胡埭镇）：</w:t>
      </w:r>
      <w:r/>
    </w:p>
    <w:p>
      <w:pPr>
        <w:ind w:firstLine="480"/>
        <w:spacing w:line="360" w:lineRule="auto"/>
        <w:rPr>
          <w:rFonts w:ascii="宋体" w:hAnsi="宋体" w:cs="宋体"/>
          <w:sz w:val="24"/>
        </w:rPr>
      </w:pPr>
      <w:r>
        <w:rPr>
          <w:rFonts w:hint="eastAsia" w:ascii="宋体" w:hAnsi="宋体" w:cs="宋体"/>
          <w:sz w:val="24"/>
        </w:rPr>
        <w:t xml:space="preserve">1）片区负责人1人；</w:t>
      </w:r>
      <w:r/>
    </w:p>
    <w:p>
      <w:pPr>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w:t>
      </w:r>
      <w:r>
        <w:rPr>
          <w:rFonts w:ascii="宋体" w:hAnsi="宋体" w:cs="宋体"/>
          <w:sz w:val="24"/>
        </w:rPr>
        <w:t xml:space="preserve">不少于</w:t>
      </w:r>
      <w:r>
        <w:rPr>
          <w:rFonts w:hint="eastAsia" w:ascii="宋体" w:hAnsi="宋体" w:cs="宋体"/>
          <w:sz w:val="24"/>
        </w:rPr>
        <w:t xml:space="preserve">170人；</w:t>
      </w:r>
      <w:r/>
    </w:p>
    <w:p>
      <w:pPr>
        <w:ind w:firstLine="480"/>
        <w:spacing w:line="360" w:lineRule="auto"/>
        <w:rPr>
          <w:rFonts w:ascii="宋体" w:hAnsi="宋体" w:cs="宋体"/>
          <w:sz w:val="24"/>
        </w:rPr>
      </w:pPr>
      <w:r>
        <w:rPr>
          <w:rFonts w:hint="eastAsia" w:ascii="宋体" w:hAnsi="宋体" w:cs="宋体"/>
          <w:sz w:val="24"/>
        </w:rPr>
        <w:t xml:space="preserve">3）公厕管养人员不少于32人；</w:t>
      </w:r>
      <w:r/>
    </w:p>
    <w:p>
      <w:pPr>
        <w:ind w:firstLine="480"/>
        <w:spacing w:line="360" w:lineRule="auto"/>
        <w:rPr>
          <w:rFonts w:ascii="宋体" w:hAnsi="宋体" w:cs="宋体"/>
          <w:sz w:val="24"/>
        </w:rPr>
      </w:pPr>
      <w:r>
        <w:rPr>
          <w:rFonts w:hint="eastAsia" w:ascii="宋体" w:hAnsi="宋体" w:cs="宋体"/>
          <w:sz w:val="24"/>
        </w:rPr>
        <w:t xml:space="preserve">4）机械化作业人员不少于17人；</w:t>
      </w:r>
      <w:r/>
    </w:p>
    <w:p>
      <w:pPr>
        <w:ind w:firstLine="480"/>
        <w:spacing w:line="360" w:lineRule="auto"/>
        <w:rPr>
          <w:rFonts w:ascii="宋体" w:hAnsi="宋体" w:cs="宋体"/>
          <w:sz w:val="24"/>
        </w:rPr>
      </w:pPr>
      <w:r>
        <w:rPr>
          <w:rFonts w:hint="eastAsia" w:ascii="宋体" w:hAnsi="宋体" w:cs="宋体"/>
          <w:sz w:val="24"/>
        </w:rPr>
        <w:t xml:space="preserve">5）化粪池清坑人员不少于2人；</w:t>
      </w:r>
      <w:r/>
    </w:p>
    <w:p>
      <w:pPr>
        <w:ind w:firstLine="480"/>
        <w:spacing w:line="360" w:lineRule="auto"/>
        <w:rPr>
          <w:rFonts w:ascii="宋体" w:hAnsi="宋体" w:cs="宋体"/>
          <w:sz w:val="24"/>
        </w:rPr>
      </w:pPr>
      <w:r>
        <w:rPr>
          <w:rFonts w:hint="eastAsia" w:ascii="宋体" w:hAnsi="宋体" w:cs="宋体"/>
          <w:sz w:val="24"/>
        </w:rPr>
        <w:t xml:space="preserve">6）其他垃圾收运人员不少于12人；</w:t>
      </w:r>
      <w:r/>
    </w:p>
    <w:p>
      <w:pPr>
        <w:ind w:firstLine="480"/>
        <w:spacing w:line="360" w:lineRule="auto"/>
        <w:rPr>
          <w:rFonts w:ascii="宋体" w:hAnsi="宋体" w:cs="宋体"/>
          <w:sz w:val="24"/>
        </w:rPr>
      </w:pPr>
      <w:r>
        <w:rPr>
          <w:rFonts w:hint="eastAsia" w:ascii="宋体" w:hAnsi="宋体" w:cs="宋体"/>
          <w:sz w:val="24"/>
        </w:rPr>
        <w:t xml:space="preserve">7）家庭厨余收运人数不少于2人。</w:t>
      </w:r>
      <w:r/>
    </w:p>
    <w:p>
      <w:pPr>
        <w:ind w:firstLine="482"/>
        <w:spacing w:line="360" w:lineRule="auto"/>
        <w:rPr>
          <w:rFonts w:ascii="宋体" w:hAnsi="宋体" w:cs="宋体"/>
          <w:b/>
          <w:bCs/>
          <w:sz w:val="24"/>
        </w:rPr>
      </w:pPr>
      <w:r>
        <w:rPr>
          <w:rFonts w:hint="eastAsia" w:ascii="宋体" w:hAnsi="宋体" w:cs="宋体"/>
          <w:b/>
          <w:bCs/>
          <w:sz w:val="24"/>
        </w:rPr>
        <w:t xml:space="preserve">第七片区（马山街道）：</w:t>
      </w:r>
      <w:r/>
    </w:p>
    <w:p>
      <w:pPr>
        <w:ind w:firstLine="480"/>
        <w:spacing w:line="360" w:lineRule="auto"/>
        <w:rPr>
          <w:rFonts w:ascii="宋体" w:hAnsi="宋体" w:cs="宋体"/>
          <w:sz w:val="24"/>
        </w:rPr>
      </w:pPr>
      <w:r>
        <w:rPr>
          <w:rFonts w:hint="eastAsia" w:ascii="宋体" w:hAnsi="宋体" w:cs="宋体"/>
          <w:sz w:val="24"/>
        </w:rPr>
        <w:t xml:space="preserve">1）片区负责人1人；</w:t>
      </w:r>
      <w:r/>
    </w:p>
    <w:p>
      <w:pPr>
        <w:ind w:firstLine="480"/>
        <w:spacing w:line="360" w:lineRule="auto"/>
        <w:rPr>
          <w:rFonts w:ascii="宋体" w:hAnsi="宋体" w:cs="宋体"/>
          <w:sz w:val="24"/>
        </w:rPr>
      </w:pPr>
      <w:r>
        <w:rPr>
          <w:rFonts w:hint="eastAsia" w:ascii="宋体" w:hAnsi="宋体" w:cs="宋体"/>
          <w:sz w:val="24"/>
        </w:rPr>
        <w:t xml:space="preserve">2）道路</w:t>
      </w:r>
      <w:r>
        <w:rPr>
          <w:rFonts w:ascii="宋体" w:hAnsi="宋体" w:cs="宋体"/>
          <w:sz w:val="24"/>
        </w:rPr>
        <w:t xml:space="preserve">清扫</w:t>
      </w:r>
      <w:r>
        <w:rPr>
          <w:rFonts w:hint="eastAsia" w:ascii="宋体" w:hAnsi="宋体" w:cs="宋体"/>
          <w:sz w:val="24"/>
        </w:rPr>
        <w:t xml:space="preserve">保洁人员</w:t>
      </w:r>
      <w:r>
        <w:rPr>
          <w:rFonts w:ascii="宋体" w:hAnsi="宋体" w:cs="宋体"/>
          <w:sz w:val="24"/>
        </w:rPr>
        <w:t xml:space="preserve">不少于</w:t>
      </w:r>
      <w:r>
        <w:rPr>
          <w:rFonts w:hint="eastAsia" w:ascii="宋体" w:hAnsi="宋体" w:cs="宋体"/>
          <w:sz w:val="24"/>
        </w:rPr>
        <w:t xml:space="preserve">135人；</w:t>
      </w:r>
      <w:r/>
    </w:p>
    <w:p>
      <w:pPr>
        <w:ind w:firstLine="480"/>
        <w:spacing w:line="360" w:lineRule="auto"/>
        <w:rPr>
          <w:rFonts w:ascii="宋体" w:hAnsi="宋体" w:cs="宋体"/>
          <w:sz w:val="24"/>
        </w:rPr>
      </w:pPr>
      <w:r>
        <w:rPr>
          <w:rFonts w:hint="eastAsia" w:ascii="宋体" w:hAnsi="宋体" w:cs="宋体"/>
          <w:sz w:val="24"/>
        </w:rPr>
        <w:t xml:space="preserve">3）公厕管养人员不少于22人；</w:t>
      </w:r>
      <w:r/>
    </w:p>
    <w:p>
      <w:pPr>
        <w:ind w:firstLine="480"/>
        <w:spacing w:line="360" w:lineRule="auto"/>
        <w:rPr>
          <w:rFonts w:ascii="宋体" w:hAnsi="宋体" w:cs="宋体"/>
          <w:sz w:val="24"/>
        </w:rPr>
      </w:pPr>
      <w:r>
        <w:rPr>
          <w:rFonts w:hint="eastAsia" w:ascii="宋体" w:hAnsi="宋体" w:cs="宋体"/>
          <w:sz w:val="24"/>
        </w:rPr>
        <w:t xml:space="preserve">4）机械化作业人员不少于11人；</w:t>
      </w:r>
      <w:r/>
    </w:p>
    <w:p>
      <w:pPr>
        <w:ind w:firstLine="480"/>
        <w:spacing w:line="360" w:lineRule="auto"/>
        <w:rPr>
          <w:rFonts w:ascii="宋体" w:hAnsi="宋体" w:cs="宋体"/>
          <w:sz w:val="24"/>
        </w:rPr>
      </w:pPr>
      <w:r>
        <w:rPr>
          <w:rFonts w:hint="eastAsia" w:ascii="宋体" w:hAnsi="宋体" w:cs="宋体"/>
          <w:sz w:val="24"/>
        </w:rPr>
        <w:t xml:space="preserve">5）化粪池清坑人员不少于2人；</w:t>
      </w:r>
      <w:r/>
    </w:p>
    <w:p>
      <w:pPr>
        <w:ind w:firstLine="480"/>
        <w:spacing w:line="360" w:lineRule="auto"/>
        <w:rPr>
          <w:rFonts w:ascii="宋体" w:hAnsi="宋体" w:cs="宋体"/>
          <w:sz w:val="24"/>
        </w:rPr>
      </w:pPr>
      <w:r>
        <w:rPr>
          <w:rFonts w:hint="eastAsia" w:ascii="宋体" w:hAnsi="宋体" w:cs="宋体"/>
          <w:sz w:val="24"/>
        </w:rPr>
        <w:t xml:space="preserve">6）其他垃圾收运人员不少于8人；</w:t>
      </w:r>
      <w:r/>
    </w:p>
    <w:p>
      <w:pPr>
        <w:ind w:firstLine="480"/>
        <w:spacing w:line="360" w:lineRule="auto"/>
        <w:rPr>
          <w:rFonts w:ascii="宋体" w:hAnsi="宋体" w:cs="宋体"/>
          <w:sz w:val="24"/>
        </w:rPr>
      </w:pPr>
      <w:r>
        <w:rPr>
          <w:rFonts w:hint="eastAsia" w:ascii="宋体" w:hAnsi="宋体" w:cs="宋体"/>
          <w:sz w:val="24"/>
        </w:rPr>
        <w:t xml:space="preserve">7）家庭厨余收运人数不少于2人。</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3.我公司承诺在本项目所在市行政区域范围内拟配备固定的环卫办公及机械、设备、车辆停放场所以及具有符合相关要求的无主垃圾和机扫垃圾临时存放点场地，承诺场地应满足以下要求：</w:t>
      </w:r>
      <w:r/>
    </w:p>
    <w:p>
      <w:pPr>
        <w:ind w:firstLine="482"/>
        <w:spacing w:line="360" w:lineRule="auto"/>
        <w:rPr>
          <w:rFonts w:ascii="宋体" w:hAnsi="宋体" w:cs="宋体"/>
          <w:sz w:val="24"/>
        </w:rPr>
      </w:pPr>
      <w:r>
        <w:rPr>
          <w:rFonts w:hint="eastAsia" w:ascii="宋体" w:cs="宋体"/>
          <w:b/>
          <w:sz w:val="24"/>
        </w:rPr>
        <w:t xml:space="preserve">第一片区（河埒街道（梁溪河北）、河埒街道（梁溪河南））：</w:t>
      </w:r>
      <w:r>
        <w:rPr>
          <w:rFonts w:hint="eastAsia" w:ascii="宋体" w:hAnsi="宋体" w:cs="宋体"/>
          <w:sz w:val="24"/>
        </w:rPr>
        <w:t xml:space="preserve">车辆停放场所场地面积2500平方米及以上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p>
    <w:p>
      <w:pPr>
        <w:ind w:firstLine="482"/>
        <w:spacing w:line="360" w:lineRule="auto"/>
        <w:rPr>
          <w:rFonts w:ascii="宋体" w:hAnsi="宋体" w:cs="宋体"/>
          <w:sz w:val="24"/>
        </w:rPr>
      </w:pPr>
      <w:r>
        <w:rPr>
          <w:rFonts w:hint="eastAsia" w:ascii="宋体" w:cs="宋体"/>
          <w:b/>
          <w:sz w:val="24"/>
        </w:rPr>
        <w:t xml:space="preserve">第二片区（荣巷街道）：</w:t>
      </w:r>
      <w:r>
        <w:rPr>
          <w:rFonts w:hint="eastAsia" w:ascii="宋体" w:hAnsi="宋体" w:cs="宋体"/>
          <w:sz w:val="24"/>
        </w:rPr>
        <w:t xml:space="preserve">车辆停放场所场地面积2000平方米及以上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p>
    <w:p>
      <w:pPr>
        <w:ind w:firstLine="482"/>
        <w:spacing w:line="360" w:lineRule="auto"/>
        <w:rPr>
          <w:rFonts w:ascii="宋体" w:hAnsi="宋体" w:cs="宋体"/>
          <w:sz w:val="24"/>
        </w:rPr>
      </w:pPr>
      <w:r>
        <w:rPr>
          <w:rFonts w:hint="eastAsia" w:ascii="宋体" w:cs="宋体"/>
          <w:b/>
          <w:sz w:val="24"/>
        </w:rPr>
        <w:t xml:space="preserve">第三片区（蠡园街道）：</w:t>
      </w:r>
      <w:r>
        <w:rPr>
          <w:rFonts w:hint="eastAsia" w:ascii="宋体" w:hAnsi="宋体" w:cs="宋体"/>
          <w:sz w:val="24"/>
        </w:rPr>
        <w:t xml:space="preserve">车辆停放场所场地面积1500平方米及以上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p>
    <w:p>
      <w:pPr>
        <w:ind w:firstLine="482"/>
        <w:spacing w:line="360" w:lineRule="auto"/>
        <w:rPr>
          <w:rFonts w:ascii="宋体" w:hAnsi="宋体" w:cs="宋体"/>
          <w:sz w:val="24"/>
        </w:rPr>
      </w:pPr>
      <w:r>
        <w:rPr>
          <w:rFonts w:hint="eastAsia" w:ascii="宋体" w:cs="宋体"/>
          <w:b/>
          <w:sz w:val="24"/>
        </w:rPr>
        <w:t xml:space="preserve">第四片区（蠡湖街道）：</w:t>
      </w:r>
      <w:r>
        <w:rPr>
          <w:rFonts w:hint="eastAsia" w:ascii="宋体" w:hAnsi="宋体" w:cs="宋体"/>
          <w:sz w:val="24"/>
        </w:rPr>
        <w:t xml:space="preserve">车辆停放场所场地面积2000平方米及以上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p>
    <w:p>
      <w:pPr>
        <w:ind w:firstLine="482"/>
        <w:spacing w:line="360" w:lineRule="auto"/>
        <w:rPr>
          <w:rFonts w:ascii="宋体" w:hAnsi="宋体" w:cs="宋体"/>
          <w:sz w:val="24"/>
        </w:rPr>
      </w:pPr>
      <w:r>
        <w:rPr>
          <w:rFonts w:hint="eastAsia" w:ascii="宋体" w:cs="宋体"/>
          <w:b/>
          <w:sz w:val="24"/>
        </w:rPr>
        <w:t xml:space="preserve">第五片区（雪浪街道）：</w:t>
      </w:r>
      <w:r>
        <w:rPr>
          <w:rFonts w:hint="eastAsia" w:ascii="宋体" w:hAnsi="宋体" w:cs="宋体"/>
          <w:sz w:val="24"/>
        </w:rPr>
        <w:t xml:space="preserve">车辆停放场所场地面积3000平方米及以上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p>
    <w:p>
      <w:pPr>
        <w:ind w:firstLine="482"/>
        <w:spacing w:line="360" w:lineRule="auto"/>
        <w:rPr>
          <w:rFonts w:ascii="宋体" w:hAnsi="宋体" w:cs="宋体"/>
          <w:sz w:val="24"/>
        </w:rPr>
      </w:pPr>
      <w:r>
        <w:rPr>
          <w:rFonts w:hint="eastAsia" w:ascii="宋体" w:cs="宋体"/>
          <w:b/>
          <w:sz w:val="24"/>
        </w:rPr>
        <w:t xml:space="preserve">第六片区（胡埭镇）：</w:t>
      </w:r>
      <w:r>
        <w:rPr>
          <w:rFonts w:hint="eastAsia" w:ascii="宋体" w:hAnsi="宋体" w:cs="宋体"/>
          <w:sz w:val="24"/>
        </w:rPr>
        <w:t xml:space="preserve">车辆停放场所场地面积2500平方米及以上</w:t>
      </w:r>
      <w:r>
        <w:rPr>
          <w:rFonts w:hint="eastAsia" w:ascii="宋体" w:cs="宋体"/>
          <w:sz w:val="24"/>
        </w:rPr>
        <w:t xml:space="preserve">，</w:t>
      </w:r>
      <w:r>
        <w:rPr>
          <w:rFonts w:hint="eastAsia" w:ascii="宋体" w:hAnsi="宋体" w:cs="宋体"/>
          <w:sz w:val="24"/>
        </w:rPr>
        <w:t xml:space="preserve">无主垃圾及机扫垃圾临时存放点场地面积500平方米及以上；</w:t>
      </w:r>
      <w:r/>
    </w:p>
    <w:p>
      <w:pPr>
        <w:ind w:firstLine="482"/>
        <w:spacing w:line="360" w:lineRule="auto"/>
        <w:rPr>
          <w:rFonts w:ascii="宋体" w:hAnsi="宋体" w:cs="宋体"/>
          <w:sz w:val="24"/>
        </w:rPr>
      </w:pPr>
      <w:r>
        <w:rPr>
          <w:rFonts w:hint="eastAsia" w:ascii="宋体" w:hAnsi="宋体" w:cs="宋体"/>
          <w:b/>
          <w:bCs/>
          <w:sz w:val="24"/>
        </w:rPr>
        <w:t xml:space="preserve">第七片区（马山街道）：</w:t>
      </w:r>
      <w:r>
        <w:rPr>
          <w:rFonts w:hint="eastAsia" w:ascii="宋体" w:hAnsi="宋体" w:cs="宋体"/>
          <w:sz w:val="24"/>
        </w:rPr>
        <w:t xml:space="preserve">车辆停放场所场地面积2000平方米及以上，无主垃圾及机扫垃圾临时存放点场地面积500平方米及以上。</w:t>
      </w:r>
      <w:r/>
    </w:p>
    <w:p>
      <w:pPr>
        <w:ind w:firstLine="480"/>
        <w:spacing w:line="360" w:lineRule="auto"/>
        <w:rPr>
          <w:rFonts w:ascii="宋体" w:cs="宋体"/>
          <w:sz w:val="24"/>
        </w:rPr>
      </w:pPr>
      <w:r>
        <w:rPr>
          <w:rFonts w:hint="eastAsia" w:ascii="宋体" w:hAnsi="宋体" w:cs="宋体"/>
          <w:sz w:val="24"/>
        </w:rPr>
        <w:t xml:space="preserve">注：以上七个片区</w:t>
      </w:r>
      <w:r>
        <w:rPr>
          <w:rFonts w:hint="eastAsia" w:ascii="宋体" w:cs="宋体"/>
          <w:sz w:val="24"/>
        </w:rPr>
        <w:t xml:space="preserve">场地地面应硬化、硬质铺装，无裸露泥土，现场雨污分流，污水接管。机扫垃圾合理合法</w:t>
      </w:r>
      <w:r>
        <w:rPr>
          <w:rFonts w:ascii="宋体" w:cs="宋体"/>
          <w:sz w:val="24"/>
        </w:rPr>
        <w:t xml:space="preserve">处置</w:t>
      </w:r>
      <w:r>
        <w:rPr>
          <w:rFonts w:hint="eastAsia" w:ascii="宋体" w:cs="宋体"/>
          <w:sz w:val="24"/>
        </w:rPr>
        <w:t xml:space="preserve">，并做到日产日清。</w:t>
      </w:r>
      <w:r/>
    </w:p>
    <w:p>
      <w:pPr>
        <w:ind w:firstLine="480"/>
        <w:spacing w:line="360" w:lineRule="auto"/>
        <w:rPr>
          <w:rFonts w:ascii="宋体" w:cs="宋体"/>
          <w:sz w:val="24"/>
        </w:rPr>
      </w:pPr>
      <w:r>
        <w:rPr>
          <w:rFonts w:hint="eastAsia" w:ascii="宋体" w:cs="宋体"/>
          <w:sz w:val="24"/>
        </w:rPr>
        <w:t xml:space="preserve">4.上述第1、2、3项事项，我公司承诺在合同签订前</w:t>
      </w:r>
      <w:r>
        <w:rPr>
          <w:rFonts w:ascii="宋体" w:cs="宋体"/>
          <w:sz w:val="24"/>
        </w:rPr>
        <w:t xml:space="preserve">提供佐证材料提交采购人</w:t>
      </w:r>
      <w:r>
        <w:rPr>
          <w:rFonts w:hint="eastAsia" w:ascii="宋体" w:cs="宋体"/>
          <w:sz w:val="24"/>
        </w:rPr>
        <w:t xml:space="preserve">核实或</w:t>
      </w:r>
      <w:r>
        <w:rPr>
          <w:rFonts w:ascii="宋体" w:cs="宋体"/>
          <w:sz w:val="24"/>
        </w:rPr>
        <w:t xml:space="preserve">核验</w:t>
      </w:r>
      <w:r>
        <w:rPr>
          <w:rFonts w:hint="eastAsia" w:ascii="宋体" w:cs="宋体"/>
          <w:sz w:val="24"/>
        </w:rPr>
        <w:t xml:space="preserve">，在规定时间内未提供或核验不符合要求的，视为自动放弃中标资格。</w:t>
      </w:r>
      <w:r/>
    </w:p>
    <w:p>
      <w:pPr>
        <w:ind w:firstLine="480"/>
        <w:spacing w:line="360" w:lineRule="auto"/>
        <w:rPr>
          <w:rFonts w:ascii="宋体" w:hAnsi="宋体"/>
          <w:sz w:val="24"/>
          <w:shd w:val="clear" w:color="auto" w:fill="ffffff"/>
        </w:rPr>
      </w:pPr>
      <w:r>
        <w:rPr>
          <w:rFonts w:hint="eastAsia" w:ascii="宋体" w:hAnsi="宋体"/>
          <w:sz w:val="24"/>
          <w:szCs w:val="24"/>
          <w:shd w:val="clear" w:color="auto" w:fill="ffffff"/>
        </w:rPr>
        <w:t xml:space="preserve">5.</w:t>
      </w:r>
      <w:r>
        <w:rPr>
          <w:rFonts w:hint="eastAsia" w:ascii="宋体" w:hAnsi="宋体"/>
          <w:sz w:val="24"/>
          <w:shd w:val="clear" w:color="auto" w:fill="ffffff"/>
        </w:rPr>
        <w:t xml:space="preserve">我公司承诺，用于投标文件评分项的车辆设备及人员，将全部实际投入本项目的报价测算及合同的履行，不得挪作他用。</w:t>
      </w:r>
      <w:r/>
    </w:p>
    <w:p>
      <w:pPr>
        <w:ind w:firstLine="480"/>
        <w:spacing w:line="360" w:lineRule="auto"/>
        <w:rPr>
          <w:rFonts w:ascii="宋体" w:cs="宋体"/>
          <w:sz w:val="24"/>
        </w:rPr>
      </w:pPr>
      <w:r>
        <w:rPr>
          <w:rFonts w:hint="eastAsia" w:ascii="宋体" w:cs="宋体"/>
          <w:sz w:val="24"/>
        </w:rPr>
        <w:t xml:space="preserve">6.我公司承诺，</w:t>
      </w:r>
      <w:r>
        <w:rPr>
          <w:rFonts w:hint="eastAsia" w:ascii="宋体" w:hAnsi="宋体" w:cs="Arial"/>
          <w:sz w:val="24"/>
        </w:rPr>
        <w:t xml:space="preserve">为实现环卫智慧化、一体化管理目标，我方将在在合同签订后 14 个日历天内按照市、区两级信息化要求将相关数据接入市、区两级智慧环卫监管平台，数据包括但不限于作业状态、作业轨迹、作业趟数、实时视频、称重数据等内容。若因我方未能及时提供技术对接所需材料或未能及时配合技术对接，造成的一切后果由我方承担。因平台对接、功能运维等产生的一切费用由我方承担。</w:t>
      </w:r>
      <w:r/>
    </w:p>
    <w:p>
      <w:pPr>
        <w:pStyle w:val="890"/>
        <w:spacing w:line="360" w:lineRule="auto"/>
        <w:rPr>
          <w:rFonts w:ascii="宋体" w:cs="宋体"/>
          <w:sz w:val="24"/>
          <w:lang w:val="en-US"/>
        </w:rPr>
      </w:pPr>
      <w:r>
        <w:rPr>
          <w:rFonts w:hint="eastAsia" w:ascii="宋体" w:cs="宋体"/>
          <w:sz w:val="24"/>
          <w:lang w:val="en-US"/>
        </w:rPr>
        <w:t xml:space="preserve">7.承诺拟投入人员在本单位缴纳社保的比例不得低于总投入人数的60%，其中项目负责人及管理人员必须在本单位缴纳社保，中标供应商应为参与本项目的所有人员（包含轮岗人员）购买意外伤害保险或雇主责任险，保额为50万元（含）及以上。同时承诺为超龄劳动者参加工伤保险并缴纳工伤保险费，并在发出中标通知书之日起15日内向采购方提供证明文件，后续凭保单签订合同。</w:t>
      </w:r>
      <w:r/>
    </w:p>
    <w:p>
      <w:pPr>
        <w:ind w:firstLine="480"/>
        <w:spacing w:line="360" w:lineRule="auto"/>
        <w:rPr>
          <w:rFonts w:ascii="宋体" w:cs="宋体"/>
          <w:sz w:val="24"/>
        </w:rPr>
      </w:pPr>
      <w:r>
        <w:rPr>
          <w:rFonts w:hint="eastAsia" w:ascii="宋体" w:cs="宋体"/>
          <w:sz w:val="24"/>
        </w:rPr>
        <w:t xml:space="preserve">8.针对以上全部内容，中标后接受采购人的核实，在规定时间内未提供或核验不符合要求的，视为自动放弃中标资格。</w:t>
      </w:r>
      <w:r/>
    </w:p>
    <w:p>
      <w:pPr>
        <w:ind w:firstLine="480"/>
        <w:spacing w:line="360" w:lineRule="auto"/>
        <w:rPr>
          <w:rFonts w:ascii="宋体" w:hAnsi="宋体"/>
          <w:bCs/>
          <w:sz w:val="24"/>
          <w:szCs w:val="24"/>
        </w:rPr>
      </w:pPr>
      <w:r>
        <w:rPr>
          <w:rFonts w:hint="eastAsia" w:ascii="宋体" w:cs="宋体"/>
          <w:sz w:val="24"/>
        </w:rPr>
        <w:t xml:space="preserve">9.</w:t>
      </w:r>
      <w:r>
        <w:rPr>
          <w:rFonts w:hint="eastAsia" w:ascii="宋体" w:hAnsi="宋体"/>
          <w:bCs/>
          <w:sz w:val="24"/>
          <w:szCs w:val="24"/>
        </w:rPr>
        <w:t xml:space="preserve">如未能按承诺书所列内容履行，则视为我公司虚假承诺，视同为《中华人民共和国政府采购法》禁止的“提供虚假材料谋取中标、成交”行为，可处以罚款、列入不良记录名单、禁止参加政府采购活动等处罚，构成犯罪的，依法追究刑事责任。</w:t>
      </w:r>
      <w:r/>
    </w:p>
    <w:p>
      <w:pPr>
        <w:pStyle w:val="854"/>
        <w:ind w:firstLine="482"/>
        <w:spacing w:line="360" w:lineRule="auto"/>
        <w:rPr>
          <w:rFonts w:ascii="宋体" w:hAnsi="宋体"/>
          <w:b/>
          <w:bCs/>
          <w:sz w:val="24"/>
          <w:szCs w:val="24"/>
          <w:shd w:val="clear" w:color="auto" w:fill="ffffff"/>
        </w:rPr>
      </w:pPr>
      <w:r>
        <w:rPr>
          <w:rFonts w:hint="eastAsia" w:ascii="宋体" w:hAnsi="宋体"/>
          <w:b/>
          <w:bCs/>
          <w:sz w:val="24"/>
          <w:szCs w:val="24"/>
          <w:shd w:val="clear" w:color="auto" w:fill="ffffff"/>
        </w:rPr>
        <w:t xml:space="preserve">注：以上内容由投标单位根据采购要求可自行完善。</w:t>
      </w:r>
      <w:r/>
    </w:p>
    <w:p>
      <w:pPr>
        <w:jc w:val="right"/>
        <w:spacing w:line="360" w:lineRule="auto"/>
        <w:rPr>
          <w:rFonts w:ascii="宋体" w:hAnsi="宋体" w:cs="宋体"/>
          <w:sz w:val="24"/>
          <w:szCs w:val="24"/>
        </w:rPr>
      </w:pPr>
      <w:r>
        <w:rPr>
          <w:rFonts w:hint="eastAsia" w:ascii="宋体" w:hAnsi="宋体" w:cs="宋体"/>
          <w:sz w:val="24"/>
          <w:szCs w:val="24"/>
        </w:rPr>
        <w:t xml:space="preserve">供应商全称（盖章）：____________________</w:t>
      </w:r>
      <w:r/>
    </w:p>
    <w:p>
      <w:pPr>
        <w:jc w:val="right"/>
        <w:spacing w:line="360" w:lineRule="auto"/>
        <w:rPr>
          <w:rFonts w:ascii="宋体" w:hAnsi="宋体" w:cs="宋体"/>
          <w:sz w:val="24"/>
          <w:szCs w:val="24"/>
        </w:rPr>
      </w:pPr>
      <w:r>
        <w:rPr>
          <w:rFonts w:ascii="宋体" w:hAnsi="宋体" w:cs="宋体"/>
          <w:sz w:val="24"/>
          <w:szCs w:val="24"/>
        </w:rPr>
      </w:r>
      <w:r/>
    </w:p>
    <w:p>
      <w:pPr>
        <w:jc w:val="right"/>
        <w:spacing w:line="360" w:lineRule="auto"/>
        <w:rPr>
          <w:rFonts w:ascii="宋体" w:hAnsi="宋体" w:cs="宋体"/>
          <w:sz w:val="24"/>
          <w:szCs w:val="24"/>
        </w:rPr>
      </w:pPr>
      <w:r>
        <w:rPr>
          <w:rFonts w:hint="eastAsia" w:ascii="宋体" w:hAnsi="宋体" w:cs="宋体"/>
          <w:sz w:val="24"/>
          <w:szCs w:val="24"/>
        </w:rPr>
        <w:t xml:space="preserve">法定代表人或授权代表（签字或盖章）：__________</w:t>
      </w:r>
      <w:r/>
    </w:p>
    <w:p>
      <w:pPr>
        <w:jc w:val="right"/>
        <w:spacing w:line="360" w:lineRule="auto"/>
        <w:rPr>
          <w:rFonts w:ascii="宋体" w:hAnsi="宋体" w:cs="宋体"/>
          <w:sz w:val="24"/>
          <w:szCs w:val="24"/>
        </w:rPr>
      </w:pPr>
      <w:r>
        <w:rPr>
          <w:rFonts w:ascii="宋体" w:hAnsi="宋体" w:cs="宋体"/>
          <w:sz w:val="24"/>
          <w:szCs w:val="24"/>
        </w:rPr>
      </w:r>
      <w:r/>
    </w:p>
    <w:p>
      <w:pPr>
        <w:jc w:val="right"/>
        <w:spacing w:line="360" w:lineRule="auto"/>
        <w:rPr>
          <w:rFonts w:ascii="宋体" w:hAnsi="宋体" w:cs="宋体"/>
          <w:sz w:val="24"/>
          <w:szCs w:val="24"/>
        </w:rPr>
      </w:pPr>
      <w:r>
        <w:rPr>
          <w:rFonts w:hint="eastAsia" w:ascii="宋体" w:hAnsi="宋体" w:cs="宋体"/>
          <w:sz w:val="24"/>
          <w:szCs w:val="24"/>
        </w:rPr>
        <w:t xml:space="preserve">日期：________年____月____日</w:t>
      </w:r>
      <w:r/>
    </w:p>
    <w:p>
      <w:pPr>
        <w:spacing w:line="360" w:lineRule="auto"/>
        <w:rPr>
          <w:rFonts w:ascii="宋体" w:hAnsi="宋体" w:cs="宋体"/>
          <w:b/>
          <w:bCs/>
          <w:color w:val="000000"/>
          <w:sz w:val="28"/>
          <w:szCs w:val="21"/>
        </w:rPr>
      </w:pPr>
      <w:r>
        <w:rPr>
          <w:rFonts w:hint="eastAsia" w:ascii="宋体" w:hAnsi="宋体" w:cs="宋体"/>
          <w:b/>
          <w:bCs/>
          <w:color w:val="000000"/>
          <w:sz w:val="28"/>
          <w:szCs w:val="21"/>
        </w:rPr>
        <w:br w:type="page" w:clear="all"/>
      </w:r>
      <w:r/>
    </w:p>
    <w:p>
      <w:pPr>
        <w:jc w:val="center"/>
        <w:rPr>
          <w:rFonts w:ascii="宋体" w:hAnsi="宋体" w:cs="宋体"/>
          <w:b/>
          <w:bCs/>
          <w:color w:val="000000"/>
          <w:sz w:val="28"/>
          <w:szCs w:val="21"/>
        </w:rPr>
      </w:pPr>
      <w:r>
        <w:rPr>
          <w:rFonts w:hint="eastAsia" w:ascii="宋体" w:hAnsi="宋体" w:cs="宋体"/>
          <w:b/>
          <w:bCs/>
          <w:color w:val="000000"/>
          <w:sz w:val="28"/>
          <w:szCs w:val="21"/>
        </w:rPr>
        <w:t xml:space="preserve">承诺书二（廉洁承诺书格式）</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为了积极配合采购人的招标工作，有效遏制不公平竞争和违规违纪问题的发生，确保招标工作的公平、公正、公开，我们保证认真贯彻相关规定以及相关廉洁要求，特向采购人承诺如下事项：</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1.自觉遵守国家法律法规及有关廉政建设制度。</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2.主动了解招投标纪律，积极配合执行招投标廉政建设的有关规定。</w:t>
      </w:r>
      <w:r/>
    </w:p>
    <w:p>
      <w:pPr>
        <w:ind w:firstLine="480"/>
        <w:spacing w:line="520" w:lineRule="exact"/>
        <w:rPr>
          <w:rFonts w:ascii="宋体" w:hAnsi="宋体" w:cs="宋体"/>
          <w:color w:val="000000"/>
          <w:sz w:val="24"/>
        </w:rPr>
      </w:pPr>
      <w:r>
        <w:rPr>
          <w:rFonts w:hint="eastAsia" w:ascii="宋体" w:hAnsi="宋体" w:cs="宋体"/>
          <w:color w:val="000000"/>
          <w:sz w:val="24"/>
        </w:rPr>
        <w:t xml:space="preserve">3.不使用不正当手段妨碍、排挤其他投标单位或串通投标。</w:t>
      </w:r>
      <w:r/>
    </w:p>
    <w:p>
      <w:pPr>
        <w:ind w:firstLine="480"/>
        <w:spacing w:line="520" w:lineRule="exact"/>
        <w:rPr>
          <w:rFonts w:ascii="宋体" w:hAnsi="宋体" w:cs="宋体"/>
          <w:color w:val="000000"/>
          <w:sz w:val="24"/>
        </w:rPr>
      </w:pPr>
      <w:r>
        <w:rPr>
          <w:rFonts w:hint="eastAsia" w:ascii="宋体" w:hAnsi="宋体" w:cs="宋体"/>
          <w:color w:val="000000"/>
          <w:sz w:val="24"/>
        </w:rPr>
        <w:t xml:space="preserve">4.按照响应文件规定的方式进行投标，不隐瞒本单位投标资质的真实情况，投标资质符合规定。</w:t>
      </w:r>
      <w:r/>
    </w:p>
    <w:p>
      <w:pPr>
        <w:ind w:firstLine="480"/>
        <w:spacing w:line="520" w:lineRule="exact"/>
        <w:rPr>
          <w:rFonts w:ascii="宋体" w:hAnsi="宋体" w:cs="宋体"/>
          <w:color w:val="000000"/>
          <w:sz w:val="24"/>
        </w:rPr>
      </w:pPr>
      <w:r>
        <w:rPr>
          <w:rFonts w:hint="eastAsia" w:ascii="宋体" w:hAnsi="宋体" w:cs="宋体"/>
          <w:color w:val="000000"/>
          <w:sz w:val="24"/>
        </w:rPr>
        <w:t xml:space="preserve">5.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r/>
    </w:p>
    <w:p>
      <w:pPr>
        <w:ind w:firstLine="480"/>
        <w:spacing w:line="520" w:lineRule="exact"/>
        <w:rPr>
          <w:rFonts w:ascii="宋体" w:hAnsi="宋体" w:cs="宋体"/>
          <w:color w:val="000000"/>
          <w:sz w:val="24"/>
        </w:rPr>
      </w:pPr>
      <w:r>
        <w:rPr>
          <w:rFonts w:hint="eastAsia" w:ascii="宋体" w:hAnsi="宋体" w:cs="宋体"/>
          <w:color w:val="000000"/>
          <w:sz w:val="24"/>
        </w:rPr>
        <w:t xml:space="preserve">6.不向涉及采购的单位及个人购置或提供通信工具、交通工具和高档办公用品等。</w:t>
      </w:r>
      <w:r/>
    </w:p>
    <w:p>
      <w:pPr>
        <w:ind w:firstLine="480"/>
        <w:spacing w:line="520" w:lineRule="exact"/>
        <w:rPr>
          <w:rFonts w:ascii="宋体" w:hAnsi="宋体" w:cs="宋体"/>
          <w:color w:val="000000"/>
          <w:sz w:val="24"/>
        </w:rPr>
      </w:pPr>
      <w:r>
        <w:rPr>
          <w:rFonts w:hint="eastAsia" w:ascii="宋体" w:hAnsi="宋体" w:cs="宋体"/>
          <w:color w:val="000000"/>
          <w:sz w:val="24"/>
        </w:rPr>
        <w:t xml:space="preserve">7.不向涉及采购的单位及个人的配偶、子女、亲属分包此次招标项目。</w:t>
      </w:r>
      <w:r/>
    </w:p>
    <w:p>
      <w:pPr>
        <w:ind w:firstLine="480"/>
        <w:spacing w:line="520" w:lineRule="exact"/>
        <w:rPr>
          <w:rFonts w:ascii="宋体" w:hAnsi="宋体" w:cs="宋体"/>
          <w:color w:val="000000"/>
          <w:sz w:val="24"/>
        </w:rPr>
      </w:pPr>
      <w:r>
        <w:rPr>
          <w:rFonts w:hint="eastAsia" w:ascii="宋体" w:hAnsi="宋体" w:cs="宋体"/>
          <w:color w:val="000000"/>
          <w:sz w:val="24"/>
        </w:rPr>
        <w:t xml:space="preserve">8.不向涉及采购的单位及个人支付好处费、介绍费。</w:t>
      </w:r>
      <w:r/>
    </w:p>
    <w:p>
      <w:pPr>
        <w:ind w:firstLine="480"/>
        <w:spacing w:line="520" w:lineRule="exact"/>
        <w:rPr>
          <w:rFonts w:ascii="宋体" w:hAnsi="宋体" w:cs="宋体"/>
          <w:color w:val="000000"/>
          <w:sz w:val="24"/>
        </w:rPr>
      </w:pPr>
      <w:r>
        <w:rPr>
          <w:rFonts w:hint="eastAsia" w:ascii="宋体" w:hAnsi="宋体" w:cs="宋体"/>
          <w:color w:val="000000"/>
          <w:sz w:val="24"/>
        </w:rPr>
        <w:t xml:space="preserve">9.一旦发现相关人员在招标过程中有索要财物等不廉洁行为，坚决予以抵制，并及时向采购人纪检监察室举报。</w:t>
      </w:r>
      <w:r/>
    </w:p>
    <w:p>
      <w:pPr>
        <w:ind w:firstLine="480"/>
        <w:spacing w:line="520" w:lineRule="exact"/>
        <w:rPr>
          <w:rFonts w:ascii="宋体" w:hAnsi="宋体" w:cs="宋体"/>
          <w:color w:val="000000"/>
          <w:sz w:val="24"/>
        </w:rPr>
      </w:pPr>
      <w:r>
        <w:rPr>
          <w:rFonts w:hint="eastAsia" w:ascii="宋体" w:hAnsi="宋体" w:cs="宋体"/>
          <w:color w:val="000000"/>
          <w:sz w:val="24"/>
        </w:rPr>
        <w:t xml:space="preserve">我们若违反上述承诺，自愿接受取消投标资格及其他任何形式的处理。</w:t>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供应商全称（盖章）：____________________</w:t>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法定代表人或授权代表（签字或盖章）：__________</w:t>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日期：________年____月____日</w:t>
      </w:r>
      <w:r/>
    </w:p>
    <w:p>
      <w:pPr>
        <w:rPr>
          <w:rFonts w:ascii="宋体" w:hAnsi="宋体" w:cs="宋体"/>
          <w:sz w:val="24"/>
          <w:szCs w:val="24"/>
        </w:rPr>
      </w:pPr>
      <w:r>
        <w:rPr>
          <w:rFonts w:hint="eastAsia" w:ascii="宋体" w:hAnsi="宋体" w:cs="宋体"/>
          <w:sz w:val="24"/>
          <w:szCs w:val="24"/>
        </w:rPr>
        <w:br w:type="page" w:clear="all"/>
      </w:r>
      <w:r/>
    </w:p>
    <w:p>
      <w:pPr>
        <w:jc w:val="center"/>
        <w:spacing w:line="360" w:lineRule="auto"/>
        <w:rPr>
          <w:rFonts w:ascii="宋体" w:hAnsi="宋体" w:cs="宋体"/>
          <w:b/>
          <w:bCs/>
          <w:color w:val="000000"/>
          <w:sz w:val="28"/>
          <w:szCs w:val="21"/>
        </w:rPr>
      </w:pPr>
      <w:r>
        <w:rPr>
          <w:rFonts w:hint="eastAsia" w:ascii="宋体" w:hAnsi="宋体" w:cs="宋体"/>
          <w:b/>
          <w:bCs/>
          <w:color w:val="000000"/>
          <w:sz w:val="28"/>
          <w:szCs w:val="21"/>
        </w:rPr>
        <w:t xml:space="preserve">承诺书三（履约保证金承诺）</w:t>
      </w:r>
      <w:r/>
    </w:p>
    <w:p>
      <w:pPr>
        <w:spacing w:line="360" w:lineRule="auto"/>
      </w:pPr>
      <w:r>
        <w:rPr>
          <w:rFonts w:hint="eastAsia" w:ascii="宋体" w:hAnsi="宋体"/>
          <w:sz w:val="24"/>
          <w:shd w:val="clear" w:color="auto" w:fill="ffffff"/>
        </w:rPr>
        <w:t xml:space="preserve">致：</w:t>
      </w:r>
      <w:r>
        <w:rPr>
          <w:rFonts w:hint="eastAsia" w:ascii="宋体" w:hAnsi="宋体"/>
          <w:sz w:val="24"/>
          <w:u w:val="single"/>
          <w:shd w:val="clear" w:color="auto" w:fill="ffffff"/>
        </w:rPr>
        <w:t xml:space="preserve">无锡市滨湖区城市管理局</w:t>
      </w:r>
      <w:r/>
    </w:p>
    <w:p>
      <w:pPr>
        <w:ind w:firstLine="480"/>
        <w:spacing w:line="360" w:lineRule="auto"/>
      </w:pPr>
      <w:r>
        <w:rPr>
          <w:rFonts w:hint="eastAsia" w:ascii="宋体" w:hAnsi="宋体"/>
          <w:sz w:val="24"/>
          <w:shd w:val="clear" w:color="auto" w:fill="ffffff"/>
        </w:rPr>
        <w:t xml:space="preserve">我公司自愿参加贵单位（公司）项目的投标，若中标，就本项目履约保证金相关事宜，郑重承诺如下：</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1.履约保证金的缴纳</w:t>
      </w:r>
      <w:r/>
    </w:p>
    <w:p>
      <w:pPr>
        <w:ind w:firstLine="480"/>
        <w:spacing w:line="360" w:lineRule="auto"/>
      </w:pPr>
      <w:r>
        <w:rPr>
          <w:rFonts w:hint="eastAsia" w:ascii="宋体" w:hAnsi="宋体"/>
          <w:sz w:val="24"/>
          <w:shd w:val="clear" w:color="auto" w:fill="ffffff"/>
        </w:rPr>
        <w:t xml:space="preserve">我公司已知悉并完全同意本项目履约保证金金额为三年合同总金额的10%</w:t>
      </w:r>
      <w:r>
        <w:rPr>
          <w:rFonts w:hint="eastAsia" w:ascii="宋体" w:hAnsi="宋体"/>
          <w:sz w:val="24"/>
          <w:szCs w:val="24"/>
          <w:shd w:val="clear" w:color="auto" w:fill="ffffff"/>
        </w:rPr>
        <w:t xml:space="preserve">（大写：</w:t>
      </w:r>
      <w:r>
        <w:rPr>
          <w:rFonts w:hint="eastAsia"/>
          <w:sz w:val="24"/>
          <w:szCs w:val="24"/>
        </w:rPr>
        <w:t xml:space="preserve">__________；小写：__________）。</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我公司承诺自采购合同签订完成之日起30日内，以支票、汇票、本票、保函等非现金形式之一向采购人足额缴纳履约保证金，具体形式由我公司自主选择。</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2.履约保证金的退付</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（1）本项目合同履行期限（三年）届满后30天内，如我公司全面履行合同义务、无任何违约或违法行为，也未给采购人造成任何损失，我公司同意采购人将履约保证金无息退还。</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2）若我公司在履约过程中给采购人造成损失的，我公司同意采购人有权视情节严重程度，在履约保证金中直接扣除相应的赔偿金、违约金或其他可能产生的费用；履约保证金不足以弥补采购人损失的，我公司承诺继续承担不足部分的赔偿责任，采购人有权继续向我公司追偿。</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3.履约保证金不予退还的情形</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我公司知悉并确认，出现下列任一情形的，采购人有权全部或部分没收我公司的履约保证金，我公司自愿放弃就此提出任何异议或抗辩的权利：</w:t>
      </w:r>
      <w:r/>
    </w:p>
    <w:p>
      <w:pPr>
        <w:ind w:firstLine="420"/>
        <w:spacing w:line="360" w:lineRule="auto"/>
        <w:rPr>
          <w:rFonts w:ascii="宋体" w:hAnsi="宋体"/>
          <w:sz w:val="24"/>
        </w:rPr>
      </w:pPr>
      <w:r>
        <w:rPr>
          <w:rFonts w:hint="eastAsia" w:ascii="宋体" w:hAnsi="宋体"/>
          <w:sz w:val="24"/>
        </w:rPr>
        <w:t xml:space="preserve">（1）擅自将采购人所有的以及交由中标供应商所经营管理的资产进行处置或者抵押的。</w:t>
      </w:r>
      <w:r/>
    </w:p>
    <w:p>
      <w:pPr>
        <w:ind w:firstLine="420"/>
        <w:spacing w:line="360" w:lineRule="auto"/>
        <w:rPr>
          <w:rFonts w:ascii="宋体" w:hAnsi="宋体"/>
          <w:sz w:val="24"/>
        </w:rPr>
      </w:pPr>
      <w:r>
        <w:rPr>
          <w:rFonts w:hint="eastAsia" w:ascii="宋体" w:hAnsi="宋体"/>
          <w:sz w:val="24"/>
        </w:rPr>
        <w:t xml:space="preserve">（2）中标供应商同一片区当月得分小于70分或者连续两个月得分小于80分的。</w:t>
      </w:r>
      <w:r/>
    </w:p>
    <w:p>
      <w:pPr>
        <w:ind w:firstLine="420"/>
        <w:spacing w:line="360" w:lineRule="auto"/>
        <w:rPr>
          <w:rFonts w:ascii="宋体" w:hAnsi="宋体"/>
          <w:sz w:val="24"/>
        </w:rPr>
      </w:pPr>
      <w:r>
        <w:rPr>
          <w:rFonts w:hint="eastAsia" w:ascii="宋体" w:hAnsi="宋体"/>
          <w:sz w:val="24"/>
        </w:rPr>
        <w:t xml:space="preserve">（3）在政府部门组织的测评中，中标供应商管理作业方面存在明显重大过错或失误，在测评中环境卫生方面严重失分导致考核结果不通过的。</w:t>
      </w:r>
      <w:r/>
    </w:p>
    <w:p>
      <w:pPr>
        <w:ind w:firstLine="420"/>
        <w:spacing w:line="360" w:lineRule="auto"/>
        <w:rPr>
          <w:rFonts w:ascii="宋体" w:hAnsi="宋体"/>
          <w:sz w:val="24"/>
        </w:rPr>
      </w:pPr>
      <w:r>
        <w:rPr>
          <w:rFonts w:hint="eastAsia" w:ascii="宋体" w:hAnsi="宋体"/>
          <w:sz w:val="24"/>
        </w:rPr>
        <w:t xml:space="preserve">（4）中标供应商因管理不善、发生生产安全事故的。</w:t>
      </w:r>
      <w:r/>
    </w:p>
    <w:p>
      <w:pPr>
        <w:ind w:firstLine="420"/>
        <w:spacing w:line="360" w:lineRule="auto"/>
        <w:rPr>
          <w:rFonts w:ascii="宋体" w:hAnsi="宋体"/>
          <w:sz w:val="24"/>
        </w:rPr>
      </w:pPr>
      <w:r>
        <w:rPr>
          <w:rFonts w:hint="eastAsia" w:ascii="宋体" w:hAnsi="宋体"/>
          <w:sz w:val="24"/>
        </w:rPr>
        <w:t xml:space="preserve">（5）中标供应商出现连续欠薪两个月或连续12个月内累计发生三次以上（含三次）欠薪情况的，导致员工投诉、上访、仲裁、诉讼或影响项目正常运行的。</w:t>
      </w:r>
      <w:r/>
    </w:p>
    <w:p>
      <w:pPr>
        <w:ind w:firstLine="420"/>
        <w:spacing w:line="360" w:lineRule="auto"/>
        <w:rPr>
          <w:rFonts w:ascii="宋体" w:hAnsi="宋体"/>
          <w:sz w:val="24"/>
        </w:rPr>
      </w:pPr>
      <w:r>
        <w:rPr>
          <w:rFonts w:hint="eastAsia" w:ascii="宋体" w:hAnsi="宋体"/>
          <w:sz w:val="24"/>
        </w:rPr>
        <w:t xml:space="preserve">（6）中标供应商擅自停业、歇业。</w:t>
      </w:r>
      <w:r/>
    </w:p>
    <w:p>
      <w:pPr>
        <w:ind w:firstLine="420"/>
        <w:spacing w:line="360" w:lineRule="auto"/>
        <w:rPr>
          <w:rFonts w:ascii="宋体" w:hAnsi="宋体"/>
          <w:sz w:val="24"/>
        </w:rPr>
      </w:pPr>
      <w:r>
        <w:rPr>
          <w:rFonts w:hint="eastAsia" w:ascii="宋体" w:hAnsi="宋体"/>
          <w:sz w:val="24"/>
        </w:rPr>
        <w:t xml:space="preserve">（7）中标供应商合同重要条款未履行达标且收到书面整改通知后未按通知限期整改的。</w:t>
      </w:r>
      <w:r/>
    </w:p>
    <w:p>
      <w:pPr>
        <w:ind w:firstLine="420"/>
        <w:spacing w:line="360" w:lineRule="auto"/>
        <w:rPr>
          <w:rFonts w:ascii="宋体" w:hAnsi="宋体"/>
          <w:sz w:val="24"/>
        </w:rPr>
      </w:pPr>
      <w:r>
        <w:rPr>
          <w:rFonts w:hint="eastAsia" w:ascii="宋体" w:hAnsi="宋体"/>
          <w:sz w:val="24"/>
        </w:rPr>
        <w:t xml:space="preserve">（8）中标供应商服务期间如被列入“信用中国”记录失信被执行人或重大税收违法失信主体，或发生法律、法规禁止的其他行为或有犯罪行为等的。</w:t>
      </w:r>
      <w:r/>
    </w:p>
    <w:p>
      <w:pPr>
        <w:ind w:firstLine="420"/>
        <w:spacing w:line="360" w:lineRule="auto"/>
        <w:rPr>
          <w:rFonts w:ascii="宋体" w:hAnsi="宋体"/>
          <w:sz w:val="24"/>
        </w:rPr>
      </w:pPr>
      <w:r>
        <w:rPr>
          <w:rFonts w:hint="eastAsia" w:ascii="宋体" w:hAnsi="宋体"/>
          <w:sz w:val="24"/>
        </w:rPr>
        <w:t xml:space="preserve">（9）将中标项目转包给他人，或者在投标文件中未说明，且未经过采购人同意，将中标项目分包给他人的。</w:t>
      </w:r>
      <w:r/>
    </w:p>
    <w:p>
      <w:pPr>
        <w:ind w:firstLine="420"/>
        <w:spacing w:line="360" w:lineRule="auto"/>
        <w:rPr>
          <w:rFonts w:ascii="宋体" w:hAnsi="宋体" w:cs="Arial"/>
          <w:sz w:val="24"/>
        </w:rPr>
      </w:pPr>
      <w:r>
        <w:rPr>
          <w:rFonts w:hint="eastAsia" w:ascii="宋体" w:hAnsi="宋体"/>
          <w:sz w:val="24"/>
        </w:rPr>
        <w:t xml:space="preserve">（10）法律、法规规定</w:t>
      </w:r>
      <w:r>
        <w:rPr>
          <w:rFonts w:hint="eastAsia" w:ascii="宋体" w:hAnsi="宋体" w:cs="Arial"/>
          <w:sz w:val="24"/>
        </w:rPr>
        <w:t xml:space="preserve">的其他不予退还履约保证金的情形。</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4.其他</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（1）本承诺书为我公司投标文件的重要组成部分，与采购合同具有同等法律效力。</w:t>
      </w:r>
      <w:r/>
    </w:p>
    <w:p>
      <w:pPr>
        <w:ind w:firstLine="480"/>
        <w:spacing w:line="360" w:lineRule="auto"/>
        <w:rPr>
          <w:rFonts w:ascii="宋体" w:hAnsi="宋体"/>
          <w:sz w:val="24"/>
          <w:shd w:val="clear" w:color="auto" w:fill="ffffff"/>
        </w:rPr>
      </w:pPr>
      <w:r>
        <w:rPr>
          <w:rFonts w:hint="eastAsia" w:ascii="宋体" w:hAnsi="宋体"/>
          <w:sz w:val="24"/>
          <w:shd w:val="clear" w:color="auto" w:fill="ffffff"/>
        </w:rPr>
        <w:t xml:space="preserve">（2）本承诺书未尽事宜，以采购文件及双方签订的采购合同约定为准。</w:t>
      </w:r>
      <w:r/>
    </w:p>
    <w:p>
      <w:pPr>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供应商全称（盖章）：____________________</w:t>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法定代表人或授权代表（签字或盖章）：__________</w:t>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日期：________年____月____日</w:t>
      </w:r>
      <w:r/>
    </w:p>
    <w:p>
      <w:pPr>
        <w:rPr>
          <w:rFonts w:ascii="宋体" w:hAnsi="宋体" w:cs="宋体"/>
          <w:sz w:val="24"/>
          <w:szCs w:val="24"/>
        </w:rPr>
      </w:pPr>
      <w:r>
        <w:rPr>
          <w:rFonts w:hint="eastAsia" w:ascii="宋体" w:hAnsi="宋体" w:cs="宋体"/>
          <w:sz w:val="24"/>
          <w:szCs w:val="24"/>
        </w:rPr>
        <w:br w:type="page" w:clear="all"/>
      </w:r>
      <w:r/>
    </w:p>
    <w:p>
      <w:pPr>
        <w:pStyle w:val="812"/>
        <w:spacing w:line="360" w:lineRule="auto"/>
        <w:rPr>
          <w:rFonts w:ascii="宋体" w:hAnsi="宋体" w:eastAsia="宋体"/>
          <w:bCs w:val="0"/>
          <w:sz w:val="28"/>
          <w:szCs w:val="28"/>
          <w:shd w:val="clear" w:color="auto" w:fill="ffffff"/>
        </w:rPr>
      </w:pPr>
      <w:r>
        <w:rPr>
          <w:rFonts w:hint="eastAsia" w:ascii="宋体" w:hAnsi="宋体" w:eastAsia="宋体"/>
          <w:bCs w:val="0"/>
          <w:sz w:val="28"/>
          <w:szCs w:val="28"/>
          <w:shd w:val="clear" w:color="auto" w:fill="ffffff"/>
        </w:rPr>
        <w:t xml:space="preserve">承诺书四（不拖欠员工工资承诺书）</w:t>
      </w:r>
      <w:r/>
    </w:p>
    <w:p>
      <w:pPr>
        <w:spacing w:line="360" w:lineRule="auto"/>
        <w:rPr>
          <w:rFonts w:ascii="宋体" w:hAnsi="宋体"/>
          <w:sz w:val="24"/>
          <w:shd w:val="clear" w:color="auto" w:fill="ffffff"/>
        </w:rPr>
      </w:pPr>
      <w:r>
        <w:rPr>
          <w:rFonts w:hint="eastAsia" w:ascii="宋体" w:hAnsi="宋体"/>
          <w:sz w:val="24"/>
          <w:shd w:val="clear" w:color="auto" w:fill="ffffff"/>
        </w:rPr>
        <w:t xml:space="preserve">致：</w:t>
      </w:r>
      <w:r>
        <w:rPr>
          <w:rFonts w:hint="eastAsia" w:ascii="宋体" w:hAnsi="宋体"/>
          <w:sz w:val="24"/>
          <w:u w:val="single"/>
          <w:shd w:val="clear" w:color="auto" w:fill="ffffff"/>
        </w:rPr>
        <w:t xml:space="preserve">无锡市滨湖区城市管理局</w:t>
      </w:r>
      <w:r/>
    </w:p>
    <w:p>
      <w:pPr>
        <w:ind w:firstLine="513"/>
        <w:spacing w:line="360" w:lineRule="auto"/>
        <w:rPr>
          <w:rFonts w:ascii="宋体" w:hAnsi="宋体"/>
          <w:sz w:val="24"/>
          <w:shd w:val="clear" w:color="auto" w:fill="ffffff"/>
        </w:rPr>
      </w:pPr>
      <w:r>
        <w:rPr>
          <w:rFonts w:hint="eastAsia" w:ascii="宋体" w:hAnsi="宋体"/>
          <w:sz w:val="24"/>
          <w:shd w:val="clear" w:color="auto" w:fill="ffffff"/>
        </w:rPr>
        <w:t xml:space="preserve">为保护员工的合法权益，按时足额支付劳动报酬，本企业郑重承诺</w:t>
      </w:r>
      <w:r>
        <w:rPr>
          <w:rFonts w:ascii="宋体" w:hAnsi="宋体"/>
          <w:sz w:val="24"/>
          <w:shd w:val="clear" w:color="auto" w:fill="ffffff"/>
        </w:rPr>
        <w:t xml:space="preserve">：</w:t>
      </w:r>
      <w:r/>
    </w:p>
    <w:p>
      <w:pPr>
        <w:ind w:firstLine="513"/>
        <w:spacing w:line="360" w:lineRule="auto"/>
        <w:rPr>
          <w:rFonts w:ascii="宋体" w:hAnsi="宋体"/>
          <w:sz w:val="24"/>
          <w:shd w:val="clear" w:color="auto" w:fill="ffffff"/>
        </w:rPr>
      </w:pPr>
      <w:r>
        <w:rPr>
          <w:rFonts w:ascii="宋体" w:hAnsi="宋体"/>
          <w:sz w:val="24"/>
          <w:shd w:val="clear" w:color="auto" w:fill="ffffff"/>
        </w:rPr>
        <w:t xml:space="preserve">本企业如果中标</w:t>
      </w:r>
      <w:r>
        <w:rPr>
          <w:rFonts w:hint="eastAsia" w:ascii="宋体" w:hAnsi="宋体"/>
          <w:sz w:val="24"/>
          <w:u w:val="single"/>
          <w:shd w:val="clear" w:color="auto" w:fill="ffffff"/>
        </w:rPr>
        <w:t xml:space="preserve">滨湖区环卫一体化作业服务项目</w:t>
      </w:r>
      <w:r>
        <w:rPr>
          <w:rFonts w:ascii="宋体" w:hAnsi="宋体"/>
          <w:sz w:val="24"/>
          <w:shd w:val="clear" w:color="auto" w:fill="ffffff"/>
        </w:rPr>
        <w:t xml:space="preserve">，</w:t>
      </w:r>
      <w:r>
        <w:rPr>
          <w:rFonts w:hint="eastAsia" w:ascii="宋体" w:hAnsi="宋体"/>
          <w:sz w:val="24"/>
          <w:shd w:val="clear" w:color="auto" w:fill="ffffff"/>
        </w:rPr>
        <w:t xml:space="preserve">在项目履约期间，将保证做到</w:t>
      </w:r>
      <w:r>
        <w:rPr>
          <w:rFonts w:ascii="宋体" w:hAnsi="宋体"/>
          <w:sz w:val="24"/>
          <w:shd w:val="clear" w:color="auto" w:fill="ffffff"/>
        </w:rPr>
        <w:t xml:space="preserve">：</w:t>
      </w:r>
      <w:r/>
    </w:p>
    <w:p>
      <w:pPr>
        <w:ind w:firstLine="513"/>
        <w:spacing w:line="360" w:lineRule="auto"/>
        <w:rPr>
          <w:rFonts w:ascii="宋体" w:hAnsi="宋体"/>
          <w:sz w:val="24"/>
          <w:shd w:val="clear" w:color="auto" w:fill="ffffff"/>
        </w:rPr>
      </w:pPr>
      <w:r>
        <w:rPr>
          <w:rFonts w:hint="eastAsia" w:ascii="宋体" w:hAnsi="宋体"/>
          <w:sz w:val="24"/>
          <w:shd w:val="clear" w:color="auto" w:fill="ffffff"/>
        </w:rPr>
        <w:t xml:space="preserve">1.按照《中华人民共和国劳动合同法》等相关法律法规规定，依法与项目聘用的所有员工（包括但不限于总项目负责人，专项服务小组人员，公厕巡查人员及各片区作业人员等）签订劳动（劳务）合同，工资将按时足额直接发放至员工本人账户，严禁发放给任何第三方或个人</w:t>
      </w:r>
      <w:r>
        <w:rPr>
          <w:rFonts w:ascii="宋体" w:hAnsi="宋体"/>
          <w:sz w:val="24"/>
          <w:shd w:val="clear" w:color="auto" w:fill="ffffff"/>
        </w:rPr>
        <w:t xml:space="preserve">。</w:t>
      </w:r>
      <w:r/>
    </w:p>
    <w:p>
      <w:pPr>
        <w:ind w:firstLine="420"/>
        <w:spacing w:line="360" w:lineRule="auto"/>
        <w:rPr>
          <w:rFonts w:ascii="宋体" w:hAnsi="宋体"/>
          <w:sz w:val="24"/>
          <w:shd w:val="clear" w:color="auto" w:fill="ffffff"/>
        </w:rPr>
      </w:pPr>
      <w:r>
        <w:rPr>
          <w:rFonts w:hint="eastAsia" w:ascii="宋体" w:hAnsi="宋体"/>
          <w:sz w:val="24"/>
          <w:shd w:val="clear" w:color="auto" w:fill="ffffff"/>
        </w:rPr>
        <w:t xml:space="preserve">2.按照《关于2025年无锡市区环卫一体化作业招标工作的指导意见》（锡城管发〔2025〕60号）要求，确保项目聘用的一线环卫职工月工资收入不低于无锡市最低工资水平的120%，并按照政策规定适时调整。环卫工人保险购买到位。高温费按时发放到位。一年一次环卫工人体检组织到位，并为本项目一线环卫工人提供“爱心早餐”服务。</w:t>
      </w:r>
      <w:r>
        <w:rPr>
          <w:rFonts w:hint="eastAsia" w:ascii="宋体" w:hAnsi="宋体"/>
          <w:sz w:val="24"/>
        </w:rPr>
        <w:t xml:space="preserve">早餐按每人每天6元标准执行，一线环卫工人可在中标供餐企业中自主选择就餐点和早餐品种。</w:t>
      </w:r>
      <w:r/>
    </w:p>
    <w:p>
      <w:pPr>
        <w:ind w:firstLine="513"/>
        <w:spacing w:line="360" w:lineRule="auto"/>
        <w:rPr>
          <w:rFonts w:ascii="宋体" w:hAnsi="宋体"/>
          <w:sz w:val="24"/>
          <w:shd w:val="clear" w:color="auto" w:fill="ffffff"/>
        </w:rPr>
      </w:pPr>
      <w:r>
        <w:rPr>
          <w:rFonts w:hint="eastAsia" w:ascii="宋体" w:hAnsi="宋体"/>
          <w:sz w:val="24"/>
          <w:shd w:val="clear" w:color="auto" w:fill="ffffff"/>
        </w:rPr>
        <w:t xml:space="preserve">3.我公司承诺凭借环卫项目服务合同在本市银行开立专用账户。专户开立后30日内向项目所在地市（县），区环境卫生管理部门报备，并提交环卫工人工资专用账户开设情况备案表。采购单位自合同签订之日起30日内组织中标供应商开立专用账户，签订资金管理三方协议。如我公司在同一采购单位同时有2个及以上环卫项目的，可开立新的专用账户，也可在专用账户下按项目分别管理，设立母子户，母户名称以企业名称加“环卫工人工资专用账户”，子户名称为项目名称加“环卫工人工资专用账户”。</w:t>
      </w:r>
      <w:r/>
    </w:p>
    <w:p>
      <w:pPr>
        <w:ind w:firstLine="513"/>
        <w:spacing w:line="360" w:lineRule="auto"/>
        <w:rPr>
          <w:rFonts w:ascii="宋体" w:hAnsi="宋体"/>
          <w:sz w:val="24"/>
          <w:shd w:val="clear" w:color="auto" w:fill="ffffff"/>
        </w:rPr>
      </w:pPr>
      <w:r>
        <w:rPr>
          <w:rFonts w:hint="eastAsia" w:ascii="宋体" w:hAnsi="宋体"/>
          <w:sz w:val="24"/>
          <w:shd w:val="clear" w:color="auto" w:fill="ffffff"/>
        </w:rPr>
        <w:t xml:space="preserve">4.如发生违反规定拖欠或克扣员工工资行为，造成员工投诉、上访或引发劳资纠纷的，本公司愿意接受采购人暂停我公司1年期间参加采购人招标项目投标资格的处罚，同时愿意接受行业主管部门依照有关规定作出的其他处罚决定。</w:t>
      </w:r>
      <w:r/>
    </w:p>
    <w:p>
      <w:pPr>
        <w:ind w:firstLine="513"/>
        <w:spacing w:line="360" w:lineRule="auto"/>
        <w:rPr>
          <w:rFonts w:ascii="宋体" w:hAnsi="宋体"/>
          <w:sz w:val="24"/>
          <w:shd w:val="clear" w:color="auto" w:fill="ffffff"/>
        </w:rPr>
      </w:pPr>
      <w:r>
        <w:rPr>
          <w:rFonts w:hint="eastAsia" w:ascii="宋体" w:hAnsi="宋体"/>
          <w:sz w:val="24"/>
          <w:shd w:val="clear" w:color="auto" w:fill="ffffff"/>
        </w:rPr>
        <w:t xml:space="preserve">5.违反本承诺的，本公司将自行承担由此产生的一切后果，并赔偿因此给贵单位造成的一切损失。</w:t>
      </w:r>
      <w:r/>
    </w:p>
    <w:p>
      <w:pPr>
        <w:jc w:val="right"/>
        <w:rPr>
          <w:rFonts w:ascii="宋体" w:hAnsi="宋体" w:cs="宋体"/>
          <w:sz w:val="24"/>
          <w:szCs w:val="24"/>
        </w:rPr>
      </w:pPr>
      <w:r>
        <w:rPr>
          <w:rFonts w:hint="eastAsia" w:ascii="宋体" w:hAnsi="宋体" w:cs="宋体"/>
          <w:sz w:val="24"/>
          <w:szCs w:val="24"/>
        </w:rPr>
        <w:t xml:space="preserve">供应商全称（盖章）：____________________</w:t>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法定代表人或授权代表（签字或盖章）：__________</w:t>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日期：________年____月____日</w:t>
      </w:r>
      <w:r/>
    </w:p>
    <w:p>
      <w:pPr>
        <w:rPr>
          <w:rFonts w:ascii="宋体" w:hAnsi="宋体"/>
          <w:b/>
          <w:sz w:val="28"/>
          <w:szCs w:val="28"/>
          <w:shd w:val="clear" w:color="auto" w:fill="ffffff"/>
        </w:rPr>
      </w:pPr>
      <w:r>
        <w:rPr>
          <w:rFonts w:hint="eastAsia" w:ascii="宋体" w:hAnsi="宋体"/>
          <w:b/>
          <w:sz w:val="28"/>
          <w:szCs w:val="28"/>
          <w:shd w:val="clear" w:color="auto" w:fill="ffffff"/>
        </w:rPr>
        <w:br w:type="page" w:clear="all"/>
      </w:r>
      <w:r/>
    </w:p>
    <w:p>
      <w:pPr>
        <w:jc w:val="center"/>
        <w:rPr>
          <w:rFonts w:ascii="宋体" w:hAnsi="宋体"/>
          <w:b/>
          <w:sz w:val="28"/>
          <w:szCs w:val="28"/>
          <w:shd w:val="clear" w:color="auto" w:fill="ffffff"/>
        </w:rPr>
        <w:outlineLvl w:val="0"/>
      </w:pPr>
      <w:r>
        <w:rPr>
          <w:rFonts w:hint="eastAsia" w:ascii="宋体" w:hAnsi="宋体"/>
          <w:b/>
          <w:sz w:val="28"/>
          <w:szCs w:val="28"/>
          <w:shd w:val="clear" w:color="auto" w:fill="ffffff"/>
        </w:rPr>
        <w:t xml:space="preserve">承诺书五（安全承诺责任书）</w:t>
      </w:r>
      <w:r/>
    </w:p>
    <w:p>
      <w:pPr>
        <w:pStyle w:val="840"/>
        <w:ind w:left="1260"/>
        <w:rPr>
          <w:rFonts w:ascii="宋体" w:hAnsi="宋体" w:cs="宋体"/>
          <w:b/>
          <w:sz w:val="24"/>
        </w:rPr>
      </w:pPr>
      <w:r>
        <w:rPr>
          <w:rFonts w:ascii="宋体" w:hAnsi="宋体" w:cs="宋体"/>
          <w:b/>
          <w:sz w:val="24"/>
        </w:rPr>
      </w:r>
      <w:r/>
    </w:p>
    <w:p>
      <w:pPr>
        <w:jc w:val="left"/>
        <w:spacing w:line="360" w:lineRule="auto"/>
        <w:rPr>
          <w:rFonts w:ascii="宋体" w:hAnsi="宋体"/>
          <w:b/>
          <w:sz w:val="24"/>
          <w:szCs w:val="24"/>
        </w:rPr>
      </w:pPr>
      <w:r>
        <w:rPr>
          <w:rFonts w:ascii="宋体" w:hAnsi="宋体"/>
          <w:b/>
          <w:sz w:val="24"/>
          <w:szCs w:val="24"/>
        </w:rPr>
      </w:r>
      <w:r/>
    </w:p>
    <w:p>
      <w:pPr>
        <w:spacing w:line="360" w:lineRule="auto"/>
        <w:rPr>
          <w:rFonts w:ascii="宋体" w:hAnsi="宋体"/>
          <w:bCs/>
          <w:sz w:val="24"/>
          <w:szCs w:val="24"/>
        </w:rPr>
      </w:pPr>
      <w:r>
        <w:rPr>
          <w:rFonts w:hint="eastAsia" w:ascii="宋体" w:hAnsi="宋体"/>
          <w:bCs/>
          <w:sz w:val="24"/>
          <w:szCs w:val="24"/>
        </w:rPr>
        <w:t xml:space="preserve">致：</w:t>
      </w:r>
      <w:r>
        <w:rPr>
          <w:rFonts w:hint="eastAsia" w:ascii="宋体" w:hAnsi="宋体"/>
          <w:bCs/>
          <w:sz w:val="24"/>
          <w:szCs w:val="24"/>
          <w:u w:val="single"/>
        </w:rPr>
        <w:t xml:space="preserve">无锡市滨湖区城市管理局</w:t>
      </w:r>
      <w:r/>
    </w:p>
    <w:p>
      <w:pPr>
        <w:ind w:firstLine="480"/>
        <w:spacing w:line="360" w:lineRule="auto"/>
        <w:rPr>
          <w:rFonts w:ascii="宋体" w:hAnsi="宋体"/>
          <w:bCs/>
          <w:sz w:val="24"/>
          <w:szCs w:val="24"/>
        </w:rPr>
      </w:pPr>
      <w:r>
        <w:rPr>
          <w:rFonts w:hint="eastAsia" w:ascii="宋体" w:hAnsi="宋体"/>
          <w:bCs/>
          <w:sz w:val="24"/>
          <w:szCs w:val="24"/>
        </w:rPr>
        <w:t xml:space="preserve">如我单位中标</w:t>
      </w:r>
      <w:r>
        <w:rPr>
          <w:rFonts w:hint="eastAsia" w:ascii="宋体" w:hAnsi="宋体"/>
          <w:bCs/>
          <w:sz w:val="24"/>
          <w:szCs w:val="24"/>
          <w:u w:val="single"/>
        </w:rPr>
        <w:t xml:space="preserve">滨湖区环卫一体化作业服务项目</w:t>
      </w:r>
      <w:r>
        <w:rPr>
          <w:rFonts w:hint="eastAsia" w:ascii="宋体" w:hAnsi="宋体"/>
          <w:bCs/>
          <w:sz w:val="24"/>
          <w:szCs w:val="24"/>
        </w:rPr>
        <w:t xml:space="preserve">，为切实履行安全生产主体责任，保障项目安全有序运行，我方郑重承诺如下：</w:t>
      </w:r>
      <w:r/>
    </w:p>
    <w:p>
      <w:pPr>
        <w:ind w:firstLine="480"/>
        <w:spacing w:line="360" w:lineRule="auto"/>
        <w:rPr>
          <w:rFonts w:ascii="宋体" w:hAnsi="宋体"/>
          <w:bCs/>
          <w:sz w:val="24"/>
          <w:szCs w:val="24"/>
        </w:rPr>
      </w:pPr>
      <w:r>
        <w:rPr>
          <w:rFonts w:hint="eastAsia" w:ascii="宋体" w:hAnsi="宋体"/>
          <w:bCs/>
          <w:sz w:val="24"/>
          <w:szCs w:val="24"/>
        </w:rPr>
        <w:t xml:space="preserve">1.我方对本项目聘用的全部员工（包括但不限于项目负责人、片区负责人、管理人员、道路清扫保洁人员等）的人身安全，以及投入本项目使用的全部作业车辆、设备、设施的财产安全，承担全面管理责任和全部法律责任。</w:t>
      </w:r>
      <w:r/>
    </w:p>
    <w:p>
      <w:pPr>
        <w:ind w:firstLine="480"/>
        <w:spacing w:line="360" w:lineRule="auto"/>
        <w:rPr>
          <w:rFonts w:ascii="宋体" w:hAnsi="宋体"/>
          <w:bCs/>
          <w:sz w:val="24"/>
          <w:szCs w:val="24"/>
        </w:rPr>
      </w:pPr>
      <w:r>
        <w:rPr>
          <w:rFonts w:hint="eastAsia" w:ascii="宋体" w:hAnsi="宋体"/>
          <w:bCs/>
          <w:sz w:val="24"/>
          <w:szCs w:val="24"/>
        </w:rPr>
        <w:t xml:space="preserve">2.我方承诺严格执行国家及地方安全生产法律法规，建立健全安全生产管理制度，落实岗前培训、安全交底和每日班前安全提醒。</w:t>
      </w:r>
      <w:r/>
    </w:p>
    <w:p>
      <w:pPr>
        <w:ind w:firstLine="480"/>
        <w:spacing w:line="360" w:lineRule="auto"/>
        <w:rPr>
          <w:rFonts w:ascii="宋体" w:hAnsi="宋体"/>
          <w:bCs/>
          <w:sz w:val="24"/>
          <w:szCs w:val="24"/>
        </w:rPr>
      </w:pPr>
      <w:r>
        <w:rPr>
          <w:rFonts w:hint="eastAsia" w:ascii="宋体" w:hAnsi="宋体"/>
          <w:bCs/>
          <w:sz w:val="24"/>
          <w:szCs w:val="24"/>
        </w:rPr>
        <w:t xml:space="preserve">3.我方承诺为全体员工统一配发劳动防护用品，包括但不限于夏</w:t>
      </w:r>
      <w:r>
        <w:rPr>
          <w:rFonts w:hint="eastAsia" w:ascii="宋体" w:hAnsi="宋体"/>
          <w:sz w:val="24"/>
        </w:rPr>
        <w:t xml:space="preserve">装套装（短袖）2套、春秋套装2套、冬季服装2套、工作帽（夏帽、冬帽）各1顶、安全头盔1顶、雨衣套装1套。环卫工作服技术需求参照《关于做好环卫工作服配备更新工作的通知》（锡城管发〔2026〕11号）执行</w:t>
      </w:r>
      <w:r>
        <w:rPr>
          <w:rFonts w:hint="eastAsia" w:ascii="宋体" w:hAnsi="宋体"/>
          <w:bCs/>
          <w:sz w:val="24"/>
          <w:szCs w:val="24"/>
        </w:rPr>
        <w:t xml:space="preserve">，夜间作业须佩戴发光安全标志；作业车辆须证照齐全，安装GPS及视频监控，每日出车前进行安全检查，严禁带病作业。</w:t>
      </w:r>
      <w:r/>
    </w:p>
    <w:p>
      <w:pPr>
        <w:ind w:firstLine="480"/>
        <w:spacing w:line="360" w:lineRule="auto"/>
        <w:rPr>
          <w:rFonts w:ascii="宋体" w:hAnsi="宋体"/>
          <w:bCs/>
          <w:sz w:val="24"/>
          <w:szCs w:val="24"/>
        </w:rPr>
      </w:pPr>
      <w:r>
        <w:rPr>
          <w:rFonts w:hint="eastAsia" w:ascii="宋体" w:hAnsi="宋体"/>
          <w:bCs/>
          <w:sz w:val="24"/>
          <w:szCs w:val="24"/>
        </w:rPr>
        <w:t xml:space="preserve">4.我方承诺</w:t>
      </w:r>
      <w:r>
        <w:rPr>
          <w:rFonts w:hint="eastAsia" w:ascii="宋体" w:hAnsi="宋体"/>
          <w:sz w:val="24"/>
          <w:szCs w:val="24"/>
        </w:rPr>
        <w:t xml:space="preserve">所投入环卫作业车辆</w:t>
      </w:r>
      <w:r>
        <w:rPr>
          <w:rFonts w:hint="eastAsia" w:ascii="宋体" w:hAnsi="宋体" w:cs="宋体"/>
          <w:sz w:val="24"/>
        </w:rPr>
        <w:t xml:space="preserve">保险等手续齐全，按规定进行上牌和年审</w:t>
      </w:r>
      <w:r>
        <w:rPr>
          <w:rFonts w:hint="eastAsia" w:ascii="宋体" w:hAnsi="宋体"/>
          <w:bCs/>
          <w:color w:val="ff0000"/>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5.我方承诺定期开展安全生产自查，建立隐患排查治理台账，对各级监管部门检查反馈的问题隐患限期整改到位。</w:t>
      </w:r>
      <w:r/>
    </w:p>
    <w:p>
      <w:pPr>
        <w:ind w:firstLine="480"/>
        <w:spacing w:line="360" w:lineRule="auto"/>
        <w:rPr>
          <w:rFonts w:ascii="宋体" w:hAnsi="宋体"/>
          <w:bCs/>
          <w:sz w:val="24"/>
          <w:szCs w:val="24"/>
        </w:rPr>
      </w:pPr>
      <w:r>
        <w:rPr>
          <w:rFonts w:hint="eastAsia" w:ascii="宋体" w:hAnsi="宋体"/>
          <w:bCs/>
          <w:sz w:val="24"/>
          <w:szCs w:val="24"/>
        </w:rPr>
        <w:t xml:space="preserve">6.履约期间如发生安全事故，我方承诺第一时间启动应急预案、妥善处置并在1小时内向采购人报告，独立承担由此产生的全部费用和法律责任（包括但不限于医疗费、赔偿金、罚款、诉讼费等）。</w:t>
      </w:r>
      <w:r/>
    </w:p>
    <w:p>
      <w:pPr>
        <w:ind w:firstLine="480"/>
        <w:spacing w:line="360" w:lineRule="auto"/>
        <w:rPr>
          <w:rFonts w:ascii="宋体" w:hAnsi="宋体"/>
          <w:bCs/>
          <w:sz w:val="24"/>
          <w:szCs w:val="24"/>
        </w:rPr>
      </w:pPr>
      <w:r>
        <w:rPr>
          <w:rFonts w:hint="eastAsia" w:ascii="宋体" w:hAnsi="宋体"/>
          <w:bCs/>
          <w:sz w:val="24"/>
          <w:szCs w:val="24"/>
        </w:rPr>
        <w:t xml:space="preserve">7.如因我方管理不善发生重大生产安全事故，或拒不整改安全隐患的，采购人有权在履约保证金中直接扣除相应违约金，或单方解除合同；履约保证金不足以弥补损失的，采购人有权继续向我方追偿。</w:t>
      </w:r>
      <w:r/>
    </w:p>
    <w:p>
      <w:pPr>
        <w:ind w:firstLine="480"/>
        <w:spacing w:line="360" w:lineRule="auto"/>
        <w:rPr>
          <w:rFonts w:ascii="宋体" w:hAnsi="宋体"/>
          <w:bCs/>
          <w:sz w:val="24"/>
          <w:szCs w:val="24"/>
        </w:rPr>
      </w:pPr>
      <w:r>
        <w:rPr>
          <w:rFonts w:hint="eastAsia" w:ascii="宋体" w:hAnsi="宋体"/>
          <w:bCs/>
          <w:sz w:val="24"/>
          <w:szCs w:val="24"/>
        </w:rPr>
        <w:t xml:space="preserve">8.本承诺书自我公司法定代表人或授权代表签字或加盖公章之日起生效，为投标文件的重要组成部分，与合同具有同等法律效力。</w:t>
      </w:r>
      <w:r/>
    </w:p>
    <w:p>
      <w:pPr>
        <w:jc w:val="right"/>
        <w:rPr>
          <w:rFonts w:ascii="宋体" w:hAnsi="宋体" w:cs="宋体"/>
          <w:sz w:val="24"/>
          <w:szCs w:val="24"/>
        </w:rPr>
      </w:pPr>
      <w:r>
        <w:rPr>
          <w:rFonts w:hint="eastAsia" w:ascii="宋体" w:hAnsi="宋体" w:cs="宋体"/>
          <w:sz w:val="24"/>
          <w:szCs w:val="24"/>
        </w:rPr>
        <w:t xml:space="preserve">供应商全称（盖章）：____________________</w:t>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法定代表人或授权代表（签字或盖章）：__________</w:t>
      </w:r>
      <w:r/>
    </w:p>
    <w:p>
      <w:pPr>
        <w:jc w:val="right"/>
        <w:rPr>
          <w:rFonts w:ascii="宋体" w:hAnsi="宋体" w:cs="宋体"/>
          <w:sz w:val="24"/>
          <w:szCs w:val="24"/>
        </w:rPr>
      </w:pPr>
      <w:r>
        <w:rPr>
          <w:rFonts w:ascii="宋体" w:hAnsi="宋体" w:cs="宋体"/>
          <w:sz w:val="24"/>
          <w:szCs w:val="24"/>
        </w:rPr>
      </w:r>
      <w:r/>
    </w:p>
    <w:p>
      <w:pPr>
        <w:jc w:val="right"/>
        <w:rPr>
          <w:rFonts w:ascii="宋体" w:hAnsi="宋体" w:cs="宋体"/>
          <w:b/>
          <w:color w:val="000000"/>
          <w:sz w:val="24"/>
          <w:szCs w:val="24"/>
        </w:rPr>
      </w:pPr>
      <w:r>
        <w:rPr>
          <w:rFonts w:hint="eastAsia" w:ascii="宋体" w:hAnsi="宋体" w:cs="宋体"/>
          <w:sz w:val="24"/>
          <w:szCs w:val="24"/>
        </w:rPr>
        <w:t xml:space="preserve">日期：________年____月____日</w:t>
      </w:r>
      <w:r>
        <w:rPr>
          <w:rFonts w:hint="eastAsia" w:ascii="宋体" w:hAnsi="宋体" w:cs="宋体"/>
          <w:b/>
          <w:color w:val="000000"/>
          <w:sz w:val="24"/>
          <w:szCs w:val="24"/>
        </w:rPr>
        <w:br w:type="page" w:clear="all"/>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（九）人员配备表（格式）</w:t>
      </w:r>
      <w:r/>
    </w:p>
    <w:p>
      <w:pPr>
        <w:jc w:val="center"/>
        <w:spacing w:line="360" w:lineRule="auto"/>
        <w:rPr>
          <w:rFonts w:ascii="宋体" w:hAnsi="宋体"/>
          <w:b/>
          <w:sz w:val="28"/>
          <w:szCs w:val="28"/>
        </w:rPr>
      </w:pPr>
      <w:r>
        <w:rPr>
          <w:rFonts w:hint="eastAsia" w:ascii="宋体" w:hAnsi="宋体"/>
          <w:b/>
          <w:bCs/>
          <w:sz w:val="28"/>
          <w:szCs w:val="28"/>
        </w:rPr>
        <w:t xml:space="preserve">（1）投标供应商拟投入本项目人员一览表</w:t>
      </w:r>
      <w:r/>
    </w:p>
    <w:p>
      <w:pPr>
        <w:spacing w:line="440" w:lineRule="exact"/>
        <w:rPr>
          <w:rFonts w:ascii="宋体" w:hAnsi="宋体"/>
          <w:bCs/>
          <w:sz w:val="24"/>
          <w:szCs w:val="24"/>
        </w:rPr>
      </w:pPr>
      <w:r>
        <w:rPr>
          <w:rFonts w:hint="eastAsia" w:ascii="宋体" w:hAnsi="宋体"/>
          <w:bCs/>
          <w:sz w:val="24"/>
          <w:szCs w:val="24"/>
        </w:rPr>
        <w:t xml:space="preserve">投标供应商名称（盖章）           采购项目编号：</w:t>
      </w:r>
      <w:r/>
    </w:p>
    <w:tbl>
      <w:tblPr>
        <w:tblStyle w:val="783"/>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729"/>
        <w:gridCol w:w="1050"/>
        <w:gridCol w:w="1253"/>
        <w:gridCol w:w="934"/>
        <w:gridCol w:w="934"/>
        <w:gridCol w:w="1305"/>
        <w:gridCol w:w="1056"/>
      </w:tblGrid>
      <w:tr>
        <w:trPr>
          <w:jc w:val="center"/>
          <w:trHeight w:val="884"/>
        </w:trPr>
        <w:tc>
          <w:tcPr>
            <w:tcW w:w="934" w:type="dxa"/>
            <w:vAlign w:val="center"/>
            <w:textDirection w:val="lrTb"/>
            <w:noWrap/>
          </w:tcPr>
          <w:p>
            <w:pPr>
              <w:jc w:val="center"/>
              <w:spacing w:line="440" w:lineRule="exact"/>
              <w:rPr>
                <w:rFonts w:ascii="宋体" w:hAnsi="宋体"/>
                <w:b/>
                <w:sz w:val="24"/>
              </w:rPr>
            </w:pPr>
            <w:r>
              <w:rPr>
                <w:rFonts w:hint="eastAsia" w:ascii="宋体" w:hAnsi="宋体"/>
                <w:b/>
                <w:sz w:val="24"/>
              </w:rPr>
              <w:t xml:space="preserve">序号</w:t>
            </w:r>
            <w:r/>
          </w:p>
        </w:tc>
        <w:tc>
          <w:tcPr>
            <w:tcW w:w="1729" w:type="dxa"/>
            <w:vAlign w:val="center"/>
            <w:textDirection w:val="lrTb"/>
            <w:noWrap/>
          </w:tcPr>
          <w:p>
            <w:pPr>
              <w:jc w:val="center"/>
              <w:spacing w:line="440" w:lineRule="exact"/>
              <w:rPr>
                <w:rFonts w:ascii="宋体" w:hAnsi="宋体"/>
                <w:b/>
                <w:sz w:val="24"/>
              </w:rPr>
            </w:pPr>
            <w:r>
              <w:rPr>
                <w:rFonts w:hint="eastAsia" w:ascii="宋体" w:hAnsi="宋体"/>
                <w:b/>
                <w:sz w:val="24"/>
              </w:rPr>
              <w:t xml:space="preserve">岗位名称</w:t>
            </w:r>
            <w:r/>
          </w:p>
        </w:tc>
        <w:tc>
          <w:tcPr>
            <w:tcW w:w="1050" w:type="dxa"/>
            <w:vAlign w:val="center"/>
            <w:textDirection w:val="lrTb"/>
            <w:noWrap/>
          </w:tcPr>
          <w:p>
            <w:pPr>
              <w:jc w:val="center"/>
              <w:spacing w:line="440" w:lineRule="exact"/>
              <w:rPr>
                <w:rFonts w:ascii="宋体" w:hAnsi="宋体"/>
                <w:b/>
                <w:sz w:val="24"/>
              </w:rPr>
            </w:pPr>
            <w:r>
              <w:rPr>
                <w:rFonts w:hint="eastAsia" w:ascii="宋体" w:hAnsi="宋体"/>
                <w:b/>
                <w:sz w:val="24"/>
              </w:rPr>
              <w:t xml:space="preserve">姓名</w:t>
            </w:r>
            <w:r/>
          </w:p>
        </w:tc>
        <w:tc>
          <w:tcPr>
            <w:tcW w:w="1253" w:type="dxa"/>
            <w:vAlign w:val="center"/>
            <w:textDirection w:val="lrTb"/>
            <w:noWrap/>
          </w:tcPr>
          <w:p>
            <w:pPr>
              <w:jc w:val="center"/>
              <w:spacing w:line="440" w:lineRule="exact"/>
              <w:rPr>
                <w:rFonts w:ascii="宋体" w:hAnsi="宋体"/>
                <w:b/>
                <w:sz w:val="24"/>
              </w:rPr>
            </w:pPr>
            <w:r>
              <w:rPr>
                <w:rFonts w:hint="eastAsia" w:ascii="宋体" w:hAnsi="宋体"/>
                <w:b/>
                <w:sz w:val="24"/>
              </w:rPr>
              <w:t xml:space="preserve">性别</w:t>
            </w:r>
            <w:r/>
          </w:p>
        </w:tc>
        <w:tc>
          <w:tcPr>
            <w:tcW w:w="934" w:type="dxa"/>
            <w:vAlign w:val="center"/>
            <w:textDirection w:val="lrTb"/>
            <w:noWrap/>
          </w:tcPr>
          <w:p>
            <w:pPr>
              <w:jc w:val="center"/>
              <w:spacing w:line="440" w:lineRule="exact"/>
              <w:rPr>
                <w:rFonts w:ascii="宋体" w:hAnsi="宋体"/>
                <w:b/>
                <w:sz w:val="24"/>
              </w:rPr>
            </w:pPr>
            <w:r>
              <w:rPr>
                <w:rFonts w:hint="eastAsia" w:ascii="宋体" w:hAnsi="宋体"/>
                <w:b/>
                <w:sz w:val="24"/>
              </w:rPr>
              <w:t xml:space="preserve">年龄</w:t>
            </w:r>
            <w:r/>
          </w:p>
        </w:tc>
        <w:tc>
          <w:tcPr>
            <w:tcW w:w="934" w:type="dxa"/>
            <w:vAlign w:val="center"/>
            <w:textDirection w:val="lrTb"/>
            <w:noWrap/>
          </w:tcPr>
          <w:p>
            <w:pPr>
              <w:jc w:val="center"/>
              <w:spacing w:line="440" w:lineRule="exact"/>
              <w:rPr>
                <w:rFonts w:ascii="宋体" w:hAnsi="宋体"/>
                <w:b/>
                <w:sz w:val="24"/>
              </w:rPr>
            </w:pPr>
            <w:r>
              <w:rPr>
                <w:rFonts w:hint="eastAsia" w:ascii="宋体" w:hAnsi="宋体"/>
                <w:b/>
                <w:sz w:val="24"/>
              </w:rPr>
              <w:t xml:space="preserve">学历</w:t>
            </w:r>
            <w:r/>
          </w:p>
        </w:tc>
        <w:tc>
          <w:tcPr>
            <w:tcW w:w="1305" w:type="dxa"/>
            <w:vAlign w:val="center"/>
            <w:textDirection w:val="lrTb"/>
            <w:noWrap/>
          </w:tcPr>
          <w:p>
            <w:pPr>
              <w:jc w:val="center"/>
              <w:spacing w:line="440" w:lineRule="exact"/>
              <w:rPr>
                <w:rFonts w:ascii="宋体" w:hAnsi="宋体"/>
                <w:b/>
                <w:sz w:val="24"/>
              </w:rPr>
            </w:pPr>
            <w:r>
              <w:rPr>
                <w:rFonts w:hint="eastAsia" w:ascii="宋体" w:hAnsi="宋体"/>
                <w:b/>
                <w:sz w:val="24"/>
              </w:rPr>
              <w:t xml:space="preserve">证书名称</w:t>
            </w:r>
            <w:r/>
          </w:p>
        </w:tc>
        <w:tc>
          <w:tcPr>
            <w:tcW w:w="1056" w:type="dxa"/>
            <w:vAlign w:val="center"/>
            <w:textDirection w:val="lrTb"/>
            <w:noWrap/>
          </w:tcPr>
          <w:p>
            <w:pPr>
              <w:jc w:val="center"/>
              <w:spacing w:line="440" w:lineRule="exact"/>
              <w:rPr>
                <w:rFonts w:ascii="宋体" w:hAnsi="宋体"/>
                <w:b/>
                <w:sz w:val="24"/>
              </w:rPr>
            </w:pPr>
            <w:r>
              <w:rPr>
                <w:rFonts w:hint="eastAsia" w:ascii="宋体" w:hAnsi="宋体"/>
                <w:b/>
                <w:sz w:val="24"/>
              </w:rPr>
              <w:t xml:space="preserve">备注</w:t>
            </w:r>
            <w:r/>
          </w:p>
        </w:tc>
      </w:tr>
      <w:tr>
        <w:trPr>
          <w:jc w:val="center"/>
          <w:trHeight w:val="626"/>
        </w:trPr>
        <w:tc>
          <w:tcPr>
            <w:tcW w:w="934" w:type="dxa"/>
            <w:vAlign w:val="center"/>
            <w:textDirection w:val="lrTb"/>
            <w:noWrap/>
          </w:tcPr>
          <w:p>
            <w:pPr>
              <w:jc w:val="center"/>
              <w:rPr>
                <w:rFonts w:ascii="宋体" w:hAnsi="宋体" w:cs="Arial"/>
                <w:color w:val="000000"/>
                <w:sz w:val="24"/>
              </w:rPr>
            </w:pPr>
            <w:r>
              <w:rPr>
                <w:rFonts w:hint="eastAsia" w:ascii="宋体" w:hAnsi="宋体" w:cs="Arial"/>
                <w:color w:val="000000"/>
                <w:sz w:val="24"/>
              </w:rPr>
              <w:t xml:space="preserve">1</w:t>
            </w:r>
            <w:r/>
          </w:p>
        </w:tc>
        <w:tc>
          <w:tcPr>
            <w:tcW w:w="1729" w:type="dxa"/>
            <w:vAlign w:val="center"/>
            <w:textDirection w:val="lrTb"/>
            <w:noWrap/>
          </w:tcPr>
          <w:p>
            <w:pPr>
              <w:jc w:val="center"/>
              <w:rPr>
                <w:rFonts w:ascii="宋体" w:hAnsi="宋体"/>
                <w:sz w:val="24"/>
                <w:szCs w:val="24"/>
              </w:rPr>
            </w:pPr>
            <w:r>
              <w:rPr>
                <w:rFonts w:ascii="宋体" w:hAnsi="宋体"/>
                <w:sz w:val="24"/>
                <w:szCs w:val="24"/>
              </w:rPr>
            </w:r>
            <w:r/>
          </w:p>
        </w:tc>
        <w:tc>
          <w:tcPr>
            <w:tcW w:w="1050" w:type="dxa"/>
            <w:vAlign w:val="top"/>
            <w:textDirection w:val="lrTb"/>
            <w:noWrap/>
          </w:tcPr>
          <w:p>
            <w:pPr>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rPr>
                <w:rFonts w:ascii="宋体" w:hAnsi="宋体"/>
                <w:bCs/>
                <w:sz w:val="24"/>
                <w:szCs w:val="24"/>
              </w:rPr>
              <w:outlineLvl w:val="0"/>
            </w:pPr>
            <w:r>
              <w:rPr>
                <w:rFonts w:ascii="宋体" w:hAnsi="宋体"/>
                <w:bCs/>
                <w:sz w:val="24"/>
                <w:szCs w:val="24"/>
              </w:rPr>
            </w:r>
            <w:r/>
          </w:p>
        </w:tc>
      </w:tr>
      <w:tr>
        <w:trPr>
          <w:jc w:val="center"/>
          <w:trHeight w:val="626"/>
        </w:trPr>
        <w:tc>
          <w:tcPr>
            <w:tcW w:w="934" w:type="dxa"/>
            <w:vAlign w:val="center"/>
            <w:textDirection w:val="lrTb"/>
            <w:noWrap/>
          </w:tcPr>
          <w:p>
            <w:pPr>
              <w:jc w:val="center"/>
              <w:rPr>
                <w:rFonts w:ascii="宋体" w:hAnsi="宋体" w:cs="Arial"/>
                <w:color w:val="000000"/>
                <w:sz w:val="24"/>
              </w:rPr>
            </w:pPr>
            <w:r>
              <w:rPr>
                <w:rFonts w:hint="eastAsia" w:ascii="宋体" w:hAnsi="宋体" w:cs="Arial"/>
                <w:color w:val="000000"/>
                <w:sz w:val="24"/>
              </w:rPr>
              <w:t xml:space="preserve">2</w:t>
            </w:r>
            <w:r/>
          </w:p>
        </w:tc>
        <w:tc>
          <w:tcPr>
            <w:tcW w:w="1729" w:type="dxa"/>
            <w:vAlign w:val="center"/>
            <w:textDirection w:val="lrTb"/>
            <w:noWrap/>
          </w:tcPr>
          <w:p>
            <w:pPr>
              <w:jc w:val="center"/>
              <w:rPr>
                <w:rFonts w:ascii="宋体" w:hAnsi="宋体"/>
                <w:bCs/>
                <w:sz w:val="24"/>
                <w:szCs w:val="24"/>
              </w:rPr>
              <w:outlineLvl w:val="0"/>
            </w:pPr>
            <w:r>
              <w:rPr>
                <w:rFonts w:ascii="宋体" w:hAnsi="宋体"/>
                <w:bCs/>
                <w:sz w:val="24"/>
                <w:szCs w:val="24"/>
              </w:rPr>
            </w:r>
            <w:r/>
          </w:p>
        </w:tc>
        <w:tc>
          <w:tcPr>
            <w:tcW w:w="1050" w:type="dxa"/>
            <w:vAlign w:val="top"/>
            <w:textDirection w:val="lrTb"/>
            <w:noWrap/>
          </w:tcPr>
          <w:p>
            <w:pPr>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rPr>
                <w:rFonts w:ascii="宋体" w:hAnsi="宋体"/>
                <w:bCs/>
                <w:sz w:val="24"/>
                <w:szCs w:val="24"/>
              </w:rPr>
              <w:outlineLvl w:val="0"/>
            </w:pPr>
            <w:r>
              <w:rPr>
                <w:rFonts w:ascii="宋体" w:hAnsi="宋体"/>
                <w:bCs/>
                <w:sz w:val="24"/>
                <w:szCs w:val="24"/>
              </w:rPr>
            </w:r>
            <w:r/>
          </w:p>
        </w:tc>
      </w:tr>
      <w:tr>
        <w:trPr>
          <w:jc w:val="center"/>
          <w:trHeight w:val="626"/>
        </w:trPr>
        <w:tc>
          <w:tcPr>
            <w:tcW w:w="934" w:type="dxa"/>
            <w:vAlign w:val="center"/>
            <w:textDirection w:val="lrTb"/>
            <w:noWrap/>
          </w:tcPr>
          <w:p>
            <w:pPr>
              <w:jc w:val="center"/>
              <w:rPr>
                <w:rFonts w:ascii="宋体" w:hAnsi="宋体" w:cs="Arial"/>
                <w:color w:val="000000"/>
                <w:sz w:val="24"/>
              </w:rPr>
            </w:pPr>
            <w:r>
              <w:rPr>
                <w:rFonts w:hint="eastAsia" w:ascii="宋体" w:hAnsi="宋体" w:cs="Arial"/>
                <w:color w:val="000000"/>
                <w:sz w:val="24"/>
              </w:rPr>
              <w:t xml:space="preserve">3</w:t>
            </w:r>
            <w:r/>
          </w:p>
        </w:tc>
        <w:tc>
          <w:tcPr>
            <w:tcW w:w="1729" w:type="dxa"/>
            <w:vAlign w:val="center"/>
            <w:textDirection w:val="lrTb"/>
            <w:noWrap/>
          </w:tcPr>
          <w:p>
            <w:pPr>
              <w:jc w:val="center"/>
              <w:rPr>
                <w:rFonts w:ascii="宋体" w:hAnsi="宋体"/>
                <w:bCs/>
                <w:sz w:val="24"/>
                <w:szCs w:val="24"/>
              </w:rPr>
              <w:outlineLvl w:val="0"/>
            </w:pPr>
            <w:r>
              <w:rPr>
                <w:rFonts w:ascii="宋体" w:hAnsi="宋体"/>
                <w:bCs/>
                <w:sz w:val="24"/>
                <w:szCs w:val="24"/>
              </w:rPr>
            </w:r>
            <w:r/>
          </w:p>
        </w:tc>
        <w:tc>
          <w:tcPr>
            <w:tcW w:w="1050" w:type="dxa"/>
            <w:vAlign w:val="top"/>
            <w:textDirection w:val="lrTb"/>
            <w:noWrap/>
          </w:tcPr>
          <w:p>
            <w:pPr>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rPr>
                <w:rFonts w:ascii="宋体" w:hAnsi="宋体"/>
                <w:bCs/>
                <w:sz w:val="24"/>
                <w:szCs w:val="24"/>
              </w:rPr>
              <w:outlineLvl w:val="0"/>
            </w:pPr>
            <w:r>
              <w:rPr>
                <w:rFonts w:ascii="宋体" w:hAnsi="宋体"/>
                <w:bCs/>
                <w:sz w:val="24"/>
                <w:szCs w:val="24"/>
              </w:rPr>
            </w:r>
            <w:r/>
          </w:p>
        </w:tc>
      </w:tr>
      <w:tr>
        <w:trPr>
          <w:jc w:val="center"/>
          <w:trHeight w:val="626"/>
        </w:trPr>
        <w:tc>
          <w:tcPr>
            <w:tcW w:w="934" w:type="dxa"/>
            <w:vAlign w:val="center"/>
            <w:textDirection w:val="lrTb"/>
            <w:noWrap/>
          </w:tcPr>
          <w:p>
            <w:pPr>
              <w:jc w:val="center"/>
              <w:rPr>
                <w:rFonts w:ascii="宋体" w:hAnsi="宋体" w:cs="Arial"/>
                <w:color w:val="000000"/>
                <w:sz w:val="24"/>
              </w:rPr>
            </w:pPr>
            <w:r>
              <w:rPr>
                <w:rFonts w:hint="eastAsia" w:ascii="宋体" w:hAnsi="宋体" w:cs="Arial"/>
                <w:color w:val="000000"/>
                <w:sz w:val="24"/>
              </w:rPr>
              <w:t xml:space="preserve">4</w:t>
            </w:r>
            <w:r/>
          </w:p>
        </w:tc>
        <w:tc>
          <w:tcPr>
            <w:tcW w:w="1729" w:type="dxa"/>
            <w:vAlign w:val="center"/>
            <w:textDirection w:val="lrTb"/>
            <w:noWrap/>
          </w:tcPr>
          <w:p>
            <w:pPr>
              <w:jc w:val="center"/>
              <w:rPr>
                <w:rFonts w:ascii="宋体" w:hAnsi="宋体"/>
                <w:bCs/>
                <w:sz w:val="24"/>
                <w:szCs w:val="24"/>
              </w:rPr>
              <w:outlineLvl w:val="0"/>
            </w:pPr>
            <w:r>
              <w:rPr>
                <w:rFonts w:ascii="宋体" w:hAnsi="宋体"/>
                <w:bCs/>
                <w:sz w:val="24"/>
                <w:szCs w:val="24"/>
              </w:rPr>
            </w:r>
            <w:r/>
          </w:p>
        </w:tc>
        <w:tc>
          <w:tcPr>
            <w:tcW w:w="1050" w:type="dxa"/>
            <w:vAlign w:val="top"/>
            <w:textDirection w:val="lrTb"/>
            <w:noWrap/>
          </w:tcPr>
          <w:p>
            <w:pPr>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rPr>
                <w:rFonts w:ascii="宋体" w:hAnsi="宋体"/>
                <w:bCs/>
                <w:sz w:val="24"/>
                <w:szCs w:val="24"/>
              </w:rPr>
              <w:outlineLvl w:val="0"/>
            </w:pPr>
            <w:r>
              <w:rPr>
                <w:rFonts w:ascii="宋体" w:hAnsi="宋体"/>
                <w:bCs/>
                <w:sz w:val="24"/>
                <w:szCs w:val="24"/>
              </w:rPr>
            </w:r>
            <w:r/>
          </w:p>
        </w:tc>
      </w:tr>
      <w:tr>
        <w:trPr>
          <w:jc w:val="center"/>
          <w:trHeight w:val="626"/>
        </w:trPr>
        <w:tc>
          <w:tcPr>
            <w:tcW w:w="934" w:type="dxa"/>
            <w:vAlign w:val="center"/>
            <w:textDirection w:val="lrTb"/>
            <w:noWrap/>
          </w:tcPr>
          <w:p>
            <w:pPr>
              <w:jc w:val="center"/>
              <w:rPr>
                <w:rFonts w:ascii="宋体" w:hAnsi="宋体" w:cs="Arial"/>
                <w:color w:val="000000"/>
                <w:sz w:val="24"/>
              </w:rPr>
            </w:pPr>
            <w:r>
              <w:rPr>
                <w:rFonts w:hint="eastAsia" w:ascii="宋体" w:hAnsi="宋体" w:cs="Arial"/>
                <w:color w:val="000000"/>
                <w:sz w:val="24"/>
              </w:rPr>
              <w:t xml:space="preserve">5</w:t>
            </w:r>
            <w:r/>
          </w:p>
        </w:tc>
        <w:tc>
          <w:tcPr>
            <w:tcW w:w="1729" w:type="dxa"/>
            <w:vAlign w:val="center"/>
            <w:textDirection w:val="lrTb"/>
            <w:noWrap/>
          </w:tcPr>
          <w:p>
            <w:pPr>
              <w:jc w:val="center"/>
              <w:rPr>
                <w:rFonts w:ascii="宋体" w:hAnsi="宋体"/>
                <w:bCs/>
                <w:sz w:val="24"/>
                <w:szCs w:val="24"/>
              </w:rPr>
              <w:outlineLvl w:val="0"/>
            </w:pPr>
            <w:r>
              <w:rPr>
                <w:rFonts w:ascii="宋体" w:hAnsi="宋体"/>
                <w:bCs/>
                <w:sz w:val="24"/>
                <w:szCs w:val="24"/>
              </w:rPr>
            </w:r>
            <w:r/>
          </w:p>
        </w:tc>
        <w:tc>
          <w:tcPr>
            <w:tcW w:w="1050" w:type="dxa"/>
            <w:vAlign w:val="top"/>
            <w:textDirection w:val="lrTb"/>
            <w:noWrap/>
          </w:tcPr>
          <w:p>
            <w:pPr>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rPr>
                <w:rFonts w:ascii="宋体" w:hAnsi="宋体"/>
                <w:bCs/>
                <w:sz w:val="24"/>
                <w:szCs w:val="24"/>
              </w:rPr>
              <w:outlineLvl w:val="0"/>
            </w:pPr>
            <w:r>
              <w:rPr>
                <w:rFonts w:ascii="宋体" w:hAnsi="宋体"/>
                <w:bCs/>
                <w:sz w:val="24"/>
                <w:szCs w:val="24"/>
              </w:rPr>
            </w:r>
            <w:r/>
          </w:p>
        </w:tc>
      </w:tr>
      <w:tr>
        <w:trPr>
          <w:jc w:val="center"/>
          <w:trHeight w:val="626"/>
        </w:trPr>
        <w:tc>
          <w:tcPr>
            <w:tcW w:w="934" w:type="dxa"/>
            <w:vAlign w:val="center"/>
            <w:textDirection w:val="lrTb"/>
            <w:noWrap/>
          </w:tcPr>
          <w:p>
            <w:pPr>
              <w:jc w:val="center"/>
              <w:rPr>
                <w:rFonts w:ascii="宋体" w:hAnsi="宋体" w:cs="Arial"/>
                <w:color w:val="000000"/>
                <w:sz w:val="24"/>
              </w:rPr>
            </w:pPr>
            <w:r>
              <w:rPr>
                <w:rFonts w:hint="eastAsia" w:ascii="宋体" w:hAnsi="宋体" w:cs="Arial"/>
                <w:color w:val="000000"/>
                <w:sz w:val="24"/>
              </w:rPr>
              <w:t xml:space="preserve">6</w:t>
            </w:r>
            <w:r/>
          </w:p>
        </w:tc>
        <w:tc>
          <w:tcPr>
            <w:tcW w:w="1729" w:type="dxa"/>
            <w:vAlign w:val="center"/>
            <w:textDirection w:val="lrTb"/>
            <w:noWrap/>
          </w:tcPr>
          <w:p>
            <w:pPr>
              <w:jc w:val="center"/>
              <w:rPr>
                <w:rFonts w:ascii="宋体" w:hAnsi="宋体"/>
                <w:bCs/>
                <w:sz w:val="24"/>
                <w:szCs w:val="24"/>
              </w:rPr>
              <w:outlineLvl w:val="0"/>
            </w:pPr>
            <w:r>
              <w:rPr>
                <w:rFonts w:ascii="宋体" w:hAnsi="宋体"/>
                <w:bCs/>
                <w:sz w:val="24"/>
                <w:szCs w:val="24"/>
              </w:rPr>
            </w:r>
            <w:r/>
          </w:p>
        </w:tc>
        <w:tc>
          <w:tcPr>
            <w:tcW w:w="1050" w:type="dxa"/>
            <w:vAlign w:val="top"/>
            <w:textDirection w:val="lrTb"/>
            <w:noWrap/>
          </w:tcPr>
          <w:p>
            <w:pPr>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rPr>
                <w:rFonts w:ascii="宋体" w:hAnsi="宋体"/>
                <w:bCs/>
                <w:sz w:val="24"/>
                <w:szCs w:val="24"/>
              </w:rPr>
              <w:outlineLvl w:val="0"/>
            </w:pPr>
            <w:r>
              <w:rPr>
                <w:rFonts w:ascii="宋体" w:hAnsi="宋体"/>
                <w:bCs/>
                <w:sz w:val="24"/>
                <w:szCs w:val="24"/>
              </w:rPr>
            </w:r>
            <w:r/>
          </w:p>
        </w:tc>
      </w:tr>
      <w:tr>
        <w:trPr>
          <w:jc w:val="center"/>
          <w:trHeight w:val="626"/>
        </w:trPr>
        <w:tc>
          <w:tcPr>
            <w:tcW w:w="934" w:type="dxa"/>
            <w:vAlign w:val="center"/>
            <w:textDirection w:val="lrTb"/>
            <w:noWrap/>
          </w:tcPr>
          <w:p>
            <w:pPr>
              <w:jc w:val="center"/>
              <w:rPr>
                <w:rFonts w:ascii="宋体" w:hAnsi="宋体" w:cs="Arial"/>
                <w:color w:val="000000"/>
                <w:sz w:val="24"/>
              </w:rPr>
            </w:pPr>
            <w:r/>
            <w:bookmarkStart w:id="25" w:name="_Toc98277382"/>
            <w:r/>
            <w:bookmarkStart w:id="26" w:name="_Toc37322910"/>
            <w:r/>
            <w:bookmarkStart w:id="27" w:name="_Toc37328759"/>
            <w:r/>
            <w:bookmarkStart w:id="28" w:name="_Toc116946362"/>
            <w:r>
              <w:rPr>
                <w:rFonts w:hint="eastAsia" w:ascii="宋体" w:hAnsi="宋体" w:cs="Arial"/>
                <w:color w:val="000000"/>
                <w:sz w:val="24"/>
              </w:rPr>
              <w:t xml:space="preserve">7</w:t>
            </w:r>
            <w:r/>
          </w:p>
        </w:tc>
        <w:tc>
          <w:tcPr>
            <w:tcW w:w="1729" w:type="dxa"/>
            <w:vAlign w:val="center"/>
            <w:textDirection w:val="lrTb"/>
            <w:noWrap/>
          </w:tcPr>
          <w:p>
            <w:pPr>
              <w:jc w:val="center"/>
              <w:rPr>
                <w:rFonts w:ascii="宋体" w:hAnsi="宋体" w:cs="Arial"/>
                <w:color w:val="000000"/>
                <w:sz w:val="24"/>
              </w:rPr>
              <w:outlineLvl w:val="0"/>
            </w:pPr>
            <w:r>
              <w:rPr>
                <w:rFonts w:ascii="宋体" w:hAnsi="宋体" w:cs="Arial"/>
                <w:color w:val="000000"/>
                <w:sz w:val="24"/>
              </w:rPr>
            </w:r>
            <w:r/>
          </w:p>
        </w:tc>
        <w:tc>
          <w:tcPr>
            <w:tcW w:w="1050" w:type="dxa"/>
            <w:vAlign w:val="top"/>
            <w:textDirection w:val="lrTb"/>
            <w:noWrap/>
          </w:tcPr>
          <w:p>
            <w:pPr>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rPr>
                <w:rFonts w:ascii="宋体" w:hAnsi="宋体"/>
                <w:bCs/>
                <w:sz w:val="24"/>
                <w:szCs w:val="24"/>
              </w:rPr>
              <w:outlineLvl w:val="0"/>
            </w:pPr>
            <w:r>
              <w:rPr>
                <w:rFonts w:ascii="宋体" w:hAnsi="宋体"/>
                <w:bCs/>
                <w:sz w:val="24"/>
                <w:szCs w:val="24"/>
              </w:rPr>
            </w:r>
            <w:r/>
          </w:p>
        </w:tc>
      </w:tr>
      <w:tr>
        <w:trPr>
          <w:jc w:val="center"/>
          <w:trHeight w:val="626"/>
        </w:trPr>
        <w:tc>
          <w:tcPr>
            <w:tcW w:w="934" w:type="dxa"/>
            <w:vAlign w:val="center"/>
            <w:textDirection w:val="lrTb"/>
            <w:noWrap/>
          </w:tcPr>
          <w:p>
            <w:pPr>
              <w:jc w:val="center"/>
              <w:rPr>
                <w:rFonts w:ascii="宋体" w:hAnsi="宋体" w:cs="Arial"/>
                <w:color w:val="000000"/>
                <w:sz w:val="24"/>
              </w:rPr>
            </w:pPr>
            <w:r>
              <w:rPr>
                <w:rFonts w:hint="eastAsia" w:ascii="宋体" w:hAnsi="宋体" w:cs="Arial"/>
                <w:color w:val="000000"/>
                <w:sz w:val="24"/>
              </w:rPr>
              <w:t xml:space="preserve">8</w:t>
            </w:r>
            <w:r/>
          </w:p>
        </w:tc>
        <w:tc>
          <w:tcPr>
            <w:tcW w:w="1729" w:type="dxa"/>
            <w:vAlign w:val="center"/>
            <w:textDirection w:val="lrTb"/>
            <w:noWrap/>
          </w:tcPr>
          <w:p>
            <w:pPr>
              <w:jc w:val="center"/>
              <w:rPr>
                <w:rFonts w:ascii="宋体" w:hAnsi="宋体" w:cs="Arial"/>
                <w:color w:val="000000"/>
                <w:sz w:val="24"/>
              </w:rPr>
              <w:outlineLvl w:val="0"/>
            </w:pPr>
            <w:r>
              <w:rPr>
                <w:rFonts w:ascii="宋体" w:hAnsi="宋体" w:cs="Arial"/>
                <w:color w:val="000000"/>
                <w:sz w:val="24"/>
              </w:rPr>
            </w:r>
            <w:r/>
          </w:p>
        </w:tc>
        <w:tc>
          <w:tcPr>
            <w:tcW w:w="1050" w:type="dxa"/>
            <w:vAlign w:val="top"/>
            <w:textDirection w:val="lrTb"/>
            <w:noWrap/>
          </w:tcPr>
          <w:p>
            <w:pPr>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rPr>
                <w:rFonts w:ascii="宋体" w:hAnsi="宋体"/>
                <w:bCs/>
                <w:sz w:val="24"/>
                <w:szCs w:val="24"/>
              </w:rPr>
              <w:outlineLvl w:val="0"/>
            </w:pPr>
            <w:r>
              <w:rPr>
                <w:rFonts w:ascii="宋体" w:hAnsi="宋体"/>
                <w:bCs/>
                <w:sz w:val="24"/>
                <w:szCs w:val="24"/>
              </w:rPr>
            </w:r>
            <w:bookmarkEnd w:id="25"/>
            <w:bookmarkEnd w:id="26"/>
            <w:bookmarkEnd w:id="27"/>
            <w:bookmarkEnd w:id="28"/>
            <w:r/>
          </w:p>
        </w:tc>
      </w:tr>
      <w:tr>
        <w:trPr>
          <w:jc w:val="center"/>
          <w:trHeight w:val="684"/>
        </w:trPr>
        <w:tc>
          <w:tcPr>
            <w:tcW w:w="934" w:type="dxa"/>
            <w:vAlign w:val="center"/>
            <w:textDirection w:val="lrTb"/>
            <w:noWrap/>
          </w:tcPr>
          <w:p>
            <w:pPr>
              <w:jc w:val="center"/>
              <w:rPr>
                <w:rFonts w:ascii="宋体" w:hAnsi="宋体"/>
                <w:bCs/>
                <w:sz w:val="24"/>
                <w:szCs w:val="24"/>
              </w:rPr>
              <w:outlineLvl w:val="0"/>
            </w:pPr>
            <w:r>
              <w:rPr>
                <w:rFonts w:hint="eastAsia" w:ascii="宋体" w:hAnsi="宋体"/>
                <w:bCs/>
                <w:sz w:val="24"/>
                <w:szCs w:val="24"/>
              </w:rPr>
              <w:t xml:space="preserve">……</w:t>
            </w:r>
            <w:r/>
          </w:p>
        </w:tc>
        <w:tc>
          <w:tcPr>
            <w:tcW w:w="1729" w:type="dxa"/>
            <w:vAlign w:val="center"/>
            <w:textDirection w:val="lrTb"/>
            <w:noWrap/>
          </w:tcPr>
          <w:p>
            <w:pPr>
              <w:jc w:val="center"/>
              <w:rPr>
                <w:rFonts w:ascii="宋体" w:hAnsi="宋体"/>
                <w:bCs/>
                <w:sz w:val="24"/>
                <w:szCs w:val="24"/>
              </w:rPr>
              <w:outlineLvl w:val="0"/>
            </w:pPr>
            <w:r>
              <w:rPr>
                <w:rFonts w:ascii="宋体" w:hAnsi="宋体"/>
                <w:bCs/>
                <w:sz w:val="24"/>
                <w:szCs w:val="24"/>
              </w:rPr>
            </w:r>
            <w:r/>
          </w:p>
        </w:tc>
        <w:tc>
          <w:tcPr>
            <w:tcW w:w="1050" w:type="dxa"/>
            <w:vAlign w:val="top"/>
            <w:textDirection w:val="lrTb"/>
            <w:noWrap/>
          </w:tcPr>
          <w:p>
            <w:pPr>
              <w:rPr>
                <w:rFonts w:ascii="宋体" w:hAnsi="宋体"/>
                <w:bCs/>
                <w:sz w:val="24"/>
                <w:szCs w:val="24"/>
              </w:rPr>
              <w:outlineLvl w:val="0"/>
            </w:pPr>
            <w:r>
              <w:rPr>
                <w:rFonts w:ascii="宋体" w:hAnsi="宋体"/>
                <w:bCs/>
                <w:sz w:val="24"/>
                <w:szCs w:val="24"/>
              </w:rPr>
            </w:r>
            <w:r/>
          </w:p>
        </w:tc>
        <w:tc>
          <w:tcPr>
            <w:tcW w:w="1253"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934" w:type="dxa"/>
            <w:vAlign w:val="top"/>
            <w:textDirection w:val="lrTb"/>
            <w:noWrap/>
          </w:tcPr>
          <w:p>
            <w:pPr>
              <w:rPr>
                <w:rFonts w:ascii="宋体" w:hAnsi="宋体"/>
                <w:bCs/>
                <w:sz w:val="24"/>
                <w:szCs w:val="24"/>
              </w:rPr>
              <w:outlineLvl w:val="0"/>
            </w:pPr>
            <w:r>
              <w:rPr>
                <w:rFonts w:ascii="宋体" w:hAnsi="宋体"/>
                <w:bCs/>
                <w:sz w:val="24"/>
                <w:szCs w:val="24"/>
              </w:rPr>
            </w:r>
            <w:r/>
          </w:p>
        </w:tc>
        <w:tc>
          <w:tcPr>
            <w:tcW w:w="1305" w:type="dxa"/>
            <w:vAlign w:val="top"/>
            <w:textDirection w:val="lrTb"/>
            <w:noWrap/>
          </w:tcPr>
          <w:p>
            <w:pPr>
              <w:rPr>
                <w:rFonts w:ascii="宋体" w:hAnsi="宋体"/>
                <w:bCs/>
                <w:sz w:val="24"/>
                <w:szCs w:val="24"/>
              </w:rPr>
              <w:outlineLvl w:val="0"/>
            </w:pPr>
            <w:r>
              <w:rPr>
                <w:rFonts w:ascii="宋体" w:hAnsi="宋体"/>
                <w:bCs/>
                <w:sz w:val="24"/>
                <w:szCs w:val="24"/>
              </w:rPr>
            </w:r>
            <w:r/>
          </w:p>
        </w:tc>
        <w:tc>
          <w:tcPr>
            <w:tcW w:w="1056" w:type="dxa"/>
            <w:vAlign w:val="top"/>
            <w:textDirection w:val="lrTb"/>
            <w:noWrap/>
          </w:tcPr>
          <w:p>
            <w:pPr>
              <w:rPr>
                <w:rFonts w:ascii="宋体" w:hAnsi="宋体"/>
                <w:bCs/>
                <w:sz w:val="24"/>
                <w:szCs w:val="24"/>
              </w:rPr>
              <w:outlineLvl w:val="0"/>
            </w:pPr>
            <w:r>
              <w:rPr>
                <w:rFonts w:ascii="宋体" w:hAnsi="宋体"/>
                <w:bCs/>
                <w:sz w:val="24"/>
                <w:szCs w:val="24"/>
              </w:rPr>
            </w:r>
            <w:r/>
          </w:p>
        </w:tc>
      </w:tr>
    </w:tbl>
    <w:p>
      <w:pPr>
        <w:rPr>
          <w:rFonts w:hint="eastAsia" w:ascii="宋体"/>
          <w:b/>
          <w:szCs w:val="21"/>
        </w:rPr>
      </w:pPr>
      <w:r>
        <w:rPr>
          <w:rFonts w:hint="eastAsia" w:ascii="宋体"/>
          <w:b/>
          <w:szCs w:val="21"/>
        </w:rPr>
        <w:t xml:space="preserve">注：</w:t>
      </w:r>
      <w:r/>
    </w:p>
    <w:p>
      <w:pPr>
        <w:rPr>
          <w:rFonts w:hint="eastAsia" w:ascii="宋体"/>
          <w:b/>
          <w:szCs w:val="21"/>
          <w:lang w:val="en-US" w:eastAsia="zh-CN"/>
        </w:rPr>
      </w:pPr>
      <w:r>
        <w:rPr>
          <w:rFonts w:hint="eastAsia" w:ascii="宋体"/>
          <w:b/>
          <w:szCs w:val="21"/>
          <w:lang w:val="en-US" w:eastAsia="zh-CN"/>
        </w:rPr>
        <w:t xml:space="preserve">1.上表如需要自行延长。</w:t>
      </w:r>
      <w:r/>
    </w:p>
    <w:p>
      <w:pPr>
        <w:rPr>
          <w:rFonts w:hint="eastAsia" w:ascii="宋体"/>
          <w:b/>
          <w:szCs w:val="21"/>
          <w:lang w:val="en-US" w:eastAsia="zh-CN"/>
        </w:rPr>
      </w:pPr>
      <w:r>
        <w:rPr>
          <w:rFonts w:hint="eastAsia" w:ascii="宋体"/>
          <w:b/>
          <w:szCs w:val="21"/>
          <w:lang w:val="en-US" w:eastAsia="zh-CN"/>
        </w:rPr>
        <w:t xml:space="preserve">2.人员相关证明材料应按招标文件要求提供，并附在本表之后（如有）。</w:t>
      </w:r>
      <w:r/>
    </w:p>
    <w:p>
      <w:pPr>
        <w:rPr>
          <w:rFonts w:hint="default" w:ascii="宋体"/>
          <w:b/>
          <w:color w:val="0000ff"/>
          <w:szCs w:val="21"/>
          <w:lang w:val="en-US" w:eastAsia="zh-CN"/>
        </w:rPr>
      </w:pPr>
      <w:r>
        <w:rPr>
          <w:rFonts w:hint="eastAsia" w:ascii="宋体"/>
          <w:b/>
          <w:color w:val="0000ff"/>
          <w:szCs w:val="21"/>
          <w:lang w:val="en-US" w:eastAsia="zh-CN"/>
        </w:rPr>
        <w:t xml:space="preserve">3.如投标供应商提供承诺书一（服务保障承诺）的，上表仅需填写评分相关人员信息。</w:t>
      </w:r>
      <w:bookmarkStart w:id="30" w:name="_GoBack"/>
      <w:r/>
      <w:bookmarkEnd w:id="30"/>
      <w:r/>
      <w:r/>
    </w:p>
    <w:p>
      <w:pPr>
        <w:spacing w:before="4" w:line="360" w:lineRule="auto"/>
        <w:widowControl/>
        <w:rPr>
          <w:rFonts w:ascii="宋体" w:hAnsi="宋体"/>
          <w:sz w:val="24"/>
          <w:shd w:val="clear" w:color="auto" w:fill="ffffff"/>
        </w:rPr>
      </w:pPr>
      <w:r>
        <w:rPr>
          <w:rFonts w:ascii="宋体" w:hAnsi="宋体"/>
          <w:sz w:val="24"/>
          <w:shd w:val="clear" w:color="auto" w:fill="ffffff"/>
        </w:rPr>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法定代表人或授权代表（签字或盖章）：__________</w:t>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日期：________年____月____日</w:t>
      </w:r>
      <w:r/>
    </w:p>
    <w:p>
      <w:pPr>
        <w:rPr>
          <w:rFonts w:ascii="宋体" w:hAnsi="宋体" w:cs="宋体"/>
          <w:sz w:val="24"/>
          <w:szCs w:val="24"/>
        </w:rPr>
      </w:pPr>
      <w:r>
        <w:rPr>
          <w:rFonts w:hint="eastAsia" w:ascii="宋体" w:hAnsi="宋体" w:cs="宋体"/>
          <w:sz w:val="24"/>
          <w:szCs w:val="24"/>
        </w:rPr>
        <w:br w:type="page" w:clear="all"/>
      </w:r>
      <w:r/>
    </w:p>
    <w:p>
      <w:pPr>
        <w:jc w:val="center"/>
        <w:spacing w:line="360" w:lineRule="auto"/>
        <w:rPr>
          <w:rFonts w:ascii="宋体" w:hAnsi="宋体"/>
          <w:b/>
          <w:bCs/>
          <w:sz w:val="28"/>
          <w:szCs w:val="28"/>
        </w:rPr>
      </w:pPr>
      <w:r>
        <w:rPr>
          <w:rFonts w:hint="eastAsia" w:ascii="宋体" w:hAnsi="宋体"/>
          <w:b/>
          <w:bCs/>
          <w:sz w:val="28"/>
          <w:szCs w:val="28"/>
        </w:rPr>
        <w:t xml:space="preserve">（2）项目负责人情况介绍（格式）</w:t>
      </w:r>
      <w:r/>
    </w:p>
    <w:p>
      <w:pPr>
        <w:jc w:val="center"/>
        <w:spacing w:line="360" w:lineRule="auto"/>
        <w:rPr>
          <w:rFonts w:ascii="宋体" w:hAnsi="宋体"/>
          <w:b/>
          <w:bCs/>
          <w:sz w:val="28"/>
          <w:szCs w:val="28"/>
        </w:rPr>
      </w:pPr>
      <w:r>
        <w:rPr>
          <w:rFonts w:hint="eastAsia" w:ascii="宋体" w:hAnsi="宋体"/>
          <w:b/>
          <w:bCs/>
          <w:sz w:val="28"/>
          <w:szCs w:val="28"/>
        </w:rPr>
        <w:t xml:space="preserve"> 拟派项目负责人简历表</w:t>
      </w:r>
      <w:r/>
    </w:p>
    <w:p>
      <w:pPr>
        <w:spacing w:line="440" w:lineRule="exact"/>
        <w:rPr>
          <w:rFonts w:ascii="宋体" w:hAnsi="宋体"/>
          <w:b/>
          <w:bCs/>
          <w:sz w:val="28"/>
          <w:szCs w:val="28"/>
        </w:rPr>
      </w:pPr>
      <w:r>
        <w:rPr>
          <w:rFonts w:hint="eastAsia" w:ascii="宋体" w:hAnsi="宋体"/>
          <w:bCs/>
          <w:sz w:val="24"/>
          <w:szCs w:val="24"/>
        </w:rPr>
        <w:t xml:space="preserve">投标供应商名称（盖章）           采购项目编号：</w:t>
      </w:r>
      <w:r/>
    </w:p>
    <w:tbl>
      <w:tblPr>
        <w:tblStyle w:val="783"/>
        <w:tblW w:w="92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9"/>
        <w:gridCol w:w="1573"/>
        <w:gridCol w:w="813"/>
        <w:gridCol w:w="1627"/>
        <w:gridCol w:w="1046"/>
        <w:gridCol w:w="1003"/>
        <w:gridCol w:w="1526"/>
      </w:tblGrid>
      <w:tr>
        <w:trPr>
          <w:jc w:val="center"/>
          <w:trHeight w:val="737"/>
        </w:trPr>
        <w:tc>
          <w:tcPr>
            <w:tcW w:w="1669" w:type="dxa"/>
            <w:vAlign w:val="center"/>
            <w:textDirection w:val="lrTb"/>
            <w:noWrap/>
          </w:tcPr>
          <w:p>
            <w:pPr>
              <w:jc w:val="center"/>
              <w:spacing w:line="360" w:lineRule="auto"/>
              <w:rPr>
                <w:rFonts w:ascii="宋体" w:hAnsi="宋体"/>
                <w:sz w:val="22"/>
                <w:szCs w:val="21"/>
              </w:rPr>
            </w:pPr>
            <w:r>
              <w:rPr>
                <w:rFonts w:hint="eastAsia" w:ascii="宋体" w:hAnsi="宋体"/>
                <w:sz w:val="22"/>
                <w:szCs w:val="21"/>
              </w:rPr>
              <w:t xml:space="preserve">姓名</w:t>
            </w:r>
            <w:r/>
          </w:p>
        </w:tc>
        <w:tc>
          <w:tcPr>
            <w:tcW w:w="1573"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c>
          <w:tcPr>
            <w:tcW w:w="813" w:type="dxa"/>
            <w:vAlign w:val="center"/>
            <w:textDirection w:val="lrTb"/>
            <w:noWrap/>
          </w:tcPr>
          <w:p>
            <w:pPr>
              <w:jc w:val="center"/>
              <w:spacing w:line="360" w:lineRule="auto"/>
              <w:rPr>
                <w:rFonts w:ascii="宋体" w:hAnsi="宋体"/>
                <w:sz w:val="22"/>
                <w:szCs w:val="21"/>
              </w:rPr>
            </w:pPr>
            <w:r>
              <w:rPr>
                <w:rFonts w:hint="eastAsia" w:ascii="宋体" w:hAnsi="宋体"/>
                <w:sz w:val="22"/>
                <w:szCs w:val="21"/>
              </w:rPr>
              <w:t xml:space="preserve">性别</w:t>
            </w:r>
            <w:r/>
          </w:p>
        </w:tc>
        <w:tc>
          <w:tcPr>
            <w:tcW w:w="1627"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c>
          <w:tcPr>
            <w:tcW w:w="1046" w:type="dxa"/>
            <w:vAlign w:val="center"/>
            <w:textDirection w:val="lrTb"/>
            <w:noWrap/>
          </w:tcPr>
          <w:p>
            <w:pPr>
              <w:jc w:val="center"/>
              <w:spacing w:line="360" w:lineRule="auto"/>
              <w:rPr>
                <w:rFonts w:ascii="宋体" w:hAnsi="宋体"/>
                <w:sz w:val="22"/>
                <w:szCs w:val="21"/>
              </w:rPr>
            </w:pPr>
            <w:r>
              <w:rPr>
                <w:rFonts w:hint="eastAsia" w:ascii="宋体" w:hAnsi="宋体"/>
                <w:sz w:val="22"/>
                <w:szCs w:val="21"/>
              </w:rPr>
              <w:t xml:space="preserve">年龄</w:t>
            </w:r>
            <w:r/>
          </w:p>
        </w:tc>
        <w:tc>
          <w:tcPr>
            <w:gridSpan w:val="2"/>
            <w:tcW w:w="2529"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r>
      <w:tr>
        <w:trPr>
          <w:jc w:val="center"/>
          <w:trHeight w:val="764"/>
        </w:trPr>
        <w:tc>
          <w:tcPr>
            <w:tcW w:w="1669" w:type="dxa"/>
            <w:vAlign w:val="center"/>
            <w:textDirection w:val="lrTb"/>
            <w:noWrap/>
          </w:tcPr>
          <w:p>
            <w:pPr>
              <w:jc w:val="center"/>
              <w:spacing w:line="360" w:lineRule="auto"/>
              <w:rPr>
                <w:rFonts w:ascii="宋体" w:hAnsi="宋体"/>
                <w:sz w:val="22"/>
                <w:szCs w:val="21"/>
              </w:rPr>
            </w:pPr>
            <w:r>
              <w:rPr>
                <w:rFonts w:hint="eastAsia" w:ascii="宋体" w:hAnsi="宋体"/>
                <w:sz w:val="22"/>
                <w:szCs w:val="21"/>
              </w:rPr>
              <w:t xml:space="preserve">职务</w:t>
            </w:r>
            <w:r/>
          </w:p>
        </w:tc>
        <w:tc>
          <w:tcPr>
            <w:tcW w:w="1573"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c>
          <w:tcPr>
            <w:tcW w:w="813" w:type="dxa"/>
            <w:vAlign w:val="center"/>
            <w:textDirection w:val="lrTb"/>
            <w:noWrap/>
          </w:tcPr>
          <w:p>
            <w:pPr>
              <w:jc w:val="center"/>
              <w:spacing w:line="360" w:lineRule="auto"/>
              <w:rPr>
                <w:rFonts w:ascii="宋体" w:hAnsi="宋体"/>
                <w:sz w:val="22"/>
                <w:szCs w:val="21"/>
              </w:rPr>
            </w:pPr>
            <w:r>
              <w:rPr>
                <w:rFonts w:hint="eastAsia" w:ascii="宋体" w:hAnsi="宋体"/>
                <w:sz w:val="22"/>
                <w:szCs w:val="21"/>
              </w:rPr>
              <w:t xml:space="preserve">职称</w:t>
            </w:r>
            <w:r/>
          </w:p>
        </w:tc>
        <w:tc>
          <w:tcPr>
            <w:tcW w:w="1627"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c>
          <w:tcPr>
            <w:tcW w:w="1046" w:type="dxa"/>
            <w:vAlign w:val="center"/>
            <w:textDirection w:val="lrTb"/>
            <w:noWrap/>
          </w:tcPr>
          <w:p>
            <w:pPr>
              <w:jc w:val="center"/>
              <w:spacing w:line="360" w:lineRule="auto"/>
              <w:rPr>
                <w:rFonts w:ascii="宋体" w:hAnsi="宋体"/>
                <w:sz w:val="22"/>
                <w:szCs w:val="21"/>
              </w:rPr>
            </w:pPr>
            <w:r>
              <w:rPr>
                <w:rFonts w:hint="eastAsia" w:ascii="宋体" w:hAnsi="宋体"/>
                <w:sz w:val="22"/>
                <w:szCs w:val="21"/>
              </w:rPr>
              <w:t xml:space="preserve">学历</w:t>
            </w:r>
            <w:r/>
          </w:p>
        </w:tc>
        <w:tc>
          <w:tcPr>
            <w:gridSpan w:val="2"/>
            <w:tcW w:w="2529"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r>
      <w:tr>
        <w:trPr>
          <w:jc w:val="center"/>
          <w:trHeight w:val="737"/>
        </w:trPr>
        <w:tc>
          <w:tcPr>
            <w:tcW w:w="1669" w:type="dxa"/>
            <w:vAlign w:val="center"/>
            <w:textDirection w:val="lrTb"/>
            <w:noWrap/>
          </w:tcPr>
          <w:p>
            <w:pPr>
              <w:jc w:val="center"/>
              <w:spacing w:line="360" w:lineRule="auto"/>
              <w:rPr>
                <w:rFonts w:ascii="宋体" w:hAnsi="宋体"/>
                <w:sz w:val="22"/>
                <w:szCs w:val="21"/>
              </w:rPr>
            </w:pPr>
            <w:r>
              <w:rPr>
                <w:rFonts w:hint="eastAsia" w:ascii="宋体" w:hAnsi="宋体"/>
                <w:sz w:val="22"/>
                <w:szCs w:val="21"/>
              </w:rPr>
              <w:t xml:space="preserve">证书号</w:t>
            </w:r>
            <w:r/>
          </w:p>
        </w:tc>
        <w:tc>
          <w:tcPr>
            <w:gridSpan w:val="2"/>
            <w:tcW w:w="2386"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c>
          <w:tcPr>
            <w:tcW w:w="1627" w:type="dxa"/>
            <w:vAlign w:val="center"/>
            <w:textDirection w:val="lrTb"/>
            <w:noWrap/>
          </w:tcPr>
          <w:p>
            <w:pPr>
              <w:jc w:val="center"/>
              <w:spacing w:line="360" w:lineRule="auto"/>
              <w:rPr>
                <w:rFonts w:ascii="宋体" w:hAnsi="宋体"/>
                <w:sz w:val="22"/>
                <w:szCs w:val="21"/>
              </w:rPr>
            </w:pPr>
            <w:r>
              <w:rPr>
                <w:rFonts w:hint="eastAsia" w:ascii="宋体" w:hAnsi="宋体"/>
                <w:sz w:val="22"/>
                <w:szCs w:val="21"/>
              </w:rPr>
              <w:t xml:space="preserve">身份证号</w:t>
            </w:r>
            <w:r/>
          </w:p>
        </w:tc>
        <w:tc>
          <w:tcPr>
            <w:gridSpan w:val="3"/>
            <w:tcW w:w="3575"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r>
      <w:tr>
        <w:trPr>
          <w:jc w:val="center"/>
          <w:trHeight w:val="737"/>
        </w:trPr>
        <w:tc>
          <w:tcPr>
            <w:tcW w:w="1669" w:type="dxa"/>
            <w:vAlign w:val="center"/>
            <w:textDirection w:val="lrTb"/>
            <w:noWrap/>
          </w:tcPr>
          <w:p>
            <w:pPr>
              <w:jc w:val="center"/>
              <w:spacing w:line="360" w:lineRule="auto"/>
              <w:rPr>
                <w:rFonts w:ascii="宋体" w:hAnsi="宋体"/>
                <w:sz w:val="22"/>
                <w:szCs w:val="21"/>
              </w:rPr>
            </w:pPr>
            <w:r>
              <w:rPr>
                <w:rFonts w:hint="eastAsia" w:ascii="宋体" w:hAnsi="宋体"/>
                <w:sz w:val="22"/>
                <w:szCs w:val="21"/>
              </w:rPr>
              <w:t xml:space="preserve">参加工作时间</w:t>
            </w:r>
            <w:r/>
          </w:p>
        </w:tc>
        <w:tc>
          <w:tcPr>
            <w:gridSpan w:val="6"/>
            <w:tcW w:w="7588"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r>
      <w:tr>
        <w:trPr>
          <w:jc w:val="center"/>
          <w:trHeight w:val="761"/>
        </w:trPr>
        <w:tc>
          <w:tcPr>
            <w:gridSpan w:val="7"/>
            <w:tcW w:w="9257" w:type="dxa"/>
            <w:vAlign w:val="center"/>
            <w:textDirection w:val="lrTb"/>
            <w:noWrap/>
          </w:tcPr>
          <w:p>
            <w:pPr>
              <w:jc w:val="center"/>
              <w:spacing w:line="360" w:lineRule="auto"/>
              <w:rPr>
                <w:rFonts w:ascii="宋体" w:hAnsi="宋体"/>
                <w:sz w:val="22"/>
                <w:szCs w:val="21"/>
              </w:rPr>
            </w:pPr>
            <w:r>
              <w:rPr>
                <w:rFonts w:hint="eastAsia" w:ascii="宋体" w:hAnsi="宋体"/>
                <w:sz w:val="22"/>
                <w:szCs w:val="21"/>
              </w:rPr>
              <w:t xml:space="preserve">已完成服务项目情况</w:t>
            </w:r>
            <w:r/>
          </w:p>
        </w:tc>
      </w:tr>
      <w:tr>
        <w:trPr>
          <w:jc w:val="center"/>
          <w:trHeight w:val="737"/>
        </w:trPr>
        <w:tc>
          <w:tcPr>
            <w:tcW w:w="1669" w:type="dxa"/>
            <w:vAlign w:val="center"/>
            <w:textDirection w:val="lrTb"/>
            <w:noWrap/>
          </w:tcPr>
          <w:p>
            <w:pPr>
              <w:jc w:val="center"/>
              <w:spacing w:line="360" w:lineRule="auto"/>
              <w:rPr>
                <w:rFonts w:ascii="宋体" w:hAnsi="宋体"/>
                <w:sz w:val="22"/>
                <w:szCs w:val="21"/>
              </w:rPr>
            </w:pPr>
            <w:r>
              <w:rPr>
                <w:rFonts w:hint="eastAsia" w:ascii="宋体" w:hAnsi="宋体"/>
                <w:sz w:val="22"/>
                <w:szCs w:val="21"/>
              </w:rPr>
              <w:t xml:space="preserve">业主</w:t>
            </w:r>
            <w:r/>
          </w:p>
        </w:tc>
        <w:tc>
          <w:tcPr>
            <w:gridSpan w:val="2"/>
            <w:tcW w:w="2386" w:type="dxa"/>
            <w:vAlign w:val="center"/>
            <w:textDirection w:val="lrTb"/>
            <w:noWrap/>
          </w:tcPr>
          <w:p>
            <w:pPr>
              <w:jc w:val="center"/>
              <w:spacing w:line="360" w:lineRule="auto"/>
              <w:rPr>
                <w:rFonts w:ascii="宋体" w:hAnsi="宋体"/>
                <w:sz w:val="22"/>
                <w:szCs w:val="21"/>
              </w:rPr>
            </w:pPr>
            <w:r>
              <w:rPr>
                <w:rFonts w:hint="eastAsia" w:ascii="宋体" w:hAnsi="宋体"/>
                <w:sz w:val="22"/>
                <w:szCs w:val="21"/>
              </w:rPr>
              <w:t xml:space="preserve">项目名称</w:t>
            </w:r>
            <w:r/>
          </w:p>
        </w:tc>
        <w:tc>
          <w:tcPr>
            <w:tcW w:w="1627" w:type="dxa"/>
            <w:vAlign w:val="center"/>
            <w:textDirection w:val="lrTb"/>
            <w:noWrap/>
          </w:tcPr>
          <w:p>
            <w:pPr>
              <w:jc w:val="center"/>
              <w:spacing w:line="360" w:lineRule="auto"/>
              <w:rPr>
                <w:rFonts w:ascii="宋体" w:hAnsi="宋体"/>
                <w:sz w:val="22"/>
                <w:szCs w:val="21"/>
              </w:rPr>
            </w:pPr>
            <w:r>
              <w:rPr>
                <w:rFonts w:hint="eastAsia" w:ascii="宋体" w:hAnsi="宋体"/>
                <w:sz w:val="22"/>
                <w:szCs w:val="21"/>
              </w:rPr>
              <w:t xml:space="preserve">合同金额</w:t>
            </w:r>
            <w:r/>
          </w:p>
        </w:tc>
        <w:tc>
          <w:tcPr>
            <w:gridSpan w:val="2"/>
            <w:tcW w:w="2049" w:type="dxa"/>
            <w:vAlign w:val="center"/>
            <w:textDirection w:val="lrTb"/>
            <w:noWrap/>
          </w:tcPr>
          <w:p>
            <w:pPr>
              <w:jc w:val="center"/>
              <w:spacing w:line="360" w:lineRule="auto"/>
              <w:rPr>
                <w:rFonts w:ascii="宋体" w:hAnsi="宋体"/>
                <w:sz w:val="22"/>
                <w:szCs w:val="21"/>
              </w:rPr>
            </w:pPr>
            <w:r>
              <w:rPr>
                <w:rFonts w:hint="eastAsia" w:ascii="宋体" w:hAnsi="宋体"/>
                <w:sz w:val="22"/>
                <w:szCs w:val="21"/>
              </w:rPr>
              <w:t xml:space="preserve">完成时间</w:t>
            </w:r>
            <w:r/>
          </w:p>
        </w:tc>
        <w:tc>
          <w:tcPr>
            <w:tcW w:w="1526" w:type="dxa"/>
            <w:vAlign w:val="center"/>
            <w:textDirection w:val="lrTb"/>
            <w:noWrap/>
          </w:tcPr>
          <w:p>
            <w:pPr>
              <w:ind w:firstLine="220"/>
              <w:jc w:val="center"/>
              <w:spacing w:line="360" w:lineRule="auto"/>
              <w:rPr>
                <w:rFonts w:ascii="宋体" w:hAnsi="宋体"/>
                <w:sz w:val="22"/>
                <w:szCs w:val="21"/>
              </w:rPr>
            </w:pPr>
            <w:r>
              <w:rPr>
                <w:rFonts w:hint="eastAsia" w:ascii="宋体" w:hAnsi="宋体"/>
                <w:sz w:val="22"/>
                <w:szCs w:val="21"/>
              </w:rPr>
              <w:t xml:space="preserve">备注</w:t>
            </w:r>
            <w:r/>
          </w:p>
        </w:tc>
      </w:tr>
      <w:tr>
        <w:trPr>
          <w:jc w:val="center"/>
          <w:trHeight w:val="756"/>
        </w:trPr>
        <w:tc>
          <w:tcPr>
            <w:tcW w:w="1669"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c>
          <w:tcPr>
            <w:gridSpan w:val="2"/>
            <w:tcW w:w="2386"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c>
          <w:tcPr>
            <w:tcW w:w="1627"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c>
          <w:tcPr>
            <w:gridSpan w:val="2"/>
            <w:tcW w:w="2049"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c>
          <w:tcPr>
            <w:tcW w:w="1526"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r>
      <w:tr>
        <w:trPr>
          <w:jc w:val="center"/>
          <w:trHeight w:val="791"/>
        </w:trPr>
        <w:tc>
          <w:tcPr>
            <w:tcW w:w="1669"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c>
          <w:tcPr>
            <w:gridSpan w:val="2"/>
            <w:tcW w:w="2386"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c>
          <w:tcPr>
            <w:tcW w:w="1627"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c>
          <w:tcPr>
            <w:gridSpan w:val="2"/>
            <w:tcW w:w="2049"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c>
          <w:tcPr>
            <w:tcW w:w="1526" w:type="dxa"/>
            <w:vAlign w:val="center"/>
            <w:textDirection w:val="lrTb"/>
            <w:noWrap/>
          </w:tcPr>
          <w:p>
            <w:pPr>
              <w:jc w:val="center"/>
              <w:spacing w:line="360" w:lineRule="auto"/>
              <w:rPr>
                <w:rFonts w:ascii="宋体" w:hAnsi="宋体"/>
                <w:sz w:val="22"/>
                <w:szCs w:val="21"/>
              </w:rPr>
            </w:pPr>
            <w:r>
              <w:rPr>
                <w:rFonts w:ascii="宋体" w:hAnsi="宋体"/>
                <w:sz w:val="22"/>
                <w:szCs w:val="21"/>
              </w:rPr>
            </w:r>
            <w:r/>
          </w:p>
        </w:tc>
      </w:tr>
    </w:tbl>
    <w:p>
      <w:pPr>
        <w:rPr>
          <w:rFonts w:ascii="宋体"/>
          <w:b/>
          <w:szCs w:val="21"/>
        </w:rPr>
      </w:pPr>
      <w:r>
        <w:rPr>
          <w:rFonts w:hint="eastAsia" w:ascii="宋体"/>
          <w:b/>
          <w:szCs w:val="21"/>
        </w:rPr>
        <w:t xml:space="preserve">注：</w:t>
      </w:r>
      <w:r/>
    </w:p>
    <w:p>
      <w:pPr>
        <w:rPr>
          <w:rFonts w:ascii="宋体"/>
          <w:b/>
          <w:szCs w:val="21"/>
        </w:rPr>
      </w:pPr>
      <w:r>
        <w:rPr>
          <w:rFonts w:hint="eastAsia" w:ascii="宋体"/>
          <w:b/>
          <w:szCs w:val="21"/>
        </w:rPr>
        <w:t xml:space="preserve">1.上表如需要自行延长。</w:t>
      </w:r>
      <w:r/>
    </w:p>
    <w:p>
      <w:pPr>
        <w:rPr>
          <w:rFonts w:ascii="宋体"/>
          <w:b/>
          <w:szCs w:val="21"/>
        </w:rPr>
      </w:pPr>
      <w:r>
        <w:rPr>
          <w:rFonts w:hint="eastAsia" w:ascii="宋体"/>
          <w:b/>
          <w:szCs w:val="21"/>
        </w:rPr>
        <w:t xml:space="preserve">2.人员相关证明材料应按招标文件要求提供，并附在本表之后（如有）。</w:t>
      </w:r>
      <w:r/>
    </w:p>
    <w:p>
      <w:pPr>
        <w:pStyle w:val="1119"/>
        <w:rPr>
          <w:rFonts w:ascii="宋体" w:hAnsi="宋体"/>
          <w:b/>
          <w:szCs w:val="28"/>
        </w:rPr>
      </w:pPr>
      <w:r>
        <w:rPr>
          <w:rFonts w:ascii="宋体" w:hAnsi="宋体"/>
          <w:b/>
          <w:szCs w:val="28"/>
        </w:rPr>
      </w:r>
      <w:r/>
    </w:p>
    <w:p>
      <w:pPr>
        <w:rPr>
          <w:rFonts w:ascii="宋体" w:hAnsi="宋体"/>
          <w:bCs/>
          <w:sz w:val="24"/>
          <w:shd w:val="clear" w:color="auto" w:fill="ffffff"/>
        </w:rPr>
      </w:pPr>
      <w:r>
        <w:rPr>
          <w:rFonts w:ascii="宋体" w:hAnsi="宋体"/>
          <w:bCs/>
          <w:sz w:val="24"/>
          <w:shd w:val="clear" w:color="auto" w:fill="ffffff"/>
        </w:rPr>
      </w:r>
      <w:r/>
    </w:p>
    <w:p>
      <w:pPr>
        <w:jc w:val="right"/>
        <w:rPr>
          <w:rFonts w:ascii="宋体" w:hAnsi="宋体" w:cs="宋体"/>
          <w:sz w:val="24"/>
          <w:szCs w:val="24"/>
        </w:rPr>
      </w:pPr>
      <w:r>
        <w:rPr>
          <w:rFonts w:hint="eastAsia" w:ascii="宋体" w:hAnsi="宋体" w:cs="宋体"/>
          <w:sz w:val="24"/>
          <w:szCs w:val="24"/>
        </w:rPr>
        <w:t xml:space="preserve">法定代表人或授权代表（签字或盖章）：__________</w:t>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日期：________年____月____日</w:t>
      </w:r>
      <w:r/>
    </w:p>
    <w:p>
      <w:pPr>
        <w:jc w:val="right"/>
        <w:rPr>
          <w:rFonts w:ascii="宋体" w:hAnsi="宋体" w:cs="宋体"/>
          <w:sz w:val="24"/>
          <w:szCs w:val="24"/>
        </w:rPr>
      </w:pPr>
      <w:r>
        <w:rPr>
          <w:rFonts w:ascii="宋体" w:hAnsi="宋体" w:cs="宋体"/>
          <w:sz w:val="24"/>
          <w:szCs w:val="24"/>
        </w:rPr>
      </w:r>
      <w:r/>
    </w:p>
    <w:p>
      <w:pPr>
        <w:rPr>
          <w:rFonts w:ascii="宋体" w:hAnsi="宋体" w:cs="宋体"/>
          <w:b/>
          <w:color w:val="000000"/>
          <w:sz w:val="24"/>
          <w:szCs w:val="24"/>
        </w:rPr>
      </w:pPr>
      <w:r>
        <w:rPr>
          <w:rFonts w:hint="eastAsia" w:ascii="宋体" w:hAnsi="宋体" w:cs="宋体"/>
          <w:b/>
          <w:color w:val="000000"/>
          <w:sz w:val="24"/>
          <w:szCs w:val="24"/>
        </w:rPr>
        <w:br w:type="page" w:clear="all"/>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（十）拟投入的机械设备表（格式）</w:t>
      </w:r>
      <w:r/>
    </w:p>
    <w:p>
      <w:pPr>
        <w:jc w:val="center"/>
        <w:spacing w:line="360" w:lineRule="auto"/>
        <w:rPr>
          <w:rFonts w:ascii="宋体" w:hAnsi="宋体"/>
          <w:b/>
          <w:bCs/>
          <w:sz w:val="28"/>
          <w:szCs w:val="28"/>
        </w:rPr>
      </w:pPr>
      <w:r>
        <w:rPr>
          <w:rFonts w:hint="eastAsia" w:ascii="宋体" w:hAnsi="宋体"/>
          <w:b/>
          <w:bCs/>
          <w:sz w:val="28"/>
          <w:szCs w:val="28"/>
        </w:rPr>
        <w:t xml:space="preserve">拟投入的机械设备表</w:t>
      </w:r>
      <w:r/>
    </w:p>
    <w:p>
      <w:pPr>
        <w:ind w:right="153"/>
        <w:jc w:val="center"/>
        <w:spacing w:after="120" w:line="420" w:lineRule="exact"/>
        <w:tabs>
          <w:tab w:val="left" w:pos="0" w:leader="none"/>
        </w:tabs>
        <w:rPr>
          <w:rFonts w:eastAsia="黑体"/>
          <w:bCs/>
          <w:sz w:val="28"/>
          <w:szCs w:val="28"/>
        </w:rPr>
      </w:pPr>
      <w:r>
        <w:rPr>
          <w:rFonts w:eastAsia="黑体"/>
          <w:bCs/>
          <w:sz w:val="28"/>
          <w:szCs w:val="28"/>
        </w:rPr>
      </w:r>
      <w:r/>
    </w:p>
    <w:p>
      <w:pPr>
        <w:spacing w:line="360" w:lineRule="auto"/>
        <w:rPr>
          <w:rFonts w:ascii="宋体" w:hAnsi="宋体" w:cs="宋体"/>
          <w:bCs/>
          <w:sz w:val="24"/>
          <w:szCs w:val="24"/>
        </w:rPr>
      </w:pPr>
      <w:r>
        <w:rPr>
          <w:rFonts w:hint="eastAsia" w:ascii="宋体" w:hAnsi="宋体" w:cs="宋体"/>
          <w:bCs/>
          <w:sz w:val="24"/>
          <w:szCs w:val="24"/>
        </w:rPr>
        <w:t xml:space="preserve">投标供应商名称（盖章）                 采购项目编号：</w:t>
      </w:r>
      <w:r/>
    </w:p>
    <w:tbl>
      <w:tblPr>
        <w:tblStyle w:val="783"/>
        <w:tblW w:w="92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485"/>
        <w:gridCol w:w="931"/>
        <w:gridCol w:w="760"/>
        <w:gridCol w:w="846"/>
        <w:gridCol w:w="1161"/>
        <w:gridCol w:w="1476"/>
        <w:gridCol w:w="1021"/>
        <w:gridCol w:w="859"/>
      </w:tblGrid>
      <w:tr>
        <w:trPr>
          <w:trHeight w:val="863"/>
        </w:trPr>
        <w:tc>
          <w:tcPr>
            <w:tcW w:w="737" w:type="dxa"/>
            <w:vAlign w:val="center"/>
            <w:textDirection w:val="lrTb"/>
            <w:noWrap/>
          </w:tcPr>
          <w:p>
            <w:pPr>
              <w:jc w:val="center"/>
              <w:rPr>
                <w:rFonts w:ascii="宋体" w:hAnsi="宋体"/>
                <w:szCs w:val="21"/>
              </w:rPr>
            </w:pPr>
            <w:r>
              <w:rPr>
                <w:rFonts w:hint="eastAsia" w:ascii="宋体" w:hAnsi="宋体"/>
                <w:szCs w:val="21"/>
              </w:rPr>
              <w:t xml:space="preserve">序号</w:t>
            </w:r>
            <w:r/>
          </w:p>
        </w:tc>
        <w:tc>
          <w:tcPr>
            <w:tcW w:w="1485" w:type="dxa"/>
            <w:vAlign w:val="center"/>
            <w:textDirection w:val="lrTb"/>
            <w:noWrap/>
          </w:tcPr>
          <w:p>
            <w:pPr>
              <w:jc w:val="center"/>
              <w:rPr>
                <w:rFonts w:ascii="宋体" w:hAnsi="宋体"/>
                <w:szCs w:val="21"/>
              </w:rPr>
            </w:pPr>
            <w:r>
              <w:rPr>
                <w:rFonts w:hint="eastAsia" w:ascii="宋体" w:hAnsi="宋体"/>
                <w:szCs w:val="21"/>
              </w:rPr>
              <w:t xml:space="preserve">机械或</w:t>
            </w:r>
            <w:r/>
          </w:p>
          <w:p>
            <w:pPr>
              <w:jc w:val="center"/>
              <w:rPr>
                <w:rFonts w:ascii="宋体" w:hAnsi="宋体"/>
                <w:szCs w:val="21"/>
              </w:rPr>
            </w:pPr>
            <w:r>
              <w:rPr>
                <w:rFonts w:hint="eastAsia" w:ascii="宋体" w:hAnsi="宋体"/>
                <w:szCs w:val="21"/>
              </w:rPr>
              <w:t xml:space="preserve">设备名称</w:t>
            </w:r>
            <w:r/>
          </w:p>
        </w:tc>
        <w:tc>
          <w:tcPr>
            <w:tcW w:w="931" w:type="dxa"/>
            <w:vAlign w:val="center"/>
            <w:textDirection w:val="lrTb"/>
            <w:noWrap/>
          </w:tcPr>
          <w:p>
            <w:pPr>
              <w:jc w:val="center"/>
              <w:rPr>
                <w:rFonts w:ascii="宋体" w:hAnsi="宋体"/>
                <w:szCs w:val="21"/>
              </w:rPr>
            </w:pPr>
            <w:r>
              <w:rPr>
                <w:rFonts w:hint="eastAsia" w:ascii="宋体" w:hAnsi="宋体"/>
                <w:szCs w:val="21"/>
              </w:rPr>
              <w:t xml:space="preserve">型号</w:t>
            </w:r>
            <w:r/>
          </w:p>
          <w:p>
            <w:pPr>
              <w:jc w:val="center"/>
              <w:rPr>
                <w:rFonts w:ascii="宋体" w:hAnsi="宋体"/>
                <w:szCs w:val="21"/>
              </w:rPr>
            </w:pPr>
            <w:r>
              <w:rPr>
                <w:rFonts w:hint="eastAsia" w:ascii="宋体" w:hAnsi="宋体"/>
                <w:szCs w:val="21"/>
              </w:rPr>
              <w:t xml:space="preserve">规格</w:t>
            </w:r>
            <w:r/>
          </w:p>
        </w:tc>
        <w:tc>
          <w:tcPr>
            <w:tcW w:w="760" w:type="dxa"/>
            <w:vAlign w:val="center"/>
            <w:textDirection w:val="lrTb"/>
            <w:noWrap/>
          </w:tcPr>
          <w:p>
            <w:pPr>
              <w:jc w:val="center"/>
              <w:rPr>
                <w:rFonts w:ascii="宋体" w:hAnsi="宋体"/>
                <w:szCs w:val="21"/>
              </w:rPr>
            </w:pPr>
            <w:r>
              <w:rPr>
                <w:rFonts w:hint="eastAsia" w:ascii="宋体" w:hAnsi="宋体"/>
                <w:szCs w:val="21"/>
              </w:rPr>
              <w:t xml:space="preserve">数量</w:t>
            </w:r>
            <w:r/>
          </w:p>
        </w:tc>
        <w:tc>
          <w:tcPr>
            <w:tcW w:w="846" w:type="dxa"/>
            <w:vAlign w:val="center"/>
            <w:textDirection w:val="lrTb"/>
            <w:noWrap/>
          </w:tcPr>
          <w:p>
            <w:pPr>
              <w:jc w:val="center"/>
              <w:rPr>
                <w:rFonts w:ascii="宋体" w:hAnsi="宋体"/>
                <w:szCs w:val="21"/>
              </w:rPr>
            </w:pPr>
            <w:r>
              <w:rPr>
                <w:rFonts w:hint="eastAsia" w:ascii="宋体" w:hAnsi="宋体"/>
                <w:szCs w:val="21"/>
              </w:rPr>
              <w:t xml:space="preserve">总质量/核定载质量</w:t>
            </w:r>
            <w:r/>
          </w:p>
        </w:tc>
        <w:tc>
          <w:tcPr>
            <w:tcW w:w="1161" w:type="dxa"/>
            <w:vAlign w:val="center"/>
            <w:textDirection w:val="lrTb"/>
            <w:noWrap/>
          </w:tcPr>
          <w:p>
            <w:pPr>
              <w:jc w:val="center"/>
              <w:rPr>
                <w:rFonts w:ascii="宋体" w:hAnsi="宋体"/>
                <w:szCs w:val="21"/>
              </w:rPr>
            </w:pPr>
            <w:r>
              <w:rPr>
                <w:rFonts w:hint="eastAsia" w:ascii="宋体" w:hAnsi="宋体"/>
                <w:szCs w:val="21"/>
              </w:rPr>
              <w:t xml:space="preserve">首次注册登记日期</w:t>
            </w:r>
            <w:r/>
          </w:p>
        </w:tc>
        <w:tc>
          <w:tcPr>
            <w:tcW w:w="1476" w:type="dxa"/>
            <w:vAlign w:val="center"/>
            <w:textDirection w:val="lrTb"/>
            <w:noWrap/>
          </w:tcPr>
          <w:p>
            <w:pPr>
              <w:jc w:val="center"/>
              <w:rPr>
                <w:rFonts w:ascii="宋体" w:hAnsi="宋体"/>
                <w:szCs w:val="21"/>
              </w:rPr>
            </w:pPr>
            <w:r>
              <w:rPr>
                <w:rFonts w:hint="eastAsia" w:ascii="宋体" w:hAnsi="宋体"/>
                <w:szCs w:val="21"/>
              </w:rPr>
              <w:t xml:space="preserve">权属状况（自有/租赁/其他）</w:t>
            </w:r>
            <w:r/>
          </w:p>
        </w:tc>
        <w:tc>
          <w:tcPr>
            <w:tcW w:w="1021" w:type="dxa"/>
            <w:vAlign w:val="center"/>
            <w:textDirection w:val="lrTb"/>
            <w:noWrap/>
          </w:tcPr>
          <w:p>
            <w:pPr>
              <w:jc w:val="center"/>
              <w:rPr>
                <w:rFonts w:ascii="宋体" w:hAnsi="宋体"/>
                <w:szCs w:val="21"/>
              </w:rPr>
            </w:pPr>
            <w:r>
              <w:rPr>
                <w:rFonts w:hint="eastAsia" w:ascii="宋体" w:hAnsi="宋体"/>
                <w:szCs w:val="21"/>
              </w:rPr>
              <w:t xml:space="preserve">车牌号</w:t>
            </w:r>
            <w:r/>
          </w:p>
        </w:tc>
        <w:tc>
          <w:tcPr>
            <w:tcW w:w="859" w:type="dxa"/>
            <w:vAlign w:val="center"/>
            <w:textDirection w:val="lrTb"/>
            <w:noWrap/>
          </w:tcPr>
          <w:p>
            <w:pPr>
              <w:jc w:val="center"/>
              <w:rPr>
                <w:rFonts w:ascii="宋体" w:hAnsi="宋体"/>
                <w:szCs w:val="21"/>
              </w:rPr>
            </w:pPr>
            <w:r>
              <w:rPr>
                <w:rFonts w:hint="eastAsia" w:ascii="宋体" w:hAnsi="宋体"/>
                <w:szCs w:val="21"/>
              </w:rPr>
              <w:t xml:space="preserve">备注</w:t>
            </w:r>
            <w:r/>
          </w:p>
        </w:tc>
      </w:tr>
      <w:tr>
        <w:trPr>
          <w:trHeight w:val="763"/>
        </w:trPr>
        <w:tc>
          <w:tcPr>
            <w:tcW w:w="737" w:type="dxa"/>
            <w:vAlign w:val="center"/>
            <w:textDirection w:val="lrTb"/>
            <w:noWrap/>
          </w:tcPr>
          <w:p>
            <w:pPr>
              <w:jc w:val="center"/>
              <w:rPr>
                <w:rFonts w:ascii="宋体" w:hAnsi="宋体"/>
                <w:szCs w:val="21"/>
              </w:rPr>
            </w:pPr>
            <w:r>
              <w:rPr>
                <w:rFonts w:ascii="宋体" w:hAnsi="宋体"/>
                <w:szCs w:val="21"/>
              </w:rPr>
            </w:r>
            <w:r/>
          </w:p>
        </w:tc>
        <w:tc>
          <w:tcPr>
            <w:tcW w:w="1485" w:type="dxa"/>
            <w:vAlign w:val="center"/>
            <w:textDirection w:val="lrTb"/>
            <w:noWrap/>
          </w:tcPr>
          <w:p>
            <w:pPr>
              <w:jc w:val="center"/>
              <w:rPr>
                <w:rFonts w:ascii="宋体" w:hAnsi="宋体"/>
                <w:szCs w:val="21"/>
              </w:rPr>
            </w:pPr>
            <w:r>
              <w:rPr>
                <w:rFonts w:ascii="宋体" w:hAnsi="宋体"/>
                <w:szCs w:val="21"/>
              </w:rPr>
            </w:r>
            <w:r/>
          </w:p>
        </w:tc>
        <w:tc>
          <w:tcPr>
            <w:tcW w:w="931" w:type="dxa"/>
            <w:vAlign w:val="center"/>
            <w:textDirection w:val="lrTb"/>
            <w:noWrap/>
          </w:tcPr>
          <w:p>
            <w:pPr>
              <w:jc w:val="center"/>
              <w:rPr>
                <w:rFonts w:ascii="宋体" w:hAnsi="宋体"/>
                <w:szCs w:val="21"/>
              </w:rPr>
            </w:pPr>
            <w:r>
              <w:rPr>
                <w:rFonts w:ascii="宋体" w:hAnsi="宋体"/>
                <w:szCs w:val="21"/>
              </w:rPr>
            </w:r>
            <w:r/>
          </w:p>
        </w:tc>
        <w:tc>
          <w:tcPr>
            <w:tcW w:w="760" w:type="dxa"/>
            <w:vAlign w:val="center"/>
            <w:textDirection w:val="lrTb"/>
            <w:noWrap/>
          </w:tcPr>
          <w:p>
            <w:pPr>
              <w:jc w:val="center"/>
              <w:rPr>
                <w:rFonts w:ascii="宋体" w:hAnsi="宋体"/>
                <w:szCs w:val="21"/>
              </w:rPr>
            </w:pPr>
            <w:r>
              <w:rPr>
                <w:rFonts w:ascii="宋体" w:hAnsi="宋体"/>
                <w:szCs w:val="21"/>
              </w:rPr>
            </w:r>
            <w:r/>
          </w:p>
        </w:tc>
        <w:tc>
          <w:tcPr>
            <w:tcW w:w="846" w:type="dxa"/>
            <w:vAlign w:val="center"/>
            <w:textDirection w:val="lrTb"/>
            <w:noWrap/>
          </w:tcPr>
          <w:p>
            <w:pPr>
              <w:jc w:val="center"/>
              <w:rPr>
                <w:rFonts w:ascii="宋体" w:hAnsi="宋体"/>
                <w:szCs w:val="21"/>
              </w:rPr>
            </w:pPr>
            <w:r>
              <w:rPr>
                <w:rFonts w:ascii="宋体" w:hAnsi="宋体"/>
                <w:szCs w:val="21"/>
              </w:rPr>
            </w:r>
            <w:r/>
          </w:p>
        </w:tc>
        <w:tc>
          <w:tcPr>
            <w:tcW w:w="1161" w:type="dxa"/>
            <w:vAlign w:val="center"/>
            <w:textDirection w:val="lrTb"/>
            <w:noWrap/>
          </w:tcPr>
          <w:p>
            <w:pPr>
              <w:jc w:val="center"/>
              <w:rPr>
                <w:rFonts w:ascii="宋体" w:hAnsi="宋体"/>
                <w:szCs w:val="21"/>
              </w:rPr>
            </w:pPr>
            <w:r>
              <w:rPr>
                <w:rFonts w:ascii="宋体" w:hAnsi="宋体"/>
                <w:szCs w:val="21"/>
              </w:rPr>
            </w:r>
            <w:r/>
          </w:p>
        </w:tc>
        <w:tc>
          <w:tcPr>
            <w:tcW w:w="1476" w:type="dxa"/>
            <w:vAlign w:val="center"/>
            <w:textDirection w:val="lrTb"/>
            <w:noWrap/>
          </w:tcPr>
          <w:p>
            <w:pPr>
              <w:jc w:val="center"/>
              <w:rPr>
                <w:rFonts w:ascii="宋体" w:hAnsi="宋体"/>
                <w:szCs w:val="21"/>
              </w:rPr>
            </w:pPr>
            <w:r>
              <w:rPr>
                <w:rFonts w:ascii="宋体" w:hAnsi="宋体"/>
                <w:szCs w:val="21"/>
              </w:rPr>
            </w:r>
            <w:r/>
          </w:p>
        </w:tc>
        <w:tc>
          <w:tcPr>
            <w:tcW w:w="1021" w:type="dxa"/>
            <w:vAlign w:val="center"/>
            <w:textDirection w:val="lrTb"/>
            <w:noWrap/>
          </w:tcPr>
          <w:p>
            <w:pPr>
              <w:jc w:val="center"/>
              <w:rPr>
                <w:rFonts w:ascii="宋体" w:hAnsi="宋体"/>
                <w:szCs w:val="21"/>
              </w:rPr>
            </w:pPr>
            <w:r>
              <w:rPr>
                <w:rFonts w:ascii="宋体" w:hAnsi="宋体"/>
                <w:szCs w:val="21"/>
              </w:rPr>
            </w:r>
            <w:r/>
          </w:p>
        </w:tc>
        <w:tc>
          <w:tcPr>
            <w:tcW w:w="859" w:type="dxa"/>
            <w:vAlign w:val="center"/>
            <w:textDirection w:val="lrTb"/>
            <w:noWrap/>
          </w:tcPr>
          <w:p>
            <w:pPr>
              <w:jc w:val="center"/>
              <w:rPr>
                <w:rFonts w:ascii="宋体" w:hAnsi="宋体"/>
                <w:szCs w:val="21"/>
              </w:rPr>
            </w:pPr>
            <w:r>
              <w:rPr>
                <w:rFonts w:ascii="宋体" w:hAnsi="宋体"/>
                <w:szCs w:val="21"/>
              </w:rPr>
            </w:r>
            <w:r/>
          </w:p>
        </w:tc>
      </w:tr>
      <w:tr>
        <w:trPr>
          <w:trHeight w:val="763"/>
        </w:trPr>
        <w:tc>
          <w:tcPr>
            <w:tcW w:w="737" w:type="dxa"/>
            <w:vAlign w:val="center"/>
            <w:textDirection w:val="lrTb"/>
            <w:noWrap/>
          </w:tcPr>
          <w:p>
            <w:pPr>
              <w:jc w:val="center"/>
              <w:rPr>
                <w:rFonts w:ascii="宋体" w:hAnsi="宋体"/>
                <w:szCs w:val="21"/>
              </w:rPr>
            </w:pPr>
            <w:r>
              <w:rPr>
                <w:rFonts w:ascii="宋体" w:hAnsi="宋体"/>
                <w:szCs w:val="21"/>
              </w:rPr>
            </w:r>
            <w:r/>
          </w:p>
        </w:tc>
        <w:tc>
          <w:tcPr>
            <w:tcW w:w="1485" w:type="dxa"/>
            <w:vAlign w:val="center"/>
            <w:textDirection w:val="lrTb"/>
            <w:noWrap/>
          </w:tcPr>
          <w:p>
            <w:pPr>
              <w:jc w:val="center"/>
              <w:rPr>
                <w:rFonts w:ascii="宋体" w:hAnsi="宋体"/>
                <w:szCs w:val="21"/>
              </w:rPr>
            </w:pPr>
            <w:r>
              <w:rPr>
                <w:rFonts w:ascii="宋体" w:hAnsi="宋体"/>
                <w:szCs w:val="21"/>
              </w:rPr>
            </w:r>
            <w:r/>
          </w:p>
        </w:tc>
        <w:tc>
          <w:tcPr>
            <w:tcW w:w="931" w:type="dxa"/>
            <w:vAlign w:val="center"/>
            <w:textDirection w:val="lrTb"/>
            <w:noWrap/>
          </w:tcPr>
          <w:p>
            <w:pPr>
              <w:jc w:val="center"/>
              <w:rPr>
                <w:rFonts w:ascii="宋体" w:hAnsi="宋体"/>
                <w:szCs w:val="21"/>
              </w:rPr>
            </w:pPr>
            <w:r>
              <w:rPr>
                <w:rFonts w:ascii="宋体" w:hAnsi="宋体"/>
                <w:szCs w:val="21"/>
              </w:rPr>
            </w:r>
            <w:r/>
          </w:p>
        </w:tc>
        <w:tc>
          <w:tcPr>
            <w:tcW w:w="760" w:type="dxa"/>
            <w:vAlign w:val="center"/>
            <w:textDirection w:val="lrTb"/>
            <w:noWrap/>
          </w:tcPr>
          <w:p>
            <w:pPr>
              <w:jc w:val="center"/>
              <w:rPr>
                <w:rFonts w:ascii="宋体" w:hAnsi="宋体"/>
                <w:szCs w:val="21"/>
              </w:rPr>
            </w:pPr>
            <w:r>
              <w:rPr>
                <w:rFonts w:ascii="宋体" w:hAnsi="宋体"/>
                <w:szCs w:val="21"/>
              </w:rPr>
            </w:r>
            <w:r/>
          </w:p>
        </w:tc>
        <w:tc>
          <w:tcPr>
            <w:tcW w:w="846" w:type="dxa"/>
            <w:vAlign w:val="center"/>
            <w:textDirection w:val="lrTb"/>
            <w:noWrap/>
          </w:tcPr>
          <w:p>
            <w:pPr>
              <w:jc w:val="center"/>
              <w:rPr>
                <w:rFonts w:ascii="宋体" w:hAnsi="宋体"/>
                <w:szCs w:val="21"/>
              </w:rPr>
            </w:pPr>
            <w:r>
              <w:rPr>
                <w:rFonts w:ascii="宋体" w:hAnsi="宋体"/>
                <w:szCs w:val="21"/>
              </w:rPr>
            </w:r>
            <w:r/>
          </w:p>
        </w:tc>
        <w:tc>
          <w:tcPr>
            <w:tcW w:w="1161" w:type="dxa"/>
            <w:vAlign w:val="center"/>
            <w:textDirection w:val="lrTb"/>
            <w:noWrap/>
          </w:tcPr>
          <w:p>
            <w:pPr>
              <w:jc w:val="center"/>
              <w:rPr>
                <w:rFonts w:ascii="宋体" w:hAnsi="宋体"/>
                <w:szCs w:val="21"/>
              </w:rPr>
            </w:pPr>
            <w:r>
              <w:rPr>
                <w:rFonts w:ascii="宋体" w:hAnsi="宋体"/>
                <w:szCs w:val="21"/>
              </w:rPr>
            </w:r>
            <w:r/>
          </w:p>
        </w:tc>
        <w:tc>
          <w:tcPr>
            <w:tcW w:w="1476" w:type="dxa"/>
            <w:vAlign w:val="center"/>
            <w:textDirection w:val="lrTb"/>
            <w:noWrap/>
          </w:tcPr>
          <w:p>
            <w:pPr>
              <w:jc w:val="center"/>
              <w:rPr>
                <w:rFonts w:ascii="宋体" w:hAnsi="宋体"/>
                <w:szCs w:val="21"/>
              </w:rPr>
            </w:pPr>
            <w:r>
              <w:rPr>
                <w:rFonts w:ascii="宋体" w:hAnsi="宋体"/>
                <w:szCs w:val="21"/>
              </w:rPr>
            </w:r>
            <w:r/>
          </w:p>
        </w:tc>
        <w:tc>
          <w:tcPr>
            <w:tcW w:w="1021" w:type="dxa"/>
            <w:vAlign w:val="center"/>
            <w:textDirection w:val="lrTb"/>
            <w:noWrap/>
          </w:tcPr>
          <w:p>
            <w:pPr>
              <w:jc w:val="center"/>
              <w:rPr>
                <w:rFonts w:ascii="宋体" w:hAnsi="宋体"/>
                <w:szCs w:val="21"/>
              </w:rPr>
            </w:pPr>
            <w:r>
              <w:rPr>
                <w:rFonts w:ascii="宋体" w:hAnsi="宋体"/>
                <w:szCs w:val="21"/>
              </w:rPr>
            </w:r>
            <w:r/>
          </w:p>
        </w:tc>
        <w:tc>
          <w:tcPr>
            <w:tcW w:w="859" w:type="dxa"/>
            <w:vAlign w:val="center"/>
            <w:textDirection w:val="lrTb"/>
            <w:noWrap/>
          </w:tcPr>
          <w:p>
            <w:pPr>
              <w:jc w:val="center"/>
              <w:rPr>
                <w:rFonts w:ascii="宋体" w:hAnsi="宋体"/>
                <w:szCs w:val="21"/>
              </w:rPr>
            </w:pPr>
            <w:r>
              <w:rPr>
                <w:rFonts w:ascii="宋体" w:hAnsi="宋体"/>
                <w:szCs w:val="21"/>
              </w:rPr>
            </w:r>
            <w:r/>
          </w:p>
        </w:tc>
      </w:tr>
      <w:tr>
        <w:trPr>
          <w:trHeight w:val="763"/>
        </w:trPr>
        <w:tc>
          <w:tcPr>
            <w:tcW w:w="737" w:type="dxa"/>
            <w:vAlign w:val="center"/>
            <w:textDirection w:val="lrTb"/>
            <w:noWrap/>
          </w:tcPr>
          <w:p>
            <w:pPr>
              <w:jc w:val="center"/>
              <w:rPr>
                <w:rFonts w:ascii="宋体" w:hAnsi="宋体"/>
                <w:szCs w:val="21"/>
              </w:rPr>
            </w:pPr>
            <w:r>
              <w:rPr>
                <w:rFonts w:ascii="宋体" w:hAnsi="宋体"/>
                <w:szCs w:val="21"/>
              </w:rPr>
            </w:r>
            <w:r/>
          </w:p>
        </w:tc>
        <w:tc>
          <w:tcPr>
            <w:tcW w:w="1485" w:type="dxa"/>
            <w:vAlign w:val="center"/>
            <w:textDirection w:val="lrTb"/>
            <w:noWrap/>
          </w:tcPr>
          <w:p>
            <w:pPr>
              <w:jc w:val="center"/>
              <w:rPr>
                <w:rFonts w:ascii="宋体" w:hAnsi="宋体"/>
                <w:szCs w:val="21"/>
              </w:rPr>
            </w:pPr>
            <w:r>
              <w:rPr>
                <w:rFonts w:ascii="宋体" w:hAnsi="宋体"/>
                <w:szCs w:val="21"/>
              </w:rPr>
            </w:r>
            <w:r/>
          </w:p>
        </w:tc>
        <w:tc>
          <w:tcPr>
            <w:tcW w:w="931" w:type="dxa"/>
            <w:vAlign w:val="center"/>
            <w:textDirection w:val="lrTb"/>
            <w:noWrap/>
          </w:tcPr>
          <w:p>
            <w:pPr>
              <w:jc w:val="center"/>
              <w:rPr>
                <w:rFonts w:ascii="宋体" w:hAnsi="宋体"/>
                <w:szCs w:val="21"/>
              </w:rPr>
            </w:pPr>
            <w:r>
              <w:rPr>
                <w:rFonts w:ascii="宋体" w:hAnsi="宋体"/>
                <w:szCs w:val="21"/>
              </w:rPr>
            </w:r>
            <w:r/>
          </w:p>
        </w:tc>
        <w:tc>
          <w:tcPr>
            <w:tcW w:w="760" w:type="dxa"/>
            <w:vAlign w:val="center"/>
            <w:textDirection w:val="lrTb"/>
            <w:noWrap/>
          </w:tcPr>
          <w:p>
            <w:pPr>
              <w:jc w:val="center"/>
              <w:rPr>
                <w:rFonts w:ascii="宋体" w:hAnsi="宋体"/>
                <w:szCs w:val="21"/>
              </w:rPr>
            </w:pPr>
            <w:r>
              <w:rPr>
                <w:rFonts w:ascii="宋体" w:hAnsi="宋体"/>
                <w:szCs w:val="21"/>
              </w:rPr>
            </w:r>
            <w:r/>
          </w:p>
        </w:tc>
        <w:tc>
          <w:tcPr>
            <w:tcW w:w="846" w:type="dxa"/>
            <w:vAlign w:val="center"/>
            <w:textDirection w:val="lrTb"/>
            <w:noWrap/>
          </w:tcPr>
          <w:p>
            <w:pPr>
              <w:jc w:val="center"/>
              <w:rPr>
                <w:rFonts w:ascii="宋体" w:hAnsi="宋体"/>
                <w:szCs w:val="21"/>
              </w:rPr>
            </w:pPr>
            <w:r>
              <w:rPr>
                <w:rFonts w:ascii="宋体" w:hAnsi="宋体"/>
                <w:szCs w:val="21"/>
              </w:rPr>
            </w:r>
            <w:r/>
          </w:p>
        </w:tc>
        <w:tc>
          <w:tcPr>
            <w:tcW w:w="1161" w:type="dxa"/>
            <w:vAlign w:val="center"/>
            <w:textDirection w:val="lrTb"/>
            <w:noWrap/>
          </w:tcPr>
          <w:p>
            <w:pPr>
              <w:jc w:val="center"/>
              <w:rPr>
                <w:rFonts w:ascii="宋体" w:hAnsi="宋体"/>
                <w:szCs w:val="21"/>
              </w:rPr>
            </w:pPr>
            <w:r>
              <w:rPr>
                <w:rFonts w:ascii="宋体" w:hAnsi="宋体"/>
                <w:szCs w:val="21"/>
              </w:rPr>
            </w:r>
            <w:r/>
          </w:p>
        </w:tc>
        <w:tc>
          <w:tcPr>
            <w:tcW w:w="1476" w:type="dxa"/>
            <w:vAlign w:val="center"/>
            <w:textDirection w:val="lrTb"/>
            <w:noWrap/>
          </w:tcPr>
          <w:p>
            <w:pPr>
              <w:jc w:val="center"/>
              <w:rPr>
                <w:rFonts w:ascii="宋体" w:hAnsi="宋体"/>
                <w:szCs w:val="21"/>
              </w:rPr>
            </w:pPr>
            <w:r>
              <w:rPr>
                <w:rFonts w:ascii="宋体" w:hAnsi="宋体"/>
                <w:szCs w:val="21"/>
              </w:rPr>
            </w:r>
            <w:r/>
          </w:p>
        </w:tc>
        <w:tc>
          <w:tcPr>
            <w:tcW w:w="1021" w:type="dxa"/>
            <w:vAlign w:val="center"/>
            <w:textDirection w:val="lrTb"/>
            <w:noWrap/>
          </w:tcPr>
          <w:p>
            <w:pPr>
              <w:jc w:val="center"/>
              <w:rPr>
                <w:rFonts w:ascii="宋体" w:hAnsi="宋体"/>
                <w:szCs w:val="21"/>
              </w:rPr>
            </w:pPr>
            <w:r>
              <w:rPr>
                <w:rFonts w:ascii="宋体" w:hAnsi="宋体"/>
                <w:szCs w:val="21"/>
              </w:rPr>
            </w:r>
            <w:r/>
          </w:p>
        </w:tc>
        <w:tc>
          <w:tcPr>
            <w:tcW w:w="859" w:type="dxa"/>
            <w:vAlign w:val="center"/>
            <w:textDirection w:val="lrTb"/>
            <w:noWrap/>
          </w:tcPr>
          <w:p>
            <w:pPr>
              <w:jc w:val="center"/>
              <w:rPr>
                <w:rFonts w:ascii="宋体" w:hAnsi="宋体"/>
                <w:szCs w:val="21"/>
              </w:rPr>
            </w:pPr>
            <w:r>
              <w:rPr>
                <w:rFonts w:ascii="宋体" w:hAnsi="宋体"/>
                <w:szCs w:val="21"/>
              </w:rPr>
            </w:r>
            <w:r/>
          </w:p>
        </w:tc>
      </w:tr>
      <w:tr>
        <w:trPr>
          <w:trHeight w:val="773"/>
        </w:trPr>
        <w:tc>
          <w:tcPr>
            <w:tcW w:w="737" w:type="dxa"/>
            <w:vAlign w:val="center"/>
            <w:textDirection w:val="lrTb"/>
            <w:noWrap/>
          </w:tcPr>
          <w:p>
            <w:pPr>
              <w:jc w:val="center"/>
              <w:rPr>
                <w:rFonts w:ascii="宋体" w:hAnsi="宋体"/>
                <w:szCs w:val="21"/>
              </w:rPr>
            </w:pPr>
            <w:r>
              <w:rPr>
                <w:rFonts w:ascii="宋体" w:hAnsi="宋体"/>
                <w:szCs w:val="21"/>
              </w:rPr>
            </w:r>
            <w:r/>
          </w:p>
        </w:tc>
        <w:tc>
          <w:tcPr>
            <w:tcW w:w="1485" w:type="dxa"/>
            <w:vAlign w:val="center"/>
            <w:textDirection w:val="lrTb"/>
            <w:noWrap/>
          </w:tcPr>
          <w:p>
            <w:pPr>
              <w:jc w:val="center"/>
              <w:rPr>
                <w:rFonts w:ascii="宋体" w:hAnsi="宋体"/>
                <w:szCs w:val="21"/>
              </w:rPr>
            </w:pPr>
            <w:r>
              <w:rPr>
                <w:rFonts w:ascii="宋体" w:hAnsi="宋体"/>
                <w:szCs w:val="21"/>
              </w:rPr>
            </w:r>
            <w:r/>
          </w:p>
        </w:tc>
        <w:tc>
          <w:tcPr>
            <w:tcW w:w="931" w:type="dxa"/>
            <w:vAlign w:val="center"/>
            <w:textDirection w:val="lrTb"/>
            <w:noWrap/>
          </w:tcPr>
          <w:p>
            <w:pPr>
              <w:jc w:val="center"/>
              <w:rPr>
                <w:rFonts w:ascii="宋体" w:hAnsi="宋体"/>
                <w:szCs w:val="21"/>
              </w:rPr>
            </w:pPr>
            <w:r>
              <w:rPr>
                <w:rFonts w:ascii="宋体" w:hAnsi="宋体"/>
                <w:szCs w:val="21"/>
              </w:rPr>
            </w:r>
            <w:r/>
          </w:p>
        </w:tc>
        <w:tc>
          <w:tcPr>
            <w:tcW w:w="760" w:type="dxa"/>
            <w:vAlign w:val="center"/>
            <w:textDirection w:val="lrTb"/>
            <w:noWrap/>
          </w:tcPr>
          <w:p>
            <w:pPr>
              <w:jc w:val="center"/>
              <w:rPr>
                <w:rFonts w:ascii="宋体" w:hAnsi="宋体"/>
                <w:szCs w:val="21"/>
              </w:rPr>
            </w:pPr>
            <w:r>
              <w:rPr>
                <w:rFonts w:ascii="宋体" w:hAnsi="宋体"/>
                <w:szCs w:val="21"/>
              </w:rPr>
            </w:r>
            <w:r/>
          </w:p>
        </w:tc>
        <w:tc>
          <w:tcPr>
            <w:tcW w:w="846" w:type="dxa"/>
            <w:vAlign w:val="center"/>
            <w:textDirection w:val="lrTb"/>
            <w:noWrap/>
          </w:tcPr>
          <w:p>
            <w:pPr>
              <w:jc w:val="center"/>
              <w:rPr>
                <w:rFonts w:ascii="宋体" w:hAnsi="宋体"/>
                <w:szCs w:val="21"/>
              </w:rPr>
            </w:pPr>
            <w:r>
              <w:rPr>
                <w:rFonts w:ascii="宋体" w:hAnsi="宋体"/>
                <w:szCs w:val="21"/>
              </w:rPr>
            </w:r>
            <w:r/>
          </w:p>
        </w:tc>
        <w:tc>
          <w:tcPr>
            <w:tcW w:w="1161" w:type="dxa"/>
            <w:vAlign w:val="center"/>
            <w:textDirection w:val="lrTb"/>
            <w:noWrap/>
          </w:tcPr>
          <w:p>
            <w:pPr>
              <w:jc w:val="center"/>
              <w:rPr>
                <w:rFonts w:ascii="宋体" w:hAnsi="宋体"/>
                <w:szCs w:val="21"/>
              </w:rPr>
            </w:pPr>
            <w:r>
              <w:rPr>
                <w:rFonts w:ascii="宋体" w:hAnsi="宋体"/>
                <w:szCs w:val="21"/>
              </w:rPr>
            </w:r>
            <w:r/>
          </w:p>
        </w:tc>
        <w:tc>
          <w:tcPr>
            <w:tcW w:w="1476" w:type="dxa"/>
            <w:vAlign w:val="center"/>
            <w:textDirection w:val="lrTb"/>
            <w:noWrap/>
          </w:tcPr>
          <w:p>
            <w:pPr>
              <w:jc w:val="center"/>
              <w:rPr>
                <w:rFonts w:ascii="宋体" w:hAnsi="宋体"/>
                <w:szCs w:val="21"/>
              </w:rPr>
            </w:pPr>
            <w:r>
              <w:rPr>
                <w:rFonts w:ascii="宋体" w:hAnsi="宋体"/>
                <w:szCs w:val="21"/>
              </w:rPr>
            </w:r>
            <w:r/>
          </w:p>
        </w:tc>
        <w:tc>
          <w:tcPr>
            <w:tcW w:w="1021" w:type="dxa"/>
            <w:vAlign w:val="center"/>
            <w:textDirection w:val="lrTb"/>
            <w:noWrap/>
          </w:tcPr>
          <w:p>
            <w:pPr>
              <w:jc w:val="center"/>
              <w:rPr>
                <w:rFonts w:ascii="宋体" w:hAnsi="宋体"/>
                <w:szCs w:val="21"/>
              </w:rPr>
            </w:pPr>
            <w:r>
              <w:rPr>
                <w:rFonts w:ascii="宋体" w:hAnsi="宋体"/>
                <w:szCs w:val="21"/>
              </w:rPr>
            </w:r>
            <w:r/>
          </w:p>
        </w:tc>
        <w:tc>
          <w:tcPr>
            <w:tcW w:w="859" w:type="dxa"/>
            <w:vAlign w:val="center"/>
            <w:textDirection w:val="lrTb"/>
            <w:noWrap/>
          </w:tcPr>
          <w:p>
            <w:pPr>
              <w:jc w:val="center"/>
              <w:rPr>
                <w:rFonts w:ascii="宋体" w:hAnsi="宋体"/>
                <w:szCs w:val="21"/>
              </w:rPr>
            </w:pPr>
            <w:r>
              <w:rPr>
                <w:rFonts w:ascii="宋体" w:hAnsi="宋体"/>
                <w:szCs w:val="21"/>
              </w:rPr>
            </w:r>
            <w:r/>
          </w:p>
        </w:tc>
      </w:tr>
    </w:tbl>
    <w:p>
      <w:pPr>
        <w:jc w:val="right"/>
        <w:rPr>
          <w:rFonts w:ascii="宋体" w:hAnsi="宋体" w:cs="宋体"/>
          <w:sz w:val="24"/>
          <w:szCs w:val="24"/>
        </w:rPr>
      </w:pPr>
      <w:r>
        <w:rPr>
          <w:rFonts w:ascii="宋体" w:hAnsi="宋体" w:cs="宋体"/>
          <w:sz w:val="24"/>
          <w:szCs w:val="24"/>
        </w:rPr>
      </w:r>
      <w:r/>
    </w:p>
    <w:p>
      <w:pPr>
        <w:rPr>
          <w:rFonts w:ascii="宋体"/>
          <w:b/>
          <w:szCs w:val="21"/>
        </w:rPr>
      </w:pPr>
      <w:r>
        <w:rPr>
          <w:rFonts w:hint="eastAsia" w:ascii="宋体"/>
          <w:b/>
          <w:szCs w:val="21"/>
        </w:rPr>
        <w:t xml:space="preserve">注：</w:t>
      </w:r>
      <w:r/>
    </w:p>
    <w:p>
      <w:pPr>
        <w:rPr>
          <w:rFonts w:ascii="宋体"/>
          <w:b/>
          <w:szCs w:val="21"/>
        </w:rPr>
      </w:pPr>
      <w:r>
        <w:rPr>
          <w:rFonts w:hint="eastAsia" w:ascii="宋体"/>
          <w:b/>
          <w:szCs w:val="21"/>
        </w:rPr>
        <w:t xml:space="preserve">1.上表如需要自行延长。</w:t>
      </w:r>
      <w:r/>
    </w:p>
    <w:p>
      <w:pPr>
        <w:rPr>
          <w:rFonts w:ascii="宋体"/>
          <w:b/>
          <w:szCs w:val="21"/>
        </w:rPr>
      </w:pPr>
      <w:r>
        <w:rPr>
          <w:rFonts w:hint="eastAsia" w:ascii="宋体"/>
          <w:b/>
          <w:szCs w:val="21"/>
        </w:rPr>
        <w:t xml:space="preserve">2.拟投入的机械设备相关证明材料应按招标文件要求提供，并附在本表之后（如有）。</w:t>
      </w:r>
      <w:r/>
    </w:p>
    <w:p>
      <w:pPr>
        <w:rPr>
          <w:rFonts w:ascii="宋体"/>
          <w:b/>
          <w:szCs w:val="21"/>
        </w:rPr>
      </w:pPr>
      <w:r>
        <w:rPr>
          <w:rFonts w:hint="eastAsia" w:ascii="宋体"/>
          <w:b/>
          <w:szCs w:val="21"/>
        </w:rPr>
        <w:t xml:space="preserve">3.如投标供应商提供承诺书一（服务保障承诺）的，上表仅需填写评分相关机械设备。</w:t>
      </w:r>
      <w:r/>
    </w:p>
    <w:p>
      <w:pPr>
        <w:pStyle w:val="854"/>
      </w:pPr>
      <w:r/>
      <w:r/>
    </w:p>
    <w:p>
      <w:pPr>
        <w:jc w:val="right"/>
        <w:rPr>
          <w:rFonts w:ascii="宋体" w:hAnsi="宋体" w:cs="宋体"/>
          <w:sz w:val="24"/>
          <w:szCs w:val="24"/>
        </w:rPr>
      </w:pPr>
      <w:r>
        <w:rPr>
          <w:rFonts w:hint="eastAsia" w:ascii="宋体" w:hAnsi="宋体" w:cs="宋体"/>
          <w:sz w:val="24"/>
          <w:szCs w:val="24"/>
        </w:rPr>
        <w:t xml:space="preserve">法定代表人或授权代表（签字或盖章）：__________</w:t>
      </w:r>
      <w:r/>
    </w:p>
    <w:p>
      <w:pPr>
        <w:jc w:val="right"/>
        <w:rPr>
          <w:rFonts w:ascii="宋体" w:hAnsi="宋体" w:cs="宋体"/>
          <w:sz w:val="24"/>
          <w:szCs w:val="24"/>
        </w:rPr>
      </w:pPr>
      <w:r>
        <w:rPr>
          <w:rFonts w:ascii="宋体" w:hAnsi="宋体" w:cs="宋体"/>
          <w:sz w:val="24"/>
          <w:szCs w:val="24"/>
        </w:rPr>
      </w:r>
      <w:r/>
    </w:p>
    <w:p>
      <w:pPr>
        <w:pStyle w:val="892"/>
        <w:jc w:val="right"/>
        <w:rPr>
          <w:rFonts w:ascii="宋体" w:hAnsi="宋体" w:cs="宋体"/>
          <w:sz w:val="24"/>
          <w:szCs w:val="24"/>
        </w:rPr>
      </w:pPr>
      <w:r>
        <w:rPr>
          <w:rFonts w:hint="eastAsia" w:ascii="宋体" w:hAnsi="宋体" w:cs="宋体"/>
          <w:sz w:val="24"/>
          <w:szCs w:val="24"/>
        </w:rPr>
        <w:t xml:space="preserve">日期：________年____月____日</w:t>
      </w:r>
      <w:r/>
    </w:p>
    <w:p>
      <w:pPr>
        <w:rPr>
          <w:rFonts w:ascii="宋体" w:hAnsi="宋体" w:cs="宋体"/>
          <w:b/>
          <w:color w:val="000000"/>
          <w:sz w:val="24"/>
          <w:szCs w:val="24"/>
        </w:rPr>
      </w:pPr>
      <w:r>
        <w:rPr>
          <w:rFonts w:hint="eastAsia" w:ascii="宋体" w:hAnsi="宋体"/>
          <w:b/>
          <w:bCs/>
          <w:sz w:val="28"/>
          <w:szCs w:val="28"/>
        </w:rPr>
        <w:br w:type="page" w:clear="all"/>
      </w:r>
      <w:r>
        <w:rPr>
          <w:rFonts w:hint="eastAsia" w:ascii="宋体" w:hAnsi="宋体"/>
          <w:b/>
          <w:bCs/>
          <w:sz w:val="28"/>
          <w:szCs w:val="28"/>
        </w:rPr>
        <w:t xml:space="preserve">（十一）</w:t>
      </w:r>
      <w:r>
        <w:rPr>
          <w:rFonts w:hint="eastAsia" w:ascii="宋体" w:hAnsi="宋体" w:cs="宋体"/>
          <w:b/>
          <w:color w:val="000000"/>
          <w:sz w:val="24"/>
          <w:szCs w:val="24"/>
        </w:rPr>
        <w:t xml:space="preserve">企业类似业绩一览表（格式）</w:t>
      </w:r>
      <w:r/>
    </w:p>
    <w:p>
      <w:pPr>
        <w:pStyle w:val="916"/>
        <w:numPr>
          <w:ilvl w:val="1"/>
          <w:numId w:val="0"/>
        </w:numPr>
        <w:ind w:left="567" w:hanging="567"/>
        <w:jc w:val="center"/>
        <w:spacing w:before="160" w:after="160"/>
        <w:rPr>
          <w:rFonts w:ascii="宋体" w:hAnsi="宋体" w:eastAsia="宋体"/>
          <w:sz w:val="28"/>
          <w:szCs w:val="28"/>
        </w:rPr>
      </w:pPr>
      <w:r>
        <w:rPr>
          <w:rFonts w:hint="eastAsia" w:ascii="宋体" w:hAnsi="宋体" w:eastAsia="宋体"/>
          <w:sz w:val="28"/>
          <w:szCs w:val="28"/>
        </w:rPr>
        <w:t xml:space="preserve">企业类似业绩一览表</w:t>
      </w:r>
      <w:r/>
    </w:p>
    <w:p>
      <w:pPr>
        <w:ind w:firstLine="240"/>
        <w:spacing w:line="360" w:lineRule="auto"/>
      </w:pPr>
      <w:r>
        <w:rPr>
          <w:rFonts w:hint="eastAsia" w:ascii="宋体" w:hAnsi="宋体" w:cs="宋体"/>
          <w:bCs/>
          <w:sz w:val="24"/>
          <w:szCs w:val="24"/>
        </w:rPr>
        <w:t xml:space="preserve">投标供应商名称（盖章）                 采购项目编号：</w:t>
      </w:r>
      <w:r/>
    </w:p>
    <w:tbl>
      <w:tblPr>
        <w:tblStyle w:val="783"/>
        <w:tblW w:w="91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213"/>
        <w:gridCol w:w="1237"/>
        <w:gridCol w:w="1568"/>
        <w:gridCol w:w="1563"/>
        <w:gridCol w:w="1429"/>
        <w:gridCol w:w="1429"/>
      </w:tblGrid>
      <w:tr>
        <w:trPr>
          <w:jc w:val="center"/>
          <w:trHeight w:val="1158"/>
        </w:trPr>
        <w:tc>
          <w:tcPr>
            <w:tcW w:w="758"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序号</w:t>
            </w:r>
            <w:r/>
          </w:p>
        </w:tc>
        <w:tc>
          <w:tcPr>
            <w:tcW w:w="121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项目名称</w:t>
            </w:r>
            <w:r/>
          </w:p>
        </w:tc>
        <w:tc>
          <w:tcPr>
            <w:tcW w:w="1237"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服务内容</w:t>
            </w:r>
            <w:r/>
          </w:p>
        </w:tc>
        <w:tc>
          <w:tcPr>
            <w:tcW w:w="1568"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合同服务期</w:t>
            </w:r>
            <w:r/>
          </w:p>
        </w:tc>
        <w:tc>
          <w:tcPr>
            <w:tcW w:w="156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合同金额</w:t>
            </w:r>
            <w:r/>
          </w:p>
          <w:p>
            <w:pPr>
              <w:jc w:val="center"/>
              <w:rPr>
                <w:rFonts w:ascii="宋体" w:hAnsi="宋体" w:cs="宋体"/>
                <w:sz w:val="24"/>
                <w:szCs w:val="24"/>
              </w:rPr>
            </w:pPr>
            <w:r>
              <w:rPr>
                <w:rFonts w:hint="eastAsia" w:ascii="宋体" w:hAnsi="宋体" w:cs="宋体"/>
                <w:sz w:val="24"/>
                <w:szCs w:val="24"/>
              </w:rPr>
              <w:t xml:space="preserve">（万元）</w:t>
            </w:r>
            <w:r/>
          </w:p>
        </w:tc>
        <w:tc>
          <w:tcPr>
            <w:tcW w:w="1429"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业主单位</w:t>
            </w:r>
            <w:r/>
          </w:p>
        </w:tc>
        <w:tc>
          <w:tcPr>
            <w:tcW w:w="1429"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备注</w:t>
            </w:r>
            <w:r/>
          </w:p>
        </w:tc>
      </w:tr>
      <w:tr>
        <w:trPr>
          <w:jc w:val="center"/>
          <w:trHeight w:val="786"/>
        </w:trPr>
        <w:tc>
          <w:tcPr>
            <w:tcW w:w="758" w:type="dxa"/>
            <w:vAlign w:val="center"/>
            <w:textDirection w:val="lrTb"/>
            <w:noWrap/>
          </w:tcPr>
          <w:p>
            <w:pPr>
              <w:jc w:val="center"/>
              <w:rPr>
                <w:rFonts w:ascii="宋体" w:hAnsi="宋体" w:cs="宋体"/>
                <w:sz w:val="26"/>
                <w:szCs w:val="21"/>
              </w:rPr>
            </w:pPr>
            <w:r>
              <w:rPr>
                <w:rFonts w:hint="eastAsia" w:ascii="宋体" w:hAnsi="宋体" w:cs="宋体"/>
                <w:sz w:val="26"/>
                <w:szCs w:val="21"/>
              </w:rPr>
              <w:t xml:space="preserve">1</w:t>
            </w:r>
            <w:r/>
          </w:p>
        </w:tc>
        <w:tc>
          <w:tcPr>
            <w:tcW w:w="1213" w:type="dxa"/>
            <w:vAlign w:val="center"/>
            <w:textDirection w:val="lrTb"/>
            <w:noWrap/>
          </w:tcPr>
          <w:p>
            <w:pPr>
              <w:jc w:val="center"/>
              <w:rPr>
                <w:rFonts w:ascii="宋体" w:hAnsi="宋体" w:cs="宋体"/>
                <w:sz w:val="24"/>
                <w:szCs w:val="24"/>
              </w:rPr>
            </w:pPr>
            <w:r>
              <w:rPr>
                <w:rFonts w:ascii="宋体" w:hAnsi="宋体" w:cs="宋体"/>
                <w:sz w:val="24"/>
                <w:szCs w:val="24"/>
              </w:rPr>
            </w:r>
            <w:r/>
          </w:p>
        </w:tc>
        <w:tc>
          <w:tcPr>
            <w:tcW w:w="1237" w:type="dxa"/>
            <w:vAlign w:val="top"/>
            <w:textDirection w:val="lrTb"/>
            <w:noWrap/>
          </w:tcPr>
          <w:p>
            <w:pPr>
              <w:jc w:val="center"/>
              <w:rPr>
                <w:rFonts w:ascii="宋体" w:hAnsi="宋体" w:cs="宋体"/>
                <w:sz w:val="24"/>
                <w:szCs w:val="24"/>
              </w:rPr>
            </w:pPr>
            <w:r>
              <w:rPr>
                <w:rFonts w:ascii="宋体" w:hAnsi="宋体" w:cs="宋体"/>
                <w:sz w:val="24"/>
                <w:szCs w:val="24"/>
              </w:rPr>
            </w:r>
            <w:r/>
          </w:p>
        </w:tc>
        <w:tc>
          <w:tcPr>
            <w:tcW w:w="1568" w:type="dxa"/>
            <w:vAlign w:val="center"/>
            <w:textDirection w:val="lrTb"/>
            <w:noWrap/>
          </w:tcPr>
          <w:p>
            <w:pPr>
              <w:jc w:val="center"/>
              <w:rPr>
                <w:rFonts w:ascii="宋体" w:hAnsi="宋体" w:cs="宋体"/>
                <w:sz w:val="24"/>
                <w:szCs w:val="24"/>
              </w:rPr>
            </w:pPr>
            <w:r>
              <w:rPr>
                <w:rFonts w:ascii="宋体" w:hAnsi="宋体" w:cs="宋体"/>
                <w:sz w:val="24"/>
                <w:szCs w:val="24"/>
              </w:rPr>
            </w:r>
            <w:r/>
          </w:p>
        </w:tc>
        <w:tc>
          <w:tcPr>
            <w:tcW w:w="1563" w:type="dxa"/>
            <w:vAlign w:val="center"/>
            <w:textDirection w:val="lrTb"/>
            <w:noWrap/>
          </w:tcPr>
          <w:p>
            <w:pPr>
              <w:jc w:val="center"/>
              <w:rPr>
                <w:rFonts w:ascii="宋体" w:hAnsi="宋体" w:cs="宋体"/>
                <w:sz w:val="24"/>
                <w:szCs w:val="24"/>
              </w:rPr>
            </w:pPr>
            <w:r>
              <w:rPr>
                <w:rFonts w:ascii="宋体" w:hAnsi="宋体" w:cs="宋体"/>
                <w:sz w:val="24"/>
                <w:szCs w:val="24"/>
              </w:rPr>
            </w:r>
            <w:r/>
          </w:p>
        </w:tc>
        <w:tc>
          <w:tcPr>
            <w:tcW w:w="1429" w:type="dxa"/>
            <w:vAlign w:val="center"/>
            <w:textDirection w:val="lrTb"/>
            <w:noWrap/>
          </w:tcPr>
          <w:p>
            <w:pPr>
              <w:jc w:val="center"/>
              <w:rPr>
                <w:rFonts w:ascii="宋体" w:hAnsi="宋体" w:cs="宋体"/>
                <w:sz w:val="24"/>
                <w:szCs w:val="24"/>
              </w:rPr>
            </w:pPr>
            <w:r>
              <w:rPr>
                <w:rFonts w:ascii="宋体" w:hAnsi="宋体" w:cs="宋体"/>
                <w:sz w:val="24"/>
                <w:szCs w:val="24"/>
              </w:rPr>
            </w:r>
            <w:r/>
          </w:p>
        </w:tc>
        <w:tc>
          <w:tcPr>
            <w:tcW w:w="142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jc w:val="center"/>
          <w:trHeight w:val="786"/>
        </w:trPr>
        <w:tc>
          <w:tcPr>
            <w:tcW w:w="758" w:type="dxa"/>
            <w:vAlign w:val="center"/>
            <w:textDirection w:val="lrTb"/>
            <w:noWrap/>
          </w:tcPr>
          <w:p>
            <w:pPr>
              <w:jc w:val="center"/>
              <w:rPr>
                <w:rFonts w:ascii="宋体" w:hAnsi="宋体" w:cs="宋体"/>
                <w:sz w:val="26"/>
                <w:szCs w:val="21"/>
              </w:rPr>
            </w:pPr>
            <w:r>
              <w:rPr>
                <w:rFonts w:hint="eastAsia" w:ascii="宋体" w:hAnsi="宋体" w:cs="宋体"/>
                <w:sz w:val="26"/>
                <w:szCs w:val="21"/>
              </w:rPr>
              <w:t xml:space="preserve">2</w:t>
            </w:r>
            <w:r/>
          </w:p>
        </w:tc>
        <w:tc>
          <w:tcPr>
            <w:tcW w:w="1213"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237" w:type="dxa"/>
            <w:vAlign w:val="top"/>
            <w:textDirection w:val="lrTb"/>
            <w:noWrap/>
          </w:tcPr>
          <w:p>
            <w:pPr>
              <w:jc w:val="center"/>
              <w:rPr>
                <w:rFonts w:ascii="宋体" w:hAnsi="宋体" w:cs="宋体"/>
                <w:sz w:val="26"/>
                <w:szCs w:val="21"/>
              </w:rPr>
            </w:pPr>
            <w:r>
              <w:rPr>
                <w:rFonts w:ascii="宋体" w:hAnsi="宋体" w:cs="宋体"/>
                <w:sz w:val="26"/>
                <w:szCs w:val="21"/>
              </w:rPr>
            </w:r>
            <w:r/>
          </w:p>
        </w:tc>
        <w:tc>
          <w:tcPr>
            <w:tcW w:w="1568"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563"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jc w:val="center"/>
              <w:rPr>
                <w:rFonts w:ascii="宋体" w:hAnsi="宋体" w:cs="宋体"/>
                <w:sz w:val="26"/>
                <w:szCs w:val="21"/>
              </w:rPr>
            </w:pPr>
            <w:r>
              <w:rPr>
                <w:rFonts w:ascii="宋体" w:hAnsi="宋体" w:cs="宋体"/>
                <w:sz w:val="26"/>
                <w:szCs w:val="21"/>
              </w:rPr>
            </w:r>
            <w:r/>
          </w:p>
        </w:tc>
      </w:tr>
      <w:tr>
        <w:trPr>
          <w:jc w:val="center"/>
          <w:trHeight w:val="786"/>
        </w:trPr>
        <w:tc>
          <w:tcPr>
            <w:tcW w:w="758" w:type="dxa"/>
            <w:vAlign w:val="center"/>
            <w:textDirection w:val="lrTb"/>
            <w:noWrap/>
          </w:tcPr>
          <w:p>
            <w:pPr>
              <w:jc w:val="center"/>
              <w:rPr>
                <w:rFonts w:ascii="宋体" w:hAnsi="宋体" w:cs="宋体"/>
                <w:sz w:val="26"/>
                <w:szCs w:val="21"/>
              </w:rPr>
            </w:pPr>
            <w:r>
              <w:rPr>
                <w:rFonts w:hint="eastAsia" w:ascii="宋体" w:hAnsi="宋体" w:cs="宋体"/>
                <w:sz w:val="26"/>
                <w:szCs w:val="21"/>
              </w:rPr>
              <w:t xml:space="preserve">3</w:t>
            </w:r>
            <w:r/>
          </w:p>
        </w:tc>
        <w:tc>
          <w:tcPr>
            <w:tcW w:w="1213"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237" w:type="dxa"/>
            <w:vAlign w:val="top"/>
            <w:textDirection w:val="lrTb"/>
            <w:noWrap/>
          </w:tcPr>
          <w:p>
            <w:pPr>
              <w:jc w:val="center"/>
              <w:rPr>
                <w:rFonts w:ascii="宋体" w:hAnsi="宋体" w:cs="宋体"/>
                <w:sz w:val="26"/>
                <w:szCs w:val="21"/>
              </w:rPr>
            </w:pPr>
            <w:r>
              <w:rPr>
                <w:rFonts w:ascii="宋体" w:hAnsi="宋体" w:cs="宋体"/>
                <w:sz w:val="26"/>
                <w:szCs w:val="21"/>
              </w:rPr>
            </w:r>
            <w:r/>
          </w:p>
        </w:tc>
        <w:tc>
          <w:tcPr>
            <w:tcW w:w="1568"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563"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jc w:val="center"/>
              <w:rPr>
                <w:rFonts w:ascii="宋体" w:hAnsi="宋体" w:cs="宋体"/>
                <w:sz w:val="26"/>
                <w:szCs w:val="21"/>
              </w:rPr>
            </w:pPr>
            <w:r>
              <w:rPr>
                <w:rFonts w:ascii="宋体" w:hAnsi="宋体" w:cs="宋体"/>
                <w:sz w:val="26"/>
                <w:szCs w:val="21"/>
              </w:rPr>
            </w:r>
            <w:r/>
          </w:p>
        </w:tc>
      </w:tr>
      <w:tr>
        <w:trPr>
          <w:jc w:val="center"/>
          <w:trHeight w:val="786"/>
        </w:trPr>
        <w:tc>
          <w:tcPr>
            <w:tcW w:w="758" w:type="dxa"/>
            <w:vAlign w:val="center"/>
            <w:textDirection w:val="lrTb"/>
            <w:noWrap/>
          </w:tcPr>
          <w:p>
            <w:pPr>
              <w:jc w:val="center"/>
              <w:rPr>
                <w:rFonts w:ascii="宋体" w:hAnsi="宋体" w:cs="宋体"/>
                <w:sz w:val="26"/>
                <w:szCs w:val="21"/>
              </w:rPr>
            </w:pPr>
            <w:r>
              <w:rPr>
                <w:rFonts w:hint="eastAsia" w:ascii="宋体" w:hAnsi="宋体" w:cs="宋体"/>
                <w:sz w:val="26"/>
                <w:szCs w:val="21"/>
              </w:rPr>
              <w:t xml:space="preserve">4</w:t>
            </w:r>
            <w:r/>
          </w:p>
        </w:tc>
        <w:tc>
          <w:tcPr>
            <w:tcW w:w="1213"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237" w:type="dxa"/>
            <w:vAlign w:val="top"/>
            <w:textDirection w:val="lrTb"/>
            <w:noWrap/>
          </w:tcPr>
          <w:p>
            <w:pPr>
              <w:jc w:val="center"/>
              <w:rPr>
                <w:rFonts w:ascii="宋体" w:hAnsi="宋体" w:cs="宋体"/>
                <w:sz w:val="26"/>
                <w:szCs w:val="21"/>
              </w:rPr>
            </w:pPr>
            <w:r>
              <w:rPr>
                <w:rFonts w:ascii="宋体" w:hAnsi="宋体" w:cs="宋体"/>
                <w:sz w:val="26"/>
                <w:szCs w:val="21"/>
              </w:rPr>
            </w:r>
            <w:r/>
          </w:p>
        </w:tc>
        <w:tc>
          <w:tcPr>
            <w:tcW w:w="1568"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563"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jc w:val="center"/>
              <w:rPr>
                <w:rFonts w:ascii="宋体" w:hAnsi="宋体" w:cs="宋体"/>
                <w:sz w:val="26"/>
                <w:szCs w:val="21"/>
              </w:rPr>
            </w:pPr>
            <w:r>
              <w:rPr>
                <w:rFonts w:ascii="宋体" w:hAnsi="宋体" w:cs="宋体"/>
                <w:sz w:val="26"/>
                <w:szCs w:val="21"/>
              </w:rPr>
            </w:r>
            <w:r/>
          </w:p>
        </w:tc>
      </w:tr>
      <w:tr>
        <w:trPr>
          <w:jc w:val="center"/>
          <w:trHeight w:val="786"/>
        </w:trPr>
        <w:tc>
          <w:tcPr>
            <w:tcW w:w="758" w:type="dxa"/>
            <w:vAlign w:val="center"/>
            <w:textDirection w:val="lrTb"/>
            <w:noWrap/>
          </w:tcPr>
          <w:p>
            <w:pPr>
              <w:jc w:val="center"/>
              <w:rPr>
                <w:rFonts w:ascii="宋体" w:hAnsi="宋体" w:cs="宋体"/>
                <w:sz w:val="26"/>
                <w:szCs w:val="21"/>
              </w:rPr>
            </w:pPr>
            <w:r>
              <w:rPr>
                <w:rFonts w:hint="eastAsia" w:ascii="宋体" w:hAnsi="宋体" w:cs="宋体"/>
                <w:sz w:val="26"/>
                <w:szCs w:val="21"/>
              </w:rPr>
              <w:t xml:space="preserve">5</w:t>
            </w:r>
            <w:r/>
          </w:p>
        </w:tc>
        <w:tc>
          <w:tcPr>
            <w:tcW w:w="1213"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237" w:type="dxa"/>
            <w:vAlign w:val="top"/>
            <w:textDirection w:val="lrTb"/>
            <w:noWrap/>
          </w:tcPr>
          <w:p>
            <w:pPr>
              <w:jc w:val="center"/>
              <w:rPr>
                <w:rFonts w:ascii="宋体" w:hAnsi="宋体" w:cs="宋体"/>
                <w:sz w:val="26"/>
                <w:szCs w:val="21"/>
              </w:rPr>
            </w:pPr>
            <w:r>
              <w:rPr>
                <w:rFonts w:ascii="宋体" w:hAnsi="宋体" w:cs="宋体"/>
                <w:sz w:val="26"/>
                <w:szCs w:val="21"/>
              </w:rPr>
            </w:r>
            <w:r/>
          </w:p>
        </w:tc>
        <w:tc>
          <w:tcPr>
            <w:tcW w:w="1568"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563"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jc w:val="center"/>
              <w:rPr>
                <w:rFonts w:ascii="宋体" w:hAnsi="宋体" w:cs="宋体"/>
                <w:sz w:val="26"/>
                <w:szCs w:val="21"/>
              </w:rPr>
            </w:pPr>
            <w:r>
              <w:rPr>
                <w:rFonts w:ascii="宋体" w:hAnsi="宋体" w:cs="宋体"/>
                <w:sz w:val="26"/>
                <w:szCs w:val="21"/>
              </w:rPr>
            </w:r>
            <w:r/>
          </w:p>
        </w:tc>
      </w:tr>
      <w:tr>
        <w:trPr>
          <w:jc w:val="center"/>
          <w:trHeight w:val="828"/>
        </w:trPr>
        <w:tc>
          <w:tcPr>
            <w:tcW w:w="758" w:type="dxa"/>
            <w:vAlign w:val="center"/>
            <w:textDirection w:val="lrTb"/>
            <w:noWrap/>
          </w:tcPr>
          <w:p>
            <w:pPr>
              <w:jc w:val="center"/>
              <w:rPr>
                <w:rFonts w:ascii="宋体" w:hAnsi="宋体" w:cs="宋体"/>
                <w:sz w:val="26"/>
                <w:szCs w:val="21"/>
              </w:rPr>
            </w:pPr>
            <w:r>
              <w:rPr>
                <w:rFonts w:ascii="宋体" w:hAnsi="宋体" w:cs="宋体"/>
                <w:sz w:val="26"/>
                <w:szCs w:val="21"/>
              </w:rPr>
              <w:t xml:space="preserve">…</w:t>
            </w:r>
            <w:r/>
          </w:p>
        </w:tc>
        <w:tc>
          <w:tcPr>
            <w:tcW w:w="1213"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237" w:type="dxa"/>
            <w:vAlign w:val="top"/>
            <w:textDirection w:val="lrTb"/>
            <w:noWrap/>
          </w:tcPr>
          <w:p>
            <w:pPr>
              <w:jc w:val="center"/>
              <w:rPr>
                <w:rFonts w:ascii="宋体" w:hAnsi="宋体" w:cs="宋体"/>
                <w:sz w:val="26"/>
                <w:szCs w:val="21"/>
              </w:rPr>
            </w:pPr>
            <w:r>
              <w:rPr>
                <w:rFonts w:ascii="宋体" w:hAnsi="宋体" w:cs="宋体"/>
                <w:sz w:val="26"/>
                <w:szCs w:val="21"/>
              </w:rPr>
            </w:r>
            <w:r/>
          </w:p>
        </w:tc>
        <w:tc>
          <w:tcPr>
            <w:tcW w:w="1568"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563"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jc w:val="center"/>
              <w:rPr>
                <w:rFonts w:ascii="宋体" w:hAnsi="宋体" w:cs="宋体"/>
                <w:sz w:val="26"/>
                <w:szCs w:val="21"/>
              </w:rPr>
            </w:pPr>
            <w:r>
              <w:rPr>
                <w:rFonts w:ascii="宋体" w:hAnsi="宋体" w:cs="宋体"/>
                <w:sz w:val="26"/>
                <w:szCs w:val="21"/>
              </w:rPr>
            </w:r>
            <w:r/>
          </w:p>
        </w:tc>
        <w:tc>
          <w:tcPr>
            <w:tcW w:w="1429" w:type="dxa"/>
            <w:vAlign w:val="center"/>
            <w:textDirection w:val="lrTb"/>
            <w:noWrap/>
          </w:tcPr>
          <w:p>
            <w:pPr>
              <w:jc w:val="center"/>
              <w:rPr>
                <w:rFonts w:ascii="宋体" w:hAnsi="宋体" w:cs="宋体"/>
                <w:sz w:val="26"/>
                <w:szCs w:val="21"/>
              </w:rPr>
            </w:pPr>
            <w:r>
              <w:rPr>
                <w:rFonts w:ascii="宋体" w:hAnsi="宋体" w:cs="宋体"/>
                <w:sz w:val="26"/>
                <w:szCs w:val="21"/>
              </w:rPr>
            </w:r>
            <w:r/>
          </w:p>
        </w:tc>
      </w:tr>
    </w:tbl>
    <w:p>
      <w:pPr>
        <w:rPr>
          <w:rFonts w:ascii="宋体"/>
          <w:b/>
          <w:szCs w:val="21"/>
        </w:rPr>
      </w:pPr>
      <w:r>
        <w:rPr>
          <w:rFonts w:hint="eastAsia" w:ascii="宋体"/>
          <w:b/>
          <w:szCs w:val="21"/>
        </w:rPr>
        <w:t xml:space="preserve">注：</w:t>
      </w:r>
      <w:r/>
    </w:p>
    <w:p>
      <w:pPr>
        <w:rPr>
          <w:rFonts w:ascii="宋体"/>
          <w:b/>
          <w:szCs w:val="21"/>
        </w:rPr>
      </w:pPr>
      <w:r>
        <w:rPr>
          <w:rFonts w:hint="eastAsia" w:ascii="宋体"/>
          <w:b/>
          <w:szCs w:val="21"/>
        </w:rPr>
        <w:t xml:space="preserve">1.上表如需要自行延长。</w:t>
      </w:r>
      <w:r/>
    </w:p>
    <w:p>
      <w:pPr>
        <w:spacing w:line="460" w:lineRule="exact"/>
        <w:rPr>
          <w:bCs/>
          <w:sz w:val="28"/>
          <w:szCs w:val="24"/>
        </w:rPr>
      </w:pPr>
      <w:r>
        <w:rPr>
          <w:rFonts w:hint="eastAsia" w:ascii="宋体"/>
          <w:b/>
          <w:szCs w:val="21"/>
        </w:rPr>
        <w:t xml:space="preserve">2.</w:t>
      </w:r>
      <w:r>
        <w:rPr>
          <w:rFonts w:hint="eastAsia" w:ascii="宋体"/>
          <w:b/>
          <w:color w:val="0000ff"/>
          <w:szCs w:val="21"/>
          <w:lang w:val="en-US" w:eastAsia="zh-CN"/>
        </w:rPr>
        <w:t xml:space="preserve">业绩</w:t>
      </w:r>
      <w:r>
        <w:rPr>
          <w:rFonts w:hint="eastAsia" w:ascii="宋体"/>
          <w:b/>
          <w:szCs w:val="21"/>
        </w:rPr>
        <w:t xml:space="preserve">相关证明材料应按招标文件要求提供，并附在本表之后（如有）。</w:t>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法定代表人或授权代表（签字或盖章）：__________</w:t>
      </w:r>
      <w:r/>
    </w:p>
    <w:p>
      <w:pPr>
        <w:jc w:val="right"/>
        <w:rPr>
          <w:rFonts w:ascii="宋体" w:hAnsi="宋体" w:cs="宋体"/>
          <w:sz w:val="24"/>
          <w:szCs w:val="24"/>
        </w:rPr>
      </w:pPr>
      <w:r>
        <w:rPr>
          <w:rFonts w:ascii="宋体" w:hAnsi="宋体" w:cs="宋体"/>
          <w:sz w:val="24"/>
          <w:szCs w:val="24"/>
        </w:rPr>
      </w:r>
      <w:r/>
    </w:p>
    <w:p>
      <w:pPr>
        <w:jc w:val="right"/>
        <w:rPr>
          <w:rFonts w:ascii="宋体" w:hAnsi="宋体" w:cs="宋体"/>
          <w:sz w:val="24"/>
          <w:szCs w:val="24"/>
        </w:rPr>
      </w:pPr>
      <w:r>
        <w:rPr>
          <w:rFonts w:hint="eastAsia" w:ascii="宋体" w:hAnsi="宋体" w:cs="宋体"/>
          <w:sz w:val="24"/>
          <w:szCs w:val="24"/>
        </w:rPr>
        <w:t xml:space="preserve">日期：________年____月____日</w:t>
      </w:r>
      <w:r/>
    </w:p>
    <w:p>
      <w:pPr>
        <w:rPr>
          <w:rFonts w:ascii="宋体" w:hAnsi="宋体" w:cs="宋体"/>
          <w:b/>
          <w:color w:val="000000"/>
          <w:sz w:val="24"/>
          <w:szCs w:val="24"/>
        </w:rPr>
      </w:pPr>
      <w:r>
        <w:rPr>
          <w:rFonts w:hint="eastAsia" w:ascii="宋体" w:hAnsi="宋体" w:cs="宋体"/>
          <w:b/>
          <w:color w:val="000000"/>
          <w:sz w:val="24"/>
          <w:szCs w:val="24"/>
        </w:rPr>
        <w:br w:type="page" w:clear="all"/>
      </w:r>
      <w:r/>
    </w:p>
    <w:p>
      <w:pPr>
        <w:spacing w:line="480" w:lineRule="auto"/>
        <w:rPr>
          <w:rFonts w:ascii="宋体" w:hAnsi="宋体" w:cs="宋体"/>
          <w:b/>
          <w:color w:val="000000"/>
          <w:sz w:val="28"/>
          <w:szCs w:val="28"/>
        </w:rPr>
      </w:pPr>
      <w:r>
        <w:rPr>
          <w:rFonts w:hint="eastAsia" w:ascii="宋体" w:hAnsi="宋体" w:cs="宋体"/>
          <w:b/>
          <w:color w:val="000000"/>
          <w:sz w:val="24"/>
          <w:szCs w:val="24"/>
        </w:rPr>
        <w:t xml:space="preserve">（十二）（投标供应商）中小企业声明函（格式）：</w:t>
      </w:r>
      <w:r/>
    </w:p>
    <w:p>
      <w:pPr>
        <w:jc w:val="center"/>
        <w:spacing w:line="480" w:lineRule="auto"/>
        <w:rPr>
          <w:rFonts w:ascii="宋体" w:hAnsi="宋体" w:cs="宋体"/>
          <w:b/>
          <w:color w:val="000000"/>
          <w:sz w:val="28"/>
          <w:szCs w:val="28"/>
        </w:rPr>
      </w:pPr>
      <w:r>
        <w:rPr>
          <w:rFonts w:hint="eastAsia" w:ascii="宋体" w:hAnsi="宋体" w:cs="宋体"/>
          <w:b/>
          <w:color w:val="000000"/>
          <w:sz w:val="28"/>
          <w:szCs w:val="28"/>
        </w:rPr>
        <w:t xml:space="preserve">中小企业声明函（服务）</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本公司（联合体）郑重声明，根据《政府采购促进中小企业发展管理办法》（财库﹝2020﹞46 号）的规定，本公司（联合体）参加</w:t>
      </w:r>
      <w:r>
        <w:rPr>
          <w:rFonts w:hint="eastAsia" w:ascii="宋体" w:hAnsi="宋体" w:cs="宋体"/>
          <w:bCs/>
          <w:color w:val="000000"/>
          <w:sz w:val="24"/>
          <w:szCs w:val="24"/>
          <w:u w:val="single"/>
        </w:rPr>
        <w:t xml:space="preserve">（单位名称）</w:t>
      </w:r>
      <w:r>
        <w:rPr>
          <w:rFonts w:hint="eastAsia" w:ascii="宋体" w:hAnsi="宋体" w:cs="宋体"/>
          <w:bCs/>
          <w:color w:val="000000"/>
          <w:sz w:val="24"/>
          <w:szCs w:val="24"/>
        </w:rPr>
        <w:t xml:space="preserve">的</w:t>
      </w:r>
      <w:r>
        <w:rPr>
          <w:rFonts w:hint="eastAsia" w:ascii="宋体" w:hAnsi="宋体" w:cs="宋体"/>
          <w:bCs/>
          <w:color w:val="000000"/>
          <w:sz w:val="24"/>
          <w:szCs w:val="24"/>
          <w:u w:val="single"/>
        </w:rPr>
        <w:t xml:space="preserve">（项目名称）</w:t>
      </w:r>
      <w:r>
        <w:rPr>
          <w:rFonts w:hint="eastAsia" w:ascii="宋体" w:hAnsi="宋体" w:cs="宋体"/>
          <w:bCs/>
          <w:color w:val="000000"/>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 （标的名称） </w:t>
      </w:r>
      <w:r>
        <w:rPr>
          <w:rFonts w:hint="eastAsia" w:ascii="宋体" w:hAnsi="宋体" w:cs="宋体"/>
          <w:bCs/>
          <w:color w:val="000000"/>
          <w:sz w:val="24"/>
          <w:szCs w:val="24"/>
        </w:rPr>
        <w:t xml:space="preserve">，属于</w:t>
      </w:r>
      <w:r>
        <w:rPr>
          <w:rFonts w:hint="eastAsia" w:ascii="宋体" w:hAnsi="宋体" w:cs="宋体"/>
          <w:bCs/>
          <w:color w:val="000000"/>
          <w:sz w:val="24"/>
          <w:szCs w:val="24"/>
          <w:u w:val="single"/>
        </w:rPr>
        <w:t xml:space="preserve">（采购文件中明确的所属行业）</w:t>
      </w:r>
      <w:r>
        <w:rPr>
          <w:rFonts w:hint="eastAsia" w:ascii="宋体" w:hAnsi="宋体" w:cs="宋体"/>
          <w:bCs/>
          <w:color w:val="000000"/>
          <w:sz w:val="24"/>
          <w:szCs w:val="24"/>
        </w:rPr>
        <w:t xml:space="preserve">； 承建（承接）企业为</w:t>
      </w:r>
      <w:r>
        <w:rPr>
          <w:rFonts w:hint="eastAsia" w:ascii="宋体" w:hAnsi="宋体" w:cs="宋体"/>
          <w:bCs/>
          <w:color w:val="000000"/>
          <w:sz w:val="24"/>
          <w:szCs w:val="24"/>
          <w:u w:val="single"/>
        </w:rPr>
        <w:t xml:space="preserve">（企业名称）</w:t>
      </w:r>
      <w:r>
        <w:rPr>
          <w:rFonts w:hint="eastAsia" w:ascii="宋体" w:hAnsi="宋体" w:cs="宋体"/>
          <w:bCs/>
          <w:color w:val="000000"/>
          <w:sz w:val="24"/>
          <w:szCs w:val="24"/>
        </w:rPr>
        <w:t xml:space="preserve">，从业人员人，营业收入为万元，资产总额为万元，属于</w:t>
      </w:r>
      <w:r>
        <w:rPr>
          <w:rFonts w:hint="eastAsia" w:ascii="宋体" w:hAnsi="宋体" w:cs="宋体"/>
          <w:bCs/>
          <w:color w:val="000000"/>
          <w:sz w:val="24"/>
          <w:szCs w:val="24"/>
          <w:u w:val="single"/>
        </w:rPr>
        <w:t xml:space="preserve">（中型企业、 小型企业、微型企业）</w:t>
      </w:r>
      <w:r>
        <w:rPr>
          <w:rFonts w:hint="eastAsia" w:ascii="宋体" w:hAnsi="宋体" w:cs="宋体"/>
          <w:bCs/>
          <w:color w:val="000000"/>
          <w:sz w:val="24"/>
          <w:szCs w:val="24"/>
        </w:rPr>
        <w:t xml:space="preserve">；</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 （标的名称） </w:t>
      </w:r>
      <w:r>
        <w:rPr>
          <w:rFonts w:hint="eastAsia" w:ascii="宋体" w:hAnsi="宋体" w:cs="宋体"/>
          <w:bCs/>
          <w:color w:val="000000"/>
          <w:sz w:val="24"/>
          <w:szCs w:val="24"/>
        </w:rPr>
        <w:t xml:space="preserve">，属于</w:t>
      </w:r>
      <w:r>
        <w:rPr>
          <w:rFonts w:hint="eastAsia" w:ascii="宋体" w:hAnsi="宋体" w:cs="宋体"/>
          <w:bCs/>
          <w:color w:val="000000"/>
          <w:sz w:val="24"/>
          <w:szCs w:val="24"/>
          <w:u w:val="single"/>
        </w:rPr>
        <w:t xml:space="preserve">（采购文件中明确的所属行业）</w:t>
      </w:r>
      <w:r>
        <w:rPr>
          <w:rFonts w:hint="eastAsia" w:ascii="宋体" w:hAnsi="宋体" w:cs="宋体"/>
          <w:bCs/>
          <w:color w:val="000000"/>
          <w:sz w:val="24"/>
          <w:szCs w:val="24"/>
        </w:rPr>
        <w:t xml:space="preserve">； 承建（承接）企业为</w:t>
      </w:r>
      <w:r>
        <w:rPr>
          <w:rFonts w:hint="eastAsia" w:ascii="宋体" w:hAnsi="宋体" w:cs="宋体"/>
          <w:bCs/>
          <w:color w:val="000000"/>
          <w:sz w:val="24"/>
          <w:szCs w:val="24"/>
          <w:u w:val="single"/>
        </w:rPr>
        <w:t xml:space="preserve">（企业名称）</w:t>
      </w:r>
      <w:r>
        <w:rPr>
          <w:rFonts w:hint="eastAsia" w:ascii="宋体" w:hAnsi="宋体" w:cs="宋体"/>
          <w:bCs/>
          <w:color w:val="000000"/>
          <w:sz w:val="24"/>
          <w:szCs w:val="24"/>
        </w:rPr>
        <w:t xml:space="preserve">，从业人员人，营业收入为万元，资产总额为万元，属于</w:t>
      </w:r>
      <w:r>
        <w:rPr>
          <w:rFonts w:hint="eastAsia" w:ascii="宋体" w:hAnsi="宋体" w:cs="宋体"/>
          <w:bCs/>
          <w:color w:val="000000"/>
          <w:sz w:val="24"/>
          <w:szCs w:val="24"/>
          <w:u w:val="single"/>
        </w:rPr>
        <w:t xml:space="preserve">（中型企业、 小型企业、微型企业）</w:t>
      </w:r>
      <w:r>
        <w:rPr>
          <w:rFonts w:hint="eastAsia" w:ascii="宋体" w:hAnsi="宋体" w:cs="宋体"/>
          <w:bCs/>
          <w:color w:val="000000"/>
          <w:sz w:val="24"/>
          <w:szCs w:val="24"/>
        </w:rPr>
        <w:t xml:space="preserve">；</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w:t>
      </w:r>
      <w:r/>
    </w:p>
    <w:p>
      <w:pPr>
        <w:rPr>
          <w:rFonts w:ascii="宋体" w:hAnsi="宋体" w:cs="宋体"/>
          <w:bCs/>
          <w:color w:val="000000"/>
          <w:sz w:val="24"/>
          <w:szCs w:val="24"/>
        </w:rPr>
      </w:pPr>
      <w:r>
        <w:rPr>
          <w:rFonts w:ascii="宋体" w:hAnsi="宋体" w:cs="宋体"/>
          <w:bCs/>
          <w:color w:val="000000"/>
          <w:sz w:val="24"/>
          <w:szCs w:val="24"/>
        </w:rPr>
      </w:r>
      <w:r/>
    </w:p>
    <w:p>
      <w:pPr>
        <w:rPr>
          <w:rFonts w:ascii="宋体" w:hAnsi="宋体" w:cs="宋体"/>
          <w:bCs/>
          <w:color w:val="000000"/>
          <w:sz w:val="24"/>
          <w:szCs w:val="24"/>
        </w:rPr>
      </w:pPr>
      <w:r>
        <w:rPr>
          <w:rFonts w:ascii="宋体" w:hAnsi="宋体" w:cs="宋体"/>
          <w:bCs/>
          <w:color w:val="000000"/>
          <w:sz w:val="24"/>
          <w:szCs w:val="24"/>
        </w:rPr>
      </w:r>
      <w:r/>
    </w:p>
    <w:p>
      <w:pPr>
        <w:ind w:firstLine="4800"/>
        <w:spacing w:line="360" w:lineRule="auto"/>
        <w:rPr>
          <w:rFonts w:ascii="宋体" w:hAnsi="宋体" w:cs="宋体"/>
          <w:bCs/>
          <w:color w:val="000000"/>
          <w:sz w:val="24"/>
          <w:szCs w:val="24"/>
        </w:rPr>
      </w:pPr>
      <w:r>
        <w:rPr>
          <w:rFonts w:hint="eastAsia" w:ascii="宋体" w:hAnsi="宋体" w:cs="宋体"/>
          <w:bCs/>
          <w:color w:val="000000"/>
          <w:sz w:val="24"/>
          <w:szCs w:val="24"/>
        </w:rPr>
        <w:t xml:space="preserve">企业名称（盖章）：</w:t>
      </w:r>
      <w:r/>
    </w:p>
    <w:p>
      <w:pPr>
        <w:ind w:firstLine="4800"/>
        <w:spacing w:line="360" w:lineRule="auto"/>
        <w:rPr>
          <w:rFonts w:ascii="宋体" w:hAnsi="宋体" w:cs="宋体"/>
          <w:bCs/>
          <w:color w:val="000000"/>
          <w:sz w:val="24"/>
          <w:szCs w:val="24"/>
        </w:rPr>
      </w:pPr>
      <w:r>
        <w:rPr>
          <w:rFonts w:hint="eastAsia" w:ascii="宋体" w:hAnsi="宋体" w:cs="宋体"/>
          <w:bCs/>
          <w:color w:val="000000"/>
          <w:sz w:val="24"/>
          <w:szCs w:val="24"/>
        </w:rPr>
        <w:t xml:space="preserve">日　　　　　　期：</w:t>
      </w:r>
      <w:r/>
    </w:p>
    <w:p>
      <w:pPr>
        <w:spacing w:line="360" w:lineRule="auto"/>
        <w:rPr>
          <w:rFonts w:ascii="宋体" w:hAnsi="宋体" w:cs="宋体"/>
          <w:bCs/>
          <w:color w:val="000000"/>
          <w:sz w:val="24"/>
          <w:szCs w:val="24"/>
        </w:rPr>
      </w:pPr>
      <w:r>
        <w:rPr>
          <w:rFonts w:ascii="宋体" w:hAnsi="宋体" w:cs="宋体"/>
          <w:bCs/>
          <w:color w:val="000000"/>
          <w:sz w:val="24"/>
          <w:szCs w:val="24"/>
        </w:rPr>
      </w:r>
      <w:r/>
    </w:p>
    <w:p>
      <w:pPr>
        <w:rPr>
          <w:rFonts w:ascii="宋体" w:hAnsi="宋体" w:cs="宋体"/>
          <w:color w:val="000000"/>
        </w:rPr>
      </w:pPr>
      <w:r>
        <w:rPr>
          <w:rFonts w:hint="eastAsia" w:ascii="宋体" w:hAnsi="宋体" w:cs="宋体"/>
          <w:color w:val="000000"/>
        </w:rPr>
        <w:t xml:space="preserve">注：1.从业人员、营业收入、资产总额填报上一年度数据，无上一年度数据的新成立企业可不填报。</w:t>
      </w:r>
      <w:r/>
    </w:p>
    <w:p>
      <w:pPr>
        <w:ind w:firstLine="420"/>
        <w:rPr>
          <w:rFonts w:ascii="宋体" w:hAnsi="宋体" w:cs="宋体"/>
          <w:color w:val="000000"/>
        </w:rPr>
      </w:pPr>
      <w:r>
        <w:rPr>
          <w:rFonts w:hint="eastAsia" w:ascii="宋体" w:hAnsi="宋体" w:cs="宋体"/>
          <w:color w:val="000000"/>
        </w:rPr>
        <w:t xml:space="preserve">2.中标供应商的《中小企业声明函》将随中标公告进行公示。供应商按照本办法规定提供的声明函内容不实的，属于提供虚假材料谋取中标，将依照《中华人民共和国政府采购法》等国家有关规定追究相应责任。</w:t>
      </w:r>
      <w:r/>
    </w:p>
    <w:p>
      <w:pPr>
        <w:ind w:firstLine="420"/>
        <w:rPr>
          <w:rFonts w:ascii="宋体" w:hAnsi="宋体" w:cs="宋体"/>
          <w:b/>
          <w:color w:val="000000"/>
          <w:sz w:val="24"/>
          <w:szCs w:val="24"/>
        </w:rPr>
      </w:pPr>
      <w:r>
        <w:rPr>
          <w:rFonts w:hint="eastAsia" w:ascii="宋体" w:hAnsi="宋体" w:cs="宋体"/>
          <w:color w:val="000000"/>
        </w:rPr>
        <w:t xml:space="preserve">3.投标时本表附在《明细报价表》之后（如有）。</w:t>
      </w:r>
      <w:r>
        <w:rPr>
          <w:rFonts w:hint="eastAsia" w:ascii="宋体" w:hAnsi="宋体" w:cs="宋体"/>
          <w:bCs/>
          <w:color w:val="000000"/>
          <w:sz w:val="24"/>
          <w:szCs w:val="24"/>
        </w:rPr>
        <w:br w:type="page" w:clear="all"/>
      </w:r>
      <w:r>
        <w:rPr>
          <w:rFonts w:hint="eastAsia" w:ascii="宋体" w:hAnsi="宋体" w:cs="宋体"/>
          <w:b/>
          <w:color w:val="000000"/>
          <w:sz w:val="24"/>
          <w:szCs w:val="24"/>
        </w:rPr>
        <w:t xml:space="preserve">（投标供应商）残疾人福利性单位声明函（格式）：</w:t>
      </w:r>
      <w:r/>
    </w:p>
    <w:p>
      <w:pPr>
        <w:spacing w:line="480" w:lineRule="auto"/>
        <w:rPr>
          <w:rFonts w:ascii="宋体" w:hAnsi="宋体" w:cs="宋体"/>
          <w:b/>
          <w:color w:val="000000"/>
          <w:sz w:val="24"/>
          <w:szCs w:val="24"/>
        </w:rPr>
      </w:pPr>
      <w:r>
        <w:rPr>
          <w:rFonts w:ascii="宋体" w:hAnsi="宋体" w:cs="宋体"/>
          <w:b/>
          <w:color w:val="000000"/>
          <w:sz w:val="24"/>
          <w:szCs w:val="24"/>
        </w:rPr>
      </w:r>
      <w:r/>
    </w:p>
    <w:p>
      <w:pPr>
        <w:jc w:val="center"/>
        <w:rPr>
          <w:rFonts w:ascii="宋体" w:hAnsi="宋体" w:cs="宋体"/>
          <w:b/>
          <w:color w:val="000000"/>
          <w:sz w:val="28"/>
          <w:szCs w:val="28"/>
        </w:rPr>
      </w:pPr>
      <w:r>
        <w:rPr>
          <w:rFonts w:hint="eastAsia" w:ascii="宋体" w:hAnsi="宋体" w:cs="宋体"/>
          <w:b/>
          <w:color w:val="000000"/>
          <w:sz w:val="28"/>
          <w:szCs w:val="28"/>
        </w:rPr>
        <w:t xml:space="preserve">残疾人福利性单位声明函</w:t>
      </w:r>
      <w:r/>
    </w:p>
    <w:p>
      <w:pPr>
        <w:jc w:val="center"/>
        <w:rPr>
          <w:rFonts w:ascii="宋体" w:hAnsi="宋体" w:cs="宋体"/>
          <w:bCs/>
          <w:color w:val="000000"/>
          <w:sz w:val="28"/>
          <w:szCs w:val="28"/>
        </w:rPr>
      </w:pPr>
      <w:r>
        <w:rPr>
          <w:rFonts w:ascii="宋体" w:hAnsi="宋体" w:cs="宋体"/>
          <w:bCs/>
          <w:color w:val="000000"/>
          <w:sz w:val="28"/>
          <w:szCs w:val="28"/>
        </w:rPr>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本单位对上述声明的真实性负责。如有虚假，将依法承担相应责任。</w:t>
      </w:r>
      <w:r/>
    </w:p>
    <w:p>
      <w:pPr>
        <w:ind w:firstLine="480"/>
        <w:spacing w:line="580" w:lineRule="exact"/>
        <w:rPr>
          <w:rFonts w:ascii="宋体" w:hAnsi="宋体" w:cs="宋体"/>
          <w:bCs/>
          <w:color w:val="000000"/>
          <w:sz w:val="24"/>
          <w:szCs w:val="24"/>
        </w:rPr>
      </w:pPr>
      <w:r>
        <w:rPr>
          <w:rFonts w:ascii="宋体" w:hAnsi="宋体" w:cs="宋体"/>
          <w:bCs/>
          <w:color w:val="000000"/>
          <w:sz w:val="24"/>
          <w:szCs w:val="24"/>
        </w:rPr>
      </w:r>
      <w:r/>
    </w:p>
    <w:p>
      <w:pPr>
        <w:ind w:firstLine="480"/>
        <w:spacing w:line="580" w:lineRule="exact"/>
        <w:rPr>
          <w:rFonts w:ascii="宋体" w:hAnsi="宋体" w:cs="宋体"/>
          <w:bCs/>
          <w:color w:val="000000"/>
          <w:sz w:val="24"/>
          <w:szCs w:val="24"/>
        </w:rPr>
      </w:pPr>
      <w:r>
        <w:rPr>
          <w:rFonts w:ascii="宋体" w:hAnsi="宋体" w:cs="宋体"/>
          <w:bCs/>
          <w:color w:val="000000"/>
          <w:sz w:val="24"/>
          <w:szCs w:val="24"/>
        </w:rPr>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单位名称（盖章）：</w:t>
      </w:r>
      <w:r/>
    </w:p>
    <w:p>
      <w:pPr>
        <w:ind w:firstLine="480"/>
        <w:spacing w:line="580" w:lineRule="exact"/>
        <w:rPr>
          <w:rFonts w:ascii="宋体" w:hAnsi="宋体" w:cs="宋体"/>
          <w:bCs/>
          <w:color w:val="000000"/>
          <w:sz w:val="24"/>
          <w:szCs w:val="24"/>
        </w:rPr>
      </w:pPr>
      <w:r>
        <w:rPr>
          <w:rFonts w:hint="eastAsia" w:ascii="宋体" w:hAnsi="宋体" w:cs="宋体"/>
          <w:bCs/>
          <w:color w:val="000000"/>
          <w:sz w:val="24"/>
          <w:szCs w:val="24"/>
        </w:rPr>
        <w:t xml:space="preserve">日期：</w:t>
      </w:r>
      <w:r/>
    </w:p>
    <w:p>
      <w:pPr>
        <w:rPr>
          <w:rFonts w:ascii="宋体" w:hAnsi="宋体" w:cs="宋体"/>
          <w:b/>
          <w:color w:val="000000"/>
          <w:sz w:val="24"/>
          <w:szCs w:val="24"/>
        </w:rPr>
      </w:pPr>
      <w:r>
        <w:rPr>
          <w:rFonts w:hint="eastAsia" w:ascii="宋体" w:hAnsi="宋体" w:cs="宋体"/>
          <w:b/>
          <w:color w:val="000000"/>
          <w:sz w:val="24"/>
          <w:szCs w:val="24"/>
        </w:rPr>
        <w:br w:type="page" w:clear="all"/>
      </w:r>
      <w:r/>
    </w:p>
    <w:p>
      <w:pPr>
        <w:rPr>
          <w:rFonts w:ascii="宋体" w:hAnsi="宋体" w:cs="宋体"/>
          <w:b/>
          <w:color w:val="000000"/>
          <w:sz w:val="24"/>
          <w:szCs w:val="24"/>
        </w:rPr>
      </w:pPr>
      <w:r>
        <w:rPr>
          <w:rFonts w:hint="eastAsia" w:ascii="宋体" w:hAnsi="宋体" w:cs="宋体"/>
          <w:b/>
          <w:color w:val="000000"/>
          <w:sz w:val="24"/>
          <w:szCs w:val="24"/>
        </w:rPr>
        <w:t xml:space="preserve">（十三）技术标：技术文件（暗标）</w:t>
      </w:r>
      <w:r/>
    </w:p>
    <w:p>
      <w:pPr>
        <w:ind w:firstLine="480"/>
        <w:jc w:val="center"/>
        <w:spacing w:line="580" w:lineRule="exact"/>
        <w:rPr>
          <w:rFonts w:ascii="宋体" w:hAnsi="宋体" w:cs="宋体"/>
          <w:bCs/>
          <w:color w:val="000000"/>
          <w:sz w:val="24"/>
          <w:szCs w:val="24"/>
        </w:rPr>
      </w:pPr>
      <w:r/>
      <w:bookmarkStart w:id="29" w:name="_Toc112006949"/>
      <w:r>
        <w:rPr>
          <w:rFonts w:hint="eastAsia" w:ascii="宋体" w:hAnsi="宋体" w:cs="宋体"/>
          <w:bCs/>
          <w:color w:val="000000"/>
          <w:sz w:val="24"/>
          <w:szCs w:val="24"/>
        </w:rPr>
        <w:t xml:space="preserve">供应商应按评分标准中的顺序编制完整的技术文件，以便评审。</w:t>
      </w:r>
      <w:r/>
    </w:p>
    <w:p>
      <w:pPr>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rPr>
          <w:rFonts w:ascii="宋体" w:hAnsi="宋体" w:cs="宋体"/>
          <w:color w:val="000000"/>
          <w:szCs w:val="22"/>
        </w:rPr>
      </w:pPr>
      <w:r>
        <w:rPr>
          <w:rFonts w:ascii="宋体" w:hAnsi="宋体" w:cs="宋体"/>
          <w:color w:val="000000"/>
          <w:szCs w:val="22"/>
        </w:rPr>
      </w:r>
      <w:r/>
    </w:p>
    <w:p>
      <w:pPr>
        <w:rPr>
          <w:rFonts w:ascii="宋体" w:hAnsi="宋体" w:cs="宋体"/>
          <w:color w:val="000000"/>
          <w:szCs w:val="22"/>
        </w:rPr>
      </w:pPr>
      <w:r>
        <w:rPr>
          <w:rFonts w:ascii="宋体" w:hAnsi="宋体" w:cs="宋体"/>
          <w:color w:val="000000"/>
          <w:szCs w:val="22"/>
        </w:rPr>
      </w:r>
      <w:r/>
    </w:p>
    <w:p>
      <w:pPr>
        <w:spacing w:line="360" w:lineRule="auto"/>
        <w:rPr>
          <w:rFonts w:ascii="宋体" w:hAnsi="宋体" w:cs="宋体"/>
          <w:bCs/>
          <w:color w:val="000000"/>
          <w:sz w:val="24"/>
          <w:szCs w:val="24"/>
        </w:rPr>
        <w:sectPr>
          <w:headerReference w:type="default" r:id="rId12"/>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cs="宋体"/>
          <w:bCs/>
          <w:color w:val="000000"/>
          <w:sz w:val="24"/>
          <w:szCs w:val="24"/>
        </w:rPr>
      </w:r>
      <w:r/>
    </w:p>
    <w:p>
      <w:pPr>
        <w:pStyle w:val="916"/>
        <w:numPr>
          <w:ilvl w:val="1"/>
          <w:numId w:val="0"/>
        </w:numPr>
        <w:ind w:left="567" w:hanging="567"/>
        <w:jc w:val="left"/>
        <w:spacing w:before="160" w:after="160"/>
        <w:rPr>
          <w:rFonts w:ascii="宋体" w:hAnsi="宋体" w:eastAsia="宋体" w:cs="宋体"/>
          <w:bCs w:val="0"/>
          <w:color w:val="000000"/>
          <w:sz w:val="24"/>
          <w:szCs w:val="24"/>
        </w:rPr>
      </w:pPr>
      <w:r>
        <w:rPr>
          <w:rFonts w:hint="eastAsia" w:ascii="宋体" w:hAnsi="宋体" w:eastAsia="宋体" w:cs="宋体"/>
          <w:bCs w:val="0"/>
          <w:color w:val="000000"/>
          <w:sz w:val="24"/>
          <w:szCs w:val="24"/>
        </w:rPr>
        <w:t xml:space="preserve">（十四）其他材料</w:t>
      </w:r>
      <w:bookmarkEnd w:id="29"/>
      <w:r/>
      <w:r/>
    </w:p>
    <w:p>
      <w:pPr>
        <w:jc w:val="center"/>
        <w:spacing w:line="360" w:lineRule="auto"/>
        <w:rPr>
          <w:rFonts w:hint="eastAsia" w:ascii="宋体" w:hAnsi="宋体"/>
          <w:sz w:val="24"/>
          <w:szCs w:val="24"/>
          <w:highlight w:val="none"/>
        </w:rPr>
      </w:pPr>
      <w:r>
        <w:rPr>
          <w:rFonts w:hint="eastAsia" w:ascii="宋体" w:hAnsi="宋体"/>
          <w:bCs/>
          <w:sz w:val="24"/>
          <w:szCs w:val="24"/>
        </w:rPr>
        <w:t xml:space="preserve">供应商认为有必要提供的声明和文件，如有自拟并自行添加 </w:t>
      </w:r>
      <w:r/>
    </w:p>
    <w:p>
      <w:pPr>
        <w:jc w:val="center"/>
        <w:spacing w:line="360" w:lineRule="auto"/>
        <w:rPr>
          <w:rFonts w:ascii="宋体" w:hAnsi="宋体"/>
          <w:sz w:val="24"/>
          <w:szCs w:val="24"/>
        </w:rPr>
      </w:pPr>
      <w:r>
        <w:rPr>
          <w:rFonts w:hint="eastAsia" w:ascii="宋体" w:hAnsi="宋体"/>
          <w:bCs/>
          <w:sz w:val="24"/>
          <w:szCs w:val="24"/>
          <w:highlight w:val="none"/>
        </w:rPr>
      </w:r>
      <w:r>
        <w:rPr>
          <w:rFonts w:hint="eastAsia" w:ascii="宋体" w:hAnsi="宋体"/>
          <w:bCs/>
          <w:sz w:val="24"/>
          <w:szCs w:val="24"/>
          <w:highlight w:val="none"/>
        </w:rPr>
      </w:r>
    </w:p>
    <w:p>
      <w:pPr>
        <w:spacing w:line="360" w:lineRule="auto"/>
        <w:rPr>
          <w:rFonts w:ascii="宋体" w:hAnsi="宋体"/>
          <w:bCs/>
          <w:sz w:val="24"/>
          <w:szCs w:val="24"/>
        </w:rPr>
      </w:pPr>
      <w:r>
        <w:rPr>
          <w:rFonts w:ascii="宋体" w:hAnsi="宋体"/>
          <w:bCs/>
          <w:sz w:val="24"/>
          <w:szCs w:val="24"/>
        </w:rPr>
      </w:r>
      <w:r/>
    </w:p>
    <w:p>
      <w:pPr>
        <w:spacing w:line="360" w:lineRule="auto"/>
        <w:rPr>
          <w:rFonts w:ascii="宋体" w:hAnsi="宋体"/>
          <w:bCs/>
          <w:sz w:val="24"/>
          <w:szCs w:val="24"/>
        </w:rPr>
      </w:pPr>
      <w:r>
        <w:rPr>
          <w:rFonts w:ascii="宋体" w:hAnsi="宋体"/>
          <w:bCs/>
          <w:sz w:val="24"/>
          <w:szCs w:val="24"/>
        </w:rPr>
      </w:r>
      <w:r/>
    </w:p>
    <w:p>
      <w:pPr>
        <w:spacing w:line="360" w:lineRule="auto"/>
        <w:rPr>
          <w:rFonts w:ascii="仿宋_GB2312" w:hAnsi="宋体" w:eastAsia="仿宋_GB2312"/>
          <w:sz w:val="24"/>
          <w:szCs w:val="24"/>
        </w:rPr>
      </w:pPr>
      <w:r>
        <w:rPr>
          <w:rFonts w:ascii="仿宋_GB2312" w:hAnsi="宋体" w:eastAsia="仿宋_GB2312"/>
          <w:sz w:val="24"/>
          <w:szCs w:val="24"/>
        </w:rPr>
      </w:r>
      <w:r/>
    </w:p>
    <w:p>
      <w:pPr>
        <w:spacing w:line="360" w:lineRule="auto"/>
        <w:rPr>
          <w:rFonts w:ascii="仿宋_GB2312" w:hAnsi="宋体" w:eastAsia="仿宋_GB2312"/>
          <w:sz w:val="24"/>
          <w:szCs w:val="24"/>
        </w:rPr>
      </w:pPr>
      <w:r>
        <w:rPr>
          <w:rFonts w:ascii="仿宋_GB2312" w:hAnsi="宋体" w:eastAsia="仿宋_GB2312"/>
          <w:sz w:val="24"/>
          <w:szCs w:val="24"/>
        </w:rPr>
      </w:r>
      <w:r/>
    </w:p>
    <w:sectPr>
      <w:headerReference w:type="default" r:id="rId13"/>
      <w:headerReference w:type="first" r:id="rId14"/>
      <w:footerReference w:type="default" r:id="rId20"/>
      <w:footnotePr/>
      <w:endnotePr/>
      <w:type w:val="nextPage"/>
      <w:pgSz w:w="11906" w:h="16838" w:orient="portrait"/>
      <w:pgMar w:top="1440" w:right="1080" w:bottom="1440" w:left="1080"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fldChar w:fldCharType="begin"/>
    </w:r>
    <w:r>
      <w:instrText xml:space="preserve"> PAGE   \* MERGEFORMAT </w:instrText>
    </w:r>
    <w:r>
      <w:fldChar w:fldCharType="separate"/>
    </w:r>
    <w:r>
      <w:rPr>
        <w:lang w:val="zh-CN"/>
      </w:rPr>
      <w:t xml:space="preserve">-</w:t>
    </w:r>
    <w:r>
      <w:t xml:space="preserve"> 107 -</w:t>
    </w:r>
    <w:r>
      <w:fldChar w:fldCharType="end"/>
    </w:r>
    <w:r/>
  </w:p>
  <w:p>
    <w:pPr>
      <w:pStyle w:val="85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fldChar w:fldCharType="begin"/>
    </w:r>
    <w:r>
      <w:instrText xml:space="preserve"> PAGE   \* MERGEFORMAT </w:instrText>
    </w:r>
    <w:r>
      <w:fldChar w:fldCharType="separate"/>
    </w:r>
    <w:r>
      <w:rPr>
        <w:lang w:val="zh-CN"/>
      </w:rPr>
      <w:t xml:space="preserve">-</w:t>
    </w:r>
    <w:r>
      <w:t xml:space="preserve"> 106 -</w:t>
    </w:r>
    <w:r>
      <w:fldChar w:fldCharType="end"/>
    </w:r>
    <w:r/>
  </w:p>
  <w:p>
    <w:pPr>
      <w:pStyle w:val="958"/>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4"/>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4"/>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ind w:firstLine="180"/>
      <w:jc w:val="left"/>
      <w:tabs>
        <w:tab w:val="center" w:pos="4524" w:leader="none"/>
        <w:tab w:val="right" w:pos="9048"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left"/>
      <w:tabs>
        <w:tab w:val="center" w:pos="4153" w:leader="none"/>
        <w:tab w:val="right" w:pos="8306" w:leader="none"/>
      </w:tabs>
      <w:rPr>
        <w:rFonts w:eastAsia="楷体_GB2312"/>
        <w:sz w:val="20"/>
      </w:rPr>
      <w:pBdr>
        <w:bottom w:val="none" w:color="000000" w:sz="0" w:space="1"/>
      </w:pBdr>
    </w:pPr>
    <w:r>
      <w:rPr>
        <w:rFonts w:eastAsia="楷体_GB2312"/>
        <w:sz w:val="20"/>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Bdr>
        <w:bottom w:val="none" w:color="000000"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6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upperLetter"/>
      <w:pStyle w:val="81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lang w:val="en-US"/>
      </w:rPr>
    </w:lvl>
    <w:lvl w:ilvl="1">
      <w:start w:val="1"/>
      <w:numFmt w:val="decimal"/>
      <w:pStyle w:val="916"/>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link w:val="1123"/>
    <w:uiPriority w:val="0"/>
    <w:qFormat/>
    <w:pPr>
      <w:jc w:val="both"/>
      <w:widowControl w:val="off"/>
    </w:pPr>
    <w:rPr>
      <w:rFonts w:hint="default" w:ascii="Times New Roman" w:hAnsi="Times New Roman" w:eastAsia="宋体" w:cs="Times New Roman"/>
      <w:sz w:val="21"/>
      <w:lang w:val="en-US" w:eastAsia="zh-CN" w:bidi="ar-SA"/>
    </w:rPr>
  </w:style>
  <w:style w:type="paragraph" w:styleId="773">
    <w:name w:val="Heading 1"/>
    <w:basedOn w:val="772"/>
    <w:next w:val="772"/>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tblPr>
      <w:tblCellMar>
        <w:left w:w="108" w:type="dxa"/>
        <w:top w:w="0" w:type="dxa"/>
        <w:right w:w="108" w:type="dxa"/>
        <w:bottom w:w="0" w:type="dxa"/>
      </w:tblCellMar>
    </w:tblPr>
  </w:style>
  <w:style w:type="paragraph" w:styleId="784">
    <w:name w:val="toc 7"/>
    <w:basedOn w:val="772"/>
    <w:next w:val="772"/>
    <w:uiPriority w:val="39"/>
    <w:unhideWhenUsed/>
    <w:qFormat/>
    <w:pPr>
      <w:ind w:left="1701" w:right="0" w:firstLine="0"/>
      <w:spacing w:after="57"/>
    </w:pPr>
  </w:style>
  <w:style w:type="paragraph" w:styleId="785">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toc 5"/>
    <w:basedOn w:val="772"/>
    <w:next w:val="772"/>
    <w:uiPriority w:val="39"/>
    <w:unhideWhenUsed/>
    <w:qFormat/>
    <w:pPr>
      <w:ind w:left="1134" w:right="0" w:firstLine="0"/>
      <w:spacing w:after="57"/>
    </w:pPr>
  </w:style>
  <w:style w:type="paragraph" w:styleId="787">
    <w:name w:val="toc 3"/>
    <w:basedOn w:val="772"/>
    <w:next w:val="772"/>
    <w:uiPriority w:val="39"/>
    <w:unhideWhenUsed/>
    <w:qFormat/>
    <w:pPr>
      <w:ind w:left="567" w:right="0" w:firstLine="0"/>
      <w:spacing w:after="57"/>
    </w:pPr>
  </w:style>
  <w:style w:type="paragraph" w:styleId="788">
    <w:name w:val="toc 8"/>
    <w:basedOn w:val="772"/>
    <w:next w:val="772"/>
    <w:uiPriority w:val="39"/>
    <w:unhideWhenUsed/>
    <w:qFormat/>
    <w:pPr>
      <w:ind w:left="1984" w:right="0" w:firstLine="0"/>
      <w:spacing w:after="57"/>
    </w:pPr>
  </w:style>
  <w:style w:type="paragraph" w:styleId="789">
    <w:name w:val="endnote text"/>
    <w:basedOn w:val="772"/>
    <w:uiPriority w:val="99"/>
    <w:semiHidden/>
    <w:unhideWhenUsed/>
    <w:qFormat/>
    <w:pPr>
      <w:spacing w:after="0" w:line="240" w:lineRule="auto"/>
    </w:pPr>
    <w:rPr>
      <w:sz w:val="20"/>
    </w:rPr>
  </w:style>
  <w:style w:type="paragraph" w:styleId="790">
    <w:name w:val="Footer"/>
    <w:basedOn w:val="772"/>
    <w:uiPriority w:val="99"/>
    <w:unhideWhenUsed/>
    <w:qFormat/>
    <w:pPr>
      <w:spacing w:after="0" w:line="240" w:lineRule="auto"/>
      <w:tabs>
        <w:tab w:val="center" w:pos="7143" w:leader="none"/>
        <w:tab w:val="right" w:pos="14287" w:leader="none"/>
      </w:tabs>
    </w:pPr>
  </w:style>
  <w:style w:type="paragraph" w:styleId="791">
    <w:name w:val="Header"/>
    <w:basedOn w:val="772"/>
    <w:uiPriority w:val="99"/>
    <w:unhideWhenUsed/>
    <w:qFormat/>
    <w:pPr>
      <w:spacing w:after="0" w:line="240" w:lineRule="auto"/>
      <w:tabs>
        <w:tab w:val="center" w:pos="7143" w:leader="none"/>
        <w:tab w:val="right" w:pos="14287" w:leader="none"/>
      </w:tabs>
    </w:pPr>
  </w:style>
  <w:style w:type="paragraph" w:styleId="792">
    <w:name w:val="toc 1"/>
    <w:basedOn w:val="772"/>
    <w:next w:val="772"/>
    <w:uiPriority w:val="39"/>
    <w:unhideWhenUsed/>
    <w:pPr>
      <w:ind w:left="0" w:right="0" w:firstLine="0"/>
      <w:spacing w:after="57"/>
    </w:pPr>
  </w:style>
  <w:style w:type="paragraph" w:styleId="793">
    <w:name w:val="toc 4"/>
    <w:basedOn w:val="772"/>
    <w:next w:val="772"/>
    <w:uiPriority w:val="39"/>
    <w:unhideWhenUsed/>
    <w:qFormat/>
    <w:pPr>
      <w:ind w:left="850" w:right="0" w:firstLine="0"/>
      <w:spacing w:after="57"/>
    </w:pPr>
  </w:style>
  <w:style w:type="paragraph" w:styleId="794">
    <w:name w:val="Subtitle"/>
    <w:basedOn w:val="772"/>
    <w:next w:val="772"/>
    <w:uiPriority w:val="11"/>
    <w:qFormat/>
    <w:pPr>
      <w:spacing w:before="200" w:after="200"/>
    </w:pPr>
    <w:rPr>
      <w:sz w:val="24"/>
      <w:szCs w:val="24"/>
    </w:rPr>
  </w:style>
  <w:style w:type="paragraph" w:styleId="795">
    <w:name w:val="footnote text"/>
    <w:basedOn w:val="772"/>
    <w:uiPriority w:val="99"/>
    <w:semiHidden/>
    <w:unhideWhenUsed/>
    <w:qFormat/>
    <w:pPr>
      <w:spacing w:after="40" w:line="240" w:lineRule="auto"/>
    </w:pPr>
    <w:rPr>
      <w:sz w:val="18"/>
    </w:rPr>
  </w:style>
  <w:style w:type="paragraph" w:styleId="796">
    <w:name w:val="toc 6"/>
    <w:basedOn w:val="772"/>
    <w:next w:val="772"/>
    <w:uiPriority w:val="39"/>
    <w:unhideWhenUsed/>
    <w:qFormat/>
    <w:pPr>
      <w:ind w:left="1417" w:right="0" w:firstLine="0"/>
      <w:spacing w:after="57"/>
    </w:pPr>
  </w:style>
  <w:style w:type="paragraph" w:styleId="797">
    <w:name w:val="table of figures"/>
    <w:basedOn w:val="772"/>
    <w:next w:val="772"/>
    <w:uiPriority w:val="99"/>
    <w:unhideWhenUsed/>
    <w:qFormat/>
    <w:pPr>
      <w:spacing w:after="0" w:afterAutospacing="0"/>
    </w:pPr>
  </w:style>
  <w:style w:type="paragraph" w:styleId="798">
    <w:name w:val="toc 2"/>
    <w:basedOn w:val="772"/>
    <w:next w:val="772"/>
    <w:uiPriority w:val="39"/>
    <w:unhideWhenUsed/>
    <w:pPr>
      <w:ind w:left="283" w:right="0" w:firstLine="0"/>
      <w:spacing w:after="57"/>
    </w:pPr>
  </w:style>
  <w:style w:type="paragraph" w:styleId="799">
    <w:name w:val="toc 9"/>
    <w:basedOn w:val="772"/>
    <w:next w:val="772"/>
    <w:uiPriority w:val="39"/>
    <w:unhideWhenUsed/>
    <w:qFormat/>
    <w:pPr>
      <w:ind w:left="2268" w:right="0" w:firstLine="0"/>
      <w:spacing w:after="57"/>
    </w:pPr>
  </w:style>
  <w:style w:type="paragraph" w:styleId="800">
    <w:name w:val="Title"/>
    <w:basedOn w:val="772"/>
    <w:next w:val="772"/>
    <w:uiPriority w:val="10"/>
    <w:qFormat/>
    <w:pPr>
      <w:contextualSpacing/>
      <w:spacing w:before="300" w:after="200"/>
    </w:pPr>
    <w:rPr>
      <w:sz w:val="48"/>
      <w:szCs w:val="48"/>
    </w:rPr>
  </w:style>
  <w:style w:type="table" w:styleId="8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endnote reference"/>
    <w:uiPriority w:val="99"/>
    <w:semiHidden/>
    <w:unhideWhenUsed/>
    <w:qFormat/>
    <w:rPr>
      <w:vertAlign w:val="superscript"/>
    </w:rPr>
  </w:style>
  <w:style w:type="character" w:styleId="803">
    <w:name w:val="Hyperlink"/>
    <w:uiPriority w:val="99"/>
    <w:unhideWhenUsed/>
    <w:qFormat/>
    <w:rPr>
      <w:color w:val="0000ff" w:themeColor="hyperlink"/>
      <w:u w:val="single"/>
      <w14:textFill>
        <w14:solidFill>
          <w14:schemeClr w14:val="hlink"/>
        </w14:solidFill>
      </w14:textFill>
    </w:rPr>
  </w:style>
  <w:style w:type="character" w:styleId="804">
    <w:name w:val="footnote reference"/>
    <w:uiPriority w:val="99"/>
    <w:unhideWhenUsed/>
    <w:qFormat/>
    <w:rPr>
      <w:vertAlign w:val="superscript"/>
    </w:rPr>
  </w:style>
  <w:style w:type="paragraph" w:styleId="805">
    <w:name w:val="List Paragraph"/>
    <w:basedOn w:val="772"/>
    <w:uiPriority w:val="34"/>
    <w:qFormat/>
    <w:pPr>
      <w:contextualSpacing/>
      <w:ind w:left="720"/>
    </w:pPr>
  </w:style>
  <w:style w:type="paragraph" w:styleId="806">
    <w:name w:val="No Spacing"/>
    <w:uiPriority w:val="1"/>
    <w:qFormat/>
    <w:pPr>
      <w:spacing w:before="0" w:after="0" w:line="240" w:lineRule="auto"/>
    </w:pPr>
    <w:rPr>
      <w:rFonts w:hint="default" w:ascii="Times New Roman" w:hAnsi="Times New Roman" w:eastAsia="宋体" w:cs="Times New Roman"/>
    </w:rPr>
  </w:style>
  <w:style w:type="paragraph" w:styleId="807">
    <w:name w:val="Quote"/>
    <w:basedOn w:val="772"/>
    <w:next w:val="772"/>
    <w:uiPriority w:val="29"/>
    <w:qFormat/>
    <w:pPr>
      <w:ind w:left="720" w:right="720"/>
    </w:pPr>
    <w:rPr>
      <w:i/>
    </w:rPr>
  </w:style>
  <w:style w:type="paragraph" w:styleId="808">
    <w:name w:val="Intense Quote"/>
    <w:basedOn w:val="772"/>
    <w:next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9" w:customStyle="1">
    <w:name w:val="TOC Heading"/>
    <w:uiPriority w:val="39"/>
    <w:unhideWhenUsed/>
    <w:qFormat/>
    <w:rPr>
      <w:rFonts w:hint="default" w:ascii="Times New Roman" w:hAnsi="Times New Roman" w:eastAsia="宋体" w:cs="Times New Roman"/>
    </w:rPr>
  </w:style>
  <w:style w:type="paragraph" w:styleId="810" w:customStyle="1">
    <w:name w:val="标题 111"/>
    <w:basedOn w:val="772"/>
    <w:next w:val="772"/>
    <w:link w:val="821"/>
    <w:uiPriority w:val="99"/>
    <w:qFormat/>
    <w:pPr>
      <w:jc w:val="center"/>
      <w:keepNext/>
      <w:outlineLvl w:val="0"/>
    </w:pPr>
    <w:rPr>
      <w:rFonts w:ascii="楷体_GB2312" w:eastAsia="楷体_GB2312"/>
      <w:b/>
      <w:sz w:val="28"/>
    </w:rPr>
  </w:style>
  <w:style w:type="paragraph" w:styleId="811" w:customStyle="1">
    <w:name w:val="标题 211"/>
    <w:basedOn w:val="772"/>
    <w:next w:val="772"/>
    <w:link w:val="822"/>
    <w:uiPriority w:val="99"/>
    <w:qFormat/>
    <w:pPr>
      <w:jc w:val="center"/>
      <w:keepNext/>
      <w:outlineLvl w:val="1"/>
    </w:pPr>
    <w:rPr>
      <w:rFonts w:ascii="楷体_GB2312" w:eastAsia="楷体_GB2312"/>
      <w:b/>
      <w:bCs/>
      <w:sz w:val="18"/>
    </w:rPr>
  </w:style>
  <w:style w:type="paragraph" w:styleId="812" w:customStyle="1">
    <w:name w:val="标题 311"/>
    <w:basedOn w:val="772"/>
    <w:next w:val="772"/>
    <w:link w:val="823"/>
    <w:uiPriority w:val="99"/>
    <w:qFormat/>
    <w:pPr>
      <w:jc w:val="center"/>
      <w:keepNext/>
      <w:outlineLvl w:val="2"/>
    </w:pPr>
    <w:rPr>
      <w:rFonts w:eastAsia="楷体_GB2312"/>
      <w:b/>
      <w:bCs/>
      <w:sz w:val="15"/>
    </w:rPr>
  </w:style>
  <w:style w:type="paragraph" w:styleId="813" w:customStyle="1">
    <w:name w:val="标题 411"/>
    <w:basedOn w:val="772"/>
    <w:next w:val="772"/>
    <w:link w:val="824"/>
    <w:uiPriority w:val="99"/>
    <w:qFormat/>
    <w:pPr>
      <w:jc w:val="center"/>
      <w:keepNext/>
      <w:outlineLvl w:val="3"/>
    </w:pPr>
    <w:rPr>
      <w:rFonts w:eastAsia="楷体_GB2312"/>
      <w:b/>
      <w:bCs/>
      <w:sz w:val="13"/>
    </w:rPr>
  </w:style>
  <w:style w:type="paragraph" w:styleId="814" w:customStyle="1">
    <w:name w:val="标题 511"/>
    <w:basedOn w:val="772"/>
    <w:next w:val="772"/>
    <w:link w:val="825"/>
    <w:uiPriority w:val="99"/>
    <w:qFormat/>
    <w:pPr>
      <w:numPr>
        <w:ilvl w:val="0"/>
        <w:numId w:val="1"/>
      </w:numPr>
      <w:keepNext/>
      <w:outlineLvl w:val="4"/>
    </w:pPr>
    <w:rPr>
      <w:rFonts w:ascii="楷体_GB2312" w:eastAsia="楷体_GB2312"/>
      <w:bCs/>
      <w:sz w:val="28"/>
    </w:rPr>
  </w:style>
  <w:style w:type="paragraph" w:styleId="815" w:customStyle="1">
    <w:name w:val="标题 611"/>
    <w:basedOn w:val="772"/>
    <w:next w:val="772"/>
    <w:uiPriority w:val="9"/>
    <w:qFormat/>
    <w:pPr>
      <w:keepLines/>
      <w:keepNext/>
      <w:spacing w:before="320" w:after="200"/>
      <w:outlineLvl w:val="5"/>
    </w:pPr>
    <w:rPr>
      <w:rFonts w:ascii="Arial" w:hAnsi="Arial" w:eastAsia="Arial" w:cs="Arial"/>
      <w:b/>
      <w:bCs/>
      <w:sz w:val="22"/>
      <w:szCs w:val="22"/>
    </w:rPr>
  </w:style>
  <w:style w:type="paragraph" w:styleId="816" w:customStyle="1">
    <w:name w:val="标题 711"/>
    <w:basedOn w:val="772"/>
    <w:next w:val="772"/>
    <w:uiPriority w:val="9"/>
    <w:qFormat/>
    <w:pPr>
      <w:keepLines/>
      <w:keepNext/>
      <w:spacing w:before="320" w:after="200"/>
      <w:outlineLvl w:val="6"/>
    </w:pPr>
    <w:rPr>
      <w:rFonts w:ascii="Arial" w:hAnsi="Arial" w:eastAsia="Arial" w:cs="Arial"/>
      <w:b/>
      <w:bCs/>
      <w:i/>
      <w:iCs/>
      <w:sz w:val="22"/>
      <w:szCs w:val="22"/>
    </w:rPr>
  </w:style>
  <w:style w:type="paragraph" w:styleId="817" w:customStyle="1">
    <w:name w:val="标题 811"/>
    <w:basedOn w:val="772"/>
    <w:next w:val="772"/>
    <w:uiPriority w:val="9"/>
    <w:qFormat/>
    <w:pPr>
      <w:keepLines/>
      <w:keepNext/>
      <w:spacing w:before="320" w:after="200"/>
      <w:outlineLvl w:val="7"/>
    </w:pPr>
    <w:rPr>
      <w:rFonts w:ascii="Arial" w:hAnsi="Arial" w:eastAsia="Arial" w:cs="Arial"/>
      <w:i/>
      <w:iCs/>
      <w:sz w:val="22"/>
      <w:szCs w:val="22"/>
    </w:rPr>
  </w:style>
  <w:style w:type="paragraph" w:styleId="818" w:customStyle="1">
    <w:name w:val="标题 911"/>
    <w:basedOn w:val="772"/>
    <w:next w:val="772"/>
    <w:uiPriority w:val="9"/>
    <w:qFormat/>
    <w:pPr>
      <w:keepLines/>
      <w:keepNext/>
      <w:spacing w:before="320" w:after="200"/>
      <w:outlineLvl w:val="8"/>
    </w:pPr>
    <w:rPr>
      <w:rFonts w:ascii="Arial" w:hAnsi="Arial" w:eastAsia="Arial" w:cs="Arial"/>
      <w:i/>
      <w:iCs/>
      <w:szCs w:val="21"/>
    </w:rPr>
  </w:style>
  <w:style w:type="character" w:styleId="819" w:customStyle="1">
    <w:name w:val="默认段落字体1"/>
    <w:link w:val="772"/>
    <w:uiPriority w:val="1"/>
    <w:unhideWhenUsed/>
  </w:style>
  <w:style w:type="table" w:styleId="820" w:customStyle="1">
    <w:name w:val="普通表格1"/>
    <w:uiPriority w:val="99"/>
    <w:unhideWhenUsed/>
    <w:qFormat/>
    <w:tblPr/>
  </w:style>
  <w:style w:type="character" w:styleId="821" w:customStyle="1">
    <w:name w:val="标题 1 Char"/>
    <w:link w:val="810"/>
    <w:uiPriority w:val="99"/>
    <w:qFormat/>
    <w:rPr>
      <w:rFonts w:ascii="楷体_GB2312" w:hAnsi="Times New Roman" w:eastAsia="楷体_GB2312" w:cs="Times New Roman"/>
      <w:b/>
      <w:sz w:val="28"/>
      <w:szCs w:val="20"/>
    </w:rPr>
  </w:style>
  <w:style w:type="character" w:styleId="822" w:customStyle="1">
    <w:name w:val="标题 2 Char"/>
    <w:link w:val="811"/>
    <w:uiPriority w:val="99"/>
    <w:qFormat/>
    <w:rPr>
      <w:rFonts w:ascii="楷体_GB2312" w:hAnsi="Times New Roman" w:eastAsia="楷体_GB2312" w:cs="Times New Roman"/>
      <w:b/>
      <w:bCs/>
      <w:sz w:val="18"/>
      <w:szCs w:val="20"/>
    </w:rPr>
  </w:style>
  <w:style w:type="character" w:styleId="823" w:customStyle="1">
    <w:name w:val="标题 3 Char"/>
    <w:link w:val="812"/>
    <w:uiPriority w:val="99"/>
    <w:qFormat/>
    <w:rPr>
      <w:rFonts w:ascii="Times New Roman" w:hAnsi="Times New Roman" w:eastAsia="楷体_GB2312" w:cs="Times New Roman"/>
      <w:b/>
      <w:bCs/>
      <w:sz w:val="15"/>
      <w:szCs w:val="20"/>
    </w:rPr>
  </w:style>
  <w:style w:type="character" w:styleId="824" w:customStyle="1">
    <w:name w:val="标题 4 Char"/>
    <w:link w:val="813"/>
    <w:uiPriority w:val="99"/>
    <w:qFormat/>
    <w:rPr>
      <w:rFonts w:ascii="Times New Roman" w:hAnsi="Times New Roman" w:eastAsia="楷体_GB2312" w:cs="Times New Roman"/>
      <w:b/>
      <w:bCs/>
      <w:sz w:val="13"/>
      <w:szCs w:val="20"/>
    </w:rPr>
  </w:style>
  <w:style w:type="character" w:styleId="825" w:customStyle="1">
    <w:name w:val="标题 5 Char"/>
    <w:link w:val="814"/>
    <w:uiPriority w:val="99"/>
    <w:qFormat/>
    <w:rPr>
      <w:rFonts w:ascii="楷体_GB2312" w:hAnsi="Times New Roman" w:eastAsia="楷体_GB2312" w:cs="Times New Roman"/>
      <w:bCs/>
      <w:sz w:val="28"/>
      <w:szCs w:val="20"/>
    </w:rPr>
  </w:style>
  <w:style w:type="paragraph" w:styleId="826" w:customStyle="1">
    <w:name w:val="目录 71"/>
    <w:basedOn w:val="772"/>
    <w:next w:val="772"/>
    <w:uiPriority w:val="39"/>
    <w:qFormat/>
    <w:pPr>
      <w:ind w:left="1701"/>
      <w:spacing w:after="57"/>
    </w:pPr>
  </w:style>
  <w:style w:type="paragraph" w:styleId="827" w:customStyle="1">
    <w:name w:val="正文缩进1"/>
    <w:basedOn w:val="772"/>
    <w:link w:val="828"/>
    <w:uiPriority w:val="0"/>
    <w:qFormat/>
    <w:pPr>
      <w:ind w:firstLine="420"/>
    </w:pPr>
    <w:rPr>
      <w:szCs w:val="24"/>
    </w:rPr>
  </w:style>
  <w:style w:type="character" w:styleId="828" w:customStyle="1">
    <w:name w:val="正文缩进 Char"/>
    <w:link w:val="827"/>
    <w:uiPriority w:val="0"/>
    <w:qFormat/>
    <w:rPr>
      <w:rFonts w:ascii="Times New Roman" w:hAnsi="Times New Roman"/>
      <w:sz w:val="21"/>
      <w:szCs w:val="24"/>
    </w:rPr>
  </w:style>
  <w:style w:type="paragraph" w:styleId="829" w:customStyle="1">
    <w:name w:val="题注11"/>
    <w:basedOn w:val="772"/>
    <w:next w:val="772"/>
    <w:uiPriority w:val="35"/>
    <w:qFormat/>
    <w:pPr>
      <w:spacing w:line="276" w:lineRule="auto"/>
    </w:pPr>
    <w:rPr>
      <w:b/>
      <w:bCs/>
      <w:color w:val="4f81bd"/>
      <w:sz w:val="18"/>
      <w:szCs w:val="18"/>
    </w:rPr>
  </w:style>
  <w:style w:type="paragraph" w:styleId="830" w:customStyle="1">
    <w:name w:val="索引 51"/>
    <w:basedOn w:val="772"/>
    <w:next w:val="772"/>
    <w:uiPriority w:val="99"/>
    <w:qFormat/>
    <w:pPr>
      <w:ind w:left="800"/>
    </w:pPr>
  </w:style>
  <w:style w:type="paragraph" w:styleId="831" w:customStyle="1">
    <w:name w:val="文档结构图1"/>
    <w:basedOn w:val="772"/>
    <w:next w:val="772"/>
    <w:link w:val="832"/>
    <w:uiPriority w:val="99"/>
    <w:qFormat/>
    <w:pPr>
      <w:shd w:val="clear" w:color="auto" w:fill="000080"/>
    </w:pPr>
    <w:rPr>
      <w:sz w:val="20"/>
    </w:rPr>
  </w:style>
  <w:style w:type="character" w:styleId="832" w:customStyle="1">
    <w:name w:val="文档结构图 Char"/>
    <w:link w:val="831"/>
    <w:uiPriority w:val="99"/>
    <w:qFormat/>
    <w:rPr>
      <w:rFonts w:ascii="Times New Roman" w:hAnsi="Times New Roman" w:eastAsia="宋体" w:cs="Times New Roman"/>
      <w:szCs w:val="20"/>
      <w:shd w:val="clear" w:color="auto" w:fill="000080"/>
    </w:rPr>
  </w:style>
  <w:style w:type="paragraph" w:styleId="833" w:customStyle="1">
    <w:name w:val="批注文字1"/>
    <w:basedOn w:val="772"/>
    <w:link w:val="834"/>
    <w:uiPriority w:val="0"/>
    <w:qFormat/>
    <w:pPr>
      <w:jc w:val="left"/>
    </w:pPr>
    <w:rPr>
      <w:sz w:val="20"/>
      <w:szCs w:val="24"/>
    </w:rPr>
  </w:style>
  <w:style w:type="character" w:styleId="834" w:customStyle="1">
    <w:name w:val="批注文字 Char"/>
    <w:link w:val="833"/>
    <w:uiPriority w:val="0"/>
    <w:qFormat/>
    <w:rPr>
      <w:rFonts w:ascii="Times New Roman" w:hAnsi="Times New Roman" w:eastAsia="宋体" w:cs="Times New Roman"/>
      <w:szCs w:val="24"/>
    </w:rPr>
  </w:style>
  <w:style w:type="paragraph" w:styleId="835" w:customStyle="1">
    <w:name w:val="正文文本111"/>
    <w:basedOn w:val="772"/>
    <w:next w:val="836"/>
    <w:link w:val="837"/>
    <w:uiPriority w:val="99"/>
    <w:qFormat/>
    <w:rPr>
      <w:rFonts w:ascii="华文中宋" w:eastAsia="华文中宋"/>
      <w:bCs/>
      <w:sz w:val="28"/>
    </w:rPr>
  </w:style>
  <w:style w:type="paragraph" w:styleId="836" w:customStyle="1">
    <w:name w:val="目录 21"/>
    <w:basedOn w:val="772"/>
    <w:next w:val="772"/>
    <w:uiPriority w:val="39"/>
    <w:qFormat/>
    <w:pPr>
      <w:ind w:left="283"/>
      <w:spacing w:after="57"/>
    </w:pPr>
  </w:style>
  <w:style w:type="character" w:styleId="837" w:customStyle="1">
    <w:name w:val="正文文本 Char"/>
    <w:link w:val="835"/>
    <w:uiPriority w:val="99"/>
    <w:qFormat/>
    <w:rPr>
      <w:rFonts w:ascii="华文中宋" w:hAnsi="Times New Roman" w:eastAsia="华文中宋" w:cs="Times New Roman"/>
      <w:bCs/>
      <w:sz w:val="28"/>
      <w:szCs w:val="20"/>
    </w:rPr>
  </w:style>
  <w:style w:type="paragraph" w:styleId="838" w:customStyle="1">
    <w:name w:val="正文文本缩进1"/>
    <w:basedOn w:val="772"/>
    <w:link w:val="839"/>
    <w:uiPriority w:val="0"/>
    <w:qFormat/>
    <w:pPr>
      <w:ind w:firstLine="576"/>
    </w:pPr>
    <w:rPr>
      <w:b/>
      <w:sz w:val="30"/>
    </w:rPr>
  </w:style>
  <w:style w:type="character" w:styleId="839" w:customStyle="1">
    <w:name w:val="正文文本缩进 Char"/>
    <w:link w:val="838"/>
    <w:uiPriority w:val="0"/>
    <w:qFormat/>
    <w:rPr>
      <w:rFonts w:ascii="Times New Roman" w:hAnsi="Times New Roman" w:eastAsia="宋体" w:cs="Times New Roman"/>
      <w:b/>
      <w:sz w:val="30"/>
      <w:szCs w:val="20"/>
    </w:rPr>
  </w:style>
  <w:style w:type="paragraph" w:styleId="840" w:customStyle="1">
    <w:name w:val="索引 411"/>
    <w:basedOn w:val="772"/>
    <w:next w:val="772"/>
    <w:uiPriority w:val="99"/>
    <w:qFormat/>
    <w:pPr>
      <w:ind w:left="600"/>
    </w:pPr>
    <w:rPr>
      <w:szCs w:val="24"/>
    </w:rPr>
  </w:style>
  <w:style w:type="paragraph" w:styleId="841" w:customStyle="1">
    <w:name w:val="目录 51"/>
    <w:basedOn w:val="772"/>
    <w:next w:val="772"/>
    <w:uiPriority w:val="39"/>
    <w:qFormat/>
    <w:pPr>
      <w:ind w:left="1134"/>
      <w:spacing w:after="57"/>
    </w:pPr>
  </w:style>
  <w:style w:type="paragraph" w:styleId="842" w:customStyle="1">
    <w:name w:val="目录 31"/>
    <w:basedOn w:val="772"/>
    <w:next w:val="772"/>
    <w:uiPriority w:val="39"/>
    <w:qFormat/>
    <w:pPr>
      <w:ind w:left="567"/>
      <w:spacing w:after="57"/>
    </w:pPr>
  </w:style>
  <w:style w:type="paragraph" w:styleId="843" w:customStyle="1">
    <w:name w:val="纯文本11"/>
    <w:basedOn w:val="772"/>
    <w:link w:val="844"/>
    <w:uiPriority w:val="0"/>
    <w:qFormat/>
    <w:rPr>
      <w:rFonts w:ascii="宋体" w:hAnsi="Courier New"/>
      <w:szCs w:val="21"/>
    </w:rPr>
  </w:style>
  <w:style w:type="character" w:styleId="844" w:customStyle="1">
    <w:name w:val="纯文本 Char"/>
    <w:link w:val="843"/>
    <w:uiPriority w:val="0"/>
    <w:qFormat/>
    <w:rPr>
      <w:rFonts w:ascii="宋体" w:hAnsi="Courier New"/>
      <w:sz w:val="21"/>
      <w:szCs w:val="21"/>
    </w:rPr>
  </w:style>
  <w:style w:type="paragraph" w:styleId="845" w:customStyle="1">
    <w:name w:val="目录 81"/>
    <w:basedOn w:val="772"/>
    <w:next w:val="772"/>
    <w:uiPriority w:val="39"/>
    <w:qFormat/>
    <w:pPr>
      <w:ind w:left="1984"/>
      <w:spacing w:after="57"/>
    </w:pPr>
  </w:style>
  <w:style w:type="paragraph" w:styleId="846" w:customStyle="1">
    <w:name w:val="日期1"/>
    <w:basedOn w:val="772"/>
    <w:next w:val="772"/>
    <w:link w:val="847"/>
    <w:uiPriority w:val="99"/>
    <w:qFormat/>
    <w:rPr>
      <w:rFonts w:eastAsia="黑体"/>
      <w:b/>
      <w:sz w:val="36"/>
    </w:rPr>
  </w:style>
  <w:style w:type="character" w:styleId="847" w:customStyle="1">
    <w:name w:val="日期 Char"/>
    <w:link w:val="846"/>
    <w:uiPriority w:val="99"/>
    <w:qFormat/>
    <w:rPr>
      <w:rFonts w:ascii="Times New Roman" w:hAnsi="Times New Roman" w:eastAsia="黑体" w:cs="Times New Roman"/>
      <w:b/>
      <w:sz w:val="36"/>
      <w:szCs w:val="20"/>
    </w:rPr>
  </w:style>
  <w:style w:type="paragraph" w:styleId="848" w:customStyle="1">
    <w:name w:val="正文文本缩进 21"/>
    <w:basedOn w:val="772"/>
    <w:link w:val="849"/>
    <w:uiPriority w:val="99"/>
    <w:qFormat/>
    <w:pPr>
      <w:ind w:left="900"/>
    </w:pPr>
    <w:rPr>
      <w:rFonts w:ascii="楷体_GB2312" w:eastAsia="楷体_GB2312"/>
      <w:b/>
      <w:sz w:val="28"/>
    </w:rPr>
  </w:style>
  <w:style w:type="character" w:styleId="849" w:customStyle="1">
    <w:name w:val="正文文本缩进 2 Char"/>
    <w:link w:val="848"/>
    <w:uiPriority w:val="99"/>
    <w:qFormat/>
    <w:rPr>
      <w:rFonts w:ascii="楷体_GB2312" w:hAnsi="Times New Roman" w:eastAsia="楷体_GB2312" w:cs="Times New Roman"/>
      <w:b/>
      <w:sz w:val="28"/>
      <w:szCs w:val="20"/>
    </w:rPr>
  </w:style>
  <w:style w:type="paragraph" w:styleId="850" w:customStyle="1">
    <w:name w:val="尾注文本1"/>
    <w:basedOn w:val="772"/>
    <w:link w:val="851"/>
    <w:uiPriority w:val="99"/>
    <w:qFormat/>
    <w:rPr>
      <w:sz w:val="20"/>
    </w:rPr>
  </w:style>
  <w:style w:type="character" w:styleId="851" w:customStyle="1">
    <w:name w:val="尾注文本 Char"/>
    <w:link w:val="850"/>
    <w:uiPriority w:val="99"/>
    <w:qFormat/>
    <w:rPr>
      <w:sz w:val="20"/>
    </w:rPr>
  </w:style>
  <w:style w:type="paragraph" w:styleId="852" w:customStyle="1">
    <w:name w:val="批注框文本1"/>
    <w:basedOn w:val="772"/>
    <w:link w:val="853"/>
    <w:uiPriority w:val="99"/>
    <w:qFormat/>
    <w:rPr>
      <w:sz w:val="18"/>
      <w:szCs w:val="18"/>
    </w:rPr>
  </w:style>
  <w:style w:type="character" w:styleId="853" w:customStyle="1">
    <w:name w:val="批注框文本 Char"/>
    <w:link w:val="852"/>
    <w:uiPriority w:val="99"/>
    <w:qFormat/>
    <w:rPr>
      <w:rFonts w:ascii="Times New Roman" w:hAnsi="Times New Roman" w:eastAsia="宋体" w:cs="Times New Roman"/>
      <w:sz w:val="18"/>
      <w:szCs w:val="18"/>
    </w:rPr>
  </w:style>
  <w:style w:type="paragraph" w:styleId="854" w:customStyle="1">
    <w:name w:val="页脚111"/>
    <w:basedOn w:val="772"/>
    <w:link w:val="855"/>
    <w:uiPriority w:val="99"/>
    <w:qFormat/>
    <w:pPr>
      <w:jc w:val="left"/>
      <w:tabs>
        <w:tab w:val="center" w:pos="4153" w:leader="none"/>
        <w:tab w:val="right" w:pos="8306" w:leader="none"/>
      </w:tabs>
    </w:pPr>
    <w:rPr>
      <w:sz w:val="18"/>
      <w:szCs w:val="18"/>
    </w:rPr>
  </w:style>
  <w:style w:type="character" w:styleId="855" w:customStyle="1">
    <w:name w:val="页脚 Char"/>
    <w:link w:val="854"/>
    <w:uiPriority w:val="99"/>
    <w:qFormat/>
    <w:rPr>
      <w:sz w:val="18"/>
      <w:szCs w:val="18"/>
    </w:rPr>
  </w:style>
  <w:style w:type="paragraph" w:styleId="856" w:customStyle="1">
    <w:name w:val="页眉111"/>
    <w:basedOn w:val="772"/>
    <w:link w:val="857"/>
    <w:uiPriority w:val="0"/>
    <w:qFormat/>
    <w:pPr>
      <w:jc w:val="center"/>
      <w:tabs>
        <w:tab w:val="center" w:pos="4153" w:leader="none"/>
        <w:tab w:val="right" w:pos="8306" w:leader="none"/>
      </w:tabs>
      <w:pBdr>
        <w:bottom w:val="single" w:color="000000" w:sz="6" w:space="1"/>
      </w:pBdr>
    </w:pPr>
    <w:rPr>
      <w:sz w:val="18"/>
      <w:szCs w:val="18"/>
    </w:rPr>
  </w:style>
  <w:style w:type="character" w:styleId="857" w:customStyle="1">
    <w:name w:val="页眉 Char"/>
    <w:link w:val="856"/>
    <w:uiPriority w:val="0"/>
    <w:qFormat/>
    <w:rPr>
      <w:sz w:val="18"/>
      <w:szCs w:val="18"/>
    </w:rPr>
  </w:style>
  <w:style w:type="paragraph" w:styleId="858" w:customStyle="1">
    <w:name w:val="目录 11"/>
    <w:basedOn w:val="772"/>
    <w:next w:val="772"/>
    <w:uiPriority w:val="39"/>
    <w:qFormat/>
    <w:pPr>
      <w:spacing w:after="57"/>
    </w:pPr>
  </w:style>
  <w:style w:type="paragraph" w:styleId="859" w:customStyle="1">
    <w:name w:val="目录 41"/>
    <w:basedOn w:val="772"/>
    <w:next w:val="772"/>
    <w:uiPriority w:val="39"/>
    <w:qFormat/>
    <w:pPr>
      <w:ind w:left="850"/>
      <w:spacing w:after="57"/>
    </w:pPr>
  </w:style>
  <w:style w:type="paragraph" w:styleId="860" w:customStyle="1">
    <w:name w:val="副标题1"/>
    <w:basedOn w:val="772"/>
    <w:next w:val="772"/>
    <w:link w:val="861"/>
    <w:uiPriority w:val="11"/>
    <w:qFormat/>
    <w:pPr>
      <w:spacing w:before="200" w:after="200"/>
    </w:pPr>
    <w:rPr>
      <w:sz w:val="24"/>
      <w:szCs w:val="24"/>
    </w:rPr>
  </w:style>
  <w:style w:type="character" w:styleId="861" w:customStyle="1">
    <w:name w:val="副标题 Char"/>
    <w:link w:val="860"/>
    <w:uiPriority w:val="11"/>
    <w:qFormat/>
    <w:rPr>
      <w:sz w:val="24"/>
      <w:szCs w:val="24"/>
    </w:rPr>
  </w:style>
  <w:style w:type="paragraph" w:styleId="862" w:customStyle="1">
    <w:name w:val="列表1"/>
    <w:basedOn w:val="772"/>
    <w:uiPriority w:val="0"/>
    <w:qFormat/>
    <w:pPr>
      <w:numPr>
        <w:ilvl w:val="0"/>
        <w:numId w:val="2"/>
      </w:numPr>
      <w:spacing w:after="20" w:line="288" w:lineRule="auto"/>
    </w:pPr>
    <w:rPr>
      <w:lang w:val="en-GB"/>
    </w:rPr>
  </w:style>
  <w:style w:type="paragraph" w:styleId="863" w:customStyle="1">
    <w:name w:val="脚注文本1"/>
    <w:basedOn w:val="772"/>
    <w:next w:val="830"/>
    <w:link w:val="864"/>
    <w:uiPriority w:val="0"/>
    <w:qFormat/>
    <w:pPr>
      <w:ind w:firstLine="425"/>
      <w:jc w:val="left"/>
      <w:spacing w:before="120" w:line="360" w:lineRule="auto"/>
    </w:pPr>
    <w:rPr>
      <w:sz w:val="18"/>
    </w:rPr>
  </w:style>
  <w:style w:type="character" w:styleId="864" w:customStyle="1">
    <w:name w:val="脚注文本 Char"/>
    <w:link w:val="863"/>
    <w:uiPriority w:val="0"/>
    <w:qFormat/>
    <w:rPr>
      <w:rFonts w:ascii="Times New Roman" w:hAnsi="Times New Roman"/>
      <w:sz w:val="18"/>
    </w:rPr>
  </w:style>
  <w:style w:type="paragraph" w:styleId="865" w:customStyle="1">
    <w:name w:val="目录 61"/>
    <w:basedOn w:val="772"/>
    <w:next w:val="772"/>
    <w:uiPriority w:val="39"/>
    <w:qFormat/>
    <w:pPr>
      <w:ind w:left="1417"/>
      <w:spacing w:after="57"/>
    </w:pPr>
  </w:style>
  <w:style w:type="paragraph" w:styleId="866" w:customStyle="1">
    <w:name w:val="正文文本缩进 31"/>
    <w:basedOn w:val="772"/>
    <w:link w:val="867"/>
    <w:uiPriority w:val="99"/>
    <w:qFormat/>
    <w:pPr>
      <w:ind w:left="359" w:firstLine="359"/>
    </w:pPr>
    <w:rPr>
      <w:sz w:val="20"/>
    </w:rPr>
  </w:style>
  <w:style w:type="character" w:styleId="867" w:customStyle="1">
    <w:name w:val="正文文本缩进 3 Char"/>
    <w:link w:val="866"/>
    <w:uiPriority w:val="99"/>
    <w:qFormat/>
    <w:rPr>
      <w:rFonts w:ascii="Times New Roman" w:hAnsi="Times New Roman" w:eastAsia="宋体" w:cs="Times New Roman"/>
      <w:szCs w:val="20"/>
    </w:rPr>
  </w:style>
  <w:style w:type="paragraph" w:styleId="868" w:customStyle="1">
    <w:name w:val="图表目录1"/>
    <w:basedOn w:val="772"/>
    <w:next w:val="772"/>
    <w:uiPriority w:val="99"/>
    <w:qFormat/>
  </w:style>
  <w:style w:type="paragraph" w:styleId="869" w:customStyle="1">
    <w:name w:val="目录 91"/>
    <w:basedOn w:val="772"/>
    <w:next w:val="772"/>
    <w:uiPriority w:val="39"/>
    <w:qFormat/>
    <w:pPr>
      <w:ind w:left="2268"/>
      <w:spacing w:after="57"/>
    </w:pPr>
  </w:style>
  <w:style w:type="paragraph" w:styleId="870" w:customStyle="1">
    <w:name w:val="正文文本 21"/>
    <w:basedOn w:val="772"/>
    <w:link w:val="871"/>
    <w:uiPriority w:val="99"/>
    <w:qFormat/>
    <w:pPr>
      <w:spacing w:after="120" w:line="480" w:lineRule="auto"/>
    </w:pPr>
    <w:rPr>
      <w:sz w:val="20"/>
    </w:rPr>
  </w:style>
  <w:style w:type="character" w:styleId="871" w:customStyle="1">
    <w:name w:val="正文文本 2 Char"/>
    <w:link w:val="870"/>
    <w:uiPriority w:val="99"/>
    <w:qFormat/>
    <w:rPr>
      <w:rFonts w:ascii="Times New Roman" w:hAnsi="Times New Roman" w:eastAsia="宋体" w:cs="Times New Roman"/>
      <w:szCs w:val="20"/>
    </w:rPr>
  </w:style>
  <w:style w:type="paragraph" w:styleId="872" w:customStyle="1">
    <w:name w:val="普通(网站)1"/>
    <w:basedOn w:val="772"/>
    <w:link w:val="873"/>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873" w:customStyle="1">
    <w:name w:val="普通(网站) Char"/>
    <w:link w:val="872"/>
    <w:uiPriority w:val="0"/>
    <w:qFormat/>
    <w:rPr>
      <w:rFonts w:ascii="宋体" w:hAnsi="宋体"/>
      <w:sz w:val="24"/>
      <w:szCs w:val="24"/>
    </w:rPr>
  </w:style>
  <w:style w:type="paragraph" w:styleId="874" w:customStyle="1">
    <w:name w:val="标题1"/>
    <w:basedOn w:val="772"/>
    <w:next w:val="772"/>
    <w:link w:val="875"/>
    <w:uiPriority w:val="10"/>
    <w:qFormat/>
    <w:pPr>
      <w:contextualSpacing/>
      <w:spacing w:before="300" w:after="200"/>
    </w:pPr>
    <w:rPr>
      <w:sz w:val="48"/>
      <w:szCs w:val="48"/>
    </w:rPr>
  </w:style>
  <w:style w:type="character" w:styleId="875" w:customStyle="1">
    <w:name w:val="标题 Char"/>
    <w:link w:val="874"/>
    <w:uiPriority w:val="10"/>
    <w:qFormat/>
    <w:rPr>
      <w:sz w:val="48"/>
      <w:szCs w:val="48"/>
    </w:rPr>
  </w:style>
  <w:style w:type="paragraph" w:styleId="876" w:customStyle="1">
    <w:name w:val="批注主题1"/>
    <w:basedOn w:val="833"/>
    <w:next w:val="833"/>
    <w:link w:val="877"/>
    <w:uiPriority w:val="0"/>
    <w:qFormat/>
    <w:rPr>
      <w:b/>
      <w:bCs/>
    </w:rPr>
  </w:style>
  <w:style w:type="character" w:styleId="877" w:customStyle="1">
    <w:name w:val="批注主题 Char"/>
    <w:link w:val="876"/>
    <w:uiPriority w:val="0"/>
    <w:qFormat/>
    <w:rPr>
      <w:rFonts w:ascii="Times New Roman" w:hAnsi="Times New Roman" w:eastAsia="宋体" w:cs="Times New Roman"/>
      <w:b/>
      <w:bCs/>
      <w:szCs w:val="24"/>
    </w:rPr>
  </w:style>
  <w:style w:type="paragraph" w:styleId="878" w:customStyle="1">
    <w:name w:val="正文首行缩进1"/>
    <w:basedOn w:val="835"/>
    <w:link w:val="879"/>
    <w:uiPriority w:val="99"/>
    <w:qFormat/>
    <w:pPr>
      <w:ind w:firstLine="420"/>
      <w:spacing w:after="120"/>
    </w:pPr>
    <w:rPr>
      <w:rFonts w:ascii="Times New Roman"/>
      <w:bCs w:val="0"/>
      <w:sz w:val="21"/>
    </w:rPr>
  </w:style>
  <w:style w:type="character" w:styleId="879" w:customStyle="1">
    <w:name w:val="正文首行缩进 Char"/>
    <w:link w:val="878"/>
    <w:uiPriority w:val="99"/>
    <w:qFormat/>
    <w:rPr>
      <w:rFonts w:ascii="Times New Roman" w:hAnsi="Times New Roman" w:eastAsia="华文中宋" w:cs="Times New Roman"/>
      <w:sz w:val="21"/>
      <w:szCs w:val="20"/>
    </w:rPr>
  </w:style>
  <w:style w:type="paragraph" w:styleId="880" w:customStyle="1">
    <w:name w:val="正文首行缩进 21"/>
    <w:basedOn w:val="838"/>
    <w:uiPriority w:val="0"/>
    <w:qFormat/>
    <w:pPr>
      <w:ind w:left="420" w:firstLine="420"/>
      <w:spacing w:after="120"/>
    </w:pPr>
    <w:rPr>
      <w:rFonts w:ascii="Cambria" w:hAnsi="Cambria" w:eastAsia="华文细黑"/>
      <w:sz w:val="21"/>
    </w:rPr>
  </w:style>
  <w:style w:type="table" w:styleId="881" w:customStyle="1">
    <w:name w:val="网格型1"/>
    <w:uiPriority w:val="59"/>
    <w:qFormat/>
    <w:rPr>
      <w:lang w:val="en-US" w:eastAsia="zh-CN" w:bidi="ar-SA"/>
    </w:rPr>
    <w:tblPr/>
  </w:style>
  <w:style w:type="character" w:styleId="882" w:customStyle="1">
    <w:name w:val="要点1"/>
    <w:link w:val="772"/>
    <w:uiPriority w:val="99"/>
    <w:qFormat/>
    <w:rPr>
      <w:rFonts w:cs="Times New Roman"/>
      <w:b/>
      <w:bCs/>
    </w:rPr>
  </w:style>
  <w:style w:type="character" w:styleId="883" w:customStyle="1">
    <w:name w:val="尾注引用1"/>
    <w:link w:val="772"/>
    <w:uiPriority w:val="99"/>
    <w:qFormat/>
    <w:rPr>
      <w:vertAlign w:val="superscript"/>
    </w:rPr>
  </w:style>
  <w:style w:type="character" w:styleId="884" w:customStyle="1">
    <w:name w:val="页码11"/>
    <w:link w:val="772"/>
    <w:uiPriority w:val="0"/>
    <w:qFormat/>
    <w:rPr>
      <w:rFonts w:cs="Times New Roman"/>
    </w:rPr>
  </w:style>
  <w:style w:type="character" w:styleId="885" w:customStyle="1">
    <w:name w:val="已访问的超链接1"/>
    <w:link w:val="772"/>
    <w:uiPriority w:val="99"/>
    <w:qFormat/>
    <w:rPr>
      <w:rFonts w:cs="Times New Roman"/>
      <w:color w:val="000000"/>
      <w:u w:val="none"/>
    </w:rPr>
  </w:style>
  <w:style w:type="character" w:styleId="886" w:customStyle="1">
    <w:name w:val="HTML 打字机1"/>
    <w:link w:val="772"/>
    <w:uiPriority w:val="99"/>
    <w:qFormat/>
    <w:rPr>
      <w:rFonts w:ascii="宋体" w:hAnsi="宋体" w:eastAsia="宋体" w:cs="宋体"/>
      <w:sz w:val="24"/>
      <w:szCs w:val="24"/>
    </w:rPr>
  </w:style>
  <w:style w:type="character" w:styleId="887" w:customStyle="1">
    <w:name w:val="超链接1"/>
    <w:link w:val="772"/>
    <w:uiPriority w:val="99"/>
    <w:qFormat/>
    <w:rPr>
      <w:color w:val="000000"/>
      <w:u w:val="none"/>
    </w:rPr>
  </w:style>
  <w:style w:type="character" w:styleId="888" w:customStyle="1">
    <w:name w:val="批注引用1"/>
    <w:link w:val="772"/>
    <w:uiPriority w:val="0"/>
    <w:qFormat/>
    <w:rPr>
      <w:sz w:val="21"/>
      <w:szCs w:val="21"/>
    </w:rPr>
  </w:style>
  <w:style w:type="character" w:styleId="889" w:customStyle="1">
    <w:name w:val="脚注引用1"/>
    <w:link w:val="772"/>
    <w:uiPriority w:val="99"/>
    <w:qFormat/>
    <w:rPr>
      <w:vertAlign w:val="superscript"/>
    </w:rPr>
  </w:style>
  <w:style w:type="paragraph" w:styleId="890"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89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92" w:customStyle="1">
    <w:name w:val="列出段落"/>
    <w:basedOn w:val="772"/>
    <w:uiPriority w:val="0"/>
    <w:qFormat/>
    <w:pPr>
      <w:ind w:firstLine="420"/>
    </w:pPr>
    <w:rPr>
      <w:szCs w:val="21"/>
    </w:rPr>
  </w:style>
  <w:style w:type="paragraph" w:styleId="893" w:customStyle="1">
    <w:name w:val="TOC Heading1"/>
    <w:next w:val="772"/>
    <w:uiPriority w:val="0"/>
    <w:qFormat/>
    <w:pPr>
      <w:spacing w:before="120" w:after="120" w:line="360" w:lineRule="auto"/>
    </w:pPr>
    <w:rPr>
      <w:rFonts w:hint="default" w:ascii="Times New Roman" w:hAnsi="Times New Roman" w:eastAsia="宋体" w:cs="Times New Roman"/>
      <w:sz w:val="32"/>
      <w:lang w:val="en-US" w:eastAsia="zh-CN" w:bidi="ar-SA"/>
    </w:rPr>
  </w:style>
  <w:style w:type="paragraph" w:styleId="894" w:customStyle="1">
    <w:name w:val="标题 41"/>
    <w:basedOn w:val="772"/>
    <w:next w:val="772"/>
    <w:link w:val="895"/>
    <w:uiPriority w:val="9"/>
    <w:qFormat/>
    <w:pPr>
      <w:keepLines/>
      <w:keepNext/>
      <w:spacing w:before="320" w:after="200"/>
      <w:outlineLvl w:val="3"/>
    </w:pPr>
    <w:rPr>
      <w:rFonts w:ascii="Arial" w:hAnsi="Arial" w:eastAsia="Arial"/>
      <w:b/>
      <w:bCs/>
      <w:sz w:val="26"/>
      <w:szCs w:val="26"/>
    </w:rPr>
  </w:style>
  <w:style w:type="character" w:styleId="895" w:customStyle="1">
    <w:name w:val="Heading 4 Char_c737420b-353d-4424-86d3-425d70bb16f0"/>
    <w:link w:val="894"/>
    <w:uiPriority w:val="9"/>
    <w:qFormat/>
    <w:rPr>
      <w:rFonts w:ascii="Arial" w:hAnsi="Arial" w:eastAsia="Arial" w:cs="Arial"/>
      <w:b/>
      <w:bCs/>
      <w:sz w:val="26"/>
      <w:szCs w:val="26"/>
    </w:rPr>
  </w:style>
  <w:style w:type="table" w:styleId="896" w:customStyle="1">
    <w:name w:val="Plain Table 1"/>
    <w:basedOn w:val="820"/>
    <w:uiPriority w:val="59"/>
    <w:qFormat/>
    <w:tblPr/>
  </w:style>
  <w:style w:type="table" w:styleId="897" w:customStyle="1">
    <w:name w:val="Plain Table 2"/>
    <w:basedOn w:val="820"/>
    <w:uiPriority w:val="59"/>
    <w:qFormat/>
    <w:tblPr/>
  </w:style>
  <w:style w:type="table" w:styleId="898" w:customStyle="1">
    <w:name w:val="Plain Table 3"/>
    <w:basedOn w:val="820"/>
    <w:uiPriority w:val="99"/>
    <w:qFormat/>
    <w:tblPr/>
  </w:style>
  <w:style w:type="table" w:styleId="899" w:customStyle="1">
    <w:name w:val="Plain Table 4"/>
    <w:basedOn w:val="820"/>
    <w:uiPriority w:val="99"/>
    <w:qFormat/>
    <w:tblPr/>
  </w:style>
  <w:style w:type="table" w:styleId="900" w:customStyle="1">
    <w:name w:val="Plain Table 5"/>
    <w:basedOn w:val="820"/>
    <w:uiPriority w:val="99"/>
    <w:qFormat/>
    <w:tblPr/>
  </w:style>
  <w:style w:type="table" w:styleId="901" w:customStyle="1">
    <w:name w:val="Grid Table 1 Light"/>
    <w:basedOn w:val="820"/>
    <w:uiPriority w:val="99"/>
    <w:qFormat/>
    <w:tblPr/>
  </w:style>
  <w:style w:type="table" w:styleId="902" w:customStyle="1">
    <w:name w:val="Grid Table 2"/>
    <w:basedOn w:val="820"/>
    <w:uiPriority w:val="99"/>
    <w:qFormat/>
    <w:tblPr/>
  </w:style>
  <w:style w:type="table" w:styleId="903" w:customStyle="1">
    <w:name w:val="Grid Table 3"/>
    <w:basedOn w:val="820"/>
    <w:uiPriority w:val="99"/>
    <w:qFormat/>
    <w:tblPr/>
  </w:style>
  <w:style w:type="table" w:styleId="904" w:customStyle="1">
    <w:name w:val="Grid Table 4"/>
    <w:basedOn w:val="820"/>
    <w:uiPriority w:val="59"/>
    <w:qFormat/>
    <w:tblPr/>
  </w:style>
  <w:style w:type="table" w:styleId="905" w:customStyle="1">
    <w:name w:val="Grid Table 5 Dark"/>
    <w:basedOn w:val="820"/>
    <w:uiPriority w:val="99"/>
    <w:qFormat/>
    <w:tblPr/>
  </w:style>
  <w:style w:type="table" w:styleId="906" w:customStyle="1">
    <w:name w:val="Grid Table 6 Colorful"/>
    <w:basedOn w:val="820"/>
    <w:uiPriority w:val="99"/>
    <w:qFormat/>
    <w:tblPr/>
  </w:style>
  <w:style w:type="table" w:styleId="907" w:customStyle="1">
    <w:name w:val="Grid Table 7 Colorful"/>
    <w:basedOn w:val="820"/>
    <w:uiPriority w:val="99"/>
    <w:qFormat/>
    <w:tblPr/>
  </w:style>
  <w:style w:type="table" w:styleId="908" w:customStyle="1">
    <w:name w:val="List Table 1 Light"/>
    <w:basedOn w:val="820"/>
    <w:uiPriority w:val="99"/>
    <w:qFormat/>
    <w:tblPr/>
  </w:style>
  <w:style w:type="table" w:styleId="909" w:customStyle="1">
    <w:name w:val="List Table 2"/>
    <w:basedOn w:val="820"/>
    <w:uiPriority w:val="99"/>
    <w:qFormat/>
    <w:tblPr/>
  </w:style>
  <w:style w:type="table" w:styleId="910" w:customStyle="1">
    <w:name w:val="List Table 3"/>
    <w:basedOn w:val="820"/>
    <w:uiPriority w:val="99"/>
    <w:qFormat/>
    <w:tblPr/>
  </w:style>
  <w:style w:type="table" w:styleId="911" w:customStyle="1">
    <w:name w:val="List Table 4"/>
    <w:basedOn w:val="820"/>
    <w:uiPriority w:val="99"/>
    <w:qFormat/>
    <w:tblPr/>
  </w:style>
  <w:style w:type="table" w:styleId="912" w:customStyle="1">
    <w:name w:val="List Table 5 Dark"/>
    <w:basedOn w:val="820"/>
    <w:uiPriority w:val="99"/>
    <w:qFormat/>
    <w:tblPr/>
  </w:style>
  <w:style w:type="table" w:styleId="913" w:customStyle="1">
    <w:name w:val="List Table 6 Colorful"/>
    <w:basedOn w:val="820"/>
    <w:uiPriority w:val="99"/>
    <w:qFormat/>
    <w:tblPr/>
  </w:style>
  <w:style w:type="table" w:styleId="914" w:customStyle="1">
    <w:name w:val="List Table 7 Colorful"/>
    <w:basedOn w:val="820"/>
    <w:uiPriority w:val="99"/>
    <w:qFormat/>
    <w:tblPr/>
  </w:style>
  <w:style w:type="paragraph" w:styleId="915" w:customStyle="1">
    <w:name w:val="TOC 标题1"/>
    <w:uiPriority w:val="39"/>
    <w:unhideWhenUsed/>
    <w:qFormat/>
    <w:rPr>
      <w:rFonts w:hint="default" w:ascii="Times New Roman" w:hAnsi="Times New Roman" w:eastAsia="宋体" w:cs="Times New Roman"/>
      <w:lang w:val="en-US" w:eastAsia="zh-CN" w:bidi="ar-SA"/>
    </w:rPr>
  </w:style>
  <w:style w:type="paragraph" w:styleId="916" w:customStyle="1">
    <w:name w:val="标题 21"/>
    <w:basedOn w:val="772"/>
    <w:next w:val="772"/>
    <w:uiPriority w:val="0"/>
    <w:qFormat/>
    <w:pPr>
      <w:numPr>
        <w:ilvl w:val="1"/>
        <w:numId w:val="3"/>
      </w:numPr>
      <w:keepLines/>
      <w:keepNext/>
      <w:spacing w:before="260" w:after="260" w:line="416" w:lineRule="auto"/>
      <w:outlineLvl w:val="1"/>
    </w:pPr>
    <w:rPr>
      <w:rFonts w:ascii="Arial" w:hAnsi="Arial" w:eastAsia="黑体"/>
      <w:b/>
      <w:bCs/>
      <w:sz w:val="32"/>
      <w:szCs w:val="32"/>
    </w:rPr>
  </w:style>
  <w:style w:type="character" w:styleId="917" w:customStyle="1">
    <w:name w:val="Heading 1 Char"/>
    <w:basedOn w:val="819"/>
    <w:link w:val="772"/>
    <w:uiPriority w:val="9"/>
    <w:qFormat/>
    <w:rPr>
      <w:rFonts w:ascii="Arial" w:hAnsi="Arial" w:eastAsia="Arial" w:cs="Arial"/>
      <w:sz w:val="40"/>
      <w:szCs w:val="40"/>
    </w:rPr>
  </w:style>
  <w:style w:type="character" w:styleId="918" w:customStyle="1">
    <w:name w:val="Heading 2 Char"/>
    <w:basedOn w:val="819"/>
    <w:link w:val="772"/>
    <w:uiPriority w:val="9"/>
    <w:qFormat/>
    <w:rPr>
      <w:rFonts w:ascii="Arial" w:hAnsi="Arial" w:eastAsia="Arial" w:cs="Arial"/>
      <w:sz w:val="34"/>
    </w:rPr>
  </w:style>
  <w:style w:type="character" w:styleId="919" w:customStyle="1">
    <w:name w:val="Heading 3 Char"/>
    <w:basedOn w:val="819"/>
    <w:link w:val="772"/>
    <w:uiPriority w:val="9"/>
    <w:qFormat/>
    <w:rPr>
      <w:rFonts w:ascii="Arial" w:hAnsi="Arial" w:eastAsia="Arial" w:cs="Arial"/>
      <w:sz w:val="30"/>
      <w:szCs w:val="30"/>
    </w:rPr>
  </w:style>
  <w:style w:type="character" w:styleId="920" w:customStyle="1">
    <w:name w:val="Heading 4 Char"/>
    <w:basedOn w:val="819"/>
    <w:link w:val="772"/>
    <w:uiPriority w:val="9"/>
    <w:qFormat/>
    <w:rPr>
      <w:rFonts w:ascii="Arial" w:hAnsi="Arial" w:eastAsia="Arial" w:cs="Arial"/>
      <w:b/>
      <w:bCs/>
      <w:sz w:val="26"/>
      <w:szCs w:val="26"/>
    </w:rPr>
  </w:style>
  <w:style w:type="character" w:styleId="921" w:customStyle="1">
    <w:name w:val="Heading 5 Char"/>
    <w:basedOn w:val="819"/>
    <w:link w:val="772"/>
    <w:uiPriority w:val="9"/>
    <w:qFormat/>
    <w:rPr>
      <w:rFonts w:ascii="Arial" w:hAnsi="Arial" w:eastAsia="Arial" w:cs="Arial"/>
      <w:b/>
      <w:bCs/>
      <w:sz w:val="24"/>
      <w:szCs w:val="24"/>
    </w:rPr>
  </w:style>
  <w:style w:type="character" w:styleId="922" w:customStyle="1">
    <w:name w:val="Heading 6 Char"/>
    <w:basedOn w:val="819"/>
    <w:link w:val="772"/>
    <w:uiPriority w:val="9"/>
    <w:qFormat/>
    <w:rPr>
      <w:rFonts w:ascii="Arial" w:hAnsi="Arial" w:eastAsia="Arial" w:cs="Arial"/>
      <w:b/>
      <w:bCs/>
      <w:sz w:val="22"/>
      <w:szCs w:val="22"/>
    </w:rPr>
  </w:style>
  <w:style w:type="character" w:styleId="923" w:customStyle="1">
    <w:name w:val="Heading 7 Char"/>
    <w:basedOn w:val="819"/>
    <w:link w:val="772"/>
    <w:uiPriority w:val="9"/>
    <w:qFormat/>
    <w:rPr>
      <w:rFonts w:ascii="Arial" w:hAnsi="Arial" w:eastAsia="Arial" w:cs="Arial"/>
      <w:b/>
      <w:bCs/>
      <w:i/>
      <w:iCs/>
      <w:sz w:val="22"/>
      <w:szCs w:val="22"/>
    </w:rPr>
  </w:style>
  <w:style w:type="character" w:styleId="924" w:customStyle="1">
    <w:name w:val="Heading 8 Char"/>
    <w:basedOn w:val="819"/>
    <w:link w:val="772"/>
    <w:uiPriority w:val="9"/>
    <w:qFormat/>
    <w:rPr>
      <w:rFonts w:ascii="Arial" w:hAnsi="Arial" w:eastAsia="Arial" w:cs="Arial"/>
      <w:i/>
      <w:iCs/>
      <w:sz w:val="22"/>
      <w:szCs w:val="22"/>
    </w:rPr>
  </w:style>
  <w:style w:type="character" w:styleId="925" w:customStyle="1">
    <w:name w:val="Heading 9 Char"/>
    <w:basedOn w:val="819"/>
    <w:link w:val="772"/>
    <w:uiPriority w:val="9"/>
    <w:qFormat/>
    <w:rPr>
      <w:rFonts w:ascii="Arial" w:hAnsi="Arial" w:eastAsia="Arial" w:cs="Arial"/>
      <w:i/>
      <w:iCs/>
      <w:sz w:val="21"/>
      <w:szCs w:val="21"/>
    </w:rPr>
  </w:style>
  <w:style w:type="character" w:styleId="926" w:customStyle="1">
    <w:name w:val="Title Char"/>
    <w:basedOn w:val="819"/>
    <w:link w:val="772"/>
    <w:uiPriority w:val="10"/>
    <w:qFormat/>
    <w:rPr>
      <w:sz w:val="48"/>
      <w:szCs w:val="48"/>
    </w:rPr>
  </w:style>
  <w:style w:type="character" w:styleId="927" w:customStyle="1">
    <w:name w:val="Subtitle Char"/>
    <w:basedOn w:val="819"/>
    <w:link w:val="772"/>
    <w:uiPriority w:val="11"/>
    <w:qFormat/>
    <w:rPr>
      <w:sz w:val="24"/>
      <w:szCs w:val="24"/>
    </w:rPr>
  </w:style>
  <w:style w:type="character" w:styleId="928" w:customStyle="1">
    <w:name w:val="Quote Char"/>
    <w:link w:val="772"/>
    <w:uiPriority w:val="29"/>
    <w:qFormat/>
    <w:rPr>
      <w:i/>
    </w:rPr>
  </w:style>
  <w:style w:type="character" w:styleId="929" w:customStyle="1">
    <w:name w:val="Intense Quote Char"/>
    <w:link w:val="772"/>
    <w:uiPriority w:val="30"/>
    <w:qFormat/>
    <w:rPr>
      <w:i/>
    </w:rPr>
  </w:style>
  <w:style w:type="character" w:styleId="930" w:customStyle="1">
    <w:name w:val="Header Char"/>
    <w:basedOn w:val="819"/>
    <w:link w:val="772"/>
    <w:uiPriority w:val="99"/>
    <w:qFormat/>
  </w:style>
  <w:style w:type="character" w:styleId="931" w:customStyle="1">
    <w:name w:val="Footer Char"/>
    <w:basedOn w:val="819"/>
    <w:link w:val="772"/>
    <w:uiPriority w:val="99"/>
    <w:qFormat/>
  </w:style>
  <w:style w:type="character" w:styleId="932" w:customStyle="1">
    <w:name w:val="Endnote Text Char"/>
    <w:link w:val="772"/>
    <w:uiPriority w:val="99"/>
    <w:qFormat/>
    <w:rPr>
      <w:sz w:val="20"/>
    </w:rPr>
  </w:style>
  <w:style w:type="paragraph" w:styleId="933" w:customStyle="1">
    <w:name w:val="TOC 标题111"/>
    <w:uiPriority w:val="39"/>
    <w:unhideWhenUsed/>
    <w:qFormat/>
    <w:rPr>
      <w:rFonts w:hint="default" w:ascii="Times New Roman" w:hAnsi="Times New Roman" w:eastAsia="宋体" w:cs="Times New Roman"/>
      <w:lang w:val="en-US" w:eastAsia="zh-CN" w:bidi="ar-SA"/>
    </w:rPr>
  </w:style>
  <w:style w:type="paragraph" w:styleId="934" w:customStyle="1">
    <w:name w:val="正文文本1"/>
    <w:basedOn w:val="772"/>
    <w:uiPriority w:val="0"/>
    <w:qFormat/>
    <w:rPr>
      <w:rFonts w:ascii="华文中宋" w:eastAsia="华文中宋"/>
      <w:bCs/>
      <w:sz w:val="28"/>
    </w:rPr>
  </w:style>
  <w:style w:type="paragraph" w:styleId="935" w:customStyle="1">
    <w:name w:val="标题 11"/>
    <w:basedOn w:val="772"/>
    <w:next w:val="772"/>
    <w:link w:val="936"/>
    <w:uiPriority w:val="9"/>
    <w:qFormat/>
    <w:pPr>
      <w:keepLines/>
      <w:keepNext/>
      <w:spacing w:before="480" w:after="200"/>
      <w:outlineLvl w:val="0"/>
    </w:pPr>
    <w:rPr>
      <w:rFonts w:ascii="Arial" w:hAnsi="Arial" w:eastAsia="Arial"/>
      <w:sz w:val="40"/>
      <w:szCs w:val="40"/>
    </w:rPr>
  </w:style>
  <w:style w:type="character" w:styleId="936" w:customStyle="1">
    <w:name w:val="Heading 1 Char_0d9d6434-8aef-434f-b4cf-07c27d364c24"/>
    <w:link w:val="935"/>
    <w:uiPriority w:val="9"/>
    <w:qFormat/>
    <w:rPr>
      <w:rFonts w:ascii="Arial" w:hAnsi="Arial" w:eastAsia="Arial" w:cs="Arial"/>
      <w:sz w:val="40"/>
      <w:szCs w:val="40"/>
    </w:rPr>
  </w:style>
  <w:style w:type="paragraph" w:styleId="937" w:customStyle="1">
    <w:name w:val="标题 22"/>
    <w:basedOn w:val="772"/>
    <w:next w:val="772"/>
    <w:link w:val="938"/>
    <w:uiPriority w:val="9"/>
    <w:qFormat/>
    <w:pPr>
      <w:keepLines/>
      <w:keepNext/>
      <w:spacing w:before="360" w:after="200"/>
      <w:outlineLvl w:val="1"/>
    </w:pPr>
    <w:rPr>
      <w:rFonts w:ascii="Arial" w:hAnsi="Arial" w:eastAsia="Arial"/>
      <w:sz w:val="34"/>
    </w:rPr>
  </w:style>
  <w:style w:type="character" w:styleId="938" w:customStyle="1">
    <w:name w:val="Heading 2 Char_23f81bc3-ec57-4402-8e13-eaba3a985afa"/>
    <w:link w:val="937"/>
    <w:uiPriority w:val="9"/>
    <w:qFormat/>
    <w:rPr>
      <w:rFonts w:ascii="Arial" w:hAnsi="Arial" w:eastAsia="Arial" w:cs="Arial"/>
      <w:sz w:val="34"/>
    </w:rPr>
  </w:style>
  <w:style w:type="paragraph" w:styleId="939" w:customStyle="1">
    <w:name w:val="标题 31"/>
    <w:basedOn w:val="772"/>
    <w:next w:val="772"/>
    <w:link w:val="940"/>
    <w:uiPriority w:val="9"/>
    <w:qFormat/>
    <w:pPr>
      <w:keepLines/>
      <w:keepNext/>
      <w:spacing w:before="320" w:after="200"/>
      <w:outlineLvl w:val="2"/>
    </w:pPr>
    <w:rPr>
      <w:rFonts w:ascii="Arial" w:hAnsi="Arial" w:eastAsia="Arial"/>
      <w:sz w:val="30"/>
      <w:szCs w:val="30"/>
    </w:rPr>
  </w:style>
  <w:style w:type="character" w:styleId="940" w:customStyle="1">
    <w:name w:val="Heading 3 Char_a972020d-e2de-423e-8ccf-32b62e9782f5"/>
    <w:link w:val="939"/>
    <w:uiPriority w:val="9"/>
    <w:qFormat/>
    <w:rPr>
      <w:rFonts w:ascii="Arial" w:hAnsi="Arial" w:eastAsia="Arial" w:cs="Arial"/>
      <w:sz w:val="30"/>
      <w:szCs w:val="30"/>
    </w:rPr>
  </w:style>
  <w:style w:type="paragraph" w:styleId="941" w:customStyle="1">
    <w:name w:val="标题 51"/>
    <w:basedOn w:val="772"/>
    <w:next w:val="772"/>
    <w:link w:val="942"/>
    <w:uiPriority w:val="9"/>
    <w:qFormat/>
    <w:pPr>
      <w:keepLines/>
      <w:keepNext/>
      <w:spacing w:before="320" w:after="200"/>
      <w:outlineLvl w:val="4"/>
    </w:pPr>
    <w:rPr>
      <w:rFonts w:ascii="Arial" w:hAnsi="Arial" w:eastAsia="Arial"/>
      <w:b/>
      <w:bCs/>
      <w:sz w:val="24"/>
      <w:szCs w:val="24"/>
    </w:rPr>
  </w:style>
  <w:style w:type="character" w:styleId="942" w:customStyle="1">
    <w:name w:val="Heading 5 Char_f1483993-90ab-4a83-891e-aa61b1a8567c"/>
    <w:link w:val="941"/>
    <w:uiPriority w:val="9"/>
    <w:qFormat/>
    <w:rPr>
      <w:rFonts w:ascii="Arial" w:hAnsi="Arial" w:eastAsia="Arial" w:cs="Arial"/>
      <w:b/>
      <w:bCs/>
      <w:sz w:val="24"/>
      <w:szCs w:val="24"/>
    </w:rPr>
  </w:style>
  <w:style w:type="paragraph" w:styleId="943" w:customStyle="1">
    <w:name w:val="标题 61"/>
    <w:basedOn w:val="772"/>
    <w:next w:val="772"/>
    <w:link w:val="944"/>
    <w:uiPriority w:val="9"/>
    <w:qFormat/>
    <w:pPr>
      <w:keepLines/>
      <w:keepNext/>
      <w:spacing w:before="320" w:after="200"/>
      <w:outlineLvl w:val="5"/>
    </w:pPr>
    <w:rPr>
      <w:rFonts w:ascii="Arial" w:hAnsi="Arial" w:eastAsia="Arial"/>
      <w:b/>
      <w:bCs/>
      <w:sz w:val="22"/>
      <w:szCs w:val="22"/>
    </w:rPr>
  </w:style>
  <w:style w:type="character" w:styleId="944" w:customStyle="1">
    <w:name w:val="Heading 6 Char_95307583-6a43-4f74-9f95-be30b6ad72b6"/>
    <w:link w:val="943"/>
    <w:uiPriority w:val="9"/>
    <w:qFormat/>
    <w:rPr>
      <w:rFonts w:ascii="Arial" w:hAnsi="Arial" w:eastAsia="Arial" w:cs="Arial"/>
      <w:b/>
      <w:bCs/>
      <w:sz w:val="22"/>
      <w:szCs w:val="22"/>
    </w:rPr>
  </w:style>
  <w:style w:type="paragraph" w:styleId="945" w:customStyle="1">
    <w:name w:val="标题 71"/>
    <w:basedOn w:val="772"/>
    <w:next w:val="772"/>
    <w:link w:val="946"/>
    <w:uiPriority w:val="9"/>
    <w:qFormat/>
    <w:pPr>
      <w:keepLines/>
      <w:keepNext/>
      <w:spacing w:before="320" w:after="200"/>
      <w:outlineLvl w:val="6"/>
    </w:pPr>
    <w:rPr>
      <w:rFonts w:ascii="Arial" w:hAnsi="Arial" w:eastAsia="Arial"/>
      <w:b/>
      <w:bCs/>
      <w:i/>
      <w:iCs/>
      <w:sz w:val="22"/>
      <w:szCs w:val="22"/>
    </w:rPr>
  </w:style>
  <w:style w:type="character" w:styleId="946" w:customStyle="1">
    <w:name w:val="Heading 7 Char_f24e9cd0-472e-495e-8828-91abe7bea686"/>
    <w:link w:val="945"/>
    <w:uiPriority w:val="9"/>
    <w:qFormat/>
    <w:rPr>
      <w:rFonts w:ascii="Arial" w:hAnsi="Arial" w:eastAsia="Arial" w:cs="Arial"/>
      <w:b/>
      <w:bCs/>
      <w:i/>
      <w:iCs/>
      <w:sz w:val="22"/>
      <w:szCs w:val="22"/>
    </w:rPr>
  </w:style>
  <w:style w:type="paragraph" w:styleId="947" w:customStyle="1">
    <w:name w:val="标题 81"/>
    <w:basedOn w:val="772"/>
    <w:next w:val="772"/>
    <w:link w:val="948"/>
    <w:uiPriority w:val="9"/>
    <w:qFormat/>
    <w:pPr>
      <w:keepLines/>
      <w:keepNext/>
      <w:spacing w:before="320" w:after="200"/>
      <w:outlineLvl w:val="7"/>
    </w:pPr>
    <w:rPr>
      <w:rFonts w:ascii="Arial" w:hAnsi="Arial" w:eastAsia="Arial"/>
      <w:i/>
      <w:iCs/>
      <w:sz w:val="22"/>
      <w:szCs w:val="22"/>
    </w:rPr>
  </w:style>
  <w:style w:type="character" w:styleId="948" w:customStyle="1">
    <w:name w:val="Heading 8 Char_949354d7-fea5-452e-b32d-28b774b8e361"/>
    <w:link w:val="947"/>
    <w:uiPriority w:val="9"/>
    <w:qFormat/>
    <w:rPr>
      <w:rFonts w:ascii="Arial" w:hAnsi="Arial" w:eastAsia="Arial" w:cs="Arial"/>
      <w:i/>
      <w:iCs/>
      <w:sz w:val="22"/>
      <w:szCs w:val="22"/>
    </w:rPr>
  </w:style>
  <w:style w:type="paragraph" w:styleId="949" w:customStyle="1">
    <w:name w:val="标题 91"/>
    <w:basedOn w:val="772"/>
    <w:next w:val="772"/>
    <w:link w:val="950"/>
    <w:uiPriority w:val="9"/>
    <w:qFormat/>
    <w:pPr>
      <w:keepLines/>
      <w:keepNext/>
      <w:spacing w:before="320" w:after="200"/>
      <w:outlineLvl w:val="8"/>
    </w:pPr>
    <w:rPr>
      <w:rFonts w:ascii="Arial" w:hAnsi="Arial" w:eastAsia="Arial"/>
      <w:i/>
      <w:iCs/>
      <w:szCs w:val="21"/>
    </w:rPr>
  </w:style>
  <w:style w:type="character" w:styleId="950" w:customStyle="1">
    <w:name w:val="Heading 9 Char_334f07fe-e714-48c5-92e4-af04d7a4d58e"/>
    <w:link w:val="949"/>
    <w:uiPriority w:val="9"/>
    <w:qFormat/>
    <w:rPr>
      <w:rFonts w:ascii="Arial" w:hAnsi="Arial" w:eastAsia="Arial" w:cs="Arial"/>
      <w:i/>
      <w:iCs/>
      <w:sz w:val="21"/>
      <w:szCs w:val="21"/>
    </w:rPr>
  </w:style>
  <w:style w:type="paragraph" w:styleId="951" w:customStyle="1">
    <w:name w:val="无间隔"/>
    <w:uiPriority w:val="1"/>
    <w:qFormat/>
    <w:rPr>
      <w:rFonts w:hint="default" w:ascii="Times New Roman" w:hAnsi="Times New Roman" w:eastAsia="宋体" w:cs="Times New Roman"/>
      <w:lang w:val="en-US" w:eastAsia="zh-CN" w:bidi="ar-SA"/>
    </w:rPr>
  </w:style>
  <w:style w:type="paragraph" w:styleId="952" w:customStyle="1">
    <w:name w:val="引用"/>
    <w:basedOn w:val="772"/>
    <w:next w:val="772"/>
    <w:link w:val="953"/>
    <w:uiPriority w:val="29"/>
    <w:qFormat/>
    <w:pPr>
      <w:ind w:left="720" w:right="720"/>
    </w:pPr>
    <w:rPr>
      <w:i/>
      <w:sz w:val="20"/>
    </w:rPr>
  </w:style>
  <w:style w:type="character" w:styleId="953" w:customStyle="1">
    <w:name w:val="引用 Char"/>
    <w:link w:val="952"/>
    <w:uiPriority w:val="29"/>
    <w:qFormat/>
    <w:rPr>
      <w:i/>
    </w:rPr>
  </w:style>
  <w:style w:type="paragraph" w:styleId="954" w:customStyle="1">
    <w:name w:val="明显引用"/>
    <w:basedOn w:val="772"/>
    <w:next w:val="772"/>
    <w:link w:val="9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955" w:customStyle="1">
    <w:name w:val="明显引用 Char"/>
    <w:link w:val="954"/>
    <w:uiPriority w:val="30"/>
    <w:qFormat/>
    <w:rPr>
      <w:i/>
    </w:rPr>
  </w:style>
  <w:style w:type="paragraph" w:styleId="956" w:customStyle="1">
    <w:name w:val="页眉1"/>
    <w:basedOn w:val="772"/>
    <w:link w:val="957"/>
    <w:uiPriority w:val="99"/>
    <w:qFormat/>
    <w:pPr>
      <w:tabs>
        <w:tab w:val="center" w:pos="7143" w:leader="none"/>
        <w:tab w:val="right" w:pos="14287" w:leader="none"/>
      </w:tabs>
    </w:pPr>
  </w:style>
  <w:style w:type="character" w:styleId="957" w:customStyle="1">
    <w:name w:val="Header Char_0b364515-3a76-4734-91ae-7a75fdd67d1d"/>
    <w:link w:val="956"/>
    <w:uiPriority w:val="99"/>
    <w:qFormat/>
  </w:style>
  <w:style w:type="paragraph" w:styleId="958" w:customStyle="1">
    <w:name w:val="页脚1"/>
    <w:basedOn w:val="772"/>
    <w:link w:val="959"/>
    <w:uiPriority w:val="99"/>
    <w:qFormat/>
    <w:pPr>
      <w:tabs>
        <w:tab w:val="center" w:pos="7143" w:leader="none"/>
        <w:tab w:val="right" w:pos="14287" w:leader="none"/>
      </w:tabs>
    </w:pPr>
  </w:style>
  <w:style w:type="character" w:styleId="959" w:customStyle="1">
    <w:name w:val="Caption Char"/>
    <w:link w:val="958"/>
    <w:uiPriority w:val="99"/>
    <w:qFormat/>
  </w:style>
  <w:style w:type="character" w:styleId="960" w:customStyle="1">
    <w:name w:val="Footer Char_7e8afb0f-436d-41ae-8f0b-04c613e42983"/>
    <w:link w:val="772"/>
    <w:uiPriority w:val="99"/>
    <w:qFormat/>
  </w:style>
  <w:style w:type="paragraph" w:styleId="961" w:customStyle="1">
    <w:name w:val="题注1"/>
    <w:basedOn w:val="772"/>
    <w:next w:val="772"/>
    <w:uiPriority w:val="35"/>
    <w:qFormat/>
    <w:pPr>
      <w:spacing w:line="276" w:lineRule="auto"/>
    </w:pPr>
    <w:rPr>
      <w:b/>
      <w:bCs/>
      <w:color w:val="4f81bd"/>
      <w:sz w:val="18"/>
      <w:szCs w:val="18"/>
    </w:rPr>
  </w:style>
  <w:style w:type="table" w:styleId="962" w:customStyle="1">
    <w:name w:val="Table Grid Light"/>
    <w:uiPriority w:val="59"/>
    <w:qFormat/>
    <w:rPr>
      <w:lang w:val="en-US" w:eastAsia="zh-CN" w:bidi="ar-SA"/>
    </w:rPr>
    <w:tblPr/>
  </w:style>
  <w:style w:type="table" w:styleId="963" w:customStyle="1">
    <w:name w:val="无格式表格 11"/>
    <w:uiPriority w:val="59"/>
    <w:qFormat/>
    <w:rPr>
      <w:lang w:val="en-US" w:eastAsia="zh-CN" w:bidi="ar-SA"/>
    </w:rPr>
    <w:tblPr/>
  </w:style>
  <w:style w:type="table" w:styleId="964" w:customStyle="1">
    <w:name w:val="无格式表格 21"/>
    <w:uiPriority w:val="59"/>
    <w:qFormat/>
    <w:rPr>
      <w:lang w:val="en-US" w:eastAsia="zh-CN" w:bidi="ar-SA"/>
    </w:rPr>
    <w:tblPr/>
  </w:style>
  <w:style w:type="table" w:styleId="965" w:customStyle="1">
    <w:name w:val="无格式表格 31"/>
    <w:uiPriority w:val="99"/>
    <w:qFormat/>
    <w:rPr>
      <w:lang w:val="en-US" w:eastAsia="zh-CN" w:bidi="ar-SA"/>
    </w:rPr>
    <w:tblPr/>
  </w:style>
  <w:style w:type="table" w:styleId="966" w:customStyle="1">
    <w:name w:val="无格式表格 41"/>
    <w:uiPriority w:val="99"/>
    <w:qFormat/>
    <w:rPr>
      <w:lang w:val="en-US" w:eastAsia="zh-CN" w:bidi="ar-SA"/>
    </w:rPr>
    <w:tblPr/>
  </w:style>
  <w:style w:type="table" w:styleId="967" w:customStyle="1">
    <w:name w:val="无格式表格 51"/>
    <w:uiPriority w:val="99"/>
    <w:qFormat/>
    <w:rPr>
      <w:lang w:val="en-US" w:eastAsia="zh-CN" w:bidi="ar-SA"/>
    </w:rPr>
    <w:tblPr/>
  </w:style>
  <w:style w:type="table" w:styleId="968" w:customStyle="1">
    <w:name w:val="网格表 1 浅色1"/>
    <w:uiPriority w:val="99"/>
    <w:qFormat/>
    <w:rPr>
      <w:lang w:val="en-US" w:eastAsia="zh-CN" w:bidi="ar-SA"/>
    </w:rPr>
    <w:tblPr/>
  </w:style>
  <w:style w:type="table" w:styleId="969" w:customStyle="1">
    <w:name w:val="Grid Table 1 Light - Accent 1"/>
    <w:uiPriority w:val="99"/>
    <w:qFormat/>
    <w:rPr>
      <w:lang w:val="en-US" w:eastAsia="zh-CN" w:bidi="ar-SA"/>
    </w:rPr>
    <w:tblPr/>
  </w:style>
  <w:style w:type="table" w:styleId="970" w:customStyle="1">
    <w:name w:val="Grid Table 1 Light - Accent 2"/>
    <w:uiPriority w:val="99"/>
    <w:qFormat/>
    <w:rPr>
      <w:lang w:val="en-US" w:eastAsia="zh-CN" w:bidi="ar-SA"/>
    </w:rPr>
    <w:tblPr/>
  </w:style>
  <w:style w:type="table" w:styleId="971" w:customStyle="1">
    <w:name w:val="Grid Table 1 Light - Accent 3"/>
    <w:uiPriority w:val="99"/>
    <w:qFormat/>
    <w:rPr>
      <w:lang w:val="en-US" w:eastAsia="zh-CN" w:bidi="ar-SA"/>
    </w:rPr>
    <w:tblPr/>
  </w:style>
  <w:style w:type="table" w:styleId="972" w:customStyle="1">
    <w:name w:val="Grid Table 1 Light - Accent 4"/>
    <w:uiPriority w:val="99"/>
    <w:qFormat/>
    <w:rPr>
      <w:lang w:val="en-US" w:eastAsia="zh-CN" w:bidi="ar-SA"/>
    </w:rPr>
    <w:tblPr/>
  </w:style>
  <w:style w:type="table" w:styleId="973" w:customStyle="1">
    <w:name w:val="Grid Table 1 Light - Accent 5"/>
    <w:uiPriority w:val="99"/>
    <w:qFormat/>
    <w:rPr>
      <w:lang w:val="en-US" w:eastAsia="zh-CN" w:bidi="ar-SA"/>
    </w:rPr>
    <w:tblPr/>
  </w:style>
  <w:style w:type="table" w:styleId="974" w:customStyle="1">
    <w:name w:val="Grid Table 1 Light - Accent 6"/>
    <w:uiPriority w:val="99"/>
    <w:qFormat/>
    <w:rPr>
      <w:lang w:val="en-US" w:eastAsia="zh-CN" w:bidi="ar-SA"/>
    </w:rPr>
    <w:tblPr/>
  </w:style>
  <w:style w:type="table" w:styleId="975" w:customStyle="1">
    <w:name w:val="网格表 21"/>
    <w:uiPriority w:val="99"/>
    <w:qFormat/>
    <w:rPr>
      <w:lang w:val="en-US" w:eastAsia="zh-CN" w:bidi="ar-SA"/>
    </w:rPr>
    <w:tblPr/>
  </w:style>
  <w:style w:type="table" w:styleId="976" w:customStyle="1">
    <w:name w:val="Grid Table 2 - Accent 1"/>
    <w:uiPriority w:val="99"/>
    <w:qFormat/>
    <w:rPr>
      <w:lang w:val="en-US" w:eastAsia="zh-CN" w:bidi="ar-SA"/>
    </w:rPr>
    <w:tblPr/>
  </w:style>
  <w:style w:type="table" w:styleId="977" w:customStyle="1">
    <w:name w:val="Grid Table 2 - Accent 2"/>
    <w:uiPriority w:val="99"/>
    <w:qFormat/>
    <w:rPr>
      <w:lang w:val="en-US" w:eastAsia="zh-CN" w:bidi="ar-SA"/>
    </w:rPr>
    <w:tblPr/>
  </w:style>
  <w:style w:type="table" w:styleId="978" w:customStyle="1">
    <w:name w:val="Grid Table 2 - Accent 3"/>
    <w:uiPriority w:val="99"/>
    <w:qFormat/>
    <w:rPr>
      <w:lang w:val="en-US" w:eastAsia="zh-CN" w:bidi="ar-SA"/>
    </w:rPr>
    <w:tblPr/>
  </w:style>
  <w:style w:type="table" w:styleId="979" w:customStyle="1">
    <w:name w:val="Grid Table 2 - Accent 4"/>
    <w:uiPriority w:val="99"/>
    <w:qFormat/>
    <w:rPr>
      <w:lang w:val="en-US" w:eastAsia="zh-CN" w:bidi="ar-SA"/>
    </w:rPr>
    <w:tblPr/>
  </w:style>
  <w:style w:type="table" w:styleId="980" w:customStyle="1">
    <w:name w:val="Grid Table 2 - Accent 5"/>
    <w:uiPriority w:val="99"/>
    <w:qFormat/>
    <w:rPr>
      <w:lang w:val="en-US" w:eastAsia="zh-CN" w:bidi="ar-SA"/>
    </w:rPr>
    <w:tblPr/>
  </w:style>
  <w:style w:type="table" w:styleId="981" w:customStyle="1">
    <w:name w:val="Grid Table 2 - Accent 6"/>
    <w:uiPriority w:val="99"/>
    <w:qFormat/>
    <w:rPr>
      <w:lang w:val="en-US" w:eastAsia="zh-CN" w:bidi="ar-SA"/>
    </w:rPr>
    <w:tblPr/>
  </w:style>
  <w:style w:type="table" w:styleId="982" w:customStyle="1">
    <w:name w:val="网格表 31"/>
    <w:uiPriority w:val="99"/>
    <w:qFormat/>
    <w:rPr>
      <w:lang w:val="en-US" w:eastAsia="zh-CN" w:bidi="ar-SA"/>
    </w:rPr>
    <w:tblPr/>
  </w:style>
  <w:style w:type="table" w:styleId="983" w:customStyle="1">
    <w:name w:val="Grid Table 3 - Accent 1"/>
    <w:uiPriority w:val="99"/>
    <w:qFormat/>
    <w:rPr>
      <w:lang w:val="en-US" w:eastAsia="zh-CN" w:bidi="ar-SA"/>
    </w:rPr>
    <w:tblPr/>
  </w:style>
  <w:style w:type="table" w:styleId="984" w:customStyle="1">
    <w:name w:val="Grid Table 3 - Accent 2"/>
    <w:uiPriority w:val="99"/>
    <w:qFormat/>
    <w:rPr>
      <w:lang w:val="en-US" w:eastAsia="zh-CN" w:bidi="ar-SA"/>
    </w:rPr>
    <w:tblPr/>
  </w:style>
  <w:style w:type="table" w:styleId="985" w:customStyle="1">
    <w:name w:val="Grid Table 3 - Accent 3"/>
    <w:uiPriority w:val="99"/>
    <w:qFormat/>
    <w:rPr>
      <w:lang w:val="en-US" w:eastAsia="zh-CN" w:bidi="ar-SA"/>
    </w:rPr>
    <w:tblPr/>
  </w:style>
  <w:style w:type="table" w:styleId="986" w:customStyle="1">
    <w:name w:val="Grid Table 3 - Accent 4"/>
    <w:uiPriority w:val="99"/>
    <w:qFormat/>
    <w:rPr>
      <w:lang w:val="en-US" w:eastAsia="zh-CN" w:bidi="ar-SA"/>
    </w:rPr>
    <w:tblPr/>
  </w:style>
  <w:style w:type="table" w:styleId="987" w:customStyle="1">
    <w:name w:val="Grid Table 3 - Accent 5"/>
    <w:uiPriority w:val="99"/>
    <w:qFormat/>
    <w:rPr>
      <w:lang w:val="en-US" w:eastAsia="zh-CN" w:bidi="ar-SA"/>
    </w:rPr>
    <w:tblPr/>
  </w:style>
  <w:style w:type="table" w:styleId="988" w:customStyle="1">
    <w:name w:val="Grid Table 3 - Accent 6"/>
    <w:uiPriority w:val="99"/>
    <w:qFormat/>
    <w:rPr>
      <w:lang w:val="en-US" w:eastAsia="zh-CN" w:bidi="ar-SA"/>
    </w:rPr>
    <w:tblPr/>
  </w:style>
  <w:style w:type="table" w:styleId="989" w:customStyle="1">
    <w:name w:val="网格表 41"/>
    <w:uiPriority w:val="59"/>
    <w:qFormat/>
    <w:rPr>
      <w:lang w:val="en-US" w:eastAsia="zh-CN" w:bidi="ar-SA"/>
    </w:rPr>
    <w:tblPr/>
  </w:style>
  <w:style w:type="table" w:styleId="990" w:customStyle="1">
    <w:name w:val="Grid Table 4 - Accent 1"/>
    <w:uiPriority w:val="59"/>
    <w:qFormat/>
    <w:rPr>
      <w:lang w:val="en-US" w:eastAsia="zh-CN" w:bidi="ar-SA"/>
    </w:rPr>
    <w:tblPr/>
  </w:style>
  <w:style w:type="table" w:styleId="991" w:customStyle="1">
    <w:name w:val="Grid Table 4 - Accent 2"/>
    <w:uiPriority w:val="59"/>
    <w:qFormat/>
    <w:rPr>
      <w:lang w:val="en-US" w:eastAsia="zh-CN" w:bidi="ar-SA"/>
    </w:rPr>
    <w:tblPr/>
  </w:style>
  <w:style w:type="table" w:styleId="992" w:customStyle="1">
    <w:name w:val="Grid Table 4 - Accent 3"/>
    <w:uiPriority w:val="59"/>
    <w:qFormat/>
    <w:rPr>
      <w:lang w:val="en-US" w:eastAsia="zh-CN" w:bidi="ar-SA"/>
    </w:rPr>
    <w:tblPr/>
  </w:style>
  <w:style w:type="table" w:styleId="993" w:customStyle="1">
    <w:name w:val="Grid Table 4 - Accent 4"/>
    <w:uiPriority w:val="59"/>
    <w:qFormat/>
    <w:rPr>
      <w:lang w:val="en-US" w:eastAsia="zh-CN" w:bidi="ar-SA"/>
    </w:rPr>
    <w:tblPr/>
  </w:style>
  <w:style w:type="table" w:styleId="994" w:customStyle="1">
    <w:name w:val="Grid Table 4 - Accent 5"/>
    <w:uiPriority w:val="59"/>
    <w:qFormat/>
    <w:rPr>
      <w:lang w:val="en-US" w:eastAsia="zh-CN" w:bidi="ar-SA"/>
    </w:rPr>
    <w:tblPr/>
  </w:style>
  <w:style w:type="table" w:styleId="995" w:customStyle="1">
    <w:name w:val="Grid Table 4 - Accent 6"/>
    <w:uiPriority w:val="59"/>
    <w:qFormat/>
    <w:rPr>
      <w:lang w:val="en-US" w:eastAsia="zh-CN" w:bidi="ar-SA"/>
    </w:rPr>
    <w:tblPr/>
  </w:style>
  <w:style w:type="table" w:styleId="996" w:customStyle="1">
    <w:name w:val="网格表 5 深色1"/>
    <w:uiPriority w:val="99"/>
    <w:qFormat/>
    <w:rPr>
      <w:lang w:val="en-US" w:eastAsia="zh-CN" w:bidi="ar-SA"/>
    </w:rPr>
    <w:tblPr/>
  </w:style>
  <w:style w:type="table" w:styleId="997" w:customStyle="1">
    <w:name w:val="Grid Table 5 Dark- Accent 1"/>
    <w:uiPriority w:val="99"/>
    <w:qFormat/>
    <w:rPr>
      <w:lang w:val="en-US" w:eastAsia="zh-CN" w:bidi="ar-SA"/>
    </w:rPr>
    <w:tblPr/>
  </w:style>
  <w:style w:type="table" w:styleId="998" w:customStyle="1">
    <w:name w:val="Grid Table 5 Dark - Accent 2"/>
    <w:uiPriority w:val="99"/>
    <w:qFormat/>
    <w:rPr>
      <w:lang w:val="en-US" w:eastAsia="zh-CN" w:bidi="ar-SA"/>
    </w:rPr>
    <w:tblPr/>
  </w:style>
  <w:style w:type="table" w:styleId="999" w:customStyle="1">
    <w:name w:val="Grid Table 5 Dark - Accent 3"/>
    <w:uiPriority w:val="99"/>
    <w:qFormat/>
    <w:rPr>
      <w:lang w:val="en-US" w:eastAsia="zh-CN" w:bidi="ar-SA"/>
    </w:rPr>
    <w:tblPr/>
  </w:style>
  <w:style w:type="table" w:styleId="1000" w:customStyle="1">
    <w:name w:val="Grid Table 5 Dark- Accent 4"/>
    <w:uiPriority w:val="99"/>
    <w:qFormat/>
    <w:rPr>
      <w:lang w:val="en-US" w:eastAsia="zh-CN" w:bidi="ar-SA"/>
    </w:rPr>
    <w:tblPr/>
  </w:style>
  <w:style w:type="table" w:styleId="1001" w:customStyle="1">
    <w:name w:val="Grid Table 5 Dark - Accent 5"/>
    <w:uiPriority w:val="99"/>
    <w:qFormat/>
    <w:rPr>
      <w:lang w:val="en-US" w:eastAsia="zh-CN" w:bidi="ar-SA"/>
    </w:rPr>
    <w:tblPr/>
  </w:style>
  <w:style w:type="table" w:styleId="1002" w:customStyle="1">
    <w:name w:val="Grid Table 5 Dark - Accent 6"/>
    <w:uiPriority w:val="99"/>
    <w:qFormat/>
    <w:rPr>
      <w:lang w:val="en-US" w:eastAsia="zh-CN" w:bidi="ar-SA"/>
    </w:rPr>
    <w:tblPr/>
  </w:style>
  <w:style w:type="table" w:styleId="1003" w:customStyle="1">
    <w:name w:val="网格表 6 彩色1"/>
    <w:uiPriority w:val="99"/>
    <w:qFormat/>
    <w:rPr>
      <w:lang w:val="en-US" w:eastAsia="zh-CN" w:bidi="ar-SA"/>
    </w:rPr>
    <w:tblPr/>
  </w:style>
  <w:style w:type="table" w:styleId="1004" w:customStyle="1">
    <w:name w:val="Grid Table 6 Colorful - Accent 1"/>
    <w:uiPriority w:val="99"/>
    <w:qFormat/>
    <w:rPr>
      <w:lang w:val="en-US" w:eastAsia="zh-CN" w:bidi="ar-SA"/>
    </w:rPr>
    <w:tblPr/>
  </w:style>
  <w:style w:type="table" w:styleId="1005" w:customStyle="1">
    <w:name w:val="Grid Table 6 Colorful - Accent 2"/>
    <w:uiPriority w:val="99"/>
    <w:qFormat/>
    <w:rPr>
      <w:lang w:val="en-US" w:eastAsia="zh-CN" w:bidi="ar-SA"/>
    </w:rPr>
    <w:tblPr/>
  </w:style>
  <w:style w:type="table" w:styleId="1006" w:customStyle="1">
    <w:name w:val="Grid Table 6 Colorful - Accent 3"/>
    <w:uiPriority w:val="99"/>
    <w:qFormat/>
    <w:rPr>
      <w:lang w:val="en-US" w:eastAsia="zh-CN" w:bidi="ar-SA"/>
    </w:rPr>
    <w:tblPr/>
  </w:style>
  <w:style w:type="table" w:styleId="1007" w:customStyle="1">
    <w:name w:val="Grid Table 6 Colorful - Accent 4"/>
    <w:uiPriority w:val="99"/>
    <w:qFormat/>
    <w:rPr>
      <w:lang w:val="en-US" w:eastAsia="zh-CN" w:bidi="ar-SA"/>
    </w:rPr>
    <w:tblPr/>
  </w:style>
  <w:style w:type="table" w:styleId="1008" w:customStyle="1">
    <w:name w:val="Grid Table 6 Colorful - Accent 5"/>
    <w:uiPriority w:val="99"/>
    <w:qFormat/>
    <w:rPr>
      <w:lang w:val="en-US" w:eastAsia="zh-CN" w:bidi="ar-SA"/>
    </w:rPr>
    <w:tblPr/>
  </w:style>
  <w:style w:type="table" w:styleId="1009" w:customStyle="1">
    <w:name w:val="Grid Table 6 Colorful - Accent 6"/>
    <w:uiPriority w:val="99"/>
    <w:qFormat/>
    <w:rPr>
      <w:lang w:val="en-US" w:eastAsia="zh-CN" w:bidi="ar-SA"/>
    </w:rPr>
    <w:tblPr/>
  </w:style>
  <w:style w:type="table" w:styleId="1010" w:customStyle="1">
    <w:name w:val="网格表 7 彩色1"/>
    <w:uiPriority w:val="99"/>
    <w:qFormat/>
    <w:rPr>
      <w:lang w:val="en-US" w:eastAsia="zh-CN" w:bidi="ar-SA"/>
    </w:rPr>
    <w:tblPr/>
  </w:style>
  <w:style w:type="table" w:styleId="1011" w:customStyle="1">
    <w:name w:val="Grid Table 7 Colorful - Accent 1"/>
    <w:uiPriority w:val="99"/>
    <w:qFormat/>
    <w:rPr>
      <w:lang w:val="en-US" w:eastAsia="zh-CN" w:bidi="ar-SA"/>
    </w:rPr>
    <w:tblPr/>
  </w:style>
  <w:style w:type="table" w:styleId="1012" w:customStyle="1">
    <w:name w:val="Grid Table 7 Colorful - Accent 2"/>
    <w:uiPriority w:val="99"/>
    <w:qFormat/>
    <w:rPr>
      <w:lang w:val="en-US" w:eastAsia="zh-CN" w:bidi="ar-SA"/>
    </w:rPr>
    <w:tblPr/>
  </w:style>
  <w:style w:type="table" w:styleId="1013" w:customStyle="1">
    <w:name w:val="Grid Table 7 Colorful - Accent 3"/>
    <w:uiPriority w:val="99"/>
    <w:qFormat/>
    <w:rPr>
      <w:lang w:val="en-US" w:eastAsia="zh-CN" w:bidi="ar-SA"/>
    </w:rPr>
    <w:tblPr/>
  </w:style>
  <w:style w:type="table" w:styleId="1014" w:customStyle="1">
    <w:name w:val="Grid Table 7 Colorful - Accent 4"/>
    <w:uiPriority w:val="99"/>
    <w:qFormat/>
    <w:rPr>
      <w:lang w:val="en-US" w:eastAsia="zh-CN" w:bidi="ar-SA"/>
    </w:rPr>
    <w:tblPr/>
  </w:style>
  <w:style w:type="table" w:styleId="1015" w:customStyle="1">
    <w:name w:val="Grid Table 7 Colorful - Accent 5"/>
    <w:uiPriority w:val="99"/>
    <w:qFormat/>
    <w:rPr>
      <w:lang w:val="en-US" w:eastAsia="zh-CN" w:bidi="ar-SA"/>
    </w:rPr>
    <w:tblPr/>
  </w:style>
  <w:style w:type="table" w:styleId="1016" w:customStyle="1">
    <w:name w:val="Grid Table 7 Colorful - Accent 6"/>
    <w:uiPriority w:val="99"/>
    <w:qFormat/>
    <w:rPr>
      <w:lang w:val="en-US" w:eastAsia="zh-CN" w:bidi="ar-SA"/>
    </w:rPr>
    <w:tblPr/>
  </w:style>
  <w:style w:type="table" w:styleId="1017" w:customStyle="1">
    <w:name w:val="清单表 1 浅色1"/>
    <w:uiPriority w:val="99"/>
    <w:qFormat/>
    <w:rPr>
      <w:lang w:val="en-US" w:eastAsia="zh-CN" w:bidi="ar-SA"/>
    </w:rPr>
    <w:tblPr/>
  </w:style>
  <w:style w:type="table" w:styleId="1018" w:customStyle="1">
    <w:name w:val="List Table 1 Light - Accent 1"/>
    <w:uiPriority w:val="99"/>
    <w:qFormat/>
    <w:rPr>
      <w:lang w:val="en-US" w:eastAsia="zh-CN" w:bidi="ar-SA"/>
    </w:rPr>
    <w:tblPr/>
  </w:style>
  <w:style w:type="table" w:styleId="1019" w:customStyle="1">
    <w:name w:val="List Table 1 Light - Accent 2"/>
    <w:uiPriority w:val="99"/>
    <w:qFormat/>
    <w:rPr>
      <w:lang w:val="en-US" w:eastAsia="zh-CN" w:bidi="ar-SA"/>
    </w:rPr>
    <w:tblPr/>
  </w:style>
  <w:style w:type="table" w:styleId="1020" w:customStyle="1">
    <w:name w:val="List Table 1 Light - Accent 3"/>
    <w:uiPriority w:val="99"/>
    <w:qFormat/>
    <w:rPr>
      <w:lang w:val="en-US" w:eastAsia="zh-CN" w:bidi="ar-SA"/>
    </w:rPr>
    <w:tblPr/>
  </w:style>
  <w:style w:type="table" w:styleId="1021" w:customStyle="1">
    <w:name w:val="List Table 1 Light - Accent 4"/>
    <w:uiPriority w:val="99"/>
    <w:qFormat/>
    <w:rPr>
      <w:lang w:val="en-US" w:eastAsia="zh-CN" w:bidi="ar-SA"/>
    </w:rPr>
    <w:tblPr/>
  </w:style>
  <w:style w:type="table" w:styleId="1022" w:customStyle="1">
    <w:name w:val="List Table 1 Light - Accent 5"/>
    <w:uiPriority w:val="99"/>
    <w:qFormat/>
    <w:rPr>
      <w:lang w:val="en-US" w:eastAsia="zh-CN" w:bidi="ar-SA"/>
    </w:rPr>
    <w:tblPr/>
  </w:style>
  <w:style w:type="table" w:styleId="1023" w:customStyle="1">
    <w:name w:val="List Table 1 Light - Accent 6"/>
    <w:uiPriority w:val="99"/>
    <w:qFormat/>
    <w:rPr>
      <w:lang w:val="en-US" w:eastAsia="zh-CN" w:bidi="ar-SA"/>
    </w:rPr>
    <w:tblPr/>
  </w:style>
  <w:style w:type="table" w:styleId="1024" w:customStyle="1">
    <w:name w:val="清单表 21"/>
    <w:uiPriority w:val="99"/>
    <w:qFormat/>
    <w:rPr>
      <w:lang w:val="en-US" w:eastAsia="zh-CN" w:bidi="ar-SA"/>
    </w:rPr>
    <w:tblPr/>
  </w:style>
  <w:style w:type="table" w:styleId="1025" w:customStyle="1">
    <w:name w:val="List Table 2 - Accent 1"/>
    <w:uiPriority w:val="99"/>
    <w:qFormat/>
    <w:rPr>
      <w:lang w:val="en-US" w:eastAsia="zh-CN" w:bidi="ar-SA"/>
    </w:rPr>
    <w:tblPr/>
  </w:style>
  <w:style w:type="table" w:styleId="1026" w:customStyle="1">
    <w:name w:val="List Table 2 - Accent 2"/>
    <w:uiPriority w:val="99"/>
    <w:qFormat/>
    <w:rPr>
      <w:lang w:val="en-US" w:eastAsia="zh-CN" w:bidi="ar-SA"/>
    </w:rPr>
    <w:tblPr/>
  </w:style>
  <w:style w:type="table" w:styleId="1027" w:customStyle="1">
    <w:name w:val="List Table 2 - Accent 3"/>
    <w:uiPriority w:val="99"/>
    <w:qFormat/>
    <w:rPr>
      <w:lang w:val="en-US" w:eastAsia="zh-CN" w:bidi="ar-SA"/>
    </w:rPr>
    <w:tblPr/>
  </w:style>
  <w:style w:type="table" w:styleId="1028" w:customStyle="1">
    <w:name w:val="List Table 2 - Accent 4"/>
    <w:uiPriority w:val="99"/>
    <w:qFormat/>
    <w:rPr>
      <w:lang w:val="en-US" w:eastAsia="zh-CN" w:bidi="ar-SA"/>
    </w:rPr>
    <w:tblPr/>
  </w:style>
  <w:style w:type="table" w:styleId="1029" w:customStyle="1">
    <w:name w:val="List Table 2 - Accent 5"/>
    <w:uiPriority w:val="99"/>
    <w:qFormat/>
    <w:rPr>
      <w:lang w:val="en-US" w:eastAsia="zh-CN" w:bidi="ar-SA"/>
    </w:rPr>
    <w:tblPr/>
  </w:style>
  <w:style w:type="table" w:styleId="1030" w:customStyle="1">
    <w:name w:val="List Table 2 - Accent 6"/>
    <w:uiPriority w:val="99"/>
    <w:qFormat/>
    <w:rPr>
      <w:lang w:val="en-US" w:eastAsia="zh-CN" w:bidi="ar-SA"/>
    </w:rPr>
    <w:tblPr/>
  </w:style>
  <w:style w:type="table" w:styleId="1031" w:customStyle="1">
    <w:name w:val="清单表 31"/>
    <w:uiPriority w:val="99"/>
    <w:qFormat/>
    <w:rPr>
      <w:lang w:val="en-US" w:eastAsia="zh-CN" w:bidi="ar-SA"/>
    </w:rPr>
    <w:tblPr/>
  </w:style>
  <w:style w:type="table" w:styleId="1032" w:customStyle="1">
    <w:name w:val="List Table 3 - Accent 1"/>
    <w:uiPriority w:val="99"/>
    <w:qFormat/>
    <w:rPr>
      <w:lang w:val="en-US" w:eastAsia="zh-CN" w:bidi="ar-SA"/>
    </w:rPr>
    <w:tblPr/>
  </w:style>
  <w:style w:type="table" w:styleId="1033" w:customStyle="1">
    <w:name w:val="List Table 3 - Accent 2"/>
    <w:uiPriority w:val="99"/>
    <w:qFormat/>
    <w:rPr>
      <w:lang w:val="en-US" w:eastAsia="zh-CN" w:bidi="ar-SA"/>
    </w:rPr>
    <w:tblPr/>
  </w:style>
  <w:style w:type="table" w:styleId="1034" w:customStyle="1">
    <w:name w:val="List Table 3 - Accent 3"/>
    <w:uiPriority w:val="99"/>
    <w:qFormat/>
    <w:rPr>
      <w:lang w:val="en-US" w:eastAsia="zh-CN" w:bidi="ar-SA"/>
    </w:rPr>
    <w:tblPr/>
  </w:style>
  <w:style w:type="table" w:styleId="1035" w:customStyle="1">
    <w:name w:val="List Table 3 - Accent 4"/>
    <w:uiPriority w:val="99"/>
    <w:qFormat/>
    <w:rPr>
      <w:lang w:val="en-US" w:eastAsia="zh-CN" w:bidi="ar-SA"/>
    </w:rPr>
    <w:tblPr/>
  </w:style>
  <w:style w:type="table" w:styleId="1036" w:customStyle="1">
    <w:name w:val="List Table 3 - Accent 5"/>
    <w:uiPriority w:val="99"/>
    <w:qFormat/>
    <w:rPr>
      <w:lang w:val="en-US" w:eastAsia="zh-CN" w:bidi="ar-SA"/>
    </w:rPr>
    <w:tblPr/>
  </w:style>
  <w:style w:type="table" w:styleId="1037" w:customStyle="1">
    <w:name w:val="List Table 3 - Accent 6"/>
    <w:uiPriority w:val="99"/>
    <w:qFormat/>
    <w:rPr>
      <w:lang w:val="en-US" w:eastAsia="zh-CN" w:bidi="ar-SA"/>
    </w:rPr>
    <w:tblPr/>
  </w:style>
  <w:style w:type="table" w:styleId="1038" w:customStyle="1">
    <w:name w:val="清单表 41"/>
    <w:uiPriority w:val="99"/>
    <w:qFormat/>
    <w:rPr>
      <w:lang w:val="en-US" w:eastAsia="zh-CN" w:bidi="ar-SA"/>
    </w:rPr>
    <w:tblPr/>
  </w:style>
  <w:style w:type="table" w:styleId="1039" w:customStyle="1">
    <w:name w:val="List Table 4 - Accent 1"/>
    <w:uiPriority w:val="99"/>
    <w:qFormat/>
    <w:rPr>
      <w:lang w:val="en-US" w:eastAsia="zh-CN" w:bidi="ar-SA"/>
    </w:rPr>
    <w:tblPr/>
  </w:style>
  <w:style w:type="table" w:styleId="1040" w:customStyle="1">
    <w:name w:val="List Table 4 - Accent 2"/>
    <w:uiPriority w:val="99"/>
    <w:qFormat/>
    <w:rPr>
      <w:lang w:val="en-US" w:eastAsia="zh-CN" w:bidi="ar-SA"/>
    </w:rPr>
    <w:tblPr/>
  </w:style>
  <w:style w:type="table" w:styleId="1041" w:customStyle="1">
    <w:name w:val="List Table 4 - Accent 3"/>
    <w:uiPriority w:val="99"/>
    <w:qFormat/>
    <w:rPr>
      <w:lang w:val="en-US" w:eastAsia="zh-CN" w:bidi="ar-SA"/>
    </w:rPr>
    <w:tblPr/>
  </w:style>
  <w:style w:type="table" w:styleId="1042" w:customStyle="1">
    <w:name w:val="List Table 4 - Accent 4"/>
    <w:uiPriority w:val="99"/>
    <w:qFormat/>
    <w:rPr>
      <w:lang w:val="en-US" w:eastAsia="zh-CN" w:bidi="ar-SA"/>
    </w:rPr>
    <w:tblPr/>
  </w:style>
  <w:style w:type="table" w:styleId="1043" w:customStyle="1">
    <w:name w:val="List Table 4 - Accent 5"/>
    <w:uiPriority w:val="99"/>
    <w:qFormat/>
    <w:rPr>
      <w:lang w:val="en-US" w:eastAsia="zh-CN" w:bidi="ar-SA"/>
    </w:rPr>
    <w:tblPr/>
  </w:style>
  <w:style w:type="table" w:styleId="1044" w:customStyle="1">
    <w:name w:val="List Table 4 - Accent 6"/>
    <w:uiPriority w:val="99"/>
    <w:qFormat/>
    <w:rPr>
      <w:lang w:val="en-US" w:eastAsia="zh-CN" w:bidi="ar-SA"/>
    </w:rPr>
    <w:tblPr/>
  </w:style>
  <w:style w:type="table" w:styleId="1045" w:customStyle="1">
    <w:name w:val="清单表 5 深色1"/>
    <w:uiPriority w:val="99"/>
    <w:qFormat/>
    <w:rPr>
      <w:lang w:val="en-US" w:eastAsia="zh-CN" w:bidi="ar-SA"/>
    </w:rPr>
    <w:tblPr/>
  </w:style>
  <w:style w:type="table" w:styleId="1046" w:customStyle="1">
    <w:name w:val="List Table 5 Dark - Accent 1"/>
    <w:uiPriority w:val="99"/>
    <w:qFormat/>
    <w:rPr>
      <w:lang w:val="en-US" w:eastAsia="zh-CN" w:bidi="ar-SA"/>
    </w:rPr>
    <w:tblPr/>
  </w:style>
  <w:style w:type="table" w:styleId="1047" w:customStyle="1">
    <w:name w:val="List Table 5 Dark - Accent 2"/>
    <w:uiPriority w:val="99"/>
    <w:qFormat/>
    <w:rPr>
      <w:lang w:val="en-US" w:eastAsia="zh-CN" w:bidi="ar-SA"/>
    </w:rPr>
    <w:tblPr/>
  </w:style>
  <w:style w:type="table" w:styleId="1048" w:customStyle="1">
    <w:name w:val="List Table 5 Dark - Accent 3"/>
    <w:uiPriority w:val="99"/>
    <w:qFormat/>
    <w:rPr>
      <w:lang w:val="en-US" w:eastAsia="zh-CN" w:bidi="ar-SA"/>
    </w:rPr>
    <w:tblPr/>
  </w:style>
  <w:style w:type="table" w:styleId="1049" w:customStyle="1">
    <w:name w:val="List Table 5 Dark - Accent 4"/>
    <w:uiPriority w:val="99"/>
    <w:qFormat/>
    <w:rPr>
      <w:lang w:val="en-US" w:eastAsia="zh-CN" w:bidi="ar-SA"/>
    </w:rPr>
    <w:tblPr/>
  </w:style>
  <w:style w:type="table" w:styleId="1050" w:customStyle="1">
    <w:name w:val="List Table 5 Dark - Accent 5"/>
    <w:uiPriority w:val="99"/>
    <w:qFormat/>
    <w:rPr>
      <w:lang w:val="en-US" w:eastAsia="zh-CN" w:bidi="ar-SA"/>
    </w:rPr>
    <w:tblPr/>
  </w:style>
  <w:style w:type="table" w:styleId="1051" w:customStyle="1">
    <w:name w:val="List Table 5 Dark - Accent 6"/>
    <w:uiPriority w:val="99"/>
    <w:qFormat/>
    <w:rPr>
      <w:lang w:val="en-US" w:eastAsia="zh-CN" w:bidi="ar-SA"/>
    </w:rPr>
    <w:tblPr/>
  </w:style>
  <w:style w:type="table" w:styleId="1052" w:customStyle="1">
    <w:name w:val="清单表 6 彩色1"/>
    <w:uiPriority w:val="99"/>
    <w:qFormat/>
    <w:rPr>
      <w:lang w:val="en-US" w:eastAsia="zh-CN" w:bidi="ar-SA"/>
    </w:rPr>
    <w:tblPr/>
  </w:style>
  <w:style w:type="table" w:styleId="1053" w:customStyle="1">
    <w:name w:val="List Table 6 Colorful - Accent 1"/>
    <w:uiPriority w:val="99"/>
    <w:qFormat/>
    <w:rPr>
      <w:lang w:val="en-US" w:eastAsia="zh-CN" w:bidi="ar-SA"/>
    </w:rPr>
    <w:tblPr/>
  </w:style>
  <w:style w:type="table" w:styleId="1054" w:customStyle="1">
    <w:name w:val="List Table 6 Colorful - Accent 2"/>
    <w:uiPriority w:val="99"/>
    <w:qFormat/>
    <w:rPr>
      <w:lang w:val="en-US" w:eastAsia="zh-CN" w:bidi="ar-SA"/>
    </w:rPr>
    <w:tblPr/>
  </w:style>
  <w:style w:type="table" w:styleId="1055" w:customStyle="1">
    <w:name w:val="List Table 6 Colorful - Accent 3"/>
    <w:uiPriority w:val="99"/>
    <w:qFormat/>
    <w:rPr>
      <w:lang w:val="en-US" w:eastAsia="zh-CN" w:bidi="ar-SA"/>
    </w:rPr>
    <w:tblPr/>
  </w:style>
  <w:style w:type="table" w:styleId="1056" w:customStyle="1">
    <w:name w:val="List Table 6 Colorful - Accent 4"/>
    <w:uiPriority w:val="99"/>
    <w:qFormat/>
    <w:rPr>
      <w:lang w:val="en-US" w:eastAsia="zh-CN" w:bidi="ar-SA"/>
    </w:rPr>
    <w:tblPr/>
  </w:style>
  <w:style w:type="table" w:styleId="1057" w:customStyle="1">
    <w:name w:val="List Table 6 Colorful - Accent 5"/>
    <w:uiPriority w:val="99"/>
    <w:qFormat/>
    <w:rPr>
      <w:lang w:val="en-US" w:eastAsia="zh-CN" w:bidi="ar-SA"/>
    </w:rPr>
    <w:tblPr/>
  </w:style>
  <w:style w:type="table" w:styleId="1058" w:customStyle="1">
    <w:name w:val="List Table 6 Colorful - Accent 6"/>
    <w:uiPriority w:val="99"/>
    <w:qFormat/>
    <w:rPr>
      <w:lang w:val="en-US" w:eastAsia="zh-CN" w:bidi="ar-SA"/>
    </w:rPr>
    <w:tblPr/>
  </w:style>
  <w:style w:type="table" w:styleId="1059" w:customStyle="1">
    <w:name w:val="清单表 7 彩色1"/>
    <w:uiPriority w:val="99"/>
    <w:qFormat/>
    <w:rPr>
      <w:lang w:val="en-US" w:eastAsia="zh-CN" w:bidi="ar-SA"/>
    </w:rPr>
    <w:tblPr/>
  </w:style>
  <w:style w:type="table" w:styleId="1060" w:customStyle="1">
    <w:name w:val="List Table 7 Colorful - Accent 1"/>
    <w:uiPriority w:val="99"/>
    <w:qFormat/>
    <w:rPr>
      <w:lang w:val="en-US" w:eastAsia="zh-CN" w:bidi="ar-SA"/>
    </w:rPr>
    <w:tblPr/>
  </w:style>
  <w:style w:type="table" w:styleId="1061" w:customStyle="1">
    <w:name w:val="List Table 7 Colorful - Accent 2"/>
    <w:uiPriority w:val="99"/>
    <w:qFormat/>
    <w:rPr>
      <w:lang w:val="en-US" w:eastAsia="zh-CN" w:bidi="ar-SA"/>
    </w:rPr>
    <w:tblPr/>
  </w:style>
  <w:style w:type="table" w:styleId="1062" w:customStyle="1">
    <w:name w:val="List Table 7 Colorful - Accent 3"/>
    <w:uiPriority w:val="99"/>
    <w:qFormat/>
    <w:rPr>
      <w:lang w:val="en-US" w:eastAsia="zh-CN" w:bidi="ar-SA"/>
    </w:rPr>
    <w:tblPr/>
  </w:style>
  <w:style w:type="table" w:styleId="1063" w:customStyle="1">
    <w:name w:val="List Table 7 Colorful - Accent 4"/>
    <w:uiPriority w:val="99"/>
    <w:qFormat/>
    <w:rPr>
      <w:lang w:val="en-US" w:eastAsia="zh-CN" w:bidi="ar-SA"/>
    </w:rPr>
    <w:tblPr/>
  </w:style>
  <w:style w:type="table" w:styleId="1064" w:customStyle="1">
    <w:name w:val="List Table 7 Colorful - Accent 5"/>
    <w:uiPriority w:val="99"/>
    <w:qFormat/>
    <w:rPr>
      <w:lang w:val="en-US" w:eastAsia="zh-CN" w:bidi="ar-SA"/>
    </w:rPr>
    <w:tblPr/>
  </w:style>
  <w:style w:type="table" w:styleId="1065" w:customStyle="1">
    <w:name w:val="List Table 7 Colorful - Accent 6"/>
    <w:uiPriority w:val="99"/>
    <w:qFormat/>
    <w:rPr>
      <w:lang w:val="en-US" w:eastAsia="zh-CN" w:bidi="ar-SA"/>
    </w:rPr>
    <w:tblPr/>
  </w:style>
  <w:style w:type="table" w:styleId="1066" w:customStyle="1">
    <w:name w:val="Lined - Accent"/>
    <w:uiPriority w:val="99"/>
    <w:qFormat/>
    <w:rPr>
      <w:color w:val="404040"/>
      <w:lang w:val="en-US" w:eastAsia="zh-CN" w:bidi="ar-SA"/>
    </w:rPr>
    <w:tblPr/>
  </w:style>
  <w:style w:type="table" w:styleId="1067" w:customStyle="1">
    <w:name w:val="Lined - Accent 1"/>
    <w:uiPriority w:val="99"/>
    <w:qFormat/>
    <w:rPr>
      <w:color w:val="404040"/>
      <w:lang w:val="en-US" w:eastAsia="zh-CN" w:bidi="ar-SA"/>
    </w:rPr>
    <w:tblPr/>
  </w:style>
  <w:style w:type="table" w:styleId="1068" w:customStyle="1">
    <w:name w:val="Lined - Accent 2"/>
    <w:uiPriority w:val="99"/>
    <w:qFormat/>
    <w:rPr>
      <w:color w:val="404040"/>
      <w:lang w:val="en-US" w:eastAsia="zh-CN" w:bidi="ar-SA"/>
    </w:rPr>
    <w:tblPr/>
  </w:style>
  <w:style w:type="table" w:styleId="1069" w:customStyle="1">
    <w:name w:val="Lined - Accent 3"/>
    <w:uiPriority w:val="99"/>
    <w:qFormat/>
    <w:rPr>
      <w:color w:val="404040"/>
      <w:lang w:val="en-US" w:eastAsia="zh-CN" w:bidi="ar-SA"/>
    </w:rPr>
    <w:tblPr/>
  </w:style>
  <w:style w:type="table" w:styleId="1070" w:customStyle="1">
    <w:name w:val="Lined - Accent 4"/>
    <w:uiPriority w:val="99"/>
    <w:qFormat/>
    <w:rPr>
      <w:color w:val="404040"/>
      <w:lang w:val="en-US" w:eastAsia="zh-CN" w:bidi="ar-SA"/>
    </w:rPr>
    <w:tblPr/>
  </w:style>
  <w:style w:type="table" w:styleId="1071" w:customStyle="1">
    <w:name w:val="Lined - Accent 5"/>
    <w:uiPriority w:val="99"/>
    <w:qFormat/>
    <w:rPr>
      <w:color w:val="404040"/>
      <w:lang w:val="en-US" w:eastAsia="zh-CN" w:bidi="ar-SA"/>
    </w:rPr>
    <w:tblPr/>
  </w:style>
  <w:style w:type="table" w:styleId="1072" w:customStyle="1">
    <w:name w:val="Lined - Accent 6"/>
    <w:uiPriority w:val="99"/>
    <w:qFormat/>
    <w:rPr>
      <w:color w:val="404040"/>
      <w:lang w:val="en-US" w:eastAsia="zh-CN" w:bidi="ar-SA"/>
    </w:rPr>
    <w:tblPr/>
  </w:style>
  <w:style w:type="table" w:styleId="1073" w:customStyle="1">
    <w:name w:val="Bordered &amp; Lined - Accent"/>
    <w:uiPriority w:val="99"/>
    <w:qFormat/>
    <w:rPr>
      <w:color w:val="404040"/>
      <w:lang w:val="en-US" w:eastAsia="zh-CN" w:bidi="ar-SA"/>
    </w:rPr>
    <w:tblPr/>
  </w:style>
  <w:style w:type="table" w:styleId="1074" w:customStyle="1">
    <w:name w:val="Bordered &amp; Lined - Accent 1"/>
    <w:uiPriority w:val="99"/>
    <w:qFormat/>
    <w:rPr>
      <w:color w:val="404040"/>
      <w:lang w:val="en-US" w:eastAsia="zh-CN" w:bidi="ar-SA"/>
    </w:rPr>
    <w:tblPr/>
  </w:style>
  <w:style w:type="table" w:styleId="1075" w:customStyle="1">
    <w:name w:val="Bordered &amp; Lined - Accent 2"/>
    <w:uiPriority w:val="99"/>
    <w:qFormat/>
    <w:rPr>
      <w:color w:val="404040"/>
      <w:lang w:val="en-US" w:eastAsia="zh-CN" w:bidi="ar-SA"/>
    </w:rPr>
    <w:tblPr/>
  </w:style>
  <w:style w:type="table" w:styleId="1076" w:customStyle="1">
    <w:name w:val="Bordered &amp; Lined - Accent 3"/>
    <w:uiPriority w:val="99"/>
    <w:qFormat/>
    <w:rPr>
      <w:color w:val="404040"/>
      <w:lang w:val="en-US" w:eastAsia="zh-CN" w:bidi="ar-SA"/>
    </w:rPr>
    <w:tblPr/>
  </w:style>
  <w:style w:type="table" w:styleId="1077" w:customStyle="1">
    <w:name w:val="Bordered &amp; Lined - Accent 4"/>
    <w:uiPriority w:val="99"/>
    <w:qFormat/>
    <w:rPr>
      <w:color w:val="404040"/>
      <w:lang w:val="en-US" w:eastAsia="zh-CN" w:bidi="ar-SA"/>
    </w:rPr>
    <w:tblPr/>
  </w:style>
  <w:style w:type="table" w:styleId="1078" w:customStyle="1">
    <w:name w:val="Bordered &amp; Lined - Accent 5"/>
    <w:uiPriority w:val="99"/>
    <w:qFormat/>
    <w:rPr>
      <w:color w:val="404040"/>
      <w:lang w:val="en-US" w:eastAsia="zh-CN" w:bidi="ar-SA"/>
    </w:rPr>
    <w:tblPr/>
  </w:style>
  <w:style w:type="table" w:styleId="1079" w:customStyle="1">
    <w:name w:val="Bordered &amp; Lined - Accent 6"/>
    <w:uiPriority w:val="99"/>
    <w:qFormat/>
    <w:rPr>
      <w:color w:val="404040"/>
      <w:lang w:val="en-US" w:eastAsia="zh-CN" w:bidi="ar-SA"/>
    </w:rPr>
    <w:tblPr/>
  </w:style>
  <w:style w:type="table" w:styleId="1080" w:customStyle="1">
    <w:name w:val="Bordered"/>
    <w:uiPriority w:val="99"/>
    <w:qFormat/>
    <w:rPr>
      <w:lang w:val="en-US" w:eastAsia="zh-CN" w:bidi="ar-SA"/>
    </w:rPr>
    <w:tblPr/>
  </w:style>
  <w:style w:type="table" w:styleId="1081" w:customStyle="1">
    <w:name w:val="Bordered - Accent 1"/>
    <w:uiPriority w:val="99"/>
    <w:qFormat/>
    <w:rPr>
      <w:lang w:val="en-US" w:eastAsia="zh-CN" w:bidi="ar-SA"/>
    </w:rPr>
    <w:tblPr/>
  </w:style>
  <w:style w:type="table" w:styleId="1082" w:customStyle="1">
    <w:name w:val="Bordered - Accent 2"/>
    <w:uiPriority w:val="99"/>
    <w:qFormat/>
    <w:rPr>
      <w:lang w:val="en-US" w:eastAsia="zh-CN" w:bidi="ar-SA"/>
    </w:rPr>
    <w:tblPr/>
  </w:style>
  <w:style w:type="table" w:styleId="1083" w:customStyle="1">
    <w:name w:val="Bordered - Accent 3"/>
    <w:uiPriority w:val="99"/>
    <w:qFormat/>
    <w:rPr>
      <w:lang w:val="en-US" w:eastAsia="zh-CN" w:bidi="ar-SA"/>
    </w:rPr>
    <w:tblPr/>
  </w:style>
  <w:style w:type="table" w:styleId="1084" w:customStyle="1">
    <w:name w:val="Bordered - Accent 4"/>
    <w:uiPriority w:val="99"/>
    <w:qFormat/>
    <w:rPr>
      <w:lang w:val="en-US" w:eastAsia="zh-CN" w:bidi="ar-SA"/>
    </w:rPr>
    <w:tblPr/>
  </w:style>
  <w:style w:type="table" w:styleId="1085" w:customStyle="1">
    <w:name w:val="Bordered - Accent 5"/>
    <w:uiPriority w:val="99"/>
    <w:qFormat/>
    <w:rPr>
      <w:lang w:val="en-US" w:eastAsia="zh-CN" w:bidi="ar-SA"/>
    </w:rPr>
    <w:tblPr/>
  </w:style>
  <w:style w:type="table" w:styleId="1086" w:customStyle="1">
    <w:name w:val="Bordered - Accent 6"/>
    <w:uiPriority w:val="99"/>
    <w:qFormat/>
    <w:rPr>
      <w:lang w:val="en-US" w:eastAsia="zh-CN" w:bidi="ar-SA"/>
    </w:rPr>
    <w:tblPr/>
  </w:style>
  <w:style w:type="character" w:styleId="1087" w:customStyle="1">
    <w:name w:val="Footnote Text Char"/>
    <w:link w:val="772"/>
    <w:uiPriority w:val="99"/>
    <w:qFormat/>
    <w:rPr>
      <w:sz w:val="18"/>
    </w:rPr>
  </w:style>
  <w:style w:type="paragraph" w:styleId="1088" w:customStyle="1">
    <w:name w:val="TOC 标题11"/>
    <w:uiPriority w:val="39"/>
    <w:qFormat/>
    <w:rPr>
      <w:rFonts w:hint="default" w:ascii="Times New Roman" w:hAnsi="Times New Roman" w:eastAsia="宋体" w:cs="Times New Roman"/>
      <w:lang w:val="en-US" w:eastAsia="zh-CN" w:bidi="ar-SA"/>
    </w:rPr>
  </w:style>
  <w:style w:type="character" w:styleId="1089" w:customStyle="1">
    <w:name w:val="批注框文本 Char1"/>
    <w:link w:val="772"/>
    <w:uiPriority w:val="99"/>
    <w:qFormat/>
    <w:rPr>
      <w:rFonts w:ascii="Times New Roman" w:hAnsi="Times New Roman" w:eastAsia="宋体" w:cs="Times New Roman"/>
      <w:sz w:val="18"/>
      <w:szCs w:val="18"/>
    </w:rPr>
  </w:style>
  <w:style w:type="character" w:styleId="1090" w:customStyle="1">
    <w:name w:val="正文文本 2 Char1"/>
    <w:link w:val="772"/>
    <w:uiPriority w:val="99"/>
    <w:qFormat/>
    <w:rPr>
      <w:rFonts w:ascii="Times New Roman" w:hAnsi="Times New Roman" w:eastAsia="宋体" w:cs="Times New Roman"/>
      <w:szCs w:val="20"/>
    </w:rPr>
  </w:style>
  <w:style w:type="character" w:styleId="1091" w:customStyle="1">
    <w:name w:val="文档结构图 Char1"/>
    <w:link w:val="772"/>
    <w:uiPriority w:val="99"/>
    <w:qFormat/>
    <w:rPr>
      <w:rFonts w:ascii="宋体" w:hAnsi="Times New Roman" w:eastAsia="宋体" w:cs="Times New Roman"/>
      <w:sz w:val="18"/>
      <w:szCs w:val="18"/>
    </w:rPr>
  </w:style>
  <w:style w:type="character" w:styleId="1092" w:customStyle="1">
    <w:name w:val="正文文本缩进 Char1"/>
    <w:link w:val="772"/>
    <w:uiPriority w:val="99"/>
    <w:qFormat/>
    <w:rPr>
      <w:rFonts w:ascii="Times New Roman" w:hAnsi="Times New Roman" w:eastAsia="宋体" w:cs="Times New Roman"/>
      <w:szCs w:val="20"/>
    </w:rPr>
  </w:style>
  <w:style w:type="character" w:styleId="1093" w:customStyle="1">
    <w:name w:val="15"/>
    <w:link w:val="772"/>
    <w:uiPriority w:val="0"/>
    <w:qFormat/>
    <w:rPr>
      <w:rFonts w:ascii="Times New Roman" w:hAnsi="Times New Roman" w:cs="Times New Roman"/>
    </w:rPr>
  </w:style>
  <w:style w:type="character" w:styleId="1094" w:customStyle="1">
    <w:name w:val="正文文本缩进 2 Char1"/>
    <w:link w:val="772"/>
    <w:uiPriority w:val="99"/>
    <w:qFormat/>
    <w:rPr>
      <w:rFonts w:ascii="Times New Roman" w:hAnsi="Times New Roman" w:eastAsia="宋体" w:cs="Times New Roman"/>
      <w:szCs w:val="20"/>
    </w:rPr>
  </w:style>
  <w:style w:type="character" w:styleId="1095" w:customStyle="1">
    <w:name w:val="日期 Char1"/>
    <w:link w:val="772"/>
    <w:uiPriority w:val="99"/>
    <w:qFormat/>
    <w:rPr>
      <w:rFonts w:ascii="Times New Roman" w:hAnsi="Times New Roman" w:eastAsia="宋体" w:cs="Times New Roman"/>
      <w:szCs w:val="20"/>
    </w:rPr>
  </w:style>
  <w:style w:type="character" w:styleId="1096" w:customStyle="1">
    <w:name w:val="正文文本缩进 3 Char1"/>
    <w:link w:val="772"/>
    <w:uiPriority w:val="99"/>
    <w:qFormat/>
    <w:rPr>
      <w:rFonts w:ascii="Times New Roman" w:hAnsi="Times New Roman" w:eastAsia="宋体" w:cs="Times New Roman"/>
      <w:sz w:val="16"/>
      <w:szCs w:val="16"/>
    </w:rPr>
  </w:style>
  <w:style w:type="paragraph" w:styleId="1097" w:customStyle="1">
    <w:name w:val="普通文字"/>
    <w:basedOn w:val="772"/>
    <w:next w:val="772"/>
    <w:uiPriority w:val="0"/>
    <w:qFormat/>
    <w:rPr>
      <w:rFonts w:ascii="宋体"/>
      <w:sz w:val="24"/>
    </w:rPr>
  </w:style>
  <w:style w:type="paragraph" w:styleId="1098" w:customStyle="1">
    <w:name w:val="样式 小四 段前: 5 磅 段后: 5 磅 首行缩进:  2 字符"/>
    <w:basedOn w:val="772"/>
    <w:uiPriority w:val="0"/>
    <w:qFormat/>
    <w:pPr>
      <w:jc w:val="center"/>
      <w:spacing w:line="360" w:lineRule="auto"/>
    </w:pPr>
    <w:rPr>
      <w:rFonts w:ascii="宋体" w:hAnsi="宋体"/>
      <w:bCs/>
      <w:color w:val="ff0000"/>
      <w:sz w:val="24"/>
      <w:szCs w:val="24"/>
    </w:rPr>
  </w:style>
  <w:style w:type="paragraph" w:styleId="1099" w:customStyle="1">
    <w:name w:val="列出段落1"/>
    <w:basedOn w:val="772"/>
    <w:uiPriority w:val="0"/>
    <w:qFormat/>
    <w:pPr>
      <w:ind w:firstLine="420"/>
    </w:pPr>
    <w:rPr>
      <w:szCs w:val="24"/>
    </w:rPr>
  </w:style>
  <w:style w:type="paragraph" w:styleId="1100" w:customStyle="1">
    <w:name w:val="段"/>
    <w:next w:val="772"/>
    <w:uiPriority w:val="0"/>
    <w:qFormat/>
    <w:pPr>
      <w:ind w:firstLine="200"/>
      <w:jc w:val="both"/>
    </w:pPr>
    <w:rPr>
      <w:rFonts w:hint="default" w:ascii="宋体" w:hAnsi="Times New Roman" w:eastAsia="宋体" w:cs="Times New Roman"/>
      <w:sz w:val="21"/>
      <w:lang w:val="en-US" w:eastAsia="zh-CN" w:bidi="ar-SA"/>
    </w:rPr>
  </w:style>
  <w:style w:type="paragraph" w:styleId="1101" w:customStyle="1">
    <w:name w:val="Other|1"/>
    <w:basedOn w:val="772"/>
    <w:uiPriority w:val="0"/>
    <w:qFormat/>
    <w:pPr>
      <w:ind w:firstLine="220"/>
    </w:pPr>
    <w:rPr>
      <w:rFonts w:ascii="宋体" w:hAnsi="宋体" w:cs="宋体"/>
      <w:sz w:val="20"/>
      <w:lang w:val="zh-TW" w:eastAsia="zh-TW" w:bidi="zh-TW"/>
    </w:rPr>
  </w:style>
  <w:style w:type="character" w:styleId="1102" w:customStyle="1">
    <w:name w:val="font11"/>
    <w:link w:val="772"/>
    <w:uiPriority w:val="0"/>
    <w:qFormat/>
    <w:rPr>
      <w:rFonts w:hint="eastAsia" w:ascii="宋体" w:hAnsi="宋体" w:eastAsia="宋体" w:cs="宋体"/>
      <w:color w:val="333333"/>
      <w:sz w:val="20"/>
      <w:szCs w:val="20"/>
      <w:u w:val="none"/>
    </w:rPr>
  </w:style>
  <w:style w:type="paragraph" w:styleId="1103" w:customStyle="1">
    <w:name w:val="纯文本1"/>
    <w:basedOn w:val="772"/>
    <w:uiPriority w:val="0"/>
    <w:qFormat/>
    <w:rPr>
      <w:rFonts w:ascii="宋体" w:hAnsi="Courier New" w:eastAsia="楷体_GB2312"/>
      <w:sz w:val="26"/>
    </w:rPr>
  </w:style>
  <w:style w:type="character" w:styleId="1104" w:customStyle="1">
    <w:name w:val="font21"/>
    <w:link w:val="772"/>
    <w:uiPriority w:val="0"/>
    <w:qFormat/>
    <w:rPr>
      <w:rFonts w:hint="eastAsia" w:ascii="宋体" w:hAnsi="宋体" w:eastAsia="宋体" w:cs="宋体"/>
      <w:color w:val="000000"/>
      <w:sz w:val="20"/>
      <w:szCs w:val="20"/>
      <w:u w:val="none"/>
    </w:rPr>
  </w:style>
  <w:style w:type="character" w:styleId="1105" w:customStyle="1">
    <w:name w:val="font01"/>
    <w:link w:val="772"/>
    <w:uiPriority w:val="0"/>
    <w:qFormat/>
    <w:rPr>
      <w:rFonts w:ascii="Tahoma" w:hAnsi="Tahoma" w:eastAsia="Tahoma" w:cs="Tahoma"/>
      <w:color w:val="333333"/>
      <w:sz w:val="20"/>
      <w:szCs w:val="20"/>
      <w:u w:val="none"/>
    </w:rPr>
  </w:style>
  <w:style w:type="paragraph" w:styleId="1106" w:customStyle="1">
    <w:name w:val="列出段落2"/>
    <w:basedOn w:val="772"/>
    <w:uiPriority w:val="34"/>
    <w:qFormat/>
    <w:pPr>
      <w:ind w:firstLine="420"/>
    </w:pPr>
  </w:style>
  <w:style w:type="paragraph" w:styleId="1107" w:customStyle="1">
    <w:name w:val="正文文本2"/>
    <w:basedOn w:val="772"/>
    <w:next w:val="1108"/>
    <w:uiPriority w:val="0"/>
    <w:qFormat/>
    <w:rPr>
      <w:rFonts w:ascii="华文中宋" w:eastAsia="华文中宋"/>
      <w:bCs/>
      <w:sz w:val="28"/>
    </w:rPr>
  </w:style>
  <w:style w:type="paragraph" w:styleId="1108" w:customStyle="1">
    <w:name w:val="列表项目符号 51"/>
    <w:basedOn w:val="772"/>
    <w:uiPriority w:val="0"/>
    <w:qFormat/>
    <w:pPr>
      <w:ind w:left="2040" w:hanging="360"/>
      <w:spacing w:line="360" w:lineRule="exact"/>
      <w:widowControl/>
      <w:tabs>
        <w:tab w:val="left" w:pos="2040" w:leader="none"/>
      </w:tabs>
    </w:pPr>
    <w:rPr>
      <w:rFonts w:eastAsia="楷体_GB2312"/>
      <w:sz w:val="24"/>
    </w:rPr>
  </w:style>
  <w:style w:type="paragraph" w:styleId="1109" w:customStyle="1">
    <w:name w:val="页脚11"/>
    <w:basedOn w:val="772"/>
    <w:next w:val="772"/>
    <w:uiPriority w:val="99"/>
    <w:qFormat/>
    <w:pPr>
      <w:jc w:val="left"/>
      <w:tabs>
        <w:tab w:val="center" w:pos="4153" w:leader="none"/>
        <w:tab w:val="right" w:pos="8306" w:leader="none"/>
      </w:tabs>
    </w:pPr>
    <w:rPr>
      <w:sz w:val="18"/>
      <w:szCs w:val="18"/>
    </w:rPr>
  </w:style>
  <w:style w:type="character" w:styleId="1110" w:customStyle="1">
    <w:name w:val="font51"/>
    <w:basedOn w:val="819"/>
    <w:link w:val="772"/>
    <w:uiPriority w:val="0"/>
    <w:qFormat/>
    <w:rPr>
      <w:rFonts w:hint="eastAsia" w:ascii="宋体" w:hAnsi="宋体" w:eastAsia="宋体" w:cs="宋体"/>
      <w:color w:val="ff0000"/>
      <w:sz w:val="22"/>
      <w:szCs w:val="22"/>
      <w:u w:val="none"/>
    </w:rPr>
  </w:style>
  <w:style w:type="character" w:styleId="1111" w:customStyle="1">
    <w:name w:val="font41"/>
    <w:basedOn w:val="819"/>
    <w:link w:val="772"/>
    <w:uiPriority w:val="0"/>
    <w:qFormat/>
    <w:rPr>
      <w:rFonts w:hint="eastAsia" w:ascii="宋体" w:hAnsi="宋体" w:eastAsia="宋体" w:cs="宋体"/>
      <w:color w:val="000000"/>
      <w:sz w:val="21"/>
      <w:szCs w:val="21"/>
      <w:u w:val="none"/>
    </w:rPr>
  </w:style>
  <w:style w:type="paragraph" w:styleId="1112" w:customStyle="1">
    <w:name w:val="*正文"/>
    <w:basedOn w:val="772"/>
    <w:uiPriority w:val="0"/>
    <w:qFormat/>
    <w:rPr>
      <w:rFonts w:ascii="宋体" w:hAnsi="宋体"/>
      <w:sz w:val="24"/>
      <w:lang w:val="zh-CN"/>
    </w:rPr>
  </w:style>
  <w:style w:type="paragraph" w:styleId="1113" w:customStyle="1">
    <w:name w:val="_Style 1"/>
    <w:basedOn w:val="772"/>
    <w:uiPriority w:val="0"/>
    <w:qFormat/>
    <w:pPr>
      <w:ind w:firstLine="420"/>
    </w:pPr>
    <w:rPr>
      <w:szCs w:val="22"/>
    </w:rPr>
  </w:style>
  <w:style w:type="paragraph" w:styleId="1114" w:customStyle="1">
    <w:name w:val="页眉11"/>
    <w:basedOn w:val="77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15" w:customStyle="1">
    <w:name w:val="页码1"/>
    <w:link w:val="772"/>
    <w:uiPriority w:val="0"/>
    <w:qFormat/>
    <w:rPr>
      <w:rFonts w:ascii="Times New Roman" w:hAnsi="Times New Roman" w:eastAsia="宋体" w:cs="Times New Roman"/>
      <w:sz w:val="21"/>
      <w:lang w:val="en-US" w:eastAsia="zh-CN" w:bidi="ar-SA"/>
    </w:rPr>
  </w:style>
  <w:style w:type="character" w:styleId="1116" w:customStyle="1">
    <w:name w:val="font31"/>
    <w:basedOn w:val="819"/>
    <w:link w:val="772"/>
    <w:uiPriority w:val="0"/>
    <w:qFormat/>
    <w:rPr>
      <w:rFonts w:hint="eastAsia" w:ascii="宋体" w:hAnsi="宋体" w:eastAsia="宋体" w:cs="宋体"/>
      <w:color w:val="000000"/>
      <w:sz w:val="20"/>
      <w:szCs w:val="20"/>
      <w:u w:val="none"/>
    </w:rPr>
  </w:style>
  <w:style w:type="table" w:styleId="1117" w:customStyle="1">
    <w:name w:val="Table Normal"/>
    <w:uiPriority w:val="0"/>
    <w:unhideWhenUsed/>
    <w:qFormat/>
    <w:rPr>
      <w:lang w:val="en-US" w:eastAsia="zh-CN" w:bidi="ar-SA"/>
    </w:rPr>
    <w:tblPr/>
  </w:style>
  <w:style w:type="paragraph" w:styleId="1118" w:customStyle="1">
    <w:name w:val="目录文字"/>
    <w:basedOn w:val="772"/>
    <w:uiPriority w:val="0"/>
    <w:qFormat/>
    <w:pPr>
      <w:jc w:val="left"/>
      <w:spacing w:line="480" w:lineRule="auto"/>
      <w:widowControl/>
    </w:pPr>
    <w:rPr>
      <w:rFonts w:ascii="宋体" w:hAnsi="宋体"/>
      <w:sz w:val="24"/>
    </w:rPr>
  </w:style>
  <w:style w:type="paragraph" w:styleId="1119" w:customStyle="1">
    <w:name w:val="正文文本11"/>
    <w:uiPriority w:val="99"/>
    <w:qFormat/>
    <w:pPr>
      <w:jc w:val="both"/>
      <w:widowControl w:val="off"/>
    </w:pPr>
    <w:rPr>
      <w:rFonts w:hint="default" w:ascii="华文中宋" w:hAnsi="Times New Roman" w:eastAsia="华文中宋" w:cs="Times New Roman"/>
      <w:bCs/>
      <w:sz w:val="28"/>
      <w:lang w:val="en-US" w:eastAsia="zh-CN" w:bidi="ar-SA"/>
    </w:rPr>
  </w:style>
  <w:style w:type="table" w:styleId="1120" w:customStyle="1">
    <w:name w:val="网格型523"/>
    <w:basedOn w:val="820"/>
    <w:uiPriority w:val="0"/>
    <w:qFormat/>
    <w:pPr>
      <w:jc w:val="both"/>
      <w:widowControl w:val="off"/>
    </w:pPr>
    <w:tblPr/>
  </w:style>
  <w:style w:type="paragraph" w:styleId="1121" w:customStyle="1">
    <w:name w:val="索引 41"/>
    <w:basedOn w:val="772"/>
    <w:next w:val="772"/>
    <w:uiPriority w:val="99"/>
    <w:qFormat/>
    <w:pPr>
      <w:ind w:left="600"/>
    </w:pPr>
    <w:rPr>
      <w:szCs w:val="24"/>
    </w:rPr>
  </w:style>
  <w:style w:type="paragraph" w:styleId="1122" w:customStyle="1">
    <w:name w:val="Table Text"/>
    <w:basedOn w:val="772"/>
    <w:uiPriority w:val="0"/>
    <w:semiHidden/>
    <w:qFormat/>
    <w:rPr>
      <w:rFonts w:ascii="Arial" w:hAnsi="Arial" w:eastAsia="Arial" w:cs="Arial"/>
      <w:szCs w:val="21"/>
      <w:lang w:eastAsia="en-US"/>
    </w:rPr>
  </w:style>
  <w:style w:type="character" w:styleId="1123" w:customStyle="1">
    <w:name w:val="font101"/>
    <w:basedOn w:val="819"/>
    <w:link w:val="772"/>
    <w:uiPriority w:val="0"/>
    <w:qFormat/>
    <w:rPr>
      <w:rFonts w:ascii="仿宋_GB2312" w:eastAsia="仿宋_GB2312" w:cs="仿宋_GB2312"/>
      <w:color w:val="000000"/>
      <w:sz w:val="24"/>
      <w:szCs w:val="24"/>
      <w:u w:val="none"/>
    </w:rPr>
  </w:style>
  <w:style w:type="numbering" w:styleId="188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邓晓娜</cp:lastModifiedBy>
  <cp:revision>4</cp:revision>
  <dcterms:created xsi:type="dcterms:W3CDTF">2026-08-28T06:43:00Z</dcterms:created>
  <dcterms:modified xsi:type="dcterms:W3CDTF">2026-09-08T03:57:09Z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eyJoZGlkIjoiNGU1YjMzMTIxN2Q1NjhkOTFhODQ2NGRhN2YxNzg2NGMiLCJ1c2VySWQiOiI3MTQwODU3MzUifQ==</vt:lpwstr>
  </property>
  <property fmtid="{D5CDD505-2E9C-101B-9397-08002B2CF9AE}" pid="3" name="KSOProductBuildVer">
    <vt:lpwstr>2052-12.1.0.28505</vt:lpwstr>
  </property>
  <property fmtid="{D5CDD505-2E9C-101B-9397-08002B2CF9AE}" pid="4" name="ICV">
    <vt:lpwstr>426D57D2051646DF87457B20C114D525_13</vt:lpwstr>
  </property>
</Properties>
</file>