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苏州市政府采购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t xml:space="preserve"> </w:t>
      </w:r>
      <w:r/>
    </w:p>
    <w:p>
      <w:pPr>
        <w:pStyle w:val="926"/>
        <w:ind w:firstLine="0"/>
        <w:jc w:val="center"/>
        <w:spacing w:line="360" w:lineRule="auto"/>
        <w:rPr>
          <w:rFonts w:ascii="宋体" w:hAnsi="宋体" w:cs="宋体"/>
        </w:rPr>
      </w:pPr>
      <w:r>
        <w:rPr>
          <w:rFonts w:ascii="宋体" w:hAnsi="宋体" w:cs="宋体"/>
        </w:rPr>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sz w:val="32"/>
          <w:szCs w:val="20"/>
          <w:shd w:val="clear" w:color="auto" w:fill="ffffff"/>
        </w:rPr>
        <w:t xml:space="preserve">采购编号：</w:t>
      </w:r>
      <w:r>
        <w:rPr>
          <w:rFonts w:hint="eastAsia" w:ascii="宋体" w:hAnsi="宋体" w:eastAsia="宋体" w:cs="宋体"/>
          <w:b/>
          <w:bCs/>
          <w:sz w:val="32"/>
          <w:szCs w:val="20"/>
          <w:shd w:val="clear" w:color="auto" w:fill="ffffff"/>
          <w:lang w:eastAsia="zh-CN"/>
        </w:rPr>
        <w:t xml:space="preserve">JSZC-320500-SZCH-G2026-0041</w:t>
      </w:r>
      <w:r/>
    </w:p>
    <w:p>
      <w:pPr>
        <w:ind w:firstLine="2249"/>
        <w:spacing w:line="360" w:lineRule="auto"/>
        <w:tabs>
          <w:tab w:val="left" w:pos="8820" w:leader="none"/>
        </w:tabs>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 购 人：苏州大学</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采购内容：超高分辨转盘共聚焦显微镜</w:t>
      </w:r>
      <w:r/>
    </w:p>
    <w:p>
      <w:pPr>
        <w:ind w:firstLine="2249"/>
        <w:spacing w:line="360" w:lineRule="auto"/>
        <w:rPr>
          <w:rFonts w:ascii="宋体" w:hAnsi="宋体" w:eastAsia="宋体" w:cs="宋体"/>
          <w:b/>
          <w:bCs/>
          <w:sz w:val="32"/>
          <w:szCs w:val="20"/>
          <w:shd w:val="clear" w:color="auto" w:fill="ffffff"/>
        </w:rPr>
      </w:pPr>
      <w:r>
        <w:rPr>
          <w:rFonts w:hint="eastAsia" w:ascii="宋体" w:hAnsi="宋体" w:eastAsia="宋体" w:cs="宋体"/>
          <w:b/>
          <w:bCs/>
          <w:sz w:val="32"/>
          <w:szCs w:val="20"/>
          <w:shd w:val="clear" w:color="auto" w:fill="ffffff"/>
        </w:rPr>
        <w:t xml:space="preserve">采购类别：货物类</w:t>
      </w:r>
      <w:r/>
    </w:p>
    <w:p>
      <w:pPr>
        <w:pStyle w:val="762"/>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2"/>
        <w:ind w:left="0" w:firstLine="0"/>
        <w:jc w:val="center"/>
        <w:rPr>
          <w:rFonts w:ascii="宋体" w:hAnsi="宋体" w:eastAsia="宋体" w:cs="宋体"/>
        </w:rPr>
      </w:pPr>
      <w:r>
        <w:rPr>
          <w:rFonts w:ascii="宋体" w:hAnsi="宋体" w:eastAsia="宋体" w:cs="宋体"/>
        </w:rPr>
      </w:r>
      <w:r/>
    </w:p>
    <w:p>
      <w:pPr>
        <w:pStyle w:val="762"/>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二○二六年</w:t>
      </w:r>
      <w:r>
        <w:rPr>
          <w:rFonts w:hint="eastAsia" w:ascii="宋体" w:hAnsi="宋体" w:eastAsia="宋体" w:cs="宋体"/>
          <w:b/>
          <w:sz w:val="32"/>
          <w:szCs w:val="20"/>
          <w:shd w:val="clear" w:color="auto" w:fill="ffffff"/>
          <w:lang w:val="en-US" w:eastAsia="zh-CN"/>
        </w:rPr>
        <w:t xml:space="preserve">九</w:t>
      </w:r>
      <w:r>
        <w:rPr>
          <w:rFonts w:hint="eastAsia" w:ascii="宋体" w:hAnsi="宋体" w:eastAsia="宋体" w:cs="宋体"/>
          <w:b/>
          <w:sz w:val="32"/>
          <w:szCs w:val="20"/>
          <w:shd w:val="clear" w:color="auto" w:fill="ffffff"/>
        </w:rPr>
        <w:t xml:space="preserve">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r>
        <w:rPr>
          <w:rFonts w:hint="eastAsia" w:ascii="宋体" w:hAnsi="宋体" w:eastAsia="宋体" w:cs="宋体"/>
          <w:b/>
          <w:sz w:val="32"/>
          <w:szCs w:val="32"/>
          <w:shd w:val="clear" w:color="auto" w:fill="ffffff"/>
        </w:rPr>
        <w:t xml:space="preserve">前附表</w:t>
      </w:r>
      <w:r/>
    </w:p>
    <w:tbl>
      <w:tblPr>
        <w:tblStyle w:val="720"/>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44" w:type="dxa"/>
            <w:vAlign w:val="center"/>
            <w:textDirection w:val="lrTb"/>
            <w:noWrap w:val="false"/>
          </w:tcPr>
          <w:p>
            <w:pPr>
              <w:jc w:val="center"/>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采购内容：超高分辨转盘共聚焦显微镜</w:t>
            </w:r>
            <w:r/>
          </w:p>
        </w:tc>
      </w:tr>
      <w:tr>
        <w:trPr>
          <w:jc w:val="center"/>
          <w:trHeight w:val="3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投标有效期：自投标截止日起</w:t>
            </w:r>
            <w:r>
              <w:rPr>
                <w:rFonts w:hint="eastAsia" w:ascii="宋体" w:hAnsi="宋体" w:eastAsia="宋体" w:cs="宋体"/>
                <w:b/>
                <w:bCs/>
                <w:szCs w:val="21"/>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投标保证金：</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不需提交，招标文件中有关投标保证金的规定均不适用。</w:t>
            </w:r>
            <w:r/>
          </w:p>
          <w:p>
            <w:pPr>
              <w:pStyle w:val="730"/>
              <w:ind w:left="0"/>
              <w:spacing w:line="240" w:lineRule="auto"/>
              <w:rPr>
                <w:rFonts w:ascii="宋体" w:hAnsi="宋体" w:eastAsia="宋体" w:cs="宋体"/>
              </w:rPr>
            </w:pPr>
            <w:r>
              <w:rPr>
                <w:rFonts w:ascii="Wingdings" w:hAnsi="Wingdings" w:eastAsia="Wingdings" w:cs="Wingdings"/>
                <w:bCs/>
                <w:szCs w:val="24"/>
              </w:rPr>
              <w:t xml:space="preserve"></w:t>
            </w:r>
            <w:r>
              <w:rPr>
                <w:rFonts w:hint="eastAsia" w:ascii="宋体" w:hAnsi="宋体" w:eastAsia="宋体" w:cs="宋体"/>
                <w:sz w:val="21"/>
                <w:szCs w:val="21"/>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44" w:type="dxa"/>
            <w:vAlign w:val="center"/>
            <w:textDirection w:val="lrTb"/>
            <w:noWrap w:val="false"/>
          </w:tcPr>
          <w:p>
            <w:pPr>
              <w:rPr>
                <w:rFonts w:ascii="宋体" w:hAnsi="宋体" w:eastAsia="宋体" w:cs="宋体"/>
              </w:rPr>
            </w:pPr>
            <w:r>
              <w:rPr>
                <w:rFonts w:hint="eastAsia" w:ascii="宋体" w:hAnsi="宋体" w:eastAsia="宋体" w:cs="宋体"/>
                <w:szCs w:val="21"/>
                <w:shd w:val="clear" w:color="auto" w:fill="ffffff"/>
              </w:rPr>
              <w:t xml:space="preserve">投标文件：</w:t>
            </w:r>
            <w:r>
              <w:rPr>
                <w:rFonts w:hint="eastAsia" w:ascii="宋体" w:hAnsi="宋体" w:eastAsia="宋体" w:cs="宋体"/>
                <w:b/>
                <w:bCs/>
                <w:szCs w:val="21"/>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44" w:type="dxa"/>
            <w:vAlign w:val="center"/>
            <w:textDirection w:val="lrTb"/>
            <w:noWrap w:val="false"/>
          </w:tcPr>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开标信息</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投标截止时间：</w:t>
            </w:r>
            <w:bookmarkStart w:id="83" w:name="_GoBack"/>
            <w:r/>
            <w:bookmarkEnd w:id="83"/>
            <w:r>
              <w:rPr>
                <w:rFonts w:hint="eastAsia" w:ascii="宋体" w:hAnsi="宋体" w:eastAsia="宋体" w:cs="宋体"/>
                <w:szCs w:val="21"/>
                <w:shd w:val="clear" w:color="auto" w:fill="ffffff"/>
                <w:lang w:eastAsia="zh-CN"/>
              </w:rPr>
              <w:t xml:space="preserve">2026年10月9日</w:t>
            </w:r>
            <w:r>
              <w:rPr>
                <w:rFonts w:hint="eastAsia" w:ascii="宋体" w:hAnsi="宋体" w:eastAsia="宋体" w:cs="宋体"/>
                <w:szCs w:val="21"/>
                <w:shd w:val="clear" w:color="auto" w:fill="ffffff"/>
                <w:lang w:val="en-US" w:eastAsia="zh-CN"/>
              </w:rPr>
              <w:t xml:space="preserve">9</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开标时间：</w:t>
            </w:r>
            <w:r>
              <w:rPr>
                <w:rFonts w:hint="eastAsia" w:ascii="宋体" w:hAnsi="宋体" w:eastAsia="宋体" w:cs="宋体"/>
                <w:szCs w:val="21"/>
                <w:shd w:val="clear" w:color="auto" w:fill="ffffff"/>
                <w:lang w:eastAsia="zh-CN"/>
              </w:rPr>
              <w:t xml:space="preserve">2026年10月9日</w:t>
            </w:r>
            <w:r>
              <w:rPr>
                <w:rFonts w:hint="eastAsia" w:ascii="宋体" w:hAnsi="宋体" w:eastAsia="宋体" w:cs="宋体"/>
                <w:szCs w:val="21"/>
                <w:shd w:val="clear" w:color="auto" w:fill="ffffff"/>
                <w:lang w:val="en-US" w:eastAsia="zh-CN"/>
              </w:rPr>
              <w:t xml:space="preserve">9</w:t>
            </w:r>
            <w:r>
              <w:rPr>
                <w:rFonts w:hint="eastAsia" w:ascii="宋体" w:hAnsi="宋体" w:eastAsia="宋体" w:cs="宋体"/>
                <w:szCs w:val="21"/>
                <w:shd w:val="clear" w:color="auto" w:fill="ffffff"/>
              </w:rPr>
              <w:t xml:space="preserve">点30分（北京时间）</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jc w:val="left"/>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w:t>
            </w:r>
            <w:r/>
          </w:p>
          <w:p>
            <w:pPr>
              <w:jc w:val="left"/>
              <w:rPr>
                <w:rFonts w:ascii="宋体" w:hAnsi="宋体" w:eastAsia="宋体" w:cs="宋体"/>
                <w:szCs w:val="21"/>
                <w:shd w:val="clear" w:color="auto" w:fill="ffffff"/>
              </w:rPr>
            </w:pPr>
            <w:r>
              <w:rPr>
                <w:rFonts w:ascii="Wingdings" w:hAnsi="Wingdings" w:eastAsia="Wingdings" w:cs="Wingdings"/>
                <w:bCs/>
                <w:sz w:val="24"/>
                <w:szCs w:val="24"/>
              </w:rPr>
              <w:t xml:space="preserve">þ</w:t>
            </w:r>
            <w:r>
              <w:rPr>
                <w:rFonts w:hint="eastAsia" w:ascii="宋体" w:hAnsi="宋体" w:eastAsia="宋体" w:cs="宋体"/>
                <w:szCs w:val="21"/>
                <w:shd w:val="clear" w:color="auto" w:fill="ffffff"/>
              </w:rPr>
              <w:t xml:space="preserve">不需提交，招标文件中有关履约保证金的规定均不适用。</w:t>
            </w:r>
            <w:r/>
          </w:p>
          <w:p>
            <w:pPr>
              <w:ind w:right="-159"/>
              <w:jc w:val="left"/>
              <w:widowControl/>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shd w:val="clear" w:color="auto" w:fill="ffffff"/>
              </w:rPr>
              <w:t xml:space="preserve">需提交，中标合同金额的    %。</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szCs w:val="21"/>
              </w:rPr>
            </w:pPr>
            <w:r>
              <w:rPr>
                <w:rFonts w:hint="eastAsia" w:ascii="宋体" w:hAnsi="宋体" w:eastAsia="宋体" w:cs="宋体"/>
                <w:szCs w:val="21"/>
              </w:rPr>
              <w:t xml:space="preserve">7</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rPr>
              <w:t xml:space="preserve">代理服务费：</w:t>
            </w:r>
            <w:r/>
          </w:p>
          <w:p>
            <w:pPr>
              <w:rPr>
                <w:rFonts w:ascii="宋体" w:hAnsi="宋体" w:eastAsia="宋体" w:cs="宋体"/>
                <w:szCs w:val="21"/>
                <w:shd w:val="clear" w:color="auto" w:fill="ffffff"/>
              </w:rPr>
            </w:pPr>
            <w:r>
              <w:rPr>
                <w:rFonts w:ascii="Wingdings" w:hAnsi="Wingdings" w:eastAsia="Wingdings" w:cs="Wingdings"/>
                <w:bCs/>
                <w:sz w:val="24"/>
                <w:szCs w:val="24"/>
              </w:rPr>
              <w:t xml:space="preserve"></w:t>
            </w:r>
            <w:r>
              <w:rPr>
                <w:rFonts w:hint="eastAsia" w:ascii="宋体" w:hAnsi="宋体" w:eastAsia="宋体" w:cs="宋体"/>
                <w:szCs w:val="21"/>
              </w:rPr>
              <w:t xml:space="preserve">由采购人承担并直接支付</w:t>
            </w:r>
            <w:r>
              <w:rPr>
                <w:rFonts w:hint="eastAsia" w:ascii="宋体" w:hAnsi="宋体" w:eastAsia="宋体" w:cs="宋体"/>
                <w:szCs w:val="21"/>
                <w:shd w:val="clear" w:color="auto" w:fill="ffffff"/>
              </w:rPr>
              <w:t xml:space="preserve">，采购文件中有关代理服务费的规定均不适用。</w:t>
            </w:r>
            <w:r/>
          </w:p>
          <w:p>
            <w:pPr>
              <w:ind w:right="18"/>
              <w:jc w:val="left"/>
              <w:tabs>
                <w:tab w:val="left" w:pos="720" w:leader="none"/>
              </w:tabs>
              <w:rPr>
                <w:rFonts w:ascii="宋体" w:hAnsi="宋体" w:eastAsia="宋体" w:cs="宋体"/>
                <w:szCs w:val="21"/>
              </w:rPr>
            </w:pPr>
            <w:r>
              <w:rPr>
                <w:rFonts w:ascii="Wingdings" w:hAnsi="Wingdings" w:eastAsia="Wingdings" w:cs="Wingdings"/>
                <w:bCs/>
                <w:sz w:val="24"/>
                <w:szCs w:val="24"/>
              </w:rPr>
              <w:t xml:space="preserve"></w:t>
            </w:r>
            <w:r>
              <w:rPr>
                <w:rFonts w:hint="eastAsia" w:ascii="宋体" w:hAnsi="宋体" w:eastAsia="宋体" w:cs="宋体"/>
                <w:szCs w:val="21"/>
              </w:rPr>
              <w:t xml:space="preserve">由中标（成交）供应商承担并支付：</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收费标准：代理服务费收费按以下标准的</w:t>
            </w:r>
            <w:r>
              <w:rPr>
                <w:rFonts w:hint="eastAsia" w:ascii="宋体" w:hAnsi="宋体" w:eastAsia="宋体" w:cs="宋体"/>
                <w:szCs w:val="21"/>
                <w:u w:val="single"/>
              </w:rPr>
              <w:t xml:space="preserve"> 28 %</w:t>
            </w:r>
            <w:r>
              <w:rPr>
                <w:rFonts w:hint="eastAsia" w:ascii="宋体" w:hAnsi="宋体" w:eastAsia="宋体" w:cs="宋体"/>
                <w:szCs w:val="21"/>
              </w:rPr>
              <w:t xml:space="preserve">收取：</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预算金额5000万元以上部分，费率为该部分预算金额的0.25%。</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本项目代理服务费：</w:t>
            </w:r>
            <w:r>
              <w:rPr>
                <w:rFonts w:hint="eastAsia" w:ascii="宋体" w:hAnsi="宋体" w:eastAsia="宋体" w:cs="宋体"/>
                <w:sz w:val="24"/>
                <w:szCs w:val="20"/>
              </w:rPr>
              <w:t xml:space="preserve">¥</w:t>
            </w:r>
            <w:r>
              <w:rPr>
                <w:rFonts w:hint="eastAsia" w:ascii="宋体" w:hAnsi="宋体" w:eastAsia="宋体" w:cs="宋体"/>
                <w:szCs w:val="21"/>
              </w:rPr>
              <w:t xml:space="preserve">10,298.00</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付款方式：银行转账、现金解款</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服务费收款账号：8314122601346</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账户名：苏州诚和招投标咨询有限公司</w:t>
            </w:r>
            <w:r/>
          </w:p>
          <w:p>
            <w:pPr>
              <w:ind w:right="18"/>
              <w:jc w:val="left"/>
              <w:tabs>
                <w:tab w:val="left" w:pos="720" w:leader="none"/>
              </w:tabs>
              <w:rPr>
                <w:rFonts w:ascii="宋体" w:hAnsi="宋体" w:eastAsia="宋体" w:cs="宋体"/>
                <w:szCs w:val="21"/>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44" w:type="dxa"/>
            <w:vAlign w:val="center"/>
            <w:textDirection w:val="lrTb"/>
            <w:noWrap w:val="false"/>
          </w:tcPr>
          <w:p>
            <w:pPr>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政府采购监督电话：025-83633058</w:t>
            </w:r>
            <w:r/>
          </w:p>
        </w:tc>
      </w:tr>
    </w:tbl>
    <w:p>
      <w:pPr>
        <w:jc w:val="center"/>
        <w:spacing w:line="360" w:lineRule="auto"/>
        <w:rPr>
          <w:rFonts w:ascii="宋体" w:hAnsi="宋体" w:eastAsia="宋体" w:cs="宋体"/>
          <w:sz w:val="52"/>
          <w:szCs w:val="52"/>
          <w:shd w:val="clear" w:color="auto" w:fill="ffffff"/>
        </w:rPr>
      </w:pPr>
      <w:r>
        <w:rPr>
          <w:rFonts w:hint="eastAsia" w:ascii="宋体" w:hAnsi="宋体" w:eastAsia="宋体" w:cs="宋体"/>
          <w:sz w:val="52"/>
          <w:szCs w:val="52"/>
          <w:shd w:val="clear" w:color="auto" w:fill="ffffff"/>
        </w:rPr>
        <w:br w:type="page" w:clear="all"/>
      </w:r>
      <w:r/>
    </w:p>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left"/>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 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 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 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25</w:t>
      </w:r>
      <w:r>
        <w:rPr>
          <w:rFonts w:hint="eastAsia" w:ascii="宋体" w:hAnsi="宋体" w:eastAsia="宋体" w:cs="宋体"/>
          <w:sz w:val="24"/>
          <w:szCs w:val="20"/>
        </w:rPr>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 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43</w:t>
      </w:r>
      <w:r>
        <w:rPr>
          <w:rFonts w:hint="eastAsia" w:ascii="宋体" w:hAnsi="宋体" w:eastAsia="宋体" w:cs="宋体"/>
          <w:sz w:val="24"/>
          <w:szCs w:val="20"/>
        </w:rPr>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 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50</w:t>
      </w:r>
      <w:r>
        <w:rPr>
          <w:rFonts w:hint="eastAsia" w:ascii="宋体" w:hAnsi="宋体" w:eastAsia="宋体" w:cs="宋体"/>
          <w:sz w:val="24"/>
          <w:szCs w:val="20"/>
        </w:rPr>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 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56</w:t>
      </w:r>
      <w:r>
        <w:rPr>
          <w:rFonts w:hint="eastAsia" w:ascii="宋体" w:hAnsi="宋体" w:eastAsia="宋体" w:cs="宋体"/>
          <w:sz w:val="24"/>
          <w:szCs w:val="20"/>
        </w:rPr>
      </w:r>
      <w:r>
        <w:rPr>
          <w:rFonts w:hint="eastAsia" w:ascii="宋体" w:hAnsi="宋体" w:eastAsia="宋体" w:cs="宋体"/>
          <w:sz w:val="24"/>
          <w:szCs w:val="20"/>
        </w:rPr>
        <w:fldChar w:fldCharType="end"/>
      </w:r>
      <w:r/>
    </w:p>
    <w:p>
      <w:pPr>
        <w:jc w:val="left"/>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 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59</w:t>
      </w:r>
      <w:r>
        <w:rPr>
          <w:rFonts w:hint="eastAsia" w:ascii="宋体" w:hAnsi="宋体" w:eastAsia="宋体" w:cs="宋体"/>
          <w:sz w:val="24"/>
          <w:szCs w:val="20"/>
        </w:rPr>
      </w:r>
      <w:r>
        <w:rPr>
          <w:rFonts w:hint="eastAsia" w:ascii="宋体" w:hAnsi="宋体" w:eastAsia="宋体" w:cs="宋体"/>
          <w:sz w:val="24"/>
          <w:szCs w:val="20"/>
        </w:rPr>
        <w:fldChar w:fldCharType="end"/>
      </w:r>
      <w:r/>
    </w:p>
    <w:p>
      <w:pPr>
        <w:spacing w:line="360" w:lineRule="auto"/>
        <w:rPr>
          <w:rFonts w:ascii="宋体" w:hAnsi="宋体" w:eastAsia="宋体" w:cs="宋体"/>
          <w:b/>
          <w:sz w:val="32"/>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tabs>
          <w:tab w:val="left" w:pos="6398" w:leader="none"/>
        </w:tabs>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ab/>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b/>
          <w:sz w:val="30"/>
          <w:szCs w:val="30"/>
          <w:shd w:val="clear" w:color="auto" w:fill="ffffff"/>
        </w:rPr>
      </w:pPr>
      <w:r>
        <w:rPr>
          <w:rFonts w:ascii="宋体" w:hAnsi="宋体" w:eastAsia="宋体" w:cs="宋体"/>
          <w:b/>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r/>
    </w:p>
    <w:p>
      <w:pPr>
        <w:rPr>
          <w:rFonts w:ascii="宋体" w:hAnsi="宋体" w:eastAsia="宋体" w:cs="宋体"/>
          <w:b/>
          <w:sz w:val="24"/>
        </w:rPr>
      </w:pPr>
      <w:r>
        <w:rPr>
          <w:rFonts w:ascii="宋体" w:hAnsi="宋体" w:eastAsia="宋体" w:cs="宋体"/>
          <w:b/>
          <w:sz w:val="24"/>
        </w:rPr>
        <w:br w:type="page" w:clear="all"/>
      </w:r>
      <w:r/>
    </w:p>
    <w:p>
      <w:pPr>
        <w:ind w:firstLine="482"/>
        <w:spacing w:line="360" w:lineRule="auto"/>
        <w:rPr>
          <w:rFonts w:ascii="宋体" w:hAnsi="宋体" w:eastAsia="宋体" w:cs="宋体"/>
          <w:b/>
          <w:sz w:val="24"/>
        </w:rPr>
      </w:pPr>
      <w:r>
        <w:rPr>
          <w:rFonts w:ascii="宋体" w:hAnsi="宋体" w:eastAsia="宋体" w:cs="宋体"/>
          <w:b/>
          <w:sz w:val="24"/>
        </w:rPr>
      </w:r>
      <w:r/>
    </w:p>
    <w:tbl>
      <w:tblPr>
        <w:tblStyle w:val="720"/>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sz w:val="24"/>
              </w:rPr>
              <w:t xml:space="preserve">超高分辨转盘共聚焦显微镜</w:t>
            </w:r>
            <w:r>
              <w:rPr>
                <w:rFonts w:hint="eastAsia" w:ascii="宋体" w:hAnsi="宋体" w:eastAsia="宋体" w:cs="宋体"/>
                <w:sz w:val="24"/>
                <w:lang w:eastAsia="zh-CN"/>
              </w:rPr>
              <w:t xml:space="preserve">JSZC-320500-SZCH-G2026-0041</w:t>
            </w:r>
            <w:r>
              <w:rPr>
                <w:rFonts w:hint="eastAsia" w:ascii="宋体" w:hAnsi="宋体" w:eastAsia="宋体" w:cs="宋体"/>
                <w:sz w:val="24"/>
              </w:rPr>
              <w:t xml:space="preserve">的潜在投标人应在江苏省政府采购一体化平台“苏采云”系统自行免费下载招标（采购）文件，并于</w:t>
            </w:r>
            <w:r>
              <w:rPr>
                <w:rFonts w:hint="eastAsia" w:ascii="宋体" w:hAnsi="宋体" w:eastAsia="宋体" w:cs="宋体"/>
                <w:sz w:val="24"/>
                <w:lang w:eastAsia="zh-CN"/>
              </w:rPr>
              <w:t xml:space="preserve">2026年10月9日</w:t>
            </w:r>
            <w:r>
              <w:rPr>
                <w:rFonts w:hint="eastAsia" w:ascii="宋体" w:hAnsi="宋体" w:eastAsia="宋体" w:cs="宋体"/>
                <w:sz w:val="24"/>
                <w:lang w:val="en-US" w:eastAsia="zh-CN"/>
              </w:rPr>
              <w:t xml:space="preserve">9</w:t>
            </w:r>
            <w:r>
              <w:rPr>
                <w:rFonts w:hint="eastAsia" w:ascii="宋体" w:hAnsi="宋体" w:eastAsia="宋体" w:cs="宋体"/>
                <w:sz w:val="24"/>
              </w:rPr>
              <w:t xml:space="preserve">点30分（北京时间）前递交投标文件。</w:t>
            </w:r>
            <w:r/>
          </w:p>
        </w:tc>
      </w:tr>
    </w:tbl>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JSZC-320500-SZCH-G2026-0041</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项目名称：超高分辨转盘共聚焦显微镜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360" w:lineRule="auto"/>
        <w:rPr>
          <w:rFonts w:ascii="宋体" w:hAnsi="宋体" w:eastAsia="宋体" w:cs="宋体"/>
          <w:sz w:val="24"/>
          <w:szCs w:val="24"/>
        </w:rPr>
      </w:pPr>
      <w:r/>
      <w:bookmarkStart w:id="1" w:name="_Hlk193370935"/>
      <w:r>
        <w:rPr>
          <w:rFonts w:hint="eastAsia" w:ascii="宋体" w:hAnsi="宋体" w:eastAsia="宋体" w:cs="宋体"/>
          <w:sz w:val="24"/>
          <w:szCs w:val="24"/>
        </w:rPr>
        <w:t xml:space="preserve">预算金额：</w:t>
      </w:r>
      <w:bookmarkEnd w:id="1"/>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人民币（大写）：贰佰玖拾捌万元整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人民币（小写）：¥2,980,000.00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人民币（大写）：贰佰玖拾捌万元整</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人民币（小写）：¥2,980,000.00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采购需求：超高分辨转盘共聚焦显微镜1套。本项目接受进口产品投标。具体采购需求详见招标文件。</w:t>
      </w:r>
      <w:r/>
    </w:p>
    <w:p>
      <w:pPr>
        <w:ind w:firstLine="480"/>
        <w:spacing w:line="360" w:lineRule="auto"/>
        <w:tabs>
          <w:tab w:val="left" w:pos="9030" w:leader="none"/>
        </w:tabs>
        <w:rPr>
          <w:rFonts w:ascii="宋体" w:hAnsi="宋体" w:eastAsia="宋体" w:cs="宋体"/>
          <w:sz w:val="24"/>
          <w:szCs w:val="24"/>
        </w:rPr>
      </w:pPr>
      <w:r>
        <w:rPr>
          <w:rFonts w:hint="eastAsia" w:ascii="宋体" w:hAnsi="宋体" w:eastAsia="宋体" w:cs="宋体"/>
          <w:sz w:val="24"/>
          <w:szCs w:val="24"/>
        </w:rPr>
        <w:t xml:space="preserve">合同履行期限：中标供应商应当在合同签订后3个月内将货物运送至采购人指定地点。</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本项目（是/否）接受联合体：否。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pStyle w:val="723"/>
        <w:ind w:firstLine="480"/>
        <w:spacing w:line="360" w:lineRule="auto"/>
        <w:rPr>
          <w:rFonts w:ascii="宋体" w:hAnsi="宋体" w:eastAsia="宋体" w:cs="宋体"/>
          <w:szCs w:val="24"/>
        </w:rPr>
      </w:pPr>
      <w:r/>
      <w:bookmarkStart w:id="2" w:name="_Hlk193371023"/>
      <w:r>
        <w:rPr>
          <w:rFonts w:hint="eastAsia" w:ascii="宋体" w:hAnsi="宋体" w:eastAsia="宋体" w:cs="宋体"/>
          <w:szCs w:val="24"/>
        </w:rPr>
        <w:t xml:space="preserve">1.具有独立承担民事责任的能力；</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2.具有良好的商业信誉和健全的财务会计制度；</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3.具有履行合同所必需的设备和专业技术能力；</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4.有依法缴纳税收和社会保障资金的良好记录；</w:t>
      </w:r>
      <w:r/>
    </w:p>
    <w:p>
      <w:pPr>
        <w:pStyle w:val="723"/>
        <w:ind w:firstLine="480"/>
        <w:spacing w:line="360" w:lineRule="auto"/>
        <w:rPr>
          <w:rFonts w:ascii="宋体" w:hAnsi="宋体" w:eastAsia="宋体" w:cs="宋体"/>
          <w:szCs w:val="24"/>
        </w:rPr>
      </w:pPr>
      <w:r>
        <w:rPr>
          <w:rFonts w:hint="eastAsia" w:ascii="宋体" w:hAnsi="宋体" w:eastAsia="宋体" w:cs="宋体"/>
          <w:szCs w:val="24"/>
        </w:rPr>
        <w:t xml:space="preserve">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bookmarkEnd w:id="2"/>
      <w:r/>
      <w:r/>
    </w:p>
    <w:p>
      <w:pPr>
        <w:pStyle w:val="758"/>
        <w:ind w:firstLine="480"/>
        <w:spacing w:before="0" w:beforeAutospacing="0" w:after="0" w:afterAutospacing="0" w:line="360" w:lineRule="auto"/>
        <w:widowControl/>
        <w:rPr>
          <w:rFonts w:ascii="宋体" w:hAnsi="宋体" w:eastAsia="宋体" w:cs="宋体"/>
          <w:szCs w:val="24"/>
        </w:rPr>
      </w:pPr>
      <w:r>
        <w:rPr>
          <w:rFonts w:hint="eastAsia" w:ascii="宋体" w:hAnsi="宋体" w:eastAsia="宋体" w:cs="宋体"/>
          <w:szCs w:val="24"/>
        </w:rPr>
        <w:t xml:space="preserve">（二）落实政府采购政策需满足的资格要求：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1、未被“信用中国”网站（</w:t>
      </w:r>
      <w:r>
        <w:rPr>
          <w:rFonts w:hint="eastAsia"/>
        </w:rPr>
        <w:fldChar w:fldCharType="begin"/>
      </w:r>
      <w:r>
        <w:instrText xml:space="preserve"> HYPERLINK "https://www.creditchina.gov.cn" </w:instrText>
      </w:r>
      <w:r>
        <w:rPr>
          <w:rFonts w:hint="eastAsia"/>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）列入失信被执行人、重大税收违法案件当事人名单、政府采购严重失信行为记录名单。</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2、具有所投产品的合法代理资格（所投产品为国产产品的可不提供）。</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0"/>
        <w:spacing w:line="360" w:lineRule="auto"/>
        <w:rPr>
          <w:rFonts w:ascii="宋体" w:hAnsi="宋体" w:eastAsia="宋体" w:cs="宋体"/>
          <w:sz w:val="24"/>
          <w:szCs w:val="24"/>
        </w:rPr>
      </w:pPr>
      <w:r/>
      <w:bookmarkStart w:id="3" w:name="_Hlk97035982"/>
      <w:r>
        <w:rPr>
          <w:rFonts w:hint="eastAsia" w:ascii="宋体" w:hAnsi="宋体" w:eastAsia="宋体" w:cs="宋体"/>
          <w:sz w:val="24"/>
          <w:szCs w:val="24"/>
        </w:rPr>
        <w:t xml:space="preserve">1、时间：自招标公告发布之日起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sz w:val="24"/>
          <w:szCs w:val="24"/>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4、售价：0.00元</w:t>
      </w:r>
      <w:bookmarkEnd w:id="3"/>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2026年10月9日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点30分（北京时间）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rPr>
          <w:rFonts w:hint="eastAsia"/>
        </w:rPr>
        <w:fldChar w:fldCharType="begin"/>
      </w:r>
      <w:r>
        <w:instrText xml:space="preserve"> HYPERLINK "http://jszfcg.jsczt.cn/）" </w:instrText>
      </w:r>
      <w:r>
        <w:rPr>
          <w:rFonts w:hint="eastAsia"/>
        </w:rPr>
        <w:fldChar w:fldCharType="separate"/>
      </w:r>
      <w:r>
        <w:rPr>
          <w:rStyle w:val="767"/>
          <w:rFonts w:hint="eastAsia" w:ascii="宋体" w:hAnsi="宋体" w:eastAsia="宋体" w:cs="宋体"/>
          <w:color w:val="auto"/>
          <w:sz w:val="24"/>
          <w:szCs w:val="24"/>
        </w:rPr>
        <w:t xml:space="preserve">http://jszfcg.jsczt.cn/）</w:t>
      </w:r>
      <w:r>
        <w:rPr>
          <w:rStyle w:val="767"/>
          <w:rFonts w:hint="eastAsia" w:ascii="宋体" w:hAnsi="宋体" w:eastAsia="宋体" w:cs="宋体"/>
          <w:color w:val="auto"/>
          <w:sz w:val="24"/>
          <w:szCs w:val="24"/>
        </w:rPr>
        <w:fldChar w:fldCharType="end"/>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五、公告期限：自本公告发布之日起5个工作日。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szCs w:val="24"/>
        </w:rPr>
      </w:pPr>
      <w:r/>
      <w:bookmarkStart w:id="5" w:name="_Hlk193371515"/>
      <w:r>
        <w:rPr>
          <w:rFonts w:hint="eastAsia" w:ascii="宋体" w:hAnsi="宋体" w:eastAsia="宋体" w:cs="宋体"/>
          <w:sz w:val="24"/>
          <w:szCs w:val="24"/>
        </w:rPr>
        <w:t xml:space="preserve">4、CA证书办理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rPr>
        <w:t xml:space="preserve">“苏采云”系统目前仅支持“苏采云”系统下的政务CA证书，江苏省内各地区办理的“苏采云”系统下的政务CA证书全省通用。</w:t>
      </w:r>
      <w:r>
        <w:rPr>
          <w:rFonts w:hint="eastAsia" w:ascii="宋体" w:hAnsi="宋体" w:eastAsia="宋体" w:cs="宋体"/>
          <w:sz w:val="24"/>
          <w:szCs w:val="24"/>
        </w:rPr>
        <w:t xml:space="preserve">苏州现场办理地址：</w:t>
      </w:r>
      <w:r>
        <w:rPr>
          <w:rFonts w:hint="eastAsia" w:ascii="宋体" w:hAnsi="宋体" w:eastAsia="宋体" w:cs="宋体"/>
          <w:sz w:val="24"/>
          <w:szCs w:val="24"/>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bookmarkStart w:id="6" w:name="_Hlk193371550"/>
      <w:r>
        <w:rPr>
          <w:rFonts w:hint="eastAsia" w:ascii="宋体" w:hAnsi="宋体" w:eastAsia="宋体" w:cs="宋体"/>
          <w:sz w:val="24"/>
          <w:szCs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7、如不同投标（响应）文件制作机器码一致，则投标（响应）无效。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8、制作电子投标（响应）文件：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sz w:val="24"/>
          <w:szCs w:val="24"/>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sz w:val="24"/>
          <w:szCs w:val="24"/>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Pr>
      <w:r/>
      <w:bookmarkStart w:id="7" w:name="_Hlk193371673"/>
      <w:r>
        <w:rPr>
          <w:rFonts w:hint="eastAsia" w:ascii="宋体" w:hAnsi="宋体" w:eastAsia="宋体" w:cs="宋体"/>
          <w:sz w:val="24"/>
          <w:szCs w:val="24"/>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CA技术咨询服务电话：400-608-6099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电子签章技术咨询服务电话：15380932027、15371015030、13675197356、13675197221</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13、本项目支持政府采购合同信用融资。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14、政府采购监督电话：025-83633058。</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单位名称：苏州大学</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单位地址：苏州市东环路50号</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联系人：秦老师</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联系电话：0512-67</w:t>
      </w:r>
      <w:r>
        <w:rPr>
          <w:rFonts w:ascii="宋体" w:hAnsi="宋体" w:eastAsia="宋体" w:cs="宋体"/>
          <w:sz w:val="24"/>
        </w:rPr>
        <w:t xml:space="preserve">169460</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单位名称：苏州诚和招投标咨询有限公司</w:t>
      </w:r>
      <w:r/>
    </w:p>
    <w:p>
      <w:pPr>
        <w:ind w:firstLine="480"/>
        <w:spacing w:line="360" w:lineRule="auto"/>
        <w:rPr>
          <w:rFonts w:ascii="宋体" w:hAnsi="宋体" w:eastAsia="宋体" w:cs="宋体"/>
          <w:sz w:val="24"/>
        </w:rPr>
      </w:pPr>
      <w:r>
        <w:rPr>
          <w:rFonts w:hint="eastAsia" w:ascii="宋体" w:hAnsi="宋体" w:eastAsia="宋体" w:cs="宋体"/>
          <w:sz w:val="24"/>
        </w:rPr>
        <w:t xml:space="preserve">单位地址：苏州市竹辉路477号咨询大厦二楼</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联系电话：0512-65161672、0512-65161797</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sz w:val="24"/>
        </w:rPr>
      </w:pPr>
      <w:r>
        <w:rPr>
          <w:rFonts w:hint="eastAsia" w:ascii="宋体" w:hAnsi="宋体" w:eastAsia="宋体" w:cs="宋体"/>
          <w:sz w:val="24"/>
        </w:rPr>
        <w:t xml:space="preserve">项目联系人：邬汝超、沈川渝、张萱</w:t>
      </w:r>
      <w:r/>
    </w:p>
    <w:p>
      <w:pPr>
        <w:ind w:firstLine="480"/>
        <w:spacing w:line="360" w:lineRule="auto"/>
        <w:rPr>
          <w:rFonts w:ascii="宋体" w:hAnsi="宋体" w:eastAsia="宋体" w:cs="宋体"/>
          <w:sz w:val="24"/>
        </w:rPr>
      </w:pPr>
      <w:r>
        <w:rPr>
          <w:rFonts w:hint="eastAsia" w:ascii="宋体" w:hAnsi="宋体" w:eastAsia="宋体" w:cs="宋体"/>
          <w:sz w:val="24"/>
        </w:rPr>
        <w:t xml:space="preserve">电话：0512-65161672、0512-65161797</w:t>
      </w:r>
      <w:r/>
    </w:p>
    <w:p>
      <w:pPr>
        <w:rPr>
          <w:rFonts w:ascii="宋体" w:hAnsi="宋体" w:eastAsia="宋体" w:cs="宋体"/>
        </w:rPr>
      </w:pPr>
      <w:r>
        <w:rPr>
          <w:rFonts w:hint="eastAsia" w:ascii="宋体" w:hAnsi="宋体" w:eastAsia="宋体" w:cs="宋体"/>
        </w:rPr>
        <w:br w:type="page" w:clear="all"/>
      </w:r>
      <w:r/>
    </w:p>
    <w:p>
      <w:pPr>
        <w:rPr>
          <w:rFonts w:ascii="宋体" w:hAnsi="宋体" w:eastAsia="宋体" w:cs="宋体"/>
        </w:rPr>
      </w:pPr>
      <w:r>
        <w:rPr>
          <w:rFonts w:ascii="宋体" w:hAnsi="宋体" w:eastAsia="宋体" w:cs="宋体"/>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731"/>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8" w:name="_Toc105940238"/>
      <w:r>
        <w:rPr>
          <w:rFonts w:hint="eastAsia" w:ascii="宋体" w:hAnsi="宋体" w:eastAsia="宋体" w:cs="宋体"/>
          <w:b/>
          <w:sz w:val="52"/>
          <w:szCs w:val="20"/>
          <w:shd w:val="clear" w:color="auto" w:fill="ffffff"/>
        </w:rPr>
        <w:t xml:space="preserve">第二章供应商须知</w:t>
      </w:r>
      <w:bookmarkEnd w:id="8"/>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9"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rPr>
        <w:t xml:space="preserve">核心产品：根据本项目技术构成、产品价格比重等合理确定的产品。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rPr>
        <w:t xml:space="preserve">进口产品：通过中国海关报关验放进入中国境内且产自关境外的产品。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rPr>
        <w:t xml:space="preserve">本国产品：符合</w:t>
      </w:r>
      <w:r>
        <w:rPr>
          <w:rFonts w:hint="eastAsia" w:ascii="宋体" w:hAnsi="宋体" w:eastAsia="宋体" w:cs="宋体"/>
          <w:sz w:val="24"/>
          <w:szCs w:val="24"/>
          <w:lang w:val="zh-CN"/>
        </w:rPr>
        <w:t xml:space="preserve">《国务院办公厅关于在政府采购中实施本国产品标准及相关政策的通知》（国办发［2025］34号）规定</w:t>
      </w:r>
      <w:r>
        <w:rPr>
          <w:rFonts w:hint="eastAsia" w:ascii="宋体" w:hAnsi="宋体" w:eastAsia="宋体" w:cs="宋体"/>
          <w:sz w:val="24"/>
          <w:szCs w:val="24"/>
        </w:rPr>
        <w:t xml:space="preserve">的产品视为本国产品。</w:t>
      </w:r>
      <w:r/>
    </w:p>
    <w:p>
      <w:pPr>
        <w:ind w:firstLine="480"/>
        <w:spacing w:line="360" w:lineRule="auto"/>
        <w:rPr>
          <w:rFonts w:ascii="宋体" w:hAnsi="宋体" w:eastAsia="宋体" w:cs="宋体"/>
          <w:sz w:val="24"/>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0" w:name="_Hlk193372108"/>
      <w:r>
        <w:rPr>
          <w:rFonts w:hint="eastAsia" w:ascii="宋体" w:hAnsi="宋体" w:eastAsia="宋体" w:cs="宋体"/>
          <w:sz w:val="24"/>
          <w:szCs w:val="24"/>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sz w:val="24"/>
          <w:szCs w:val="24"/>
          <w:shd w:val="clear" w:color="auto" w:fill="ffffff"/>
        </w:rPr>
        <w:t xml:space="preserve">详见统一格式</w:t>
      </w:r>
      <w:bookmarkEnd w:id="11"/>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sz w:val="24"/>
          <w:szCs w:val="24"/>
        </w:rPr>
      </w:pPr>
      <w:r/>
      <w:bookmarkStart w:id="12" w:name="_Hlk193372378"/>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rPr>
        <w:t xml:space="preserve">联合投标（响应）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sz w:val="24"/>
          <w:szCs w:val="24"/>
        </w:rPr>
      </w:pPr>
      <w:r/>
      <w:bookmarkStart w:id="13" w:name="_Hlk193372188"/>
      <w:r>
        <w:rPr>
          <w:rFonts w:hint="eastAsia" w:ascii="宋体" w:hAnsi="宋体" w:eastAsia="宋体" w:cs="宋体"/>
          <w:sz w:val="24"/>
          <w:szCs w:val="24"/>
          <w:shd w:val="clear" w:color="auto" w:fill="ffffff"/>
        </w:rPr>
        <w:t xml:space="preserve">6.2</w:t>
      </w:r>
      <w:r>
        <w:rPr>
          <w:rFonts w:hint="eastAsia" w:ascii="宋体" w:hAnsi="宋体" w:eastAsia="宋体" w:cs="宋体"/>
          <w:sz w:val="24"/>
          <w:szCs w:val="24"/>
        </w:rPr>
        <w:t xml:space="preserve">联合体除应符合上述</w:t>
      </w:r>
      <w:r>
        <w:rPr>
          <w:rFonts w:hint="eastAsia" w:ascii="宋体" w:hAnsi="宋体" w:eastAsia="宋体" w:cs="宋体"/>
          <w:sz w:val="24"/>
          <w:szCs w:val="24"/>
          <w:shd w:val="clear" w:color="auto" w:fill="ffffff"/>
        </w:rPr>
        <w:t xml:space="preserve">6.1</w:t>
      </w:r>
      <w:r>
        <w:rPr>
          <w:rFonts w:hint="eastAsia" w:ascii="宋体" w:hAnsi="宋体" w:eastAsia="宋体" w:cs="宋体"/>
          <w:sz w:val="24"/>
          <w:szCs w:val="24"/>
        </w:rPr>
        <w:t xml:space="preserve">条要求外，还应遵守以下规定：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4" w:name="_Hlk193372537"/>
      <w:r>
        <w:rPr>
          <w:rFonts w:hint="eastAsia" w:ascii="宋体" w:hAnsi="宋体" w:eastAsia="宋体" w:cs="宋体"/>
          <w:sz w:val="24"/>
          <w:szCs w:val="24"/>
        </w:rPr>
        <w:t xml:space="preserve">招标文件由招标文件总目录所列内容组成，</w:t>
      </w:r>
      <w:bookmarkEnd w:id="14"/>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sz w:val="24"/>
          <w:szCs w:val="24"/>
        </w:rPr>
        <w:t xml:space="preserve">该电子投标（响应）文件将被视为未实质性响应。</w:t>
      </w:r>
      <w:bookmarkEnd w:id="15"/>
      <w:r/>
      <w:r/>
    </w:p>
    <w:p>
      <w:pPr>
        <w:ind w:firstLine="480"/>
        <w:jc w:val="left"/>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6" w:name="_Hlk193372622"/>
      <w:r>
        <w:rPr>
          <w:rFonts w:hint="eastAsia" w:ascii="宋体" w:hAnsi="宋体" w:eastAsia="宋体" w:cs="宋体"/>
          <w:sz w:val="24"/>
          <w:szCs w:val="24"/>
        </w:rPr>
        <w:t xml:space="preserve">未按规定的方式获得的</w:t>
      </w:r>
      <w:bookmarkEnd w:id="16"/>
      <w:r>
        <w:rPr>
          <w:rFonts w:hint="eastAsia" w:ascii="宋体" w:hAnsi="宋体" w:eastAsia="宋体" w:cs="宋体"/>
          <w:sz w:val="24"/>
          <w:szCs w:val="24"/>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bookmarkStart w:id="17" w:name="_Hlk193372773"/>
      <w:r>
        <w:rPr>
          <w:rFonts w:hint="eastAsia" w:ascii="宋体" w:hAnsi="宋体" w:eastAsia="宋体" w:cs="宋体"/>
          <w:b/>
          <w:sz w:val="24"/>
          <w:szCs w:val="24"/>
          <w:shd w:val="clear" w:color="auto" w:fill="ffffff"/>
        </w:rPr>
        <w:t xml:space="preserve">8.招标文件的询问</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sz w:val="24"/>
          <w:szCs w:val="24"/>
          <w:shd w:val="clear" w:color="auto" w:fill="ffffff"/>
        </w:rPr>
        <w:t xml:space="preserve">采购人或采购代理机构概不负责。</w:t>
      </w:r>
      <w:bookmarkEnd w:id="18"/>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14.投标（响应）文件的组成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14.1投标（响应）书：</w:t>
      </w:r>
      <w:r/>
    </w:p>
    <w:p>
      <w:pPr>
        <w:ind w:firstLine="482"/>
        <w:spacing w:line="360" w:lineRule="auto"/>
        <w:rPr>
          <w:rFonts w:ascii="宋体" w:hAnsi="宋体" w:eastAsia="宋体" w:cs="宋体"/>
        </w:rPr>
      </w:pPr>
      <w:r>
        <w:rPr>
          <w:rFonts w:hint="eastAsia" w:ascii="宋体" w:hAnsi="宋体" w:eastAsia="宋体" w:cs="宋体"/>
          <w:b/>
          <w:sz w:val="24"/>
        </w:rPr>
        <w:t xml:space="preserve">14.1.1封面；</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14.1.2开标一览表（格式详见第三章）；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14.1.3投标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报价明细表（格式详见第三章）；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14.1.4资格性审查文件</w:t>
      </w:r>
      <w:r/>
    </w:p>
    <w:tbl>
      <w:tblPr>
        <w:tblStyle w:val="720"/>
        <w:tblW w:w="47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273"/>
        <w:gridCol w:w="4492"/>
      </w:tblGrid>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bookmarkStart w:id="19" w:name="_Hlk193373287"/>
            <w:r>
              <w:rPr>
                <w:rFonts w:hint="eastAsia" w:ascii="宋体" w:hAnsi="宋体" w:eastAsia="宋体" w:cs="宋体"/>
                <w:sz w:val="21"/>
              </w:rPr>
              <w:t xml:space="preserve">序号</w:t>
            </w:r>
            <w:r/>
          </w:p>
        </w:tc>
        <w:tc>
          <w:tcPr>
            <w:tcW w:w="2325"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评审项</w:t>
            </w:r>
            <w:r/>
          </w:p>
        </w:tc>
        <w:tc>
          <w:tcPr>
            <w:tcW w:w="2442"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评审要求</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一、基本资格条件</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2</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w:t>
            </w:r>
            <w:r>
              <w:rPr>
                <w:rFonts w:hint="eastAsia" w:ascii="宋体" w:hAnsi="宋体" w:eastAsia="宋体" w:cs="宋体"/>
                <w:b/>
                <w:bCs/>
                <w:sz w:val="21"/>
                <w:szCs w:val="21"/>
              </w:rPr>
              <w:t xml:space="preserve">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3</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4</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442" w:type="pct"/>
            <w:vAlign w:val="center"/>
            <w:textDirection w:val="lrTb"/>
            <w:noWrap w:val="false"/>
          </w:tcPr>
          <w:p>
            <w:pPr>
              <w:jc w:val="left"/>
              <w:rPr>
                <w:rFonts w:ascii="宋体" w:hAnsi="宋体" w:eastAsia="宋体" w:cs="宋体"/>
              </w:rPr>
            </w:pPr>
            <w:r>
              <w:rPr>
                <w:rFonts w:hint="eastAsia" w:ascii="宋体" w:hAnsi="宋体" w:eastAsia="宋体" w:cs="宋体"/>
              </w:rPr>
              <w:t xml:space="preserve">供应商提供参加本次政府采购活动前一段时间内依法缴纳税收和社会保险的凭据；依法免税或不需要缴纳社会保障资金的供应商，应提供相应证明资料证明其依法免税或不需要缴纳社会保障资金。</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5</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6</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rPr>
              <w:t xml:space="preserve">无</w:t>
            </w:r>
            <w:r/>
          </w:p>
        </w:tc>
        <w:tc>
          <w:tcPr>
            <w:tcW w:w="2442" w:type="pct"/>
            <w:textDirection w:val="lrTb"/>
            <w:noWrap w:val="false"/>
          </w:tcPr>
          <w:p>
            <w:pPr>
              <w:pStyle w:val="729"/>
              <w:jc w:val="left"/>
              <w:spacing w:line="240" w:lineRule="auto"/>
              <w:rPr>
                <w:rFonts w:ascii="宋体" w:hAnsi="宋体" w:eastAsia="宋体" w:cs="宋体"/>
                <w:sz w:val="21"/>
              </w:rPr>
            </w:pPr>
            <w:r>
              <w:rPr>
                <w:rFonts w:hint="eastAsia" w:ascii="宋体" w:hAnsi="宋体" w:eastAsia="宋体" w:cs="宋体"/>
                <w:sz w:val="21"/>
                <w:szCs w:val="21"/>
              </w:rPr>
              <w:t xml:space="preserve">无</w:t>
            </w:r>
            <w:r/>
          </w:p>
        </w:tc>
      </w:tr>
      <w:tr>
        <w:trPr>
          <w:jc w:val="cente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1</w:t>
            </w:r>
            <w:r/>
          </w:p>
        </w:tc>
        <w:tc>
          <w:tcPr>
            <w:shd w:val="clear" w:color="auto" w:fill="auto"/>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442"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19"/>
            <w:r/>
            <w:r/>
          </w:p>
        </w:tc>
      </w:tr>
      <w:tr>
        <w:trPr>
          <w:jc w:val="center"/>
          <w:trHeight w:val="23"/>
        </w:trPr>
        <w:tc>
          <w:tcPr>
            <w:tcW w:w="231" w:type="pct"/>
            <w:vAlign w:val="center"/>
            <w:textDirection w:val="lrTb"/>
            <w:noWrap w:val="false"/>
          </w:tcPr>
          <w:p>
            <w:pPr>
              <w:pStyle w:val="729"/>
              <w:jc w:val="center"/>
              <w:spacing w:line="240" w:lineRule="auto"/>
              <w:rPr>
                <w:rFonts w:ascii="宋体" w:hAnsi="宋体" w:eastAsia="宋体" w:cs="宋体"/>
                <w:sz w:val="21"/>
              </w:rPr>
            </w:pPr>
            <w:r>
              <w:rPr>
                <w:rFonts w:hint="eastAsia" w:ascii="宋体" w:hAnsi="宋体" w:eastAsia="宋体" w:cs="宋体"/>
                <w:sz w:val="21"/>
              </w:rPr>
              <w:t xml:space="preserve">2</w:t>
            </w:r>
            <w:r/>
          </w:p>
        </w:tc>
        <w:tc>
          <w:tcPr>
            <w:shd w:val="clear" w:color="auto" w:fill="auto"/>
            <w:tcW w:w="2325"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具有所投产品的合法代理资格（所投产品为国产产品的可不提供）。</w:t>
            </w:r>
            <w:r/>
          </w:p>
        </w:tc>
        <w:tc>
          <w:tcPr>
            <w:shd w:val="clear" w:color="auto" w:fill="auto"/>
            <w:tcW w:w="2442" w:type="pct"/>
            <w:textDirection w:val="lrTb"/>
            <w:noWrap w:val="false"/>
          </w:tcPr>
          <w:p>
            <w:pPr>
              <w:pStyle w:val="729"/>
              <w:jc w:val="left"/>
              <w:spacing w:line="240" w:lineRule="auto"/>
              <w:rPr>
                <w:rFonts w:ascii="宋体" w:hAnsi="宋体" w:eastAsia="宋体" w:cs="宋体"/>
                <w:sz w:val="21"/>
              </w:rPr>
            </w:pPr>
            <w:r>
              <w:rPr>
                <w:rFonts w:hint="eastAsia" w:ascii="宋体" w:hAnsi="宋体" w:eastAsia="宋体" w:cs="宋体"/>
                <w:sz w:val="21"/>
              </w:rPr>
              <w:t xml:space="preserve">所投产品合法代理资格的证明材料扫描件（所投产品为国产产品的可不提供）</w:t>
            </w:r>
            <w:r/>
          </w:p>
        </w:tc>
      </w:tr>
    </w:tbl>
    <w:p>
      <w:pPr>
        <w:ind w:firstLine="482"/>
        <w:spacing w:line="360" w:lineRule="auto"/>
        <w:rPr>
          <w:rFonts w:ascii="宋体" w:hAnsi="宋体" w:eastAsia="宋体" w:cs="宋体"/>
          <w:b/>
          <w:sz w:val="24"/>
        </w:rPr>
      </w:pPr>
      <w:r>
        <w:rPr>
          <w:rFonts w:hint="eastAsia" w:ascii="宋体" w:hAnsi="宋体" w:eastAsia="宋体" w:cs="宋体"/>
          <w:b/>
          <w:sz w:val="24"/>
        </w:rPr>
        <w:t xml:space="preserve">以上是资格性审查的要求和必须提供的材料，未按要求提供的投标（响应）无效。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2734"/>
        <w:gridCol w:w="6432"/>
      </w:tblGrid>
      <w:tr>
        <w:trPr>
          <w:trHeight w:val="23"/>
        </w:trPr>
        <w:tc>
          <w:tcPr>
            <w:tcW w:w="240" w:type="pct"/>
            <w:vAlign w:val="center"/>
            <w:textDirection w:val="lrTb"/>
            <w:noWrap w:val="false"/>
          </w:tcPr>
          <w:p>
            <w:pPr>
              <w:pStyle w:val="729"/>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420" w:type="pct"/>
            <w:vAlign w:val="center"/>
            <w:textDirection w:val="lrTb"/>
            <w:noWrap w:val="false"/>
          </w:tcPr>
          <w:p>
            <w:pPr>
              <w:pStyle w:val="729"/>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3339" w:type="pct"/>
            <w:vAlign w:val="center"/>
            <w:textDirection w:val="lrTb"/>
            <w:noWrap w:val="false"/>
          </w:tcPr>
          <w:p>
            <w:pPr>
              <w:pStyle w:val="72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ascii="宋体" w:hAnsi="宋体" w:eastAsia="宋体" w:cs="宋体"/>
                <w:sz w:val="21"/>
                <w:szCs w:val="21"/>
              </w:rPr>
              <w:t xml:space="preserve">报价符合性审查</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ascii="宋体" w:hAnsi="宋体" w:eastAsia="宋体" w:cs="宋体"/>
                <w:sz w:val="21"/>
                <w:szCs w:val="21"/>
              </w:rPr>
              <w:t xml:space="preserve">属于投标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报价低于采购项目最高限价45%的，即投标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报价</w:t>
            </w:r>
            <w:r>
              <w:rPr>
                <w:rFonts w:hint="eastAsia" w:ascii="宋体" w:hAnsi="宋体" w:eastAsia="宋体" w:cs="宋体"/>
                <w:sz w:val="21"/>
                <w:szCs w:val="21"/>
              </w:rPr>
              <w:t xml:space="preserve">＜</w:t>
            </w:r>
            <w:r>
              <w:rPr>
                <w:rFonts w:ascii="宋体" w:hAnsi="宋体" w:eastAsia="宋体" w:cs="宋体"/>
                <w:sz w:val="21"/>
                <w:szCs w:val="21"/>
              </w:rPr>
              <w:t xml:space="preserve">采购项目最高限价</w:t>
            </w:r>
            <w:r>
              <w:rPr>
                <w:rFonts w:hint="eastAsia" w:ascii="宋体" w:hAnsi="宋体" w:eastAsia="宋体" w:cs="宋体"/>
                <w:sz w:val="21"/>
                <w:szCs w:val="21"/>
              </w:rPr>
              <w:t xml:space="preserve">×</w:t>
            </w:r>
            <w:r>
              <w:rPr>
                <w:rFonts w:ascii="宋体" w:hAnsi="宋体" w:eastAsia="宋体" w:cs="宋体"/>
                <w:sz w:val="21"/>
                <w:szCs w:val="21"/>
              </w:rPr>
              <w:t xml:space="preserve">45%，供应商可随投标</w:t>
            </w:r>
            <w:r>
              <w:rPr>
                <w:rFonts w:hint="eastAsia" w:ascii="宋体" w:hAnsi="宋体" w:eastAsia="宋体" w:cs="宋体"/>
                <w:sz w:val="21"/>
                <w:szCs w:val="21"/>
              </w:rPr>
              <w:t xml:space="preserve">（</w:t>
            </w:r>
            <w:r>
              <w:rPr>
                <w:rFonts w:ascii="宋体" w:hAnsi="宋体" w:eastAsia="宋体" w:cs="宋体"/>
                <w:sz w:val="21"/>
                <w:szCs w:val="21"/>
              </w:rPr>
              <w:t xml:space="preserve">响应</w:t>
            </w:r>
            <w:r>
              <w:rPr>
                <w:rFonts w:hint="eastAsia" w:ascii="宋体" w:hAnsi="宋体" w:eastAsia="宋体" w:cs="宋体"/>
                <w:sz w:val="21"/>
                <w:szCs w:val="21"/>
              </w:rPr>
              <w:t xml:space="preserve">）</w:t>
            </w:r>
            <w:r>
              <w:rPr>
                <w:rFonts w:ascii="宋体" w:hAnsi="宋体" w:eastAsia="宋体" w:cs="宋体"/>
                <w:sz w:val="21"/>
                <w:szCs w:val="21"/>
              </w:rPr>
              <w:t xml:space="preserve">文件一</w:t>
            </w:r>
            <w:r>
              <w:rPr>
                <w:rFonts w:hint="eastAsia" w:ascii="宋体" w:hAnsi="宋体" w:eastAsia="宋体" w:cs="宋体"/>
                <w:sz w:val="21"/>
                <w:szCs w:val="21"/>
              </w:rPr>
              <w:t xml:space="preserve">并</w:t>
            </w:r>
            <w:r>
              <w:rPr>
                <w:rFonts w:ascii="宋体" w:hAnsi="宋体" w:eastAsia="宋体" w:cs="宋体"/>
                <w:sz w:val="21"/>
                <w:szCs w:val="21"/>
              </w:rPr>
              <w:t xml:space="preserve">提交相关书面说明及必要的证明材料。</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以投标文件报价为准（供应商无须单独提供资料）</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投标（响应）函</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shd w:val="clear" w:color="auto" w:fill="auto"/>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w:t>
            </w:r>
            <w:r/>
          </w:p>
        </w:tc>
        <w:tc>
          <w:tcPr>
            <w:tcW w:w="1420" w:type="pct"/>
            <w:vAlign w:val="center"/>
            <w:textDirection w:val="lrTb"/>
            <w:noWrap w:val="false"/>
          </w:tcPr>
          <w:p>
            <w:pPr>
              <w:pStyle w:val="72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《拟投入本项目人员配备一览表》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gridSpan w:val="3"/>
            <w:tcW w:w="500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《技术或服务要求偏离表》</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《投标货物和服务数量、品牌型号、技术要求、交货期》</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《针对本项目制定的实施方案》</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bookmarkStart w:id="20" w:name="_Hlk193373412"/>
            <w:r>
              <w:rPr>
                <w:rFonts w:hint="eastAsia" w:ascii="宋体" w:hAnsi="宋体" w:eastAsia="宋体" w:cs="宋体"/>
                <w:sz w:val="21"/>
                <w:szCs w:val="21"/>
              </w:rPr>
              <w:t xml:space="preserve">4</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带“★”项技术参数要求的相关佐证材料</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能直接反映该产品技术参数的官网截图或彩页或产品说明书或具有检验（检测）资质的第三方检测机构出具的有效检验（检测）报告的相关佐证材料扫描件</w:t>
            </w:r>
            <w:r/>
          </w:p>
        </w:tc>
      </w:tr>
      <w:tr>
        <w:trPr>
          <w:trHeight w:val="23"/>
        </w:trPr>
        <w:tc>
          <w:tcPr>
            <w:tcW w:w="240" w:type="pct"/>
            <w:vAlign w:val="center"/>
            <w:textDirection w:val="lrTb"/>
            <w:noWrap w:val="false"/>
          </w:tcPr>
          <w:p>
            <w:pPr>
              <w:pStyle w:val="729"/>
              <w:jc w:val="center"/>
              <w:spacing w:line="240" w:lineRule="auto"/>
              <w:rPr>
                <w:rFonts w:ascii="宋体" w:hAnsi="宋体" w:eastAsia="宋体" w:cs="宋体"/>
                <w:sz w:val="21"/>
                <w:szCs w:val="21"/>
              </w:rPr>
            </w:pPr>
            <w:r>
              <w:rPr>
                <w:rFonts w:hint="eastAsia" w:ascii="宋体" w:hAnsi="宋体" w:eastAsia="宋体" w:cs="宋体"/>
                <w:sz w:val="21"/>
                <w:szCs w:val="21"/>
              </w:rPr>
              <w:t xml:space="preserve">5</w:t>
            </w:r>
            <w:r/>
          </w:p>
        </w:tc>
        <w:tc>
          <w:tcPr>
            <w:tcW w:w="1420"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3339" w:type="pct"/>
            <w:vAlign w:val="center"/>
            <w:textDirection w:val="lrTb"/>
            <w:noWrap w:val="false"/>
          </w:tcPr>
          <w:p>
            <w:pPr>
              <w:pStyle w:val="72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格式自拟</w:t>
            </w:r>
            <w:bookmarkEnd w:id="20"/>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1" w:name="_Hlk193373771"/>
      <w:r>
        <w:rPr>
          <w:rFonts w:hint="eastAsia" w:ascii="宋体" w:hAnsi="宋体" w:eastAsia="宋体" w:cs="宋体"/>
          <w:b/>
          <w:bCs/>
          <w:sz w:val="24"/>
          <w:szCs w:val="24"/>
          <w:u w:val="single"/>
          <w:shd w:val="clear" w:color="auto" w:fill="ffffff"/>
        </w:rPr>
        <w:t xml:space="preserve">未按要求提供</w:t>
      </w:r>
      <w:bookmarkEnd w:id="21"/>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sz w:val="24"/>
          <w:szCs w:val="24"/>
        </w:rPr>
        <w:t xml:space="preserve">供应商</w:t>
      </w:r>
      <w:r>
        <w:rPr>
          <w:rFonts w:hint="eastAsia" w:ascii="宋体" w:hAnsi="宋体" w:eastAsia="宋体" w:cs="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cs="宋体"/>
          <w:b/>
          <w:bCs/>
          <w:sz w:val="24"/>
          <w:szCs w:val="24"/>
        </w:rPr>
        <w:t xml:space="preserve">.1—</w:t>
      </w:r>
      <w:r>
        <w:rPr>
          <w:rFonts w:hint="eastAsia" w:ascii="宋体" w:hAnsi="宋体" w:eastAsia="宋体" w:cs="宋体"/>
          <w:b/>
          <w:sz w:val="24"/>
        </w:rPr>
        <w:t xml:space="preserve">14.1</w:t>
      </w:r>
      <w:r>
        <w:rPr>
          <w:rFonts w:hint="eastAsia" w:ascii="宋体" w:hAnsi="宋体" w:eastAsia="宋体" w:cs="宋体"/>
          <w:b/>
          <w:bCs/>
          <w:sz w:val="24"/>
          <w:szCs w:val="24"/>
        </w:rPr>
        <w:t xml:space="preserve">.5款规定的资料。否则，投标响应文件将被视为因未实质性响应招标文件要求而被拒绝。</w:t>
      </w:r>
      <w:r/>
    </w:p>
    <w:p>
      <w:pPr>
        <w:ind w:firstLine="480"/>
        <w:spacing w:line="360" w:lineRule="auto"/>
        <w:rPr>
          <w:rFonts w:ascii="宋体" w:hAnsi="宋体" w:eastAsia="宋体" w:cs="宋体"/>
          <w:sz w:val="24"/>
          <w:szCs w:val="24"/>
          <w:shd w:val="clear" w:color="auto" w:fill="ffffff"/>
        </w:rPr>
      </w:pPr>
      <w:r/>
      <w:bookmarkStart w:id="22" w:name="_Hlk158131259"/>
      <w:r/>
      <w:bookmarkStart w:id="23" w:name="_Hlk193374074"/>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4"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25" w:name="_Hlk158134955"/>
      <w:r>
        <w:rPr>
          <w:rFonts w:hint="eastAsia" w:ascii="宋体" w:hAnsi="宋体" w:eastAsia="宋体" w:cs="宋体"/>
          <w:sz w:val="24"/>
          <w:szCs w:val="24"/>
        </w:rPr>
        <w:t xml:space="preserve">15.4联合体投标（响应）：如招标公告中允许联合体投标（响应），联合体投标（响应）的投标（响应）文件制作上传操作如下：</w:t>
      </w:r>
      <w:r/>
    </w:p>
    <w:p>
      <w:pPr>
        <w:pStyle w:val="730"/>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第一步：在投标（响应）文件中上传联合体投标（响应）协议书。</w:t>
      </w:r>
      <w:r>
        <w:rPr>
          <w:rFonts w:hint="eastAsia" w:ascii="宋体" w:hAnsi="宋体" w:eastAsia="宋体" w:cs="宋体"/>
          <w:bCs/>
          <w:szCs w:val="24"/>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15.5如不同投标（响应）文件制作机器码一致，则投标（响应）无效。</w:t>
      </w:r>
      <w:bookmarkEnd w:id="2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16.投标（响应）报价（编制）要求的说明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16.4投标（响应）文件报价中的单价和总价全部采用人民币表示，除非合同的特殊条款另有规定。</w:t>
      </w:r>
      <w:r/>
    </w:p>
    <w:p>
      <w:pPr>
        <w:pStyle w:val="1038"/>
        <w:ind w:firstLine="480"/>
        <w:spacing w:before="0" w:beforeAutospacing="0" w:after="0" w:afterAutospacing="0" w:line="360" w:lineRule="auto"/>
        <w:shd w:val="clear" w:color="auto" w:fill="ffffff"/>
      </w:pPr>
      <w:r>
        <w:rPr>
          <w:rFonts w:hint="eastAsia"/>
          <w:shd w:val="clear" w:color="auto" w:fill="ffffff"/>
        </w:rPr>
        <w:t xml:space="preserve">16.5</w:t>
      </w:r>
      <w:r>
        <w:rPr>
          <w:rFonts w:hint="eastAsia"/>
          <w:b/>
          <w:bCs/>
          <w:shd w:val="clear" w:color="auto" w:fill="ffffff"/>
        </w:rPr>
        <w:t xml:space="preserve">所投</w:t>
      </w:r>
      <w:r>
        <w:rPr>
          <w:rFonts w:hint="eastAsia"/>
          <w:b/>
          <w:bCs/>
        </w:rPr>
        <w:t xml:space="preserve">产品为进口产品时，报价必须为人民币含税价</w:t>
      </w:r>
      <w:r>
        <w:rPr>
          <w:rFonts w:hint="eastAsia"/>
        </w:rPr>
        <w:t xml:space="preserve">，</w:t>
      </w:r>
      <w:r>
        <w:rPr>
          <w:rFonts w:hint="eastAsia"/>
          <w:color w:val="0f1115"/>
          <w:shd w:val="clear" w:color="auto" w:fill="ffffff"/>
        </w:rPr>
        <w:t xml:space="preserve">即在采购人指定地点交货所需的所有费用，</w:t>
      </w:r>
      <w:r>
        <w:rPr>
          <w:rFonts w:hint="eastAsia"/>
          <w:b/>
          <w:bCs/>
          <w:color w:val="0f1115"/>
          <w:shd w:val="clear" w:color="auto" w:fill="ffffff"/>
        </w:rPr>
        <w:t xml:space="preserve">包含但不限于进口关税、进口增值税、进口代理服务费及</w:t>
      </w:r>
      <w:r>
        <w:rPr>
          <w:rFonts w:hint="eastAsia"/>
          <w:b/>
          <w:bCs/>
        </w:rPr>
        <w:t xml:space="preserve">安装、调试、培训和检测等的全部费用</w:t>
      </w:r>
      <w:r>
        <w:rPr>
          <w:rFonts w:hint="eastAsia"/>
        </w:rPr>
        <w:t xml:space="preserve">。</w:t>
      </w:r>
      <w:r/>
    </w:p>
    <w:p>
      <w:pPr>
        <w:pStyle w:val="1038"/>
        <w:ind w:firstLine="480"/>
        <w:spacing w:before="0" w:beforeAutospacing="0" w:after="0" w:afterAutospacing="0" w:line="360" w:lineRule="auto"/>
        <w:shd w:val="clear" w:color="auto" w:fill="ffffff"/>
        <w:rPr>
          <w:color w:val="333333"/>
        </w:rPr>
      </w:pPr>
      <w:r>
        <w:rPr>
          <w:rFonts w:hint="eastAsia"/>
          <w:color w:val="333333"/>
        </w:rPr>
        <w:t xml:space="preserve">16.5.1如进口产品在国务院税委会公告的加征关税商品清单中，加征的关税应包含在报价中，即采购人在按照政府采购合同规定的付款方式和金额支付完货款后，不承担任何其他的或后续的费用。</w:t>
      </w:r>
      <w:r/>
    </w:p>
    <w:p>
      <w:pPr>
        <w:pStyle w:val="1038"/>
        <w:ind w:firstLine="480"/>
        <w:spacing w:before="0" w:beforeAutospacing="0" w:after="0" w:afterAutospacing="0" w:line="360" w:lineRule="auto"/>
        <w:shd w:val="clear" w:color="auto" w:fill="ffffff"/>
        <w:rPr>
          <w:color w:val="333333"/>
        </w:rPr>
      </w:pPr>
      <w:r>
        <w:rPr>
          <w:rFonts w:hint="eastAsia"/>
          <w:color w:val="333333"/>
        </w:rPr>
        <w:t xml:space="preserve">16.5.2本次采购的产品使用场景不符合免税办理条件，如投标报价的</w:t>
      </w:r>
      <w:r>
        <w:rPr>
          <w:rFonts w:hint="eastAsia"/>
          <w:b/>
          <w:bCs/>
          <w:color w:val="333333"/>
        </w:rPr>
        <w:t xml:space="preserve">进口产品</w:t>
      </w:r>
      <w:r>
        <w:rPr>
          <w:rFonts w:hint="eastAsia"/>
          <w:color w:val="333333"/>
        </w:rPr>
        <w:t xml:space="preserve">，即使在免税清单内，</w:t>
      </w:r>
      <w:r>
        <w:rPr>
          <w:rFonts w:hint="eastAsia"/>
          <w:b/>
          <w:bCs/>
          <w:color w:val="333333"/>
        </w:rPr>
        <w:t xml:space="preserve">报价也必须为含税价，不接受免税报价</w:t>
      </w:r>
      <w:r>
        <w:rPr>
          <w:rFonts w:hint="eastAsia"/>
          <w:color w:val="333333"/>
        </w:rPr>
        <w:t xml:space="preserve">。</w:t>
      </w:r>
      <w:r/>
    </w:p>
    <w:p>
      <w:pPr>
        <w:pStyle w:val="1038"/>
        <w:ind w:firstLine="480"/>
        <w:spacing w:before="0" w:beforeAutospacing="0" w:after="0" w:afterAutospacing="0" w:line="360" w:lineRule="auto"/>
        <w:shd w:val="clear" w:color="auto" w:fill="ffffff"/>
        <w:rPr>
          <w:color w:val="333333"/>
        </w:rPr>
      </w:pPr>
      <w:r>
        <w:rPr>
          <w:rFonts w:hint="eastAsia"/>
          <w:color w:val="333333"/>
        </w:rPr>
        <w:t xml:space="preserve">16.5.3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16.6最低报价不能作为中标的保证。</w:t>
      </w:r>
      <w:r/>
    </w:p>
    <w:p>
      <w:pPr>
        <w:ind w:firstLine="482"/>
        <w:spacing w:line="360" w:lineRule="auto"/>
        <w:rPr>
          <w:rFonts w:ascii="宋体" w:hAnsi="宋体" w:eastAsia="宋体" w:cs="宋体"/>
          <w:b/>
          <w:sz w:val="24"/>
          <w:szCs w:val="24"/>
          <w:shd w:val="clear" w:color="auto" w:fill="ffffff"/>
        </w:rPr>
      </w:pPr>
      <w:r/>
      <w:bookmarkStart w:id="27" w:name="_Hlk193374841"/>
      <w:r>
        <w:rPr>
          <w:rFonts w:hint="eastAsia" w:ascii="宋体" w:hAnsi="宋体" w:eastAsia="宋体" w:cs="宋体"/>
          <w:b/>
          <w:sz w:val="24"/>
          <w:szCs w:val="24"/>
          <w:shd w:val="clear" w:color="auto" w:fill="ffffff"/>
        </w:rPr>
        <w:t xml:space="preserve">17.履约保证金</w:t>
      </w:r>
      <w:bookmarkEnd w:id="27"/>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17.1中标单位应按前附表的规定提交履约保证金。</w:t>
      </w:r>
      <w:r>
        <w:rPr>
          <w:rFonts w:hint="eastAsia" w:ascii="宋体" w:hAnsi="宋体" w:eastAsia="宋体" w:cs="宋体"/>
          <w:bCs/>
          <w:sz w:val="24"/>
          <w:szCs w:val="24"/>
        </w:rPr>
        <w:t xml:space="preserve">履约保证金形式：以支票、汇票、本票或者金融机构、担保机构出具的见索即付保函等非现金形式提交（保函内容须经学校认可）</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w:t>
      </w:r>
      <w:r>
        <w:rPr>
          <w:rFonts w:hint="eastAsia" w:ascii="宋体" w:hAnsi="宋体" w:eastAsia="宋体" w:cs="宋体"/>
          <w:bCs/>
          <w:sz w:val="24"/>
          <w:szCs w:val="24"/>
        </w:rPr>
        <w:t xml:space="preserve">履约保证金自货物最终验收合格之日起稳定运行1年后无息退还</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17.4若中标单位对货物缺陷不予更正，采购人有权另请其他单位更正，所发生的费用在履约保证金中扣除。</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18.投标（响应）文件的有效期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18.1自投标（响应）截止日起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天内，投标（响应）书应保持有效。</w:t>
      </w:r>
      <w:r>
        <w:rPr>
          <w:rFonts w:hint="eastAsia" w:ascii="宋体" w:hAnsi="宋体" w:eastAsia="宋体" w:cs="宋体"/>
          <w:b/>
          <w:bCs/>
          <w:sz w:val="24"/>
          <w:szCs w:val="24"/>
          <w:shd w:val="clear" w:color="auto" w:fill="ffffff"/>
        </w:rPr>
        <w:t xml:space="preserve">有效期短于这个规定期限的投标（响应）将被拒绝。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rPr>
        <w:t xml:space="preserve">投标（响应）截止时间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w:t>
      </w:r>
      <w:bookmarkStart w:id="28" w:name="_Hlk193375017"/>
      <w:r>
        <w:rPr>
          <w:rFonts w:hint="eastAsia" w:ascii="宋体" w:hAnsi="宋体" w:eastAsia="宋体" w:cs="宋体"/>
          <w:sz w:val="24"/>
          <w:szCs w:val="24"/>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bookmarkStart w:id="29" w:name="_Hlk116314345"/>
      <w:r/>
      <w:bookmarkStart w:id="30" w:name="_Hlk117242692"/>
      <w:r>
        <w:rPr>
          <w:rFonts w:hint="eastAsia" w:ascii="宋体" w:hAnsi="宋体" w:eastAsia="宋体" w:cs="宋体"/>
          <w:sz w:val="24"/>
          <w:szCs w:val="24"/>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rPr>
      </w:pPr>
      <w:r>
        <w:rPr>
          <w:rFonts w:hint="eastAsia" w:ascii="宋体" w:hAnsi="宋体" w:eastAsia="宋体" w:cs="宋体"/>
          <w:sz w:val="24"/>
          <w:szCs w:val="24"/>
        </w:rPr>
        <w:t xml:space="preserve">19</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4供应商</w:t>
      </w:r>
      <w:r>
        <w:rPr>
          <w:rFonts w:hint="eastAsia" w:ascii="宋体" w:hAnsi="宋体" w:eastAsia="宋体" w:cs="宋体"/>
          <w:sz w:val="24"/>
          <w:szCs w:val="24"/>
          <w:lang w:val="zh-CN"/>
        </w:rPr>
        <w:t xml:space="preserve">在投标（响应）截止</w:t>
      </w:r>
      <w:r>
        <w:rPr>
          <w:rFonts w:hint="eastAsia" w:ascii="宋体" w:hAnsi="宋体" w:eastAsia="宋体" w:cs="宋体"/>
          <w:sz w:val="24"/>
          <w:szCs w:val="24"/>
        </w:rPr>
        <w:t xml:space="preserve">时</w:t>
      </w:r>
      <w:r>
        <w:rPr>
          <w:rFonts w:hint="eastAsia" w:ascii="宋体" w:hAnsi="宋体" w:eastAsia="宋体" w:cs="宋体"/>
          <w:sz w:val="24"/>
          <w:szCs w:val="24"/>
          <w:lang w:val="zh-CN"/>
        </w:rPr>
        <w:t xml:space="preserve">间前，可以对所递交的</w:t>
      </w:r>
      <w:r>
        <w:rPr>
          <w:rFonts w:hint="eastAsia" w:ascii="宋体" w:hAnsi="宋体" w:eastAsia="宋体" w:cs="宋体"/>
          <w:sz w:val="24"/>
          <w:szCs w:val="24"/>
        </w:rPr>
        <w:t xml:space="preserve">投标（响应）</w:t>
      </w:r>
      <w:r>
        <w:rPr>
          <w:rFonts w:hint="eastAsia" w:ascii="宋体" w:hAnsi="宋体" w:eastAsia="宋体" w:cs="宋体"/>
          <w:sz w:val="24"/>
          <w:szCs w:val="24"/>
          <w:lang w:val="zh-CN"/>
        </w:rPr>
        <w:t xml:space="preserve">文件进行补充、修改或者撤回。</w:t>
      </w:r>
      <w:bookmarkEnd w:id="29"/>
      <w:r/>
      <w:bookmarkEnd w:id="30"/>
      <w:r/>
      <w:r/>
    </w:p>
    <w:p>
      <w:pPr>
        <w:ind w:firstLine="482"/>
        <w:spacing w:line="360" w:lineRule="auto"/>
        <w:rPr>
          <w:rFonts w:ascii="宋体" w:hAnsi="宋体" w:eastAsia="宋体" w:cs="宋体"/>
        </w:rPr>
      </w:pPr>
      <w:r>
        <w:rPr>
          <w:rFonts w:hint="eastAsia" w:ascii="宋体" w:hAnsi="宋体" w:eastAsia="宋体" w:cs="宋体"/>
          <w:b/>
          <w:bCs/>
          <w:sz w:val="24"/>
          <w:szCs w:val="20"/>
          <w:shd w:val="clear" w:color="auto" w:fill="ffffff"/>
        </w:rPr>
        <w:t xml:space="preserve">D.开标和评标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20.开标</w:t>
      </w:r>
      <w:r/>
    </w:p>
    <w:p>
      <w:pPr>
        <w:ind w:firstLine="480"/>
        <w:spacing w:line="360" w:lineRule="auto"/>
        <w:widowControl/>
        <w:rPr>
          <w:rFonts w:ascii="宋体" w:hAnsi="宋体" w:eastAsia="宋体" w:cs="宋体"/>
          <w:sz w:val="24"/>
          <w:szCs w:val="24"/>
        </w:rPr>
      </w:pPr>
      <w:r/>
      <w:bookmarkStart w:id="31" w:name="_Hlk92794076"/>
      <w:r>
        <w:rPr>
          <w:rFonts w:hint="eastAsia" w:ascii="宋体" w:hAnsi="宋体" w:eastAsia="宋体" w:cs="宋体"/>
          <w:sz w:val="24"/>
          <w:szCs w:val="24"/>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Pr>
      <w:r/>
      <w:bookmarkStart w:id="32" w:name="_Hlk90652960"/>
      <w:r>
        <w:rPr>
          <w:rFonts w:hint="eastAsia" w:ascii="宋体" w:hAnsi="宋体" w:eastAsia="宋体" w:cs="宋体"/>
          <w:sz w:val="24"/>
          <w:szCs w:val="24"/>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sz w:val="24"/>
          <w:szCs w:val="24"/>
        </w:rPr>
      </w:pPr>
      <w:r/>
      <w:bookmarkStart w:id="33" w:name="_Hlk158135485"/>
      <w:r>
        <w:rPr>
          <w:rFonts w:hint="eastAsia" w:ascii="宋体" w:hAnsi="宋体" w:eastAsia="宋体" w:cs="宋体"/>
          <w:sz w:val="24"/>
          <w:szCs w:val="24"/>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20.5供应商在“苏采云”系统规定的时间内未成功解密电子投标（响应）文件的，投标（响应）无效。</w:t>
      </w:r>
      <w:r/>
    </w:p>
    <w:p>
      <w:pPr>
        <w:ind w:firstLine="480"/>
        <w:spacing w:line="360" w:lineRule="auto"/>
        <w:rPr>
          <w:rFonts w:ascii="宋体" w:hAnsi="宋体" w:eastAsia="宋体" w:cs="宋体"/>
        </w:rPr>
      </w:pPr>
      <w:r>
        <w:rPr>
          <w:rFonts w:hint="eastAsia" w:ascii="宋体" w:hAnsi="宋体" w:eastAsia="宋体" w:cs="宋体"/>
          <w:sz w:val="24"/>
          <w:szCs w:val="24"/>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20.8至投标（响应）文件提交截止时间，递交投标（响应）文件的供应商不足三家的，不得开标。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rPr>
      </w:pPr>
      <w:r/>
      <w:bookmarkStart w:id="34" w:name="_Hlk193375492"/>
      <w:r>
        <w:rPr>
          <w:rFonts w:hint="eastAsia" w:ascii="宋体" w:hAnsi="宋体" w:eastAsia="宋体" w:cs="宋体"/>
          <w:sz w:val="24"/>
          <w:szCs w:val="24"/>
        </w:rPr>
        <w:t xml:space="preserve">20.10以上开标活动</w:t>
      </w:r>
      <w:bookmarkStart w:id="35" w:name="_Hlk193375633"/>
      <w:r>
        <w:rPr>
          <w:rFonts w:hint="eastAsia" w:ascii="宋体" w:hAnsi="宋体" w:eastAsia="宋体" w:cs="宋体"/>
          <w:sz w:val="24"/>
          <w:szCs w:val="24"/>
        </w:rPr>
        <w:t xml:space="preserve">所涉及系统操作，以“苏采云”系统最新要求为准</w:t>
      </w:r>
      <w:bookmarkEnd w:id="35"/>
      <w:r>
        <w:rPr>
          <w:rFonts w:hint="eastAsia" w:ascii="宋体" w:hAnsi="宋体" w:eastAsia="宋体" w:cs="宋体"/>
          <w:sz w:val="24"/>
          <w:szCs w:val="24"/>
        </w:rPr>
        <w:t xml:space="preserve">。</w:t>
      </w:r>
      <w:bookmarkEnd w:id="31"/>
      <w:r/>
      <w:bookmarkEnd w:id="34"/>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21.信用查询</w:t>
      </w:r>
      <w:r/>
    </w:p>
    <w:p>
      <w:pPr>
        <w:ind w:firstLine="480"/>
        <w:spacing w:line="360" w:lineRule="auto"/>
        <w:rPr>
          <w:rFonts w:ascii="宋体" w:hAnsi="宋体" w:eastAsia="宋体" w:cs="宋体"/>
          <w:sz w:val="24"/>
          <w:szCs w:val="24"/>
        </w:rPr>
      </w:pPr>
      <w:r/>
      <w:bookmarkStart w:id="36" w:name="_Hlk193375658"/>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21.1查询时间：投标（响应）文件提交截止时间。</w:t>
      </w:r>
      <w:r/>
    </w:p>
    <w:p>
      <w:pPr>
        <w:ind w:firstLine="480"/>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21.2查询渠道：</w:t>
      </w:r>
      <w:bookmarkStart w:id="37" w:name="_Hlk92794284"/>
      <w:r>
        <w:rPr>
          <w:rFonts w:hint="eastAsia" w:ascii="宋体" w:hAnsi="宋体" w:eastAsia="宋体" w:cs="宋体"/>
          <w:bCs/>
          <w:sz w:val="24"/>
          <w:szCs w:val="24"/>
        </w:rPr>
        <w:t xml:space="preserve">中国政府采购网（www.ccgp.gov.cn）、信用中国（www.creditchina.gov.cn）、信用江苏（</w:t>
      </w:r>
      <w:r>
        <w:rPr>
          <w:rFonts w:hint="eastAsia"/>
        </w:rPr>
        <w:fldChar w:fldCharType="begin"/>
      </w:r>
      <w:r>
        <w:instrText xml:space="preserve"> HYPERLINK "http://www.jscredit.gov.cn/" </w:instrText>
      </w:r>
      <w:r>
        <w:rPr>
          <w:rFonts w:hint="eastAsia"/>
        </w:rPr>
        <w:fldChar w:fldCharType="separate"/>
      </w:r>
      <w:r>
        <w:rPr>
          <w:rFonts w:hint="eastAsia" w:ascii="宋体" w:hAnsi="宋体" w:eastAsia="宋体" w:cs="宋体"/>
          <w:bCs/>
          <w:sz w:val="24"/>
          <w:szCs w:val="24"/>
        </w:rPr>
        <w:t xml:space="preserve">www.jscredit.gov.cn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）、诚信苏州（www.szcredit.gov.cn）。</w:t>
      </w:r>
      <w:r/>
    </w:p>
    <w:p>
      <w:pPr>
        <w:ind w:firstLine="480"/>
        <w:jc w:val="left"/>
        <w:spacing w:line="360" w:lineRule="auto"/>
        <w:tabs>
          <w:tab w:val="left" w:pos="753" w:leader="none"/>
        </w:tabs>
        <w:rPr>
          <w:rFonts w:ascii="宋体" w:hAnsi="宋体" w:eastAsia="宋体" w:cs="宋体"/>
          <w:bCs/>
          <w:sz w:val="24"/>
          <w:szCs w:val="24"/>
        </w:rPr>
      </w:pPr>
      <w:r>
        <w:rPr>
          <w:rFonts w:hint="eastAsia" w:ascii="宋体" w:hAnsi="宋体" w:eastAsia="宋体" w:cs="宋体"/>
          <w:sz w:val="24"/>
          <w:szCs w:val="24"/>
        </w:rPr>
        <w:t xml:space="preserve">21.3查询证据留存方式：</w:t>
      </w:r>
      <w:bookmarkEnd w:id="37"/>
      <w:r>
        <w:rPr>
          <w:rFonts w:hint="eastAsia" w:ascii="宋体" w:hAnsi="宋体" w:eastAsia="宋体" w:cs="宋体"/>
          <w:bCs/>
          <w:sz w:val="24"/>
          <w:szCs w:val="24"/>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rPr>
      </w:pPr>
      <w:r>
        <w:rPr>
          <w:rFonts w:hint="eastAsia" w:ascii="宋体" w:hAnsi="宋体" w:eastAsia="宋体" w:cs="宋体"/>
          <w:sz w:val="24"/>
          <w:szCs w:val="24"/>
        </w:rPr>
        <w:t xml:space="preserve">21.4信用记录使用规则：</w:t>
      </w:r>
      <w:r>
        <w:rPr>
          <w:rFonts w:hint="eastAsia" w:ascii="宋体" w:hAnsi="宋体" w:eastAsia="宋体" w:cs="宋体"/>
          <w:bCs/>
          <w:sz w:val="24"/>
          <w:szCs w:val="24"/>
        </w:rPr>
        <w:t xml:space="preserve">在对供应商进行资格性审查时，应根据查询结果对供应商的不良信用记录逐项甄别确认。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21.4.2.1被列入失信被执行人名单；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21.4.2.2被列入重大税收违法案件当事人名单；</w:t>
      </w:r>
      <w:r/>
    </w:p>
    <w:p>
      <w:pPr>
        <w:ind w:firstLine="480"/>
        <w:spacing w:line="360" w:lineRule="auto"/>
        <w:rPr>
          <w:rFonts w:ascii="宋体" w:hAnsi="宋体" w:eastAsia="宋体" w:cs="宋体"/>
          <w:sz w:val="24"/>
          <w:szCs w:val="24"/>
        </w:rPr>
      </w:pPr>
      <w:r/>
      <w:bookmarkStart w:id="38" w:name="_Hlk92794378"/>
      <w:r>
        <w:rPr>
          <w:rFonts w:hint="eastAsia" w:ascii="宋体" w:hAnsi="宋体" w:eastAsia="宋体" w:cs="宋体"/>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22.1评标委员会由采购人或采购代理机构依法组建,由采购单位代表、专家评委组成。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22.2评标委员会负责具体的评标事务，并独立履行以下职责：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22.2.1审查、评价投标（响应）文件是否符合招标文件的商务、技术等实质性要求；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22.2.2要求供应商对投标（响应）文件有关事项作出澄清或者说明；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22.2.3对投标（响应）文件进行比较和评价；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22.2.4</w:t>
      </w:r>
      <w:r>
        <w:rPr>
          <w:rFonts w:hint="eastAsia" w:ascii="宋体" w:hAnsi="宋体" w:eastAsia="宋体" w:cs="宋体"/>
          <w:sz w:val="24"/>
          <w:szCs w:val="24"/>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22.2.5向采购人、采购代理机构或者有关部门报告评标中发现的违法行为；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22.3评标委员会成员应当履行下列义务：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22.3.2按照招标文件规定的评标办法和评标标准进行评标，对评审意见承担个人责任；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22.3.3对评标过程和结果，以及供应商的商业秘密保密；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22.3.4参与评审报告的起草；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22.3.5配合相关部门的投诉处理工作；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22.3.6配合采购人或采购代理机构答复投标（响应）供应商提出的质疑。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23.评标内容的保密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24.对投标（响应）文件初审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24.2.1供应商的投标（响应）文件未按照本须知规定制作的；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24.2.2与招标文件有重大偏离；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24.2.3供应商拒绝修正错误；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24.2.4供应商的报价是选择性的；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24.2.5供应商的报价只投了部分内容；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24.2.7其他被评标委员会认定无效的情况。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sz w:val="24"/>
          <w:szCs w:val="24"/>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27.2.1投标（响应）者的资信情况和履约能力；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27.2.2投标（响应）者提供的其他优惠条件；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rPr>
      </w:pPr>
      <w:r>
        <w:rPr>
          <w:rFonts w:hint="eastAsia" w:ascii="宋体" w:hAnsi="宋体" w:eastAsia="宋体" w:cs="宋体"/>
          <w:sz w:val="24"/>
          <w:szCs w:val="24"/>
          <w:shd w:val="clear" w:color="auto" w:fill="ffffff"/>
        </w:rPr>
        <w:t xml:space="preserve">28.2经评</w:t>
      </w:r>
      <w:r>
        <w:rPr>
          <w:rFonts w:hint="eastAsia" w:ascii="宋体" w:hAnsi="宋体" w:eastAsia="宋体" w:cs="宋体"/>
          <w:sz w:val="24"/>
          <w:szCs w:val="24"/>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bCs/>
          <w:sz w:val="24"/>
          <w:szCs w:val="20"/>
          <w:shd w:val="clear" w:color="auto" w:fill="ffffff"/>
        </w:rPr>
        <w:t xml:space="preserve">E.授予合同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sz w:val="24"/>
          <w:szCs w:val="24"/>
          <w:shd w:val="clear" w:color="auto" w:fill="ffffff"/>
        </w:rPr>
      </w:pPr>
      <w:r/>
      <w:bookmarkStart w:id="48" w:name="_Hlk193378097"/>
      <w:r>
        <w:rPr>
          <w:rFonts w:hint="eastAsia" w:ascii="宋体" w:hAnsi="宋体" w:eastAsia="宋体" w:cs="宋体"/>
          <w:b/>
          <w:bCs/>
          <w:sz w:val="24"/>
          <w:szCs w:val="20"/>
          <w:shd w:val="clear" w:color="auto" w:fill="ffffff"/>
        </w:rPr>
        <w:t xml:space="preserve">F.其他事项</w:t>
      </w:r>
      <w:bookmarkEnd w:id="4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rPr>
          <w:rFonts w:hint="eastAsia"/>
        </w:rPr>
        <w:fldChar w:fldCharType="begin"/>
      </w:r>
      <w:r>
        <w:instrText xml:space="preserve"> HYPERLINK "http://czju.suzhou.gov.cn/zfcg/html/content/20180305093615738.shtml" \t "http://czju.suzhou.gov.cn/zfcg/html/channel/_blank" \o "政府采购供应商质疑函范本" </w:instrText>
      </w:r>
      <w:r>
        <w:rPr>
          <w:rFonts w:hint="eastAsia"/>
        </w:rP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shd w:val="clear" w:color="auto" w:fill="ffffff"/>
        </w:rPr>
        <w:t xml:space="preserve">32.8</w:t>
      </w:r>
      <w:r>
        <w:rPr>
          <w:rFonts w:hint="eastAsia" w:ascii="宋体" w:hAnsi="宋体" w:eastAsia="宋体" w:cs="宋体"/>
          <w:sz w:val="24"/>
          <w:szCs w:val="24"/>
          <w:lang w:val="zh-CN"/>
        </w:rPr>
        <w:t xml:space="preserve">质疑递交信息：详见第一章采购人及采购代理机构联系信息。</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35.未尽事宜</w:t>
      </w:r>
      <w:r/>
    </w:p>
    <w:p>
      <w:pPr>
        <w:ind w:firstLine="480"/>
        <w:spacing w:line="360" w:lineRule="auto"/>
        <w:rPr>
          <w:rFonts w:ascii="宋体" w:hAnsi="宋体" w:eastAsia="宋体" w:cs="宋体"/>
          <w:sz w:val="32"/>
          <w:szCs w:val="32"/>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sz w:val="32"/>
          <w:szCs w:val="32"/>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第三章投标文件格式</w:t>
      </w:r>
      <w:bookmarkEnd w:id="50"/>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（姓名）系</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（供应商名称）的法定代表人，现授权委托</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（姓名+手机号码）为本公司代理人，以本公司的名义参加本项目采购代理机构组织实施的编号为</w:t>
      </w:r>
      <w:r>
        <w:rPr>
          <w:rFonts w:hint="eastAsia" w:ascii="宋体" w:hAnsi="宋体" w:eastAsia="宋体" w:cs="宋体"/>
          <w:sz w:val="24"/>
          <w:szCs w:val="20"/>
          <w:u w:val="single"/>
        </w:rPr>
        <w:t xml:space="preserve"> </w:t>
      </w:r>
      <w:r>
        <w:rPr>
          <w:rFonts w:hint="eastAsia" w:ascii="宋体" w:hAnsi="宋体" w:eastAsia="宋体" w:cs="宋体"/>
          <w:sz w:val="24"/>
          <w:u w:val="single"/>
          <w:lang w:eastAsia="zh-CN"/>
        </w:rPr>
        <w:t xml:space="preserve">JSZC-320500-SZCH-G2026-0041</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ascii="宋体" w:hAnsi="宋体" w:eastAsia="宋体" w:cs="宋体"/>
          <w:b/>
          <w:sz w:val="24"/>
          <w:szCs w:val="20"/>
        </w:rPr>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0"/>
        </w:rPr>
        <w:outlineLvl w:val="1"/>
      </w:pPr>
      <w:r>
        <w:rPr>
          <w:rFonts w:hint="eastAsia" w:ascii="宋体" w:hAnsi="宋体" w:eastAsia="宋体" w:cs="宋体"/>
          <w:b/>
          <w:sz w:val="24"/>
          <w:szCs w:val="20"/>
        </w:rPr>
        <w:t xml:space="preserve">2、投标（响应）函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投标（响应）函</w:t>
      </w:r>
      <w:r/>
    </w:p>
    <w:p>
      <w:pPr>
        <w:rPr>
          <w:rFonts w:ascii="宋体" w:hAnsi="宋体" w:eastAsia="宋体" w:cs="宋体"/>
          <w:b/>
          <w:bCs/>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w:t>
      </w:r>
      <w:r>
        <w:rPr>
          <w:rFonts w:hint="eastAsia" w:ascii="宋体" w:hAnsi="宋体" w:eastAsia="宋体" w:cs="宋体"/>
          <w:sz w:val="24"/>
          <w:szCs w:val="24"/>
          <w:shd w:val="clear" w:color="auto" w:fill="ffffff"/>
        </w:rPr>
        <w:t xml:space="preserve">包括完成对应采购包所有相关工作可能发生的一切费用，</w:t>
      </w:r>
      <w:r>
        <w:rPr>
          <w:rFonts w:hint="eastAsia" w:ascii="宋体" w:hAnsi="宋体" w:eastAsia="宋体" w:cs="宋体"/>
          <w:sz w:val="24"/>
          <w:szCs w:val="24"/>
        </w:rPr>
        <w:t xml:space="preserve">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eastAsia="宋体" w:cs="宋体"/>
          <w:sz w:val="24"/>
          <w:szCs w:val="24"/>
          <w:shd w:val="clear" w:color="auto" w:fill="ffffff"/>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9、如果本公司中标（成交），本公司愿意按采购文件规定支付履约保证金（如有）。</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（4）其他说明。</w:t>
      </w:r>
      <w:r/>
    </w:p>
    <w:p>
      <w:pPr>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w:t>
      </w:r>
      <w:r>
        <w:rPr>
          <w:rFonts w:hint="eastAsia" w:ascii="宋体" w:hAnsi="宋体" w:eastAsia="宋体" w:cs="宋体"/>
          <w:sz w:val="24"/>
          <w:szCs w:val="24"/>
        </w:rPr>
        <w:t xml:space="preserve">投标（响应）文件</w:t>
      </w:r>
      <w:r>
        <w:rPr>
          <w:rFonts w:hint="eastAsia" w:ascii="宋体" w:hAnsi="宋体" w:eastAsia="宋体" w:cs="宋体"/>
          <w:sz w:val="24"/>
          <w:szCs w:val="20"/>
          <w:shd w:val="clear" w:color="auto" w:fill="ffffff"/>
        </w:rPr>
        <w:t xml:space="preserve">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银行账号：</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银行开户行：</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数字人民币开户行（如有）：</w:t>
      </w:r>
      <w:r/>
    </w:p>
    <w:p>
      <w:pPr>
        <w:ind w:firstLine="480"/>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数字人民币账户（数币钱包ID）：</w:t>
      </w:r>
      <w:r/>
    </w:p>
    <w:p>
      <w:pPr>
        <w:pStyle w:val="729"/>
        <w:spacing w:line="240" w:lineRule="auto"/>
        <w:rPr>
          <w:rFonts w:ascii="宋体" w:hAnsi="宋体" w:eastAsia="宋体" w:cs="宋体"/>
        </w:rPr>
      </w:pPr>
      <w:r>
        <w:rPr>
          <w:rFonts w:ascii="宋体" w:hAnsi="宋体" w:eastAsia="宋体" w:cs="宋体"/>
        </w:rPr>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Cs w:val="24"/>
        </w:rPr>
      </w:pPr>
      <w:r>
        <w:rPr>
          <w:rFonts w:hint="eastAsia" w:ascii="宋体" w:hAnsi="宋体" w:eastAsia="宋体" w:cs="宋体"/>
          <w:b/>
          <w:szCs w:val="24"/>
        </w:rPr>
        <w:br w:type="page" w:clear="all"/>
      </w:r>
      <w:r/>
    </w:p>
    <w:p>
      <w:pPr>
        <w:pStyle w:val="723"/>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019"/>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供应商全称：</w:t>
      </w:r>
      <w:bookmarkStart w:id="52" w:name="TBR"/>
      <w:r/>
      <w:bookmarkEnd w:id="52"/>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项目编号：</w:t>
      </w:r>
      <w:bookmarkStart w:id="53" w:name="XMBH"/>
      <w:r/>
      <w:bookmarkEnd w:id="53"/>
      <w:r/>
      <w:r/>
    </w:p>
    <w:p>
      <w:pPr>
        <w:ind w:firstLine="420"/>
        <w:spacing w:line="44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分包号：</w:t>
      </w:r>
      <w:bookmarkStart w:id="54" w:name="FBH"/>
      <w:r/>
      <w:bookmarkEnd w:id="54"/>
      <w:r/>
      <w:r/>
    </w:p>
    <w:tbl>
      <w:tblPr>
        <w:tblStyle w:val="720"/>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sz w:val="24"/>
                <w:szCs w:val="24"/>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6" w:name="JEXX"/>
            <w:r/>
            <w:bookmarkEnd w:id="56"/>
            <w:r>
              <w:rPr>
                <w:rFonts w:hint="eastAsia" w:ascii="宋体" w:hAnsi="宋体" w:eastAsia="宋体" w:cs="宋体"/>
                <w:sz w:val="24"/>
                <w:szCs w:val="24"/>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sz w:val="24"/>
                <w:szCs w:val="24"/>
              </w:rPr>
            </w:pPr>
            <w:r/>
            <w:bookmarkStart w:id="57" w:name="JEDX"/>
            <w:r/>
            <w:bookmarkEnd w:id="57"/>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bCs/>
          <w:sz w:val="24"/>
          <w:szCs w:val="24"/>
          <w:shd w:val="clear" w:color="auto" w:fill="ffffff"/>
        </w:rPr>
        <w:t xml:space="preserve">投标</w:t>
      </w:r>
      <w:r>
        <w:rPr>
          <w:rFonts w:hint="eastAsia" w:ascii="宋体" w:hAnsi="宋体" w:eastAsia="宋体" w:cs="宋体"/>
          <w:b/>
          <w:sz w:val="24"/>
          <w:szCs w:val="24"/>
          <w:shd w:val="clear" w:color="auto" w:fill="ffffff"/>
        </w:rPr>
        <w:t xml:space="preserve">（响应）</w:t>
      </w:r>
      <w:r>
        <w:rPr>
          <w:rFonts w:hint="eastAsia" w:ascii="宋体" w:hAnsi="宋体" w:eastAsia="宋体" w:cs="宋体"/>
          <w:b/>
          <w:bCs/>
          <w:sz w:val="24"/>
          <w:szCs w:val="24"/>
          <w:shd w:val="clear" w:color="auto" w:fill="ffffff"/>
        </w:rPr>
        <w:t xml:space="preserve">报价明细表</w:t>
      </w:r>
      <w:r/>
    </w:p>
    <w:p>
      <w:pPr>
        <w:pStyle w:val="731"/>
        <w:ind w:left="0" w:right="0"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w:t>
      </w:r>
      <w:r>
        <w:rPr>
          <w:rFonts w:ascii="宋体" w:hAnsi="宋体" w:eastAsia="宋体" w:cs="宋体"/>
          <w:b/>
          <w:sz w:val="24"/>
          <w:szCs w:val="24"/>
          <w:shd w:val="clear" w:color="auto" w:fill="ffffff"/>
        </w:rPr>
        <w:t xml:space="preserve">（响应）</w:t>
      </w:r>
      <w:r>
        <w:rPr>
          <w:rFonts w:ascii="宋体" w:hAnsi="宋体" w:eastAsia="宋体" w:cs="宋体"/>
          <w:b/>
          <w:bCs/>
          <w:sz w:val="24"/>
          <w:szCs w:val="24"/>
          <w:shd w:val="clear" w:color="auto" w:fill="ffffff"/>
        </w:rPr>
        <w:t xml:space="preserve">报价明细表</w:t>
      </w:r>
      <w:r/>
    </w:p>
    <w:tbl>
      <w:tblPr>
        <w:tblStyle w:val="720"/>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pacing w:val="20"/>
                <w:szCs w:val="24"/>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spacing w:val="20"/>
                <w:szCs w:val="24"/>
              </w:rPr>
            </w:pPr>
            <w:r>
              <w:rPr>
                <w:rFonts w:hint="eastAsia" w:ascii="宋体" w:hAnsi="宋体" w:eastAsia="宋体" w:cs="宋体"/>
                <w:b/>
                <w:spacing w:val="20"/>
                <w:szCs w:val="24"/>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szCs w:val="21"/>
                <w:lang w:bidi="ar"/>
              </w:rPr>
            </w:pPr>
            <w:r>
              <w:rPr>
                <w:rFonts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szCs w:val="21"/>
                <w:lang w:bidi="ar"/>
              </w:rPr>
            </w:pPr>
            <w:r>
              <w:rPr>
                <w:rFonts w:hint="eastAsia" w:ascii="宋体" w:hAnsi="宋体" w:eastAsia="宋体" w:cs="宋体"/>
                <w:b/>
                <w:szCs w:val="21"/>
                <w:lang w:bidi="ar"/>
              </w:rPr>
              <w:t xml:space="preserve">投标总价：</w:t>
            </w:r>
            <w:r>
              <w:rPr>
                <w:rFonts w:hint="eastAsia" w:ascii="宋体" w:hAnsi="宋体" w:eastAsia="宋体" w:cs="宋体"/>
                <w:b/>
                <w:szCs w:val="21"/>
              </w:rPr>
              <w:t xml:space="preserve">（大写）人民币元                      （</w:t>
            </w:r>
            <w:r>
              <w:rPr>
                <w:rFonts w:hint="eastAsia" w:ascii="宋体" w:hAnsi="宋体" w:eastAsia="宋体" w:cs="宋体"/>
                <w:sz w:val="24"/>
                <w:szCs w:val="20"/>
              </w:rPr>
              <w:t xml:space="preserve">¥</w:t>
            </w:r>
            <w:r>
              <w:rPr>
                <w:rFonts w:hint="eastAsia" w:ascii="宋体" w:hAnsi="宋体" w:eastAsia="宋体" w:cs="宋体"/>
                <w:b/>
                <w:szCs w:val="21"/>
              </w:rPr>
              <w:t xml:space="preserve">           元）</w:t>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5、投标货物和服务数量、品牌型号、技术要求、交货期</w:t>
      </w:r>
      <w:r/>
    </w:p>
    <w:p>
      <w:pPr>
        <w:pStyle w:val="723"/>
        <w:ind w:firstLine="0"/>
        <w:jc w:val="center"/>
        <w:spacing w:line="360" w:lineRule="auto"/>
        <w:rPr>
          <w:rFonts w:ascii="宋体" w:hAnsi="宋体" w:eastAsia="宋体" w:cs="宋体"/>
          <w:b/>
          <w:szCs w:val="24"/>
        </w:rPr>
      </w:pPr>
      <w:r>
        <w:rPr>
          <w:rFonts w:hint="eastAsia" w:ascii="宋体" w:hAnsi="宋体" w:eastAsia="宋体" w:cs="宋体"/>
          <w:b/>
          <w:szCs w:val="24"/>
        </w:rPr>
        <w:t xml:space="preserve">投标货物和服务数量、品牌型号、技术要求、交货期</w:t>
      </w:r>
      <w:r/>
    </w:p>
    <w:tbl>
      <w:tblPr>
        <w:tblStyle w:val="7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jc w:val="center"/>
              <w:rPr>
                <w:rFonts w:hAnsi="宋体" w:eastAsia="宋体" w:cs="宋体"/>
                <w:sz w:val="21"/>
                <w:szCs w:val="21"/>
              </w:rPr>
            </w:pPr>
            <w:r>
              <w:rPr>
                <w:rFonts w:hint="eastAsia" w:hAnsi="宋体" w:eastAsia="宋体" w:cs="宋体"/>
                <w:sz w:val="21"/>
                <w:szCs w:val="21"/>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69"/>
              <w:ind w:firstLine="480"/>
              <w:jc w:val="center"/>
              <w:rPr>
                <w:rFonts w:hAnsi="宋体" w:eastAsia="宋体" w:cs="宋体"/>
                <w:sz w:val="21"/>
                <w:szCs w:val="21"/>
              </w:rPr>
            </w:pPr>
            <w:r>
              <w:rPr>
                <w:rFonts w:hAnsi="宋体" w:eastAsia="宋体" w:cs="宋体"/>
                <w:sz w:val="21"/>
                <w:szCs w:val="21"/>
              </w:rPr>
            </w:r>
            <w:r/>
          </w:p>
        </w:tc>
      </w:tr>
    </w:tbl>
    <w:p>
      <w:pPr>
        <w:pStyle w:val="723"/>
        <w:ind w:firstLine="0"/>
        <w:jc w:val="both"/>
        <w:spacing w:line="360" w:lineRule="auto"/>
        <w:rPr>
          <w:rFonts w:ascii="宋体" w:hAnsi="宋体" w:eastAsia="宋体" w:cs="宋体"/>
          <w:b/>
          <w:szCs w:val="24"/>
        </w:rPr>
      </w:pPr>
      <w:r>
        <w:rPr>
          <w:rFonts w:ascii="宋体" w:hAnsi="宋体" w:eastAsia="宋体" w:cs="宋体"/>
          <w:b/>
          <w:szCs w:val="24"/>
        </w:rPr>
      </w:r>
      <w:r/>
    </w:p>
    <w:p>
      <w:pPr>
        <w:pStyle w:val="1033"/>
        <w:ind w:firstLine="480"/>
        <w:spacing w:line="320" w:lineRule="exact"/>
        <w:rPr>
          <w:rFonts w:hAnsi="宋体" w:eastAsia="宋体" w:cs="宋体"/>
          <w:sz w:val="24"/>
          <w:szCs w:val="24"/>
          <w:shd w:val="clear" w:color="auto" w:fill="ffffff"/>
        </w:rPr>
      </w:pPr>
      <w:r>
        <w:rPr>
          <w:rFonts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6、针对本项目制定的实施方案</w:t>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针对本项目制定的实施方案</w:t>
      </w:r>
      <w:r/>
    </w:p>
    <w:tbl>
      <w:tblPr>
        <w:tblStyle w:val="72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rPr>
        <w:t xml:space="preserve">技术或服务</w:t>
      </w:r>
      <w:r>
        <w:rPr>
          <w:rFonts w:hint="eastAsia" w:ascii="宋体" w:hAnsi="宋体" w:eastAsia="宋体" w:cs="宋体"/>
          <w:b/>
          <w:sz w:val="24"/>
          <w:szCs w:val="24"/>
          <w:shd w:val="clear" w:color="auto" w:fill="ffffff"/>
        </w:rPr>
        <w:t xml:space="preserve">要求偏离表</w:t>
      </w:r>
      <w:r/>
    </w:p>
    <w:p>
      <w:pPr>
        <w:pStyle w:val="730"/>
        <w:ind w:left="0"/>
        <w:jc w:val="center"/>
        <w:spacing w:line="360" w:lineRule="auto"/>
        <w:rPr>
          <w:lang w:val="zh-CN"/>
        </w:rPr>
      </w:pPr>
      <w:r>
        <w:rPr>
          <w:rFonts w:hint="eastAsia" w:ascii="宋体" w:hAnsi="宋体" w:eastAsia="宋体" w:cs="宋体"/>
          <w:b/>
          <w:szCs w:val="24"/>
        </w:rPr>
        <w:t xml:space="preserve">技术或服务</w:t>
      </w:r>
      <w:r>
        <w:rPr>
          <w:rFonts w:hint="eastAsia" w:ascii="宋体" w:hAnsi="宋体" w:eastAsia="宋体" w:cs="宋体"/>
          <w:b/>
          <w:szCs w:val="24"/>
          <w:shd w:val="clear" w:color="auto" w:fill="ffffff"/>
        </w:rPr>
        <w:t xml:space="preserve">要求偏离表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bl>
    <w:p>
      <w:pPr>
        <w:pStyle w:val="762"/>
        <w:ind w:firstLine="520"/>
        <w:rPr>
          <w:rFonts w:ascii="宋体" w:hAnsi="宋体" w:eastAsia="宋体" w:cs="宋体"/>
        </w:rPr>
      </w:pPr>
      <w:r>
        <w:rPr>
          <w:rFonts w:ascii="宋体" w:hAnsi="宋体" w:eastAsia="宋体" w:cs="宋体"/>
        </w:rPr>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w:t>
      </w:r>
      <w:r>
        <w:rPr>
          <w:rFonts w:hint="eastAsia" w:ascii="宋体" w:hAnsi="宋体" w:eastAsia="宋体" w:cs="宋体"/>
          <w:b/>
          <w:sz w:val="24"/>
          <w:szCs w:val="24"/>
          <w:shd w:val="clear" w:color="auto" w:fill="ffffff"/>
        </w:rPr>
        <w:t xml:space="preserve">服务</w:t>
      </w:r>
      <w:r>
        <w:rPr>
          <w:rFonts w:hint="eastAsia" w:ascii="宋体" w:hAnsi="宋体" w:eastAsia="宋体" w:cs="宋体"/>
          <w:b/>
          <w:sz w:val="24"/>
          <w:szCs w:val="24"/>
          <w:shd w:val="clear" w:color="auto" w:fill="ffffff"/>
          <w:lang w:eastAsia="zh"/>
        </w:rPr>
        <w:t xml:space="preserve">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8、商务要求偏离表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1292"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162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1440"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1699"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757" w:type="dxa"/>
            <w:vAlign w:val="center"/>
            <w:textDirection w:val="lrTb"/>
            <w:noWrap w:val="false"/>
          </w:tcPr>
          <w:p>
            <w:pPr>
              <w:pStyle w:val="1035"/>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828"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292"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2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440"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699"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c>
          <w:tcPr>
            <w:tcW w:w="1757" w:type="dxa"/>
            <w:textDirection w:val="lrTb"/>
            <w:noWrap w:val="false"/>
          </w:tcPr>
          <w:p>
            <w:pPr>
              <w:pStyle w:val="1035"/>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注：</w:t>
      </w:r>
      <w:r/>
    </w:p>
    <w:p>
      <w:pPr>
        <w:ind w:firstLine="482"/>
        <w:rPr>
          <w:rFonts w:ascii="宋体" w:hAnsi="宋体" w:eastAsia="宋体" w:cs="宋体"/>
          <w:b/>
          <w:sz w:val="24"/>
          <w:szCs w:val="24"/>
          <w:shd w:val="clear" w:color="auto" w:fill="ffffff"/>
          <w:lang w:eastAsia="zh"/>
        </w:rPr>
      </w:pPr>
      <w:r>
        <w:rPr>
          <w:rFonts w:hint="eastAsia" w:ascii="宋体" w:hAnsi="宋体" w:eastAsia="宋体" w:cs="宋体"/>
          <w:b/>
          <w:sz w:val="24"/>
          <w:szCs w:val="24"/>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9、拟投入本项目人员配备一览表</w:t>
      </w:r>
      <w:r/>
    </w:p>
    <w:p>
      <w:pPr>
        <w:jc w:val="center"/>
        <w:spacing w:line="360" w:lineRule="auto"/>
        <w:rPr>
          <w:rFonts w:ascii="宋体" w:hAnsi="宋体" w:eastAsia="宋体" w:cs="宋体"/>
          <w:b/>
          <w:sz w:val="26"/>
          <w:szCs w:val="20"/>
        </w:rPr>
      </w:pPr>
      <w:r>
        <w:rPr>
          <w:rFonts w:hint="eastAsia" w:ascii="宋体" w:hAnsi="宋体" w:eastAsia="宋体" w:cs="宋体"/>
          <w:b/>
          <w:sz w:val="24"/>
          <w:szCs w:val="24"/>
        </w:rPr>
        <w:t xml:space="preserve">拟投入本项目人员配备一览表</w:t>
      </w:r>
      <w:r/>
    </w:p>
    <w:tbl>
      <w:tblPr>
        <w:tblStyle w:val="720"/>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b/>
          <w:sz w:val="24"/>
          <w:szCs w:val="24"/>
        </w:rPr>
      </w:pPr>
      <w:r>
        <w:rPr>
          <w:rFonts w:hint="eastAsia" w:ascii="宋体" w:hAnsi="宋体" w:eastAsia="宋体" w:cs="宋体"/>
          <w:b/>
          <w:sz w:val="24"/>
          <w:szCs w:val="24"/>
        </w:rPr>
        <w:t xml:space="preserve">注：投标人根据招标文件要求及自身情况配备项目团队成员。</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ascii="宋体" w:hAnsi="宋体" w:eastAsia="宋体" w:cs="宋体"/>
          <w:b/>
          <w:sz w:val="24"/>
          <w:szCs w:val="21"/>
        </w:rPr>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类似业绩情况表（如有）</w:t>
      </w:r>
      <w:r/>
    </w:p>
    <w:tbl>
      <w:tblPr>
        <w:tblStyle w:val="720"/>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250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项目名称</w:t>
            </w:r>
            <w:r/>
          </w:p>
        </w:tc>
        <w:tc>
          <w:tcPr>
            <w:tcW w:w="27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合同金额（万元）</w:t>
            </w:r>
            <w:r/>
          </w:p>
        </w:tc>
        <w:tc>
          <w:tcPr>
            <w:tcW w:w="198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50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27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93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pStyle w:val="731"/>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shd w:val="clear" w:color="auto" w:fill="ffffff"/>
        </w:rPr>
        <w:outlineLvl w:val="2"/>
      </w:pPr>
      <w:r>
        <w:rPr>
          <w:rFonts w:hint="eastAsia" w:ascii="宋体" w:hAnsi="宋体" w:eastAsia="宋体" w:cs="宋体"/>
          <w:b/>
          <w:sz w:val="24"/>
          <w:szCs w:val="20"/>
          <w:shd w:val="clear" w:color="auto" w:fill="ffffff"/>
        </w:rPr>
        <w:br w:type="page" w:clear="all"/>
      </w:r>
      <w:r>
        <w:rPr>
          <w:rFonts w:hint="eastAsia" w:ascii="宋体" w:hAnsi="宋体" w:eastAsia="宋体" w:cs="宋体"/>
          <w:b/>
          <w:sz w:val="24"/>
          <w:szCs w:val="20"/>
          <w:shd w:val="clear" w:color="auto" w:fill="ffffff"/>
        </w:rPr>
        <w:t xml:space="preserve">（2）供应商基本情况表</w:t>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50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920"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1470" w:type="dxa"/>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92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2025年  万元</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14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（3）关于符合本国产品标准的声明函</w:t>
      </w:r>
      <w:r/>
    </w:p>
    <w:p>
      <w:pPr>
        <w:ind w:firstLine="200"/>
        <w:spacing w:line="360" w:lineRule="auto"/>
        <w:rPr>
          <w:rFonts w:ascii="宋体" w:hAnsi="宋体" w:eastAsia="宋体" w:cs="宋体"/>
          <w:sz w:val="24"/>
          <w:szCs w:val="24"/>
        </w:rPr>
      </w:pPr>
      <w:r/>
      <w:bookmarkStart w:id="58" w:name="OLE_LINK5"/>
      <w:r/>
      <w:bookmarkEnd w:id="58"/>
      <w:r/>
      <w:bookmarkStart w:id="59" w:name="OLE_LINK6"/>
      <w:r/>
      <w:bookmarkEnd w:id="59"/>
      <w:r/>
      <w:r/>
    </w:p>
    <w:p>
      <w:pPr>
        <w:jc w:val="center"/>
        <w:rPr>
          <w:rFonts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ascii="宋体" w:hAnsi="宋体" w:eastAsia="宋体" w:cs="宋体"/>
          <w:sz w:val="24"/>
          <w:szCs w:val="24"/>
        </w:rPr>
      </w:pPr>
      <w:r>
        <w:rPr>
          <w:rFonts w:ascii="宋体" w:hAnsi="宋体" w:eastAsia="宋体" w:cs="宋体"/>
          <w:sz w:val="24"/>
          <w:szCs w:val="24"/>
        </w:rPr>
      </w:r>
      <w:r/>
    </w:p>
    <w:p>
      <w:pPr>
        <w:pStyle w:val="758"/>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bookmarkStart w:id="60" w:name="OLE_LINK12"/>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80"/>
        <w:jc w:val="both"/>
        <w:spacing w:before="0" w:beforeAutospacing="0" w:after="0" w:afterAutospacing="0" w:line="360" w:lineRule="auto"/>
        <w:rPr>
          <w:rFonts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14:textFill>
            <w14:solidFill>
              <w14:schemeClr w14:val="tx1"/>
            </w14:solidFill>
          </w14:textFill>
        </w:rPr>
        <w:t xml:space="preserve">1.</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shd w:val="clear" w:color="auto" w:fill="ffffff"/>
          <w14:textFill>
            <w14:solidFill>
              <w14:schemeClr w14:val="tx1"/>
            </w14:solidFill>
          </w14:textFill>
        </w:rPr>
        <w:t xml:space="preserve">，生产厂为</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（厂名）</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shd w:val="clear" w:color="auto" w:fill="ffffff"/>
          <w14:textFill>
            <w14:solidFill>
              <w14:schemeClr w14:val="tx1"/>
            </w14:solidFill>
          </w14:textFill>
        </w:rPr>
        <w:t xml:space="preserve">，厂址为</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 </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shd w:val="clear" w:color="auto" w:fill="ffffff"/>
          <w14:textFill>
            <w14:solidFill>
              <w14:schemeClr w14:val="tx1"/>
            </w14:solidFill>
          </w14:textFill>
        </w:rPr>
        <w:t xml:space="preserve">的中国境内生产的组件成本占比≥</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（规定比例）</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shd w:val="clear" w:color="auto" w:fill="ffffff"/>
          <w14:textFill>
            <w14:solidFill>
              <w14:schemeClr w14:val="tx1"/>
            </w14:solidFill>
          </w14:textFill>
        </w:rPr>
        <w:t xml:space="preserve">。</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（关键组件）</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在中国境内生产。</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14:textFill>
            <w14:solidFill>
              <w14:schemeClr w14:val="tx1"/>
            </w14:solidFill>
          </w14:textFill>
        </w:rPr>
        <w:t xml:space="preserve">的</w:t>
      </w:r>
      <w:r>
        <w:rPr>
          <w:rStyle w:val="768"/>
          <w:rFonts w:hint="eastAsia" w:ascii="宋体" w:hAnsi="宋体" w:eastAsia="宋体" w:cs="宋体"/>
          <w:i w:val="0"/>
          <w:color w:val="000000" w:themeColor="text1"/>
          <w:szCs w:val="24"/>
          <w:u w:val="single"/>
          <w:shd w:val="clear" w:color="auto" w:fill="ffffff"/>
          <w14:textFill>
            <w14:solidFill>
              <w14:schemeClr w14:val="tx1"/>
            </w14:solidFill>
          </w14:textFill>
        </w:rPr>
        <w:t xml:space="preserve">（关键工序）</w:t>
      </w:r>
      <w:r>
        <w:rPr>
          <w:rStyle w:val="768"/>
          <w:rFonts w:hint="eastAsia" w:ascii="宋体" w:hAnsi="宋体" w:eastAsia="宋体" w:cs="宋体"/>
          <w:i w:val="0"/>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shd w:val="clear" w:color="auto" w:fill="ffffff"/>
          <w14:textFill>
            <w14:solidFill>
              <w14:schemeClr w14:val="tx1"/>
            </w14:solidFill>
          </w14:textFill>
        </w:rPr>
        <w:t xml:space="preserve">在中国境内完成。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w:t xml:space="preserve">2.</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，生产厂为</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（厂名）</w:t>
      </w:r>
      <w:r>
        <w:rPr>
          <w:rFonts w:hint="eastAsia" w:ascii="宋体" w:hAnsi="宋体" w:eastAsia="宋体" w:cs="宋体"/>
          <w:color w:val="000000" w:themeColor="text1"/>
          <w:sz w:val="24"/>
          <w:szCs w:val="24"/>
          <w14:textFill>
            <w14:solidFill>
              <w14:schemeClr w14:val="tx1"/>
            </w14:solidFill>
          </w14:textFill>
        </w:rPr>
        <w:t xml:space="preserve">，厂址为</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（生产厂址）</w:t>
      </w:r>
      <w:r>
        <w:rPr>
          <w:rFonts w:hint="eastAsia" w:ascii="宋体" w:hAnsi="宋体" w:eastAsia="宋体" w:cs="宋体"/>
          <w:color w:val="000000" w:themeColor="text1"/>
          <w:sz w:val="24"/>
          <w:szCs w:val="24"/>
          <w14:textFill>
            <w14:solidFill>
              <w14:schemeClr w14:val="tx1"/>
            </w14:solidFill>
          </w14:textFill>
        </w:rPr>
        <w:t xml:space="preserve">。</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的中国境内生产的组件成本占比≥</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（规定比例）</w:t>
      </w:r>
      <w:r>
        <w:rPr>
          <w:rFonts w:hint="eastAsia" w:ascii="宋体" w:hAnsi="宋体" w:eastAsia="宋体" w:cs="宋体"/>
          <w:color w:val="000000" w:themeColor="text1"/>
          <w:sz w:val="24"/>
          <w:szCs w:val="24"/>
          <w14:textFill>
            <w14:solidFill>
              <w14:schemeClr w14:val="tx1"/>
            </w14:solidFill>
          </w14:textFill>
        </w:rPr>
        <w:t xml:space="preserve">。</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（关键组件）</w:t>
      </w:r>
      <w:r>
        <w:rPr>
          <w:rFonts w:hint="eastAsia" w:ascii="宋体" w:hAnsi="宋体" w:eastAsia="宋体" w:cs="宋体"/>
          <w:color w:val="000000" w:themeColor="text1"/>
          <w:sz w:val="24"/>
          <w:szCs w:val="24"/>
          <w14:textFill>
            <w14:solidFill>
              <w14:schemeClr w14:val="tx1"/>
            </w14:solidFill>
          </w14:textFill>
        </w:rPr>
        <w:t xml:space="preserve">在中国境内生产。</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（产品名称2）</w:t>
      </w:r>
      <w:r>
        <w:rPr>
          <w:rFonts w:hint="eastAsia" w:ascii="宋体" w:hAnsi="宋体" w:eastAsia="宋体" w:cs="宋体"/>
          <w:color w:val="000000" w:themeColor="text1"/>
          <w:sz w:val="24"/>
          <w:szCs w:val="24"/>
          <w14:textFill>
            <w14:solidFill>
              <w14:schemeClr w14:val="tx1"/>
            </w14:solidFill>
          </w14:textFill>
        </w:rPr>
        <w:t xml:space="preserve">的</w:t>
      </w:r>
      <w:r>
        <w:rPr>
          <w:rStyle w:val="768"/>
          <w:rFonts w:hint="eastAsia" w:ascii="宋体" w:hAnsi="宋体" w:eastAsia="宋体" w:cs="宋体"/>
          <w:i w:val="0"/>
          <w:color w:val="000000" w:themeColor="text1"/>
          <w:sz w:val="24"/>
          <w:szCs w:val="24"/>
          <w:u w:val="single"/>
          <w14:textFill>
            <w14:solidFill>
              <w14:schemeClr w14:val="tx1"/>
            </w14:solidFill>
          </w14:textFill>
        </w:rPr>
        <w:t xml:space="preserve">（关键工序）</w:t>
      </w:r>
      <w:r>
        <w:rPr>
          <w:rFonts w:hint="eastAsia" w:ascii="宋体" w:hAnsi="宋体" w:eastAsia="宋体" w:cs="宋体"/>
          <w:color w:val="000000" w:themeColor="text1"/>
          <w:sz w:val="24"/>
          <w:szCs w:val="24"/>
          <w14:textFill>
            <w14:solidFill>
              <w14:schemeClr w14:val="tx1"/>
            </w14:solidFill>
          </w14:textFill>
        </w:rPr>
        <w:t xml:space="preserve">在中国境内完成。</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61"/>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58"/>
        <w:ind w:firstLine="480"/>
        <w:jc w:val="both"/>
        <w:spacing w:before="0" w:beforeAutospacing="0" w:after="0" w:afterAutospacing="0" w:line="360" w:lineRule="auto"/>
        <w:rPr>
          <w:rFonts w:ascii="宋体" w:hAnsi="宋体" w:eastAsia="宋体" w:cs="宋体"/>
          <w:color w:val="000000" w:themeColor="text1"/>
          <w:szCs w:val="24"/>
          <w:shd w:val="clear" w:color="auto" w:fill="ffffff"/>
          <w14:textFill>
            <w14:solidFill>
              <w14:schemeClr w14:val="tx1"/>
            </w14:solidFill>
          </w14:textFill>
        </w:rPr>
      </w:pPr>
      <w:r>
        <w:rPr>
          <w:rFonts w:hint="eastAsia" w:ascii="宋体" w:hAnsi="宋体" w:eastAsia="宋体" w:cs="宋体"/>
          <w:color w:val="000000" w:themeColor="text1"/>
          <w:szCs w:val="24"/>
          <w:shd w:val="clear" w:color="auto" w:fill="ffffff"/>
          <w14:textFill>
            <w14:solidFill>
              <w14:schemeClr w14:val="tx1"/>
            </w14:solidFill>
          </w14:textFill>
        </w:rPr>
        <w:t xml:space="preserve">6.用斜线划除的地方无需填写。</w:t>
      </w:r>
      <w:r/>
    </w:p>
    <w:p>
      <w:pPr>
        <w:pStyle w:val="729"/>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60"/>
      <w:r/>
      <w:r/>
    </w:p>
    <w:p>
      <w:pPr>
        <w:pStyle w:val="729"/>
        <w:rPr>
          <w:rFonts w:ascii="宋体" w:hAnsi="宋体" w:eastAsia="宋体" w:cs="宋体"/>
          <w:sz w:val="24"/>
          <w:lang w:val="zh-CN"/>
        </w:rPr>
      </w:pPr>
      <w:r>
        <w:rPr>
          <w:rFonts w:hint="eastAsia" w:ascii="宋体" w:hAnsi="宋体" w:eastAsia="宋体" w:cs="宋体"/>
          <w:sz w:val="24"/>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公司（单位）名称（盖章）：</w:t>
      </w:r>
      <w:r/>
    </w:p>
    <w:p>
      <w:pPr>
        <w:rPr>
          <w:rFonts w:ascii="宋体" w:hAnsi="宋体" w:eastAsia="宋体" w:cs="宋体"/>
          <w:sz w:val="24"/>
        </w:rPr>
      </w:pPr>
      <w:r>
        <w:rPr>
          <w:rFonts w:hint="eastAsia" w:ascii="宋体" w:hAnsi="宋体" w:eastAsia="宋体" w:cs="宋体"/>
          <w:sz w:val="24"/>
        </w:rPr>
        <w:t xml:space="preserve">日 期：       年     月     日</w:t>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pStyle w:val="723"/>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（5）中小企业声明函</w:t>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中小企业声明函（货物）</w:t>
      </w:r>
      <w:r/>
    </w:p>
    <w:p>
      <w:pPr>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0"/>
          <w:u w:val="single"/>
          <w:shd w:val="clear" w:color="auto" w:fill="ffffff"/>
        </w:rPr>
        <w:t xml:space="preserve">苏州大学</w:t>
      </w:r>
      <w:r>
        <w:rPr>
          <w:rFonts w:hint="eastAsia" w:ascii="宋体" w:hAnsi="宋体" w:eastAsia="宋体" w:cs="宋体"/>
          <w:sz w:val="24"/>
          <w:szCs w:val="20"/>
          <w:shd w:val="clear" w:color="auto" w:fill="ffffff"/>
        </w:rPr>
        <w:t xml:space="preserve">的</w:t>
      </w:r>
      <w:r>
        <w:rPr>
          <w:rFonts w:hint="eastAsia" w:ascii="宋体" w:hAnsi="宋体" w:eastAsia="宋体" w:cs="宋体"/>
          <w:sz w:val="24"/>
          <w:szCs w:val="20"/>
          <w:u w:val="single"/>
          <w:shd w:val="clear" w:color="auto" w:fill="ffffff"/>
        </w:rPr>
        <w:t xml:space="preserve">超高分辨转盘共聚焦显微镜</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3"/>
        </w:numPr>
        <w:ind w:firstLine="480"/>
        <w:jc w:val="left"/>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 </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工业</w:t>
      </w:r>
      <w:r>
        <w:rPr>
          <w:rFonts w:hint="eastAsia" w:ascii="宋体" w:hAnsi="宋体" w:eastAsia="宋体" w:cs="宋体"/>
          <w:sz w:val="24"/>
          <w:szCs w:val="20"/>
          <w:shd w:val="clear" w:color="auto" w:fill="ffffff"/>
        </w:rPr>
        <w:t xml:space="preserve">；</w:t>
      </w:r>
      <w:r>
        <w:rPr>
          <w:rFonts w:hint="eastAsia" w:ascii="宋体" w:hAnsi="宋体" w:eastAsia="宋体" w:cs="宋体"/>
          <w:sz w:val="24"/>
          <w:szCs w:val="24"/>
          <w:lang w:val="zh-CN"/>
        </w:rPr>
        <w:t xml:space="preserve">制造商</w:t>
      </w:r>
      <w:r>
        <w:rPr>
          <w:rFonts w:hint="eastAsia" w:ascii="宋体" w:hAnsi="宋体" w:eastAsia="宋体" w:cs="宋体"/>
          <w:sz w:val="24"/>
          <w:szCs w:val="20"/>
          <w:shd w:val="clear" w:color="auto" w:fill="ffffff"/>
        </w:rPr>
        <w:t xml:space="preserve">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pStyle w:val="729"/>
        <w:rPr>
          <w:rFonts w:ascii="宋体" w:hAnsi="宋体" w:eastAsia="宋体" w:cs="宋体"/>
          <w:lang w:val="zh-CN"/>
        </w:rPr>
      </w:pPr>
      <w:r>
        <w:rPr>
          <w:rFonts w:ascii="宋体" w:hAnsi="宋体" w:eastAsia="宋体" w:cs="宋体"/>
          <w:lang w:val="zh-CN"/>
        </w:rPr>
      </w:r>
      <w:r/>
    </w:p>
    <w:p>
      <w:pPr>
        <w:ind w:left="42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rPr>
          <w:rFonts w:ascii="宋体" w:hAnsi="宋体" w:eastAsia="宋体" w:cs="宋体"/>
          <w:b/>
          <w:sz w:val="24"/>
          <w:szCs w:val="20"/>
          <w:shd w:val="clear" w:color="auto" w:fill="ffffff"/>
        </w:rPr>
      </w:pPr>
      <w:r>
        <w:rPr>
          <w:rFonts w:hint="eastAsia" w:ascii="宋体" w:hAnsi="宋体" w:eastAsia="宋体" w:cs="宋体"/>
          <w:sz w:val="24"/>
          <w:shd w:val="clear" w:color="auto" w:fill="ffffff"/>
        </w:rPr>
        <w:br w:type="page" w:clear="all"/>
      </w:r>
      <w:r/>
    </w:p>
    <w:p>
      <w:pPr>
        <w:pStyle w:val="723"/>
        <w:ind w:firstLine="0"/>
        <w:jc w:val="both"/>
        <w:spacing w:line="360" w:lineRule="auto"/>
        <w:rPr>
          <w:rFonts w:ascii="宋体" w:hAnsi="宋体" w:eastAsia="宋体" w:cs="宋体"/>
          <w:b/>
          <w:shd w:val="clear" w:color="auto" w:fill="ffffff"/>
        </w:rPr>
        <w:outlineLvl w:val="2"/>
      </w:pPr>
      <w:r>
        <w:rPr>
          <w:rFonts w:hint="eastAsia" w:ascii="宋体" w:hAnsi="宋体" w:eastAsia="宋体" w:cs="宋体"/>
          <w:b/>
          <w:shd w:val="clear" w:color="auto" w:fill="ffffff"/>
        </w:rPr>
        <w:t xml:space="preserve">（6）残疾人福利性单位声明函</w:t>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480"/>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rPr>
          <w:rFonts w:ascii="宋体" w:hAnsi="宋体" w:eastAsia="宋体" w:cs="宋体"/>
          <w:sz w:val="24"/>
          <w:shd w:val="clear" w:color="auto" w:fill="ffffff"/>
        </w:rPr>
      </w:pPr>
      <w:r>
        <w:rPr>
          <w:rFonts w:hint="eastAsia" w:ascii="宋体" w:hAnsi="宋体" w:eastAsia="宋体" w:cs="宋体"/>
          <w:sz w:val="24"/>
          <w:shd w:val="clear" w:color="auto" w:fill="ffffff"/>
        </w:rPr>
        <w:br w:type="page" w:clear="all"/>
      </w:r>
      <w:r/>
    </w:p>
    <w:p>
      <w:pPr>
        <w:jc w:val="left"/>
        <w:spacing w:line="360" w:lineRule="auto"/>
        <w:rPr>
          <w:rFonts w:ascii="宋体" w:hAnsi="宋体" w:eastAsia="宋体" w:cs="宋体"/>
          <w:b/>
          <w:sz w:val="24"/>
          <w:shd w:val="clear" w:color="auto" w:fill="ffffff"/>
        </w:rPr>
        <w:outlineLvl w:val="2"/>
      </w:pPr>
      <w:r>
        <w:rPr>
          <w:rFonts w:hint="eastAsia" w:ascii="宋体" w:hAnsi="宋体" w:eastAsia="宋体" w:cs="宋体"/>
          <w:b/>
          <w:sz w:val="24"/>
          <w:szCs w:val="20"/>
          <w:shd w:val="clear" w:color="auto" w:fill="ffffff"/>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对投标人（供应商）有直接控股、管理关系的单位情况表</w:t>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20"/>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3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2025"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7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98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61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730"/>
        <w:ind w:left="0" w:firstLine="482"/>
        <w:jc w:val="left"/>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1019"/>
        <w:ind w:firstLine="480"/>
        <w:jc w:val="left"/>
        <w:spacing w:line="360" w:lineRule="auto"/>
        <w:rPr>
          <w:rFonts w:hAnsi="宋体" w:eastAsia="宋体" w:cs="宋体"/>
          <w:sz w:val="24"/>
          <w:szCs w:val="24"/>
        </w:rPr>
      </w:pPr>
      <w:r>
        <w:rPr>
          <w:rFonts w:hAnsi="宋体" w:eastAsia="宋体" w:cs="宋体"/>
          <w:sz w:val="24"/>
          <w:szCs w:val="24"/>
        </w:rPr>
      </w:r>
      <w:r/>
    </w:p>
    <w:p>
      <w:pPr>
        <w:pStyle w:val="1019"/>
        <w:ind w:firstLine="480"/>
        <w:jc w:val="left"/>
        <w:spacing w:line="360" w:lineRule="auto"/>
        <w:rPr>
          <w:rFonts w:hAnsi="宋体" w:eastAsia="宋体" w:cs="宋体"/>
          <w:sz w:val="24"/>
          <w:szCs w:val="24"/>
        </w:rPr>
      </w:pPr>
      <w:r>
        <w:rPr>
          <w:rFonts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1019"/>
        <w:ind w:firstLine="4440"/>
        <w:jc w:val="right"/>
        <w:spacing w:line="360" w:lineRule="exact"/>
        <w:rPr>
          <w:rFonts w:hAnsi="宋体" w:eastAsia="宋体" w:cs="宋体"/>
          <w:sz w:val="24"/>
          <w:szCs w:val="24"/>
        </w:rPr>
      </w:pPr>
      <w:r>
        <w:rPr>
          <w:rFonts w:hint="eastAsia" w:hAnsi="宋体" w:eastAsia="宋体" w:cs="宋体"/>
          <w:sz w:val="24"/>
          <w:szCs w:val="24"/>
        </w:rPr>
        <w:t xml:space="preserve">日期：　　　年　　月　　日</w:t>
      </w:r>
      <w:r/>
    </w:p>
    <w:p>
      <w:pPr>
        <w:jc w:val="right"/>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sz w:val="30"/>
          <w:szCs w:val="30"/>
          <w:shd w:val="clear" w:color="auto" w:fill="ffffff"/>
        </w:rPr>
      </w:pPr>
      <w:r>
        <w:rPr>
          <w:rFonts w:hint="eastAsia" w:ascii="宋体" w:hAnsi="宋体" w:eastAsia="宋体" w:cs="宋体"/>
          <w:sz w:val="30"/>
          <w:szCs w:val="3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731"/>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pStyle w:val="731"/>
        <w:rPr>
          <w:rFonts w:hint="default" w:ascii="宋体" w:hAnsi="宋体" w:eastAsia="宋体" w:cs="宋体"/>
          <w:sz w:val="30"/>
          <w:szCs w:val="30"/>
          <w:shd w:val="clear" w:color="auto" w:fill="ffffff"/>
        </w:rPr>
      </w:pPr>
      <w:r>
        <w:rPr>
          <w:rFonts w:hint="default"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62" w:name="_Toc13642115"/>
      <w:r/>
      <w:bookmarkStart w:id="63" w:name="_Toc105940240"/>
      <w:r>
        <w:rPr>
          <w:rFonts w:hint="eastAsia" w:ascii="宋体" w:hAnsi="宋体" w:eastAsia="宋体" w:cs="宋体"/>
          <w:b/>
          <w:sz w:val="52"/>
          <w:szCs w:val="20"/>
          <w:shd w:val="clear" w:color="auto" w:fill="ffffff"/>
        </w:rPr>
        <w:t xml:space="preserve">第四章 招标书</w:t>
      </w:r>
      <w:bookmarkEnd w:id="62"/>
      <w:r/>
      <w:bookmarkEnd w:id="63"/>
      <w:r/>
      <w:r/>
    </w:p>
    <w:p>
      <w:pPr>
        <w:jc w:val="center"/>
        <w:spacing w:line="360" w:lineRule="auto"/>
        <w:rPr>
          <w:rFonts w:ascii="宋体" w:hAnsi="宋体" w:eastAsia="宋体" w:cs="宋体"/>
          <w:b/>
          <w:sz w:val="48"/>
          <w:szCs w:val="48"/>
          <w:shd w:val="clear" w:color="auto" w:fill="ffffff"/>
        </w:rPr>
      </w:pPr>
      <w:r/>
      <w:bookmarkStart w:id="64"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48"/>
          <w:szCs w:val="48"/>
          <w:shd w:val="clear" w:color="auto" w:fill="ffffff"/>
        </w:rPr>
        <w:t xml:space="preserve">招标书</w:t>
      </w:r>
      <w:bookmarkEnd w:id="64"/>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苏州诚和招投标咨询有限公司受苏州大学的委托，就其所需的超高分辨转盘共聚焦显微镜进行国内公开招标。欢迎有资格的供应商前来参加投标（响应）。</w:t>
      </w:r>
      <w:r/>
    </w:p>
    <w:p>
      <w:pPr>
        <w:ind w:firstLine="482"/>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65" w:name="OLE_LINK1"/>
      <w:r>
        <w:rPr>
          <w:rFonts w:hint="eastAsia" w:ascii="宋体" w:hAnsi="宋体" w:eastAsia="宋体" w:cs="宋体"/>
          <w:sz w:val="24"/>
          <w:lang w:eastAsia="zh-CN"/>
        </w:rPr>
        <w:t xml:space="preserve">JSZC-320500-SZCH-G2026-0041</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（一）主要技术参数要求</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激光光源系统</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至少配置405</w:t>
      </w:r>
      <w:bookmarkStart w:id="66" w:name="OLE_LINK57"/>
      <w:r>
        <w:rPr>
          <w:rFonts w:hint="eastAsia" w:ascii="宋体" w:hAnsi="宋体" w:eastAsia="宋体" w:cs="宋体"/>
          <w:bCs/>
          <w:sz w:val="24"/>
          <w:szCs w:val="24"/>
        </w:rPr>
        <w:t xml:space="preserve">±5</w:t>
      </w:r>
      <w:bookmarkEnd w:id="66"/>
      <w:r>
        <w:rPr>
          <w:rFonts w:hint="eastAsia" w:ascii="宋体" w:hAnsi="宋体" w:eastAsia="宋体" w:cs="宋体"/>
          <w:bCs/>
          <w:sz w:val="24"/>
          <w:szCs w:val="24"/>
          <w:lang w:eastAsia="zh-TW"/>
        </w:rPr>
        <w:t xml:space="preserve">nm、488</w:t>
      </w: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nm、561</w:t>
      </w: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nm、640</w:t>
      </w: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nm等四个高功率激光器，能够适用可见光范围内不同荧光染料进行成像。</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转盘式超高分辨系统</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2.1扫描单元：配置针孔直径≥50</w:t>
      </w:r>
      <w:r>
        <w:rPr>
          <w:rFonts w:hint="eastAsia" w:ascii="宋体" w:hAnsi="宋体" w:eastAsia="宋体" w:cs="宋体"/>
          <w:bCs/>
          <w:sz w:val="24"/>
          <w:szCs w:val="24"/>
        </w:rPr>
        <w:t xml:space="preserve">μm</w:t>
      </w:r>
      <w:r>
        <w:rPr>
          <w:rFonts w:hint="eastAsia" w:ascii="宋体" w:hAnsi="宋体" w:eastAsia="宋体" w:cs="宋体"/>
          <w:bCs/>
          <w:sz w:val="24"/>
          <w:szCs w:val="24"/>
          <w:lang w:eastAsia="zh-TW"/>
        </w:rPr>
        <w:t xml:space="preserve">，微透镜增强型双层</w:t>
      </w:r>
      <w:r>
        <w:rPr>
          <w:rFonts w:hint="eastAsia" w:ascii="宋体" w:hAnsi="宋体" w:eastAsia="宋体" w:cs="宋体"/>
          <w:bCs/>
          <w:sz w:val="24"/>
          <w:szCs w:val="24"/>
        </w:rPr>
        <w:t xml:space="preserve">同步</w:t>
      </w:r>
      <w:r>
        <w:rPr>
          <w:rFonts w:hint="eastAsia" w:ascii="宋体" w:hAnsi="宋体" w:eastAsia="宋体" w:cs="宋体"/>
          <w:bCs/>
          <w:sz w:val="24"/>
          <w:szCs w:val="24"/>
          <w:lang w:eastAsia="zh-TW"/>
        </w:rPr>
        <w:t xml:space="preserve">转盘扫描头；</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2.2转盘最大转速≤4</w:t>
      </w:r>
      <w:r>
        <w:rPr>
          <w:rFonts w:hint="eastAsia" w:ascii="宋体" w:hAnsi="宋体" w:eastAsia="宋体" w:cs="宋体"/>
          <w:bCs/>
          <w:sz w:val="24"/>
          <w:szCs w:val="24"/>
        </w:rPr>
        <w:t xml:space="preserve">2</w:t>
      </w:r>
      <w:r>
        <w:rPr>
          <w:rFonts w:hint="eastAsia" w:ascii="宋体" w:hAnsi="宋体" w:eastAsia="宋体" w:cs="宋体"/>
          <w:bCs/>
          <w:sz w:val="24"/>
          <w:szCs w:val="24"/>
          <w:lang w:eastAsia="zh-TW"/>
        </w:rPr>
        <w:t xml:space="preserve">00rpm，共聚焦模式支持最大扫描帧率≥200fps，超高分辨采集速度≤5ms/f；</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2.3成像模式：支持宽场荧光/转盘共聚焦/超分辨成像/明场成像/活细胞成像等电动切换；</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2.4</w:t>
      </w:r>
      <w:r>
        <w:rPr>
          <w:rFonts w:hint="eastAsia" w:ascii="宋体" w:hAnsi="宋体" w:eastAsia="宋体" w:cs="宋体"/>
          <w:bCs/>
          <w:sz w:val="24"/>
          <w:szCs w:val="24"/>
        </w:rPr>
        <w:t xml:space="preserve">显微镜主机同品牌超高分辨硬件模块</w:t>
      </w:r>
      <w:r>
        <w:rPr>
          <w:rFonts w:hint="eastAsia" w:ascii="宋体" w:hAnsi="宋体" w:eastAsia="宋体" w:cs="宋体"/>
          <w:bCs/>
          <w:sz w:val="24"/>
          <w:szCs w:val="24"/>
          <w:lang w:eastAsia="zh-TW"/>
        </w:rPr>
        <w:t xml:space="preserve">：至少包含≥1x、≥3x两种电动变倍可调，匹配共聚焦和超高分辨率两种成像模式，通过光学变倍体实现光学的超高分辨，超高分辨率成像适用物镜倍数</w:t>
      </w:r>
      <w:r>
        <w:rPr>
          <w:rFonts w:hint="eastAsia" w:ascii="宋体" w:hAnsi="宋体" w:eastAsia="宋体" w:cs="宋体"/>
          <w:bCs/>
          <w:sz w:val="24"/>
          <w:szCs w:val="24"/>
        </w:rPr>
        <w:t xml:space="preserve">至少包含（30</w:t>
      </w:r>
      <w:r>
        <w:rPr>
          <w:rFonts w:hint="eastAsia" w:ascii="宋体" w:hAnsi="宋体" w:eastAsia="宋体" w:cs="宋体"/>
          <w:bCs/>
          <w:sz w:val="24"/>
          <w:szCs w:val="24"/>
          <w:lang w:eastAsia="zh-TW"/>
        </w:rPr>
        <w:t xml:space="preserve">X</w:t>
      </w:r>
      <w:r>
        <w:rPr>
          <w:rFonts w:hint="eastAsia" w:ascii="宋体" w:hAnsi="宋体" w:eastAsia="宋体" w:cs="宋体"/>
          <w:bCs/>
          <w:sz w:val="24"/>
          <w:szCs w:val="24"/>
        </w:rPr>
        <w:t xml:space="preserve">，40X,60/63X,100X)</w:t>
      </w:r>
      <w:r>
        <w:rPr>
          <w:rFonts w:hint="eastAsia" w:ascii="宋体" w:hAnsi="宋体" w:eastAsia="宋体" w:cs="宋体"/>
          <w:bCs/>
          <w:sz w:val="24"/>
          <w:szCs w:val="24"/>
          <w:lang w:eastAsia="zh-TW"/>
        </w:rPr>
        <w:t xml:space="preserve">；</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2.5实时同步控制模块：并行控制部件，独立于电脑的中央控制器，可以根据指令自行调整各硬件同步工作状态；</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2.5.1具备相机触发端口，不少于</w:t>
      </w:r>
      <w:r>
        <w:rPr>
          <w:rFonts w:hint="eastAsia" w:ascii="宋体" w:hAnsi="宋体" w:eastAsia="宋体" w:cs="宋体"/>
          <w:bCs/>
          <w:sz w:val="24"/>
          <w:szCs w:val="24"/>
        </w:rPr>
        <w:t xml:space="preserve">8</w:t>
      </w:r>
      <w:r>
        <w:rPr>
          <w:rFonts w:hint="eastAsia" w:ascii="宋体" w:hAnsi="宋体" w:eastAsia="宋体" w:cs="宋体"/>
          <w:bCs/>
          <w:sz w:val="24"/>
          <w:szCs w:val="24"/>
          <w:lang w:eastAsia="zh-TW"/>
        </w:rPr>
        <w:t xml:space="preserve">个模拟信号输出端口和</w:t>
      </w:r>
      <w:r>
        <w:rPr>
          <w:rFonts w:hint="eastAsia" w:ascii="宋体" w:hAnsi="宋体" w:eastAsia="宋体" w:cs="宋体"/>
          <w:bCs/>
          <w:sz w:val="24"/>
          <w:szCs w:val="24"/>
        </w:rPr>
        <w:t xml:space="preserve">8</w:t>
      </w:r>
      <w:r>
        <w:rPr>
          <w:rFonts w:hint="eastAsia" w:ascii="宋体" w:hAnsi="宋体" w:eastAsia="宋体" w:cs="宋体"/>
          <w:bCs/>
          <w:sz w:val="24"/>
          <w:szCs w:val="24"/>
          <w:lang w:eastAsia="zh-TW"/>
        </w:rPr>
        <w:t xml:space="preserve">数字信号输出端口；</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2.5.2多命令间隔时间≤0.2ms,时间精度≤0.005ms；</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2.6超高分辨硬件模块：非软件算法后期计算所得，可实现XY分辨率≤120nm，Z分辨率≤300nm；超高分辨率成像不依赖特定激光波段，不需使用特殊荧光染料。</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高灵敏度成像系统：大靶面sCMOS，像素≥5</w:t>
      </w:r>
      <w:r>
        <w:rPr>
          <w:rFonts w:hint="eastAsia" w:ascii="宋体" w:hAnsi="宋体" w:eastAsia="宋体" w:cs="宋体"/>
          <w:bCs/>
          <w:sz w:val="24"/>
          <w:szCs w:val="24"/>
        </w:rPr>
        <w:t xml:space="preserve">0</w:t>
      </w:r>
      <w:r>
        <w:rPr>
          <w:rFonts w:hint="eastAsia" w:ascii="宋体" w:hAnsi="宋体" w:eastAsia="宋体" w:cs="宋体"/>
          <w:bCs/>
          <w:sz w:val="24"/>
          <w:szCs w:val="24"/>
          <w:lang w:eastAsia="zh-TW"/>
        </w:rPr>
        <w:t xml:space="preserve">0万像素；单像素大小≥6.5×6.5μm；感光芯片≥14mm×14mm；高量子效率，峰值QE≥95%；高动态范围成像，位深≥16bit。</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全电动显微镜光学系统</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4.1 具备多种观察方式，包括明场、相差、DIC微分干涉、荧光等；</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4.2 显微镜镜体内置中间变倍器，提供≥3档可选倍率；</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4.3 电动控制Z轴，Z轴行程≥10mm；最小Z轴步进精度≤10nm；最大调节速度≥3mm/s；</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4.4电动滤色镜转盘：≥8孔位，无需拆卸更换激发块，内置电动光闸；</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4.5 电动聚光镜：≥7孔位，数值孔径N.A.≥0.55，工作距离W.D.≥27mm；</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4.6 荧光光源：高亮度LED光源，光源寿命≥20000小时。可通过软件控制光强，步进精度</w:t>
      </w: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1%。TTL独立控制每个通道，开关速度≤10μs；</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4.7 明场光源：高亮度白光LED光源，可软件调节大小；</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rPr>
        <w:t xml:space="preserve">★</w:t>
      </w:r>
      <w:r>
        <w:rPr>
          <w:rFonts w:hint="eastAsia" w:ascii="宋体" w:hAnsi="宋体" w:eastAsia="宋体" w:cs="宋体"/>
          <w:bCs/>
          <w:sz w:val="24"/>
          <w:szCs w:val="24"/>
          <w:lang w:eastAsia="zh-TW"/>
        </w:rPr>
        <w:t xml:space="preserve">4.8</w:t>
      </w:r>
      <w:r>
        <w:rPr>
          <w:rFonts w:hint="eastAsia" w:ascii="宋体" w:hAnsi="宋体" w:eastAsia="宋体" w:cs="宋体"/>
          <w:bCs/>
          <w:sz w:val="24"/>
          <w:szCs w:val="24"/>
        </w:rPr>
        <w:t xml:space="preserve"> </w:t>
      </w:r>
      <w:r>
        <w:rPr>
          <w:rFonts w:hint="eastAsia" w:ascii="宋体" w:hAnsi="宋体" w:eastAsia="宋体" w:cs="宋体"/>
          <w:bCs/>
          <w:sz w:val="24"/>
          <w:szCs w:val="24"/>
          <w:lang w:eastAsia="zh-TW"/>
        </w:rPr>
        <w:t xml:space="preserve">共聚焦专用物镜，齐焦距离≤50mm；</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4.8.1  10×干镜，数值孔径NA≥0.40；</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4.8.2  20×干镜，数值孔径NA≥0.8；</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w:t>
      </w:r>
      <w:r>
        <w:rPr>
          <w:rFonts w:hint="eastAsia" w:ascii="宋体" w:hAnsi="宋体" w:eastAsia="宋体" w:cs="宋体"/>
          <w:bCs/>
          <w:sz w:val="24"/>
          <w:szCs w:val="24"/>
        </w:rPr>
        <w:t xml:space="preserve">3</w:t>
      </w:r>
      <w:r>
        <w:rPr>
          <w:rFonts w:hint="eastAsia" w:ascii="宋体" w:hAnsi="宋体" w:eastAsia="宋体" w:cs="宋体"/>
          <w:bCs/>
          <w:sz w:val="24"/>
          <w:szCs w:val="24"/>
          <w:lang w:eastAsia="zh-TW"/>
        </w:rPr>
        <w:t xml:space="preserve">  40×干镜，数值孔径NA≥0.95；</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w:t>
      </w:r>
      <w:r>
        <w:rPr>
          <w:rFonts w:hint="eastAsia" w:ascii="宋体" w:hAnsi="宋体" w:eastAsia="宋体" w:cs="宋体"/>
          <w:bCs/>
          <w:sz w:val="24"/>
          <w:szCs w:val="24"/>
        </w:rPr>
        <w:t xml:space="preserve">4</w:t>
      </w:r>
      <w:r>
        <w:rPr>
          <w:rFonts w:hint="eastAsia" w:ascii="宋体" w:hAnsi="宋体" w:eastAsia="宋体" w:cs="宋体"/>
          <w:bCs/>
          <w:sz w:val="24"/>
          <w:szCs w:val="24"/>
          <w:lang w:eastAsia="zh-TW"/>
        </w:rPr>
        <w:t xml:space="preserve">  60×/63×油镜，数值孔径NA≥1.</w:t>
      </w:r>
      <w:r>
        <w:rPr>
          <w:rFonts w:hint="eastAsia" w:ascii="宋体" w:hAnsi="宋体" w:eastAsia="宋体" w:cs="宋体"/>
          <w:bCs/>
          <w:sz w:val="24"/>
          <w:szCs w:val="24"/>
        </w:rPr>
        <w:t xml:space="preserve">48</w:t>
      </w:r>
      <w:r>
        <w:rPr>
          <w:rFonts w:hint="eastAsia" w:ascii="宋体" w:hAnsi="宋体" w:eastAsia="宋体" w:cs="宋体"/>
          <w:bCs/>
          <w:sz w:val="24"/>
          <w:szCs w:val="24"/>
          <w:lang w:eastAsia="zh-TW"/>
        </w:rPr>
        <w:t xml:space="preserve">；</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4.8.</w:t>
      </w: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  100×油镜，数值孔径NA≥1.</w:t>
      </w:r>
      <w:r>
        <w:rPr>
          <w:rFonts w:hint="eastAsia" w:ascii="宋体" w:hAnsi="宋体" w:eastAsia="宋体" w:cs="宋体"/>
          <w:bCs/>
          <w:sz w:val="24"/>
          <w:szCs w:val="24"/>
        </w:rPr>
        <w:t xml:space="preserve">42</w:t>
      </w:r>
      <w:r>
        <w:rPr>
          <w:rFonts w:hint="eastAsia" w:ascii="宋体" w:hAnsi="宋体" w:eastAsia="宋体" w:cs="宋体"/>
          <w:bCs/>
          <w:sz w:val="24"/>
          <w:szCs w:val="24"/>
          <w:lang w:eastAsia="zh-TW"/>
        </w:rPr>
        <w:t xml:space="preserve">；</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4.9 明场观察附件：全套微分干涉附件，配备起偏镜、检偏镜；</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lang w:eastAsia="zh-TW"/>
        </w:rPr>
        <w:t xml:space="preserve">4.10 精准电动载物台，XY精度≤0.1μm，同时配有扫描台控制手柄。</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4.11 活细胞CO</w:t>
      </w:r>
      <w:r>
        <w:rPr>
          <w:rFonts w:hint="eastAsia" w:ascii="宋体" w:hAnsi="宋体" w:eastAsia="宋体" w:cs="宋体"/>
          <w:bCs/>
          <w:sz w:val="24"/>
          <w:szCs w:val="24"/>
          <w:vertAlign w:val="subscript"/>
        </w:rPr>
        <w:t xml:space="preserve">2</w:t>
      </w:r>
      <w:r>
        <w:rPr>
          <w:rFonts w:hint="eastAsia" w:ascii="宋体" w:hAnsi="宋体" w:eastAsia="宋体" w:cs="宋体"/>
          <w:bCs/>
          <w:sz w:val="24"/>
          <w:szCs w:val="24"/>
        </w:rPr>
        <w:t xml:space="preserve">培养系统：能够提供细胞生长所需的环境条件。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4.12 Z轴硬件防漂移系统：可自动对共聚焦小皿或玻片样品进行自动聚焦。</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软件</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1图形化编程系统，可自定义设计复杂流程实验，支持自动对实验流程进行验证。配合时序管理器和实时采集模块，支持不同成像任务之间按编辑逻辑快速切换，保证时间分辨率和数据完整性。可保存流程图和参数，支持随时调用查看</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.2调节亮度、对比度、伽玛值以及灰度显示范围，并可以单独调节RGB各通道的亮度，可以改变图像分辨率、旋转图像等各种操作，支持反转、低通、高通、锐化等滤镜</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.3支持电动载物台进行切片和多孔板等全区域扫描，并提供整体图像相对位置的参照；可以进行自动多点位采集，大标本的高分辨率全视野图像采集，具备自动对焦地形图功能</w:t>
      </w:r>
      <w:r>
        <w:rPr>
          <w:rFonts w:hint="eastAsia" w:ascii="宋体" w:hAnsi="宋体" w:eastAsia="宋体" w:cs="宋体"/>
          <w:bCs/>
          <w:sz w:val="24"/>
          <w:szCs w:val="24"/>
        </w:rPr>
        <w:t xml:space="preserve">；</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.4超高分辨算法，系统配备智能超高分辨算法，根据实验样品的状况可自动匹配最合适的超高分辨处理参数，超高分辨算法支持10个以上不同的处理等级，并满足≥25X物镜超高分辨成像需求</w:t>
      </w:r>
      <w:r>
        <w:rPr>
          <w:rFonts w:hint="eastAsia" w:ascii="宋体" w:hAnsi="宋体" w:eastAsia="宋体" w:cs="宋体"/>
          <w:bCs/>
          <w:sz w:val="24"/>
          <w:szCs w:val="24"/>
        </w:rPr>
        <w:t xml:space="preserve">；算法带有3D处理模式实现Z轴最高分辨率</w:t>
      </w:r>
      <w:r>
        <w:rPr>
          <w:rStyle w:val="770"/>
          <w:rFonts w:hint="eastAsia" w:ascii="Calibri" w:hAnsi="Calibri" w:eastAsia="楷体_GB2312" w:cs="Times New Roman"/>
        </w:rPr>
        <w:t xml:space="preserve">。</w:t>
      </w:r>
      <w:r/>
    </w:p>
    <w:p>
      <w:pPr>
        <w:ind w:firstLine="482"/>
        <w:jc w:val="left"/>
        <w:spacing w:line="360" w:lineRule="auto"/>
        <w:rPr>
          <w:rFonts w:ascii="宋体" w:hAnsi="宋体" w:eastAsia="宋体" w:cs="宋体"/>
          <w:bCs/>
          <w:sz w:val="24"/>
          <w:szCs w:val="24"/>
          <w:lang w:eastAsia="zh-TW"/>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lang w:eastAsia="zh-TW"/>
        </w:rPr>
        <w:t xml:space="preserve">.5阴影校准算法，支持计算导致拼接图像阴影的原因，并在采集拼接图像后实时自动去除</w:t>
      </w:r>
      <w:r>
        <w:rPr>
          <w:rFonts w:hint="eastAsia" w:ascii="宋体" w:hAnsi="宋体" w:eastAsia="宋体" w:cs="宋体"/>
          <w:bCs/>
          <w:sz w:val="24"/>
          <w:szCs w:val="24"/>
        </w:rPr>
        <w:t xml:space="preserve">拼接</w:t>
      </w:r>
      <w:r>
        <w:rPr>
          <w:rFonts w:hint="eastAsia" w:ascii="宋体" w:hAnsi="宋体" w:eastAsia="宋体" w:cs="宋体"/>
          <w:bCs/>
          <w:sz w:val="24"/>
          <w:szCs w:val="24"/>
          <w:lang w:eastAsia="zh-TW"/>
        </w:rPr>
        <w:t xml:space="preserve">阴影。用户可选是否启用该功能。</w:t>
      </w:r>
      <w:r/>
    </w:p>
    <w:p>
      <w:pPr>
        <w:ind w:firstLine="482"/>
        <w:jc w:val="left"/>
        <w:spacing w:line="360" w:lineRule="auto"/>
        <w:rPr>
          <w:rFonts w:ascii="宋体" w:hAnsi="宋体" w:eastAsia="宋体" w:cs="宋体"/>
          <w:b/>
          <w:sz w:val="24"/>
          <w:szCs w:val="24"/>
          <w:lang w:eastAsia="zh-TW"/>
        </w:rPr>
        <w:outlineLvl w:val="1"/>
      </w:pPr>
      <w:r>
        <w:rPr>
          <w:rFonts w:hint="eastAsia" w:ascii="宋体" w:hAnsi="宋体" w:eastAsia="宋体" w:cs="宋体"/>
          <w:bCs/>
          <w:sz w:val="24"/>
          <w:szCs w:val="24"/>
        </w:rPr>
        <w:t xml:space="preserve">6、</w:t>
      </w:r>
      <w:r>
        <w:rPr>
          <w:rFonts w:hint="eastAsia" w:ascii="宋体" w:hAnsi="宋体" w:eastAsia="宋体" w:cs="宋体"/>
          <w:bCs/>
          <w:sz w:val="24"/>
          <w:szCs w:val="24"/>
          <w:lang w:eastAsia="zh-TW"/>
        </w:rPr>
        <w:t xml:space="preserve">防震台：专用气垫式防震工作台。</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注：带“★”项为实质性响应内容，投标人须全部满足，不得存在负偏离。以投标人提供的能直接反映该产品技术参数的官网或彩页或产品说明书或具有检验（检测）资质的第三方检测机构出具的有效检验（检测）报告的相关佐证材料作为主要评判依据。否则将视为未实质性响应招标文件，其投标将被否决（作无效投标处理）。</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（二）配置清单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1、全电动倒置显微镜1套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2、超高分辨转盘共聚焦模块1套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3、配套软件1套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4、计算工作站1套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5、防震台1套</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（三）交付及安装调试</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1、交付流程：中标供应商应当在合同签订后3个月内将货物运送至采购人指定地点。</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（四）验收标准</w:t>
      </w:r>
      <w:r/>
    </w:p>
    <w:p>
      <w:pPr>
        <w:ind w:firstLine="482"/>
        <w:jc w:val="left"/>
        <w:spacing w:line="360" w:lineRule="auto"/>
        <w:rPr>
          <w:rFonts w:ascii="宋体" w:hAnsi="宋体" w:eastAsia="宋体" w:cs="宋体"/>
          <w:bCs/>
          <w:sz w:val="24"/>
          <w:szCs w:val="24"/>
        </w:rPr>
        <w:outlineLvl w:val="1"/>
      </w:pPr>
      <w:r/>
      <w:bookmarkStart w:id="67" w:name="_Hlk234652762"/>
      <w:r>
        <w:rPr>
          <w:rFonts w:hint="eastAsia" w:ascii="宋体" w:hAnsi="宋体" w:eastAsia="宋体" w:cs="宋体"/>
          <w:bCs/>
          <w:sz w:val="24"/>
          <w:szCs w:val="24"/>
        </w:rPr>
        <w:t xml:space="preserve">按采购文件列出的技术指标，国际、国家相关标准、行业通行标准及厂方出厂标准进行验收。</w:t>
      </w:r>
      <w:bookmarkEnd w:id="67"/>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（五）质保服务要求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1、设备免费质保期不少于3年，自最终验收完成合格之日起算；</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（六）付款条款</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本项目接受进口产品投标，付款方式根据是否为进口产品分为下列情况：</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【非进口产品】：在设备完成安装调试后运行一个月无故障，并取得最终用户签字盖章的验收报告后支付100%合同价款，付款之前需收到中标供应商开具的合法有效的相应全额发票。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进口产品】：由甲方委托的外贸代理公司通过信用证(L/C)方式支付给境外厂家，即外贸代理公司开具100%不可撤销信用证，90%合同价款凭发货单据支付，10%合同价款在设备完成安装调试后运行一个月无故障，并取得最终用户签字盖章的验收报告后支付。</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（七）报价要求</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1.1如投标产品为进口产品，投标响应报价必须报进口免税价。进口免税价须包含在采购人指定地点交货的，除进口关税和进口增值税外的全部费用，并包含进口代理服务费、安装、调试、培训和检测等的全部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1.2如进口免税货物在国务院税委会公告的加征关税商品清单中，加征的关税应包含在投标总价中，即采购人在按照政府采购合同规定的付款方式和金额支付完货款后，不承担任何其他的或后续的费用。</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报价时应充分考虑所有可能影响到报价的因素，一旦评审结束最终成交，如发生漏、缺、少项都将被认为是成交供应商的报价让利行为，损失自负。如投标产品为进口产品，一切汇率波动的风险由供应商承担。</w:t>
      </w:r>
      <w:r/>
    </w:p>
    <w:p>
      <w:pPr>
        <w:ind w:firstLine="482"/>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国内运费、报关费用、港杂费用、港口至采购人目的现场运保费、办理各项证书、代理报酬等一切进口相关费用；但不包含货款、进口关税、进口增值税等法定税费。</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Cs/>
          <w:sz w:val="24"/>
          <w:szCs w:val="24"/>
        </w:rPr>
        <w:t xml:space="preserve">代理服务费收费标准如下：</w:t>
      </w:r>
      <w:r/>
    </w:p>
    <w:tbl>
      <w:tblPr>
        <w:tblStyle w:val="720"/>
        <w:tblW w:w="8373" w:type="dxa"/>
        <w:jc w:val="center"/>
        <w:tblLayout w:type="fixed"/>
        <w:tblCellMar>
          <w:left w:w="0" w:type="dxa"/>
          <w:top w:w="0" w:type="dxa"/>
          <w:right w:w="0" w:type="dxa"/>
          <w:bottom w:w="0" w:type="dxa"/>
        </w:tblCellMar>
        <w:tblLook w:val="04A0" w:firstRow="1" w:lastRow="0" w:firstColumn="1" w:lastColumn="0" w:noHBand="0" w:noVBand="1"/>
      </w:tblPr>
      <w:tblGrid>
        <w:gridCol w:w="4562"/>
        <w:gridCol w:w="3811"/>
      </w:tblGrid>
      <w:tr>
        <w:trPr>
          <w:jc w:val="center"/>
          <w:trHeight w:val="451"/>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合同价</w:t>
            </w:r>
            <w:r/>
          </w:p>
          <w:p>
            <w:pPr>
              <w:jc w:val="center"/>
              <w:widowControl/>
              <w:rPr>
                <w:rFonts w:ascii="宋体" w:hAnsi="宋体" w:eastAsia="宋体" w:cs="宋体"/>
                <w:sz w:val="24"/>
                <w:szCs w:val="24"/>
              </w:rPr>
            </w:pPr>
            <w:r>
              <w:rPr>
                <w:rFonts w:hint="eastAsia" w:ascii="宋体" w:hAnsi="宋体" w:eastAsia="宋体" w:cs="宋体"/>
                <w:sz w:val="24"/>
                <w:szCs w:val="24"/>
              </w:rPr>
              <w:t xml:space="preserve">（单位：万美元）</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1美元代理服务费报价</w:t>
            </w:r>
            <w:r/>
          </w:p>
          <w:p>
            <w:pPr>
              <w:jc w:val="center"/>
              <w:widowControl/>
              <w:rPr>
                <w:rFonts w:ascii="宋体" w:hAnsi="宋体" w:eastAsia="宋体" w:cs="宋体"/>
                <w:sz w:val="24"/>
                <w:szCs w:val="24"/>
              </w:rPr>
            </w:pPr>
            <w:r>
              <w:rPr>
                <w:rFonts w:hint="eastAsia" w:ascii="宋体" w:hAnsi="宋体" w:eastAsia="宋体" w:cs="宋体"/>
                <w:sz w:val="24"/>
                <w:szCs w:val="24"/>
              </w:rPr>
              <w:t xml:space="preserve">（单位：元人民币）</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合同价≤1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0.19</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1＜合同价≤3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0.14</w:t>
            </w:r>
            <w:r/>
          </w:p>
        </w:tc>
      </w:tr>
      <w:tr>
        <w:trPr>
          <w:jc w:val="center"/>
          <w:trHeight w:val="4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3＜合同价≤5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0.12</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5＜合同价≤10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0.10</w:t>
            </w:r>
            <w:r/>
          </w:p>
        </w:tc>
      </w:tr>
      <w:tr>
        <w:trPr>
          <w:jc w:val="center"/>
          <w:trHeight w:val="46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10＜合同价≤20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0.067</w:t>
            </w:r>
            <w:r/>
          </w:p>
        </w:tc>
      </w:tr>
      <w:tr>
        <w:trPr>
          <w:jc w:val="center"/>
          <w:trHeight w:val="4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20＜合同价≤30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0.046</w:t>
            </w:r>
            <w:r/>
          </w:p>
        </w:tc>
      </w:tr>
      <w:tr>
        <w:trPr>
          <w:jc w:val="center"/>
          <w:trHeight w:val="4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30＜合同价≤100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0.034</w:t>
            </w:r>
            <w:r/>
          </w:p>
        </w:tc>
      </w:tr>
      <w:tr>
        <w:trPr>
          <w:jc w:val="center"/>
          <w:trHeight w:val="4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62"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合同价＞100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1" w:type="dxa"/>
            <w:vAlign w:val="center"/>
            <w:textDirection w:val="lrTb"/>
            <w:noWrap w:val="false"/>
          </w:tcPr>
          <w:p>
            <w:pPr>
              <w:jc w:val="center"/>
              <w:spacing w:line="360" w:lineRule="atLeast"/>
              <w:widowControl/>
              <w:rPr>
                <w:rFonts w:ascii="宋体" w:hAnsi="宋体" w:eastAsia="宋体" w:cs="宋体"/>
                <w:sz w:val="24"/>
                <w:szCs w:val="24"/>
              </w:rPr>
            </w:pPr>
            <w:r>
              <w:rPr>
                <w:rFonts w:hint="eastAsia" w:ascii="宋体" w:hAnsi="宋体" w:eastAsia="宋体" w:cs="宋体"/>
                <w:sz w:val="24"/>
                <w:szCs w:val="24"/>
              </w:rPr>
              <w:t xml:space="preserve">0.03</w:t>
            </w:r>
            <w:r/>
          </w:p>
        </w:tc>
      </w:tr>
    </w:tbl>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注：美元汇率以中标合同签订当日中国银行外汇卖出牌价为准。</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（八）采购主要标的物数量、交付期及交付方式、付款方式、质保期、质保方式及带“★”项参数属于实质性响应要求，不得出现负偏离，否则视为无效投标。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4、售后服务</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6、单位负责人为同一人或者存在直接控股、管理关系的不同供应商，不得参加同一合同项下的政府采购活动。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7、为本项目提供整体设计、规范编制或者项目管理、监理、监测等服务的供应商，不得再参加该采购项目的其他采购活动。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8、如接受进口产品投标的项目，优先采购向我国企业转让技术、与我国企业签订消化吸收再创新方案的供应商的进口产品。</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9、采购项目需要落实的政府采购政策：</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9.1根据财政部、工业和信息化部关于印发《政府采购促进中小企业发展管理办法》的规定执行。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9.2根据财政部、司法部《关于政府采购支持监狱企业发展有关问题的通知》（财库〔2014〕68号）的规定执行。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9.3根据财政部、民政部、中国残疾人联合会《关于促进残疾人就业政府采购政策的通知》（财库〔2017〕141号）的规定执行。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9.4绿色采购（本项目不涉及节能环保产品采购）</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10、凡涉及采购文件的补充说明和修改，均以政府采购网所发布的公告为准。</w:t>
      </w:r>
      <w:r/>
    </w:p>
    <w:p>
      <w:pPr>
        <w:ind w:firstLine="420"/>
        <w:spacing w:line="360" w:lineRule="auto"/>
        <w:rPr>
          <w:rFonts w:ascii="宋体" w:hAnsi="宋体" w:eastAsia="宋体" w:cs="宋体"/>
        </w:rPr>
      </w:pPr>
      <w:r>
        <w:rPr>
          <w:rFonts w:hint="eastAsia" w:ascii="宋体" w:hAnsi="宋体" w:eastAsia="宋体" w:cs="宋体"/>
        </w:rPr>
        <w:br w:type="page" w:clear="all"/>
      </w:r>
      <w:r/>
    </w:p>
    <w:p>
      <w:pPr>
        <w:pStyle w:val="925"/>
        <w:rPr>
          <w:rFonts w:hAnsi="宋体"/>
        </w:rPr>
      </w:pPr>
      <w:r>
        <w:rPr>
          <w:rFonts w:hAnsi="宋体"/>
        </w:rPr>
      </w:r>
      <w:r/>
    </w:p>
    <w:p>
      <w:pPr>
        <w:pStyle w:val="730"/>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bookmarkStart w:id="68" w:name="_Toc396747046"/>
      <w:r/>
      <w:bookmarkStart w:id="69" w:name="_Toc105940241"/>
      <w:r>
        <w:rPr>
          <w:rFonts w:hint="eastAsia" w:ascii="宋体" w:hAnsi="宋体" w:eastAsia="宋体" w:cs="宋体"/>
          <w:b/>
          <w:sz w:val="48"/>
          <w:szCs w:val="48"/>
          <w:shd w:val="clear" w:color="auto" w:fill="ffffff"/>
        </w:rPr>
        <w:t xml:space="preserve">第五章 合同主要条款</w:t>
      </w:r>
      <w:bookmarkEnd w:id="68"/>
      <w:r/>
      <w:bookmarkEnd w:id="69"/>
      <w:r/>
      <w:r/>
    </w:p>
    <w:p>
      <w:pPr>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br w:type="page" w:clear="all"/>
      </w:r>
      <w:bookmarkEnd w:id="65"/>
      <w:r/>
      <w:r/>
    </w:p>
    <w:p>
      <w:pPr>
        <w:ind w:firstLine="482"/>
        <w:jc w:val="center"/>
        <w:spacing w:after="181"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bookmarkStart w:id="70" w:name="_Toc13642118"/>
      <w:r/>
      <w:bookmarkStart w:id="71" w:name="_Toc13889378"/>
      <w:r>
        <w:rPr>
          <w:rFonts w:hint="eastAsia" w:ascii="宋体" w:hAnsi="宋体" w:eastAsia="宋体" w:cs="宋体"/>
          <w:b/>
          <w:sz w:val="44"/>
        </w:rPr>
        <w:t xml:space="preserve">政府采购合同书</w:t>
      </w:r>
      <w:r/>
    </w:p>
    <w:p>
      <w:pPr>
        <w:ind w:right="960" w:firstLine="480"/>
        <w:jc w:val="center"/>
        <w:spacing w:line="360" w:lineRule="auto"/>
        <w:rPr>
          <w:b/>
          <w:sz w:val="24"/>
        </w:rPr>
      </w:pPr>
      <w:r>
        <w:rPr>
          <w:rFonts w:hint="eastAsia"/>
          <w:b/>
          <w:sz w:val="24"/>
        </w:rPr>
        <w:t xml:space="preserve"> </w:t>
      </w:r>
      <w:r>
        <w:rPr>
          <w:b/>
          <w:sz w:val="24"/>
        </w:rPr>
        <w:t xml:space="preserve">                                  </w:t>
      </w:r>
      <w:r>
        <w:rPr>
          <w:rFonts w:hint="eastAsia"/>
          <w:b/>
          <w:sz w:val="24"/>
        </w:rPr>
        <w:t xml:space="preserve">合同编号：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甲 </w:t>
      </w:r>
      <w:r>
        <w:rPr>
          <w:rFonts w:ascii="宋体" w:hAnsi="宋体" w:eastAsia="宋体"/>
          <w:sz w:val="24"/>
          <w:szCs w:val="24"/>
        </w:rPr>
        <w:t xml:space="preserve">   </w:t>
      </w:r>
      <w:r>
        <w:rPr>
          <w:rFonts w:hint="eastAsia" w:ascii="宋体" w:hAnsi="宋体" w:eastAsia="宋体"/>
          <w:sz w:val="24"/>
          <w:szCs w:val="24"/>
        </w:rPr>
        <w:t xml:space="preserve">方：苏州大学</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址：苏州市东环路50号</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乙 </w:t>
      </w:r>
      <w:r>
        <w:rPr>
          <w:rFonts w:ascii="宋体" w:hAnsi="宋体" w:eastAsia="宋体"/>
          <w:sz w:val="24"/>
          <w:szCs w:val="24"/>
        </w:rPr>
        <w:t xml:space="preserve">   </w:t>
      </w:r>
      <w:r>
        <w:rPr>
          <w:rFonts w:hint="eastAsia" w:ascii="宋体" w:hAnsi="宋体" w:eastAsia="宋体"/>
          <w:sz w:val="24"/>
          <w:szCs w:val="24"/>
        </w:rPr>
        <w:t xml:space="preserve">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 </w:t>
      </w:r>
      <w:r>
        <w:rPr>
          <w:rFonts w:ascii="宋体" w:hAnsi="宋体" w:eastAsia="宋体"/>
          <w:sz w:val="24"/>
          <w:szCs w:val="24"/>
        </w:rPr>
        <w:t xml:space="preserve">   </w:t>
      </w:r>
      <w:r>
        <w:rPr>
          <w:rFonts w:hint="eastAsia" w:ascii="宋体" w:hAnsi="宋体" w:eastAsia="宋体"/>
          <w:sz w:val="24"/>
          <w:szCs w:val="24"/>
        </w:rPr>
        <w:t xml:space="preserve">址：</w:t>
      </w:r>
      <w:r/>
    </w:p>
    <w:p>
      <w:pPr>
        <w:ind w:firstLine="480"/>
        <w:spacing w:line="360" w:lineRule="auto"/>
        <w:rPr>
          <w:rFonts w:ascii="宋体" w:hAnsi="宋体" w:eastAsia="宋体"/>
          <w:sz w:val="24"/>
          <w:szCs w:val="24"/>
        </w:rPr>
      </w:pPr>
      <w:r>
        <w:rPr>
          <w:rFonts w:ascii="宋体" w:hAnsi="宋体" w:eastAsia="宋体"/>
          <w:sz w:val="24"/>
          <w:szCs w:val="24"/>
        </w:rPr>
        <w:t xml:space="preserve">联</w:t>
      </w:r>
      <w:r>
        <w:rPr>
          <w:rFonts w:hint="eastAsia" w:ascii="宋体" w:hAnsi="宋体" w:eastAsia="宋体"/>
          <w:sz w:val="24"/>
          <w:szCs w:val="24"/>
        </w:rPr>
        <w:t xml:space="preserve"> </w:t>
      </w:r>
      <w:r>
        <w:rPr>
          <w:rFonts w:ascii="宋体" w:hAnsi="宋体" w:eastAsia="宋体"/>
          <w:sz w:val="24"/>
          <w:szCs w:val="24"/>
        </w:rPr>
        <w:t xml:space="preserve">系</w:t>
      </w:r>
      <w:r>
        <w:rPr>
          <w:rFonts w:hint="eastAsia" w:ascii="宋体" w:hAnsi="宋体" w:eastAsia="宋体"/>
          <w:sz w:val="24"/>
          <w:szCs w:val="24"/>
        </w:rPr>
        <w:t xml:space="preserve"> </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lang w:val="zh-CN"/>
        </w:rPr>
        <w:t xml:space="preserve">根据政府采购编号</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号采购文件及乙方中标的投标文件和中标通知书，甲乙双方就此次中标的</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left="1325" w:hanging="765"/>
        <w:jc w:val="left"/>
        <w:spacing w:line="360" w:lineRule="auto"/>
        <w:rPr>
          <w:rFonts w:ascii="宋体" w:hAnsi="宋体" w:eastAsia="宋体" w:cs="宋体"/>
          <w:sz w:val="24"/>
          <w:szCs w:val="24"/>
        </w:rPr>
      </w:pPr>
      <w:r>
        <w:rPr>
          <w:rFonts w:hint="eastAsia" w:ascii="宋体" w:hAnsi="宋体" w:eastAsia="宋体" w:cs="宋体"/>
          <w:b/>
          <w:sz w:val="24"/>
          <w:szCs w:val="24"/>
        </w:rPr>
        <w:t xml:space="preserve">第一条 </w:t>
      </w:r>
      <w:r>
        <w:rPr>
          <w:rFonts w:hint="eastAsia" w:ascii="宋体" w:hAnsi="宋体" w:eastAsia="宋体" w:cs="宋体"/>
          <w:sz w:val="24"/>
          <w:szCs w:val="24"/>
        </w:rPr>
        <w:t xml:space="preserve">乙方根据甲方需求提供下列货物：</w:t>
      </w:r>
      <w:r/>
    </w:p>
    <w:tbl>
      <w:tblPr>
        <w:tblStyle w:val="720"/>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33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型号、规格</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品牌</w:t>
            </w:r>
            <w:r/>
          </w:p>
        </w:tc>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00"/>
        </w:trPr>
        <w:tc>
          <w:tcPr>
            <w:tcBorders>
              <w:bottom w:val="single" w:color="auto" w:sz="4" w:space="0"/>
              <w:right w:val="single" w:color="auto" w:sz="4" w:space="0"/>
            </w:tcBorders>
            <w:tcW w:w="64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4" w:space="0"/>
              <w:bottom w:val="single" w:color="auto" w:sz="4" w:space="0"/>
              <w:right w:val="single" w:color="auto" w:sz="4" w:space="0"/>
            </w:tcBorders>
            <w:tcW w:w="133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517"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4" w:space="0"/>
            </w:tcBorders>
            <w:tcW w:w="109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50"/>
        </w:trPr>
        <w:tc>
          <w:tcPr>
            <w:tcBorders>
              <w:top w:val="single" w:color="auto" w:sz="4" w:space="0"/>
              <w:right w:val="single" w:color="auto" w:sz="4" w:space="0"/>
            </w:tcBorders>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right w:val="single" w:color="auto" w:sz="4" w:space="0"/>
            </w:tcBorders>
            <w:tcW w:w="133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701"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517"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1460"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c>
          <w:tcPr>
            <w:tcBorders>
              <w:top w:val="single" w:color="auto" w:sz="4" w:space="0"/>
              <w:left w:val="single" w:color="auto" w:sz="4" w:space="0"/>
            </w:tcBorders>
            <w:tcW w:w="1099" w:type="dxa"/>
            <w:vAlign w:val="center"/>
            <w:textDirection w:val="lrTb"/>
            <w:noWrap w:val="false"/>
          </w:tcPr>
          <w:p>
            <w:pPr>
              <w:jc w:val="center"/>
              <w:rPr>
                <w:rFonts w:ascii="宋体" w:hAnsi="宋体" w:eastAsia="宋体" w:cs="宋体"/>
                <w:b/>
                <w:sz w:val="24"/>
                <w:szCs w:val="24"/>
                <w:u w:val="single"/>
              </w:rPr>
            </w:pPr>
            <w:r>
              <w:rPr>
                <w:rFonts w:ascii="宋体" w:hAnsi="宋体" w:eastAsia="宋体" w:cs="宋体"/>
                <w:b/>
                <w:sz w:val="24"/>
                <w:szCs w:val="24"/>
                <w:u w:val="single"/>
              </w:rPr>
            </w:r>
            <w:r/>
          </w:p>
        </w:tc>
      </w:tr>
    </w:tbl>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设备配置、技术指标、安装条件及验收指标等详见附件一技术协议。</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第二条 合同总价款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本合同项下货物总价款为人民币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本合同总价款涵盖货物从设计、制造、包装、仓储、运输、安装直至验收合格之前的全部含税费用，以及保修期内备品备件相关的所有含税费用（进口设备</w:t>
      </w:r>
      <w:r>
        <w:rPr>
          <w:rFonts w:hint="eastAsia" w:ascii="宋体" w:hAnsi="宋体" w:eastAsia="宋体" w:cs="宋体"/>
          <w:bCs/>
          <w:sz w:val="24"/>
          <w:szCs w:val="24"/>
        </w:rPr>
        <w:t xml:space="preserve">除进口关税和进口增值税</w:t>
      </w:r>
      <w:r>
        <w:rPr>
          <w:rFonts w:hint="eastAsia" w:ascii="宋体" w:hAnsi="宋体" w:eastAsia="宋体" w:cs="宋体"/>
          <w:sz w:val="24"/>
          <w:szCs w:val="24"/>
        </w:rPr>
        <w:t xml:space="preserve">）。乙方依约应提供的伴随服务及售后服务所涉费用，亦包含在本合同总价款内。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本合同执行期间合同总价款不变。</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第三条  权利保证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第四条  质量保证</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3、设备的质保期为最终验收合格之日起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个月。质保期内仪器设备本身所发生的问题（人为因素除外），由乙方提供完全无偿的维修服务。</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第五条  包装要求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2、每一包装单元内应附详细的装箱单、质量合格凭证以及其他必须的相关材料。</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第六条  交货</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1、乙方应当在合同签订</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个月内将货物运送至采购人指定地点。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交货地址：</w:t>
      </w:r>
      <w:r>
        <w:rPr>
          <w:rFonts w:hint="eastAsia" w:ascii="宋体" w:hAnsi="宋体" w:eastAsia="宋体" w:cs="宋体"/>
          <w:sz w:val="24"/>
          <w:szCs w:val="24"/>
          <w:u w:val="single"/>
        </w:rPr>
        <w:t xml:space="preserve">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收货人及联系方式：</w:t>
      </w:r>
      <w:r>
        <w:rPr>
          <w:rFonts w:hint="eastAsia" w:ascii="宋体" w:hAnsi="宋体" w:eastAsia="宋体" w:cs="宋体"/>
          <w:sz w:val="24"/>
          <w:szCs w:val="24"/>
          <w:u w:val="single"/>
        </w:rPr>
        <w:t xml:space="preserve">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2、乙方交付的货物应当完全符合本合同所规定的货物、数量和规格要求。乙方提供的货物不符合本合同规定的，甲方有权拒收货物，由此引起的风险，由乙方承担。</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第七条 安装调试、培训和验收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2、甲方应当在乙方安装调试完成后的 5个工作日内对货物进行验收，验收合格的，由甲方签署验收单并加盖单位公章。特殊情况，甲乙双方协商解决。</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3、验收条款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货物安装调试完成后，按乙方投标文件中列明的技术指标进行逐项测试，除满足上述技术指标外，本合同未规定的其他指标应按国家相关标准、行业通行标准及厂方出厂标准进行验收。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且要求乙方退还甲方已支付的全部款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如果双方对验收结果有争议，可委托双方一致认可的国家相关权威检测中心进行检测，以检测结果作为最终验收结果，费用由乙方承担。</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第八条  伴随服务／售后服务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1、乙方应按照国家有关法律法规规章和“三包”规定以及合同所附的“服务承诺”（如果有）提供服务。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2、除前款规定外，乙方还应提供下列服务：</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（1）货物的现场安装、调试和/或启动监督；</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（2）就货物的安装、启动、运行及维护等对甲方人员进行免费培训。</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3、质保期内，乙方负责对其提供的货物整机进行维修和系统维护（乙方上门服务），不再收取任何费用。</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4、货物故障报修的响应时间为：工作期间（星期一至星期五8：00-18：00）为24小时；非工作期间为48小时。</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5、若货物故障在检修48小时后仍无法排除，乙方应在72小时内免费提供不低于故障货物规格型号档次的备用货物供甲方使用，直至故障货物修复。</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6、质保期后的货物维护由双方协商确定。</w:t>
      </w:r>
      <w:r/>
    </w:p>
    <w:p>
      <w:pPr>
        <w:ind w:firstLine="482"/>
        <w:jc w:val="left"/>
        <w:spacing w:line="360" w:lineRule="auto"/>
        <w:tabs>
          <w:tab w:val="left" w:pos="1620" w:leader="none"/>
        </w:tabs>
        <w:rPr>
          <w:rFonts w:ascii="宋体" w:hAnsi="宋体" w:eastAsia="宋体" w:cs="宋体"/>
          <w:b/>
          <w:bCs/>
          <w:sz w:val="24"/>
          <w:szCs w:val="24"/>
        </w:rPr>
      </w:pPr>
      <w:r>
        <w:rPr>
          <w:rFonts w:hint="eastAsia" w:ascii="宋体" w:hAnsi="宋体" w:eastAsia="宋体" w:cs="宋体"/>
          <w:b/>
          <w:bCs/>
          <w:sz w:val="24"/>
          <w:szCs w:val="24"/>
        </w:rPr>
        <w:t xml:space="preserve">第九条   货款支付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2、本合同按照以下付款节点及条件支付：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【非进口产品】：在设备完成安装调试后运行一个月无故障，并取得最终用户签字盖章的验收报告后支付100%合同价款，付款之前需收到中标供应商开具的合法有效的相应全额发票。</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进口产品】：由甲方委托的外贸代理公司通过信用证(L/C)方式支付给境外厂家，即外贸代理公司开具100%不可撤销信用证，90%合同价款凭发货单据支付，10%合同价款在设备完成安装调试后运行一个月无故障，并取得最终用户及学校设备处签字盖章的验收报告后支付。</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3、付款方式：银行汇票或转账</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4、增值税专用发票开票信息</w:t>
      </w:r>
      <w:r/>
    </w:p>
    <w:tbl>
      <w:tblPr>
        <w:tblStyle w:val="720"/>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r>
    </w:tbl>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5、乙方指定账户信息</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户名：</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乙方开户银行：</w:t>
      </w:r>
      <w:r>
        <w:rPr>
          <w:rFonts w:hint="eastAsia" w:ascii="宋体" w:hAnsi="宋体" w:eastAsia="宋体" w:cs="宋体"/>
          <w:sz w:val="24"/>
          <w:szCs w:val="24"/>
          <w:u w:val="single"/>
        </w:rPr>
        <w:t xml:space="preserve">                    </w:t>
      </w:r>
      <w:r/>
    </w:p>
    <w:p>
      <w:pPr>
        <w:ind w:firstLine="480"/>
        <w:jc w:val="left"/>
        <w:spacing w:line="360" w:lineRule="auto"/>
        <w:tabs>
          <w:tab w:val="left" w:pos="1620" w:leader="none"/>
        </w:tabs>
        <w:rPr>
          <w:rFonts w:ascii="宋体" w:hAnsi="宋体" w:eastAsia="宋体" w:cs="宋体"/>
          <w:sz w:val="24"/>
          <w:szCs w:val="24"/>
        </w:rPr>
      </w:pPr>
      <w:r>
        <w:rPr>
          <w:rFonts w:hint="eastAsia" w:ascii="宋体" w:hAnsi="宋体" w:eastAsia="宋体" w:cs="宋体"/>
          <w:sz w:val="24"/>
          <w:szCs w:val="24"/>
        </w:rPr>
        <w:t xml:space="preserve">银行账号：</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第十条　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乙方逾期将货物运送至甲方指定地点的，每逾期1周（不足1周按1周计算），乙方向甲方偿付逾期交货部分合同总额的5‰的滞纳金。如乙方逾期15天仍未交齐货物的，甲方有权终止合同，乙方则应按合同总价的5%向甲方支付违约金，并全额退还甲方所有预付给乙方的货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2、乙方所交付的货物品种、型号、规格不符合合同规定的，甲方有权拒收，乙方应向甲方支付合同总额10%的违约金。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合同总额10%的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4、乙方未按本合同的规定和“服务承诺”提供伴随服务/售后服务的，应按合同总价款的5%向甲方承担违约责任。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第十一条  不可抗力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1、本合同所称不可抗力指不能预见、不能避免并不能克服的客观情况，不可抗力包括战争、地震、动乱、空中飞行物体坠落或其他非甲方或乙方责任造成的爆炸、火灾。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2、因不可抗力致使完全不能履行合同的，本协议终止，双方无须承担任何责任，但本协议另有规定的除外。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3、因发生不可抗力致使部分不能履行本合同的（包括导致延期履行），根据不可抗力的影响，免除相应的责任，但本合同另有规定的除外。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5、因合同一方延迟履行合同后发生不可抗力的，不能免除延迟履行方的相应责任。</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第十二条　合同的变更和终止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本合同一经签订，甲乙双方不得擅自变更、中止或终止合同。</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第十三条　合同的转让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未经甲方书面同意，乙方不得擅自部分或全部转让其应履行的合同义务。</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第十四条  争议的解决</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因履行本合同引起的或与本合同有关的争议，甲、乙双方应首先通过友好协商解决，如果协商不能解决争议，向甲方所在地有管辖权的人民法院提起诉讼。</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第十五条   合同生效及其他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1、下列文件作为本合同不可分割的部分：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采购文件及其附件；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乙方的投标文件；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乙方在采购过程中所作的其他承诺、声明、书面澄清等；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合同附件等。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2、本合同自合同双方签字、盖章之日起生效。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3、本合同一式5 份，甲方执 3 份，乙方执 1 份，代理机构执1份，具有同等法律效力。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设备购置负责人：                 授权代表：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电话：                           电话：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采购部门经办人：                 经办人：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审核人：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电话：                           电话：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         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72" w:name="_Toc105940242"/>
      <w:r>
        <w:rPr>
          <w:rFonts w:hint="eastAsia" w:ascii="宋体" w:hAnsi="宋体" w:eastAsia="宋体" w:cs="宋体"/>
          <w:b/>
          <w:sz w:val="52"/>
          <w:szCs w:val="20"/>
          <w:shd w:val="clear" w:color="auto" w:fill="ffffff"/>
        </w:rPr>
        <w:t xml:space="preserve">第六章 评分</w:t>
      </w:r>
      <w:bookmarkEnd w:id="70"/>
      <w:r/>
      <w:bookmarkEnd w:id="71"/>
      <w:r>
        <w:rPr>
          <w:rFonts w:hint="eastAsia" w:ascii="宋体" w:hAnsi="宋体" w:eastAsia="宋体" w:cs="宋体"/>
          <w:b/>
          <w:sz w:val="52"/>
          <w:szCs w:val="20"/>
          <w:shd w:val="clear" w:color="auto" w:fill="ffffff"/>
        </w:rPr>
        <w:t xml:space="preserve">标准</w:t>
      </w:r>
      <w:bookmarkEnd w:id="72"/>
      <w:r/>
      <w:r/>
    </w:p>
    <w:p>
      <w:pPr>
        <w:ind w:firstLine="520"/>
        <w:spacing w:line="360" w:lineRule="auto"/>
        <w:rPr>
          <w:rFonts w:ascii="宋体" w:hAnsi="宋体" w:eastAsia="宋体" w:cs="宋体"/>
          <w:sz w:val="24"/>
          <w:szCs w:val="24"/>
        </w:rPr>
        <w:outlineLvl w:val="1"/>
      </w:pPr>
      <w:r/>
      <w:bookmarkStart w:id="73" w:name="OLE_LINK2"/>
      <w:r>
        <w:rPr>
          <w:rFonts w:hint="eastAsia" w:ascii="宋体" w:hAnsi="宋体" w:eastAsia="宋体" w:cs="宋体"/>
          <w:sz w:val="26"/>
          <w:szCs w:val="20"/>
          <w:shd w:val="clear" w:color="auto" w:fill="ffffff"/>
        </w:rPr>
        <w:br w:type="page" w:clear="all"/>
      </w:r>
      <w:bookmarkEnd w:id="73"/>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0"/>
        <w:ind w:left="0" w:firstLine="480"/>
        <w:spacing w:line="360" w:lineRule="auto"/>
        <w:rPr>
          <w:rFonts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u w:val="single"/>
        </w:rPr>
        <w:t xml:space="preserve"> 30 </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bookmarkStart w:id="74" w:name="_Hlk193379726"/>
      <w:r>
        <w:rPr>
          <w:rFonts w:hint="eastAsia" w:ascii="宋体" w:hAnsi="宋体" w:eastAsia="宋体" w:cs="宋体"/>
          <w:sz w:val="24"/>
          <w:szCs w:val="24"/>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w:t>
      </w:r>
      <w:bookmarkStart w:id="75" w:name="_Hlk193380191"/>
      <w:r>
        <w:rPr>
          <w:rFonts w:hint="eastAsia" w:ascii="宋体" w:hAnsi="宋体" w:eastAsia="宋体" w:cs="宋体"/>
          <w:sz w:val="24"/>
          <w:szCs w:val="24"/>
        </w:rPr>
        <w:t xml:space="preserve">满足招标文件要求，且投标（响应）价格最低的投标（响应）报价为评标基准价</w:t>
      </w:r>
      <w:bookmarkEnd w:id="75"/>
      <w:r>
        <w:rPr>
          <w:rFonts w:hint="eastAsia" w:ascii="宋体" w:hAnsi="宋体" w:eastAsia="宋体" w:cs="宋体"/>
          <w:sz w:val="24"/>
          <w:szCs w:val="24"/>
        </w:rPr>
        <w:t xml:space="preserve">，</w:t>
      </w:r>
      <w:bookmarkStart w:id="76" w:name="_Hlk193380219"/>
      <w:r>
        <w:rPr>
          <w:rFonts w:hint="eastAsia" w:ascii="宋体" w:hAnsi="宋体" w:eastAsia="宋体" w:cs="宋体"/>
          <w:sz w:val="24"/>
          <w:szCs w:val="24"/>
        </w:rPr>
        <w:t xml:space="preserve">其价格分为满分，即</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分</w:t>
      </w:r>
      <w:bookmarkEnd w:id="76"/>
      <w:r>
        <w:rPr>
          <w:rFonts w:hint="eastAsia" w:ascii="宋体" w:hAnsi="宋体" w:eastAsia="宋体" w:cs="宋体"/>
          <w:sz w:val="24"/>
          <w:szCs w:val="24"/>
        </w:rPr>
        <w:t xml:space="preserve">。其他报价得分统一按照下列公式计算（计算结果四舍五入，保留两位小数）：</w:t>
      </w:r>
      <w:r/>
    </w:p>
    <w:p>
      <w:pPr>
        <w:pStyle w:val="72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投标（响应）报价得分=（评标基准价/有效投标（响应）报价）×</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%×100</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38</w:t>
      </w:r>
      <w:r>
        <w:rPr>
          <w:rFonts w:hint="eastAsia" w:ascii="宋体" w:hAnsi="宋体" w:eastAsia="宋体" w:cs="宋体"/>
          <w:b/>
          <w:sz w:val="24"/>
          <w:szCs w:val="24"/>
        </w:rPr>
        <w:t xml:space="preserve">分</w:t>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832"/>
        <w:gridCol w:w="7374"/>
        <w:gridCol w:w="902"/>
      </w:tblGrid>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以投标人提供的能直接反映该产品技术参数的官网或彩页或产品说明书或具有检验（检测）资质的第三方检测机构出具的有效检验（检测）报告等相关佐证材料作为主要评判依据。</w:t>
            </w:r>
            <w:r/>
          </w:p>
          <w:p>
            <w:pPr>
              <w:jc w:val="left"/>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全部响应即满足招标文件功能技术参数要求的得20分。所提供产品不满足招标文件要求（负偏离）、配置不详、技术参数不明确、缺漏项的，每项扣2分，扣完为止。</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技术方案</w:t>
            </w:r>
            <w:r/>
          </w:p>
        </w:tc>
        <w:tc>
          <w:tcPr>
            <w:shd w:val="clear" w:color="auto" w:fill="auto"/>
            <w:tcW w:w="7374" w:type="dxa"/>
            <w:vAlign w:val="center"/>
            <w:textDirection w:val="lrTb"/>
            <w:noWrap w:val="false"/>
          </w:tcPr>
          <w:p>
            <w:pPr>
              <w:jc w:val="left"/>
              <w:rPr>
                <w:rFonts w:ascii="宋体" w:hAnsi="宋体" w:eastAsia="宋体" w:cs="宋体"/>
                <w:b/>
                <w:sz w:val="24"/>
                <w:szCs w:val="24"/>
              </w:rPr>
            </w:pPr>
            <w:r>
              <w:rPr>
                <w:rFonts w:hint="eastAsia" w:ascii="宋体" w:hAnsi="宋体" w:eastAsia="宋体" w:cs="宋体"/>
                <w:bCs/>
                <w:sz w:val="24"/>
                <w:szCs w:val="24"/>
              </w:rPr>
              <w:t xml:space="preserve">供应商提供为实现本项目招标文件技术参数要求而制定的技术方案。技术方案详尽合理、针对性强，能完全符合用户科研需求的得</w:t>
            </w:r>
            <w:r>
              <w:rPr>
                <w:rFonts w:ascii="宋体" w:hAnsi="宋体" w:eastAsia="宋体" w:cs="宋体"/>
                <w:bCs/>
                <w:sz w:val="24"/>
                <w:szCs w:val="24"/>
              </w:rPr>
              <w:t xml:space="preserve">9</w:t>
            </w:r>
            <w:r>
              <w:rPr>
                <w:rFonts w:hint="eastAsia" w:ascii="宋体" w:hAnsi="宋体" w:eastAsia="宋体" w:cs="宋体"/>
                <w:bCs/>
                <w:sz w:val="24"/>
                <w:szCs w:val="24"/>
              </w:rPr>
              <w:t xml:space="preserve">分。技术方案基本规范合理、具有较强针对性，能基本符合用户科研需求的得</w:t>
            </w:r>
            <w:r>
              <w:rPr>
                <w:rFonts w:ascii="宋体" w:hAnsi="宋体" w:eastAsia="宋体" w:cs="宋体"/>
                <w:bCs/>
                <w:sz w:val="24"/>
                <w:szCs w:val="24"/>
              </w:rPr>
              <w:t xml:space="preserve">5</w:t>
            </w:r>
            <w:r>
              <w:rPr>
                <w:rFonts w:hint="eastAsia" w:ascii="宋体" w:hAnsi="宋体" w:eastAsia="宋体" w:cs="宋体"/>
                <w:bCs/>
                <w:sz w:val="24"/>
                <w:szCs w:val="24"/>
              </w:rPr>
              <w:t xml:space="preserve">分。技术方案有疏漏、合理性及针对性较差，仅能符合用户部分科研需求的得2分。技术方案完全不能符合用户科研需求或未提供技术方案的不得分。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ascii="宋体" w:hAnsi="宋体" w:eastAsia="宋体" w:cs="宋体"/>
                <w:b/>
                <w:sz w:val="24"/>
                <w:szCs w:val="24"/>
              </w:rPr>
              <w:t xml:space="preserve">9</w:t>
            </w:r>
            <w:r/>
          </w:p>
        </w:tc>
      </w:tr>
      <w:tr>
        <w:trPr>
          <w:jc w:val="center"/>
        </w:trPr>
        <w:tc>
          <w:tcPr>
            <w:shd w:val="clear" w:color="auto" w:fill="auto"/>
            <w:tcW w:w="5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shd w:val="clear" w:color="auto" w:fill="auto"/>
            <w:tcW w:w="83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sz w:val="24"/>
                <w:szCs w:val="24"/>
              </w:rPr>
            </w:pPr>
            <w:r>
              <w:rPr>
                <w:rFonts w:hint="eastAsia" w:ascii="宋体" w:hAnsi="宋体" w:eastAsia="宋体" w:cs="宋体"/>
                <w:bCs/>
                <w:sz w:val="24"/>
                <w:szCs w:val="24"/>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sz w:val="24"/>
                <w:szCs w:val="24"/>
              </w:rPr>
            </w:pPr>
            <w:r>
              <w:rPr>
                <w:rFonts w:hint="eastAsia" w:ascii="宋体" w:hAnsi="宋体" w:eastAsia="宋体" w:cs="宋体"/>
                <w:bCs/>
                <w:sz w:val="24"/>
                <w:szCs w:val="24"/>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9</w:t>
            </w:r>
            <w:r/>
          </w:p>
        </w:tc>
      </w:tr>
    </w:tbl>
    <w:p>
      <w:pPr>
        <w:ind w:firstLine="482"/>
        <w:spacing w:line="360" w:lineRule="auto"/>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32 </w:t>
      </w:r>
      <w:r>
        <w:rPr>
          <w:rFonts w:hint="eastAsia" w:ascii="宋体" w:hAnsi="宋体" w:eastAsia="宋体" w:cs="宋体"/>
          <w:b/>
          <w:sz w:val="24"/>
          <w:szCs w:val="24"/>
        </w:rPr>
        <w:t xml:space="preserve">分</w:t>
      </w:r>
      <w:r/>
    </w:p>
    <w:tbl>
      <w:tblPr>
        <w:tblStyle w:val="7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424"/>
        <w:gridCol w:w="7000"/>
        <w:gridCol w:w="745"/>
      </w:tblGrid>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评分项名称</w:t>
            </w:r>
            <w:r/>
          </w:p>
        </w:tc>
        <w:tc>
          <w:tcPr>
            <w:tcW w:w="3637"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评分标准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分值</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业绩</w:t>
            </w:r>
            <w:r/>
          </w:p>
        </w:tc>
        <w:tc>
          <w:tcPr>
            <w:tcW w:w="3637"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提供投标人的所投产品（同型号设备）自2023年8月1日起至今的销售业绩，每提供1份业绩得1分，满分4分。</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注：①提供业绩合同复印件；②以合同签订日期为准；③同一单位业绩不重复计分。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c>
          <w:tcPr>
            <w:shd w:val="clear" w:color="auto" w:fill="auto"/>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质保期</w:t>
            </w:r>
            <w:r/>
          </w:p>
        </w:tc>
        <w:tc>
          <w:tcPr>
            <w:shd w:val="clear" w:color="auto" w:fill="auto"/>
            <w:tcW w:w="3637" w:type="pct"/>
            <w:vAlign w:val="center"/>
            <w:textDirection w:val="lrTb"/>
            <w:noWrap w:val="false"/>
          </w:tcPr>
          <w:p>
            <w:pPr>
              <w:jc w:val="lef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在招标文件要求基础上每增加1年加3分，最多得6分。</w:t>
            </w:r>
            <w:r/>
          </w:p>
        </w:tc>
        <w:tc>
          <w:tcPr>
            <w:shd w:val="clear" w:color="auto" w:fill="auto"/>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6</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3</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售后服务方案</w:t>
            </w:r>
            <w:r/>
          </w:p>
        </w:tc>
        <w:tc>
          <w:tcPr>
            <w:tcW w:w="3637"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12</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4</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培训方案</w:t>
            </w:r>
            <w:r/>
          </w:p>
        </w:tc>
        <w:tc>
          <w:tcPr>
            <w:tcW w:w="3637"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包括（1）培训内容、时间、地点、人次、安装维护、调试、配置；（2）使用技能、业务人员培训、应用操作及使用等。</w:t>
            </w:r>
            <w:r/>
          </w:p>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8</w:t>
            </w:r>
            <w:r/>
          </w:p>
        </w:tc>
      </w:tr>
      <w:tr>
        <w:trPr>
          <w:jc w:val="center"/>
        </w:trPr>
        <w:tc>
          <w:tcPr>
            <w:tcW w:w="230"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5</w:t>
            </w:r>
            <w:r/>
          </w:p>
        </w:tc>
        <w:tc>
          <w:tcPr>
            <w:tcW w:w="742"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其他优惠措施</w:t>
            </w:r>
            <w:r/>
          </w:p>
        </w:tc>
        <w:tc>
          <w:tcPr>
            <w:tcW w:w="3637" w:type="pct"/>
            <w:vAlign w:val="center"/>
            <w:textDirection w:val="lrTb"/>
            <w:noWrap w:val="false"/>
          </w:tcPr>
          <w:p>
            <w:pPr>
              <w:jc w:val="lef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供应商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89" w:type="pct"/>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2</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360" w:lineRule="auto"/>
        <w:rPr>
          <w:rFonts w:ascii="宋体" w:hAnsi="宋体" w:eastAsia="宋体" w:cs="宋体"/>
          <w:b/>
          <w:bCs/>
          <w:sz w:val="24"/>
          <w:szCs w:val="24"/>
        </w:rPr>
      </w:pPr>
      <w:r/>
      <w:bookmarkStart w:id="77" w:name="_Toc48723925"/>
      <w:r/>
      <w:bookmarkStart w:id="78" w:name="_Toc105940243"/>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rPr>
      </w:pPr>
      <w:r>
        <w:rPr>
          <w:rFonts w:ascii="宋体" w:hAnsi="宋体" w:eastAsia="宋体" w:cs="宋体"/>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numPr>
          <w:ilvl w:val="0"/>
          <w:numId w:val="4"/>
        </w:num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79" w:name="OLE_LINK13"/>
      <w:r>
        <w:rPr>
          <w:rFonts w:hint="eastAsia" w:ascii="宋体" w:hAnsi="宋体" w:eastAsia="宋体" w:cs="宋体"/>
          <w:sz w:val="24"/>
          <w:szCs w:val="24"/>
          <w:lang w:val="zh-CN"/>
        </w:rPr>
        <w:t xml:space="preserve">（国办发［2025］34号）</w:t>
      </w:r>
      <w:bookmarkEnd w:id="79"/>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ascii="宋体" w:hAnsi="宋体" w:eastAsia="宋体" w:cs="宋体"/>
          <w:sz w:val="24"/>
          <w:szCs w:val="24"/>
        </w:rPr>
      </w:pPr>
      <w:r/>
      <w:bookmarkStart w:id="80"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bookmarkEnd w:id="8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2、本项目如属于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，对小微企业报价给予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的扣除，用扣除后的价格参与评审。如扣除后的价格为最低价的，则作为评标基准价，中标（成交）金额则以实际投标（响应）报价为准。</w:t>
      </w:r>
      <w:r/>
    </w:p>
    <w:p>
      <w:pPr>
        <w:pStyle w:val="730"/>
        <w:ind w:left="0" w:firstLine="480"/>
        <w:spacing w:line="360" w:lineRule="auto"/>
        <w:rPr>
          <w:rFonts w:ascii="宋体" w:hAnsi="宋体" w:eastAsia="宋体" w:cs="宋体"/>
          <w:szCs w:val="24"/>
        </w:rPr>
      </w:pPr>
      <w:r>
        <w:rPr>
          <w:rFonts w:hint="eastAsia" w:ascii="宋体" w:hAnsi="宋体" w:eastAsia="宋体" w:cs="宋体"/>
          <w:szCs w:val="24"/>
        </w:rPr>
        <w:t xml:space="preserve">如</w:t>
      </w:r>
      <w:bookmarkStart w:id="81" w:name="OLE_LINK8"/>
      <w:r/>
      <w:bookmarkStart w:id="82" w:name="OLE_LINK9"/>
      <w:r>
        <w:rPr>
          <w:rFonts w:hint="eastAsia" w:ascii="宋体" w:hAnsi="宋体" w:eastAsia="宋体" w:cs="宋体"/>
          <w:szCs w:val="24"/>
        </w:rPr>
        <w:t xml:space="preserve">接受供应商为联合体投标（响应）</w:t>
      </w:r>
      <w:bookmarkEnd w:id="81"/>
      <w:r/>
      <w:bookmarkEnd w:id="82"/>
      <w:r>
        <w:rPr>
          <w:rFonts w:hint="eastAsia" w:ascii="宋体" w:hAnsi="宋体" w:eastAsia="宋体" w:cs="宋体"/>
          <w:szCs w:val="24"/>
        </w:rPr>
        <w:t xml:space="preserve">，联合体各方均为小微企业的，对联合体报价在评审时给予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szCs w:val="24"/>
          <w:u w:val="single"/>
        </w:rPr>
        <w:t xml:space="preserve"> / %</w:t>
      </w:r>
      <w:r>
        <w:rPr>
          <w:rFonts w:hint="eastAsia" w:ascii="宋体" w:hAnsi="宋体" w:eastAsia="宋体" w:cs="宋体"/>
          <w:szCs w:val="24"/>
        </w:rPr>
        <w:t xml:space="preserve">的扣除，用扣除后的价格参与评审。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（五）绿色采购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1、根据苏财购【2019】10号文：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2、绿色采购</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bookmarkEnd w:id="77"/>
      <w:r/>
      <w:bookmarkEnd w:id="78"/>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961"/>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961"/>
        <w:ind w:firstLine="0"/>
        <w:jc w:val="left"/>
        <w:rPr>
          <w:rFonts w:ascii="宋体" w:hAnsi="宋体" w:eastAsia="宋体" w:cs="宋体"/>
          <w:b/>
          <w:bCs/>
        </w:rPr>
      </w:pPr>
      <w:r>
        <w:rPr>
          <w:rFonts w:hint="eastAsia" w:ascii="宋体" w:hAnsi="宋体" w:eastAsia="宋体" w:cs="宋体"/>
          <w:b/>
          <w:bCs/>
        </w:rPr>
        <w:t xml:space="preserve">附件3：</w:t>
      </w:r>
      <w:r/>
    </w:p>
    <w:p>
      <w:pPr>
        <w:pStyle w:val="961"/>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p>
      <w:pPr>
        <w:pStyle w:val="729"/>
        <w:rPr>
          <w:rFonts w:ascii="宋体" w:hAnsi="宋体" w:eastAsia="宋体" w:cs="宋体"/>
        </w:rPr>
      </w:pPr>
      <w:r>
        <w:rPr>
          <w:rFonts w:ascii="宋体" w:hAnsi="宋体" w:eastAsia="宋体" w:cs="宋体"/>
        </w:rPr>
      </w:r>
      <w:r/>
    </w:p>
    <w:p>
      <w:pPr>
        <w:ind w:right="480"/>
        <w:spacing w:line="360" w:lineRule="auto"/>
        <w:rPr>
          <w:rFonts w:ascii="宋体" w:hAnsi="宋体" w:eastAsia="宋体" w:cs="宋体"/>
          <w:b/>
          <w:bCs/>
        </w:rPr>
      </w:pPr>
      <w:r>
        <w:rPr>
          <w:rFonts w:ascii="宋体" w:hAnsi="宋体" w:eastAsia="宋体" w:cs="宋体"/>
          <w:b/>
          <w:bCs/>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rFonts w:ascii="宋体" w:hAnsi="宋体" w:eastAsia="宋体"/>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JSZC-320500-SZCH-G2026-0041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990"/>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5"/>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8">
    <w:name w:val="TOC Heading"/>
    <w:uiPriority w:val="39"/>
    <w:unhideWhenUsed/>
  </w:style>
  <w:style w:type="paragraph" w:styleId="70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0">
    <w:name w:val="Heading 1"/>
    <w:basedOn w:val="709"/>
    <w:next w:val="709"/>
    <w:link w:val="927"/>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1">
    <w:name w:val="Heading 2"/>
    <w:basedOn w:val="709"/>
    <w:next w:val="709"/>
    <w:link w:val="928"/>
    <w:uiPriority w:val="0"/>
    <w:qFormat/>
    <w:pPr>
      <w:jc w:val="left"/>
      <w:keepLines/>
      <w:keepNext/>
      <w:outlineLvl w:val="1"/>
    </w:pPr>
    <w:rPr>
      <w:rFonts w:ascii="宋体" w:hAnsi="宋体" w:eastAsia="楷体_GB2312" w:cs="Times New Roman"/>
      <w:b/>
      <w:sz w:val="26"/>
      <w:szCs w:val="20"/>
    </w:rPr>
  </w:style>
  <w:style w:type="paragraph" w:styleId="712">
    <w:name w:val="Heading 3"/>
    <w:basedOn w:val="709"/>
    <w:next w:val="709"/>
    <w:link w:val="929"/>
    <w:uiPriority w:val="0"/>
    <w:qFormat/>
    <w:pPr>
      <w:jc w:val="left"/>
      <w:keepLines/>
      <w:keepNext/>
      <w:outlineLvl w:val="2"/>
    </w:pPr>
    <w:rPr>
      <w:rFonts w:ascii="Calibri" w:hAnsi="Calibri" w:eastAsia="楷体_GB2312" w:cs="Times New Roman"/>
      <w:b/>
      <w:sz w:val="26"/>
      <w:szCs w:val="20"/>
    </w:rPr>
  </w:style>
  <w:style w:type="paragraph" w:styleId="713">
    <w:name w:val="Heading 4"/>
    <w:basedOn w:val="709"/>
    <w:next w:val="709"/>
    <w:link w:val="930"/>
    <w:uiPriority w:val="0"/>
    <w:qFormat/>
    <w:pPr>
      <w:keepLines/>
      <w:keepNext/>
      <w:spacing w:before="280" w:after="290" w:line="376" w:lineRule="auto"/>
      <w:outlineLvl w:val="3"/>
    </w:pPr>
    <w:rPr>
      <w:rFonts w:ascii="Arial" w:hAnsi="Arial" w:eastAsia="黑体" w:cs="Times New Roman"/>
      <w:b/>
      <w:bCs/>
      <w:sz w:val="28"/>
      <w:szCs w:val="28"/>
    </w:rPr>
  </w:style>
  <w:style w:type="paragraph" w:styleId="714">
    <w:name w:val="Heading 5"/>
    <w:basedOn w:val="709"/>
    <w:next w:val="709"/>
    <w:link w:val="931"/>
    <w:uiPriority w:val="0"/>
    <w:qFormat/>
    <w:pPr>
      <w:keepNext/>
      <w:outlineLvl w:val="4"/>
    </w:pPr>
    <w:rPr>
      <w:rFonts w:ascii="宋体" w:hAnsi="宋体" w:eastAsia="宋体" w:cs="Times New Roman"/>
      <w:color w:val="000000"/>
      <w:sz w:val="28"/>
      <w:szCs w:val="20"/>
    </w:rPr>
  </w:style>
  <w:style w:type="paragraph" w:styleId="715">
    <w:name w:val="Heading 6"/>
    <w:basedOn w:val="709"/>
    <w:next w:val="709"/>
    <w:link w:val="932"/>
    <w:uiPriority w:val="0"/>
    <w:qFormat/>
    <w:pPr>
      <w:keepNext/>
      <w:outlineLvl w:val="5"/>
    </w:pPr>
    <w:rPr>
      <w:rFonts w:ascii="宋体" w:hAnsi="宋体" w:eastAsia="宋体" w:cs="Times New Roman"/>
      <w:sz w:val="28"/>
      <w:szCs w:val="20"/>
    </w:rPr>
  </w:style>
  <w:style w:type="paragraph" w:styleId="716">
    <w:name w:val="Heading 7"/>
    <w:basedOn w:val="709"/>
    <w:next w:val="709"/>
    <w:link w:val="803"/>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804"/>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805"/>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0"/>
    <w:qFormat/>
    <w:pPr>
      <w:ind w:left="2520"/>
    </w:pPr>
    <w:rPr>
      <w:rFonts w:ascii="Calibri" w:hAnsi="Calibri" w:eastAsia="楷体_GB2312" w:cs="Times New Roman"/>
      <w:sz w:val="26"/>
      <w:szCs w:val="20"/>
    </w:rPr>
  </w:style>
  <w:style w:type="paragraph" w:styleId="722">
    <w:name w:val="index 8"/>
    <w:basedOn w:val="709"/>
    <w:next w:val="709"/>
    <w:uiPriority w:val="0"/>
    <w:qFormat/>
    <w:pPr>
      <w:ind w:left="2940"/>
    </w:pPr>
    <w:rPr>
      <w:rFonts w:ascii="Calibri" w:hAnsi="Calibri" w:eastAsia="楷体_GB2312" w:cs="Times New Roman"/>
      <w:sz w:val="26"/>
      <w:szCs w:val="20"/>
    </w:rPr>
  </w:style>
  <w:style w:type="paragraph" w:styleId="723">
    <w:name w:val="Normal Indent"/>
    <w:basedOn w:val="709"/>
    <w:next w:val="709"/>
    <w:link w:val="933"/>
    <w:uiPriority w:val="0"/>
    <w:qFormat/>
    <w:pPr>
      <w:ind w:firstLine="420"/>
      <w:jc w:val="left"/>
    </w:pPr>
    <w:rPr>
      <w:rFonts w:ascii="Calibri" w:hAnsi="Calibri" w:eastAsia="楷体_GB2312" w:cs="Times New Roman"/>
      <w:sz w:val="24"/>
      <w:szCs w:val="20"/>
    </w:rPr>
  </w:style>
  <w:style w:type="paragraph" w:styleId="72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index 5"/>
    <w:basedOn w:val="709"/>
    <w:next w:val="709"/>
    <w:uiPriority w:val="0"/>
    <w:qFormat/>
    <w:pPr>
      <w:ind w:left="1680"/>
    </w:pPr>
    <w:rPr>
      <w:rFonts w:ascii="Calibri" w:hAnsi="Calibri" w:eastAsia="楷体_GB2312" w:cs="Times New Roman"/>
      <w:sz w:val="26"/>
      <w:szCs w:val="20"/>
    </w:rPr>
  </w:style>
  <w:style w:type="paragraph" w:styleId="726">
    <w:name w:val="Document Map"/>
    <w:basedOn w:val="709"/>
    <w:link w:val="934"/>
    <w:uiPriority w:val="0"/>
    <w:qFormat/>
    <w:pPr>
      <w:shd w:val="clear" w:color="auto" w:fill="000080"/>
    </w:pPr>
    <w:rPr>
      <w:rFonts w:ascii="Calibri" w:hAnsi="Calibri" w:eastAsia="楷体_GB2312" w:cs="Times New Roman"/>
      <w:sz w:val="26"/>
      <w:szCs w:val="20"/>
    </w:rPr>
  </w:style>
  <w:style w:type="paragraph" w:styleId="727">
    <w:name w:val="annotation text"/>
    <w:basedOn w:val="709"/>
    <w:link w:val="935"/>
    <w:uiPriority w:val="0"/>
    <w:qFormat/>
    <w:pPr>
      <w:jc w:val="left"/>
    </w:pPr>
    <w:rPr>
      <w:rFonts w:ascii="Calibri" w:hAnsi="Calibri" w:eastAsia="楷体_GB2312" w:cs="Times New Roman"/>
      <w:sz w:val="26"/>
      <w:szCs w:val="20"/>
    </w:rPr>
  </w:style>
  <w:style w:type="paragraph" w:styleId="728">
    <w:name w:val="index 6"/>
    <w:basedOn w:val="709"/>
    <w:next w:val="709"/>
    <w:uiPriority w:val="0"/>
    <w:qFormat/>
    <w:pPr>
      <w:ind w:left="2100"/>
    </w:pPr>
    <w:rPr>
      <w:rFonts w:ascii="Calibri" w:hAnsi="Calibri" w:eastAsia="楷体_GB2312" w:cs="Times New Roman"/>
      <w:sz w:val="26"/>
      <w:szCs w:val="20"/>
    </w:rPr>
  </w:style>
  <w:style w:type="paragraph" w:styleId="729">
    <w:name w:val="Body Text"/>
    <w:basedOn w:val="709"/>
    <w:link w:val="936"/>
    <w:uiPriority w:val="0"/>
    <w:qFormat/>
    <w:pPr>
      <w:spacing w:line="400" w:lineRule="exact"/>
    </w:pPr>
    <w:rPr>
      <w:rFonts w:ascii="楷体_GB2312" w:hAnsi="Calibri" w:eastAsia="楷体_GB2312" w:cs="Times New Roman"/>
      <w:sz w:val="28"/>
      <w:szCs w:val="20"/>
    </w:rPr>
  </w:style>
  <w:style w:type="paragraph" w:styleId="730">
    <w:name w:val="Body Text Indent"/>
    <w:basedOn w:val="709"/>
    <w:link w:val="937"/>
    <w:uiPriority w:val="99"/>
    <w:qFormat/>
    <w:pPr>
      <w:ind w:left="570"/>
      <w:spacing w:line="520" w:lineRule="exact"/>
    </w:pPr>
    <w:rPr>
      <w:rFonts w:ascii="方正仿宋简体" w:hAnsi="创艺简仿宋" w:eastAsia="方正仿宋简体" w:cs="Times New Roman"/>
      <w:sz w:val="24"/>
      <w:szCs w:val="20"/>
    </w:rPr>
  </w:style>
  <w:style w:type="paragraph" w:styleId="731">
    <w:name w:val="Block Text"/>
    <w:basedOn w:val="709"/>
    <w:next w:val="709"/>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2">
    <w:name w:val="index 4"/>
    <w:basedOn w:val="709"/>
    <w:next w:val="709"/>
    <w:uiPriority w:val="0"/>
    <w:qFormat/>
    <w:pPr>
      <w:ind w:left="1260"/>
    </w:pPr>
    <w:rPr>
      <w:rFonts w:ascii="Calibri" w:hAnsi="Calibri" w:eastAsia="楷体_GB2312" w:cs="Times New Roman"/>
      <w:sz w:val="26"/>
      <w:szCs w:val="20"/>
    </w:rPr>
  </w:style>
  <w:style w:type="paragraph" w:styleId="733">
    <w:name w:val="toc 5"/>
    <w:basedOn w:val="709"/>
    <w:next w:val="709"/>
    <w:uiPriority w:val="0"/>
    <w:qFormat/>
    <w:pPr>
      <w:ind w:left="1680"/>
    </w:pPr>
    <w:rPr>
      <w:rFonts w:ascii="Calibri" w:hAnsi="Calibri" w:eastAsia="楷体_GB2312" w:cs="Times New Roman"/>
      <w:sz w:val="26"/>
      <w:szCs w:val="20"/>
    </w:rPr>
  </w:style>
  <w:style w:type="paragraph" w:styleId="734">
    <w:name w:val="toc 3"/>
    <w:basedOn w:val="709"/>
    <w:next w:val="709"/>
    <w:uiPriority w:val="0"/>
    <w:qFormat/>
    <w:pPr>
      <w:ind w:left="840"/>
    </w:pPr>
    <w:rPr>
      <w:rFonts w:ascii="Calibri" w:hAnsi="Calibri" w:eastAsia="楷体_GB2312" w:cs="Times New Roman"/>
      <w:sz w:val="26"/>
      <w:szCs w:val="20"/>
    </w:rPr>
  </w:style>
  <w:style w:type="paragraph" w:styleId="735">
    <w:name w:val="Plain Text"/>
    <w:basedOn w:val="709"/>
    <w:link w:val="938"/>
    <w:uiPriority w:val="0"/>
    <w:qFormat/>
    <w:rPr>
      <w:rFonts w:ascii="宋体" w:hAnsi="Courier New" w:eastAsia="楷体_GB2312" w:cs="Times New Roman"/>
      <w:sz w:val="26"/>
      <w:szCs w:val="20"/>
    </w:rPr>
  </w:style>
  <w:style w:type="paragraph" w:styleId="736">
    <w:name w:val="toc 8"/>
    <w:basedOn w:val="709"/>
    <w:next w:val="709"/>
    <w:uiPriority w:val="0"/>
    <w:qFormat/>
    <w:pPr>
      <w:ind w:left="2940"/>
    </w:pPr>
    <w:rPr>
      <w:rFonts w:ascii="Calibri" w:hAnsi="Calibri" w:eastAsia="楷体_GB2312" w:cs="Times New Roman"/>
      <w:sz w:val="26"/>
      <w:szCs w:val="20"/>
    </w:rPr>
  </w:style>
  <w:style w:type="paragraph" w:styleId="737">
    <w:name w:val="index 3"/>
    <w:basedOn w:val="709"/>
    <w:next w:val="709"/>
    <w:uiPriority w:val="0"/>
    <w:qFormat/>
    <w:pPr>
      <w:ind w:left="840"/>
    </w:pPr>
    <w:rPr>
      <w:rFonts w:ascii="Calibri" w:hAnsi="Calibri" w:eastAsia="楷体_GB2312" w:cs="Times New Roman"/>
      <w:sz w:val="26"/>
      <w:szCs w:val="20"/>
    </w:rPr>
  </w:style>
  <w:style w:type="paragraph" w:styleId="738">
    <w:name w:val="Date"/>
    <w:basedOn w:val="709"/>
    <w:next w:val="709"/>
    <w:link w:val="939"/>
    <w:uiPriority w:val="0"/>
    <w:qFormat/>
    <w:rPr>
      <w:rFonts w:ascii="宋体" w:hAnsi="宋体" w:eastAsia="楷体_GB2312" w:cs="Times New Roman"/>
      <w:sz w:val="24"/>
      <w:szCs w:val="20"/>
    </w:rPr>
  </w:style>
  <w:style w:type="paragraph" w:styleId="739">
    <w:name w:val="Body Text Indent 2"/>
    <w:basedOn w:val="709"/>
    <w:link w:val="940"/>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0">
    <w:name w:val="endnote text"/>
    <w:basedOn w:val="709"/>
    <w:link w:val="941"/>
    <w:uiPriority w:val="0"/>
    <w:qFormat/>
    <w:pPr>
      <w:jc w:val="left"/>
    </w:pPr>
    <w:rPr>
      <w:rFonts w:ascii="Calibri" w:hAnsi="Calibri" w:eastAsia="楷体_GB2312" w:cs="Times New Roman"/>
      <w:sz w:val="26"/>
      <w:szCs w:val="20"/>
    </w:rPr>
  </w:style>
  <w:style w:type="paragraph" w:styleId="741">
    <w:name w:val="Balloon Text"/>
    <w:basedOn w:val="709"/>
    <w:link w:val="942"/>
    <w:uiPriority w:val="99"/>
    <w:qFormat/>
    <w:rPr>
      <w:rFonts w:ascii="Calibri" w:hAnsi="Calibri" w:eastAsia="楷体_GB2312" w:cs="Times New Roman"/>
      <w:sz w:val="18"/>
      <w:szCs w:val="18"/>
    </w:rPr>
  </w:style>
  <w:style w:type="paragraph" w:styleId="742">
    <w:name w:val="Footer"/>
    <w:basedOn w:val="709"/>
    <w:link w:val="943"/>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3">
    <w:name w:val="Header"/>
    <w:basedOn w:val="709"/>
    <w:link w:val="944"/>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4">
    <w:name w:val="toc 1"/>
    <w:basedOn w:val="709"/>
    <w:next w:val="709"/>
    <w:uiPriority w:val="39"/>
    <w:qFormat/>
    <w:pPr>
      <w:jc w:val="left"/>
    </w:pPr>
    <w:rPr>
      <w:rFonts w:ascii="Calibri" w:hAnsi="Calibri" w:eastAsia="楷体_GB2312" w:cs="Times New Roman"/>
      <w:sz w:val="24"/>
      <w:szCs w:val="20"/>
    </w:rPr>
  </w:style>
  <w:style w:type="paragraph" w:styleId="745">
    <w:name w:val="toc 4"/>
    <w:basedOn w:val="709"/>
    <w:next w:val="709"/>
    <w:uiPriority w:val="0"/>
    <w:qFormat/>
    <w:pPr>
      <w:ind w:left="1260"/>
    </w:pPr>
    <w:rPr>
      <w:rFonts w:ascii="Calibri" w:hAnsi="Calibri" w:eastAsia="楷体_GB2312" w:cs="Times New Roman"/>
      <w:sz w:val="26"/>
      <w:szCs w:val="20"/>
    </w:rPr>
  </w:style>
  <w:style w:type="paragraph" w:styleId="746">
    <w:name w:val="index heading"/>
    <w:basedOn w:val="709"/>
    <w:next w:val="747"/>
    <w:uiPriority w:val="0"/>
    <w:qFormat/>
    <w:rPr>
      <w:rFonts w:ascii="Calibri" w:hAnsi="Calibri" w:eastAsia="楷体_GB2312" w:cs="Times New Roman"/>
      <w:sz w:val="26"/>
      <w:szCs w:val="20"/>
    </w:rPr>
  </w:style>
  <w:style w:type="paragraph" w:styleId="747">
    <w:name w:val="index 1"/>
    <w:basedOn w:val="709"/>
    <w:next w:val="709"/>
    <w:uiPriority w:val="0"/>
    <w:unhideWhenUsed/>
    <w:qFormat/>
  </w:style>
  <w:style w:type="paragraph" w:styleId="748">
    <w:name w:val="Subtitle"/>
    <w:basedOn w:val="709"/>
    <w:next w:val="709"/>
    <w:link w:val="945"/>
    <w:uiPriority w:val="0"/>
    <w:qFormat/>
    <w:pPr>
      <w:jc w:val="left"/>
      <w:spacing w:before="120"/>
      <w:outlineLvl w:val="1"/>
    </w:pPr>
    <w:rPr>
      <w:rFonts w:ascii="Cambria" w:hAnsi="Cambria" w:eastAsia="宋体" w:cs="Times New Roman"/>
      <w:b/>
      <w:bCs/>
      <w:sz w:val="24"/>
      <w:szCs w:val="32"/>
    </w:rPr>
  </w:style>
  <w:style w:type="paragraph" w:styleId="749">
    <w:name w:val="footnote text"/>
    <w:basedOn w:val="709"/>
    <w:link w:val="946"/>
    <w:uiPriority w:val="0"/>
    <w:qFormat/>
    <w:pPr>
      <w:jc w:val="left"/>
    </w:pPr>
    <w:rPr>
      <w:rFonts w:ascii="Calibri" w:hAnsi="Calibri" w:eastAsia="楷体_GB2312" w:cs="Times New Roman"/>
      <w:sz w:val="18"/>
      <w:szCs w:val="20"/>
    </w:rPr>
  </w:style>
  <w:style w:type="paragraph" w:styleId="750">
    <w:name w:val="toc 6"/>
    <w:basedOn w:val="709"/>
    <w:next w:val="709"/>
    <w:uiPriority w:val="0"/>
    <w:qFormat/>
    <w:pPr>
      <w:ind w:left="2100"/>
    </w:pPr>
    <w:rPr>
      <w:rFonts w:ascii="Calibri" w:hAnsi="Calibri" w:eastAsia="楷体_GB2312" w:cs="Times New Roman"/>
      <w:sz w:val="26"/>
      <w:szCs w:val="20"/>
    </w:rPr>
  </w:style>
  <w:style w:type="paragraph" w:styleId="751">
    <w:name w:val="Body Text Indent 3"/>
    <w:basedOn w:val="709"/>
    <w:link w:val="947"/>
    <w:uiPriority w:val="0"/>
    <w:qFormat/>
    <w:pPr>
      <w:ind w:firstLine="617"/>
      <w:spacing w:line="360" w:lineRule="auto"/>
    </w:pPr>
    <w:rPr>
      <w:rFonts w:ascii="Calibri" w:hAnsi="Calibri" w:eastAsia="宋体" w:cs="Times New Roman"/>
      <w:sz w:val="24"/>
      <w:szCs w:val="24"/>
    </w:rPr>
  </w:style>
  <w:style w:type="paragraph" w:styleId="752">
    <w:name w:val="index 7"/>
    <w:basedOn w:val="709"/>
    <w:next w:val="709"/>
    <w:uiPriority w:val="0"/>
    <w:qFormat/>
    <w:pPr>
      <w:ind w:left="2520"/>
    </w:pPr>
    <w:rPr>
      <w:rFonts w:ascii="Calibri" w:hAnsi="Calibri" w:eastAsia="楷体_GB2312" w:cs="Times New Roman"/>
      <w:sz w:val="26"/>
      <w:szCs w:val="20"/>
    </w:rPr>
  </w:style>
  <w:style w:type="paragraph" w:styleId="753">
    <w:name w:val="index 9"/>
    <w:basedOn w:val="709"/>
    <w:next w:val="709"/>
    <w:uiPriority w:val="0"/>
    <w:qFormat/>
    <w:pPr>
      <w:ind w:left="3360"/>
    </w:pPr>
    <w:rPr>
      <w:rFonts w:ascii="Calibri" w:hAnsi="Calibri" w:eastAsia="楷体_GB2312" w:cs="Times New Roman"/>
      <w:sz w:val="26"/>
      <w:szCs w:val="20"/>
    </w:rPr>
  </w:style>
  <w:style w:type="paragraph" w:styleId="754">
    <w:name w:val="table of figures"/>
    <w:basedOn w:val="709"/>
    <w:next w:val="709"/>
    <w:uiPriority w:val="0"/>
    <w:qFormat/>
    <w:pPr>
      <w:ind w:left="420" w:hanging="420"/>
      <w:jc w:val="left"/>
    </w:pPr>
    <w:rPr>
      <w:rFonts w:ascii="Calibri" w:hAnsi="Calibri" w:eastAsia="楷体_GB2312" w:cs="Times New Roman"/>
      <w:smallCaps/>
      <w:sz w:val="24"/>
      <w:szCs w:val="20"/>
    </w:rPr>
  </w:style>
  <w:style w:type="paragraph" w:styleId="755">
    <w:name w:val="toc 2"/>
    <w:basedOn w:val="709"/>
    <w:next w:val="709"/>
    <w:uiPriority w:val="0"/>
    <w:qFormat/>
    <w:pPr>
      <w:ind w:left="420"/>
    </w:pPr>
    <w:rPr>
      <w:rFonts w:ascii="Calibri" w:hAnsi="Calibri" w:eastAsia="楷体_GB2312" w:cs="Times New Roman"/>
      <w:sz w:val="26"/>
      <w:szCs w:val="20"/>
    </w:rPr>
  </w:style>
  <w:style w:type="paragraph" w:styleId="756">
    <w:name w:val="toc 9"/>
    <w:basedOn w:val="709"/>
    <w:next w:val="709"/>
    <w:uiPriority w:val="0"/>
    <w:qFormat/>
    <w:pPr>
      <w:ind w:left="3360"/>
    </w:pPr>
    <w:rPr>
      <w:rFonts w:ascii="Calibri" w:hAnsi="Calibri" w:eastAsia="楷体_GB2312" w:cs="Times New Roman"/>
      <w:sz w:val="26"/>
      <w:szCs w:val="20"/>
    </w:rPr>
  </w:style>
  <w:style w:type="paragraph" w:styleId="757">
    <w:name w:val="HTML Preformatted"/>
    <w:basedOn w:val="709"/>
    <w:link w:val="9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58">
    <w:name w:val="Normal (Web)"/>
    <w:basedOn w:val="709"/>
    <w:uiPriority w:val="99"/>
    <w:qFormat/>
    <w:pPr>
      <w:jc w:val="left"/>
      <w:spacing w:before="100" w:beforeAutospacing="1" w:after="100" w:afterAutospacing="1"/>
    </w:pPr>
    <w:rPr>
      <w:rFonts w:ascii="Calibri" w:hAnsi="Calibri" w:eastAsia="楷体_GB2312" w:cs="Times New Roman"/>
      <w:sz w:val="24"/>
    </w:rPr>
  </w:style>
  <w:style w:type="paragraph" w:styleId="759">
    <w:name w:val="index 2"/>
    <w:basedOn w:val="709"/>
    <w:next w:val="709"/>
    <w:uiPriority w:val="0"/>
    <w:qFormat/>
    <w:pPr>
      <w:ind w:left="420"/>
    </w:pPr>
    <w:rPr>
      <w:rFonts w:ascii="Calibri" w:hAnsi="Calibri" w:eastAsia="楷体_GB2312" w:cs="Times New Roman"/>
      <w:sz w:val="26"/>
      <w:szCs w:val="20"/>
    </w:rPr>
  </w:style>
  <w:style w:type="paragraph" w:styleId="760">
    <w:name w:val="Title"/>
    <w:basedOn w:val="709"/>
    <w:next w:val="709"/>
    <w:link w:val="949"/>
    <w:uiPriority w:val="0"/>
    <w:qFormat/>
    <w:pPr>
      <w:jc w:val="center"/>
      <w:spacing w:before="240" w:after="60"/>
      <w:outlineLvl w:val="0"/>
    </w:pPr>
    <w:rPr>
      <w:rFonts w:ascii="Cambria" w:hAnsi="Cambria" w:eastAsia="宋体" w:cs="Times New Roman"/>
      <w:b/>
      <w:bCs/>
      <w:sz w:val="32"/>
      <w:szCs w:val="32"/>
    </w:rPr>
  </w:style>
  <w:style w:type="paragraph" w:styleId="761">
    <w:name w:val="annotation subject"/>
    <w:basedOn w:val="727"/>
    <w:next w:val="727"/>
    <w:link w:val="950"/>
    <w:uiPriority w:val="99"/>
    <w:qFormat/>
    <w:rPr>
      <w:b/>
      <w:bCs/>
    </w:rPr>
  </w:style>
  <w:style w:type="paragraph" w:styleId="762">
    <w:name w:val="Body Text First Indent 2"/>
    <w:basedOn w:val="730"/>
    <w:link w:val="951"/>
    <w:uiPriority w:val="0"/>
    <w:qFormat/>
    <w:pPr>
      <w:ind w:left="420" w:firstLine="420"/>
      <w:spacing w:after="120" w:line="240" w:lineRule="auto"/>
    </w:pPr>
    <w:rPr>
      <w:rFonts w:ascii="Calibri" w:hAnsi="Calibri" w:eastAsia="楷体_GB2312"/>
      <w:sz w:val="26"/>
    </w:rPr>
  </w:style>
  <w:style w:type="table" w:styleId="763">
    <w:name w:val="Table Grid"/>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basedOn w:val="719"/>
    <w:uiPriority w:val="0"/>
    <w:qFormat/>
    <w:rPr>
      <w:b/>
    </w:rPr>
  </w:style>
  <w:style w:type="character" w:styleId="765">
    <w:name w:val="endnote reference"/>
    <w:uiPriority w:val="0"/>
    <w:qFormat/>
    <w:rPr>
      <w:vertAlign w:val="superscript"/>
    </w:rPr>
  </w:style>
  <w:style w:type="character" w:styleId="766">
    <w:name w:val="page number"/>
    <w:basedOn w:val="719"/>
    <w:uiPriority w:val="0"/>
    <w:qFormat/>
  </w:style>
  <w:style w:type="character" w:styleId="767">
    <w:name w:val="FollowedHyperlink"/>
    <w:uiPriority w:val="99"/>
    <w:unhideWhenUsed/>
    <w:qFormat/>
    <w:rPr>
      <w:color w:val="800080"/>
      <w:u w:val="single"/>
    </w:rPr>
  </w:style>
  <w:style w:type="character" w:styleId="768">
    <w:name w:val="Emphasis"/>
    <w:uiPriority w:val="0"/>
    <w:qFormat/>
    <w:rPr>
      <w:i/>
    </w:rPr>
  </w:style>
  <w:style w:type="character" w:styleId="769">
    <w:name w:val="Hyperlink"/>
    <w:uiPriority w:val="0"/>
    <w:unhideWhenUsed/>
    <w:qFormat/>
    <w:rPr>
      <w:color w:val="0000ff"/>
      <w:u w:val="single"/>
    </w:rPr>
  </w:style>
  <w:style w:type="character" w:styleId="770">
    <w:name w:val="annotation reference"/>
    <w:uiPriority w:val="99"/>
    <w:qFormat/>
    <w:rPr>
      <w:sz w:val="21"/>
      <w:szCs w:val="21"/>
    </w:rPr>
  </w:style>
  <w:style w:type="character" w:styleId="771">
    <w:name w:val="footnote reference"/>
    <w:uiPriority w:val="0"/>
    <w:qFormat/>
    <w:rPr>
      <w:vertAlign w:val="superscript"/>
    </w:rPr>
  </w:style>
  <w:style w:type="character" w:styleId="772" w:customStyle="1">
    <w:name w:val="Heading 7 Char"/>
    <w:basedOn w:val="719"/>
    <w:uiPriority w:val="9"/>
    <w:qFormat/>
    <w:rPr>
      <w:rFonts w:ascii="Arial" w:hAnsi="Arial" w:eastAsia="Arial" w:cs="Arial"/>
      <w:b/>
      <w:bCs/>
      <w:i/>
      <w:iCs/>
      <w:sz w:val="22"/>
      <w:szCs w:val="22"/>
    </w:rPr>
  </w:style>
  <w:style w:type="character" w:styleId="773" w:customStyle="1">
    <w:name w:val="Heading 8 Char"/>
    <w:basedOn w:val="719"/>
    <w:uiPriority w:val="9"/>
    <w:qFormat/>
    <w:rPr>
      <w:rFonts w:ascii="Arial" w:hAnsi="Arial" w:eastAsia="Arial" w:cs="Arial"/>
      <w:i/>
      <w:iCs/>
      <w:sz w:val="22"/>
      <w:szCs w:val="22"/>
    </w:rPr>
  </w:style>
  <w:style w:type="character" w:styleId="774" w:customStyle="1">
    <w:name w:val="Heading 9 Char"/>
    <w:basedOn w:val="719"/>
    <w:uiPriority w:val="9"/>
    <w:qFormat/>
    <w:rPr>
      <w:rFonts w:ascii="Arial" w:hAnsi="Arial" w:eastAsia="Arial" w:cs="Arial"/>
      <w:i/>
      <w:iCs/>
      <w:sz w:val="21"/>
      <w:szCs w:val="21"/>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无格式表格 1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character" w:styleId="797" w:customStyle="1">
    <w:name w:val="Heading 1 Char"/>
    <w:basedOn w:val="719"/>
    <w:uiPriority w:val="9"/>
    <w:qFormat/>
    <w:rPr>
      <w:rFonts w:ascii="Arial" w:hAnsi="Arial" w:eastAsia="Arial" w:cs="Arial"/>
      <w:sz w:val="40"/>
      <w:szCs w:val="40"/>
    </w:rPr>
  </w:style>
  <w:style w:type="character" w:styleId="798" w:customStyle="1">
    <w:name w:val="Heading 2 Char"/>
    <w:basedOn w:val="719"/>
    <w:uiPriority w:val="9"/>
    <w:qFormat/>
    <w:rPr>
      <w:rFonts w:ascii="Arial" w:hAnsi="Arial" w:eastAsia="Arial" w:cs="Arial"/>
      <w:sz w:val="34"/>
    </w:rPr>
  </w:style>
  <w:style w:type="character" w:styleId="799" w:customStyle="1">
    <w:name w:val="Heading 3 Char"/>
    <w:basedOn w:val="719"/>
    <w:uiPriority w:val="9"/>
    <w:qFormat/>
    <w:rPr>
      <w:rFonts w:ascii="Arial" w:hAnsi="Arial" w:eastAsia="Arial" w:cs="Arial"/>
      <w:sz w:val="30"/>
      <w:szCs w:val="30"/>
    </w:rPr>
  </w:style>
  <w:style w:type="character" w:styleId="800" w:customStyle="1">
    <w:name w:val="Heading 4 Char"/>
    <w:basedOn w:val="719"/>
    <w:uiPriority w:val="9"/>
    <w:qFormat/>
    <w:rPr>
      <w:rFonts w:ascii="Arial" w:hAnsi="Arial" w:eastAsia="Arial" w:cs="Arial"/>
      <w:b/>
      <w:bCs/>
      <w:sz w:val="26"/>
      <w:szCs w:val="26"/>
    </w:rPr>
  </w:style>
  <w:style w:type="character" w:styleId="801" w:customStyle="1">
    <w:name w:val="Heading 5 Char"/>
    <w:basedOn w:val="719"/>
    <w:uiPriority w:val="9"/>
    <w:qFormat/>
    <w:rPr>
      <w:rFonts w:ascii="Arial" w:hAnsi="Arial" w:eastAsia="Arial" w:cs="Arial"/>
      <w:b/>
      <w:bCs/>
      <w:sz w:val="24"/>
      <w:szCs w:val="24"/>
    </w:rPr>
  </w:style>
  <w:style w:type="character" w:styleId="802" w:customStyle="1">
    <w:name w:val="Heading 6 Char"/>
    <w:basedOn w:val="719"/>
    <w:uiPriority w:val="9"/>
    <w:qFormat/>
    <w:rPr>
      <w:rFonts w:ascii="Arial" w:hAnsi="Arial" w:eastAsia="Arial" w:cs="Arial"/>
      <w:b/>
      <w:bCs/>
      <w:sz w:val="22"/>
      <w:szCs w:val="22"/>
    </w:rPr>
  </w:style>
  <w:style w:type="character" w:styleId="803" w:customStyle="1">
    <w:name w:val="标题 7 字符"/>
    <w:basedOn w:val="719"/>
    <w:link w:val="716"/>
    <w:uiPriority w:val="9"/>
    <w:qFormat/>
    <w:rPr>
      <w:rFonts w:ascii="Arial" w:hAnsi="Arial" w:eastAsia="Arial" w:cs="Arial"/>
      <w:b/>
      <w:bCs/>
      <w:i/>
      <w:iCs/>
      <w:sz w:val="22"/>
      <w:szCs w:val="22"/>
    </w:rPr>
  </w:style>
  <w:style w:type="character" w:styleId="804" w:customStyle="1">
    <w:name w:val="标题 8 字符"/>
    <w:basedOn w:val="719"/>
    <w:link w:val="717"/>
    <w:uiPriority w:val="9"/>
    <w:qFormat/>
    <w:rPr>
      <w:rFonts w:ascii="Arial" w:hAnsi="Arial" w:eastAsia="Arial" w:cs="Arial"/>
      <w:i/>
      <w:iCs/>
      <w:sz w:val="22"/>
      <w:szCs w:val="22"/>
    </w:rPr>
  </w:style>
  <w:style w:type="character" w:styleId="805" w:customStyle="1">
    <w:name w:val="标题 9 字符"/>
    <w:basedOn w:val="719"/>
    <w:link w:val="718"/>
    <w:uiPriority w:val="9"/>
    <w:qFormat/>
    <w:rPr>
      <w:rFonts w:ascii="Arial" w:hAnsi="Arial" w:eastAsia="Arial" w:cs="Arial"/>
      <w:i/>
      <w:iCs/>
      <w:sz w:val="21"/>
      <w:szCs w:val="21"/>
    </w:rPr>
  </w:style>
  <w:style w:type="paragraph" w:styleId="806">
    <w:name w:val="No Spacing"/>
    <w:uiPriority w:val="1"/>
    <w:qFormat/>
    <w:rPr>
      <w:rFonts w:ascii="Times New Roman" w:hAnsi="Times New Roman" w:eastAsia="宋体" w:cs="Times New Roman"/>
      <w:lang w:val="en-US" w:eastAsia="zh-CN" w:bidi="ar-SA"/>
    </w:rPr>
  </w:style>
  <w:style w:type="character" w:styleId="807" w:customStyle="1">
    <w:name w:val="Title Char"/>
    <w:basedOn w:val="719"/>
    <w:uiPriority w:val="10"/>
    <w:qFormat/>
    <w:rPr>
      <w:sz w:val="48"/>
      <w:szCs w:val="48"/>
    </w:rPr>
  </w:style>
  <w:style w:type="character" w:styleId="808" w:customStyle="1">
    <w:name w:val="Subtitle Char"/>
    <w:basedOn w:val="719"/>
    <w:uiPriority w:val="11"/>
    <w:qFormat/>
    <w:rPr>
      <w:sz w:val="24"/>
      <w:szCs w:val="24"/>
    </w:rPr>
  </w:style>
  <w:style w:type="paragraph" w:styleId="809">
    <w:name w:val="Quote"/>
    <w:basedOn w:val="709"/>
    <w:next w:val="709"/>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09"/>
    <w:next w:val="709"/>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Header Char"/>
    <w:basedOn w:val="719"/>
    <w:uiPriority w:val="99"/>
    <w:qFormat/>
  </w:style>
  <w:style w:type="character" w:styleId="814" w:customStyle="1">
    <w:name w:val="Footer Char"/>
    <w:basedOn w:val="719"/>
    <w:uiPriority w:val="99"/>
    <w:qFormat/>
  </w:style>
  <w:style w:type="character" w:styleId="815" w:customStyle="1">
    <w:name w:val="Caption Char"/>
    <w:uiPriority w:val="99"/>
    <w:qFormat/>
  </w:style>
  <w:style w:type="table" w:styleId="816" w:customStyle="1">
    <w:name w:val="Table Grid Light"/>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Grid Table 1 Light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 Accent 1"/>
    <w:basedOn w:val="72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2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2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 Accent 1"/>
    <w:basedOn w:val="7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basedOn w:val="72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basedOn w:val="7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basedOn w:val="7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basedOn w:val="7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basedOn w:val="7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Accent 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 Accent 1"/>
    <w:basedOn w:val="7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2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 Accent 1"/>
    <w:basedOn w:val="7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2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2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 Accent 1"/>
    <w:basedOn w:val="72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2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2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2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2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 Accent 1"/>
    <w:basedOn w:val="7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2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 Accent 1"/>
    <w:basedOn w:val="7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2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2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 Accent 1"/>
    <w:basedOn w:val="7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2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 Accent 1"/>
    <w:basedOn w:val="7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2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2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 Accent 1"/>
    <w:basedOn w:val="72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basedOn w:val="72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basedOn w:val="72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basedOn w:val="72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basedOn w:val="72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basedOn w:val="72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 Accent 1"/>
    <w:basedOn w:val="72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2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2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2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2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2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2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2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2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2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2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2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customStyle="1">
    <w:name w:val="TOC 标题11"/>
    <w:uiPriority w:val="39"/>
    <w:unhideWhenUsed/>
    <w:qFormat/>
    <w:rPr>
      <w:rFonts w:ascii="Times New Roman" w:hAnsi="Times New Roman" w:eastAsia="宋体" w:cs="Times New Roman"/>
      <w:lang w:val="en-US" w:eastAsia="zh-CN" w:bidi="ar-SA"/>
    </w:rPr>
  </w:style>
  <w:style w:type="paragraph" w:styleId="925" w:customStyle="1">
    <w:name w:val="段"/>
    <w:next w:val="709"/>
    <w:uiPriority w:val="0"/>
    <w:qFormat/>
    <w:pPr>
      <w:ind w:firstLine="200"/>
      <w:jc w:val="both"/>
    </w:pPr>
    <w:rPr>
      <w:rFonts w:ascii="宋体" w:hAnsi="Times New Roman" w:eastAsia="宋体" w:cs="宋体"/>
      <w:sz w:val="21"/>
      <w:szCs w:val="21"/>
      <w:lang w:val="en-US" w:eastAsia="zh-CN" w:bidi="ar-SA"/>
    </w:rPr>
  </w:style>
  <w:style w:type="paragraph" w:styleId="926" w:customStyle="1">
    <w:name w:val="首行缩进"/>
    <w:basedOn w:val="709"/>
    <w:uiPriority w:val="0"/>
    <w:qFormat/>
    <w:pPr>
      <w:ind w:firstLine="480"/>
    </w:pPr>
    <w:rPr>
      <w:rFonts w:ascii="Calibri" w:hAnsi="Calibri" w:eastAsia="宋体" w:cs="Times New Roman"/>
      <w:szCs w:val="20"/>
      <w:lang w:val="zh-CN"/>
    </w:rPr>
  </w:style>
  <w:style w:type="character" w:styleId="927" w:customStyle="1">
    <w:name w:val="标题 1 字符"/>
    <w:basedOn w:val="719"/>
    <w:link w:val="710"/>
    <w:uiPriority w:val="0"/>
    <w:qFormat/>
    <w:rPr>
      <w:rFonts w:ascii="Calibri" w:hAnsi="Calibri" w:eastAsia="楷体_GB2312" w:cs="Times New Roman"/>
      <w:b/>
      <w:sz w:val="44"/>
      <w:szCs w:val="20"/>
    </w:rPr>
  </w:style>
  <w:style w:type="character" w:styleId="928" w:customStyle="1">
    <w:name w:val="标题 2 字符"/>
    <w:basedOn w:val="719"/>
    <w:link w:val="711"/>
    <w:uiPriority w:val="0"/>
    <w:qFormat/>
    <w:rPr>
      <w:rFonts w:ascii="宋体" w:hAnsi="宋体" w:eastAsia="楷体_GB2312" w:cs="Times New Roman"/>
      <w:b/>
      <w:sz w:val="26"/>
      <w:szCs w:val="20"/>
    </w:rPr>
  </w:style>
  <w:style w:type="character" w:styleId="929" w:customStyle="1">
    <w:name w:val="标题 3 字符"/>
    <w:basedOn w:val="719"/>
    <w:link w:val="712"/>
    <w:uiPriority w:val="0"/>
    <w:qFormat/>
    <w:rPr>
      <w:rFonts w:ascii="Calibri" w:hAnsi="Calibri" w:eastAsia="楷体_GB2312" w:cs="Times New Roman"/>
      <w:b/>
      <w:sz w:val="26"/>
      <w:szCs w:val="20"/>
    </w:rPr>
  </w:style>
  <w:style w:type="character" w:styleId="930" w:customStyle="1">
    <w:name w:val="标题 4 字符"/>
    <w:basedOn w:val="719"/>
    <w:link w:val="713"/>
    <w:uiPriority w:val="0"/>
    <w:qFormat/>
    <w:rPr>
      <w:rFonts w:ascii="Arial" w:hAnsi="Arial" w:eastAsia="黑体" w:cs="Times New Roman"/>
      <w:b/>
      <w:bCs/>
      <w:sz w:val="28"/>
      <w:szCs w:val="28"/>
    </w:rPr>
  </w:style>
  <w:style w:type="character" w:styleId="931" w:customStyle="1">
    <w:name w:val="标题 5 字符"/>
    <w:basedOn w:val="719"/>
    <w:link w:val="714"/>
    <w:uiPriority w:val="0"/>
    <w:qFormat/>
    <w:rPr>
      <w:rFonts w:ascii="宋体" w:hAnsi="宋体" w:eastAsia="宋体" w:cs="Times New Roman"/>
      <w:color w:val="000000"/>
      <w:sz w:val="28"/>
      <w:szCs w:val="20"/>
    </w:rPr>
  </w:style>
  <w:style w:type="character" w:styleId="932" w:customStyle="1">
    <w:name w:val="标题 6 字符"/>
    <w:basedOn w:val="719"/>
    <w:link w:val="715"/>
    <w:uiPriority w:val="0"/>
    <w:qFormat/>
    <w:rPr>
      <w:rFonts w:ascii="宋体" w:hAnsi="宋体" w:eastAsia="宋体" w:cs="Times New Roman"/>
      <w:sz w:val="28"/>
      <w:szCs w:val="20"/>
    </w:rPr>
  </w:style>
  <w:style w:type="character" w:styleId="933" w:customStyle="1">
    <w:name w:val="正文缩进 字符"/>
    <w:link w:val="723"/>
    <w:uiPriority w:val="0"/>
    <w:qFormat/>
    <w:rPr>
      <w:rFonts w:ascii="Calibri" w:hAnsi="Calibri" w:eastAsia="楷体_GB2312" w:cs="Times New Roman"/>
      <w:sz w:val="24"/>
      <w:szCs w:val="20"/>
    </w:rPr>
  </w:style>
  <w:style w:type="character" w:styleId="934" w:customStyle="1">
    <w:name w:val="文档结构图 字符"/>
    <w:basedOn w:val="719"/>
    <w:link w:val="726"/>
    <w:uiPriority w:val="0"/>
    <w:qFormat/>
    <w:rPr>
      <w:rFonts w:ascii="Calibri" w:hAnsi="Calibri" w:eastAsia="楷体_GB2312" w:cs="Times New Roman"/>
      <w:sz w:val="26"/>
      <w:szCs w:val="20"/>
      <w:shd w:val="clear" w:color="auto" w:fill="000080"/>
    </w:rPr>
  </w:style>
  <w:style w:type="character" w:styleId="935" w:customStyle="1">
    <w:name w:val="批注文字 字符"/>
    <w:basedOn w:val="719"/>
    <w:link w:val="727"/>
    <w:uiPriority w:val="0"/>
    <w:qFormat/>
    <w:rPr>
      <w:rFonts w:ascii="Calibri" w:hAnsi="Calibri" w:eastAsia="楷体_GB2312" w:cs="Times New Roman"/>
      <w:sz w:val="26"/>
      <w:szCs w:val="20"/>
    </w:rPr>
  </w:style>
  <w:style w:type="character" w:styleId="936" w:customStyle="1">
    <w:name w:val="正文文本 字符"/>
    <w:basedOn w:val="719"/>
    <w:link w:val="729"/>
    <w:uiPriority w:val="0"/>
    <w:qFormat/>
    <w:rPr>
      <w:rFonts w:ascii="楷体_GB2312" w:hAnsi="Calibri" w:eastAsia="楷体_GB2312" w:cs="Times New Roman"/>
      <w:sz w:val="28"/>
      <w:szCs w:val="20"/>
    </w:rPr>
  </w:style>
  <w:style w:type="character" w:styleId="937" w:customStyle="1">
    <w:name w:val="正文文本缩进 字符"/>
    <w:basedOn w:val="719"/>
    <w:link w:val="730"/>
    <w:uiPriority w:val="99"/>
    <w:qFormat/>
    <w:rPr>
      <w:rFonts w:ascii="方正仿宋简体" w:hAnsi="创艺简仿宋" w:eastAsia="方正仿宋简体" w:cs="Times New Roman"/>
      <w:sz w:val="24"/>
      <w:szCs w:val="20"/>
    </w:rPr>
  </w:style>
  <w:style w:type="character" w:styleId="938" w:customStyle="1">
    <w:name w:val="纯文本 字符"/>
    <w:basedOn w:val="719"/>
    <w:link w:val="735"/>
    <w:uiPriority w:val="0"/>
    <w:qFormat/>
    <w:rPr>
      <w:rFonts w:ascii="宋体" w:hAnsi="Courier New" w:eastAsia="楷体_GB2312" w:cs="Times New Roman"/>
      <w:sz w:val="26"/>
      <w:szCs w:val="20"/>
    </w:rPr>
  </w:style>
  <w:style w:type="character" w:styleId="939" w:customStyle="1">
    <w:name w:val="日期 字符"/>
    <w:basedOn w:val="719"/>
    <w:link w:val="738"/>
    <w:uiPriority w:val="0"/>
    <w:qFormat/>
    <w:rPr>
      <w:rFonts w:ascii="宋体" w:hAnsi="宋体" w:eastAsia="楷体_GB2312" w:cs="Times New Roman"/>
      <w:sz w:val="24"/>
      <w:szCs w:val="20"/>
    </w:rPr>
  </w:style>
  <w:style w:type="character" w:styleId="940" w:customStyle="1">
    <w:name w:val="正文文本缩进 2 字符"/>
    <w:basedOn w:val="719"/>
    <w:link w:val="739"/>
    <w:uiPriority w:val="0"/>
    <w:qFormat/>
    <w:rPr>
      <w:rFonts w:ascii="宋体" w:hAnsi="Calibri" w:eastAsia="宋体" w:cs="Times New Roman"/>
      <w:b/>
      <w:bCs/>
      <w:sz w:val="24"/>
      <w:szCs w:val="20"/>
    </w:rPr>
  </w:style>
  <w:style w:type="character" w:styleId="941" w:customStyle="1">
    <w:name w:val="尾注文本 字符"/>
    <w:basedOn w:val="719"/>
    <w:link w:val="740"/>
    <w:uiPriority w:val="0"/>
    <w:qFormat/>
    <w:rPr>
      <w:rFonts w:ascii="Calibri" w:hAnsi="Calibri" w:eastAsia="楷体_GB2312" w:cs="Times New Roman"/>
      <w:sz w:val="26"/>
      <w:szCs w:val="20"/>
    </w:rPr>
  </w:style>
  <w:style w:type="character" w:styleId="942" w:customStyle="1">
    <w:name w:val="批注框文本 字符"/>
    <w:basedOn w:val="719"/>
    <w:link w:val="741"/>
    <w:uiPriority w:val="99"/>
    <w:qFormat/>
    <w:rPr>
      <w:rFonts w:ascii="Calibri" w:hAnsi="Calibri" w:eastAsia="楷体_GB2312" w:cs="Times New Roman"/>
      <w:sz w:val="18"/>
      <w:szCs w:val="18"/>
    </w:rPr>
  </w:style>
  <w:style w:type="character" w:styleId="943" w:customStyle="1">
    <w:name w:val="页脚 字符"/>
    <w:basedOn w:val="719"/>
    <w:link w:val="742"/>
    <w:uiPriority w:val="99"/>
    <w:qFormat/>
    <w:rPr>
      <w:rFonts w:ascii="Calibri" w:hAnsi="Calibri" w:eastAsia="楷体_GB2312" w:cs="Times New Roman"/>
      <w:sz w:val="18"/>
      <w:szCs w:val="20"/>
    </w:rPr>
  </w:style>
  <w:style w:type="character" w:styleId="944" w:customStyle="1">
    <w:name w:val="页眉 字符"/>
    <w:basedOn w:val="719"/>
    <w:link w:val="743"/>
    <w:uiPriority w:val="99"/>
    <w:qFormat/>
    <w:rPr>
      <w:rFonts w:ascii="Calibri" w:hAnsi="Calibri" w:eastAsia="楷体_GB2312" w:cs="Times New Roman"/>
      <w:sz w:val="18"/>
      <w:szCs w:val="20"/>
    </w:rPr>
  </w:style>
  <w:style w:type="character" w:styleId="945" w:customStyle="1">
    <w:name w:val="副标题 字符"/>
    <w:basedOn w:val="719"/>
    <w:link w:val="748"/>
    <w:uiPriority w:val="0"/>
    <w:qFormat/>
    <w:rPr>
      <w:rFonts w:ascii="Cambria" w:hAnsi="Cambria" w:eastAsia="宋体" w:cs="Times New Roman"/>
      <w:b/>
      <w:bCs/>
      <w:sz w:val="24"/>
      <w:szCs w:val="32"/>
    </w:rPr>
  </w:style>
  <w:style w:type="character" w:styleId="946" w:customStyle="1">
    <w:name w:val="脚注文本 字符"/>
    <w:basedOn w:val="719"/>
    <w:link w:val="749"/>
    <w:uiPriority w:val="0"/>
    <w:qFormat/>
    <w:rPr>
      <w:rFonts w:ascii="Calibri" w:hAnsi="Calibri" w:eastAsia="楷体_GB2312" w:cs="Times New Roman"/>
      <w:sz w:val="18"/>
      <w:szCs w:val="20"/>
    </w:rPr>
  </w:style>
  <w:style w:type="character" w:styleId="947" w:customStyle="1">
    <w:name w:val="正文文本缩进 3 字符"/>
    <w:basedOn w:val="719"/>
    <w:link w:val="751"/>
    <w:uiPriority w:val="0"/>
    <w:qFormat/>
    <w:rPr>
      <w:rFonts w:ascii="Calibri" w:hAnsi="Calibri" w:eastAsia="宋体" w:cs="Times New Roman"/>
      <w:sz w:val="24"/>
      <w:szCs w:val="24"/>
    </w:rPr>
  </w:style>
  <w:style w:type="character" w:styleId="948" w:customStyle="1">
    <w:name w:val="HTML 预设格式 字符"/>
    <w:basedOn w:val="719"/>
    <w:link w:val="757"/>
    <w:uiPriority w:val="0"/>
    <w:qFormat/>
    <w:rPr>
      <w:rFonts w:ascii="黑体" w:hAnsi="Courier New" w:eastAsia="黑体" w:cs="Times New Roman"/>
      <w:sz w:val="20"/>
      <w:szCs w:val="20"/>
    </w:rPr>
  </w:style>
  <w:style w:type="character" w:styleId="949" w:customStyle="1">
    <w:name w:val="标题 字符"/>
    <w:basedOn w:val="719"/>
    <w:link w:val="760"/>
    <w:uiPriority w:val="0"/>
    <w:qFormat/>
    <w:rPr>
      <w:rFonts w:ascii="Cambria" w:hAnsi="Cambria" w:eastAsia="宋体" w:cs="Times New Roman"/>
      <w:b/>
      <w:bCs/>
      <w:sz w:val="32"/>
      <w:szCs w:val="32"/>
    </w:rPr>
  </w:style>
  <w:style w:type="character" w:styleId="950" w:customStyle="1">
    <w:name w:val="批注主题 字符"/>
    <w:basedOn w:val="935"/>
    <w:link w:val="761"/>
    <w:uiPriority w:val="99"/>
    <w:qFormat/>
    <w:rPr>
      <w:rFonts w:ascii="Calibri" w:hAnsi="Calibri" w:eastAsia="楷体_GB2312" w:cs="Times New Roman"/>
      <w:b/>
      <w:bCs/>
      <w:sz w:val="26"/>
      <w:szCs w:val="20"/>
    </w:rPr>
  </w:style>
  <w:style w:type="character" w:styleId="951" w:customStyle="1">
    <w:name w:val="正文文本首行缩进 2 字符"/>
    <w:basedOn w:val="937"/>
    <w:link w:val="762"/>
    <w:uiPriority w:val="0"/>
    <w:qFormat/>
    <w:rPr>
      <w:rFonts w:ascii="Calibri" w:hAnsi="Calibri" w:eastAsia="楷体_GB2312" w:cs="Times New Roman"/>
      <w:sz w:val="26"/>
      <w:szCs w:val="20"/>
    </w:rPr>
  </w:style>
  <w:style w:type="character" w:styleId="952" w:customStyle="1">
    <w:name w:val="Plain Text Char Char"/>
    <w:link w:val="953"/>
    <w:uiPriority w:val="0"/>
    <w:qFormat/>
    <w:rPr>
      <w:rFonts w:ascii="宋体" w:hAnsi="Courier New" w:eastAsia="楷体_GB2312"/>
      <w:sz w:val="26"/>
    </w:rPr>
  </w:style>
  <w:style w:type="paragraph" w:styleId="953" w:customStyle="1">
    <w:name w:val="纯文本3"/>
    <w:basedOn w:val="709"/>
    <w:link w:val="952"/>
    <w:uiPriority w:val="0"/>
    <w:qFormat/>
    <w:rPr>
      <w:rFonts w:ascii="宋体" w:hAnsi="Courier New" w:eastAsia="楷体_GB2312"/>
      <w:sz w:val="26"/>
    </w:rPr>
  </w:style>
  <w:style w:type="character" w:styleId="954" w:customStyle="1">
    <w:name w:val="styl81"/>
    <w:uiPriority w:val="0"/>
    <w:qFormat/>
    <w:rPr>
      <w:sz w:val="21"/>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709"/>
    <w:link w:val="955"/>
    <w:uiPriority w:val="0"/>
    <w:qFormat/>
    <w:rPr>
      <w:rFonts w:ascii="宋体" w:hAnsi="Courier New" w:eastAsia="楷体_GB2312"/>
      <w:sz w:val="26"/>
    </w:rPr>
  </w:style>
  <w:style w:type="character" w:styleId="957" w:customStyle="1">
    <w:name w:val="表正文 Char1"/>
    <w:uiPriority w:val="0"/>
    <w:qFormat/>
    <w:rPr>
      <w:rFonts w:eastAsia="楷体_GB2312"/>
      <w:sz w:val="24"/>
      <w:lang w:val="en-US" w:eastAsia="zh-CN" w:bidi="ar-SA"/>
    </w:rPr>
  </w:style>
  <w:style w:type="character" w:styleId="958" w:customStyle="1">
    <w:name w:val="_正文段落 Char"/>
    <w:link w:val="959"/>
    <w:uiPriority w:val="0"/>
    <w:qFormat/>
    <w:rPr>
      <w:rFonts w:ascii="宋体" w:hAnsi="宋体"/>
      <w:sz w:val="24"/>
      <w:szCs w:val="24"/>
    </w:rPr>
  </w:style>
  <w:style w:type="paragraph" w:styleId="959" w:customStyle="1">
    <w:name w:val="_正文段落"/>
    <w:basedOn w:val="709"/>
    <w:link w:val="958"/>
    <w:uiPriority w:val="0"/>
    <w:qFormat/>
    <w:pPr>
      <w:ind w:firstLine="480"/>
      <w:spacing w:line="360" w:lineRule="auto"/>
    </w:pPr>
    <w:rPr>
      <w:rFonts w:ascii="宋体" w:hAnsi="宋体"/>
      <w:sz w:val="24"/>
      <w:szCs w:val="24"/>
    </w:rPr>
  </w:style>
  <w:style w:type="character" w:styleId="960" w:customStyle="1">
    <w:name w:val="Andy_正文 Char"/>
    <w:link w:val="961"/>
    <w:uiPriority w:val="0"/>
    <w:qFormat/>
    <w:rPr>
      <w:sz w:val="24"/>
      <w:szCs w:val="24"/>
    </w:rPr>
  </w:style>
  <w:style w:type="paragraph" w:styleId="961" w:customStyle="1">
    <w:name w:val="Andy_正文"/>
    <w:basedOn w:val="709"/>
    <w:link w:val="960"/>
    <w:uiPriority w:val="0"/>
    <w:qFormat/>
    <w:pPr>
      <w:ind w:firstLine="480"/>
      <w:spacing w:line="360" w:lineRule="auto"/>
    </w:pPr>
    <w:rPr>
      <w:sz w:val="24"/>
      <w:szCs w:val="24"/>
    </w:rPr>
  </w:style>
  <w:style w:type="character" w:styleId="962" w:customStyle="1">
    <w:name w:val="正文缩进 Char1"/>
    <w:uiPriority w:val="0"/>
    <w:qFormat/>
    <w:rPr>
      <w:rFonts w:eastAsia="楷体_GB2312"/>
      <w:sz w:val="24"/>
    </w:rPr>
  </w:style>
  <w:style w:type="character" w:styleId="963" w:customStyle="1">
    <w:name w:val="副标题 Char1"/>
    <w:uiPriority w:val="11"/>
    <w:qFormat/>
    <w:rPr>
      <w:rFonts w:ascii="Cambria" w:hAnsi="Cambria" w:cs="Times New Roman"/>
      <w:b/>
      <w:bCs/>
      <w:sz w:val="32"/>
      <w:szCs w:val="32"/>
    </w:rPr>
  </w:style>
  <w:style w:type="character" w:styleId="964" w:customStyle="1">
    <w:name w:val="Andy_2级 Char"/>
    <w:link w:val="965"/>
    <w:uiPriority w:val="0"/>
    <w:qFormat/>
    <w:rPr>
      <w:sz w:val="24"/>
    </w:rPr>
  </w:style>
  <w:style w:type="paragraph" w:styleId="965" w:customStyle="1">
    <w:name w:val="Andy_2级"/>
    <w:basedOn w:val="709"/>
    <w:link w:val="964"/>
    <w:uiPriority w:val="0"/>
    <w:qFormat/>
    <w:pPr>
      <w:numPr>
        <w:ilvl w:val="1"/>
        <w:numId w:val="1"/>
      </w:numPr>
      <w:spacing w:line="360" w:lineRule="auto"/>
    </w:pPr>
    <w:rPr>
      <w:sz w:val="24"/>
    </w:rPr>
  </w:style>
  <w:style w:type="character" w:styleId="966" w:customStyle="1">
    <w:name w:val="副标题 Char2"/>
    <w:uiPriority w:val="0"/>
    <w:qFormat/>
    <w:rPr>
      <w:rFonts w:ascii="Cambria" w:hAnsi="Cambria" w:cs="Times New Roman"/>
      <w:b/>
      <w:bCs/>
      <w:sz w:val="32"/>
      <w:szCs w:val="32"/>
    </w:rPr>
  </w:style>
  <w:style w:type="character" w:styleId="967" w:customStyle="1">
    <w:name w:val="正文首行缩进 2 Char1"/>
    <w:uiPriority w:val="0"/>
    <w:qFormat/>
    <w:rPr>
      <w:rFonts w:ascii="方正仿宋简体" w:hAnsi="创艺简仿宋" w:eastAsia="楷体_GB2312"/>
      <w:sz w:val="26"/>
    </w:rPr>
  </w:style>
  <w:style w:type="character" w:styleId="968" w:customStyle="1">
    <w:name w:val="ca-221"/>
    <w:uiPriority w:val="0"/>
    <w:qFormat/>
    <w:rPr>
      <w:rFonts w:hint="eastAsia" w:ascii="宋体" w:hAnsi="宋体" w:eastAsia="宋体"/>
      <w:color w:val="ff0000"/>
      <w:sz w:val="24"/>
      <w:szCs w:val="24"/>
    </w:rPr>
  </w:style>
  <w:style w:type="paragraph" w:styleId="969" w:customStyle="1">
    <w:name w:val="纯文本11"/>
    <w:basedOn w:val="709"/>
    <w:uiPriority w:val="0"/>
    <w:qFormat/>
    <w:rPr>
      <w:rFonts w:ascii="宋体" w:hAnsi="Courier New" w:eastAsia="楷体_GB2312" w:cs="Times New Roman"/>
      <w:sz w:val="26"/>
      <w:szCs w:val="20"/>
    </w:rPr>
  </w:style>
  <w:style w:type="paragraph" w:styleId="970" w:customStyle="1">
    <w:name w:val="xl7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1" w:customStyle="1">
    <w:name w:val="xl6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2" w:customStyle="1">
    <w:name w:val="xl7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3" w:customStyle="1">
    <w:name w:val="xl8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4" w:customStyle="1">
    <w:name w:val="纯文本2"/>
    <w:basedOn w:val="709"/>
    <w:uiPriority w:val="0"/>
    <w:qFormat/>
    <w:rPr>
      <w:rFonts w:ascii="宋体" w:hAnsi="Courier New" w:eastAsia="楷体_GB2312" w:cs="Times New Roman"/>
      <w:sz w:val="26"/>
      <w:szCs w:val="20"/>
    </w:rPr>
  </w:style>
  <w:style w:type="paragraph" w:styleId="975" w:customStyle="1">
    <w:name w:val="列出段落2"/>
    <w:basedOn w:val="709"/>
    <w:uiPriority w:val="0"/>
    <w:qFormat/>
    <w:pPr>
      <w:ind w:firstLine="420"/>
    </w:pPr>
    <w:rPr>
      <w:rFonts w:ascii="Calibri" w:hAnsi="Calibri" w:eastAsia="宋体" w:cs="Times New Roman"/>
    </w:rPr>
  </w:style>
  <w:style w:type="paragraph" w:styleId="976" w:customStyle="1">
    <w:name w:val="xl7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7" w:customStyle="1">
    <w:name w:val="xl9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78" w:customStyle="1">
    <w:name w:val="Char Char Char Char"/>
    <w:basedOn w:val="726"/>
    <w:uiPriority w:val="0"/>
    <w:qFormat/>
    <w:pPr>
      <w:ind w:left="357"/>
      <w:jc w:val="left"/>
      <w:spacing w:line="436" w:lineRule="exact"/>
      <w:outlineLvl w:val="3"/>
    </w:pPr>
    <w:rPr>
      <w:rFonts w:ascii="Tahoma" w:hAnsi="Tahoma" w:eastAsia="宋体"/>
      <w:b/>
      <w:sz w:val="24"/>
      <w:szCs w:val="24"/>
    </w:rPr>
  </w:style>
  <w:style w:type="paragraph" w:styleId="979" w:customStyle="1">
    <w:name w:val="列出段落1"/>
    <w:basedOn w:val="709"/>
    <w:uiPriority w:val="0"/>
    <w:qFormat/>
    <w:pPr>
      <w:ind w:firstLine="420"/>
    </w:pPr>
    <w:rPr>
      <w:rFonts w:ascii="Calibri" w:hAnsi="Calibri" w:eastAsia="楷体_GB2312" w:cs="Times New Roman"/>
      <w:sz w:val="26"/>
      <w:szCs w:val="20"/>
    </w:rPr>
  </w:style>
  <w:style w:type="paragraph" w:styleId="980" w:customStyle="1">
    <w:name w:val="xl7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1" w:customStyle="1">
    <w:name w:val="纯文本4"/>
    <w:basedOn w:val="709"/>
    <w:uiPriority w:val="0"/>
    <w:qFormat/>
    <w:rPr>
      <w:rFonts w:ascii="宋体" w:hAnsi="Courier New" w:eastAsia="楷体_GB2312" w:cs="Times New Roman"/>
      <w:sz w:val="26"/>
      <w:szCs w:val="20"/>
    </w:rPr>
  </w:style>
  <w:style w:type="paragraph" w:styleId="982" w:customStyle="1">
    <w:name w:val="xl9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3" w:customStyle="1">
    <w:name w:val="xl66"/>
    <w:basedOn w:val="70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4" w:customStyle="1">
    <w:name w:val="xl94"/>
    <w:basedOn w:val="709"/>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5" w:customStyle="1">
    <w:name w:val="Char Char3"/>
    <w:basedOn w:val="709"/>
    <w:uiPriority w:val="0"/>
    <w:qFormat/>
    <w:pPr>
      <w:jc w:val="left"/>
      <w:spacing w:after="160" w:line="240" w:lineRule="exact"/>
      <w:widowControl/>
    </w:pPr>
    <w:rPr>
      <w:rFonts w:ascii="Calibri" w:hAnsi="Calibri" w:eastAsia="宋体" w:cs="Times New Roman"/>
      <w:sz w:val="24"/>
      <w:szCs w:val="24"/>
    </w:rPr>
  </w:style>
  <w:style w:type="paragraph" w:styleId="986" w:customStyle="1">
    <w:name w:val="xl9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7" w:customStyle="1">
    <w:name w:val="xl8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8" w:customStyle="1">
    <w:name w:val="q3"/>
    <w:basedOn w:val="709"/>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89" w:customStyle="1">
    <w:name w:val="xl9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0" w:customStyle="1">
    <w:name w:val="Char Char Char"/>
    <w:basedOn w:val="709"/>
    <w:uiPriority w:val="0"/>
    <w:qFormat/>
    <w:pPr>
      <w:numPr>
        <w:ilvl w:val="0"/>
        <w:numId w:val="2"/>
      </w:numPr>
    </w:pPr>
    <w:rPr>
      <w:rFonts w:ascii="Calibri" w:hAnsi="Calibri" w:eastAsia="宋体" w:cs="Times New Roman"/>
      <w:sz w:val="24"/>
      <w:szCs w:val="24"/>
    </w:rPr>
  </w:style>
  <w:style w:type="paragraph" w:styleId="991" w:customStyle="1">
    <w:name w:val="xl8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2" w:customStyle="1">
    <w:name w:val="修订1"/>
    <w:uiPriority w:val="99"/>
    <w:unhideWhenUsed/>
    <w:qFormat/>
    <w:rPr>
      <w:rFonts w:ascii="Calibri" w:hAnsi="Calibri" w:eastAsia="楷体_GB2312" w:cs="Times New Roman"/>
      <w:sz w:val="26"/>
      <w:lang w:val="en-US" w:eastAsia="zh-CN" w:bidi="ar-SA"/>
    </w:rPr>
  </w:style>
  <w:style w:type="paragraph" w:styleId="993" w:customStyle="1">
    <w:name w:val="xl7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4"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5" w:customStyle="1">
    <w:name w:val="纯文本111"/>
    <w:basedOn w:val="709"/>
    <w:uiPriority w:val="0"/>
    <w:qFormat/>
    <w:rPr>
      <w:rFonts w:ascii="宋体" w:hAnsi="Courier New" w:eastAsia="楷体_GB2312" w:cs="Times New Roman"/>
      <w:sz w:val="26"/>
      <w:szCs w:val="20"/>
    </w:rPr>
  </w:style>
  <w:style w:type="paragraph" w:styleId="996" w:customStyle="1">
    <w:name w:val="xl93"/>
    <w:basedOn w:val="7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7"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98" w:customStyle="1">
    <w:name w:val="xl7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99" w:customStyle="1">
    <w:name w:val="xl8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0" w:customStyle="1">
    <w:name w:val="Char"/>
    <w:basedOn w:val="70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1" w:customStyle="1">
    <w:name w:val="xl67"/>
    <w:basedOn w:val="709"/>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2" w:customStyle="1">
    <w:name w:val="xl8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3" w:customStyle="1">
    <w:name w:val="xl7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4" w:customStyle="1">
    <w:name w:val="xl68"/>
    <w:basedOn w:val="70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5" w:customStyle="1">
    <w:name w:val="正文1"/>
    <w:basedOn w:val="709"/>
    <w:next w:val="709"/>
    <w:uiPriority w:val="0"/>
    <w:qFormat/>
    <w:pPr>
      <w:ind w:left="420" w:firstLine="527"/>
      <w:spacing w:before="120" w:line="360" w:lineRule="auto"/>
    </w:pPr>
    <w:rPr>
      <w:rFonts w:ascii="宋体" w:hAnsi="宋体" w:eastAsia="宋体" w:cs="Times New Roman"/>
      <w:sz w:val="24"/>
      <w:szCs w:val="24"/>
    </w:rPr>
  </w:style>
  <w:style w:type="paragraph" w:styleId="1006" w:customStyle="1">
    <w:name w:val="xl9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7" w:customStyle="1">
    <w:name w:val="xl8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8" w:customStyle="1">
    <w:name w:val="xl7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09" w:customStyle="1">
    <w:name w:val="xl8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0">
    <w:name w:val="List Paragraph"/>
    <w:basedOn w:val="709"/>
    <w:uiPriority w:val="34"/>
    <w:qFormat/>
    <w:pPr>
      <w:ind w:firstLine="420"/>
    </w:pPr>
    <w:rPr>
      <w:rFonts w:ascii="Calibri" w:hAnsi="Calibri" w:eastAsia="楷体_GB2312" w:cs="Times New Roman"/>
      <w:sz w:val="26"/>
      <w:szCs w:val="20"/>
    </w:rPr>
  </w:style>
  <w:style w:type="paragraph" w:styleId="1011" w:customStyle="1">
    <w:name w:val="纯文本5"/>
    <w:basedOn w:val="709"/>
    <w:uiPriority w:val="0"/>
    <w:qFormat/>
    <w:rPr>
      <w:rFonts w:ascii="宋体" w:hAnsi="Courier New" w:eastAsia="楷体_GB2312" w:cs="Times New Roman"/>
      <w:sz w:val="26"/>
      <w:szCs w:val="20"/>
    </w:rPr>
  </w:style>
  <w:style w:type="paragraph" w:styleId="1012" w:customStyle="1">
    <w:name w:val="xl8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3" w:customStyle="1">
    <w:name w:val="xl8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4" w:customStyle="1">
    <w:name w:val="xl7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5" w:customStyle="1">
    <w:name w:val="xl9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6" w:customStyle="1">
    <w:name w:val="xl7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7" w:customStyle="1">
    <w:name w:val="xl8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18" w:customStyle="1">
    <w:name w:val="网格型1"/>
    <w:basedOn w:val="72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9" w:customStyle="1">
    <w:name w:val="Plain Text1"/>
    <w:basedOn w:val="709"/>
    <w:uiPriority w:val="0"/>
    <w:qFormat/>
    <w:rPr>
      <w:rFonts w:ascii="宋体" w:hAnsi="Courier New" w:eastAsia="楷体_GB2312" w:cs="Times New Roman"/>
      <w:sz w:val="26"/>
      <w:szCs w:val="20"/>
    </w:rPr>
  </w:style>
  <w:style w:type="paragraph" w:styleId="1020"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1"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2"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3"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4"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5"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6" w:customStyle="1">
    <w:name w:val="font81"/>
    <w:basedOn w:val="719"/>
    <w:uiPriority w:val="0"/>
    <w:qFormat/>
    <w:rPr>
      <w:rFonts w:hint="eastAsia" w:ascii="宋体" w:hAnsi="宋体" w:eastAsia="宋体" w:cs="宋体"/>
      <w:color w:val="000000"/>
      <w:sz w:val="18"/>
      <w:szCs w:val="18"/>
      <w:u w:val="none"/>
    </w:rPr>
  </w:style>
  <w:style w:type="character" w:styleId="1027" w:customStyle="1">
    <w:name w:val="font91"/>
    <w:basedOn w:val="719"/>
    <w:uiPriority w:val="0"/>
    <w:qFormat/>
    <w:rPr>
      <w:rFonts w:hint="eastAsia" w:ascii="宋体" w:hAnsi="宋体" w:eastAsia="宋体" w:cs="宋体"/>
      <w:b/>
      <w:bCs/>
      <w:color w:val="ff0000"/>
      <w:sz w:val="18"/>
      <w:szCs w:val="18"/>
      <w:u w:val="none"/>
    </w:rPr>
  </w:style>
  <w:style w:type="character" w:styleId="1028" w:customStyle="1">
    <w:name w:val="font21"/>
    <w:basedOn w:val="719"/>
    <w:uiPriority w:val="0"/>
    <w:qFormat/>
    <w:rPr>
      <w:rFonts w:hint="eastAsia" w:ascii="宋体" w:hAnsi="宋体" w:eastAsia="宋体" w:cs="宋体"/>
      <w:b/>
      <w:bCs/>
      <w:color w:val="000000"/>
      <w:sz w:val="22"/>
      <w:szCs w:val="22"/>
      <w:u w:val="none"/>
    </w:rPr>
  </w:style>
  <w:style w:type="character" w:styleId="1029" w:customStyle="1">
    <w:name w:val="font51"/>
    <w:basedOn w:val="719"/>
    <w:uiPriority w:val="0"/>
    <w:qFormat/>
    <w:rPr>
      <w:rFonts w:hint="eastAsia" w:ascii="宋体" w:hAnsi="宋体" w:eastAsia="宋体" w:cs="宋体"/>
      <w:b/>
      <w:bCs/>
      <w:color w:val="ff0000"/>
      <w:sz w:val="22"/>
      <w:szCs w:val="22"/>
      <w:u w:val="none"/>
    </w:rPr>
  </w:style>
  <w:style w:type="character" w:styleId="1030" w:customStyle="1">
    <w:name w:val="font31"/>
    <w:basedOn w:val="719"/>
    <w:uiPriority w:val="0"/>
    <w:qFormat/>
    <w:rPr>
      <w:rFonts w:hint="eastAsia" w:ascii="宋体" w:hAnsi="宋体" w:eastAsia="宋体" w:cs="宋体"/>
      <w:color w:val="000000"/>
      <w:sz w:val="22"/>
      <w:szCs w:val="22"/>
      <w:u w:val="none"/>
    </w:rPr>
  </w:style>
  <w:style w:type="character" w:styleId="1031" w:customStyle="1">
    <w:name w:val="font61"/>
    <w:basedOn w:val="719"/>
    <w:uiPriority w:val="0"/>
    <w:qFormat/>
    <w:rPr>
      <w:rFonts w:hint="eastAsia" w:ascii="宋体" w:hAnsi="宋体" w:eastAsia="宋体" w:cs="宋体"/>
      <w:color w:val="ff0000"/>
      <w:sz w:val="22"/>
      <w:szCs w:val="22"/>
      <w:u w:val="none"/>
    </w:rPr>
  </w:style>
  <w:style w:type="table" w:styleId="1032" w:customStyle="1">
    <w:name w:val="Table Normal"/>
    <w:uiPriority w:val="0"/>
    <w:unhideWhenUsed/>
    <w:qFormat/>
    <w:tblPr>
      <w:tblCellMar>
        <w:left w:w="0" w:type="dxa"/>
        <w:top w:w="0" w:type="dxa"/>
        <w:right w:w="0" w:type="dxa"/>
        <w:bottom w:w="0" w:type="dxa"/>
      </w:tblCellMar>
    </w:tblPr>
  </w:style>
  <w:style w:type="paragraph" w:styleId="1033" w:customStyle="1">
    <w:name w:val="纯文本6"/>
    <w:basedOn w:val="709"/>
    <w:uiPriority w:val="0"/>
    <w:qFormat/>
    <w:rPr>
      <w:rFonts w:ascii="宋体" w:hAnsi="Courier New"/>
    </w:rPr>
  </w:style>
  <w:style w:type="character" w:styleId="1034" w:customStyle="1">
    <w:name w:val="NormalCharacter"/>
    <w:uiPriority w:val="0"/>
    <w:semiHidden/>
    <w:qFormat/>
  </w:style>
  <w:style w:type="paragraph" w:styleId="1035" w:customStyle="1">
    <w:name w:val="正文缩进1"/>
    <w:basedOn w:val="709"/>
    <w:next w:val="709"/>
    <w:uiPriority w:val="0"/>
    <w:qFormat/>
    <w:pPr>
      <w:ind w:firstLine="420"/>
      <w:jc w:val="left"/>
    </w:pPr>
    <w:rPr>
      <w:sz w:val="24"/>
    </w:rPr>
  </w:style>
  <w:style w:type="paragraph" w:styleId="1036"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37"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38" w:customStyle="1">
    <w:name w:val="p_text_indent_2"/>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39" w:customStyle="1">
    <w:name w:val="修订8"/>
    <w:hidden/>
    <w:uiPriority w:val="99"/>
    <w:unhideWhenUsed/>
    <w:qFormat/>
    <w:rPr>
      <w:rFonts w:asciiTheme="minorHAnsi" w:hAnsiTheme="minorHAnsi" w:eastAsiaTheme="minorEastAsia" w:cstheme="minorBidi"/>
      <w:sz w:val="21"/>
      <w:szCs w:val="22"/>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279</cp:revision>
  <dcterms:created xsi:type="dcterms:W3CDTF">2026-07-16T03:06:00Z</dcterms:created>
  <dcterms:modified xsi:type="dcterms:W3CDTF">2026-09-14T02:58:26Z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0A0646F1BEF3409E9C455129CB8677F1_13</vt:lpwstr>
  </property>
  <property fmtid="{D5CDD505-2E9C-101B-9397-08002B2CF9AE}" pid="4" name="KSOTemplateDocerSaveRecord">
    <vt:lpwstr>eyJoZGlkIjoiNDcyOTY2ZDg2ZWQ5ZmU4ZTI4MDIxMTM2NjJiNDA2MzYiLCJ1c2VySWQiOiIzMjk1NDQ3OTEifQ==</vt:lpwstr>
  </property>
</Properties>
</file>