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0"/>
        <w:rPr>
          <w:rFonts w:eastAsia="黑体"/>
          <w:b/>
          <w:bCs/>
          <w:sz w:val="84"/>
        </w:rPr>
      </w:pPr>
      <w:r>
        <w:rPr>
          <w:rFonts w:eastAsia="黑体"/>
          <w:b/>
          <w:bCs/>
          <w:sz w:val="84"/>
        </w:rPr>
      </w:r>
      <w:r/>
    </w:p>
    <w:p>
      <w:pPr>
        <w:pStyle w:val="900"/>
        <w:ind w:firstLine="0"/>
        <w:jc w:val="center"/>
        <w:rPr>
          <w:rFonts w:eastAsia="黑体"/>
          <w:b/>
          <w:bCs/>
          <w:sz w:val="84"/>
        </w:rPr>
      </w:pPr>
      <w:r>
        <w:rPr>
          <w:rFonts w:hint="eastAsia" w:eastAsia="黑体"/>
          <w:b/>
          <w:bCs/>
          <w:sz w:val="84"/>
        </w:rPr>
        <w:t xml:space="preserve">招　标　文　件</w:t>
      </w:r>
      <w:r/>
    </w:p>
    <w:p>
      <w:pPr>
        <w:pStyle w:val="900"/>
        <w:ind w:firstLine="0"/>
        <w:rPr>
          <w:b/>
          <w:bCs/>
          <w:sz w:val="32"/>
        </w:rPr>
      </w:pPr>
      <w:r>
        <w:rPr>
          <w:b/>
          <w:bCs/>
          <w:sz w:val="32"/>
        </w:rPr>
      </w:r>
      <w:r/>
    </w:p>
    <w:p>
      <w:pPr>
        <w:pStyle w:val="900"/>
        <w:ind w:firstLine="0"/>
        <w:jc w:val="center"/>
        <w:rPr>
          <w:b/>
          <w:bCs/>
          <w:sz w:val="32"/>
        </w:rPr>
      </w:pPr>
      <w:r>
        <w:rPr>
          <w:rFonts w:hint="eastAsia"/>
          <w:b/>
          <w:bCs/>
          <w:sz w:val="32"/>
        </w:rPr>
        <w:t xml:space="preserve">项目名称：生态环境执法数智化能力建设项目</w:t>
      </w:r>
      <w:r/>
    </w:p>
    <w:p>
      <w:pPr>
        <w:jc w:val="center"/>
        <w:rPr>
          <w:b/>
          <w:sz w:val="30"/>
          <w:szCs w:val="30"/>
        </w:rPr>
      </w:pPr>
      <w:r>
        <w:rPr>
          <w:rFonts w:hint="eastAsia"/>
          <w:b/>
          <w:bCs/>
          <w:sz w:val="32"/>
        </w:rPr>
        <w:t xml:space="preserve">采购编号：</w:t>
      </w:r>
      <w:r>
        <w:rPr>
          <w:rFonts w:ascii="Arial" w:hAnsi="Arial"/>
          <w:b/>
          <w:bCs/>
          <w:sz w:val="32"/>
          <w:szCs w:val="24"/>
        </w:rPr>
        <w:t xml:space="preserve">JSZC-320000-SCZX-</w:t>
      </w:r>
      <w:r>
        <w:rPr>
          <w:rFonts w:hint="eastAsia" w:ascii="Arial" w:hAnsi="Arial"/>
          <w:b/>
          <w:bCs/>
          <w:sz w:val="32"/>
          <w:szCs w:val="24"/>
        </w:rPr>
        <w:t xml:space="preserve">G2026-0377</w:t>
      </w:r>
      <w:r/>
    </w:p>
    <w:p>
      <w:pPr>
        <w:ind w:left="2811" w:hanging="2811"/>
        <w:jc w:val="center"/>
        <w:rPr>
          <w:b/>
          <w:sz w:val="28"/>
          <w:szCs w:val="28"/>
        </w:rPr>
      </w:pPr>
      <w:r>
        <w:rPr>
          <w:b/>
          <w:sz w:val="28"/>
          <w:szCs w:val="28"/>
        </w:rPr>
      </w:r>
      <w:r/>
    </w:p>
    <w:p>
      <w:pPr>
        <w:pStyle w:val="900"/>
        <w:ind w:firstLine="0"/>
        <w:spacing w:before="0" w:after="0"/>
        <w:rPr>
          <w:rFonts w:hint="eastAsia" w:ascii="宋体" w:hAnsi="宋体"/>
        </w:rPr>
      </w:pPr>
      <w:r>
        <w:rPr>
          <w:rFonts w:hint="eastAsia" w:ascii="宋体" w:hAnsi="宋体"/>
        </w:rPr>
      </w:r>
      <w:r/>
    </w:p>
    <w:p>
      <w:pPr>
        <w:pStyle w:val="900"/>
        <w:ind w:firstLine="0"/>
        <w:spacing w:before="0" w:after="0"/>
        <w:rPr>
          <w:rFonts w:hint="eastAsia" w:ascii="宋体" w:hAnsi="宋体"/>
        </w:rPr>
      </w:pPr>
      <w:r>
        <w:rPr>
          <w:rFonts w:hint="eastAsia" w:ascii="宋体" w:hAnsi="宋体"/>
        </w:rPr>
      </w:r>
      <w:r/>
    </w:p>
    <w:p>
      <w:pPr>
        <w:pStyle w:val="900"/>
        <w:ind w:firstLine="0"/>
        <w:spacing w:before="0" w:after="0"/>
        <w:rPr>
          <w:rFonts w:hint="eastAsia" w:ascii="宋体" w:hAnsi="宋体"/>
        </w:rPr>
      </w:pPr>
      <w:r>
        <w:rPr>
          <w:rFonts w:hint="eastAsia" w:ascii="宋体" w:hAnsi="宋体"/>
        </w:rPr>
      </w:r>
      <w:r/>
    </w:p>
    <w:p>
      <w:pPr>
        <w:pStyle w:val="900"/>
        <w:ind w:firstLine="0"/>
        <w:spacing w:before="0" w:after="0"/>
        <w:rPr>
          <w:rFonts w:hint="eastAsia" w:ascii="宋体" w:hAnsi="宋体"/>
        </w:rPr>
      </w:pPr>
      <w:r>
        <w:rPr>
          <w:rFonts w:hint="eastAsia" w:ascii="宋体" w:hAnsi="宋体"/>
        </w:rPr>
      </w:r>
      <w:r/>
    </w:p>
    <w:p>
      <w:pPr>
        <w:pStyle w:val="900"/>
        <w:ind w:firstLine="0"/>
        <w:spacing w:before="0" w:after="0"/>
        <w:rPr>
          <w:rFonts w:hint="eastAsia" w:ascii="宋体" w:hAnsi="宋体"/>
        </w:rPr>
      </w:pPr>
      <w:r>
        <w:rPr>
          <w:rFonts w:hint="eastAsia" w:ascii="宋体" w:hAnsi="宋体"/>
        </w:rPr>
      </w:r>
      <w:r/>
    </w:p>
    <w:p>
      <w:pPr>
        <w:pStyle w:val="900"/>
        <w:ind w:firstLine="0"/>
        <w:spacing w:before="0" w:after="0"/>
        <w:rPr>
          <w:rFonts w:hint="eastAsia" w:ascii="宋体" w:hAnsi="宋体"/>
        </w:rPr>
      </w:pPr>
      <w:r>
        <w:rPr>
          <w:rFonts w:hint="eastAsia" w:ascii="宋体" w:hAnsi="宋体"/>
        </w:rPr>
      </w:r>
      <w:r/>
    </w:p>
    <w:p>
      <w:pPr>
        <w:pStyle w:val="900"/>
        <w:ind w:firstLine="0"/>
        <w:spacing w:before="0" w:after="0"/>
        <w:rPr>
          <w:rFonts w:hint="eastAsia" w:ascii="宋体" w:hAnsi="宋体"/>
        </w:rPr>
      </w:pPr>
      <w:r>
        <w:rPr>
          <w:rFonts w:hint="eastAsia" w:ascii="宋体" w:hAnsi="宋体"/>
        </w:rPr>
      </w:r>
      <w:r/>
    </w:p>
    <w:p>
      <w:pPr>
        <w:pStyle w:val="900"/>
        <w:ind w:firstLine="0"/>
        <w:jc w:val="center"/>
        <w:rPr>
          <w:b/>
          <w:bCs/>
          <w:sz w:val="32"/>
        </w:rPr>
      </w:pPr>
      <w:r>
        <w:rPr>
          <w:rFonts w:hint="eastAsia"/>
          <w:b/>
          <w:bCs/>
          <w:sz w:val="32"/>
        </w:rPr>
        <w:t xml:space="preserve">江苏省政府采购中心</w:t>
      </w:r>
      <w:r/>
    </w:p>
    <w:p>
      <w:pPr>
        <w:pStyle w:val="900"/>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8</w:t>
      </w:r>
      <w:r>
        <w:rPr>
          <w:rFonts w:hint="eastAsia"/>
          <w:b/>
          <w:bCs/>
          <w:sz w:val="32"/>
        </w:rPr>
        <w:t xml:space="preserve">月</w:t>
      </w:r>
      <w:r/>
    </w:p>
    <w:p>
      <w:pPr>
        <w:pStyle w:val="900"/>
        <w:ind w:firstLine="0"/>
        <w:rPr>
          <w:u w:val="single"/>
        </w:rPr>
      </w:pPr>
      <w:r>
        <w:rPr>
          <w:rFonts w:hint="eastAsia"/>
        </w:rPr>
        <w:t xml:space="preserve">                        </w:t>
      </w:r>
      <w:r/>
    </w:p>
    <w:p>
      <w:pPr>
        <w:pStyle w:val="900"/>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rPr>
        <w:t xml:space="preserve"> </w:t>
      </w:r>
      <w:bookmarkStart w:id="6" w:name="_Toc237360855"/>
      <w:r>
        <w:rPr>
          <w:rFonts w:hint="eastAsia" w:ascii="黑体" w:hAnsi="Arial" w:eastAsia="黑体"/>
          <w:b/>
          <w:sz w:val="44"/>
        </w:rPr>
        <w:t xml:space="preserve">总  目  录</w:t>
      </w:r>
      <w:bookmarkEnd w:id="6"/>
      <w:r/>
      <w:r/>
    </w:p>
    <w:p>
      <w:pPr>
        <w:pStyle w:val="795"/>
        <w:tabs>
          <w:tab w:val="right" w:pos="8943" w:leader="dot"/>
        </w:tabs>
        <w:rPr>
          <w:rFonts w:hint="eastAsia" w:ascii="等线" w:hAnsi="等线" w:eastAsia="等线" w:cs="Times New Roman"/>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_Toc237360855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95"/>
        <w:tabs>
          <w:tab w:val="right" w:pos="8943" w:leader="dot"/>
        </w:tabs>
        <w:rPr>
          <w:rFonts w:hint="eastAsia" w:ascii="等线" w:hAnsi="等线" w:eastAsia="等线" w:cs="Times New Roman"/>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_Toc237360856 \h</w:instrText>
      </w:r>
      <w:r>
        <w:rPr>
          <w:rFonts w:hint="eastAsia"/>
        </w:rPr>
        <w:instrText xml:space="preserve"> </w:instrText>
      </w:r>
      <w:r>
        <w:rPr>
          <w:rFonts w:hint="eastAsia"/>
        </w:rPr>
        <w:fldChar w:fldCharType="separate"/>
      </w:r>
      <w:r>
        <w:t xml:space="preserve">3</w:t>
      </w:r>
      <w:r>
        <w:rPr>
          <w:rFonts w:hint="eastAsia"/>
        </w:rPr>
        <w:fldChar w:fldCharType="end"/>
      </w:r>
      <w:r/>
    </w:p>
    <w:p>
      <w:pPr>
        <w:pStyle w:val="795"/>
        <w:tabs>
          <w:tab w:val="right" w:pos="8943" w:leader="dot"/>
        </w:tabs>
        <w:rPr>
          <w:rFonts w:hint="eastAsia" w:ascii="等线" w:hAnsi="等线" w:eastAsia="等线" w:cs="Times New Roman"/>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_Toc237360857 \h</w:instrText>
      </w:r>
      <w:r>
        <w:rPr>
          <w:rFonts w:hint="eastAsia"/>
        </w:rPr>
        <w:instrText xml:space="preserve"> </w:instrText>
      </w:r>
      <w:r>
        <w:rPr>
          <w:rFonts w:hint="eastAsia"/>
        </w:rPr>
        <w:fldChar w:fldCharType="separate"/>
      </w:r>
      <w:r>
        <w:t xml:space="preserve">6</w:t>
      </w:r>
      <w:r>
        <w:rPr>
          <w:rFonts w:hint="eastAsia"/>
        </w:rPr>
        <w:fldChar w:fldCharType="end"/>
      </w:r>
      <w:r/>
    </w:p>
    <w:p>
      <w:pPr>
        <w:pStyle w:val="795"/>
        <w:tabs>
          <w:tab w:val="right" w:pos="8943" w:leader="dot"/>
        </w:tabs>
        <w:rPr>
          <w:rFonts w:hint="eastAsia" w:ascii="等线" w:hAnsi="等线" w:eastAsia="等线" w:cs="Times New Roman"/>
          <w:sz w:val="22"/>
          <w:szCs w:val="24"/>
        </w:rPr>
      </w:pPr>
      <w:r>
        <w:rPr>
          <w:rFonts w:hint="eastAsia" w:ascii="黑体" w:eastAsia="黑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_Toc237360858 \h</w:instrText>
      </w:r>
      <w:r>
        <w:rPr>
          <w:rFonts w:hint="eastAsia"/>
        </w:rPr>
        <w:instrText xml:space="preserve"> </w:instrText>
      </w:r>
      <w:r>
        <w:rPr>
          <w:rFonts w:hint="eastAsia"/>
        </w:rPr>
        <w:fldChar w:fldCharType="separate"/>
      </w:r>
      <w:r>
        <w:t xml:space="preserve">15</w:t>
      </w:r>
      <w:r>
        <w:rPr>
          <w:rFonts w:hint="eastAsia"/>
        </w:rPr>
        <w:fldChar w:fldCharType="end"/>
      </w:r>
      <w:r/>
    </w:p>
    <w:p>
      <w:pPr>
        <w:pStyle w:val="795"/>
        <w:tabs>
          <w:tab w:val="right" w:pos="8943" w:leader="dot"/>
        </w:tabs>
        <w:rPr>
          <w:rFonts w:hint="eastAsia" w:ascii="等线" w:hAnsi="等线" w:eastAsia="等线" w:cs="Times New Roman"/>
          <w:sz w:val="22"/>
          <w:szCs w:val="24"/>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_Toc237360859 \h</w:instrText>
      </w:r>
      <w:r>
        <w:rPr>
          <w:rFonts w:hint="eastAsia"/>
        </w:rPr>
        <w:instrText xml:space="preserve"> </w:instrText>
      </w:r>
      <w:r>
        <w:rPr>
          <w:rFonts w:hint="eastAsia"/>
        </w:rPr>
        <w:fldChar w:fldCharType="separate"/>
      </w:r>
      <w:r>
        <w:t xml:space="preserve">15</w:t>
      </w:r>
      <w:r>
        <w:rPr>
          <w:rFonts w:hint="eastAsia"/>
        </w:rPr>
        <w:fldChar w:fldCharType="end"/>
      </w:r>
      <w:r/>
    </w:p>
    <w:p>
      <w:pPr>
        <w:pStyle w:val="795"/>
        <w:tabs>
          <w:tab w:val="right" w:pos="8943" w:leader="dot"/>
        </w:tabs>
        <w:rPr>
          <w:rFonts w:hint="eastAsia" w:ascii="等线" w:hAnsi="等线" w:eastAsia="等线" w:cs="Times New Roman"/>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_Toc237360860 \h</w:instrText>
      </w:r>
      <w:r>
        <w:rPr>
          <w:rFonts w:hint="eastAsia"/>
        </w:rPr>
        <w:instrText xml:space="preserve"> </w:instrText>
      </w:r>
      <w:r>
        <w:rPr>
          <w:rFonts w:hint="eastAsia"/>
        </w:rPr>
        <w:fldChar w:fldCharType="separate"/>
      </w:r>
      <w:r>
        <w:t xml:space="preserve">18</w:t>
      </w:r>
      <w:r>
        <w:rPr>
          <w:rFonts w:hint="eastAsia"/>
        </w:rPr>
        <w:fldChar w:fldCharType="end"/>
      </w:r>
      <w:r/>
    </w:p>
    <w:p>
      <w:pPr>
        <w:pStyle w:val="795"/>
        <w:tabs>
          <w:tab w:val="right" w:pos="8943" w:leader="dot"/>
        </w:tabs>
        <w:rPr>
          <w:rFonts w:hint="eastAsia" w:ascii="等线" w:hAnsi="等线" w:eastAsia="等线" w:cs="Times New Roman"/>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_Toc237360861 \h</w:instrText>
      </w:r>
      <w:r>
        <w:rPr>
          <w:rFonts w:hint="eastAsia"/>
        </w:rPr>
        <w:instrText xml:space="preserve"> </w:instrText>
      </w:r>
      <w:r>
        <w:rPr>
          <w:rFonts w:hint="eastAsia"/>
        </w:rPr>
        <w:fldChar w:fldCharType="separate"/>
      </w:r>
      <w:r>
        <w:t xml:space="preserve">38</w:t>
      </w:r>
      <w:r>
        <w:rPr>
          <w:rFonts w:hint="eastAsia"/>
        </w:rPr>
        <w:fldChar w:fldCharType="end"/>
      </w:r>
      <w:r/>
    </w:p>
    <w:p>
      <w:pPr>
        <w:pStyle w:val="795"/>
        <w:tabs>
          <w:tab w:val="right" w:pos="8943" w:leader="dot"/>
        </w:tabs>
        <w:rPr>
          <w:rFonts w:hint="eastAsia" w:ascii="等线" w:hAnsi="等线" w:eastAsia="等线" w:cs="Times New Roman"/>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_Toc237360862 \h</w:instrText>
      </w:r>
      <w:r>
        <w:rPr>
          <w:rFonts w:hint="eastAsia"/>
        </w:rPr>
        <w:instrText xml:space="preserve"> </w:instrText>
      </w:r>
      <w:r>
        <w:rPr>
          <w:rFonts w:hint="eastAsia"/>
        </w:rPr>
        <w:fldChar w:fldCharType="separate"/>
      </w:r>
      <w:r>
        <w:t xml:space="preserve">43</w:t>
      </w:r>
      <w:r>
        <w:rPr>
          <w:rFonts w:hint="eastAsia"/>
        </w:rP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719"/>
        <w:rPr>
          <w:rFonts w:ascii="黑体" w:eastAsia="黑体"/>
          <w:bCs/>
          <w:sz w:val="44"/>
          <w:szCs w:val="44"/>
        </w:rPr>
      </w:pPr>
      <w:r/>
      <w:bookmarkStart w:id="7" w:name="_Toc23736085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受江苏省生态环境监控中心的委托，江苏省政府采购中心就生态环境执法数智化能力建设项目(JSZC-320000-SCZX-G2026</w:t>
      </w:r>
      <w:r>
        <w:rPr>
          <w:rFonts w:hint="eastAsia" w:ascii="宋体" w:hAnsi="宋体"/>
          <w:sz w:val="24"/>
          <w:szCs w:val="24"/>
        </w:rPr>
        <w:t xml:space="preserve">-0377)</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生态环境执法数智化能力建设项目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年9月8日09点30分（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21"/>
        <w:ind w:firstLine="498"/>
        <w:spacing w:before="145" w:after="145" w:line="400" w:lineRule="exact"/>
      </w:pPr>
      <w:r/>
      <w:bookmarkStart w:id="8" w:name="_Toc35393790"/>
      <w:r/>
      <w:bookmarkStart w:id="9" w:name="_Toc28359079"/>
      <w:r/>
      <w:bookmarkStart w:id="10" w:name="_Toc38985263"/>
      <w:r/>
      <w:bookmarkStart w:id="11" w:name="_Toc35393621"/>
      <w:r/>
      <w:bookmarkStart w:id="12" w:name="_Toc28359002"/>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1.采购编号：JSZC-320000-SCZX-G2026-0377</w:t>
      </w:r>
      <w:r/>
    </w:p>
    <w:p>
      <w:pPr>
        <w:ind w:firstLine="480"/>
        <w:spacing w:line="400" w:lineRule="exact"/>
        <w:rPr>
          <w:rFonts w:hint="eastAsia" w:ascii="宋体" w:hAnsi="宋体"/>
          <w:sz w:val="24"/>
          <w:szCs w:val="24"/>
        </w:rPr>
      </w:pPr>
      <w:r>
        <w:rPr>
          <w:rFonts w:hint="eastAsia" w:ascii="宋体" w:hAnsi="宋体"/>
          <w:sz w:val="24"/>
          <w:szCs w:val="24"/>
        </w:rPr>
        <w:t xml:space="preserve">2.项目名称：生态环境执法数智化能力建设项目</w:t>
      </w:r>
      <w:bookmarkEnd w:id="13"/>
      <w:r/>
      <w:r/>
    </w:p>
    <w:p>
      <w:pPr>
        <w:ind w:firstLine="480"/>
        <w:spacing w:line="400" w:lineRule="exact"/>
        <w:rPr>
          <w:rFonts w:hint="eastAsia" w:ascii="宋体" w:hAnsi="宋体" w:cs="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分包号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cs="宋体"/>
                <w:lang w:bidi="ar"/>
              </w:rPr>
              <w:t xml:space="preserve">预算金额（人民币）</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rPr>
            </w:pPr>
            <w:r>
              <w:rPr>
                <w:rFonts w:ascii="宋体" w:hAnsi="宋体" w:cs="宋体"/>
                <w:lang w:bidi="ar"/>
              </w:rPr>
              <w:t xml:space="preserve">350</w:t>
            </w:r>
            <w:r>
              <w:rPr>
                <w:rFonts w:hint="eastAsia" w:ascii="宋体" w:hAnsi="宋体" w:cs="宋体"/>
                <w:lang w:bidi="ar"/>
              </w:rPr>
              <w:t xml:space="preserve">万元</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分包号</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cs="宋体"/>
                <w:lang w:bidi="ar"/>
              </w:rPr>
              <w:t xml:space="preserve">最高限价（人民币）</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rPr>
            </w:pPr>
            <w:r>
              <w:rPr>
                <w:rFonts w:ascii="宋体" w:hAnsi="宋体" w:cs="宋体"/>
                <w:lang w:bidi="ar"/>
              </w:rPr>
              <w:t xml:space="preserve">350</w:t>
            </w:r>
            <w:r>
              <w:rPr>
                <w:rFonts w:hint="eastAsia" w:ascii="宋体" w:hAnsi="宋体" w:cs="宋体"/>
                <w:lang w:bidi="ar"/>
              </w:rPr>
              <w:t xml:space="preserve">万元</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聚焦生态环境执法全环节工作要求，打造系列智能化执法业务应用场景，实现监督帮扶、执法办案全域全流程的智能化升级、规范化运行与标准化落地，全面提升执法效能，拟开展生态环境执法数智化能力建设项目，夯实数智执法数据基础与非现场执法研判能力建设。主要包括：开展数智执法语料素材基础建设，同步推进数</w:t>
      </w:r>
      <w:r>
        <w:rPr>
          <w:rFonts w:hint="eastAsia" w:ascii="宋体" w:hAnsi="宋体"/>
          <w:sz w:val="24"/>
          <w:szCs w:val="24"/>
        </w:rPr>
        <w:t xml:space="preserve">智执法AI业务支持基础建设，构建全省共建共享的数智执法AI底层支撑体系，夯实数智执法数据技术基础；持续优化专业化AI助手应用，覆盖线索识别、现场核查辅助、案件处置全环节，依托AI赋能非现场监管、现场执法、处罚办案各业务场景，实现执法业务智能化辅助作业，提升数智执法非现场研判能力；完善线索智能研判派发能力，对执法线索库、执法任务库、案件中心实施数字化智能化升级改造，打通线索接收、研判分流、任务派发、案件办理、卷宗管理全业务链路，实现线索自动甄别、任务智能派单、案件动态智能审查，形成闭环式数智执法业务运行中枢。</w:t>
      </w:r>
      <w:r>
        <w:rPr>
          <w:rFonts w:hint="eastAsia" w:ascii="宋体" w:hAnsi="宋体" w:cs="宋体"/>
          <w:sz w:val="24"/>
          <w:szCs w:val="24"/>
          <w:lang w:bidi="ar"/>
        </w:rPr>
        <w:t xml:space="preserve">（详细内容见本招标文件第四章） </w:t>
      </w:r>
      <w:r/>
    </w:p>
    <w:p>
      <w:pPr>
        <w:ind w:firstLine="420"/>
        <w:spacing w:line="440" w:lineRule="exact"/>
        <w:rPr>
          <w:rFonts w:hint="eastAsia" w:ascii="宋体" w:hAnsi="宋体" w:cs="宋体"/>
          <w:sz w:val="24"/>
          <w:szCs w:val="24"/>
        </w:rPr>
      </w:pPr>
      <w:r>
        <w:rPr>
          <w:rFonts w:hint="eastAsia" w:ascii="宋体" w:hAnsi="宋体"/>
          <w:sz w:val="24"/>
          <w:szCs w:val="24"/>
        </w:rPr>
        <w:t xml:space="preserve">6.合同履行期限：合同签订后5个月内完成实施并部署上线，达到预期目标和功能，进入1个月试运行期（试运行开始时间以上线确认书为准）。</w:t>
      </w:r>
      <w:r/>
    </w:p>
    <w:p>
      <w:pPr>
        <w:pStyle w:val="721"/>
        <w:ind w:firstLine="498"/>
        <w:spacing w:before="145" w:after="145" w:line="400" w:lineRule="exact"/>
      </w:pPr>
      <w:r/>
      <w:bookmarkStart w:id="14" w:name="_Toc38985264"/>
      <w:r/>
      <w:bookmarkStart w:id="15" w:name="_Toc28359003"/>
      <w:r/>
      <w:bookmarkStart w:id="16" w:name="_Toc35393791"/>
      <w:r/>
      <w:bookmarkStart w:id="17" w:name="_Toc35393622"/>
      <w:r/>
      <w:bookmarkStart w:id="18" w:name="_Toc28359080"/>
      <w:r>
        <w:rPr>
          <w:rFonts w:hint="eastAsia"/>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sz w:val="24"/>
          <w:szCs w:val="24"/>
        </w:rPr>
      </w:pPr>
      <w:r/>
      <w:bookmarkStart w:id="19" w:name="_Toc28359004"/>
      <w:r/>
      <w:bookmarkStart w:id="20" w:name="_Toc35393792"/>
      <w:r/>
      <w:bookmarkStart w:id="21" w:name="_Toc35393623"/>
      <w:r/>
      <w:bookmarkStart w:id="22" w:name="_Toc28359081"/>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w:t>
      </w:r>
      <w:r>
        <w:rPr>
          <w:rFonts w:ascii="宋体" w:hAnsi="宋体"/>
          <w:sz w:val="24"/>
          <w:szCs w:val="24"/>
        </w:rPr>
        <w:t xml:space="preserve">是否接受联合体投标（否）</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 ：无</w:t>
      </w:r>
      <w:r/>
    </w:p>
    <w:p>
      <w:pPr>
        <w:pStyle w:val="721"/>
        <w:ind w:firstLine="498"/>
        <w:spacing w:before="145" w:after="145" w:line="400" w:lineRule="exact"/>
      </w:pPr>
      <w:r>
        <w:rPr>
          <w:rFonts w:hint="eastAsia"/>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21"/>
        <w:ind w:firstLine="498"/>
        <w:spacing w:before="145" w:after="145" w:line="400" w:lineRule="exact"/>
      </w:pPr>
      <w:r/>
      <w:bookmarkStart w:id="24" w:name="_Toc28359005"/>
      <w:r/>
      <w:bookmarkStart w:id="25" w:name="_Toc28359082"/>
      <w:r/>
      <w:bookmarkStart w:id="26" w:name="_Toc35393624"/>
      <w:r/>
      <w:bookmarkStart w:id="27" w:name="_Toc35393793"/>
      <w:r/>
      <w:bookmarkStart w:id="28" w:name="_Toc38985266"/>
      <w:r/>
      <w:bookmarkEnd w:id="19"/>
      <w:r/>
      <w:bookmarkEnd w:id="20"/>
      <w:r/>
      <w:bookmarkEnd w:id="21"/>
      <w:r/>
      <w:bookmarkEnd w:id="22"/>
      <w:r/>
      <w:bookmarkEnd w:id="2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2026年9月8日09点30分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9" w:name="_Toc35393794"/>
      <w:r/>
      <w:bookmarkStart w:id="30" w:name="_Toc35393625"/>
      <w:r/>
      <w:bookmarkStart w:id="31" w:name="_Toc28359007"/>
      <w:r/>
      <w:bookmarkStart w:id="32" w:name="_Toc38985267"/>
      <w:r/>
      <w:bookmarkStart w:id="33" w:name="_Toc28359084"/>
      <w:r>
        <w:rPr>
          <w:rFonts w:hint="eastAsia"/>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21"/>
        <w:ind w:firstLine="498"/>
        <w:spacing w:before="145" w:after="145" w:line="400" w:lineRule="exact"/>
      </w:pPr>
      <w:r/>
      <w:bookmarkStart w:id="34" w:name="_Toc35393795"/>
      <w:r/>
      <w:bookmarkStart w:id="35" w:name="_Toc35393626"/>
      <w:r/>
      <w:bookmarkStart w:id="36" w:name="_Toc38985268"/>
      <w:r>
        <w:rPr>
          <w:rFonts w:hint="eastAsia"/>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21"/>
        <w:ind w:firstLine="498"/>
        <w:spacing w:before="145" w:after="145" w:line="400" w:lineRule="exact"/>
      </w:pPr>
      <w:r/>
      <w:bookmarkStart w:id="37" w:name="_Toc28359008"/>
      <w:r/>
      <w:bookmarkStart w:id="38" w:name="_Toc35393627"/>
      <w:r/>
      <w:bookmarkStart w:id="39" w:name="_Toc28359085"/>
      <w:r/>
      <w:bookmarkStart w:id="40" w:name="_Toc38985269"/>
      <w:r/>
      <w:bookmarkStart w:id="41" w:name="_Toc35393796"/>
      <w:r>
        <w:rPr>
          <w:rFonts w:hint="eastAsia"/>
        </w:rPr>
        <w:t xml:space="preserve">七、本次招标联系方式</w:t>
      </w:r>
      <w:bookmarkEnd w:id="37"/>
      <w:r/>
      <w:bookmarkEnd w:id="38"/>
      <w:r/>
      <w:bookmarkEnd w:id="39"/>
      <w:r/>
      <w:bookmarkEnd w:id="40"/>
      <w:r/>
      <w:bookmarkEnd w:id="41"/>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left="210" w:firstLine="480"/>
        <w:spacing w:line="400" w:lineRule="exact"/>
        <w:rPr>
          <w:rFonts w:hint="eastAsia" w:ascii="宋体" w:hAnsi="宋体" w:cs="宋体"/>
          <w:bCs/>
          <w:sz w:val="24"/>
          <w:szCs w:val="24"/>
          <w:u w:val="single"/>
        </w:rPr>
      </w:pPr>
      <w:r/>
      <w:bookmarkStart w:id="42" w:name="_Toc28359086"/>
      <w:r/>
      <w:bookmarkStart w:id="43" w:name="_Toc28359009"/>
      <w:r>
        <w:rPr>
          <w:rFonts w:hint="eastAsia" w:ascii="宋体" w:hAnsi="宋体" w:cs="宋体"/>
          <w:bCs/>
          <w:sz w:val="24"/>
          <w:szCs w:val="24"/>
          <w:u w:val="single"/>
          <w:lang w:bidi="ar"/>
        </w:rPr>
        <w:t xml:space="preserve">名 称：江苏省生态环境监控中心</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w:t>
      </w:r>
      <w:r>
        <w:rPr>
          <w:rFonts w:ascii="宋体" w:hAnsi="宋体" w:cs="宋体"/>
          <w:bCs/>
          <w:sz w:val="24"/>
          <w:szCs w:val="24"/>
          <w:u w:val="single"/>
          <w:lang w:bidi="ar"/>
        </w:rPr>
        <w:t xml:space="preserve">南京市鼓楼区江东北路176号（省生态环境厅环科楼5楼）</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联系人：杨清</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w:t>
      </w:r>
      <w:r>
        <w:rPr>
          <w:rFonts w:ascii="宋体" w:hAnsi="宋体" w:cs="宋体"/>
          <w:bCs/>
          <w:sz w:val="24"/>
          <w:szCs w:val="24"/>
          <w:u w:val="single"/>
          <w:lang w:bidi="ar"/>
        </w:rPr>
        <w:t xml:space="preserve">025-58527064</w:t>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Start w:id="44" w:name="_Toc28359010"/>
      <w:r/>
      <w:bookmarkStart w:id="45" w:name="_Toc28359087"/>
      <w:r/>
      <w:bookmarkEnd w:id="42"/>
      <w:r/>
      <w:bookmarkEnd w:id="43"/>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4"/>
      <w:r/>
      <w:bookmarkEnd w:id="45"/>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721"/>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ind w:right="840"/>
        <w:rPr>
          <w:rFonts w:hint="eastAsia" w:ascii="宋体" w:hAnsi="宋体"/>
          <w:sz w:val="24"/>
          <w:szCs w:val="24"/>
        </w:rPr>
      </w:pPr>
      <w:r>
        <w:rPr>
          <w:rFonts w:ascii="宋体" w:hAnsi="宋体"/>
          <w:sz w:val="24"/>
          <w:szCs w:val="24"/>
        </w:rPr>
        <w:br w:type="page" w:clear="all"/>
      </w:r>
      <w:r/>
    </w:p>
    <w:p>
      <w:pPr>
        <w:pStyle w:val="719"/>
        <w:rPr>
          <w:rFonts w:ascii="黑体" w:eastAsia="黑体"/>
          <w:sz w:val="44"/>
          <w:szCs w:val="44"/>
        </w:rPr>
      </w:pPr>
      <w:r/>
      <w:bookmarkStart w:id="46" w:name="_Toc120614211"/>
      <w:r/>
      <w:bookmarkStart w:id="47" w:name="_Toc237360857"/>
      <w:r>
        <w:rPr>
          <w:rFonts w:hint="eastAsia" w:ascii="黑体" w:eastAsia="黑体"/>
          <w:sz w:val="44"/>
          <w:szCs w:val="44"/>
        </w:rPr>
        <w:t xml:space="preserve">第二章  </w:t>
      </w:r>
      <w:bookmarkStart w:id="48" w:name="_Toc120614213"/>
      <w:r/>
      <w:bookmarkStart w:id="49" w:name="_Toc513029202"/>
      <w:r/>
      <w:bookmarkStart w:id="50" w:name="_Toc20823274"/>
      <w:r/>
      <w:bookmarkStart w:id="51" w:name="_Toc16938518"/>
      <w:r/>
      <w:bookmarkEnd w:id="1"/>
      <w:r/>
      <w:bookmarkEnd w:id="2"/>
      <w:r/>
      <w:bookmarkEnd w:id="3"/>
      <w:r/>
      <w:bookmarkEnd w:id="4"/>
      <w:r/>
      <w:bookmarkEnd w:id="5"/>
      <w:r/>
      <w:bookmarkEnd w:id="46"/>
      <w:r>
        <w:rPr>
          <w:rFonts w:hint="eastAsia" w:ascii="黑体" w:eastAsia="黑体"/>
          <w:sz w:val="44"/>
          <w:szCs w:val="44"/>
        </w:rPr>
        <w:t xml:space="preserve">投标人须知</w:t>
      </w:r>
      <w:bookmarkEnd w:id="47"/>
      <w:r/>
      <w:bookmarkEnd w:id="48"/>
      <w:r/>
      <w:bookmarkEnd w:id="49"/>
      <w:r/>
      <w:bookmarkEnd w:id="50"/>
      <w:r/>
      <w:bookmarkEnd w:id="51"/>
      <w:r/>
      <w:r/>
    </w:p>
    <w:p>
      <w:pPr>
        <w:pStyle w:val="721"/>
        <w:ind w:firstLine="498"/>
        <w:spacing w:before="145" w:after="145" w:line="400" w:lineRule="exact"/>
      </w:pPr>
      <w:r/>
      <w:bookmarkStart w:id="52" w:name="_Toc16938519"/>
      <w:r/>
      <w:bookmarkStart w:id="53" w:name="_Toc513029203"/>
      <w:r/>
      <w:bookmarkStart w:id="54" w:name="_Toc120614214"/>
      <w:r/>
      <w:bookmarkStart w:id="55" w:name="_Toc20823275"/>
      <w:r/>
      <w:bookmarkStart w:id="56" w:name="OLE_LINK4"/>
      <w:r/>
      <w:bookmarkStart w:id="57" w:name="OLE_LINK5"/>
      <w:r/>
      <w:bookmarkStart w:id="58" w:name="OLE_LINK6"/>
      <w:r>
        <w:rPr>
          <w:rFonts w:hint="eastAsia"/>
        </w:rPr>
        <w:t xml:space="preserve">一、总则</w:t>
      </w:r>
      <w:bookmarkEnd w:id="52"/>
      <w:r/>
      <w:bookmarkEnd w:id="53"/>
      <w:r/>
      <w:bookmarkEnd w:id="54"/>
      <w:r/>
      <w:bookmarkEnd w:id="55"/>
      <w:r/>
      <w:r/>
    </w:p>
    <w:p>
      <w:pPr>
        <w:pStyle w:val="722"/>
        <w:ind w:firstLine="420"/>
        <w:spacing w:before="0" w:after="0" w:line="400" w:lineRule="exact"/>
        <w:rPr>
          <w:b w:val="0"/>
          <w:bCs w:val="0"/>
        </w:rPr>
      </w:pPr>
      <w:r/>
      <w:bookmarkStart w:id="59" w:name="_Hlt16619475"/>
      <w:r/>
      <w:bookmarkStart w:id="60" w:name="_Toc458694821"/>
      <w:r/>
      <w:bookmarkStart w:id="61" w:name="_Toc20823276"/>
      <w:r/>
      <w:bookmarkStart w:id="62" w:name="_Toc513029204"/>
      <w:r/>
      <w:bookmarkStart w:id="63" w:name="_Toc16938520"/>
      <w:r/>
      <w:bookmarkEnd w:id="59"/>
      <w:r>
        <w:rPr>
          <w:rFonts w:hint="eastAsia"/>
          <w:b w:val="0"/>
          <w:bCs w:val="0"/>
        </w:rPr>
        <w:t xml:space="preserve">1</w:t>
      </w:r>
      <w:bookmarkEnd w:id="60"/>
      <w:r>
        <w:rPr>
          <w:rFonts w:hint="eastAsia"/>
          <w:b w:val="0"/>
          <w:bCs w:val="0"/>
        </w:rPr>
        <w:t xml:space="preserve">、招标方式</w:t>
      </w:r>
      <w:bookmarkEnd w:id="61"/>
      <w:r/>
      <w:bookmarkEnd w:id="62"/>
      <w:r/>
      <w:bookmarkEnd w:id="6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22"/>
        <w:ind w:firstLine="420"/>
        <w:spacing w:before="0" w:after="0" w:line="400" w:lineRule="exact"/>
        <w:rPr>
          <w:b w:val="0"/>
          <w:bCs w:val="0"/>
        </w:rPr>
      </w:pPr>
      <w:r/>
      <w:bookmarkStart w:id="64" w:name="_Toc16938521"/>
      <w:r/>
      <w:bookmarkStart w:id="65" w:name="_Toc20823277"/>
      <w:r/>
      <w:bookmarkStart w:id="66" w:name="_Toc513029205"/>
      <w:r>
        <w:rPr>
          <w:rFonts w:hint="eastAsia"/>
          <w:b w:val="0"/>
          <w:bCs w:val="0"/>
        </w:rPr>
        <w:t xml:space="preserve">2</w:t>
      </w:r>
      <w:r>
        <w:rPr>
          <w:rFonts w:hint="eastAsia"/>
          <w:b w:val="0"/>
          <w:bCs w:val="0"/>
        </w:rPr>
        <w:t xml:space="preserve">、合格的投标人</w:t>
      </w:r>
      <w:bookmarkEnd w:id="64"/>
      <w:r/>
      <w:bookmarkEnd w:id="65"/>
      <w:r/>
      <w:bookmarkEnd w:id="6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22"/>
        <w:ind w:firstLine="422"/>
        <w:spacing w:before="0" w:after="0" w:line="400" w:lineRule="exact"/>
      </w:pPr>
      <w:r/>
      <w:bookmarkStart w:id="67" w:name="_Toc513029206"/>
      <w:r/>
      <w:bookmarkStart w:id="68" w:name="_Toc16938522"/>
      <w:r/>
      <w:bookmarkStart w:id="69" w:name="_Toc20823278"/>
      <w:r>
        <w:rPr>
          <w:rFonts w:hint="eastAsia"/>
        </w:rPr>
        <w:t xml:space="preserve">3</w:t>
      </w:r>
      <w:r>
        <w:rPr>
          <w:rFonts w:hint="eastAsia"/>
        </w:rPr>
        <w:t xml:space="preserve">、适用法律</w:t>
      </w:r>
      <w:bookmarkEnd w:id="67"/>
      <w:r/>
      <w:bookmarkEnd w:id="68"/>
      <w:r/>
      <w:bookmarkEnd w:id="69"/>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0" w:name="_Toc462564067"/>
      <w:r/>
      <w:bookmarkStart w:id="71" w:name="_Toc20823279"/>
      <w:r/>
      <w:bookmarkStart w:id="72" w:name="_Toc513029207"/>
      <w:r/>
      <w:bookmarkStart w:id="73" w:name="_Toc16938523"/>
      <w:r>
        <w:rPr>
          <w:rFonts w:hint="eastAsia" w:ascii="宋体" w:hAnsi="宋体"/>
          <w:sz w:val="24"/>
        </w:rPr>
        <w:t xml:space="preserve">3.2 在本项目政府采购活动过程中，如果所执行的标准有更新的，按照最新标准执行。</w:t>
      </w:r>
      <w:r/>
    </w:p>
    <w:p>
      <w:pPr>
        <w:pStyle w:val="722"/>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70"/>
      <w:r/>
      <w:bookmarkEnd w:id="71"/>
      <w:r/>
      <w:bookmarkEnd w:id="72"/>
      <w:r/>
      <w:bookmarkEnd w:id="7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22"/>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21"/>
        <w:ind w:firstLine="321"/>
        <w:spacing w:before="145" w:after="145" w:line="400" w:lineRule="exact"/>
      </w:pPr>
      <w:r/>
      <w:bookmarkStart w:id="74" w:name="_Toc16938525"/>
      <w:r/>
      <w:bookmarkStart w:id="75" w:name="_Toc20823281"/>
      <w:r/>
      <w:bookmarkStart w:id="76" w:name="_Toc120614215"/>
      <w:r/>
      <w:bookmarkStart w:id="77" w:name="_Toc513029209"/>
      <w:r>
        <w:rPr>
          <w:rFonts w:hint="eastAsia"/>
        </w:rPr>
        <w:t xml:space="preserve">二、招标文件</w:t>
      </w:r>
      <w:bookmarkEnd w:id="74"/>
      <w:r/>
      <w:bookmarkEnd w:id="75"/>
      <w:r/>
      <w:bookmarkEnd w:id="76"/>
      <w:r/>
      <w:bookmarkEnd w:id="77"/>
      <w:r/>
      <w:r/>
    </w:p>
    <w:p>
      <w:pPr>
        <w:pStyle w:val="722"/>
        <w:ind w:firstLine="420"/>
        <w:spacing w:before="0" w:after="0" w:line="400" w:lineRule="exact"/>
        <w:rPr>
          <w:b w:val="0"/>
          <w:bCs w:val="0"/>
        </w:rPr>
      </w:pPr>
      <w:r/>
      <w:bookmarkStart w:id="78" w:name="_Toc513029210"/>
      <w:r/>
      <w:bookmarkStart w:id="79" w:name="_Toc20823282"/>
      <w:r/>
      <w:bookmarkStart w:id="80" w:name="_Toc16938526"/>
      <w:r>
        <w:rPr>
          <w:rFonts w:hint="eastAsia"/>
          <w:b w:val="0"/>
          <w:bCs w:val="0"/>
        </w:rPr>
        <w:t xml:space="preserve">6</w:t>
      </w:r>
      <w:r>
        <w:rPr>
          <w:rFonts w:hint="eastAsia"/>
          <w:b w:val="0"/>
          <w:bCs w:val="0"/>
        </w:rPr>
        <w:t xml:space="preserve">、招标文件构成</w:t>
      </w:r>
      <w:bookmarkEnd w:id="78"/>
      <w:r/>
      <w:bookmarkEnd w:id="79"/>
      <w:r/>
      <w:bookmarkEnd w:id="8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2"/>
        <w:ind w:firstLine="560"/>
        <w:spacing w:before="0" w:after="0" w:line="400" w:lineRule="exact"/>
        <w:rPr>
          <w:b w:val="0"/>
          <w:bCs w:val="0"/>
        </w:rPr>
      </w:pPr>
      <w:r/>
      <w:bookmarkStart w:id="81" w:name="_Toc513029212"/>
      <w:r/>
      <w:bookmarkStart w:id="82" w:name="_Toc20823284"/>
      <w:r/>
      <w:bookmarkStart w:id="83" w:name="_Toc16938528"/>
      <w:r/>
      <w:bookmarkStart w:id="84" w:name="_Toc462564071"/>
      <w:r>
        <w:rPr>
          <w:b w:val="0"/>
          <w:bCs w:val="0"/>
        </w:rPr>
        <w:t xml:space="preserve">7</w:t>
      </w:r>
      <w:r>
        <w:rPr>
          <w:rFonts w:hint="eastAsia"/>
          <w:b w:val="0"/>
          <w:bCs w:val="0"/>
        </w:rPr>
        <w:t xml:space="preserve">、招标文件的修改</w:t>
      </w:r>
      <w:bookmarkEnd w:id="81"/>
      <w:r/>
      <w:bookmarkEnd w:id="82"/>
      <w:r/>
      <w:bookmarkEnd w:id="83"/>
      <w:r/>
      <w:bookmarkEnd w:id="8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21"/>
        <w:ind w:firstLine="482"/>
        <w:spacing w:before="145" w:after="145" w:line="400" w:lineRule="exact"/>
      </w:pPr>
      <w:r/>
      <w:bookmarkStart w:id="85" w:name="_Toc20823285"/>
      <w:r/>
      <w:bookmarkStart w:id="86" w:name="_Toc120614216"/>
      <w:r/>
      <w:bookmarkStart w:id="87" w:name="_Toc513029213"/>
      <w:r/>
      <w:bookmarkStart w:id="88" w:name="_Toc462564072"/>
      <w:r/>
      <w:bookmarkStart w:id="89" w:name="_Toc16938529"/>
      <w:r>
        <w:rPr>
          <w:rFonts w:hint="eastAsia"/>
        </w:rPr>
        <w:t xml:space="preserve">三、投标文件的编制</w:t>
      </w:r>
      <w:bookmarkEnd w:id="85"/>
      <w:r/>
      <w:bookmarkEnd w:id="86"/>
      <w:r/>
      <w:bookmarkEnd w:id="87"/>
      <w:r/>
      <w:bookmarkEnd w:id="88"/>
      <w:r/>
      <w:bookmarkEnd w:id="89"/>
      <w:r/>
      <w:r/>
    </w:p>
    <w:p>
      <w:pPr>
        <w:pStyle w:val="722"/>
        <w:ind w:firstLine="560"/>
        <w:spacing w:before="0" w:after="0" w:line="400" w:lineRule="exact"/>
        <w:rPr>
          <w:bCs w:val="0"/>
        </w:rPr>
      </w:pPr>
      <w:r/>
      <w:bookmarkStart w:id="90" w:name="_Toc462564073"/>
      <w:r/>
      <w:bookmarkStart w:id="91" w:name="_Toc20823286"/>
      <w:r/>
      <w:bookmarkStart w:id="92" w:name="_Toc16938530"/>
      <w:r/>
      <w:bookmarkStart w:id="93" w:name="_Toc513029214"/>
      <w:r>
        <w:rPr>
          <w:b w:val="0"/>
          <w:bCs w:val="0"/>
        </w:rPr>
        <w:t xml:space="preserve">8</w:t>
      </w:r>
      <w:r>
        <w:rPr>
          <w:rFonts w:hint="eastAsia"/>
          <w:b w:val="0"/>
          <w:bCs w:val="0"/>
        </w:rPr>
        <w:t xml:space="preserve">、投标文件的语言及度量衡单位</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22"/>
        <w:ind w:firstLine="420"/>
        <w:spacing w:before="0" w:after="0" w:line="400" w:lineRule="exact"/>
        <w:rPr>
          <w:b w:val="0"/>
          <w:bCs w:val="0"/>
        </w:rPr>
      </w:pPr>
      <w:r/>
      <w:bookmarkStart w:id="94" w:name="_Toc20823287"/>
      <w:r/>
      <w:bookmarkStart w:id="95" w:name="_Toc513029215"/>
      <w:r/>
      <w:bookmarkStart w:id="96" w:name="_Toc462564074"/>
      <w:r/>
      <w:bookmarkStart w:id="97" w:name="_Toc16938531"/>
      <w:r>
        <w:rPr>
          <w:b w:val="0"/>
          <w:bCs w:val="0"/>
        </w:rPr>
        <w:t xml:space="preserve">9</w:t>
      </w:r>
      <w:r>
        <w:rPr>
          <w:rFonts w:hint="eastAsia"/>
          <w:b w:val="0"/>
          <w:bCs w:val="0"/>
        </w:rPr>
        <w:t xml:space="preserve">、投标文件构成</w:t>
      </w:r>
      <w:bookmarkEnd w:id="94"/>
      <w:r/>
      <w:bookmarkEnd w:id="95"/>
      <w:r/>
      <w:bookmarkEnd w:id="96"/>
      <w:r/>
      <w:bookmarkEnd w:id="9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22"/>
        <w:ind w:firstLine="420"/>
        <w:spacing w:before="0" w:after="0" w:line="400" w:lineRule="exact"/>
        <w:rPr>
          <w:b w:val="0"/>
          <w:bCs w:val="0"/>
        </w:rPr>
      </w:pPr>
      <w:r/>
      <w:bookmarkStart w:id="98" w:name="_Hlt26954838"/>
      <w:r/>
      <w:bookmarkStart w:id="99" w:name="_Hlt26668975"/>
      <w:r/>
      <w:bookmarkStart w:id="100" w:name="_Hlt26670360"/>
      <w:r/>
      <w:bookmarkStart w:id="101" w:name="_Toc513029219"/>
      <w:r/>
      <w:bookmarkStart w:id="102" w:name="_Toc14577357"/>
      <w:r/>
      <w:bookmarkStart w:id="103" w:name="_Toc49090509"/>
      <w:r/>
      <w:bookmarkStart w:id="104" w:name="_Toc14577354"/>
      <w:r/>
      <w:bookmarkStart w:id="105" w:name="_Toc49090507"/>
      <w:r/>
      <w:bookmarkStart w:id="106" w:name="_Toc513029216"/>
      <w:r/>
      <w:bookmarkEnd w:id="98"/>
      <w:r/>
      <w:bookmarkEnd w:id="99"/>
      <w:r/>
      <w:bookmarkEnd w:id="10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r/>
    </w:p>
    <w:p>
      <w:pPr>
        <w:spacing w:line="40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22"/>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22"/>
        <w:ind w:firstLine="420"/>
        <w:spacing w:before="0" w:after="0" w:line="400" w:lineRule="exact"/>
        <w:rPr>
          <w:b w:val="0"/>
          <w:bCs w:val="0"/>
        </w:rPr>
      </w:pPr>
      <w:r/>
      <w:bookmarkStart w:id="112" w:name="_Hlt26954848"/>
      <w:r/>
      <w:bookmarkStart w:id="113" w:name="_Hlt26670425"/>
      <w:r/>
      <w:bookmarkStart w:id="114" w:name="_Hlt26954846"/>
      <w:r/>
      <w:bookmarkStart w:id="115" w:name="_Hlt26954731"/>
      <w:r/>
      <w:bookmarkStart w:id="116" w:name="_Hlt26670486"/>
      <w:r/>
      <w:bookmarkStart w:id="117" w:name="_Hlt26668983"/>
      <w:r/>
      <w:bookmarkStart w:id="118" w:name="_Hlt26670403"/>
      <w:r/>
      <w:bookmarkStart w:id="119" w:name="_Hlt26954842"/>
      <w:r/>
      <w:bookmarkStart w:id="120" w:name="_Hlt26670482"/>
      <w:r/>
      <w:bookmarkStart w:id="121" w:name="_Hlt26954844"/>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22" w:name="_Toc14577359"/>
      <w:r/>
      <w:bookmarkStart w:id="123"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22"/>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22"/>
        <w:ind w:firstLine="420"/>
        <w:spacing w:before="0" w:after="0" w:line="400" w:lineRule="exact"/>
        <w:rPr>
          <w:b w:val="0"/>
          <w:bCs w:val="0"/>
        </w:rPr>
      </w:pPr>
      <w:r/>
      <w:bookmarkStart w:id="124" w:name="_Hlt26954734"/>
      <w:r/>
      <w:bookmarkStart w:id="125" w:name="_Hlt26954850"/>
      <w:r/>
      <w:bookmarkStart w:id="126" w:name="_Hlt26670489"/>
      <w:r/>
      <w:bookmarkStart w:id="127" w:name="_Toc14577360"/>
      <w:r/>
      <w:bookmarkStart w:id="128" w:name="_Toc49090511"/>
      <w:r/>
      <w:bookmarkEnd w:id="122"/>
      <w:r/>
      <w:bookmarkEnd w:id="123"/>
      <w:r/>
      <w:bookmarkEnd w:id="124"/>
      <w:r/>
      <w:bookmarkEnd w:id="125"/>
      <w:r/>
      <w:bookmarkEnd w:id="126"/>
      <w:r>
        <w:rPr>
          <w:rFonts w:hint="eastAsia"/>
          <w:b w:val="0"/>
          <w:bCs w:val="0"/>
        </w:rPr>
        <w:t xml:space="preserve">1</w:t>
      </w:r>
      <w:r>
        <w:rPr>
          <w:b w:val="0"/>
          <w:bCs w:val="0"/>
        </w:rPr>
        <w:t xml:space="preserve">4</w:t>
      </w:r>
      <w:r>
        <w:rPr>
          <w:rFonts w:hint="eastAsia"/>
          <w:b w:val="0"/>
          <w:bCs w:val="0"/>
        </w:rPr>
        <w:t xml:space="preserve">、投标有效期</w:t>
      </w:r>
      <w:bookmarkEnd w:id="127"/>
      <w:r/>
      <w:bookmarkEnd w:id="12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22"/>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1"/>
        <w:ind w:firstLine="482"/>
        <w:spacing w:before="145" w:after="145" w:line="400" w:lineRule="exact"/>
      </w:pPr>
      <w:r/>
      <w:bookmarkStart w:id="129" w:name="_Hlt26954852"/>
      <w:r/>
      <w:bookmarkStart w:id="130" w:name="_Hlt26954739"/>
      <w:r/>
      <w:bookmarkStart w:id="131" w:name="_Toc20823296"/>
      <w:r/>
      <w:bookmarkStart w:id="132" w:name="_Toc16938540"/>
      <w:r/>
      <w:bookmarkStart w:id="133" w:name="_Toc120614217"/>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722"/>
        <w:ind w:firstLine="560"/>
        <w:spacing w:before="0" w:after="0" w:line="400" w:lineRule="exact"/>
        <w:rPr>
          <w:rFonts w:ascii="黑体"/>
          <w:b w:val="0"/>
          <w:bCs w:val="0"/>
        </w:rPr>
      </w:pPr>
      <w:r/>
      <w:bookmarkStart w:id="135" w:name="_Toc20823297"/>
      <w:r/>
      <w:bookmarkStart w:id="136" w:name="_Toc513029225"/>
      <w:r/>
      <w:bookmarkStart w:id="137" w:name="_Toc16938541"/>
      <w:r/>
      <w:bookmarkStart w:id="138"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32"/>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513029226"/>
      <w:r/>
      <w:bookmarkStart w:id="141" w:name="_Toc16938542"/>
      <w:r/>
      <w:r/>
    </w:p>
    <w:p>
      <w:pPr>
        <w:pStyle w:val="722"/>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22"/>
        <w:ind w:firstLine="420"/>
        <w:spacing w:before="0" w:after="0" w:line="400" w:lineRule="exact"/>
        <w:rPr>
          <w:b w:val="0"/>
          <w:bCs w:val="0"/>
        </w:rPr>
      </w:pPr>
      <w:r/>
      <w:bookmarkStart w:id="142" w:name="_Toc16938543"/>
      <w:r/>
      <w:bookmarkStart w:id="143" w:name="_Toc20823299"/>
      <w:r/>
      <w:bookmarkStart w:id="144" w:name="_Toc513029227"/>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22"/>
        <w:ind w:firstLine="420"/>
        <w:spacing w:before="0" w:after="0" w:line="400" w:lineRule="exact"/>
        <w:rPr>
          <w:b w:val="0"/>
          <w:bCs w:val="0"/>
        </w:rPr>
      </w:pPr>
      <w:r/>
      <w:bookmarkStart w:id="145" w:name="_Toc513029228"/>
      <w:r/>
      <w:bookmarkStart w:id="146" w:name="_Toc16938544"/>
      <w:r/>
      <w:bookmarkStart w:id="147" w:name="_Toc20823300"/>
      <w:r>
        <w:rPr>
          <w:b w:val="0"/>
          <w:bCs w:val="0"/>
        </w:rPr>
        <w:t xml:space="preserve">19</w:t>
      </w:r>
      <w:r>
        <w:rPr>
          <w:rFonts w:hint="eastAsia"/>
          <w:b w:val="0"/>
          <w:bCs w:val="0"/>
        </w:rPr>
        <w:t xml:space="preserve">、投标文件的撤回和修改</w:t>
      </w:r>
      <w:bookmarkEnd w:id="145"/>
      <w:r/>
      <w:bookmarkEnd w:id="146"/>
      <w:r/>
      <w:bookmarkEnd w:id="14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21"/>
        <w:ind w:firstLine="482"/>
        <w:spacing w:before="145" w:after="145" w:line="400" w:lineRule="exact"/>
      </w:pPr>
      <w:r/>
      <w:bookmarkStart w:id="148" w:name="_Toc20823301"/>
      <w:r/>
      <w:bookmarkStart w:id="149" w:name="_Toc16938545"/>
      <w:r/>
      <w:bookmarkStart w:id="150" w:name="_Toc513029229"/>
      <w:r/>
      <w:bookmarkStart w:id="151" w:name="_Toc120614218"/>
      <w:r>
        <w:rPr>
          <w:rFonts w:hint="eastAsia"/>
        </w:rPr>
        <w:t xml:space="preserve">五、开标与评标</w:t>
      </w:r>
      <w:bookmarkEnd w:id="148"/>
      <w:r/>
      <w:bookmarkEnd w:id="149"/>
      <w:r/>
      <w:bookmarkEnd w:id="150"/>
      <w:r/>
      <w:bookmarkEnd w:id="151"/>
      <w:r/>
      <w:r/>
    </w:p>
    <w:p>
      <w:pPr>
        <w:pStyle w:val="722"/>
        <w:ind w:firstLine="420"/>
        <w:spacing w:before="0" w:after="0" w:line="400" w:lineRule="exact"/>
        <w:rPr>
          <w:b w:val="0"/>
          <w:bCs w:val="0"/>
        </w:rPr>
      </w:pPr>
      <w:r/>
      <w:bookmarkStart w:id="152" w:name="_Toc16938546"/>
      <w:r/>
      <w:bookmarkStart w:id="153" w:name="_Toc20823302"/>
      <w:r/>
      <w:bookmarkStart w:id="154" w:name="_Toc513029230"/>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22"/>
        <w:ind w:firstLine="420"/>
        <w:spacing w:before="0" w:after="0" w:line="400" w:lineRule="exact"/>
        <w:rPr>
          <w:b w:val="0"/>
          <w:bCs w:val="0"/>
        </w:rPr>
      </w:pPr>
      <w:r/>
      <w:bookmarkStart w:id="155" w:name="_Toc513029231"/>
      <w:r/>
      <w:bookmarkStart w:id="156" w:name="_Toc16938547"/>
      <w:r/>
      <w:bookmarkStart w:id="157"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22"/>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22"/>
        <w:ind w:firstLine="420"/>
        <w:spacing w:before="0" w:after="0" w:line="400" w:lineRule="exact"/>
        <w:rPr>
          <w:b w:val="0"/>
          <w:bCs w:val="0"/>
        </w:rPr>
      </w:pPr>
      <w:r/>
      <w:bookmarkStart w:id="158" w:name="_Toc16938548"/>
      <w:r/>
      <w:bookmarkStart w:id="159" w:name="_Toc513029232"/>
      <w:r/>
      <w:bookmarkStart w:id="160" w:name="_Toc20823304"/>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22"/>
        <w:ind w:firstLine="420"/>
        <w:spacing w:before="0" w:after="0" w:line="400" w:lineRule="exact"/>
        <w:rPr>
          <w:b w:val="0"/>
          <w:bCs w:val="0"/>
        </w:rPr>
      </w:pPr>
      <w:r/>
      <w:bookmarkStart w:id="161" w:name="_Toc20823305"/>
      <w:r/>
      <w:bookmarkStart w:id="162" w:name="_Toc513029233"/>
      <w:r/>
      <w:bookmarkStart w:id="163"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50%</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50%</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50%</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50%</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45%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45%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22"/>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00" w:lineRule="exact"/>
        <w:rPr>
          <w:rFonts w:hint="eastAsia" w:ascii="宋体" w:hAnsi="宋体"/>
          <w:bCs/>
          <w:sz w:val="24"/>
        </w:rPr>
      </w:pPr>
      <w:r/>
      <w:bookmarkStart w:id="167" w:name="_Toc16938551"/>
      <w:r/>
      <w:bookmarkStart w:id="168" w:name="_Toc513029235"/>
      <w:r/>
      <w:bookmarkStart w:id="169"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21"/>
        <w:ind w:firstLine="482"/>
        <w:spacing w:before="145" w:after="145" w:line="40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22"/>
        <w:ind w:firstLine="600"/>
        <w:spacing w:before="0" w:after="0" w:line="400" w:lineRule="exact"/>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w:t>
      </w:r>
      <w:r>
        <w:rPr>
          <w:rFonts w:hint="eastAsia" w:ascii="宋体" w:hAnsi="宋体"/>
          <w:sz w:val="24"/>
          <w:szCs w:val="24"/>
        </w:rPr>
        <w:t xml:space="preserve">，中标供应商出现下列情况之一的，一经查实，将被取消中标资格：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2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b/>
          <w:bCs/>
          <w:sz w:val="24"/>
          <w:szCs w:val="24"/>
        </w:rPr>
        <w:t xml:space="preserve">供应商（含</w:t>
      </w:r>
      <w:r>
        <w:rPr>
          <w:rFonts w:ascii="宋体" w:hAnsi="宋体"/>
          <w:b/>
          <w:bCs/>
          <w:sz w:val="24"/>
          <w:szCs w:val="24"/>
        </w:rPr>
        <w:t xml:space="preserve">潜在供应商）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21"/>
        <w:spacing w:before="145" w:after="145" w:line="400" w:lineRule="exact"/>
      </w:pPr>
      <w:r/>
      <w:bookmarkStart w:id="175" w:name="_Toc120614220"/>
      <w:r/>
      <w:bookmarkStart w:id="176" w:name="_Toc513029236"/>
      <w:r/>
      <w:bookmarkStart w:id="177" w:name="_Toc16938552"/>
      <w:r/>
      <w:bookmarkStart w:id="178" w:name="_Toc20823308"/>
      <w:r>
        <w:rPr>
          <w:rFonts w:hint="eastAsia"/>
        </w:rPr>
        <w:t xml:space="preserve">七、授予合同</w:t>
      </w:r>
      <w:bookmarkEnd w:id="175"/>
      <w:r/>
      <w:r/>
    </w:p>
    <w:p>
      <w:pPr>
        <w:pStyle w:val="722"/>
        <w:ind w:firstLine="600"/>
        <w:spacing w:before="0" w:after="0" w:line="400" w:lineRule="exact"/>
        <w:rPr>
          <w:rFonts w:hint="eastAsia" w:ascii="黑体" w:hAnsi="宋体" w:cs="Times New Roman"/>
          <w:b w:val="0"/>
          <w:sz w:val="30"/>
          <w:szCs w:val="30"/>
        </w:rPr>
      </w:pPr>
      <w:r/>
      <w:bookmarkStart w:id="179" w:name="_Toc20823309"/>
      <w:r/>
      <w:bookmarkStart w:id="180" w:name="_Toc16938553"/>
      <w:r/>
      <w:bookmarkStart w:id="181" w:name="_Toc513029237"/>
      <w:r/>
      <w:bookmarkEnd w:id="176"/>
      <w:r/>
      <w:bookmarkEnd w:id="177"/>
      <w:r/>
      <w:bookmarkEnd w:id="178"/>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22"/>
        <w:ind w:firstLine="600"/>
        <w:spacing w:before="0" w:after="0" w:line="400" w:lineRule="exact"/>
        <w:rPr>
          <w:rFonts w:hint="eastAsia" w:ascii="黑体" w:hAnsi="宋体" w:cs="Times New Roman"/>
          <w:b w:val="0"/>
          <w:sz w:val="30"/>
          <w:szCs w:val="30"/>
        </w:rPr>
      </w:pPr>
      <w:r/>
      <w:bookmarkStart w:id="182" w:name="_Toc20823314"/>
      <w:r/>
      <w:bookmarkStart w:id="183" w:name="_Toc479757207"/>
      <w:r/>
      <w:bookmarkStart w:id="184" w:name="_Toc513029242"/>
      <w:r/>
      <w:bookmarkStart w:id="185" w:name="_Toc120614221"/>
      <w:r/>
      <w:bookmarkStart w:id="186" w:name="_Toc16938558"/>
      <w:r/>
      <w:bookmarkEnd w:id="179"/>
      <w:r/>
      <w:bookmarkEnd w:id="180"/>
      <w:r/>
      <w:bookmarkEnd w:id="18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6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69"/>
        <w:ind w:firstLine="0"/>
        <w:spacing w:line="400" w:lineRule="exact"/>
        <w:rPr>
          <w:rFonts w:hint="eastAsia" w:ascii="宋体" w:hAnsi="宋体"/>
          <w:bCs/>
          <w:sz w:val="24"/>
        </w:rPr>
      </w:pPr>
      <w:r>
        <w:rPr>
          <w:rFonts w:hint="eastAsia" w:ascii="宋体" w:hAnsi="宋体"/>
          <w:bCs/>
          <w:sz w:val="24"/>
        </w:rPr>
        <w:br w:type="page" w:clear="all"/>
      </w:r>
      <w:r/>
    </w:p>
    <w:p>
      <w:pPr>
        <w:pStyle w:val="719"/>
        <w:rPr>
          <w:rFonts w:ascii="黑体" w:eastAsia="黑体"/>
          <w:bCs/>
          <w:sz w:val="44"/>
        </w:rPr>
      </w:pPr>
      <w:r/>
      <w:bookmarkStart w:id="187" w:name="_Toc237360858"/>
      <w:r/>
      <w:bookmarkEnd w:id="56"/>
      <w:r/>
      <w:bookmarkEnd w:id="57"/>
      <w:r/>
      <w:bookmarkEnd w:id="58"/>
      <w:r>
        <w:rPr>
          <w:rFonts w:hint="eastAsia" w:ascii="黑体" w:eastAsia="黑体"/>
          <w:sz w:val="44"/>
          <w:szCs w:val="44"/>
        </w:rPr>
        <w:t xml:space="preserve">第三章  合同</w:t>
      </w:r>
      <w:bookmarkEnd w:id="182"/>
      <w:r/>
      <w:bookmarkEnd w:id="183"/>
      <w:r/>
      <w:bookmarkEnd w:id="184"/>
      <w:r/>
      <w:bookmarkEnd w:id="185"/>
      <w:r/>
      <w:bookmarkEnd w:id="186"/>
      <w:r>
        <w:rPr>
          <w:rFonts w:hint="eastAsia" w:ascii="黑体" w:eastAsia="黑体"/>
          <w:sz w:val="44"/>
          <w:szCs w:val="44"/>
        </w:rPr>
        <w:t xml:space="preserve">文本</w:t>
      </w:r>
      <w:bookmarkEnd w:id="187"/>
      <w:r/>
      <w:r/>
    </w:p>
    <w:p>
      <w:pPr>
        <w:jc w:val="center"/>
        <w:spacing w:before="145" w:after="145"/>
        <w:rPr>
          <w:rFonts w:hint="eastAsia" w:ascii="宋体" w:hAnsi="宋体"/>
          <w:b/>
          <w:bCs/>
          <w:sz w:val="30"/>
          <w:szCs w:val="20"/>
        </w:rPr>
        <w:outlineLvl w:val="0"/>
      </w:pPr>
      <w:r/>
      <w:bookmarkStart w:id="188" w:name="_Hlt16619369"/>
      <w:r/>
      <w:bookmarkStart w:id="189" w:name="_Toc229586893"/>
      <w:r/>
      <w:bookmarkStart w:id="190" w:name="_Toc237360859"/>
      <w:r/>
      <w:bookmarkStart w:id="191" w:name="_Toc20823315"/>
      <w:r/>
      <w:bookmarkStart w:id="192" w:name="_Toc16938559"/>
      <w:r/>
      <w:bookmarkStart w:id="193" w:name="_Toc513029243"/>
      <w:r/>
      <w:bookmarkStart w:id="194" w:name="_Hlt16619350"/>
      <w:r/>
      <w:bookmarkStart w:id="195" w:name="_Toc16938590"/>
      <w:r/>
      <w:bookmarkStart w:id="196" w:name="_Toc20823346"/>
      <w:r/>
      <w:bookmarkStart w:id="197" w:name="_Toc120614244"/>
      <w:r/>
      <w:bookmarkStart w:id="198" w:name="_Toc462564139"/>
      <w:r/>
      <w:bookmarkStart w:id="199" w:name="_Toc479757211"/>
      <w:r/>
      <w:bookmarkEnd w:id="188"/>
      <w:r>
        <w:rPr>
          <w:rFonts w:hint="eastAsia" w:ascii="宋体" w:hAnsi="宋体"/>
          <w:b/>
          <w:sz w:val="30"/>
        </w:rPr>
        <w:t xml:space="preserve">江苏省政府采购合同（服务）（合同编号）</w:t>
      </w:r>
      <w:bookmarkEnd w:id="189"/>
      <w:r/>
      <w:bookmarkEnd w:id="190"/>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784"/>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84"/>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784"/>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84"/>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84"/>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8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84"/>
        <w:spacing w:before="120" w:after="120"/>
        <w:rPr>
          <w:rFonts w:hint="eastAsia" w:hAnsi="宋体"/>
          <w:sz w:val="24"/>
          <w:szCs w:val="24"/>
        </w:rPr>
      </w:pPr>
      <w:r>
        <w:rPr>
          <w:rFonts w:hint="eastAsia" w:hAnsi="宋体"/>
          <w:sz w:val="24"/>
          <w:szCs w:val="24"/>
        </w:rPr>
        <w:t xml:space="preserve">1.3 标的数量（规模）：</w:t>
      </w:r>
      <w:r/>
    </w:p>
    <w:p>
      <w:pPr>
        <w:pStyle w:val="784"/>
        <w:spacing w:before="120" w:after="120"/>
        <w:rPr>
          <w:rFonts w:hint="eastAsia" w:hAnsi="宋体"/>
          <w:sz w:val="24"/>
          <w:szCs w:val="24"/>
        </w:rPr>
      </w:pPr>
      <w:r>
        <w:rPr>
          <w:rFonts w:hint="eastAsia" w:hAnsi="宋体"/>
          <w:sz w:val="24"/>
          <w:szCs w:val="24"/>
        </w:rPr>
        <w:t xml:space="preserve">1.4 履行时间（期限）：</w:t>
      </w:r>
      <w:r/>
    </w:p>
    <w:p>
      <w:pPr>
        <w:pStyle w:val="784"/>
        <w:spacing w:before="120" w:after="120"/>
        <w:rPr>
          <w:rFonts w:hint="eastAsia" w:hAnsi="宋体"/>
          <w:sz w:val="24"/>
          <w:szCs w:val="24"/>
        </w:rPr>
      </w:pPr>
      <w:r>
        <w:rPr>
          <w:rFonts w:hint="eastAsia" w:hAnsi="宋体"/>
          <w:sz w:val="24"/>
          <w:szCs w:val="24"/>
        </w:rPr>
        <w:t xml:space="preserve">1.5 履行地点：</w:t>
      </w:r>
      <w:r/>
    </w:p>
    <w:p>
      <w:pPr>
        <w:pStyle w:val="784"/>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784"/>
        <w:spacing w:before="120" w:after="120"/>
        <w:rPr>
          <w:rFonts w:hint="eastAsia" w:hAnsi="宋体"/>
          <w:b/>
          <w:sz w:val="24"/>
          <w:szCs w:val="24"/>
        </w:rPr>
      </w:pPr>
      <w:r>
        <w:rPr>
          <w:rFonts w:hAnsi="宋体"/>
          <w:b/>
          <w:sz w:val="24"/>
          <w:szCs w:val="24"/>
        </w:rPr>
        <w:t xml:space="preserve">二、合同金额</w:t>
      </w:r>
      <w:r/>
    </w:p>
    <w:p>
      <w:pPr>
        <w:pStyle w:val="784"/>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cs="宋体"/>
          <w:sz w:val="24"/>
        </w:rPr>
        <w:t xml:space="preserve">前述费用是完成本项目所有含税费用，支付给员工的工资和国家强制缴纳的各种社会保障资金，以及乙方认为需要的其他费用等。除双方另有约定以外，甲方就本合同不再向乙方支付任何其他款项。</w:t>
      </w:r>
      <w:r/>
    </w:p>
    <w:p>
      <w:pPr>
        <w:pStyle w:val="784"/>
        <w:spacing w:before="120" w:after="120"/>
        <w:rPr>
          <w:rFonts w:hint="eastAsia" w:hAnsi="宋体"/>
          <w:b/>
          <w:sz w:val="24"/>
          <w:szCs w:val="24"/>
        </w:rPr>
      </w:pPr>
      <w:r>
        <w:rPr>
          <w:rFonts w:hAnsi="宋体"/>
          <w:b/>
          <w:sz w:val="24"/>
          <w:szCs w:val="24"/>
        </w:rPr>
        <w:t xml:space="preserve">三、技术资料</w:t>
      </w:r>
      <w:r/>
    </w:p>
    <w:p>
      <w:pPr>
        <w:pStyle w:val="78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84"/>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4"/>
        <w:ind w:left="412" w:hanging="412"/>
        <w:spacing w:before="120" w:after="120"/>
        <w:rPr>
          <w:rFonts w:hint="eastAsia" w:hAnsi="宋体"/>
          <w:b/>
          <w:sz w:val="24"/>
          <w:szCs w:val="24"/>
        </w:rPr>
      </w:pPr>
      <w:r>
        <w:rPr>
          <w:rFonts w:hAnsi="宋体"/>
          <w:b/>
          <w:sz w:val="24"/>
          <w:szCs w:val="24"/>
        </w:rPr>
        <w:t xml:space="preserve">四、知识产权</w:t>
      </w:r>
      <w:r/>
    </w:p>
    <w:p>
      <w:pPr>
        <w:pStyle w:val="78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4"/>
        <w:ind w:left="408" w:hanging="408"/>
        <w:rPr>
          <w:rFonts w:hint="eastAsia" w:hAnsi="宋体"/>
          <w:sz w:val="24"/>
          <w:szCs w:val="24"/>
        </w:rPr>
      </w:pPr>
      <w:r>
        <w:rPr>
          <w:rFonts w:hint="eastAsia" w:hAnsi="宋体"/>
          <w:sz w:val="24"/>
          <w:szCs w:val="24"/>
        </w:rPr>
        <w:t xml:space="preserve">4.2</w:t>
      </w:r>
      <w:r>
        <w:rPr>
          <w:rFonts w:hAnsi="宋体"/>
          <w:sz w:val="24"/>
          <w:szCs w:val="24"/>
        </w:rPr>
        <w:t xml:space="preserve">本项目开发成果的知识产权归甲方所有</w:t>
      </w:r>
      <w:r>
        <w:rPr>
          <w:rFonts w:hint="eastAsia" w:hAnsi="宋体"/>
          <w:sz w:val="24"/>
          <w:szCs w:val="24"/>
        </w:rPr>
        <w:t xml:space="preserve">，</w:t>
      </w:r>
      <w:r>
        <w:rPr>
          <w:rFonts w:hAnsi="宋体"/>
          <w:sz w:val="24"/>
          <w:szCs w:val="24"/>
        </w:rPr>
        <w:t xml:space="preserve">乙方必须向甲方提供本项目</w:t>
      </w:r>
      <w:r>
        <w:rPr>
          <w:rFonts w:hint="eastAsia" w:hAnsi="宋体"/>
          <w:sz w:val="24"/>
          <w:szCs w:val="24"/>
        </w:rPr>
        <w:t xml:space="preserve">定制开发</w:t>
      </w:r>
      <w:r>
        <w:rPr>
          <w:rFonts w:hAnsi="宋体"/>
          <w:sz w:val="24"/>
          <w:szCs w:val="24"/>
        </w:rPr>
        <w:t xml:space="preserve">软件的使用说明及源程序码等开发成果。</w:t>
      </w:r>
      <w:r/>
    </w:p>
    <w:p>
      <w:pPr>
        <w:pStyle w:val="784"/>
        <w:spacing w:before="120" w:after="120"/>
        <w:rPr>
          <w:rFonts w:hint="eastAsia" w:hAnsi="宋体"/>
          <w:sz w:val="24"/>
          <w:szCs w:val="24"/>
          <w:u w:val="single"/>
        </w:rPr>
      </w:pPr>
      <w:r>
        <w:rPr>
          <w:rFonts w:hAnsi="宋体"/>
          <w:b/>
          <w:sz w:val="24"/>
          <w:szCs w:val="24"/>
        </w:rPr>
        <w:t xml:space="preserve">五、产权担保</w:t>
      </w:r>
      <w:r/>
    </w:p>
    <w:p>
      <w:pPr>
        <w:pStyle w:val="784"/>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w:t>
      </w:r>
      <w:r>
        <w:rPr>
          <w:rFonts w:hAnsi="宋体"/>
          <w:sz w:val="24"/>
          <w:szCs w:val="24"/>
        </w:rPr>
        <w:t xml:space="preserve">何抵押、查封等产权瑕疵。</w:t>
      </w:r>
      <w:r/>
    </w:p>
    <w:p>
      <w:pPr>
        <w:pStyle w:val="784"/>
        <w:ind w:left="410" w:hanging="410"/>
        <w:spacing w:before="120" w:after="120"/>
        <w:rPr>
          <w:rFonts w:hint="eastAsia" w:hAnsi="宋体"/>
          <w:b/>
          <w:sz w:val="24"/>
          <w:szCs w:val="24"/>
        </w:rPr>
      </w:pPr>
      <w:r>
        <w:rPr>
          <w:rFonts w:hAnsi="宋体"/>
          <w:b/>
          <w:sz w:val="24"/>
          <w:szCs w:val="24"/>
        </w:rPr>
        <w:t xml:space="preserve">六、履约保证金</w:t>
      </w:r>
      <w:r/>
    </w:p>
    <w:p>
      <w:pPr>
        <w:pStyle w:val="784"/>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784"/>
        <w:ind w:left="408" w:hanging="408"/>
        <w:spacing w:before="120" w:after="120"/>
        <w:rPr>
          <w:rFonts w:hint="eastAsia" w:hAnsi="宋体"/>
          <w:sz w:val="24"/>
          <w:szCs w:val="24"/>
        </w:rPr>
      </w:pPr>
      <w:r/>
      <w:bookmarkStart w:id="200" w:name="OLE_LINK1"/>
      <w:r/>
      <w:bookmarkStart w:id="201" w:name="OLE_LINK2"/>
      <w:r>
        <w:rPr>
          <w:rFonts w:hint="eastAsia" w:hAnsi="宋体"/>
          <w:sz w:val="24"/>
          <w:szCs w:val="24"/>
        </w:rPr>
        <w:t xml:space="preserve">6.2合同履行结束后，甲方应及时退还交纳的履约保证金。</w:t>
      </w:r>
      <w:r/>
    </w:p>
    <w:p>
      <w:pPr>
        <w:pStyle w:val="784"/>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784"/>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784"/>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784"/>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bookmarkEnd w:id="200"/>
      <w:bookmarkEnd w:id="201"/>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84"/>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84"/>
        <w:spacing w:before="120" w:after="120"/>
        <w:rPr>
          <w:rFonts w:hint="eastAsia" w:hAnsi="宋体"/>
          <w:sz w:val="24"/>
          <w:szCs w:val="24"/>
          <w:u w:val="single"/>
        </w:rPr>
      </w:pPr>
      <w:r>
        <w:rPr>
          <w:rFonts w:hAnsi="宋体"/>
          <w:sz w:val="24"/>
          <w:szCs w:val="24"/>
          <w:u w:val="single"/>
        </w:rPr>
        <w:t xml:space="preserve">8.1.1 预付款支付时间：合同签订后***日内，预付款支付比例：合同金额的**%。</w:t>
      </w:r>
      <w:r/>
    </w:p>
    <w:p>
      <w:pPr>
        <w:pStyle w:val="784"/>
        <w:spacing w:before="120" w:after="120"/>
        <w:rPr>
          <w:rFonts w:hint="eastAsia" w:hAnsi="宋体"/>
          <w:sz w:val="24"/>
          <w:szCs w:val="24"/>
          <w:u w:val="single"/>
        </w:rPr>
      </w:pPr>
      <w:r>
        <w:rPr>
          <w:rFonts w:hAnsi="宋体"/>
          <w:sz w:val="24"/>
          <w:szCs w:val="24"/>
          <w:u w:val="single"/>
        </w:rPr>
        <w:t xml:space="preserve">8.1.2 尾款支付时间：服务结束并验收合格,采购人收到发票后</w:t>
      </w:r>
      <w:r>
        <w:rPr>
          <w:rFonts w:hint="eastAsia" w:hAnsi="宋体"/>
          <w:sz w:val="24"/>
          <w:szCs w:val="24"/>
          <w:u w:val="single"/>
        </w:rPr>
        <w:t xml:space="preserve">10个工作</w:t>
      </w:r>
      <w:r>
        <w:rPr>
          <w:rFonts w:hAnsi="宋体"/>
          <w:sz w:val="24"/>
          <w:szCs w:val="24"/>
          <w:u w:val="single"/>
        </w:rPr>
        <w:t xml:space="preserve">日内，尾款支付比例：合同金额的**%。</w:t>
      </w:r>
      <w:r/>
    </w:p>
    <w:p>
      <w:pPr>
        <w:spacing w:before="145" w:after="145"/>
        <w:rPr>
          <w:rFonts w:ascii="宋体" w:hAnsi="宋体" w:eastAsia="仿宋_GB2312"/>
          <w:b/>
          <w:bCs/>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84"/>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84"/>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8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8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8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w:t>
      </w:r>
      <w:r>
        <w:rPr>
          <w:rFonts w:hint="eastAsia" w:hAnsi="宋体"/>
          <w:sz w:val="24"/>
          <w:szCs w:val="24"/>
        </w:rPr>
        <w:t xml:space="preserve">后,</w:t>
      </w:r>
      <w:r>
        <w:rPr>
          <w:rFonts w:hint="eastAsia" w:hAnsi="宋体"/>
          <w:sz w:val="24"/>
          <w:szCs w:val="24"/>
        </w:rPr>
        <w:t xml:space="preserve">验收小组出具验收</w:t>
      </w:r>
      <w:r>
        <w:rPr>
          <w:rFonts w:hint="eastAsia" w:hAnsi="宋体"/>
          <w:sz w:val="24"/>
          <w:szCs w:val="24"/>
        </w:rPr>
        <w:t xml:space="preserve">书,</w:t>
      </w:r>
      <w:r>
        <w:rPr>
          <w:rFonts w:hint="eastAsia" w:hAnsi="宋体"/>
          <w:sz w:val="24"/>
          <w:szCs w:val="24"/>
        </w:rPr>
        <w:t xml:space="preserve">列明各项标准的验收情况及项目总体</w:t>
      </w:r>
      <w:r>
        <w:rPr>
          <w:rFonts w:hint="eastAsia" w:hAnsi="宋体"/>
          <w:sz w:val="24"/>
          <w:szCs w:val="24"/>
        </w:rPr>
        <w:t xml:space="preserve">评价,</w:t>
      </w:r>
      <w:r>
        <w:rPr>
          <w:rFonts w:hint="eastAsia" w:hAnsi="宋体"/>
          <w:sz w:val="24"/>
          <w:szCs w:val="24"/>
        </w:rPr>
        <w:t xml:space="preserve">由验收双方共同签署。验收结果与采购合同约定的资金支付及履约保证金返还条件挂钩。履约验收的各项资料存档备查。</w:t>
      </w:r>
      <w:r/>
    </w:p>
    <w:p>
      <w:pPr>
        <w:pStyle w:val="78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w:t>
      </w:r>
      <w:r>
        <w:rPr>
          <w:rFonts w:hint="eastAsia" w:hAnsi="宋体"/>
          <w:sz w:val="24"/>
          <w:szCs w:val="24"/>
        </w:rPr>
        <w:t xml:space="preserve">的违法违规情形的,甲方将及时报告本级财政部门。</w:t>
      </w:r>
      <w:r/>
    </w:p>
    <w:p>
      <w:pPr>
        <w:pStyle w:val="784"/>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84"/>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84"/>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84"/>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84"/>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84"/>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84"/>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84"/>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84"/>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84"/>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8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84"/>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84"/>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84"/>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84"/>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84"/>
        <w:ind w:left="480" w:hanging="480"/>
        <w:spacing w:before="120" w:after="120" w:line="0" w:lineRule="atLeast"/>
        <w:rPr>
          <w:rFonts w:hint="eastAsia" w:hAnsi="宋体"/>
          <w:sz w:val="24"/>
          <w:szCs w:val="24"/>
        </w:rPr>
      </w:pPr>
      <w:r>
        <w:rPr>
          <w:rFonts w:hAnsi="宋体"/>
          <w:sz w:val="24"/>
          <w:szCs w:val="24"/>
        </w:rPr>
        <w:t xml:space="preserve">  甲方：                        乙方： </w:t>
      </w:r>
      <w:r/>
    </w:p>
    <w:p>
      <w:pPr>
        <w:pStyle w:val="784"/>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84"/>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84"/>
        <w:ind w:firstLine="240"/>
        <w:spacing w:before="120" w:after="120" w:line="0" w:lineRule="atLeast"/>
        <w:rPr>
          <w:rFonts w:hint="eastAsia" w:hAnsi="宋体"/>
          <w:sz w:val="24"/>
          <w:szCs w:val="24"/>
        </w:rPr>
      </w:pPr>
      <w:r>
        <w:rPr>
          <w:rFonts w:hint="eastAsia" w:hAnsi="宋体"/>
          <w:sz w:val="24"/>
          <w:szCs w:val="24"/>
        </w:rPr>
        <w:t xml:space="preserve">联系电话：                    联系电话： </w:t>
      </w:r>
      <w:r/>
    </w:p>
    <w:p>
      <w:pPr>
        <w:pStyle w:val="784"/>
        <w:ind w:firstLine="240"/>
        <w:spacing w:before="120" w:after="120" w:line="0" w:lineRule="atLeast"/>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rFonts w:hint="eastAsia" w:hAnsi="宋体"/>
          <w:sz w:val="24"/>
          <w:szCs w:val="24"/>
        </w:rPr>
        <w:t xml:space="preserve">         </w:t>
      </w:r>
      <w:r/>
    </w:p>
    <w:p>
      <w:pPr>
        <w:pStyle w:val="784"/>
        <w:jc w:val="center"/>
        <w:spacing w:before="120" w:after="120" w:line="0" w:lineRule="atLeast"/>
      </w:pPr>
      <w:r>
        <w:rPr>
          <w:rFonts w:hint="eastAsia"/>
        </w:rPr>
        <w:t xml:space="preserve">                                         </w:t>
      </w:r>
      <w:r/>
    </w:p>
    <w:p>
      <w:pPr>
        <w:pStyle w:val="784"/>
        <w:jc w:val="right"/>
        <w:spacing w:before="120" w:after="120" w:line="0" w:lineRule="atLeast"/>
        <w:rPr>
          <w:sz w:val="24"/>
          <w:szCs w:val="24"/>
        </w:rPr>
      </w:pPr>
      <w:r>
        <w:rPr>
          <w:rFonts w:hint="eastAsia"/>
          <w:sz w:val="24"/>
          <w:szCs w:val="24"/>
        </w:rPr>
        <w:t xml:space="preserve"> </w:t>
      </w:r>
      <w:bookmarkEnd w:id="191"/>
      <w:bookmarkEnd w:id="192"/>
      <w:bookmarkEnd w:id="193"/>
      <w:r/>
    </w:p>
    <w:p>
      <w:pPr>
        <w:pStyle w:val="784"/>
        <w:jc w:val="center"/>
        <w:spacing w:before="120" w:after="120" w:line="0" w:lineRule="atLeast"/>
        <w:rPr>
          <w:rFonts w:ascii="黑体" w:eastAsia="黑体"/>
          <w:bCs/>
          <w:sz w:val="44"/>
        </w:rPr>
      </w:pPr>
      <w:r>
        <w:rPr>
          <w:rFonts w:ascii="黑体" w:eastAsia="黑体"/>
          <w:bCs/>
          <w:sz w:val="44"/>
        </w:rPr>
        <w:br w:type="page" w:clear="all"/>
      </w:r>
      <w:r/>
    </w:p>
    <w:p>
      <w:pPr>
        <w:pStyle w:val="719"/>
        <w:rPr>
          <w:rFonts w:ascii="黑体" w:eastAsia="黑体"/>
          <w:bCs/>
          <w:sz w:val="44"/>
        </w:rPr>
      </w:pPr>
      <w:r/>
      <w:bookmarkStart w:id="202" w:name="_Toc237360860"/>
      <w:r>
        <w:rPr>
          <w:rFonts w:ascii="黑体" w:eastAsia="黑体"/>
          <w:bCs/>
          <w:sz w:val="44"/>
        </w:rPr>
        <w:t xml:space="preserve">第四章 采购需求</w:t>
      </w:r>
      <w:bookmarkEnd w:id="202"/>
      <w:r/>
      <w:r/>
    </w:p>
    <w:p>
      <w:pPr>
        <w:jc w:val="center"/>
        <w:spacing w:before="60" w:after="60" w:line="590" w:lineRule="exact"/>
        <w:rPr>
          <w:rFonts w:hint="eastAsia" w:ascii="宋体" w:hAnsi="宋体" w:cs="方正小标宋_GBK"/>
          <w:sz w:val="24"/>
          <w:szCs w:val="24"/>
          <w:lang w:bidi="ar"/>
        </w:rPr>
      </w:pPr>
      <w:r/>
      <w:bookmarkStart w:id="203" w:name="OLE_LINK25"/>
      <w:r/>
      <w:bookmarkStart w:id="204" w:name="OLE_LINK24"/>
      <w:r/>
      <w:bookmarkStart w:id="205" w:name="_Toc26554093"/>
      <w:r/>
      <w:bookmarkStart w:id="206" w:name="_Toc120614281"/>
      <w:r/>
      <w:bookmarkStart w:id="207" w:name="_Toc49090575"/>
      <w:r/>
      <w:bookmarkEnd w:id="194"/>
      <w:r/>
      <w:bookmarkEnd w:id="195"/>
      <w:r/>
      <w:bookmarkEnd w:id="196"/>
      <w:r/>
      <w:bookmarkEnd w:id="197"/>
      <w:r/>
      <w:r/>
    </w:p>
    <w:p>
      <w:pPr>
        <w:spacing w:line="440" w:lineRule="exact"/>
        <w:rPr>
          <w:rFonts w:hint="eastAsia" w:ascii="宋体" w:hAnsi="宋体" w:cs="Times New Roman"/>
          <w:bCs/>
          <w:sz w:val="24"/>
          <w:szCs w:val="24"/>
        </w:rPr>
      </w:pPr>
      <w:r>
        <w:rPr>
          <w:rFonts w:ascii="宋体" w:hAnsi="宋体" w:cs="Times New Roman"/>
          <w:sz w:val="24"/>
          <w:szCs w:val="24"/>
        </w:rPr>
        <w:t xml:space="preserve">项目属性:服务类项目。</w:t>
      </w:r>
      <w:r/>
    </w:p>
    <w:p>
      <w:pPr>
        <w:spacing w:line="440" w:lineRule="exact"/>
        <w:rPr>
          <w:rFonts w:hint="eastAsia" w:ascii="宋体" w:hAnsi="宋体" w:cs="Times New Roman"/>
          <w:bCs/>
          <w:sz w:val="24"/>
          <w:szCs w:val="24"/>
        </w:rPr>
      </w:pPr>
      <w:r>
        <w:rPr>
          <w:rFonts w:ascii="宋体" w:hAnsi="宋体" w:cs="Times New Roman"/>
          <w:bCs/>
          <w:sz w:val="24"/>
          <w:szCs w:val="24"/>
        </w:rPr>
        <w:t xml:space="preserve">采购标的清单</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4536"/>
        <w:gridCol w:w="2694"/>
      </w:tblGrid>
      <w:tr>
        <w:trPr>
          <w:cantSplit/>
          <w:trHeight w:val="435"/>
        </w:trPr>
        <w:tc>
          <w:tcPr>
            <w:tcW w:w="124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采购包</w:t>
            </w:r>
            <w:r/>
          </w:p>
        </w:tc>
        <w:tc>
          <w:tcPr>
            <w:tcW w:w="453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采购标的</w:t>
            </w:r>
            <w:r/>
          </w:p>
        </w:tc>
        <w:tc>
          <w:tcPr>
            <w:tcW w:w="269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对应中小企业划分标准所属行业</w:t>
            </w:r>
            <w:r/>
          </w:p>
        </w:tc>
      </w:tr>
      <w:tr>
        <w:trPr>
          <w:cantSplit/>
          <w:trHeight w:val="435"/>
        </w:trPr>
        <w:tc>
          <w:tcPr>
            <w:tcW w:w="124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w:t>
            </w:r>
            <w:r/>
          </w:p>
        </w:tc>
        <w:tc>
          <w:tcPr>
            <w:tcW w:w="4536"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ascii="宋体" w:hAnsi="宋体"/>
                <w:sz w:val="24"/>
                <w:szCs w:val="24"/>
              </w:rPr>
              <w:t xml:space="preserve">生态环境执法数智化能力建设项目</w:t>
            </w:r>
            <w:r/>
          </w:p>
        </w:tc>
        <w:tc>
          <w:tcPr>
            <w:tcW w:w="269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软件和信息技术服务业</w:t>
            </w:r>
            <w:r/>
          </w:p>
        </w:tc>
      </w:tr>
    </w:tbl>
    <w:p>
      <w:pPr>
        <w:spacing w:line="440" w:lineRule="exact"/>
        <w:rPr>
          <w:rFonts w:hint="eastAsia" w:ascii="宋体" w:hAnsi="宋体" w:cs="Times New Roman"/>
          <w:sz w:val="24"/>
          <w:szCs w:val="24"/>
        </w:rPr>
      </w:pPr>
      <w:r>
        <w:rPr>
          <w:rFonts w:ascii="宋体" w:hAnsi="宋体" w:cs="Times New Roman"/>
          <w:sz w:val="24"/>
          <w:szCs w:val="24"/>
        </w:rPr>
        <w:t xml:space="preserve">进口产品参与投标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2"/>
        <w:gridCol w:w="7216"/>
      </w:tblGrid>
      <w:tr>
        <w:trPr/>
        <w:tc>
          <w:tcPr>
            <w:tcW w:w="1242" w:type="dxa"/>
            <w:vAlign w:val="center"/>
            <w:textDirection w:val="lrTb"/>
            <w:noWrap w:val="false"/>
          </w:tcPr>
          <w:p>
            <w:pPr>
              <w:jc w:val="center"/>
              <w:rPr>
                <w:rFonts w:hint="eastAsia" w:ascii="宋体" w:hAnsi="宋体"/>
                <w:sz w:val="24"/>
                <w:szCs w:val="24"/>
              </w:rPr>
            </w:pPr>
            <w:r>
              <w:rPr>
                <w:rFonts w:ascii="宋体" w:hAnsi="宋体"/>
                <w:sz w:val="24"/>
                <w:szCs w:val="24"/>
              </w:rPr>
              <w:t xml:space="preserve">采购包号</w:t>
            </w:r>
            <w:r/>
          </w:p>
        </w:tc>
        <w:tc>
          <w:tcPr>
            <w:tcW w:w="7216" w:type="dxa"/>
            <w:vAlign w:val="center"/>
            <w:textDirection w:val="lrTb"/>
            <w:noWrap w:val="false"/>
          </w:tcPr>
          <w:p>
            <w:pPr>
              <w:jc w:val="center"/>
              <w:rPr>
                <w:rFonts w:hint="eastAsia" w:ascii="宋体" w:hAnsi="宋体"/>
                <w:sz w:val="24"/>
                <w:szCs w:val="24"/>
              </w:rPr>
            </w:pPr>
            <w:r>
              <w:rPr>
                <w:rFonts w:ascii="宋体" w:hAnsi="宋体"/>
                <w:sz w:val="24"/>
                <w:szCs w:val="24"/>
              </w:rPr>
              <w:t xml:space="preserve">是否接受进口产品参与投标</w:t>
            </w:r>
            <w:r/>
          </w:p>
          <w:p>
            <w:pPr>
              <w:jc w:val="center"/>
              <w:rPr>
                <w:rFonts w:hint="eastAsia" w:ascii="宋体" w:hAnsi="宋体"/>
                <w:sz w:val="24"/>
                <w:szCs w:val="24"/>
              </w:rPr>
            </w:pPr>
            <w:r>
              <w:rPr>
                <w:rFonts w:ascii="宋体" w:hAnsi="宋体"/>
                <w:sz w:val="24"/>
                <w:szCs w:val="24"/>
              </w:rPr>
              <w:t xml:space="preserve">（是/否）</w:t>
            </w:r>
            <w:r/>
          </w:p>
        </w:tc>
      </w:tr>
      <w:tr>
        <w:trPr/>
        <w:tc>
          <w:tcPr>
            <w:tcW w:w="1242"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W w:w="7216" w:type="dxa"/>
            <w:vAlign w:val="center"/>
            <w:textDirection w:val="lrTb"/>
            <w:noWrap w:val="false"/>
          </w:tcPr>
          <w:p>
            <w:pPr>
              <w:jc w:val="center"/>
              <w:rPr>
                <w:rFonts w:hint="eastAsia" w:ascii="宋体" w:hAnsi="宋体"/>
                <w:sz w:val="24"/>
                <w:szCs w:val="24"/>
              </w:rPr>
            </w:pPr>
            <w:r>
              <w:rPr>
                <w:rFonts w:ascii="宋体" w:hAnsi="宋体"/>
                <w:sz w:val="24"/>
                <w:szCs w:val="24"/>
              </w:rPr>
              <w:t xml:space="preserve">否</w:t>
            </w:r>
            <w:r/>
          </w:p>
        </w:tc>
      </w:tr>
    </w:tbl>
    <w:p>
      <w:pPr>
        <w:spacing w:line="0" w:lineRule="atLeast"/>
        <w:rPr>
          <w:rFonts w:hint="eastAsia" w:ascii="宋体" w:hAnsi="宋体" w:cs="Times New Roman"/>
          <w:b/>
          <w:sz w:val="24"/>
          <w:szCs w:val="24"/>
        </w:rPr>
      </w:pPr>
      <w:r>
        <w:rPr>
          <w:rFonts w:hint="eastAsia" w:ascii="宋体" w:hAnsi="宋体" w:cs="Times New Roman"/>
          <w:b/>
          <w:sz w:val="24"/>
          <w:szCs w:val="24"/>
        </w:rPr>
      </w:r>
      <w:r/>
    </w:p>
    <w:p>
      <w:pPr>
        <w:numPr>
          <w:ilvl w:val="0"/>
          <w:numId w:val="13"/>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项目背景</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加快推进生态环境执法数智化转型，是构建美丽中国数字化治理体系、实现生态环境治理体系和治理能力现代化的重要支撑路径。以大数据、人工智能、区块链等新一代数字技术为代表的数智手段，正在重塑监管范式、优化执法流程、强化风险预警和合规引导。</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当前，生态环境执法面临监管</w:t>
      </w:r>
      <w:r>
        <w:rPr>
          <w:rFonts w:ascii="宋体" w:hAnsi="宋体" w:cs="Times New Roman"/>
          <w:sz w:val="24"/>
          <w:szCs w:val="24"/>
        </w:rPr>
        <w:t xml:space="preserve">任务繁重、违法发现难度大、线索核查周期长等现实挑战，传统依赖人力查办的方式难以满足“精准治污、差异化监管、执法减负并重”的新要求。《关于全面推进美丽中国建设的意见》《关于进一步规范生态环境执法助力优化营商环境的意见》等文件明确提出，要推动非现场检查替代入企执法，以智慧监管提升执法质效，以“执法+服务”促进营商环境优化。同时，生态环境执法工作在全过程中面临效率和规范性的双重挑战，执法中过程记录、取证、文书编制耗时费力，难以实现全程规范留痕，执法后案卷评查和质量监管人力不足、标准不一，影响执法的公信力和透明度。</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在此背景下，亟需通过构建统一、可信、融合的数据技术底座，打通跨域多源环境数据壁垒，构建智能问答助手、辅助执法、辅助处罚等专业模型，支撑基于模型的非现场智能研判能力建设，形成从风险感知、线索发现到核查处置的全链条闭环，推动执法模式由“人防为主”向“技防优先”转变。项目建设将全面提升环境问题识别率、线索处置闭环性和执法透明度，促进“少扰民、高效能、重规范”的执法新格局，为美丽中国建设和生态文明制度落实提供坚实的数智化支撑。</w:t>
      </w:r>
      <w:r/>
    </w:p>
    <w:p>
      <w:pPr>
        <w:numPr>
          <w:ilvl w:val="0"/>
          <w:numId w:val="13"/>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建设目标</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立足现有工作基础，对标生态环境治理现代化更高要求，亟需依托新一代人工智能技术迭代升级智慧监管能力，丰富智能执法应用场景，实现监督帮扶、执法办案全流程智能化升级、规范化运行、标准化落地，全面提升环境执法精准度与履职效能。持续夯实数智执法数据技术底座，统</w:t>
      </w:r>
      <w:r>
        <w:rPr>
          <w:rFonts w:ascii="宋体" w:hAnsi="宋体" w:cs="Times New Roman"/>
          <w:sz w:val="24"/>
          <w:szCs w:val="24"/>
        </w:rPr>
        <w:t xml:space="preserve">筹汇聚全域环境感知监测数据与多维度执法业务数据，构建完善的智慧执法知识体系，形成常态化、专业化的执法知识供给能力，对外输出高质量、标准化的数智执法数据集服务。依托AI算法调优、执法知识建模、关联图谱推理等技术手段全面提升非现场智能研判能力，打造上线非现场预警甄别、非现场执法、非现场处罚等专业化智能服务能力，健全执法线索智能化处置体系，建设集模型线索智能识别、执法任务动态生成、全程响应调度、闭环督办管控于一体的一体化执法任务管理应用，实现环境问题线索从智能发现、精准派单到核查处置、闭环复盘的全流程智能化管控。</w:t>
      </w:r>
      <w:r/>
    </w:p>
    <w:p>
      <w:pPr>
        <w:numPr>
          <w:ilvl w:val="0"/>
          <w:numId w:val="13"/>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建设内容</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（一）夯实数智执法数据技术基础</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1、数智执法语料素材基础建设</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（1）执法语料素材梳理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围绕数智执法体系建设核心需求，从政策法规标准、执法办案案例、一线执法资源、前沿技术成果等方面，统筹开展执法语料素材归集梳理、标准化加工与体系化整编，构建全覆盖、可更新、可复用、可赋能的数智执法知识素材集与专题资源库。</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（2）执法语料素材采集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梳理 AI 非现场执法业务知识体系，搭建执法数据关联图谱与专题数据库，批量采集企业、园区全维度监管资料，依托 AI 多模态识别萃取数据资源，建立执法素材常态化采集更新机制，为智能执法模型研判、办案辅助筑牢数据底座。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（3）执法高质量数据治理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①执法基础高质量数据集建设</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立执法数据标准化治理体系，归集法规案例、企业档案、一线执法资料等全维度素材，完成清洗脱敏、归一标化与要素关联建模，搭建分类标签体系，并建立常态化更新运维与跨平台数据互通机制，夯实智能执法通用数据底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②执法专项高质量数据集建设</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围绕非现场甄别、非现场执法、非现场处罚等三大数智应用场景开展专项场景化数据建模，构建细分专项数据图谱与高质量数据集。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2、数智执法AI业务支持基础建设</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（1）执法专属AI资源管理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①专属AI模型资源接入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省政务云、省生态环境厅统一统筹调配的AI算力底座资源，集约复用主流通用大模型及轻量化基础能力模型，配套建设AI智能网关，作为统一调度入口，实现模型接入、鉴权限流、负载均衡、日志监控、协议转换、服务聚合全流程统一管控，屏蔽底层技术差异，实现模型资源集约化纳管运维。</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②知识素素材源加工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数智执法语料素材建设成果，系统提供生态环境部门分级知识归集、多角色权限查阅、素材全生命周期运营业务场景，支撑部门内部知识沉淀、跨岗位知识共享、标准化知识图谱加工、存量文档归档清理。主要包括执法知识体系构建、执法知识管理、执法知识测试等。</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③可用工具资源接入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搭建全省通用的执法工具资源库，统一归集共享各类业务工具，杜绝重复开发，实现工具集约化复用、规范化管理。提供API工具接入、JS工具接入和MCP工具接入。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（2）执法业务技能池管理</w:t>
      </w:r>
      <w:r/>
    </w:p>
    <w:p>
      <w:pPr>
        <w:ind w:firstLine="480"/>
        <w:spacing w:line="440" w:lineRule="exact"/>
        <w:rPr>
          <w:rFonts w:hint="eastAsia" w:ascii="宋体" w:hAnsi="宋体" w:cs="Times New Roman"/>
          <w:sz w:val="24"/>
          <w:szCs w:val="24"/>
        </w:rPr>
      </w:pPr>
      <w:r>
        <w:rPr>
          <w:rFonts w:ascii="宋体" w:hAnsi="宋体" w:cs="Times New Roman"/>
          <w:sz w:val="24"/>
          <w:szCs w:val="24"/>
        </w:rPr>
      </w:r>
      <w:r>
        <w:rPr>
          <w:rFonts w:ascii="SimSun" w:hAnsi="SimSun" w:eastAsia="SimSun" w:cs="SimSun"/>
          <w:color w:val="000000"/>
          <w:sz w:val="24"/>
        </w:rPr>
        <w:t xml:space="preserve">在统一的底座框架下，</w:t>
      </w:r>
      <w:r>
        <w:rPr>
          <w:rFonts w:ascii="SimSun" w:hAnsi="SimSun" w:eastAsia="SimSun" w:cs="SimSun"/>
          <w:color w:val="000000"/>
          <w:sz w:val="24"/>
        </w:rPr>
        <w:t xml:space="preserve">执法业务技能池管理底层执行底座，</w:t>
      </w:r>
      <w:r>
        <w:rPr>
          <w:rFonts w:ascii="SimSun" w:hAnsi="SimSun" w:eastAsia="SimSun" w:cs="SimSun"/>
          <w:color w:val="000000"/>
          <w:sz w:val="24"/>
        </w:rPr>
      </w:r>
      <w:r>
        <w:rPr>
          <w:rFonts w:ascii="宋体" w:hAnsi="宋体" w:cs="Times New Roman"/>
          <w:sz w:val="24"/>
          <w:szCs w:val="24"/>
        </w:rPr>
        <w:t xml:space="preserve">支持管理人员按需为智能体新增业务技能、下线失效技能，持续完善智能体辅助监管能力。</w:t>
      </w:r>
      <w:r/>
    </w:p>
    <w:p>
      <w:pPr>
        <w:numPr>
          <w:ilvl w:val="0"/>
          <w:numId w:val="15"/>
        </w:numPr>
        <w:spacing w:line="440" w:lineRule="exact"/>
        <w:rPr>
          <w:rFonts w:hint="eastAsia" w:ascii="宋体" w:hAnsi="宋体" w:cs="Times New Roman"/>
          <w:sz w:val="24"/>
          <w:szCs w:val="24"/>
        </w:rPr>
      </w:pPr>
      <w:r>
        <w:rPr>
          <w:rFonts w:ascii="宋体" w:hAnsi="宋体" w:cs="Times New Roman"/>
          <w:sz w:val="24"/>
          <w:szCs w:val="24"/>
        </w:rPr>
        <w:t xml:space="preserve">法业务技能库管理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搭建执法业务技能分类管理体系，支持个人、部门两级技能共建与归口管理，配备标签筛选、关键词检索、批量运维功能，实现各类执法业务技能标准化、集约化管控。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②技能全过程可配置管理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提供一站式技能自主配置能力，支持用户在线搭建、自主登记执法业务技能；可绑定专属模型版本、业务知识资源与工具能力，配套提示词编辑功能，规范指令逻辑、限定输出格式，精准适配各类执法实战场景。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③执法业务技能测试管理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配置可视化技能测试操作台，通过自然语言多场景对话实操，完整展示推理逻辑与运行结果，直观校验技能效果，测试合格后可正式发布上线，保障技能合规可用。</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（3）执法业务智能体库管理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开发智能体在线搭建培育功能，支持各级执法人员自主搭建适配本岗位业务的专</w:t>
      </w:r>
      <w:r>
        <w:rPr>
          <w:rFonts w:ascii="宋体" w:hAnsi="宋体" w:cs="Times New Roman"/>
          <w:sz w:val="24"/>
          <w:szCs w:val="24"/>
        </w:rPr>
        <w:t xml:space="preserve">属智能工作助手，支撑全员参与全省数智执法能力建设。</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①执法业务智能体库管理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搭建分层分类执法智能体资源库，区分个人专属、部门通用智能体分级管理，支持标签筛选、关键词检索、批量运维操作，实现各类办案智能助手集约化、标准化统筹管控。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②执法业务智能体全过程可配置管理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提供一站式智能体自主搭建培育工具，支持用户按需选配模型版本与运行参数，灵活绑定执法技能、工具与知识范围，依托可编辑提示词规范业务流程、交互逻辑与输出格式，适配各类执法办案场景。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面向执法人员提供一站式智能体搭建配置工具，支持自主创建、在线培育各类执法业务智能体。</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③执法业务智能体测试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内置可视化智能体测试操作台，支持自然对话开展多场景办案实操校验，完整展示思考推理链路、业务判断逻辑、交互输入与输出结果，直观核验智能体运行效果。</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④执法业务智能体发布与统计</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可灵活设置多类可见权限，一键发布新版本。实时统计使用人数、次数，留存各版本发布、下架等信息，实现智能体权限管控、版本迭代、使用数据全程可追溯。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（二）提升数智执法非现场研判能力</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1、非现场甄别AI助手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（1）非现场线索辅助数据审核智能体</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建设非现场线索数据审核智能体，自动归集多源多级非现场监管线索并开展智能核验，甄别重复、无效、填报不规范、误报类线索并核验线索真伪。</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提供线索内容合规性审查、重复线索审查、主体资格审查、违法行为审查、线索专业技能研判、企业多维度数据查询技能等，并综合判定及生成审核意见。</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（2）非现场线索标记与自动处置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提供非现场线索自动打标，结合线索类别智能判定处置路径，自动推送企业 “环保脸谱”预警提醒信息或生成执法检查任务，实现线索分级分类闭环处置。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（3）非现场线索接入与研判规则配置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提供对各类非现场监管线索来源与类型的规范化登记和统一管控，可按业务类别灵活配置研判提示词并匹配核查技能。支持智能体自动执行线索全流程审核，也可供审核人员按需手动调用分析能力。</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2、执法检查AI助手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（1）企业环保体检推荐检查指引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针对日常执法任务，建设企业环保行为体检智能体，帮助执法人员生成企业检查指引。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智能体提供企业数据材料完整性检查、关键体检指标评价、综合评价智能生成、智能生成整改建议或执法检查事项等能力，经执法人员对智能生成检查事项确认后，输出检查指引清单。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（2）非现场线索推荐检查指引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针对问题线索所产生的执法任务，建设非现场线索推荐检查要点智能体，系统采集非现场监管线索及数据审核结果，自动识别企业存在的环境违法、违规行为。</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智能体提供问题线索数据材料完整性检查、任务画像指标分析、风险识别与行为分析、AI推理与检查事项生成、检查事项优先级排序、执法检查建议生成等能力。经执法人员对智能生成检查事项确认后，输出检查指引清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（3）非现场勘察笔录辅助制作</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非现场勘察笔录辅助制作智能体。系统调取非现场检查结果、相关证据材料及企业历史档案数据，依托行政执法文书制作规范、非现场检查事项、检查要点及格式知识库，辅助执法人员编制标准化非现场勘察笔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智能体提供非现场勘察数据材料完整性检查、疑似违规或违法问题识别、勘察笔录结构生成、笔录内容生成、风险与疑点提示等能力，经执法人员人工审核后，输出勘察笔录等。</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（4）现场勘察笔录辅助制作</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建设现场勘察笔录辅助制作智能体。系统调取现场检查结果、相关证据材料及企业历史档案数据，依托行政执法文书制作规范、现场检查事项、检查要点及格式知识库，辅助执法人员编制标准化现场勘察笔录。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智能体提供现场勘察数据材料完整性检查、疑似违规或违法问题识别、勘察笔录结构生成、笔录内容生成、风险与疑点提示等能力，经执法人员人工审核后，输出勘察笔录等。</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（5）问询笔录辅助制作</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建设问询笔录辅助制作智能体。系统调取问询结果、相关证据材料及企业历史档案数据，依托行政执法文书制作规范、问询要点及模板知识库，辅助执法人员编制标准化问询笔录。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（6）立案调查辅助取证智能体</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针对发现疑似违法行为情形，建设辅助立案调查取证智能体。智能体提供调查前取证建议、AI事实推理与证据组织、人工审核与确认、证据输出与辅助立案等能力</w:t>
      </w:r>
      <w:r>
        <w:rPr>
          <w:rFonts w:ascii="SimSun" w:hAnsi="SimSun" w:eastAsia="SimSun" w:cs="SimSun"/>
          <w:color w:val="000000"/>
          <w:sz w:val="24"/>
        </w:rPr>
        <w:t xml:space="preserve">，支持证据保存上链。</w:t>
      </w:r>
      <w:r>
        <w:rPr>
          <w:rFonts w:ascii="宋体" w:hAnsi="宋体" w:cs="Times New Roman"/>
          <w:sz w:val="24"/>
          <w:szCs w:val="24"/>
        </w:rPr>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3、非现场处罚AI助手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（1）行政处罚智能问案</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非现场行政处罚智能问答智能体，提供“拟人化”交互服务，包括支持文字或语音输入进行多轮问答对话、上下文意图关联；对法律法规、案件办理、类案查询、技术标准、常见操作问题等进行条理化完整性的自然语言问答；对相似问题和答案口语化能进行泛化理解回答；对不在知识范围内问题提供拟人化兜底答复，确保答复数据的官方权威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（2）自由裁量辅助应用</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建设自由裁量辅助应用智能体。系统整合法律法规、裁量基准、典型案例及历史办案数据，结合案件违法情节、危害程度等要素，智能推送合规裁量意见，辅助执法人员精准适用裁量标准。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同时对裁量结果自动校验把关，提示裁量偏差、适用不当等问题，引导规范修正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（3）案卷辅助审查与评分归档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①案卷符合性辅助评查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依托文书规范、评查细则、典型案例知识库，开展数据一致性、文书质量、业务逻辑自动校核，输出审查意见及整改方案，辅助审核人员高效开展案卷核查。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②案卷规范性基本要素辅助评查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围绕案卷信息完整性、填报准确性开展智能校验，核查基础信息、文书要素与关联数据合规情况，生成专项评查意见，支撑案卷初审工作。</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③案卷规范性一般行政处罚辅助评查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建设案卷规范性一般行政处罚辅助评查智能体，对案卷数据、文书、执法流程、案件要素开展全维度校核，自动识别案卷瑕疵并输出整改建议，推动一般处罚案卷标准化办理。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④案卷规范性不予行政处罚辅助评查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建设案卷规范性不予行政处罚辅助评查智能体，聚焦适用情形、文书合规性、资料完整性开展专项核验，精准排查案卷问题，输出标准化整改意见，规范不予处罚案卷归档标准。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⑤案卷规范性按日连续处罚辅助评查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建设案卷规范性按日连续处罚辅助评查智能体，重点核验程序合规性、处罚依据、文书要素与数据匹配关系，生成完整评查结论与优化方案，保障专项处罚案卷办理质量。</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⑥案卷规范性查封/扣押辅助评查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建设案卷规范性查封/扣押辅助评查智能体，针对行政强制类案卷开展数据一致性、文书规范性、措施适用性核查，自动输出评查意见，统一环境行政强制案卷制作规范。</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⑦案卷规范性移送拘留辅助评查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建设案卷规范性移送拘留辅助评查智能体，围绕案件定性、证据链、移送文书、执法流程实施精细化审查，输出整改措施，严守涉罪移送案卷合规关口。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⑧案卷规范性移送涉嫌环境污染犯罪辅助评查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建设案卷规范性移送涉嫌环境污染犯罪辅助评查智能体，围绕案件定性、证据链、移送文书、执法流程实施精细化审查，输出整改措施，严守涉罪移送案卷合规关口。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⑨案卷综合评查意见与评分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建设案卷综合评查意见与评分智能体,</w:t>
      </w:r>
      <w:r>
        <w:rPr>
          <w:rFonts w:cs="Times New Roman"/>
          <w:szCs w:val="22"/>
        </w:rPr>
        <w:t xml:space="preserve"> </w:t>
      </w:r>
      <w:r>
        <w:rPr>
          <w:rFonts w:ascii="宋体" w:hAnsi="宋体" w:cs="Times New Roman"/>
          <w:sz w:val="24"/>
          <w:szCs w:val="24"/>
        </w:rPr>
        <w:t xml:space="preserve">对照评查标准自动逐项计分、汇总得分，智能生成标准化评查意见，精准定位案卷短板并提供整改建议，持续提升案卷规范化水平。</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⑩案件卷宗辅助归档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建设案卷自动电子归档智能体，遵循档案管理规范自动完成案卷分类、编号、目录编制与材料归集，同步校验归档完整性与格式合规性，简化归档流程，提升电子卷宗管理效能。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（三）完善线索智能研判派发能力</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1、执法线索库数智交互功能改造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（1）线索集成与展示</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开展执法线索库功能升级，新增线索来源以及办理情况两大统计分析模块。同步发布标准化线索接入API，统一数据格式、校验规则与输出标准，严控数据质量。支持省、市多级联动接入与协同处置，实现线索全流程规范化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（2）新建数据审查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①待数据审查任务</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系统集中展示全部待智能审查任务记录，支持业务人员任选申报条目查看完整申报详情，跳转智能数据审查看板开展非现场线索智能研判。提供办结档案查询功能，</w:t>
      </w:r>
      <w:r>
        <w:rPr>
          <w:rFonts w:ascii="宋体" w:hAnsi="宋体" w:cs="Times New Roman"/>
          <w:sz w:val="24"/>
          <w:szCs w:val="24"/>
        </w:rPr>
        <w:t xml:space="preserve">可回溯历史处置记录。支持通过自然语言下发审查指令，由系统自动完成全流程数据核查工作。</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②数据审查看板</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依托专属审查看板集中展示线索、企业主体信息及非现场甄别智能研判结论；配备树形目录导航，便于对照审核要点快速定位核查内容。支持审查人员输入自然语言指令，对 AI 初审结果开展深度复核分析，保障审查结论全面准确。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③人工审查介入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支持人工介入智能审查流程，录入研判需求触发系统二次复盘分析；开放企业画像等智能分析技能库，工作人员可按需选用技能开展补充研判，构建人机协同复核工作机制。</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④出具智能审查意见</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人工复核完成后，系统汇总 AI 研判、人工核查全部记录，自动预生成标准化技术审查意见，经业务人员确认后生效归档。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（4）线索自动调度与跟踪</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接收非现场甄别研判结论与调度建议，实行线索分级处置：轻微问题，生成预警提醒信息，推送至企业“环保脸谱”督促整改；涉嫌违法问题，生成非现场或现场执法检查任务工单。在原有全流程跟踪基础上，新增企业签收、整改进度跟踪能力。</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2、执法任务库数智交互功能改造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（1）事前执法检查方案管理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接入执法检查AI助手，新增事前执法检查方案管理。针对线索类检查任务，依托非现场线索指引智能体，结合线索及任务详情自动生成检查事项与优先级；常规检查任务可通过企业环保体检智能体精准识别企业风险点位、匹配重点检查内容，执法人员确认方案后即可依规开展执法检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（2）非现场执法智能化改造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①非现场执法界面改造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改造非现场执法界面，新增可根据执法检查索引，动态加载企业干系数据，并引导记录检查结论。</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②集成非现场执法助手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归集全量核查与研判数据，依托 AI 自动生成标准化勘察笔录、检查结论文书。支持人机交互式办案，可一键调取法规案例、业务数据及个人知识库，实现办案即时检索、实时答疑。</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③辅助问题处置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系统依据现场核查结论智能识别管理短板与违法情形，自动推送整改提示、违法风险预警等提醒信息，引导执法人员规范开展现场处置、整改告知等后续流程，实现检查与处置工作无缝衔接。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（3）现场执法（平板端）智能交互功能改造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①现场执法</w:t>
      </w:r>
      <w:bookmarkStart w:id="208" w:name="OLE_LINK7"/>
      <w:r>
        <w:rPr>
          <w:rFonts w:ascii="宋体" w:hAnsi="宋体" w:cs="Times New Roman"/>
          <w:sz w:val="24"/>
          <w:szCs w:val="24"/>
        </w:rPr>
        <w:t xml:space="preserve">（平板端）</w:t>
      </w:r>
      <w:bookmarkEnd w:id="208"/>
      <w:r>
        <w:rPr>
          <w:rFonts w:ascii="宋体" w:hAnsi="宋体" w:cs="Times New Roman"/>
          <w:sz w:val="24"/>
          <w:szCs w:val="24"/>
        </w:rPr>
        <w:t xml:space="preserve">智能化改造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●执法模块多端联动</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支持现场执法（手机端）定位签到、现场证据采集等业务数据与现场执法（平板端）实时同步，实现省厅执法业务相关管理平台与现场执法（平板端）双向数据互通、业务联动，打通线上管控与线下执法链路，构建一体化闭环执法体系。</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●执法界面智能化改造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集成事前标准化执法指引，分步引导现场规范检查；将现场勘察、询问取证与智能助手深度融合，自动辅助生成各类笔录、智能输出核查结论，同步推送风险整改提示。</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●辅助执法立案衔接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依托立案取证辅助智能体，协助执法人员合规采集证据，取证数据自动同步业务系统，智能预生成立案登记模板，经人工核对完善后即可发起立案审批。</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②新增移动源执法专题</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新增移动源执法专属模块，整合执法待办、业务申请、标准化作业、记录查询与数据统计能力，落实移动源执法标准化流程。支持历史存量数据批量导入。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（4）现场执法（手机端）升级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升级现场执法（手机端）应用，支持执法人员在线接收执法检查任务，依托手机端完成定位签到、检查记录填报、现场证据采集等全流程现场操作。</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3、执法案件中心数智交互功能改造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（1）非现场处罚AI助手集成</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依托案卷质量管理系统集成非现场处罚AI助手，办案人员可在案件办理全流程随时调用，快速检索法规条文、典型案例、裁量参考资料，并通过可视化对话交互窗口，支持通过自然语言开展智能问询辅助办案。</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（2）案卷动态审查看板</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①案件办理动态审查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系统集成非现场处罚智能助手，搭建案卷智慧审查看板。系统通过获取案卷质量</w:t>
      </w:r>
      <w:r>
        <w:rPr>
          <w:rFonts w:ascii="宋体" w:hAnsi="宋体" w:cs="Times New Roman"/>
          <w:sz w:val="24"/>
          <w:szCs w:val="24"/>
        </w:rPr>
        <w:t xml:space="preserve">管理系统的当前案件执行办理流程、卷宗资料、待审查节点信息，对该节点文书材料开展全自动智能审查，实时推送核查结论与问题提示。</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支持自动生成案件审查、处罚告知、听证文书、法制审核、处罚决定、不予处罚决定、结案审批等多类型执法文书。</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审查人员可以对审查内容提出分析建议，系统识别意图可重新补充分析研判；待人工核查完毕后。系统自动收集智能审查、人工技术核查等信息，预生成技术审查意见，经由人工审核确认后生效。</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②案卷质量事后审查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系统集中展示办结待复核案卷清单，支持调取完整卷宗、跳转智能审查看板开展智能化质量核验。可回溯历史审查记录，支持自然语言下发核查指令，自动完成案卷复核分析。</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③案卷质量事后评分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依托案卷评查规则与专属智能体，自动校验文书、流程、证据等合规要素并核算案卷得分，支持人工修正分值、增补评查批注，形成完整规范的案卷评查结果。</w:t>
      </w:r>
      <w:r/>
    </w:p>
    <w:p>
      <w:pPr>
        <w:ind w:firstLine="480"/>
        <w:spacing w:line="440" w:lineRule="exact"/>
      </w:pPr>
      <w:r>
        <w:rPr>
          <w:rFonts w:ascii="宋体" w:hAnsi="宋体" w:cs="Times New Roman"/>
          <w:sz w:val="24"/>
          <w:szCs w:val="24"/>
        </w:rPr>
        <w:t xml:space="preserve">④案卷质量动态归档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从材料完整性、审批节点办结状态双维度自动校验，对缺件、未闭环事项预警提示，全程跟踪送达、整改等处置任务。自动生成标准化卷宗目录，全量归集线索、文书、审查及处置资料，校验通过后支持一键电子归档，构建可检索、可溯源的案卷全生命周期闭环管理体系。</w:t>
      </w:r>
      <w:r/>
    </w:p>
    <w:p>
      <w:pPr>
        <w:numPr>
          <w:ilvl w:val="0"/>
          <w:numId w:val="13"/>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总体技术要求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本项目建设全过程严格贯彻“统一规划、统一标准、联通共享、统分结合、安全可靠”的建设原则，严格执行省生态环境智慧监管平台软件工程实施规范，全面落实标准化、规范化工程建设管理要求，确保项目系统集成高效、资源共享互通、操作便捷实用、运维简易可控、实施全程规范。</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（一）标准规范要求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系统严格遵循软件工程全流程实施规范，统筹保障系统技术先进性、业务易用性、功能可扩展性与运维便捷性；系统建设须严格遵照《</w:t>
      </w:r>
      <w:bookmarkStart w:id="209" w:name="OLE_LINK41"/>
      <w:r/>
      <w:bookmarkStart w:id="210" w:name="OLE_LINK42"/>
      <w:r>
        <w:rPr>
          <w:rFonts w:ascii="宋体" w:hAnsi="宋体" w:cs="Times New Roman"/>
          <w:sz w:val="24"/>
          <w:szCs w:val="24"/>
        </w:rPr>
        <w:t xml:space="preserve">江苏省生态环境智慧监管平台管理办法（试运行）</w:t>
      </w:r>
      <w:bookmarkEnd w:id="209"/>
      <w:r/>
      <w:bookmarkEnd w:id="210"/>
      <w:r>
        <w:rPr>
          <w:rFonts w:ascii="宋体" w:hAnsi="宋体" w:cs="Times New Roman"/>
          <w:sz w:val="24"/>
          <w:szCs w:val="24"/>
        </w:rPr>
        <w:t xml:space="preserve">》以及配套应用集成、数据集成、安全集成、基础设施集成等技术规范；系统整体架构深度融入省生态环境智慧监管平台顶层设计体系，方案设计、接口开发、数据交互、软硬件部署等技术环节，均须契合省生态环境智慧监管平台统一技术管控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（二）业务设计要求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业务设计应符合生态环境管理最新政策以及工作文件要求，基于充分的业务调研与需求分析，形成完整的《需求规格说明书》和相关设计文档；系统应支持跨业务域协同能力，实现跨部门业务模块的联动贯通。</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（三）应用要求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应坚持“存量兼容、增量优化”原则，对已建系统或已建可重复利用信息化资源必须实现平滑集成，不得形成数据孤岛或重复建设，确保业务连续性与历史数据完整继承；系统应遵循云服务与“微服务、组件化”架构理念，具备高内聚、低耦合、可插拔能力，支持组件化部署、服务独立扩展与灰度发布，避免单点依赖与整体性风险。</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（四）数据要求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数据库须严格依托总体数据架构统筹规划、统一设计，梳理形成完整的本项目业务数据产出清单及外部数据需求清单。系统须同步提供规范化的建库、建表语句，支撑省生态环境智慧监管平台数据底座统一部署建库、统一归口管理；业务数据须严格遵照数据标准、接口规范及归集要求，全量完整、合规、有序接入省生态环境智慧监管平台数据底座，确保全域数据统一汇聚、统一治理、统一共享、统一应用。</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（五）安全要求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1、系统安全须符合省生态环境智慧监管平台统一安</w:t>
      </w:r>
      <w:r>
        <w:rPr>
          <w:rFonts w:ascii="宋体" w:hAnsi="宋体" w:cs="Times New Roman"/>
          <w:sz w:val="24"/>
          <w:szCs w:val="24"/>
        </w:rPr>
        <w:t xml:space="preserve">全体系要求，严格遵循“最小权限”原则，制定身份认证、访问控制、数据加密等机制，并具备基础防护SQL注入、XSS等攻击的能力；数据传输采用HTTPS、国密算法等加密方式，敏感数据脱敏或加密存储；系统安全建设应符合国家网络安全等级保护三级等保相关要求，按照省生态环境智慧监管平台统一规划开展等保测评；在采购人开展日常安全巡检、漏洞扫描、等保测评、渗透测试等网络安全检查等工作时，须配合检查并及时整改，根据安全隐患和安全事件，对软件、数据、密码等进行安全加固，配合开展中间件系统、数据库管理系统等第三方软件的安全加固。</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根据《中华人民共和国民法典》及《中华人民共和国网络安全法》《中华人民共和国数据安全法》《中华人民共和国个人信息保护法》等有关法律法规及规范性文件的规定，成交供应商须与采购人签订网络安全协议，所有参与运维的人员须提供无违法记录证明。（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（六）网络要求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系统须依据业务运行保障需求，部署于省政务云互联网区、电子政务外网区；若</w:t>
      </w:r>
      <w:r>
        <w:rPr>
          <w:rFonts w:ascii="宋体" w:hAnsi="宋体" w:cs="Times New Roman"/>
          <w:sz w:val="24"/>
          <w:szCs w:val="24"/>
        </w:rPr>
        <w:t xml:space="preserve">涉及生态环境专用网络使用需求的，可部署至生态环境业务专网区。如采用多网区部署模式，须遵循“最小化暴露攻击面”原则，结合实际业务访问场景，配套建设合规的数据交换通道，实现跨网安全可控的数据交互与应用穿透访问，全程满足省级政务网络安全隔离与互通管理相关规定。</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（七）集成要求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电脑端应用入口须严格遵照省生态环境智慧监管平台技术规范，统一集成至江苏省生态环境厅环保云桌面。移动端应用入口应对接全省统一执法移动端应用；系统如面向排污企业、第三方服务单位提供线上服务功能，相关服务入口须依据既定集成标准，统一接入企业端“环保脸谱”应用，实现各类业务应用集中归口、一体化访问。</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（八）信创要求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按照省级相关主管部门及省生态环境厅信息化安全建设统一部署，系统全流程适配信创技术体系，可基于国产中央处理器、国产操作系统、国产数据库、国产中间件完成开发、部署、实施与常态化运行。系统应使用符合信创要求的数据库，对于有集群化、分布式部署要求的系统，应按要求使用相关技术进行部署。系统须全面兼容各类国产主流浏览器及市面通用主流浏览器，保障不同终端环境下稳定、正常访问。</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（九）性能与可靠性要求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承载能力须满足不少于200名用户同时在线、20名用户并发访问使用；页面及业务功能响应时效严格达标，非业务高峰时段单次操作响应时长不超过1秒，业务高峰时段单次操作响应时长不超过3秒。系统运行稳定可靠，全年累计故障停机时长不超过1天，故障发生后平均修复时长控制在1小时以内。</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（十）易用性要求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界面视觉风格、版式规范须与省生态环境智慧监管平台保持统一。客户端所需配套插件、运行组件采用一体化安装包，支持一键式部署安装；系统内置完整在线联机帮助模块，操作指引清晰完备，便于操作人员自主查阅使用。</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五、服务要求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1、成交供应商应遵照《江苏省生态环境业务信息系统建设管理办法（试行）》开展工作。</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2、成交供应商应具备完善的项目管理体系，能够对进度、质量、变更进行全面的控制，对代码、文档进行完备的版本管理，并保证项目过程中的沟通顺畅。</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3、成交供应商应有严格的质量控制管理体系，系统的开发、测试、安装、调试</w:t>
      </w:r>
      <w:r>
        <w:rPr>
          <w:rFonts w:ascii="宋体" w:hAnsi="宋体" w:cs="Times New Roman"/>
          <w:sz w:val="24"/>
          <w:szCs w:val="24"/>
        </w:rPr>
        <w:t xml:space="preserve">过程中相关的技术文档必须按照采购人的要求，提交相应的规范文件，由采购人统一管理。同时成交供应商须具备良好的软件质量保证机制，对项目各个阶段的质量进行控制。</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4、成交供应商应制定项目计划安排，按照计划开发实施，每周总结并提交周报（内容包括但不限于进度、问题、需协调的资源等），对项目过程进行追踪和控制。</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5、成交供应商应积极配合采购人的管理，严格按照有关要求实施项目，积极落实采购人提出的整改要求。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6、成交供应商在完成系统开发和系统自测后，应再通过有相关资质的第三方测试机构对系统进行测评，第三方测评费用应包含在本项目投标总报价中。</w:t>
      </w:r>
      <w:r>
        <w:rPr>
          <w:rFonts w:cs="Times New Roman"/>
          <w:sz w:val="24"/>
          <w:szCs w:val="24"/>
        </w:rPr>
        <w:t xml:space="preserve">必须通过系统测评并取得测评报告后方可申请验收</w:t>
      </w:r>
      <w:r>
        <w:rPr>
          <w:rFonts w:ascii="宋体" w:hAnsi="宋体" w:cs="Times New Roman"/>
          <w:sz w:val="24"/>
          <w:szCs w:val="24"/>
        </w:rPr>
        <w:t xml:space="preserve">，</w:t>
      </w:r>
      <w:r>
        <w:rPr>
          <w:rFonts w:cs="Times New Roman"/>
          <w:sz w:val="24"/>
          <w:szCs w:val="24"/>
        </w:rPr>
        <w:t xml:space="preserve">如因成交供应商提交测评的系统质量问题导致项目延期或第三方测评次数增多并产生额外费用的，均由成交供应商承担责任和费用。</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7、对于因成交供应商原因造成项目质量不合格、项目延期等问题，采购人有权利依照合同对成交供应商进行经济处罚。</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六、项目团队要求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为保障项目的顺利实施，供应商须有严谨的项目组织，须建立项目领导组、实施组、质保组、设计组、开发组、测试组、运维组和验收组等职能小组，实行项目领导小组负责制，从组织和管理上保证整个项目统一规划，统一管理，统一标准。</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2、供应商须建立健全保障项目顺利实施的各项管理制度和质量保证体系；安排专职的项目经理和足够的高素质专业技术人员参加本项目建设工作。</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3、项目经理须具有丰富的项目管理及运营服务工作经验，项目经理全程负责本项目工作，不得无故更换,项目组成员一经确认，如需变更需征得采购人书面批准。</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4、实施双方成员的职责要明晰、确定，并且须落到实处。供应商保证经采购人确认的项目组能够按照要求提供现场开发服务，现场实施人员须服从采购人统一管理。</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5、供应商成交后应组织项目团队提供本地服务，其中实施组负责人、设计组负责人、开发组负责人等关键角色需保证全程驻场。</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七、项目培训要求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供应商需免费向本项目中所涉及的用户提供培训，保证用户能够进行系统的运行管理、操作、日常维护与故障分析处理等工作。具体培训要求包括：</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1、供应商须安排具有项目相关专业背景的技术人员作为培训教师。</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2、供应商应为采购人提供包括但不限于下列几个方面的培训:项目管理培训；系统业务操作培训；系统管理、维护工具培训；供应商认为必要的其他培训。</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3、供应商负责提供培训所需计划和电子版资料，培训教材包括视频教材、WORD用户手册、培训PPT，培训所使用的语言和教材必须是中文。用户单位有权在系统内部使用这些培训资料。</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4、培训形式：采用线上、线下相结合的方式开展培训，供应商可结合项目实际情况灵活安排培训形式，保障参训人员能够掌握培训技能。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5、培训次数：培训次数不少于2次，并做好参训登记工作。</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八、项目文档要求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供应商除在规定时间内按照招标文件的要求完成本项目的调研、设计、系统开发、调试、对接、测试等工作外，还应向用户方提供计算机软件光盘，并提交相关技术文档并提供明确的交付清单。同时，成果和文档资料必须符合软件工程及项目竣工验收的相关要求，所有交付的文档包括但不限于：需求规格说明书、设计文档、开发文档、测试报告、操作手册、安装部署手册等。</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九、知识产权要求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1、本项目中建设的所有软件系统所有权（含数据所有权）归采购人所有，系统验收后供应商应向采购人移交相关源代码。</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供应商自行采购开发过程中所使用的开发平台、插件、第三方中间件、数据库等正版软件，保证采购人在拥有系统（包括系统所使用第三方的中间件或数据库等）所有权的过程中不产生任何侵权行为，否则，供应商须承担由此产生的所有相关法律责任。</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十、保密要求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供应商应对项目技术文件以及由采购人提供的所有内部资料、技术文档、数据和信息予以保密；供应商应与采购人签订保密协议并严格遵守，未经采购人书面许可，供应商不得以任何形式向第三方透露本项目文件、技术方案等内容。</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2、成交供应商驻场工作人员应签订保密承诺书，承诺内容需得到采购人认可，并与合同、保密协议一并提交给采购人。</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（以上提供承诺函）</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r>
      <w:r/>
    </w:p>
    <w:p>
      <w:pPr>
        <w:jc w:val="center"/>
        <w:spacing w:line="540" w:lineRule="exact"/>
        <w:rPr>
          <w:rFonts w:hint="eastAsia" w:ascii="方正小标宋_GBK" w:hAnsi="方正小标宋_GBK" w:eastAsia="方正小标宋_GBK" w:cs="方正小标宋_GBK"/>
          <w:b/>
          <w:bCs/>
          <w:sz w:val="44"/>
          <w:szCs w:val="44"/>
        </w:rPr>
      </w:pPr>
      <w:r>
        <w:rPr>
          <w:rFonts w:ascii="方正小标宋_GBK" w:hAnsi="方正小标宋_GBK" w:eastAsia="方正小标宋_GBK" w:cs="方正小标宋_GBK"/>
          <w:b/>
          <w:bCs/>
          <w:sz w:val="44"/>
          <w:szCs w:val="44"/>
        </w:rPr>
        <w:t xml:space="preserve">保  密  承  诺  书</w:t>
      </w:r>
      <w:r/>
    </w:p>
    <w:p>
      <w:pPr>
        <w:jc w:val="center"/>
        <w:spacing w:line="540" w:lineRule="exact"/>
        <w:rPr>
          <w:rFonts w:hint="eastAsia" w:ascii="方正楷体_GBK" w:hAnsi="方正楷体_GBK" w:eastAsia="方正楷体_GBK" w:cs="方正楷体_GBK"/>
          <w:b/>
          <w:bCs/>
          <w:szCs w:val="22"/>
        </w:rPr>
      </w:pPr>
      <w:r>
        <w:rPr>
          <w:rFonts w:hint="eastAsia" w:ascii="方正楷体_GBK" w:hAnsi="方正楷体_GBK" w:eastAsia="方正楷体_GBK" w:cs="方正楷体_GBK"/>
          <w:b/>
          <w:bCs/>
          <w:szCs w:val="22"/>
        </w:rPr>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我了解有关保密法规制度，知悉应当承担的保密义务和法律责任。本人庄严承诺：</w:t>
      </w:r>
      <w:r/>
    </w:p>
    <w:p>
      <w:pPr>
        <w:numPr>
          <w:ilvl w:val="0"/>
          <w:numId w:val="14"/>
        </w:numPr>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严格遵守国家保密法律、法规和规章制度，履行保密义务；</w:t>
      </w:r>
      <w:r/>
    </w:p>
    <w:p>
      <w:pPr>
        <w:numPr>
          <w:ilvl w:val="0"/>
          <w:numId w:val="14"/>
        </w:numPr>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严格遵守《国家机关工作人员保密守则》和《驻场运维人员保密纪律十严禁》有关条款；</w:t>
      </w:r>
      <w:r/>
    </w:p>
    <w:p>
      <w:pPr>
        <w:numPr>
          <w:ilvl w:val="0"/>
          <w:numId w:val="14"/>
        </w:numPr>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不提供虚假个人信息，自愿接受政治和保密审查；</w:t>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违反上述承诺，自愿承担一切行政和法律后果。</w:t>
      </w:r>
      <w:r/>
    </w:p>
    <w:p>
      <w:pPr>
        <w:ind w:firstLine="642"/>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附件：1.国家机关工作人员保密守则</w:t>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      2. 驻场运维人员保密纪律十严禁</w:t>
      </w:r>
      <w:r/>
    </w:p>
    <w:p>
      <w:pPr>
        <w:ind w:firstLine="642"/>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316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承诺人签名：</w:t>
      </w:r>
      <w:r/>
    </w:p>
    <w:p>
      <w:pPr>
        <w:ind w:firstLine="5271"/>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年  月  日 </w:t>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jc w:val="left"/>
        <w:widowControl/>
        <w:rPr>
          <w:rFonts w:hint="eastAsia" w:ascii="黑体" w:hAnsi="黑体" w:eastAsia="黑体" w:cs="方正仿宋_GBK"/>
          <w:b/>
          <w:bCs/>
          <w:sz w:val="28"/>
          <w:szCs w:val="28"/>
        </w:rPr>
      </w:pPr>
      <w:r>
        <w:rPr>
          <w:rFonts w:ascii="黑体" w:hAnsi="黑体" w:eastAsia="黑体" w:cs="方正仿宋_GBK"/>
          <w:b/>
          <w:bCs/>
          <w:sz w:val="28"/>
          <w:szCs w:val="28"/>
        </w:rPr>
        <w:t xml:space="preserve">附件1</w:t>
      </w:r>
      <w:r/>
    </w:p>
    <w:p>
      <w:pPr>
        <w:jc w:val="center"/>
        <w:spacing w:line="540" w:lineRule="atLeast"/>
        <w:shd w:val="clear" w:color="auto" w:fill="ffffff"/>
        <w:widowControl/>
        <w:rPr>
          <w:rFonts w:hint="eastAsia" w:ascii="微软雅黑" w:hAnsi="微软雅黑" w:eastAsia="微软雅黑" w:cs="微软雅黑"/>
          <w:sz w:val="12"/>
          <w:szCs w:val="12"/>
        </w:rPr>
      </w:pPr>
      <w:r>
        <w:rPr>
          <w:rFonts w:ascii="方正小标宋_GBK" w:hAnsi="方正仿宋_GBK" w:eastAsia="方正小标宋_GBK" w:cs="方正仿宋_GBK"/>
          <w:b/>
          <w:bCs/>
          <w:sz w:val="44"/>
          <w:szCs w:val="44"/>
        </w:rPr>
        <w:t xml:space="preserve">国家机关工作人员保密守则</w:t>
      </w:r>
      <w:r/>
    </w:p>
    <w:p>
      <w:pPr>
        <w:ind w:firstLine="422"/>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（一）不该说的国家秘密，绝对不说；</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（二）不该问的国家秘密，绝对不问；</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（三）不该看的国家秘密，绝对不看；</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（四）不该记录的国家秘密，绝对不记录；</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（五）不在私人交往中涉及国家秘密；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（六）不在公共场所谈论和处理国家秘密事项；</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（七）不在没有保障的地方存放国家秘密；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（八）不用普通电话、明码电报、普通邮政传递国家秘密；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（九）不准擅自复制国家秘密；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（十）不携带国家秘密文件、资料、物品参观、游览和探亲访友。</w:t>
      </w:r>
      <w:r/>
    </w:p>
    <w:p>
      <w:pPr>
        <w:spacing w:line="440" w:lineRule="exact"/>
        <w:rPr>
          <w:rFonts w:hint="eastAsia" w:ascii="宋体" w:hAnsi="宋体" w:cs="Times New Roman"/>
          <w:sz w:val="24"/>
          <w:szCs w:val="24"/>
        </w:rPr>
      </w:pPr>
      <w:r>
        <w:rPr>
          <w:rFonts w:hint="eastAsia" w:ascii="宋体" w:hAnsi="宋体" w:cs="Times New Roman"/>
          <w:sz w:val="24"/>
          <w:szCs w:val="24"/>
        </w:rPr>
      </w:r>
      <w:r/>
    </w:p>
    <w:p>
      <w:pPr>
        <w:jc w:val="left"/>
        <w:spacing w:line="540" w:lineRule="atLeast"/>
        <w:shd w:val="clear" w:color="auto" w:fill="ffffff"/>
        <w:widowControl/>
        <w:rPr>
          <w:rFonts w:hint="eastAsia" w:ascii="黑体" w:hAnsi="黑体" w:eastAsia="黑体" w:cs="方正仿宋_GBK"/>
          <w:b/>
          <w:bCs/>
          <w:sz w:val="28"/>
          <w:szCs w:val="28"/>
        </w:rPr>
      </w:pPr>
      <w:r>
        <w:rPr>
          <w:rFonts w:ascii="黑体" w:hAnsi="黑体" w:eastAsia="黑体" w:cs="方正仿宋_GBK"/>
          <w:b/>
          <w:bCs/>
          <w:sz w:val="28"/>
          <w:szCs w:val="28"/>
        </w:rPr>
        <w:t xml:space="preserve">附件2</w:t>
      </w:r>
      <w:r/>
    </w:p>
    <w:p>
      <w:pPr>
        <w:jc w:val="center"/>
        <w:spacing w:line="590" w:lineRule="exact"/>
        <w:rPr>
          <w:rFonts w:hint="eastAsia" w:ascii="方正小标宋_GBK" w:hAnsi="方正仿宋_GBK" w:eastAsia="方正小标宋_GBK" w:cs="方正仿宋_GBK"/>
          <w:b/>
          <w:bCs/>
          <w:sz w:val="44"/>
          <w:szCs w:val="44"/>
        </w:rPr>
      </w:pPr>
      <w:r>
        <w:rPr>
          <w:rFonts w:ascii="方正小标宋_GBK" w:hAnsi="方正仿宋_GBK" w:eastAsia="方正小标宋_GBK" w:cs="方正仿宋_GBK"/>
          <w:b/>
          <w:bCs/>
          <w:sz w:val="44"/>
          <w:szCs w:val="44"/>
        </w:rPr>
        <w:t xml:space="preserve">驻场运维人员保密纪律十严禁</w:t>
      </w:r>
      <w:r/>
    </w:p>
    <w:p>
      <w:pPr>
        <w:ind w:firstLine="420"/>
        <w:spacing w:line="540" w:lineRule="exact"/>
        <w:rPr>
          <w:rFonts w:hint="eastAsia" w:ascii="方正黑体_GBK" w:hAnsi="方正仿宋_GBK" w:eastAsia="方正黑体_GBK" w:cs="方正仿宋_GBK"/>
          <w:bCs/>
          <w:szCs w:val="22"/>
        </w:rPr>
      </w:pPr>
      <w:r>
        <w:rPr>
          <w:rFonts w:ascii="方正黑体_GBK" w:hAnsi="方正仿宋_GBK" w:eastAsia="方正黑体_GBK" w:cs="方正仿宋_GBK"/>
          <w:bCs/>
          <w:szCs w:val="22"/>
        </w:rPr>
        <w:t xml:space="preserve">驻场运维保障江苏省生态环境监控中心（以下简称中心）的全体人员，必须严格遵守以下保密纪律：</w:t>
      </w:r>
      <w:r/>
    </w:p>
    <w:p>
      <w:pPr>
        <w:ind w:firstLine="407"/>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一、严禁翻看、摘录、传播属国家秘密信息；</w:t>
      </w:r>
      <w:r/>
    </w:p>
    <w:p>
      <w:pPr>
        <w:spacing w:line="540" w:lineRule="exact"/>
        <w:rPr>
          <w:rFonts w:ascii="方正黑体_GBK" w:eastAsia="方正黑体_GBK" w:cs="Times New Roman"/>
          <w:szCs w:val="22"/>
        </w:rPr>
      </w:pPr>
      <w:r>
        <w:rPr>
          <w:rFonts w:ascii="方正黑体_GBK" w:hAnsi="方正仿宋_GBK" w:eastAsia="方正黑体_GBK" w:cs="方正仿宋_GBK"/>
          <w:bCs/>
          <w:szCs w:val="22"/>
        </w:rPr>
        <w:t xml:space="preserve">二、严禁传播江苏省生态环境厅及中心未标注主动公开的所有工作信息；</w:t>
      </w:r>
      <w:r>
        <w:rPr>
          <w:rFonts w:ascii="方正黑体_GBK" w:eastAsia="方正黑体_GBK" w:cs="Times New Roman"/>
          <w:szCs w:val="22"/>
        </w:rPr>
        <w:t xml:space="preserve">严禁变卖、私自处置记录未主动公开信息的文件和办公</w:t>
      </w:r>
      <w:r>
        <w:rPr>
          <w:rFonts w:ascii="方正黑体_GBK" w:hAnsi="宋体" w:eastAsia="方正黑体_GBK" w:cs="宋体"/>
          <w:szCs w:val="22"/>
        </w:rPr>
        <w:t xml:space="preserve">废</w:t>
      </w:r>
      <w:r>
        <w:rPr>
          <w:rFonts w:ascii="方正黑体_GBK" w:eastAsia="方正黑体_GBK" w:cs="Times New Roman"/>
          <w:szCs w:val="22"/>
        </w:rPr>
        <w:t xml:space="preserve">纸；</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三、严禁向无关人员透露、传播江苏省生态环境厅及中心各类会议方案、会议材料、出席人员和会议内容等信息；</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四、严禁向中心外人员透露江苏省生态环境厅及中心所属人员信息、人员分工、人员和车辆动态；</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五、严禁向无关人员透露省部级（含）以上领导指导调研江苏省生态环境工作的有关信息。</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六、严禁向中心外人员透露和传播江苏省生态环境厅及中心内网信息、通讯录信息及信息化建设、通讯设备情况；</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七、严禁向中心外人员透露中心固定资产、设备设施配置及其运行状况；</w:t>
      </w:r>
      <w:r/>
    </w:p>
    <w:p>
      <w:pPr>
        <w:ind w:firstLine="420"/>
        <w:spacing w:line="540" w:lineRule="exact"/>
        <w:rPr>
          <w:rFonts w:hint="eastAsia" w:ascii="方正黑体_GBK" w:hAnsi="方正仿宋_GBK" w:eastAsia="方正黑体_GBK" w:cs="方正仿宋_GBK"/>
          <w:bCs/>
          <w:szCs w:val="22"/>
        </w:rPr>
      </w:pPr>
      <w:r>
        <w:rPr>
          <w:rFonts w:ascii="方正黑体_GBK" w:hAnsi="方正仿宋_GBK" w:eastAsia="方正黑体_GBK" w:cs="方正仿宋_GBK"/>
          <w:bCs/>
          <w:szCs w:val="22"/>
        </w:rPr>
        <w:t xml:space="preserve">八、严禁向无关人员透露信息系统建设情况以及中心已获取或产生的数据资源；</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九、严禁向中心外人员透露江苏省生态环境厅及中心内部管理规定、制度、办法及其有关流程；</w:t>
      </w:r>
      <w:r/>
    </w:p>
    <w:p>
      <w:pPr>
        <w:ind w:firstLine="420"/>
        <w:spacing w:line="540" w:lineRule="exact"/>
        <w:rPr>
          <w:rFonts w:hint="eastAsia" w:ascii="方正黑体_GBK" w:hAnsi="方正仿宋_GBK" w:eastAsia="方正黑体_GBK" w:cs="方正仿宋_GBK"/>
          <w:bCs/>
          <w:szCs w:val="22"/>
        </w:rPr>
      </w:pPr>
      <w:r>
        <w:rPr>
          <w:rFonts w:ascii="方正黑体_GBK" w:hAnsi="方正仿宋_GBK" w:eastAsia="方正黑体_GBK" w:cs="方正仿宋_GBK"/>
          <w:bCs/>
          <w:szCs w:val="22"/>
        </w:rPr>
        <w:t xml:space="preserve">十、严禁向生态监控中心外人员透露江苏省生态环境厅及中心掌握的泄露后会影响社会稳定、造成公众恐慌或损害江苏省生态环境厅及中心声誉的其他信息。</w:t>
      </w:r>
      <w:r/>
    </w:p>
    <w:p>
      <w:pPr>
        <w:spacing w:line="440" w:lineRule="exact"/>
        <w:rPr>
          <w:rFonts w:hint="eastAsia" w:ascii="方正黑体_GBK" w:hAnsi="方正仿宋_GBK" w:eastAsia="方正黑体_GBK" w:cs="方正仿宋_GBK"/>
          <w:bCs/>
          <w:szCs w:val="22"/>
        </w:rPr>
      </w:pPr>
      <w:r>
        <w:rPr>
          <w:rFonts w:hint="eastAsia" w:ascii="方正黑体_GBK" w:hAnsi="方正仿宋_GBK" w:eastAsia="方正黑体_GBK" w:cs="方正仿宋_GBK"/>
          <w:bCs/>
          <w:szCs w:val="22"/>
        </w:rPr>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十一、交货期及交货地点</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（1）交货期：合同签订后5个月内完成实施并部署上线，达到预期目标和功能，进入1个月试运行期（试运行开始时间以上线确认书为准）。</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（2）交货地点：采购人指定地点。</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十二、验收要求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项目按照招标文件及采购人要求完成所有建设内容，并且连续稳定运行1个月，经采购人检查满足验收条件后组织专家对项目进行验收。若项目验收不合格时，成交供应商应负责修改系统，并在达到验收条件时，再次向采购人提出书面验收申请。因成交供应商原因导致系统验收不合格产生的延期及其它系统建设工作成本，由成交供应商承担。成交供应商在本项目投标总报价中应包含项目有关验收费用。</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十三、货款支付</w:t>
      </w:r>
      <w:r/>
    </w:p>
    <w:p>
      <w:pPr>
        <w:ind w:firstLine="420"/>
        <w:spacing w:line="480" w:lineRule="exact"/>
        <w:rPr>
          <w:rFonts w:cs="Times New Roman"/>
          <w:sz w:val="24"/>
          <w:szCs w:val="24"/>
        </w:rPr>
      </w:pPr>
      <w:r/>
      <w:bookmarkStart w:id="211" w:name="_Hlk116473386"/>
      <w:r>
        <w:rPr>
          <w:rFonts w:cs="Times New Roman"/>
          <w:sz w:val="24"/>
          <w:szCs w:val="24"/>
        </w:rPr>
        <w:t xml:space="preserve">（</w:t>
      </w:r>
      <w:r>
        <w:rPr>
          <w:rFonts w:cs="Times New Roman"/>
          <w:sz w:val="24"/>
          <w:szCs w:val="24"/>
        </w:rPr>
        <w:t xml:space="preserve">1</w:t>
      </w:r>
      <w:r>
        <w:rPr>
          <w:rFonts w:cs="Times New Roman"/>
          <w:sz w:val="24"/>
          <w:szCs w:val="24"/>
        </w:rPr>
        <w:t xml:space="preserve">）合同签订并生效，采购人收到发票后</w:t>
      </w:r>
      <w:r>
        <w:rPr>
          <w:rFonts w:cs="Times New Roman"/>
          <w:sz w:val="24"/>
          <w:szCs w:val="24"/>
        </w:rPr>
        <w:t xml:space="preserve">10</w:t>
      </w:r>
      <w:r>
        <w:rPr>
          <w:rFonts w:cs="Times New Roman"/>
          <w:sz w:val="24"/>
          <w:szCs w:val="24"/>
        </w:rPr>
        <w:t xml:space="preserve">个工作日内，采购人向成交供应商支付合同总价款的</w:t>
      </w:r>
      <w:r>
        <w:rPr>
          <w:rFonts w:cs="Times New Roman"/>
          <w:sz w:val="24"/>
          <w:szCs w:val="24"/>
        </w:rPr>
        <w:t xml:space="preserve">50%</w:t>
      </w:r>
      <w:r>
        <w:rPr>
          <w:rFonts w:cs="Times New Roman"/>
          <w:sz w:val="24"/>
          <w:szCs w:val="24"/>
        </w:rPr>
        <w:t xml:space="preserve">；</w:t>
      </w:r>
      <w:r/>
    </w:p>
    <w:p>
      <w:pPr>
        <w:ind w:firstLine="420"/>
        <w:spacing w:line="480" w:lineRule="exact"/>
        <w:rPr>
          <w:rFonts w:cs="Times New Roman"/>
          <w:sz w:val="24"/>
          <w:szCs w:val="24"/>
        </w:rPr>
      </w:pPr>
      <w:r>
        <w:rPr>
          <w:rFonts w:cs="Times New Roman"/>
          <w:sz w:val="24"/>
          <w:szCs w:val="24"/>
        </w:rPr>
        <w:t xml:space="preserve">（</w:t>
      </w:r>
      <w:r>
        <w:rPr>
          <w:rFonts w:cs="Times New Roman"/>
          <w:sz w:val="24"/>
          <w:szCs w:val="24"/>
        </w:rPr>
        <w:t xml:space="preserve">2</w:t>
      </w:r>
      <w:r>
        <w:rPr>
          <w:rFonts w:cs="Times New Roman"/>
          <w:sz w:val="24"/>
          <w:szCs w:val="24"/>
        </w:rPr>
        <w:t xml:space="preserve">）项目通过验收，采购人收到发票后</w:t>
      </w:r>
      <w:r>
        <w:rPr>
          <w:rFonts w:cs="Times New Roman"/>
          <w:sz w:val="24"/>
          <w:szCs w:val="24"/>
        </w:rPr>
        <w:t xml:space="preserve">10</w:t>
      </w:r>
      <w:r>
        <w:rPr>
          <w:rFonts w:cs="Times New Roman"/>
          <w:sz w:val="24"/>
          <w:szCs w:val="24"/>
        </w:rPr>
        <w:t xml:space="preserve">个工作日内，采购人向成交供应商支付余款。</w:t>
      </w:r>
      <w:bookmarkEnd w:id="211"/>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十四、售后服务要求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（1）供应商应具备完善的售后服务体系，根据本项目需求和特点，制定合理可行的售后服务方案，明确服务内容和响应能力。</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（2）在验收合格结束后，成交供应商应提供1年免费质保服务，免费保修期从验收合格之日起计算</w:t>
      </w:r>
      <w:r>
        <w:rPr>
          <w:rFonts w:ascii="SimSun" w:hAnsi="SimSun" w:eastAsia="SimSun" w:cs="SimSun"/>
          <w:color w:val="000000"/>
          <w:sz w:val="24"/>
        </w:rPr>
        <w:t xml:space="preserve">，提供两名驻场维护工程师。</w:t>
      </w:r>
      <w:r>
        <w:rPr>
          <w:rFonts w:ascii="宋体" w:hAnsi="宋体" w:cs="Times New Roman"/>
          <w:sz w:val="24"/>
          <w:szCs w:val="24"/>
        </w:rPr>
        <w:t xml:space="preserve">（提供承诺函）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（3）免费质保期内，若采购人提出对系统的运行与维护有用的技术改进，成交供应商有义务在不超过原有工作量的10%的基础上，按采购人要求提供相应免费的技术支持和改进。（提供承诺函）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（4）供应商提供所投产品所有权属于江苏省生态环境监控中心（江苏省环境信</w:t>
      </w:r>
      <w:r>
        <w:rPr>
          <w:rFonts w:ascii="宋体" w:hAnsi="宋体" w:cs="Times New Roman"/>
          <w:sz w:val="24"/>
          <w:szCs w:val="24"/>
        </w:rPr>
        <w:t xml:space="preserve">息中心）。（提供承诺函）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（5）保修期间发生的任何异常故障和损坏</w:t>
      </w:r>
      <w:r>
        <w:rPr>
          <w:rFonts w:ascii="宋体" w:hAnsi="宋体" w:cs="Times New Roman"/>
          <w:sz w:val="24"/>
          <w:szCs w:val="24"/>
        </w:rPr>
        <w:t xml:space="preserve">(人为损坏除外)</w:t>
      </w:r>
      <w:r>
        <w:rPr>
          <w:rFonts w:ascii="宋体" w:hAnsi="宋体" w:cs="Times New Roman"/>
          <w:sz w:val="24"/>
          <w:szCs w:val="24"/>
        </w:rPr>
        <w:t xml:space="preserve">引起的费用应由成交供应商负责。（提供承诺函）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（6）供应商必须保证投标所涉及的软件不涉及版权问题，否则一切后果由供应商承担。（提供承诺函）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（7）供应商需提供7×24小时运维服务，包括系统巡检、软件版本更新服务和与应用软件联调服务、运行故障的响应与处理、数据备份、用户咨询服务。（提供承诺函）</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十五、履约能力要求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1、供应商具有2023年1月1日（以合同签订日期为准）以来，投标人承担并已完成的环境AI应用、智能环境治理、非现场管控、环境数智一体化相关信息化项目。</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2、投标人具有自主研发能力，具备与本项目相关的AI基础服务类、异动分析及证据采集类、服务智能推荐类相关软件著作权。</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3、供应商具有ISO9001质量管理体系认证证书、ISO14001环境管理体系认证证书，认证范围须为环境管理相关软件设计、开发或研发管理活动</w:t>
      </w:r>
      <w:r>
        <w:rPr>
          <w:rFonts w:hint="eastAsia" w:ascii="宋体" w:hAnsi="宋体" w:cs="Times New Roman"/>
          <w:sz w:val="24"/>
          <w:szCs w:val="24"/>
        </w:rPr>
        <w:t xml:space="preserve">；具有能够接入水、气、污染源、固废等生态环境数据技术能力和企业“环保脸谱”集成能力。</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4、供应商应当</w:t>
      </w:r>
      <w:r>
        <w:rPr>
          <w:rFonts w:ascii="宋体" w:hAnsi="宋体" w:cs="Times New Roman"/>
          <w:sz w:val="24"/>
          <w:szCs w:val="24"/>
        </w:rPr>
        <w:t xml:space="preserve">为本项目提供专业的项目团队。项目经理具有三年以上（含三年）承担过类似项目的项目管理工作经验，并具有系统集成项目管理工程师证书、中级及以上软件设计师证书、高级网络与信息安全工程师证书、IT服务项目经理证书。项目技术负责人具有计算机或环境工程类硕士研究生及以上学历、环境工程类中级工程师及以上职称证书、系统集成项目管理工程师证书、高级人工智能应用工程师证书。项目团队其他成员（不含项目经理、项目技术负责人）具有信息系统项目管理师证书、系统集成项目管理工程师证书、软件设计师证书、网络工程师证书、数据库系统工程师证书、</w:t>
      </w:r>
      <w:r>
        <w:rPr>
          <w:rFonts w:hint="eastAsia" w:ascii="宋体" w:hAnsi="宋体" w:cs="Times New Roman"/>
          <w:sz w:val="24"/>
          <w:szCs w:val="24"/>
        </w:rPr>
        <w:t xml:space="preserve">人工智能应用工程师</w:t>
      </w:r>
      <w:r>
        <w:rPr>
          <w:rFonts w:hint="eastAsia" w:ascii="宋体" w:hAnsi="宋体" w:cs="Times New Roman"/>
          <w:sz w:val="24"/>
          <w:szCs w:val="24"/>
        </w:rPr>
        <w:t xml:space="preserve">证书、</w:t>
      </w:r>
      <w:r>
        <w:rPr>
          <w:rFonts w:ascii="宋体" w:hAnsi="宋体" w:cs="Times New Roman"/>
          <w:sz w:val="24"/>
          <w:szCs w:val="24"/>
        </w:rPr>
        <w:t xml:space="preserve">高级软件测评工程师证书和环境工程专业工程师证书，证明具有服务本项目的能力。</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十六、项目服务方案（不仅限于以下内容）</w:t>
      </w:r>
      <w:r/>
    </w:p>
    <w:p>
      <w:pPr>
        <w:ind w:firstLine="480"/>
        <w:spacing w:line="360" w:lineRule="auto"/>
        <w:rPr>
          <w:rFonts w:hint="eastAsia" w:ascii="宋体" w:hAnsi="宋体" w:cs="宋体"/>
          <w:sz w:val="24"/>
          <w:szCs w:val="24"/>
        </w:rPr>
      </w:pPr>
      <w:r/>
      <w:bookmarkStart w:id="212" w:name="OLE_LINK69"/>
      <w:r/>
      <w:bookmarkStart w:id="213" w:name="OLE_LINK70"/>
      <w:r>
        <w:rPr>
          <w:rFonts w:ascii="宋体" w:hAnsi="宋体" w:cs="宋体"/>
          <w:sz w:val="24"/>
          <w:szCs w:val="24"/>
        </w:rPr>
        <w:t xml:space="preserve">投标人应结合本项目的建设目标、业务现状与服务要求，围绕需求理解、系统功能、系统安全、项目管理、培训、售后服务等内容编制完整方案，保障项目各项建设内容合规落地。</w:t>
      </w:r>
      <w:bookmarkEnd w:id="212"/>
      <w:bookmarkEnd w:id="213"/>
      <w:r/>
    </w:p>
    <w:p>
      <w:pPr>
        <w:ind w:firstLine="480"/>
        <w:spacing w:line="360" w:lineRule="auto"/>
        <w:rPr>
          <w:rFonts w:hint="eastAsia" w:ascii="宋体" w:hAnsi="宋体" w:cs="宋体"/>
          <w:sz w:val="24"/>
          <w:szCs w:val="24"/>
        </w:rPr>
      </w:pPr>
      <w:r>
        <w:rPr>
          <w:rFonts w:ascii="宋体" w:hAnsi="宋体" w:cs="宋体"/>
          <w:sz w:val="24"/>
          <w:szCs w:val="22"/>
        </w:rPr>
        <w:t xml:space="preserve">（一）需求理解方案。</w:t>
      </w:r>
      <w:r>
        <w:rPr>
          <w:rFonts w:ascii="宋体" w:hAnsi="宋体" w:cs="宋体"/>
          <w:sz w:val="24"/>
          <w:szCs w:val="24"/>
        </w:rPr>
        <w:t xml:space="preserve">投标人应根据招标文件项目背景、项目目标等要求制定需</w:t>
      </w:r>
      <w:r>
        <w:rPr>
          <w:rFonts w:ascii="宋体" w:hAnsi="宋体" w:cs="宋体"/>
          <w:sz w:val="24"/>
          <w:szCs w:val="24"/>
        </w:rPr>
        <w:t xml:space="preserve">求理解方案，深度分析项目采购需求，结合业务特点进行现状及问题分析、建设必要性分析、用户需求分析。</w:t>
      </w:r>
      <w:r/>
    </w:p>
    <w:p>
      <w:pPr>
        <w:ind w:firstLine="480"/>
        <w:spacing w:line="360" w:lineRule="auto"/>
        <w:rPr>
          <w:rFonts w:hint="eastAsia" w:ascii="宋体" w:hAnsi="宋体" w:cs="宋体"/>
          <w:sz w:val="24"/>
          <w:szCs w:val="22"/>
        </w:rPr>
      </w:pPr>
      <w:r>
        <w:rPr>
          <w:rFonts w:ascii="宋体" w:hAnsi="宋体" w:cs="宋体"/>
          <w:sz w:val="24"/>
          <w:szCs w:val="22"/>
        </w:rPr>
        <w:t xml:space="preserve">（二）系统功能设计方案</w:t>
      </w:r>
      <w:r/>
    </w:p>
    <w:p>
      <w:pPr>
        <w:ind w:firstLine="480"/>
        <w:spacing w:line="360" w:lineRule="auto"/>
        <w:rPr>
          <w:rFonts w:hint="eastAsia" w:ascii="宋体" w:hAnsi="宋体" w:cs="宋体"/>
          <w:sz w:val="24"/>
          <w:szCs w:val="22"/>
        </w:rPr>
      </w:pPr>
      <w:r>
        <w:rPr>
          <w:rFonts w:ascii="宋体" w:hAnsi="宋体" w:cs="宋体"/>
          <w:sz w:val="24"/>
          <w:szCs w:val="22"/>
        </w:rPr>
        <w:t xml:space="preserve">1、</w:t>
      </w:r>
      <w:bookmarkStart w:id="214" w:name="OLE_LINK88"/>
      <w:r/>
      <w:bookmarkStart w:id="215" w:name="OLE_LINK89"/>
      <w:r>
        <w:rPr>
          <w:rFonts w:ascii="宋体" w:hAnsi="宋体" w:cs="宋体"/>
          <w:sz w:val="24"/>
          <w:szCs w:val="22"/>
        </w:rPr>
        <w:t xml:space="preserve">投标人应根据招标文件</w:t>
      </w:r>
      <w:bookmarkStart w:id="216" w:name="OLE_LINK96"/>
      <w:r/>
      <w:bookmarkStart w:id="217" w:name="OLE_LINK97"/>
      <w:r>
        <w:rPr>
          <w:rFonts w:ascii="宋体" w:hAnsi="宋体" w:cs="宋体"/>
          <w:sz w:val="24"/>
          <w:szCs w:val="22"/>
        </w:rPr>
        <w:t xml:space="preserve">“夯实数智执法数据技术基础”</w:t>
      </w:r>
      <w:bookmarkEnd w:id="216"/>
      <w:r/>
      <w:bookmarkEnd w:id="217"/>
      <w:r>
        <w:rPr>
          <w:rFonts w:ascii="宋体" w:hAnsi="宋体" w:cs="宋体"/>
          <w:sz w:val="24"/>
          <w:szCs w:val="22"/>
        </w:rPr>
        <w:t xml:space="preserve">建设要求编制设计方案</w:t>
      </w:r>
      <w:bookmarkEnd w:id="214"/>
      <w:r/>
      <w:bookmarkEnd w:id="215"/>
      <w:r>
        <w:rPr>
          <w:rFonts w:ascii="宋体" w:hAnsi="宋体" w:cs="宋体"/>
          <w:sz w:val="24"/>
          <w:szCs w:val="22"/>
        </w:rPr>
        <w:t xml:space="preserve">，至少包括数智执法语料素材基础建设（包括执法语料素材梳理、执法语料素材采集、执法高质量数据治理）、数智执法AI业务支持基础建设（包括执法专属AI资源管理、执法业务技能池管理、执法业务智能体库管理）等内容。</w:t>
      </w:r>
      <w:r/>
    </w:p>
    <w:p>
      <w:pPr>
        <w:ind w:firstLine="480"/>
        <w:spacing w:line="360" w:lineRule="auto"/>
        <w:rPr>
          <w:rFonts w:hint="eastAsia" w:ascii="宋体" w:hAnsi="宋体" w:cs="宋体"/>
          <w:sz w:val="24"/>
          <w:szCs w:val="22"/>
        </w:rPr>
      </w:pPr>
      <w:r>
        <w:rPr>
          <w:rFonts w:ascii="宋体" w:hAnsi="宋体" w:cs="宋体"/>
          <w:sz w:val="24"/>
          <w:szCs w:val="22"/>
        </w:rPr>
        <w:t xml:space="preserve">2、投标人应根据招标文件</w:t>
      </w:r>
      <w:bookmarkStart w:id="218" w:name="OLE_LINK98"/>
      <w:r/>
      <w:bookmarkStart w:id="219" w:name="OLE_LINK99"/>
      <w:r>
        <w:rPr>
          <w:rFonts w:ascii="宋体" w:hAnsi="宋体" w:cs="宋体"/>
          <w:sz w:val="24"/>
          <w:szCs w:val="22"/>
        </w:rPr>
        <w:t xml:space="preserve">“提升数智执法非现场研判能力”</w:t>
      </w:r>
      <w:bookmarkEnd w:id="218"/>
      <w:r/>
      <w:bookmarkEnd w:id="219"/>
      <w:r>
        <w:rPr>
          <w:rFonts w:ascii="宋体" w:hAnsi="宋体" w:cs="宋体"/>
          <w:sz w:val="24"/>
          <w:szCs w:val="22"/>
        </w:rPr>
        <w:t xml:space="preserve">建设要求编制设计方案设计方案，至少包括非现场甄别AI助手、执法检查AI助手、非现场处罚AI助手等内容。</w:t>
      </w:r>
      <w:r/>
    </w:p>
    <w:p>
      <w:pPr>
        <w:ind w:firstLine="480"/>
        <w:spacing w:line="360" w:lineRule="auto"/>
        <w:rPr>
          <w:rFonts w:hint="eastAsia" w:ascii="宋体" w:hAnsi="宋体" w:cs="宋体"/>
          <w:sz w:val="24"/>
          <w:szCs w:val="22"/>
        </w:rPr>
      </w:pPr>
      <w:r>
        <w:rPr>
          <w:rFonts w:ascii="宋体" w:hAnsi="宋体" w:cs="宋体"/>
          <w:sz w:val="24"/>
          <w:szCs w:val="22"/>
        </w:rPr>
        <w:t xml:space="preserve">3、投标人应根据招标文件“完善线索智能研判派发能力”建设要求编制设计方案设计方案，至少包括执法线索库数智交互功能改造、执法任务库数智交互功能改造、执法案件中心数智交互功能改造等内容。</w:t>
      </w:r>
      <w:r/>
    </w:p>
    <w:p>
      <w:pPr>
        <w:ind w:firstLine="480"/>
        <w:spacing w:line="360" w:lineRule="auto"/>
        <w:rPr>
          <w:rFonts w:hint="eastAsia" w:ascii="宋体" w:hAnsi="宋体" w:cs="宋体"/>
          <w:sz w:val="24"/>
          <w:szCs w:val="22"/>
        </w:rPr>
      </w:pPr>
      <w:r>
        <w:rPr>
          <w:rFonts w:ascii="宋体" w:hAnsi="宋体" w:cs="宋体"/>
          <w:sz w:val="24"/>
          <w:szCs w:val="22"/>
        </w:rPr>
        <w:t xml:space="preserve">（三）系统安全设计方案。</w:t>
      </w:r>
      <w:bookmarkStart w:id="220" w:name="OLE_LINK78"/>
      <w:r/>
      <w:bookmarkStart w:id="221" w:name="OLE_LINK79"/>
      <w:r/>
      <w:bookmarkStart w:id="222" w:name="OLE_LINK87"/>
      <w:r/>
      <w:bookmarkStart w:id="223" w:name="OLE_LINK123"/>
      <w:r>
        <w:rPr>
          <w:rFonts w:ascii="宋体" w:hAnsi="宋体" w:cs="宋体"/>
          <w:sz w:val="24"/>
          <w:szCs w:val="22"/>
        </w:rPr>
        <w:t xml:space="preserve">投标人应根据招标文件</w:t>
      </w:r>
      <w:bookmarkEnd w:id="220"/>
      <w:r/>
      <w:bookmarkEnd w:id="221"/>
      <w:r/>
      <w:bookmarkEnd w:id="222"/>
      <w:r>
        <w:rPr>
          <w:rFonts w:ascii="宋体" w:hAnsi="宋体" w:cs="宋体"/>
          <w:sz w:val="24"/>
          <w:szCs w:val="22"/>
        </w:rPr>
        <w:t xml:space="preserve">安全要求、网络要求、信创要求制定系统安全设计方案</w:t>
      </w:r>
      <w:bookmarkEnd w:id="223"/>
      <w:r>
        <w:rPr>
          <w:rFonts w:ascii="宋体" w:hAnsi="宋体" w:cs="宋体"/>
          <w:sz w:val="24"/>
          <w:szCs w:val="22"/>
        </w:rPr>
        <w:t xml:space="preserve">，至少包括安全保护总体设计、安全风险分析、安全技术体系、安全管理体系、安全运营体系等内容，须按照“最小权限”原则、“最小化暴露攻击面”原则，重点阐述身份认证、访问控制、系统部署及跨网数据交互、数据传输及存储加密等方面的安全设计。</w:t>
      </w:r>
      <w:r/>
    </w:p>
    <w:p>
      <w:pPr>
        <w:ind w:firstLine="480"/>
        <w:spacing w:line="360" w:lineRule="auto"/>
        <w:rPr>
          <w:rFonts w:hint="eastAsia" w:ascii="宋体" w:hAnsi="宋体" w:cs="Times New Roman"/>
          <w:sz w:val="24"/>
          <w:szCs w:val="24"/>
        </w:rPr>
      </w:pPr>
      <w:r>
        <w:rPr>
          <w:rFonts w:ascii="宋体" w:hAnsi="宋体" w:cs="Times New Roman"/>
          <w:sz w:val="24"/>
          <w:szCs w:val="24"/>
        </w:rPr>
        <w:t xml:space="preserve">（四）项目管理及质量保证方案。投标人应根据招标文件服务要求、项目团队要求、验收要求、项目文档要求、知识产权要求和保密要求等制定项目管理及质量保证方案，至少包括项目管理制度、进度计划安排、进度保障措施、质量保障措施（包括但不限于质量保障组织体系、质量保障管理体系、质量保障方法等）、风险分析及应对措施等内容，明确项目产出物权属、资料保密、人员保密管理相关内容，签订保密承诺，杜绝泄密、违规使用资料等行为。</w:t>
      </w:r>
      <w:r/>
    </w:p>
    <w:p>
      <w:pPr>
        <w:ind w:firstLine="482"/>
        <w:spacing w:line="360" w:lineRule="auto"/>
        <w:rPr>
          <w:rFonts w:hint="eastAsia" w:ascii="宋体" w:hAnsi="宋体" w:cs="Times New Roman"/>
          <w:sz w:val="24"/>
          <w:szCs w:val="24"/>
        </w:rPr>
      </w:pPr>
      <w:r>
        <w:rPr>
          <w:rFonts w:ascii="宋体" w:hAnsi="宋体" w:cs="Times New Roman"/>
          <w:sz w:val="24"/>
          <w:szCs w:val="24"/>
        </w:rPr>
        <w:t xml:space="preserve">（五）培训方案。</w:t>
      </w:r>
      <w:bookmarkStart w:id="224" w:name="OLE_LINK90"/>
      <w:r/>
      <w:bookmarkStart w:id="225" w:name="OLE_LINK91"/>
      <w:r>
        <w:rPr>
          <w:rFonts w:ascii="宋体" w:hAnsi="宋体" w:cs="Times New Roman"/>
          <w:sz w:val="24"/>
          <w:szCs w:val="24"/>
        </w:rPr>
        <w:t xml:space="preserve">投标人应根据招标文件培训要求制定培训方案</w:t>
      </w:r>
      <w:bookmarkEnd w:id="224"/>
      <w:r/>
      <w:bookmarkEnd w:id="225"/>
      <w:r>
        <w:rPr>
          <w:rFonts w:ascii="宋体" w:hAnsi="宋体" w:cs="Times New Roman"/>
          <w:sz w:val="24"/>
          <w:szCs w:val="24"/>
        </w:rPr>
        <w:t xml:space="preserve">，明确培训目标、培训内容、培训方式、培训质量保证等内容。</w:t>
      </w:r>
      <w:r/>
    </w:p>
    <w:p>
      <w:pPr>
        <w:ind w:firstLine="482"/>
        <w:spacing w:line="360" w:lineRule="auto"/>
        <w:rPr>
          <w:rFonts w:cs="Times New Roman"/>
          <w:b/>
          <w:sz w:val="24"/>
          <w:szCs w:val="24"/>
        </w:rPr>
      </w:pPr>
      <w:r>
        <w:rPr>
          <w:rFonts w:ascii="宋体" w:hAnsi="宋体" w:cs="Times New Roman"/>
          <w:sz w:val="24"/>
          <w:szCs w:val="24"/>
        </w:rPr>
        <w:t xml:space="preserve">（六）售后服务方案。投标人应根据招标文件售后服务要求制定售后服务方案，至少包括售后服务体系、服务内容、服务方式、服务承诺、响应能力等内容。</w:t>
      </w:r>
      <w:r/>
    </w:p>
    <w:p>
      <w:pPr>
        <w:rPr>
          <w:rFonts w:cs="Times New Roman"/>
          <w:sz w:val="24"/>
          <w:szCs w:val="24"/>
        </w:rPr>
      </w:pPr>
      <w:r>
        <w:rPr>
          <w:rFonts w:cs="Times New Roman"/>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pStyle w:val="1053"/>
        <w:ind w:firstLine="640"/>
        <w:jc w:val="left"/>
        <w:spacing w:before="181" w:after="181" w:line="400" w:lineRule="exact"/>
        <w:rPr>
          <w:rFonts w:hint="eastAsia" w:ascii="黑体" w:hAnsi="黑体" w:eastAsia="黑体" w:cs="黑体"/>
          <w:b w:val="0"/>
          <w:bCs w:val="0"/>
        </w:rPr>
      </w:pPr>
      <w:r/>
      <w:bookmarkStart w:id="226" w:name="_Toc220489001"/>
      <w:r/>
      <w:bookmarkStart w:id="227" w:name="_Toc227167504"/>
      <w:r>
        <w:rPr>
          <w:rFonts w:hint="eastAsia" w:ascii="黑体" w:hAnsi="黑体" w:eastAsia="黑体" w:cs="黑体"/>
          <w:b w:val="0"/>
          <w:bCs w:val="0"/>
        </w:rPr>
        <w:t xml:space="preserve">十七、政府采购中实施本国产品标准及相关政策</w:t>
      </w:r>
      <w:bookmarkEnd w:id="226"/>
      <w:r/>
      <w:bookmarkEnd w:id="227"/>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br w:type="page" w:clear="all"/>
      </w:r>
      <w:r/>
    </w:p>
    <w:p>
      <w:pPr>
        <w:pStyle w:val="719"/>
        <w:rPr>
          <w:rFonts w:ascii="黑体" w:eastAsia="黑体"/>
          <w:bCs/>
          <w:sz w:val="44"/>
        </w:rPr>
      </w:pPr>
      <w:r/>
      <w:bookmarkStart w:id="228" w:name="_Toc237360861"/>
      <w:r/>
      <w:bookmarkEnd w:id="203"/>
      <w:r/>
      <w:bookmarkEnd w:id="204"/>
      <w:r>
        <w:rPr>
          <w:rFonts w:hint="eastAsia" w:ascii="黑体" w:eastAsia="黑体"/>
          <w:bCs/>
          <w:sz w:val="44"/>
        </w:rPr>
        <w:t xml:space="preserve">第五章  评标方法与评标标准</w:t>
      </w:r>
      <w:bookmarkEnd w:id="228"/>
      <w:r/>
      <w:r/>
    </w:p>
    <w:p>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0" w:type="auto"/>
        <w:tblInd w:w="-3" w:type="dxa"/>
        <w:tblLayout w:type="fixed"/>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eastAsia="en-US"/>
              </w:rPr>
            </w:pPr>
            <w:r>
              <w:rPr>
                <w:rFonts w:hint="eastAsia" w:ascii="宋体" w:cs="宋体"/>
                <w:sz w:val="24"/>
                <w:szCs w:val="24"/>
                <w:lang w:val="zh-CN" w:eastAsia="en-US"/>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满足招标文件全部实质性要求，且按照评审因素的量化指标评审得分最高的投标人为中标候选人。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pStyle w:val="900"/>
        <w:ind w:firstLine="441"/>
        <w:spacing w:line="0" w:lineRule="atLeast"/>
        <w:rPr>
          <w:rFonts w:hint="eastAsia" w:ascii="宋体" w:hAnsi="宋体"/>
          <w:b/>
        </w:rPr>
      </w:pPr>
      <w:r>
        <w:rPr>
          <w:rFonts w:hint="eastAsia" w:ascii="宋体" w:hAnsi="宋体"/>
          <w:b/>
        </w:rPr>
        <w:t xml:space="preserve">政府采购政策功能落实</w:t>
      </w:r>
      <w:r/>
    </w:p>
    <w:p>
      <w:pPr>
        <w:pStyle w:val="900"/>
        <w:spacing w:line="0" w:lineRule="atLeast"/>
        <w:rPr>
          <w:rFonts w:hint="eastAsia" w:ascii="宋体" w:hAnsi="宋体"/>
        </w:rPr>
      </w:pPr>
      <w:r>
        <w:rPr>
          <w:rFonts w:hint="eastAsia" w:ascii="宋体" w:hAnsi="宋体"/>
        </w:rPr>
        <w:t xml:space="preserve">1、小微型企业价格扣除</w:t>
      </w:r>
      <w:r/>
    </w:p>
    <w:p>
      <w:pPr>
        <w:pStyle w:val="90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00"/>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00"/>
        <w:spacing w:line="0" w:lineRule="atLeast"/>
        <w:rPr>
          <w:rFonts w:hint="eastAsia" w:ascii="宋体" w:hAnsi="宋体"/>
        </w:rPr>
      </w:pPr>
      <w:r>
        <w:rPr>
          <w:rFonts w:hint="eastAsia" w:ascii="宋体" w:hAnsi="宋体"/>
        </w:rPr>
        <w:t xml:space="preserve">2、残疾人福利单位价格扣除</w:t>
      </w:r>
      <w:r/>
    </w:p>
    <w:p>
      <w:pPr>
        <w:pStyle w:val="90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0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0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0"/>
        <w:spacing w:line="0" w:lineRule="atLeast"/>
        <w:rPr>
          <w:rFonts w:hint="eastAsia" w:ascii="宋体" w:hAnsi="宋体"/>
        </w:rPr>
      </w:pPr>
      <w:r>
        <w:rPr>
          <w:rFonts w:hint="eastAsia" w:ascii="宋体" w:hAnsi="宋体"/>
        </w:rPr>
        <w:t xml:space="preserve">3、监狱和戒毒企业价格扣除</w:t>
      </w:r>
      <w:r/>
    </w:p>
    <w:p>
      <w:pPr>
        <w:pStyle w:val="90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0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00"/>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00"/>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0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cs="Times New Roman"/>
          <w:b/>
          <w:sz w:val="24"/>
          <w:szCs w:val="24"/>
        </w:rPr>
      </w:pPr>
      <w:r>
        <w:rPr>
          <w:rFonts w:cs="Times New Roman"/>
          <w:b/>
          <w:sz w:val="24"/>
          <w:szCs w:val="24"/>
        </w:rPr>
        <w:t xml:space="preserve">评审方法与评审标准</w:t>
      </w:r>
      <w:r/>
    </w:p>
    <w:tbl>
      <w:tblPr>
        <w:tblW w:w="5000" w:type="pct"/>
        <w:tblLook w:val="04A0" w:firstRow="1" w:lastRow="0" w:firstColumn="1" w:lastColumn="0" w:noHBand="0" w:noVBand="1"/>
      </w:tblPr>
      <w:tblGrid>
        <w:gridCol w:w="753"/>
        <w:gridCol w:w="7255"/>
        <w:gridCol w:w="1161"/>
      </w:tblGrid>
      <w:tr>
        <w:trPr>
          <w:trHeight w:val="4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hint="eastAsia" w:ascii="宋体" w:hAnsi="宋体" w:cs="宋体"/>
                <w:b/>
                <w:bCs/>
              </w:rPr>
            </w:pPr>
            <w:r>
              <w:rPr>
                <w:rFonts w:ascii="宋体" w:hAnsi="宋体" w:cs="宋体"/>
                <w:b/>
                <w:bCs/>
              </w:rPr>
              <w:t xml:space="preserve">评标内容</w:t>
            </w:r>
            <w:r/>
          </w:p>
        </w:tc>
        <w:tc>
          <w:tcPr>
            <w:tcBorders>
              <w:top w:val="single" w:color="000000" w:sz="4" w:space="0"/>
              <w:left w:val="none" w:color="000000" w:sz="4" w:space="0"/>
              <w:bottom w:val="single" w:color="000000" w:sz="4" w:space="0"/>
              <w:right w:val="single" w:color="000000" w:sz="4" w:space="0"/>
            </w:tcBorders>
            <w:tcW w:w="3956" w:type="pct"/>
            <w:vAlign w:val="center"/>
            <w:textDirection w:val="lrTb"/>
            <w:noWrap w:val="false"/>
          </w:tcPr>
          <w:p>
            <w:pPr>
              <w:jc w:val="center"/>
              <w:widowControl/>
              <w:rPr>
                <w:rFonts w:hint="eastAsia" w:ascii="宋体" w:hAnsi="宋体" w:cs="宋体"/>
                <w:b/>
                <w:bCs/>
              </w:rPr>
            </w:pPr>
            <w:r>
              <w:rPr>
                <w:rFonts w:ascii="宋体" w:hAnsi="宋体" w:cs="宋体"/>
                <w:b/>
                <w:bCs/>
              </w:rPr>
              <w:t xml:space="preserve">评标标准</w:t>
            </w:r>
            <w:r/>
          </w:p>
        </w:tc>
        <w:tc>
          <w:tcPr>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b/>
                <w:bCs/>
              </w:rPr>
            </w:pPr>
            <w:r>
              <w:rPr>
                <w:rFonts w:ascii="宋体" w:hAnsi="宋体" w:cs="宋体"/>
                <w:b/>
                <w:bCs/>
              </w:rPr>
              <w:t xml:space="preserve">分值</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hint="eastAsia" w:ascii="宋体" w:hAnsi="宋体" w:cs="宋体"/>
              </w:rPr>
            </w:pPr>
            <w:r>
              <w:rPr>
                <w:rFonts w:ascii="宋体" w:hAnsi="宋体" w:cs="宋体"/>
              </w:rPr>
              <w:t xml:space="preserve">一、报价部分（10分）</w:t>
            </w:r>
            <w:r/>
          </w:p>
        </w:tc>
      </w:tr>
      <w:tr>
        <w:trPr>
          <w:trHeight w:val="810"/>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报价部分</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价格分采用低价优先法计算，即满足采购文件要求且报价最低的投标报价为评标基准价，其价格分为满分10分，其它投标人的价格分统一按照以下公式计算：投标报价得分=（评标基准价/该投标人的投标报价）×10分。分值保留小数点后2位。</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10</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hint="eastAsia" w:ascii="宋体" w:hAnsi="宋体" w:cs="宋体"/>
              </w:rPr>
            </w:pPr>
            <w:r>
              <w:rPr>
                <w:rFonts w:ascii="宋体" w:hAnsi="宋体" w:cs="宋体"/>
              </w:rPr>
              <w:t xml:space="preserve">二、技术部分（</w:t>
            </w:r>
            <w:r>
              <w:rPr>
                <w:rFonts w:hint="eastAsia" w:ascii="宋体" w:hAnsi="宋体" w:cs="宋体"/>
              </w:rPr>
              <w:t xml:space="preserve">50</w:t>
            </w:r>
            <w:r>
              <w:rPr>
                <w:rFonts w:ascii="宋体" w:hAnsi="宋体" w:cs="宋体"/>
              </w:rPr>
              <w:t xml:space="preserve">分）</w:t>
            </w:r>
            <w:r/>
          </w:p>
        </w:tc>
      </w:tr>
      <w:tr>
        <w:trPr>
          <w:trHeight w:val="1080"/>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2.1需求理解方案</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29" w:name="RANGE!B5"/>
            <w:r>
              <w:rPr>
                <w:rFonts w:ascii="宋体" w:hAnsi="宋体" w:cs="宋体"/>
              </w:rPr>
              <w:t xml:space="preserve">（1）投标文件未符合“需求理解方案”中全部条款要求的，视为不符合招标文件，本项得0分；（2）投标文件基本符合“需求理解方案”中全部条款要求的，视为基本符合招标文件，本项得3分；（3）经评委认定，投标文件对“需求理解方案”中“现状及问题分析”、“用户需求分析”要求的响应内容全部优于招标文件要求的（投标文件对“需求理解方案”中除“现状及问题分析”、“用户需求分析”外其它要求响应内容符合招标文件要求），本项得5分。</w:t>
            </w:r>
            <w:bookmarkEnd w:id="229"/>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5</w:t>
            </w:r>
            <w:r/>
          </w:p>
        </w:tc>
      </w:tr>
      <w:tr>
        <w:trPr>
          <w:cantSplit/>
          <w:trHeight w:val="2565"/>
        </w:trPr>
        <w:tc>
          <w:tcPr>
            <w:tcBorders>
              <w:top w:val="none" w:color="000000" w:sz="4" w:space="0"/>
              <w:left w:val="single" w:color="000000" w:sz="4" w:space="0"/>
              <w:right w:val="single" w:color="000000" w:sz="4" w:space="0"/>
            </w:tcBorders>
            <w:tcW w:w="411" w:type="pct"/>
            <w:vAlign w:val="center"/>
            <w:vMerge w:val="restart"/>
            <w:textDirection w:val="lrTb"/>
            <w:noWrap w:val="false"/>
          </w:tcPr>
          <w:p>
            <w:pPr>
              <w:widowControl/>
              <w:rPr>
                <w:rFonts w:hint="eastAsia" w:ascii="宋体" w:hAnsi="宋体" w:cs="宋体"/>
              </w:rPr>
            </w:pPr>
            <w:r/>
            <w:bookmarkStart w:id="230" w:name="RANGE!A6"/>
            <w:r>
              <w:rPr>
                <w:rFonts w:ascii="宋体" w:hAnsi="宋体" w:cs="宋体"/>
              </w:rPr>
              <w:t xml:space="preserve">2.2夯实数智执法数据技术基础设计方案</w:t>
            </w:r>
            <w:bookmarkEnd w:id="230"/>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31" w:name="RANGE!B6"/>
            <w:r/>
            <w:bookmarkStart w:id="232" w:name="OLE_LINK74"/>
            <w:r>
              <w:rPr>
                <w:rFonts w:ascii="宋体" w:hAnsi="宋体" w:cs="宋体"/>
              </w:rPr>
              <w:t xml:space="preserve">（1）投标文件未符合“夯实数智执法数据技术基础设计方案”</w:t>
            </w:r>
            <w:bookmarkStart w:id="233" w:name="OLE_LINK68"/>
            <w:r/>
            <w:bookmarkStart w:id="234" w:name="OLE_LINK71"/>
            <w:r>
              <w:rPr>
                <w:rFonts w:ascii="宋体" w:hAnsi="宋体" w:cs="宋体"/>
              </w:rPr>
              <w:t xml:space="preserve">的“数智执法语料素材基础建设”</w:t>
            </w:r>
            <w:bookmarkEnd w:id="233"/>
            <w:r/>
            <w:bookmarkEnd w:id="234"/>
            <w:r>
              <w:rPr>
                <w:rFonts w:ascii="宋体" w:hAnsi="宋体" w:cs="宋体"/>
              </w:rPr>
              <w:t xml:space="preserve">中全部条款要求的，视为不符合招标文件，本项得0分；（2）投标文件基本符合“夯实数智执法数据技术基础设计方案”的“数智执法语料素材基础建设”中全部条款要求的，视为基本符合招标文件，本项得</w:t>
            </w:r>
            <w:r>
              <w:rPr>
                <w:rFonts w:hint="eastAsia" w:ascii="宋体" w:hAnsi="宋体" w:cs="宋体"/>
              </w:rPr>
              <w:t xml:space="preserve">3</w:t>
            </w:r>
            <w:r>
              <w:rPr>
                <w:rFonts w:ascii="宋体" w:hAnsi="宋体" w:cs="宋体"/>
              </w:rPr>
              <w:t xml:space="preserve">分；（3）经评委认定，投标文件对</w:t>
            </w:r>
            <w:bookmarkStart w:id="235" w:name="OLE_LINK72"/>
            <w:r/>
            <w:bookmarkStart w:id="236" w:name="OLE_LINK73"/>
            <w:r>
              <w:rPr>
                <w:rFonts w:ascii="宋体" w:hAnsi="宋体" w:cs="宋体"/>
              </w:rPr>
              <w:t xml:space="preserve">“夯实数智执法数据技术基础设计方案”的“数智执法语料素材基础建设”中“执法高质量数据治理</w:t>
            </w:r>
            <w:bookmarkEnd w:id="235"/>
            <w:r/>
            <w:bookmarkEnd w:id="236"/>
            <w:r>
              <w:rPr>
                <w:rFonts w:ascii="宋体" w:hAnsi="宋体" w:cs="宋体"/>
              </w:rPr>
              <w:t xml:space="preserve">”要求的响应内容全部优于招标文件要求的（投标文件对“夯实数智执法数据技术基础设计方案”的“数智执法语料素材基础建设”中“执法高质量数据治理”外其它要求响应内容符合招标文件要求），本项得</w:t>
            </w:r>
            <w:r>
              <w:rPr>
                <w:rFonts w:hint="eastAsia" w:ascii="宋体" w:hAnsi="宋体" w:cs="宋体"/>
              </w:rPr>
              <w:t xml:space="preserve">5</w:t>
            </w:r>
            <w:r>
              <w:rPr>
                <w:rFonts w:ascii="宋体" w:hAnsi="宋体" w:cs="宋体"/>
              </w:rPr>
              <w:t xml:space="preserve">分。</w:t>
            </w:r>
            <w:bookmarkEnd w:id="231"/>
            <w:r/>
            <w:bookmarkEnd w:id="232"/>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1350"/>
        </w:trPr>
        <w:tc>
          <w:tcPr>
            <w:tcBorders>
              <w:left w:val="single" w:color="000000" w:sz="4" w:space="0"/>
              <w:bottom w:val="single" w:color="000000" w:sz="4" w:space="0"/>
              <w:right w:val="single" w:color="000000" w:sz="4" w:space="0"/>
            </w:tcBorders>
            <w:tcW w:w="411" w:type="pct"/>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1）投标文件未符合“夯实数智执法数据技术基础设计方案”的“数智执法语料素材基础建设”中全部条款要求的，视为不符合招标文件，本项得0分；（2）投标文件基本符合“夯实数智执法数据技术基础设计方案”的“数智执法语料素材基础建设”中全部条款要求的，视为基本符合招标文件，本项得</w:t>
            </w:r>
            <w:r>
              <w:rPr>
                <w:rFonts w:hint="eastAsia" w:ascii="宋体" w:hAnsi="宋体" w:cs="宋体"/>
              </w:rPr>
              <w:t xml:space="preserve">3</w:t>
            </w:r>
            <w:r>
              <w:rPr>
                <w:rFonts w:ascii="宋体" w:hAnsi="宋体" w:cs="宋体"/>
              </w:rPr>
              <w:t xml:space="preserve">分；（3）经评委认定，投标文件对“夯实数智执法数据技术基础设计方案”的“数智执法语料素材基础建设”中“执法业务智能体库管理”要求的响应内容全部优于招标文件要求的（投标文件对“夯实数智执法数据技术基础设计方案”的“数智执法语料素材基础建设”中“执法业务智能体库管理”外其它要求响应内容符合招标文件要求），本项得</w:t>
            </w:r>
            <w:r>
              <w:rPr>
                <w:rFonts w:hint="eastAsia" w:ascii="宋体" w:hAnsi="宋体" w:cs="宋体"/>
              </w:rPr>
              <w:t xml:space="preserve">5</w:t>
            </w:r>
            <w:r>
              <w:rPr>
                <w:rFonts w:ascii="宋体" w:hAnsi="宋体" w:cs="宋体"/>
              </w:rPr>
              <w:t xml:space="preserve">分。</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346"/>
        </w:trPr>
        <w:tc>
          <w:tcPr>
            <w:tcBorders>
              <w:top w:val="none" w:color="000000" w:sz="4" w:space="0"/>
              <w:left w:val="single" w:color="000000" w:sz="4" w:space="0"/>
              <w:right w:val="single" w:color="000000" w:sz="4" w:space="0"/>
            </w:tcBorders>
            <w:tcW w:w="411" w:type="pct"/>
            <w:vAlign w:val="center"/>
            <w:vMerge w:val="restart"/>
            <w:textDirection w:val="lrTb"/>
            <w:noWrap w:val="false"/>
          </w:tcPr>
          <w:p>
            <w:pPr>
              <w:widowControl/>
              <w:rPr>
                <w:rFonts w:hint="eastAsia" w:ascii="宋体" w:hAnsi="宋体" w:cs="宋体"/>
              </w:rPr>
            </w:pPr>
            <w:r>
              <w:rPr>
                <w:rFonts w:ascii="宋体" w:hAnsi="宋体" w:cs="宋体"/>
              </w:rPr>
              <w:t xml:space="preserve">2.3提升数智执法非现场研判能力设计方案</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37" w:name="RANGE!B7"/>
            <w:r>
              <w:rPr>
                <w:rFonts w:ascii="宋体" w:hAnsi="宋体" w:cs="宋体"/>
              </w:rPr>
              <w:t xml:space="preserve">（1）投标文件未符合“提升数智执法非现场研判能力设计方案”的</w:t>
            </w:r>
            <w:bookmarkStart w:id="238" w:name="OLE_LINK81"/>
            <w:r>
              <w:rPr>
                <w:rFonts w:ascii="宋体" w:hAnsi="宋体" w:cs="宋体"/>
              </w:rPr>
              <w:t xml:space="preserve">“非现场甄别AI助手”</w:t>
            </w:r>
            <w:bookmarkEnd w:id="238"/>
            <w:r>
              <w:rPr>
                <w:rFonts w:ascii="宋体" w:hAnsi="宋体" w:cs="宋体"/>
              </w:rPr>
              <w:t xml:space="preserve">中全部条款要求的，视为不符合招标文件，本项得0分；（2）投标文件基本符合“提升数智执法非现场研判能力设计方案”的“非现场甄别AI助手”中全部条款要求的，视为基本符合招标文件，本项</w:t>
            </w:r>
            <w:bookmarkStart w:id="239" w:name="OLE_LINK86"/>
            <w:r/>
            <w:bookmarkStart w:id="240" w:name="OLE_LINK92"/>
            <w:r>
              <w:rPr>
                <w:rFonts w:ascii="宋体" w:hAnsi="宋体" w:cs="宋体"/>
              </w:rPr>
              <w:t xml:space="preserve">得</w:t>
            </w:r>
            <w:bookmarkEnd w:id="239"/>
            <w:r/>
            <w:bookmarkEnd w:id="240"/>
            <w:r>
              <w:rPr>
                <w:rFonts w:hint="eastAsia" w:ascii="宋体" w:hAnsi="宋体" w:cs="宋体"/>
              </w:rPr>
              <w:t xml:space="preserve">3</w:t>
            </w:r>
            <w:r>
              <w:rPr>
                <w:rFonts w:ascii="宋体" w:hAnsi="宋体" w:cs="宋体"/>
              </w:rPr>
              <w:t xml:space="preserve">分；（3）经评委认定，投标文件对</w:t>
            </w:r>
            <w:bookmarkStart w:id="241" w:name="OLE_LINK85"/>
            <w:r>
              <w:rPr>
                <w:rFonts w:ascii="宋体" w:hAnsi="宋体" w:cs="宋体"/>
              </w:rPr>
              <w:t xml:space="preserve">“提升数智执法非现场研判能力设计方案”的“非现场甄别AI助手”中“非现场线索辅助数据审核智能体”、“非现场线索接入与研判规则配置”</w:t>
            </w:r>
            <w:bookmarkEnd w:id="241"/>
            <w:r>
              <w:rPr>
                <w:rFonts w:ascii="宋体" w:hAnsi="宋体" w:cs="宋体"/>
              </w:rPr>
              <w:t xml:space="preserve">要求的响应内容全部优于招标文件要求的（投标文件对“提升数智执法非现场研判能力设计方案”的“非现场甄别AI助手”中“非现场线索辅助数据审核智能体”、“非现场线索接入与研判规则配置”外其它要求响应内容符合招标文件要求），本项得</w:t>
            </w:r>
            <w:r>
              <w:rPr>
                <w:rFonts w:hint="eastAsia" w:ascii="宋体" w:hAnsi="宋体" w:cs="宋体"/>
              </w:rPr>
              <w:t xml:space="preserve">5</w:t>
            </w:r>
            <w:r>
              <w:rPr>
                <w:rFonts w:ascii="宋体" w:hAnsi="宋体" w:cs="宋体"/>
              </w:rPr>
              <w:t xml:space="preserve">分。</w:t>
            </w:r>
            <w:bookmarkEnd w:id="237"/>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1080"/>
        </w:trPr>
        <w:tc>
          <w:tcPr>
            <w:tcBorders>
              <w:left w:val="single" w:color="000000" w:sz="4" w:space="0"/>
              <w:bottom w:val="single" w:color="000000" w:sz="4" w:space="0"/>
              <w:right w:val="single" w:color="000000" w:sz="4" w:space="0"/>
            </w:tcBorders>
            <w:tcW w:w="411" w:type="pct"/>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1）投标文件未符合“提升数智执法非现场研判能力设计方案”的“执法检查AI助手”中全部条款要求的，视为不符合招标文件，本项得0分；（2）投标文件基本符合“提升数智执法非现场研判能力设计方案”的“执法检查AI助手”中全部条款要求的，视为基本符合招标文件，本项得</w:t>
            </w:r>
            <w:r>
              <w:rPr>
                <w:rFonts w:hint="eastAsia" w:ascii="宋体" w:hAnsi="宋体" w:cs="宋体"/>
              </w:rPr>
              <w:t xml:space="preserve">3</w:t>
            </w:r>
            <w:r>
              <w:rPr>
                <w:rFonts w:ascii="宋体" w:hAnsi="宋体" w:cs="宋体"/>
              </w:rPr>
              <w:t xml:space="preserve">分；（3）经评委认定，投标文件对</w:t>
            </w:r>
            <w:bookmarkStart w:id="242" w:name="OLE_LINK105"/>
            <w:r/>
            <w:bookmarkStart w:id="243" w:name="OLE_LINK106"/>
            <w:r>
              <w:rPr>
                <w:rFonts w:ascii="宋体" w:hAnsi="宋体" w:cs="宋体"/>
              </w:rPr>
              <w:t xml:space="preserve">“提升数智执法非现场研判能力设计方案”的“执法检查AI助手”中“企业环保体检推荐检查指引”、“非现场线索推荐检查指引”、“非现场勘察笔录辅助制作”</w:t>
            </w:r>
            <w:bookmarkEnd w:id="242"/>
            <w:r/>
            <w:bookmarkEnd w:id="243"/>
            <w:r>
              <w:rPr>
                <w:rFonts w:ascii="宋体" w:hAnsi="宋体" w:cs="宋体"/>
              </w:rPr>
              <w:t xml:space="preserve">要求的响应内容全部优于招标文件要求的（投标文件对“提升数智执法非现场研判能力设计方案”的“执法检查AI助手”中“企业环保体检推荐检查指引”、“非现场线索推荐检查指引”、“非现场勘察笔录辅助制作”外其它要求响应内容符合招标文件要求），本项得</w:t>
            </w:r>
            <w:r>
              <w:rPr>
                <w:rFonts w:hint="eastAsia" w:ascii="宋体" w:hAnsi="宋体" w:cs="宋体"/>
              </w:rPr>
              <w:t xml:space="preserve">5</w:t>
            </w:r>
            <w:r>
              <w:rPr>
                <w:rFonts w:ascii="宋体" w:hAnsi="宋体" w:cs="宋体"/>
              </w:rPr>
              <w:t xml:space="preserve">分。</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trHeight w:val="487"/>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bookmarkStart w:id="244" w:name="RANGE!A8"/>
            <w:r>
              <w:rPr>
                <w:rFonts w:ascii="宋体" w:hAnsi="宋体" w:cs="宋体"/>
              </w:rPr>
              <w:t xml:space="preserve">2.4完善线索智能</w:t>
            </w:r>
            <w:r>
              <w:rPr>
                <w:rFonts w:ascii="宋体" w:hAnsi="宋体" w:cs="宋体"/>
              </w:rPr>
              <w:t xml:space="preserve">研判派发能力设计方案</w:t>
            </w:r>
            <w:bookmarkEnd w:id="244"/>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45" w:name="RANGE!B8"/>
            <w:r>
              <w:rPr>
                <w:rFonts w:ascii="宋体" w:hAnsi="宋体" w:cs="宋体"/>
              </w:rPr>
              <w:t xml:space="preserve">（1）投标文件未符合“完善线索智能研判派发能力设计方案”中全部条款要求的，视为不符合招标文件，本项得0分；（2）投标文件基本符合“完善线索智能研判派发能力设计方案”中全部条款要求的，视为基本符合招标文件，本项得3分；（3）经评委认定，投标文件对“完善线索智能研判派发能</w:t>
            </w:r>
            <w:r>
              <w:rPr>
                <w:rFonts w:ascii="宋体" w:hAnsi="宋体" w:cs="宋体"/>
              </w:rPr>
              <w:t xml:space="preserve">力设计方案”中“执法线索库数智交互功能改造”“执法任务库数智交互功能改造”要求的响应内容全部优于招标文件要求的（投标文件对“完善线索智能研判派发能力设计方案”中“执法线索库数智交互功能改造”“执法任务库数智交互功能改造”外其它要求响应内容符合招标文件要求），本项得5分。</w:t>
            </w:r>
            <w:bookmarkEnd w:id="245"/>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5</w:t>
            </w:r>
            <w:r/>
          </w:p>
        </w:tc>
      </w:tr>
      <w:tr>
        <w:trPr>
          <w:trHeight w:val="1080"/>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2.5系统安全设计方案</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46" w:name="RANGE!B9"/>
            <w:r>
              <w:rPr>
                <w:rFonts w:ascii="宋体" w:hAnsi="宋体" w:cs="宋体"/>
              </w:rPr>
              <w:t xml:space="preserve">（1）投标文件未符合“系统安全设计方案”中全部条款要求的，，视为不符合招标文件，本项得0分；（2）投标文件基本符合“系统安全设计方案”中全部条款要求的，视为基本符合招标文件，本项得3分；（3）经评委认定，投标文件“系统安全设计方案”中“访问控制”、“系统部署及跨网数据交互”、“数据传输及存储加密” 要求的响应内容全部优于招标文件要求的（投标文件对“系统安全设计方案”中“访问控制”、“系统部署及跨网数据交互”、“数据传输及存储加密”外其它要求响应内容符合招标文件要求），本项得5分。</w:t>
            </w:r>
            <w:bookmarkEnd w:id="246"/>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5</w:t>
            </w:r>
            <w:r/>
          </w:p>
        </w:tc>
      </w:tr>
      <w:tr>
        <w:trPr>
          <w:trHeight w:val="1080"/>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2.6项目管理及质量保证方案</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47" w:name="RANGE!B10"/>
            <w:r>
              <w:rPr>
                <w:rFonts w:ascii="宋体" w:hAnsi="宋体" w:cs="宋体"/>
              </w:rPr>
              <w:t xml:space="preserve">（1）投标文件未符合“项目管理及质量保证方案”中全部条款要求的，，视为不符合招标文件，本项得0分；（2）投标文件基本符合“项目管理及质量保证方案”中全部条款要求的，视为基本符合招标文件，本项得3分；（3）经评委认定，投标文件“项目管理及质量保证方案”中“项目管理制度”、“进度计划安排”的响应内容并优于招标文件要求的，（投标文件对“项目管理及质量保证方案”中“项目管理制度”、“进度计划安排”外其它要求响应内容符合招标文件要求）本项得5分。</w:t>
            </w:r>
            <w:bookmarkEnd w:id="247"/>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5</w:t>
            </w:r>
            <w:r/>
          </w:p>
        </w:tc>
      </w:tr>
      <w:tr>
        <w:trPr>
          <w:trHeight w:val="629"/>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2.7培训方案</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48" w:name="RANGE!B11"/>
            <w:r>
              <w:rPr>
                <w:rFonts w:ascii="宋体" w:hAnsi="宋体" w:cs="宋体"/>
              </w:rPr>
              <w:t xml:space="preserve">（1）投标文件未符合“培训方案”中全部条款要求的，视为不符合招标文件，本项得0分；（2）投标文件基本符合“培训方案”中全部条款要求的，视为符合招标文件，本项得3分；（3）经评委认定，投标文件对“培训方案”中“培训人员”、“培训规模”、“培训频次”要求的响应内容全部优于招标文件要求的（投标文件对“培训方案”中“培训人员”、“培训规模”、“培训频次”外其它要求响应内容符合招标文件要求），本项得5分。</w:t>
            </w:r>
            <w:bookmarkEnd w:id="248"/>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5</w:t>
            </w:r>
            <w:r/>
          </w:p>
        </w:tc>
      </w:tr>
      <w:tr>
        <w:trPr>
          <w:trHeight w:val="1080"/>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2.8售后服务方案</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49" w:name="RANGE!B13"/>
            <w:r>
              <w:rPr>
                <w:rFonts w:ascii="宋体" w:hAnsi="宋体" w:cs="宋体"/>
              </w:rPr>
              <w:t xml:space="preserve">（1）投标文件未符合“售后服务方案”中全部条款要求的，视为不符合招标文件，本项得0分；（2）投标文件基本符合“售后服务方案”中全部条款要求的，视为基本符合招标文件，本项得3分；（3）经评委认定，投标文件对“售后服务方案”中“售后服务体系”、“服务承诺”、“响应能力”要求的响应内容全部优于招标文件要求的（投标文件对“售后服务方案”中“售后服务体系”、“服务承诺”、“响应能力”外其它要求响应内容符合招标文件要求），本项得5分。</w:t>
            </w:r>
            <w:bookmarkEnd w:id="249"/>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5</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hint="eastAsia" w:ascii="宋体" w:hAnsi="宋体" w:cs="宋体"/>
              </w:rPr>
            </w:pPr>
            <w:r>
              <w:rPr>
                <w:rFonts w:ascii="宋体" w:hAnsi="宋体" w:cs="宋体"/>
              </w:rPr>
              <w:t xml:space="preserve">三、商务部分（</w:t>
            </w:r>
            <w:r>
              <w:rPr>
                <w:rFonts w:hint="eastAsia" w:ascii="宋体" w:hAnsi="宋体" w:cs="宋体"/>
              </w:rPr>
              <w:t xml:space="preserve">40</w:t>
            </w:r>
            <w:r>
              <w:rPr>
                <w:rFonts w:ascii="宋体" w:hAnsi="宋体" w:cs="宋体"/>
              </w:rPr>
              <w:t xml:space="preserve">分）</w:t>
            </w:r>
            <w:r/>
          </w:p>
        </w:tc>
      </w:tr>
      <w:tr>
        <w:trPr>
          <w:cantSplit/>
          <w:trHeight w:val="810"/>
        </w:trPr>
        <w:tc>
          <w:tcPr>
            <w:tcBorders>
              <w:top w:val="none" w:color="000000" w:sz="4" w:space="0"/>
              <w:left w:val="single" w:color="000000" w:sz="4" w:space="0"/>
              <w:bottom w:val="single" w:color="000000" w:sz="4" w:space="0"/>
              <w:right w:val="single" w:color="000000" w:sz="4" w:space="0"/>
            </w:tcBorders>
            <w:tcW w:w="411" w:type="pct"/>
            <w:vAlign w:val="center"/>
            <w:vMerge w:val="restart"/>
            <w:textDirection w:val="lrTb"/>
            <w:noWrap w:val="false"/>
          </w:tcPr>
          <w:p>
            <w:pPr>
              <w:widowControl/>
              <w:rPr>
                <w:rFonts w:hint="eastAsia" w:ascii="宋体" w:hAnsi="宋体" w:cs="宋体"/>
              </w:rPr>
            </w:pPr>
            <w:r>
              <w:rPr>
                <w:rFonts w:ascii="宋体" w:hAnsi="宋体" w:cs="宋体"/>
              </w:rPr>
              <w:t xml:space="preserve">3.1企业资质</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3.1.1投标人提供企业所获得的ISO9001质量管理体系认证证书、ISO14001环境管理体系认证证书，认证范围须为环境管理软件相关设计、开发或研发管理活动。每提供1个得2分，本项最高得</w:t>
            </w:r>
            <w:r>
              <w:rPr>
                <w:rFonts w:hint="eastAsia" w:ascii="宋体" w:hAnsi="宋体" w:cs="宋体"/>
              </w:rPr>
              <w:t xml:space="preserve">4</w:t>
            </w:r>
            <w:r>
              <w:rPr>
                <w:rFonts w:ascii="宋体" w:hAnsi="宋体" w:cs="宋体"/>
              </w:rPr>
              <w:t xml:space="preserve">分。（投标人须提供证书复印件、全国认证认可信息公共服务平台查询证书截图并加盖投标人公章，不提供则不得分）</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r>
      <w:tr>
        <w:trPr>
          <w:cantSplit/>
          <w:trHeight w:val="810"/>
        </w:trPr>
        <w:tc>
          <w:tcPr>
            <w:tcBorders>
              <w:top w:val="non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bookmarkStart w:id="250" w:name="RANGE!B16"/>
            <w:r>
              <w:rPr>
                <w:rFonts w:ascii="宋体" w:hAnsi="宋体" w:cs="宋体"/>
              </w:rPr>
              <w:t xml:space="preserve">3.1.2 为满足与江苏省生态环境智慧监管平台对接的要求，</w:t>
            </w:r>
            <w:bookmarkStart w:id="251" w:name="OLE_LINK8"/>
            <w:r>
              <w:rPr>
                <w:rFonts w:ascii="宋体" w:hAnsi="宋体" w:cs="宋体"/>
              </w:rPr>
              <w:t xml:space="preserve">投标人具有能够接入水、气、污染源、固废等生态环境数据技术能力和企业“环保脸谱”集成能力</w:t>
            </w:r>
            <w:bookmarkEnd w:id="251"/>
            <w:r>
              <w:rPr>
                <w:rFonts w:ascii="宋体" w:hAnsi="宋体" w:cs="宋体"/>
              </w:rPr>
              <w:t xml:space="preserve">，本项得3分。（投标人须提供相关系统接入能力证明文件，包括合同、验收报告或用户证明等材料，并加盖投标人公章，不提供则不得分）。</w:t>
            </w:r>
            <w:bookmarkEnd w:id="250"/>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3</w:t>
            </w:r>
            <w:r/>
          </w:p>
        </w:tc>
      </w:tr>
      <w:tr>
        <w:trPr>
          <w:trHeight w:val="629"/>
        </w:trPr>
        <w:tc>
          <w:tcPr>
            <w:tcBorders>
              <w:top w:val="none" w:color="000000" w:sz="4" w:space="0"/>
              <w:left w:val="single" w:color="000000" w:sz="4" w:space="0"/>
              <w:bottom w:val="none" w:color="000000" w:sz="4" w:space="0"/>
              <w:right w:val="single" w:color="000000" w:sz="4" w:space="0"/>
            </w:tcBorders>
            <w:tcW w:w="411" w:type="pct"/>
            <w:vAlign w:val="center"/>
            <w:textDirection w:val="lrTb"/>
            <w:noWrap w:val="false"/>
          </w:tcPr>
          <w:p>
            <w:pPr>
              <w:jc w:val="left"/>
              <w:widowControl/>
              <w:rPr>
                <w:rFonts w:hint="eastAsia" w:ascii="宋体" w:hAnsi="宋体" w:cs="宋体"/>
              </w:rPr>
            </w:pPr>
            <w:r>
              <w:rPr>
                <w:rFonts w:ascii="宋体" w:hAnsi="宋体" w:cs="宋体"/>
              </w:rPr>
              <w:t xml:space="preserve">3.2 综合实力</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3.2.1 投标人提供与本次项目相关的计算机软件著作权证书，证书包含AI基础服务类、异动分析及证据采集类、服务智能推荐类相关能力的，每提供1个类型证书得1分，本项最高得</w:t>
            </w:r>
            <w:r>
              <w:rPr>
                <w:rFonts w:hint="eastAsia" w:ascii="宋体" w:hAnsi="宋体" w:cs="宋体"/>
              </w:rPr>
              <w:t xml:space="preserve">3</w:t>
            </w:r>
            <w:r>
              <w:rPr>
                <w:rFonts w:ascii="宋体" w:hAnsi="宋体" w:cs="宋体"/>
              </w:rPr>
              <w:t xml:space="preserve">分。（证书须为投标人自主研发，投标人须提供证书复印件并加盖投标人公章，不提供则不得分。如投标文件中提供的著作权名称表述与招标文件描述的关键字样不一致，而该投标文件中能证明投标人拥有的软件著作权具有相同或相似功能和效果，且评标委员会认可</w:t>
            </w:r>
            <w:r>
              <w:rPr>
                <w:rFonts w:ascii="宋体" w:hAnsi="宋体" w:cs="宋体"/>
              </w:rPr>
              <w:t xml:space="preserve">的，视同符合要求）</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r>
      <w:tr>
        <w:trPr>
          <w:trHeight w:val="204"/>
        </w:trPr>
        <w:tc>
          <w:tcPr>
            <w:tcBorders>
              <w:top w:val="single" w:color="000000" w:sz="4" w:space="0"/>
              <w:left w:val="single" w:color="000000" w:sz="4" w:space="0"/>
              <w:bottom w:val="none" w:color="000000" w:sz="4" w:space="0"/>
              <w:right w:val="single" w:color="000000" w:sz="4" w:space="0"/>
            </w:tcBorders>
            <w:tcW w:w="411" w:type="pct"/>
            <w:vAlign w:val="center"/>
            <w:textDirection w:val="lrTb"/>
            <w:noWrap w:val="false"/>
          </w:tcPr>
          <w:p>
            <w:pPr>
              <w:jc w:val="left"/>
              <w:widowControl/>
              <w:rPr>
                <w:rFonts w:hint="eastAsia" w:ascii="宋体" w:hAnsi="宋体" w:cs="宋体"/>
              </w:rPr>
            </w:pPr>
            <w:r>
              <w:rPr>
                <w:rFonts w:ascii="宋体" w:hAnsi="宋体" w:cs="宋体"/>
              </w:rPr>
              <w:t xml:space="preserve">3.3供应商业绩</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3.3.1 2023年1月1日（以合同签订日期为准）以来，投标人承担并已完成的环境AI应用、智能环境治理、非现场管控、环境数智一体化相关信息化项目，每提供1个案例合同，得</w:t>
            </w:r>
            <w:r>
              <w:rPr>
                <w:rFonts w:hint="eastAsia" w:ascii="宋体" w:hAnsi="宋体" w:cs="宋体"/>
              </w:rPr>
              <w:t xml:space="preserve">2</w:t>
            </w:r>
            <w:r>
              <w:rPr>
                <w:rFonts w:ascii="宋体" w:hAnsi="宋体" w:cs="宋体"/>
              </w:rPr>
              <w:t xml:space="preserve">分，本项最高得</w:t>
            </w:r>
            <w:r>
              <w:rPr>
                <w:rFonts w:hint="eastAsia" w:ascii="宋体" w:hAnsi="宋体" w:cs="宋体"/>
              </w:rPr>
              <w:t xml:space="preserve">10</w:t>
            </w:r>
            <w:r>
              <w:rPr>
                <w:rFonts w:ascii="宋体" w:hAnsi="宋体" w:cs="宋体"/>
              </w:rPr>
              <w:t xml:space="preserve">分。（投标人须提供项目</w:t>
            </w:r>
            <w:bookmarkStart w:id="252" w:name="OLE_LINK63"/>
            <w:r/>
            <w:bookmarkStart w:id="253" w:name="OLE_LINK64"/>
            <w:r/>
            <w:bookmarkStart w:id="254" w:name="OLE_LINK61"/>
            <w:r/>
            <w:bookmarkStart w:id="255" w:name="OLE_LINK62"/>
            <w:r>
              <w:rPr>
                <w:rFonts w:ascii="宋体" w:hAnsi="宋体" w:cs="宋体"/>
              </w:rPr>
              <w:t xml:space="preserve">合同复印件</w:t>
            </w:r>
            <w:bookmarkEnd w:id="252"/>
            <w:r/>
            <w:bookmarkEnd w:id="253"/>
            <w:r>
              <w:rPr>
                <w:rFonts w:ascii="宋体" w:hAnsi="宋体" w:cs="宋体"/>
              </w:rPr>
              <w:t xml:space="preserve">，</w:t>
            </w:r>
            <w:bookmarkEnd w:id="254"/>
            <w:r/>
            <w:bookmarkEnd w:id="255"/>
            <w:r>
              <w:rPr>
                <w:rFonts w:ascii="宋体" w:hAnsi="宋体" w:cs="宋体"/>
              </w:rPr>
              <w:t xml:space="preserve">并加盖投标人公章，不提供则不得分）</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r>
      <w:tr>
        <w:trPr>
          <w:trHeight w:val="10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3.4项目经理</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3.4.1 投标人派往本项目的项目经理，应具有系统集成项目管理工程师证书、中级及以上软件设计师证书、高级网络与信息安全工程师证书、IT服务项目经理证书。有一个有效证书得1.5分，本项最高得6分。（项目经理仅为1人，投标人须提供上述人员相关证明材料复印件并加盖投标人公章，并提供投标人为上述人员缴纳的近一个月的社保证明材料，不提供则不得分）</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6</w:t>
            </w:r>
            <w:r/>
          </w:p>
        </w:tc>
      </w:tr>
      <w:tr>
        <w:trPr>
          <w:trHeight w:val="1080"/>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3.5技术负责人</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3.5.1 投标人派往本项目的项目技术负责人，应具有计算机或环境工程类硕士研究生及以上学历、环境工程类中级工程师及以上职称证书、系统集成项目管理工程师证书、高级人工智能应用工程师证书。有一个有效证书得1.5分，本项最高得6分。（项目技术负责人仅为1人，投标人须提供上述人员相关证明材料复印件并加盖投标人公章，并提供投标人为上述人员缴纳的近一个月的社保证明材料，不提供则不得分）</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ascii="宋体" w:hAnsi="宋体" w:cs="宋体"/>
              </w:rPr>
              <w:t xml:space="preserve">6</w:t>
            </w:r>
            <w:r/>
          </w:p>
        </w:tc>
      </w:tr>
      <w:tr>
        <w:trPr>
          <w:trHeight w:val="346"/>
        </w:trPr>
        <w:tc>
          <w:tcPr>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widowControl/>
              <w:rPr>
                <w:rFonts w:hint="eastAsia" w:ascii="宋体" w:hAnsi="宋体" w:cs="宋体"/>
              </w:rPr>
            </w:pPr>
            <w:r>
              <w:rPr>
                <w:rFonts w:ascii="宋体" w:hAnsi="宋体" w:cs="宋体"/>
              </w:rPr>
              <w:t xml:space="preserve">3.6项目团队</w:t>
            </w:r>
            <w:r/>
          </w:p>
        </w:tc>
        <w:tc>
          <w:tcPr>
            <w:tcBorders>
              <w:top w:val="none" w:color="000000" w:sz="4" w:space="0"/>
              <w:left w:val="none" w:color="000000" w:sz="4" w:space="0"/>
              <w:bottom w:val="single" w:color="000000" w:sz="4" w:space="0"/>
              <w:right w:val="single" w:color="000000" w:sz="4" w:space="0"/>
            </w:tcBorders>
            <w:tcW w:w="3956" w:type="pct"/>
            <w:vAlign w:val="center"/>
            <w:textDirection w:val="lrTb"/>
            <w:noWrap w:val="false"/>
          </w:tcPr>
          <w:p>
            <w:pPr>
              <w:widowControl/>
              <w:rPr>
                <w:rFonts w:hint="eastAsia" w:ascii="宋体" w:hAnsi="宋体" w:cs="宋体"/>
              </w:rPr>
            </w:pPr>
            <w:r>
              <w:rPr>
                <w:rFonts w:ascii="宋体" w:hAnsi="宋体" w:cs="宋体"/>
              </w:rPr>
              <w:t xml:space="preserve">3.6.1 投标人派往本项目的项目团队人员（不含项目经理、项目技术负责人），应具有信息系统项目管理师证书、系统集成项目管理工程师证书、软件设计师证书、网络工程师证书、数据库系统工程师证书、</w:t>
            </w:r>
            <w:r>
              <w:rPr>
                <w:rFonts w:hint="eastAsia" w:ascii="宋体" w:hAnsi="宋体" w:cs="宋体"/>
              </w:rPr>
              <w:t xml:space="preserve">人工智能应用工程师</w:t>
            </w:r>
            <w:r>
              <w:rPr>
                <w:rFonts w:hint="eastAsia" w:ascii="宋体" w:hAnsi="宋体" w:cs="宋体"/>
              </w:rPr>
              <w:t xml:space="preserve">证书、</w:t>
            </w:r>
            <w:r>
              <w:rPr>
                <w:rFonts w:ascii="宋体" w:hAnsi="宋体" w:cs="宋体"/>
              </w:rPr>
              <w:t xml:space="preserve">高级软件测评工程师证书和环境工程专业工程师证书。有一个有效证书得1分（同一人员不可重复得分、同一证书不可重复</w:t>
            </w:r>
            <w:r>
              <w:rPr>
                <w:rFonts w:ascii="宋体" w:hAnsi="宋体" w:cs="宋体"/>
              </w:rPr>
              <w:t xml:space="preserve">得分)，</w:t>
            </w:r>
            <w:r>
              <w:rPr>
                <w:rFonts w:ascii="宋体" w:hAnsi="宋体" w:cs="宋体"/>
              </w:rPr>
              <w:t xml:space="preserve">本项最高得</w:t>
            </w:r>
            <w:r>
              <w:rPr>
                <w:rFonts w:hint="eastAsia" w:ascii="宋体" w:hAnsi="宋体" w:cs="宋体"/>
              </w:rPr>
              <w:t xml:space="preserve">8</w:t>
            </w:r>
            <w:r>
              <w:rPr>
                <w:rFonts w:ascii="宋体" w:hAnsi="宋体" w:cs="宋体"/>
              </w:rPr>
              <w:t xml:space="preserve">分。（投标人须提供上述人员相关证明材料复印件并加盖投标人公章，并提供投标人为上述人员缴纳的近一个月的社保证明材料，不提供则不得分）</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r>
    </w:tbl>
    <w:p>
      <w:pPr>
        <w:rPr>
          <w:rFonts w:cs="Times New Roman"/>
          <w:b/>
          <w:sz w:val="24"/>
          <w:szCs w:val="24"/>
        </w:rPr>
      </w:pPr>
      <w:r>
        <w:rPr>
          <w:rFonts w:cs="Times New Roman"/>
          <w:b/>
          <w:sz w:val="24"/>
          <w:szCs w:val="24"/>
        </w:rPr>
      </w:r>
      <w:r/>
    </w:p>
    <w:p>
      <w:pPr>
        <w:pStyle w:val="900"/>
        <w:ind w:firstLine="482"/>
        <w:spacing w:line="0" w:lineRule="atLeast"/>
        <w:rPr>
          <w:rFonts w:hint="eastAsia" w:ascii="宋体" w:hAnsi="宋体"/>
          <w:b/>
        </w:rPr>
      </w:pPr>
      <w:r>
        <w:rPr>
          <w:rFonts w:hint="eastAsia" w:ascii="宋体" w:hAnsi="宋体"/>
          <w:b/>
        </w:rPr>
      </w:r>
      <w:r/>
    </w:p>
    <w:p>
      <w:r/>
      <w:r/>
    </w:p>
    <w:p>
      <w:r/>
      <w:r/>
    </w:p>
    <w:p>
      <w:r>
        <w:br w:type="page" w:clear="all"/>
      </w:r>
      <w:r/>
    </w:p>
    <w:p>
      <w:pPr>
        <w:pStyle w:val="719"/>
        <w:rPr>
          <w:rFonts w:ascii="黑体" w:eastAsia="黑体"/>
          <w:bCs/>
          <w:sz w:val="44"/>
        </w:rPr>
      </w:pPr>
      <w:r/>
      <w:bookmarkStart w:id="256" w:name="_Toc237360862"/>
      <w:r>
        <w:rPr>
          <w:rFonts w:hint="eastAsia" w:ascii="黑体" w:eastAsia="黑体"/>
          <w:bCs/>
          <w:sz w:val="44"/>
        </w:rPr>
        <w:t xml:space="preserve">第六章  投标</w:t>
      </w:r>
      <w:bookmarkEnd w:id="205"/>
      <w:r/>
      <w:bookmarkEnd w:id="206"/>
      <w:r/>
      <w:bookmarkEnd w:id="207"/>
      <w:r>
        <w:rPr>
          <w:rFonts w:hint="eastAsia" w:ascii="黑体" w:eastAsia="黑体"/>
          <w:bCs/>
          <w:sz w:val="44"/>
        </w:rPr>
        <w:t xml:space="preserve">文件格式</w:t>
      </w:r>
      <w:bookmarkEnd w:id="256"/>
      <w:r>
        <w:rPr>
          <w:rFonts w:hint="eastAsia" w:ascii="黑体" w:eastAsia="黑体"/>
          <w:bCs/>
          <w:sz w:val="44"/>
        </w:rPr>
        <w:t xml:space="preserve"> </w:t>
      </w:r>
      <w:r/>
    </w:p>
    <w:p>
      <w:pPr>
        <w:jc w:val="center"/>
        <w:rPr>
          <w:rFonts w:hint="eastAsia" w:ascii="宋体" w:hAnsi="宋体"/>
          <w:b/>
          <w:sz w:val="72"/>
        </w:rPr>
      </w:pPr>
      <w:r/>
      <w:bookmarkStart w:id="257" w:name="_Hlt26955039"/>
      <w:r/>
      <w:bookmarkStart w:id="258" w:name="_Hlt26671244"/>
      <w:r/>
      <w:bookmarkStart w:id="259" w:name="_Toc26554094"/>
      <w:r/>
      <w:bookmarkStart w:id="260" w:name="_Toc120614282"/>
      <w:r/>
      <w:bookmarkStart w:id="261" w:name="_Toc49090576"/>
      <w:r/>
      <w:bookmarkEnd w:id="257"/>
      <w:r/>
      <w:bookmarkEnd w:id="258"/>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lang w:eastAsia="en-US"/>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900"/>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规格</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交付期</w:t>
            </w:r>
            <w:r>
              <w:rPr>
                <w:rFonts w:hint="eastAsia" w:ascii="宋体" w:hAnsi="宋体" w:cs="方正魏碑_GBK"/>
                <w:sz w:val="24"/>
                <w:szCs w:val="24"/>
                <w:lang w:eastAsia="en-US"/>
              </w:rPr>
              <w:t xml:space="preserve">/</w:t>
            </w:r>
            <w:r>
              <w:rPr>
                <w:rFonts w:hint="eastAsia" w:ascii="宋体" w:hAnsi="宋体" w:cs="方正魏碑_GBK"/>
                <w:sz w:val="24"/>
                <w:szCs w:val="24"/>
                <w:lang w:eastAsia="en-US"/>
              </w:rPr>
              <w:t xml:space="preserve">服务期</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lang w:eastAsia="en-US"/>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807"/>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w:t>
            </w:r>
            <w:r>
              <w:rPr>
                <w:rFonts w:hint="eastAsia" w:ascii="宋体" w:hAnsi="宋体"/>
                <w:sz w:val="24"/>
                <w:szCs w:val="24"/>
                <w:lang w:eastAsia="en-US"/>
              </w:rPr>
              <w:t xml:space="preserve"> </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（被授权人的姓名）为我方就采购编号为</w:t>
      </w:r>
      <w:r>
        <w:rPr>
          <w:rFonts w:hint="eastAsia"/>
          <w:sz w:val="24"/>
          <w:szCs w:val="24"/>
        </w:rPr>
        <w:t xml:space="preserve">JSZC-320000-SCZX-G20**-****</w:t>
      </w:r>
      <w:r>
        <w:rPr>
          <w:rFonts w:hint="eastAsia"/>
          <w:sz w:val="24"/>
          <w:szCs w:val="24"/>
        </w:rPr>
        <w:t xml:space="preserve">，</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90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90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0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0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0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0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0"/>
        <w:ind w:left="420"/>
        <w:spacing w:before="0" w:after="0" w:line="420" w:lineRule="exact"/>
        <w:rPr>
          <w:rFonts w:hint="eastAsia" w:ascii="宋体" w:hAnsi="宋体"/>
          <w:szCs w:val="21"/>
        </w:rPr>
      </w:pPr>
      <w:r>
        <w:rPr>
          <w:rFonts w:hint="eastAsia" w:ascii="宋体" w:hAnsi="宋体"/>
          <w:szCs w:val="21"/>
        </w:rPr>
        <w:t xml:space="preserve">地          址：</w:t>
      </w:r>
      <w:r/>
    </w:p>
    <w:p>
      <w:pPr>
        <w:pStyle w:val="900"/>
        <w:ind w:left="420"/>
        <w:spacing w:before="0" w:after="0" w:line="420" w:lineRule="exact"/>
        <w:rPr>
          <w:rFonts w:hint="eastAsia" w:ascii="宋体" w:hAnsi="宋体"/>
          <w:szCs w:val="21"/>
        </w:rPr>
      </w:pPr>
      <w:r>
        <w:rPr>
          <w:rFonts w:hint="eastAsia" w:ascii="宋体" w:hAnsi="宋体"/>
          <w:szCs w:val="21"/>
        </w:rPr>
        <w:t xml:space="preserve">邮          编：</w:t>
      </w:r>
      <w:r/>
    </w:p>
    <w:p>
      <w:pPr>
        <w:pStyle w:val="900"/>
        <w:ind w:left="420"/>
        <w:spacing w:before="0" w:after="0" w:line="420" w:lineRule="exact"/>
        <w:rPr>
          <w:rFonts w:hint="eastAsia" w:ascii="宋体" w:hAnsi="宋体"/>
          <w:szCs w:val="21"/>
        </w:rPr>
      </w:pPr>
      <w:r>
        <w:rPr>
          <w:rFonts w:hint="eastAsia" w:ascii="宋体" w:hAnsi="宋体"/>
          <w:szCs w:val="21"/>
        </w:rPr>
        <w:t xml:space="preserve">电          话：</w:t>
      </w:r>
      <w:r/>
    </w:p>
    <w:p>
      <w:pPr>
        <w:pStyle w:val="900"/>
        <w:ind w:left="420"/>
        <w:spacing w:before="0" w:after="0" w:line="420" w:lineRule="exact"/>
        <w:rPr>
          <w:rFonts w:hint="eastAsia" w:ascii="宋体" w:hAnsi="宋体"/>
          <w:szCs w:val="21"/>
        </w:rPr>
      </w:pPr>
      <w:r>
        <w:rPr>
          <w:rFonts w:hint="eastAsia" w:ascii="宋体" w:hAnsi="宋体"/>
          <w:szCs w:val="21"/>
        </w:rPr>
        <w:t xml:space="preserve">传          真：</w:t>
      </w:r>
      <w:r/>
    </w:p>
    <w:p>
      <w:pPr>
        <w:pStyle w:val="90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0"/>
        <w:ind w:left="420"/>
        <w:spacing w:before="0" w:after="0" w:line="420" w:lineRule="exact"/>
        <w:rPr>
          <w:rFonts w:hint="eastAsia" w:ascii="宋体" w:hAnsi="宋体"/>
          <w:szCs w:val="21"/>
        </w:rPr>
      </w:pPr>
      <w:r>
        <w:rPr>
          <w:rFonts w:hint="eastAsia" w:ascii="宋体" w:hAnsi="宋体"/>
          <w:szCs w:val="21"/>
        </w:rPr>
        <w:t xml:space="preserve">账          号： </w:t>
      </w:r>
      <w:r/>
    </w:p>
    <w:p>
      <w:pPr>
        <w:pStyle w:val="900"/>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900"/>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bookmarkStart w:id="262" w:name="_Toc120614284"/>
      <w:r/>
      <w:bookmarkEnd w:id="259"/>
      <w:r/>
      <w:bookmarkEnd w:id="260"/>
      <w:r/>
      <w:bookmarkEnd w:id="261"/>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信部联企业〔2011〕300</w:t>
      </w:r>
      <w:r>
        <w:rPr>
          <w:rFonts w:hint="eastAsia" w:ascii="宋体" w:hAnsi="宋体"/>
          <w:sz w:val="24"/>
          <w:szCs w:val="24"/>
        </w:rPr>
        <w:t xml:space="preserve">号)</w:t>
      </w:r>
      <w:r>
        <w:rPr>
          <w:rFonts w:hint="eastAsia" w:ascii="宋体" w:hAnsi="宋体"/>
          <w:sz w:val="24"/>
          <w:szCs w:val="24"/>
        </w:rPr>
        <w:t xml:space="preserve">《国家统计局关于印发〈统计上大中小微型企业划分办法（2017）〉的通知》（国统字〔2017〕213号）的规定，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附件12  关于符合本国产品标准的声明函（采购包号：XX）</w:t>
      </w:r>
      <w:r/>
    </w:p>
    <w:p>
      <w:pPr>
        <w:pStyle w:val="807"/>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815"/>
          <w:rFonts w:hint="eastAsia" w:cs="方正魏碑_GBK"/>
          <w:i w:val="0"/>
          <w:u w:val="single"/>
          <w:shd w:val="clear" w:color="auto" w:fill="ffffff"/>
        </w:rPr>
        <w:t xml:space="preserve">（产品名称1）</w:t>
      </w:r>
      <w:r>
        <w:rPr>
          <w:rStyle w:val="815"/>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815"/>
          <w:rFonts w:hint="eastAsia" w:cs="方正魏碑_GBK"/>
          <w:i w:val="0"/>
          <w:u w:val="single"/>
          <w:shd w:val="clear" w:color="auto" w:fill="ffffff"/>
        </w:rPr>
        <w:t xml:space="preserve">（厂名）</w:t>
      </w:r>
      <w:r>
        <w:rPr>
          <w:rStyle w:val="815"/>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81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Style w:val="815"/>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Style w:val="815"/>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Style w:val="815"/>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815"/>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815"/>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81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807"/>
        <w:ind w:firstLine="480"/>
        <w:spacing w:before="30" w:beforeAutospacing="0" w:after="30" w:afterAutospacing="0" w:line="460" w:lineRule="exact"/>
        <w:rPr>
          <w:rFonts w:hint="eastAsia" w:cs="方正魏碑_GBK"/>
        </w:rPr>
      </w:pPr>
      <w:r>
        <w:rPr>
          <w:rFonts w:hint="eastAsia" w:cs="方正魏碑_GBK"/>
        </w:rPr>
      </w:r>
      <w:r/>
    </w:p>
    <w:p>
      <w:pPr>
        <w:pStyle w:val="807"/>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807"/>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807"/>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807"/>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807"/>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815"/>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spacing w:line="460" w:lineRule="exact"/>
        <w:rPr>
          <w:rFonts w:hint="eastAsia" w:ascii="宋体" w:hAnsi="宋体"/>
          <w:bCs/>
          <w:sz w:val="24"/>
          <w:szCs w:val="24"/>
        </w:rPr>
      </w:pPr>
      <w:r>
        <w:rPr>
          <w:rFonts w:hint="eastAsia" w:ascii="宋体" w:hAnsi="宋体"/>
          <w:bCs/>
          <w:sz w:val="24"/>
          <w:szCs w:val="24"/>
        </w:rPr>
      </w:r>
      <w:r/>
    </w:p>
    <w:p>
      <w:pPr>
        <w:jc w:val="left"/>
        <w:widowControl/>
        <w:rPr>
          <w:rFonts w:hint="eastAsia" w:ascii="宋体" w:hAnsi="宋体"/>
          <w:bCs/>
          <w:sz w:val="24"/>
        </w:rPr>
      </w:pPr>
      <w:r>
        <w:rPr>
          <w:rFonts w:hint="eastAsia" w:ascii="宋体" w:hAnsi="宋体"/>
          <w:bCs/>
          <w:sz w:val="24"/>
        </w:rPr>
        <w:br w:type="page" w:clear="all"/>
      </w:r>
      <w:bookmarkEnd w:id="198"/>
      <w:bookmarkEnd w:id="199"/>
      <w:bookmarkEnd w:id="262"/>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69"/>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魏碑_GBK">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13"/>
        <w:rFonts w:hint="eastAsia" w:ascii="宋体" w:hAnsi="宋体"/>
      </w:rPr>
      <w:framePr w:wrap="around" w:vAnchor="text" w:hAnchor="margin" w:xAlign="center" w:y="1"/>
    </w:pPr>
    <w:r>
      <w:rPr>
        <w:rFonts w:ascii="宋体" w:hAnsi="宋体"/>
      </w:rPr>
      <w:fldChar w:fldCharType="begin"/>
    </w:r>
    <w:r>
      <w:rPr>
        <w:rStyle w:val="813"/>
        <w:rFonts w:ascii="宋体" w:hAnsi="宋体"/>
      </w:rPr>
      <w:instrText xml:space="preserve">PAGE  </w:instrText>
    </w:r>
    <w:r>
      <w:rPr>
        <w:rFonts w:ascii="宋体" w:hAnsi="宋体"/>
      </w:rPr>
      <w:fldChar w:fldCharType="separate"/>
    </w:r>
    <w:r>
      <w:rPr>
        <w:rStyle w:val="813"/>
        <w:rFonts w:ascii="宋体" w:hAnsi="宋体"/>
      </w:rPr>
      <w:t xml:space="preserve">43</w:t>
    </w:r>
    <w:r>
      <w:rPr>
        <w:rFonts w:ascii="宋体" w:hAnsi="宋体"/>
      </w:rPr>
      <w:fldChar w:fldCharType="end"/>
    </w:r>
    <w:r/>
  </w:p>
  <w:p>
    <w:pPr>
      <w:pStyle w:val="84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1</w:t>
    </w:r>
    <w:r>
      <w:fldChar w:fldCharType="end"/>
    </w:r>
    <w:r/>
  </w:p>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fldChar w:fldCharType="begin"/>
    </w:r>
    <w:r>
      <w:instrText xml:space="preserve">PAGE   \* MERGEFORMAT</w:instrText>
    </w:r>
    <w:r>
      <w:fldChar w:fldCharType="separate"/>
    </w:r>
    <w:r>
      <w:rPr>
        <w:lang w:val="zh-CN"/>
      </w:rPr>
      <w:t xml:space="preserve">1</w:t>
    </w:r>
    <w:r>
      <w:fldChar w:fldCharType="end"/>
    </w:r>
    <w:r/>
  </w:p>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7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870" w:hanging="870"/>
        <w:tabs>
          <w:tab w:val="num" w:pos="870" w:leader="none"/>
        </w:tabs>
      </w:pPr>
    </w:lvl>
    <w:lvl w:ilvl="1">
      <w:start w:val="1"/>
      <w:numFmt w:val="decimal"/>
      <w:isLgl w:val="false"/>
      <w:suff w:val="tab"/>
      <w:lvlText w:val="%2."/>
      <w:lvlJc w:val="left"/>
      <w:pPr>
        <w:ind w:left="0" w:firstLine="0"/>
        <w:tabs>
          <w:tab w:val="num" w:pos="780" w:leader="none"/>
        </w:tabs>
      </w:pPr>
      <w:rPr>
        <w:color w:val="000000"/>
        <w:sz w:val="24"/>
        <w:szCs w:val="24"/>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decimal"/>
      <w:isLgl w:val="false"/>
      <w:suff w:val="tab"/>
      <w:lvlText w:val="%6．"/>
      <w:lvlJc w:val="left"/>
      <w:pPr>
        <w:ind w:left="2835" w:hanging="735"/>
        <w:tabs>
          <w:tab w:val="num" w:pos="2835"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japaneseCounting"/>
      <w:isLgl w:val="false"/>
      <w:suff w:val="tab"/>
      <w:lvlText w:val="第%1条"/>
      <w:lvlJc w:val="left"/>
      <w:pPr>
        <w:ind w:left="870" w:hanging="870"/>
        <w:tabs>
          <w:tab w:val="num" w:pos="870" w:leader="none"/>
        </w:tabs>
      </w:pPr>
      <w:rPr>
        <w:rFonts w:hint="eastAsia"/>
      </w:rPr>
    </w:lvl>
    <w:lvl w:ilvl="1">
      <w:start w:val="1"/>
      <w:numFmt w:val="decimal"/>
      <w:isLgl w:val="false"/>
      <w:suff w:val="tab"/>
      <w:lvlText w:val="%2."/>
      <w:lvlJc w:val="left"/>
      <w:pPr>
        <w:ind w:left="0" w:firstLine="0"/>
        <w:tabs>
          <w:tab w:val="num" w:pos="780" w:leader="none"/>
        </w:tabs>
      </w:pPr>
      <w:rPr>
        <w:rFonts w:hint="eastAsia"/>
        <w:color w:val="000000"/>
      </w:rPr>
    </w:lvl>
    <w:lvl w:ilvl="2">
      <w:start w:val="1"/>
      <w:numFmt w:val="lowerRoman"/>
      <w:isLgl w:val="false"/>
      <w:suff w:val="tab"/>
      <w:lvlText w:val="%3."/>
      <w:lvlJc w:val="right"/>
      <w:pPr>
        <w:ind w:left="1260" w:hanging="420"/>
        <w:tabs>
          <w:tab w:val="num" w:pos="1260" w:leader="none"/>
        </w:tabs>
      </w:pPr>
      <w:rPr>
        <w:rFonts w:hint="eastAsia"/>
      </w:rPr>
    </w:lvl>
    <w:lvl w:ilvl="3">
      <w:start w:val="1"/>
      <w:numFmt w:val="decimal"/>
      <w:isLgl w:val="false"/>
      <w:suff w:val="tab"/>
      <w:lvlText w:val="%4."/>
      <w:lvlJc w:val="left"/>
      <w:pPr>
        <w:ind w:left="1680" w:hanging="420"/>
        <w:tabs>
          <w:tab w:val="num" w:pos="1680" w:leader="none"/>
        </w:tabs>
      </w:pPr>
      <w:rPr>
        <w:rFonts w:hint="eastAsia"/>
      </w:rPr>
    </w:lvl>
    <w:lvl w:ilvl="4">
      <w:start w:val="1"/>
      <w:numFmt w:val="lowerLetter"/>
      <w:isLgl w:val="false"/>
      <w:suff w:val="tab"/>
      <w:lvlText w:val="%5)"/>
      <w:lvlJc w:val="left"/>
      <w:pPr>
        <w:ind w:left="2100" w:hanging="420"/>
        <w:tabs>
          <w:tab w:val="num" w:pos="2100" w:leader="none"/>
        </w:tabs>
      </w:pPr>
      <w:rPr>
        <w:rFonts w:hint="eastAsia"/>
      </w:rPr>
    </w:lvl>
    <w:lvl w:ilvl="5">
      <w:start w:val="1"/>
      <w:numFmt w:val="decimal"/>
      <w:isLgl w:val="false"/>
      <w:suff w:val="tab"/>
      <w:lvlText w:val="%6．"/>
      <w:lvlJc w:val="left"/>
      <w:pPr>
        <w:ind w:left="2835" w:hanging="735"/>
        <w:tabs>
          <w:tab w:val="num" w:pos="2835" w:leader="none"/>
        </w:tabs>
      </w:pPr>
      <w:rPr>
        <w:rFonts w:hint="eastAsia"/>
      </w:rPr>
    </w:lvl>
    <w:lvl w:ilvl="6">
      <w:start w:val="1"/>
      <w:numFmt w:val="decimal"/>
      <w:isLgl w:val="false"/>
      <w:suff w:val="tab"/>
      <w:lvlText w:val="%7."/>
      <w:lvlJc w:val="left"/>
      <w:pPr>
        <w:ind w:left="2940" w:hanging="420"/>
        <w:tabs>
          <w:tab w:val="num" w:pos="2940" w:leader="none"/>
        </w:tabs>
      </w:pPr>
      <w:rPr>
        <w:rFonts w:hint="eastAsia"/>
      </w:rPr>
    </w:lvl>
    <w:lvl w:ilvl="7">
      <w:start w:val="1"/>
      <w:numFmt w:val="lowerLetter"/>
      <w:isLgl w:val="false"/>
      <w:suff w:val="tab"/>
      <w:lvlText w:val="%8)"/>
      <w:lvlJc w:val="left"/>
      <w:pPr>
        <w:ind w:left="3360" w:hanging="420"/>
        <w:tabs>
          <w:tab w:val="num" w:pos="3360" w:leader="none"/>
        </w:tabs>
      </w:pPr>
      <w:rPr>
        <w:rFonts w:hint="eastAsia"/>
      </w:rPr>
    </w:lvl>
    <w:lvl w:ilvl="8">
      <w:start w:val="1"/>
      <w:numFmt w:val="lowerRoman"/>
      <w:isLgl w:val="false"/>
      <w:suff w:val="tab"/>
      <w:lvlText w:val="%9."/>
      <w:lvlJc w:val="right"/>
      <w:pPr>
        <w:ind w:left="3780" w:hanging="420"/>
        <w:tabs>
          <w:tab w:val="num" w:pos="3780" w:leader="none"/>
        </w:tabs>
      </w:pPr>
      <w:rPr>
        <w:rFonts w:hint="eastAsia"/>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num" w:pos="360" w:leader="none"/>
        </w:tabs>
      </w:pPr>
      <w:rPr>
        <w:rFonts w:cs="Times New Roman"/>
      </w:rPr>
    </w:lvl>
    <w:lvl w:ilvl="3">
      <w:start w:val="1"/>
      <w:numFmt w:val="decimal"/>
      <w:isLgl w:val="false"/>
      <w:suff w:val="tab"/>
      <w:lvlText w:val=""/>
      <w:lvlJc w:val="left"/>
      <w:pPr>
        <w:tabs>
          <w:tab w:val="num" w:pos="360" w:leader="none"/>
        </w:tabs>
      </w:pPr>
      <w:rPr>
        <w:rFonts w:cs="Times New Roman"/>
      </w:rPr>
    </w:lvl>
    <w:lvl w:ilvl="4">
      <w:start w:val="1"/>
      <w:numFmt w:val="decimal"/>
      <w:pStyle w:val="1054"/>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20" w:hanging="720"/>
      </w:pPr>
    </w:lvl>
    <w:lvl w:ilvl="1">
      <w:start w:val="1"/>
      <w:numFmt w:val="decimalEnclosedCircle"/>
      <w:isLgl w:val="false"/>
      <w:suff w:val="tab"/>
      <w:lvlText w:val="%2"/>
      <w:lvlJc w:val="left"/>
      <w:pPr>
        <w:ind w:left="780" w:hanging="360"/>
      </w:pPr>
      <w:rPr>
        <w:rFonts w:ascii="宋体" w:hAnsi="宋体"/>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909"/>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9">
    <w:multiLevelType w:val="hybridMultilevel"/>
    <w:lvl w:ilvl="0">
      <w:start w:val="1"/>
      <w:numFmt w:val="japaneseCounting"/>
      <w:isLgl w:val="false"/>
      <w:suff w:val="tab"/>
      <w:lvlText w:val="第%1条"/>
      <w:lvlJc w:val="left"/>
      <w:pPr>
        <w:ind w:left="870" w:hanging="870"/>
        <w:tabs>
          <w:tab w:val="num" w:pos="870" w:leader="none"/>
        </w:tabs>
      </w:pPr>
    </w:lvl>
    <w:lvl w:ilvl="1">
      <w:start w:val="1"/>
      <w:numFmt w:val="decimal"/>
      <w:isLgl w:val="false"/>
      <w:suff w:val="tab"/>
      <w:lvlText w:val="%2."/>
      <w:lvlJc w:val="left"/>
      <w:pPr>
        <w:ind w:left="0" w:firstLine="0"/>
        <w:tabs>
          <w:tab w:val="num" w:pos="780" w:leader="none"/>
        </w:tabs>
      </w:pPr>
      <w:rPr>
        <w:color w:val="000000"/>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decimal"/>
      <w:isLgl w:val="false"/>
      <w:suff w:val="tab"/>
      <w:lvlText w:val="%6．"/>
      <w:lvlJc w:val="left"/>
      <w:pPr>
        <w:ind w:left="2835" w:hanging="735"/>
        <w:tabs>
          <w:tab w:val="num" w:pos="2835"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1"/>
      <w:numFmt w:val="japaneseCounting"/>
      <w:isLgl w:val="false"/>
      <w:suff w:val="tab"/>
      <w:lvlText w:val="第%1条"/>
      <w:lvlJc w:val="left"/>
      <w:pPr>
        <w:ind w:left="870" w:hanging="870"/>
        <w:tabs>
          <w:tab w:val="num" w:pos="870" w:leader="none"/>
        </w:tabs>
      </w:pPr>
    </w:lvl>
    <w:lvl w:ilvl="1">
      <w:start w:val="1"/>
      <w:numFmt w:val="decimal"/>
      <w:isLgl w:val="false"/>
      <w:suff w:val="tab"/>
      <w:lvlText w:val="%2."/>
      <w:lvlJc w:val="left"/>
      <w:pPr>
        <w:ind w:left="0" w:firstLine="0"/>
        <w:tabs>
          <w:tab w:val="num" w:pos="780" w:leader="none"/>
        </w:tabs>
      </w:pPr>
      <w:rPr>
        <w:color w:val="000000"/>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decimal"/>
      <w:isLgl w:val="false"/>
      <w:suff w:val="tab"/>
      <w:lvlText w:val="%6．"/>
      <w:lvlJc w:val="left"/>
      <w:pPr>
        <w:ind w:left="2835" w:hanging="735"/>
        <w:tabs>
          <w:tab w:val="num" w:pos="2835"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japaneseCounting"/>
      <w:isLgl w:val="false"/>
      <w:suff w:val="tab"/>
      <w:lvlText w:val="第%1条"/>
      <w:lvlJc w:val="left"/>
      <w:pPr>
        <w:ind w:left="870" w:hanging="870"/>
        <w:tabs>
          <w:tab w:val="num" w:pos="870" w:leader="none"/>
        </w:tabs>
      </w:pPr>
    </w:lvl>
    <w:lvl w:ilvl="1">
      <w:start w:val="1"/>
      <w:numFmt w:val="decimal"/>
      <w:isLgl w:val="false"/>
      <w:suff w:val="tab"/>
      <w:lvlText w:val="%2."/>
      <w:lvlJc w:val="left"/>
      <w:pPr>
        <w:ind w:left="0" w:firstLine="0"/>
        <w:tabs>
          <w:tab w:val="num" w:pos="780" w:leader="none"/>
        </w:tabs>
      </w:pPr>
      <w:rPr>
        <w:color w:val="000000"/>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decimal"/>
      <w:isLgl w:val="false"/>
      <w:suff w:val="tab"/>
      <w:lvlText w:val="%6．"/>
      <w:lvlJc w:val="left"/>
      <w:pPr>
        <w:ind w:left="2835" w:hanging="735"/>
        <w:tabs>
          <w:tab w:val="num" w:pos="2835"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2"/>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4"/>
      <w:isLgl w:val="false"/>
      <w:suff w:val="nothing"/>
      <w:lvlText w:val=""/>
      <w:lvlJc w:val="left"/>
      <w:pPr>
        <w:ind w:left="0" w:firstLine="0"/>
      </w:pPr>
      <w:rPr>
        <w:rFonts w:hint="eastAsia"/>
      </w:rPr>
    </w:lvl>
    <w:lvl w:ilvl="6">
      <w:start w:val="1"/>
      <w:numFmt w:val="decimal"/>
      <w:pStyle w:val="725"/>
      <w:isLgl w:val="false"/>
      <w:suff w:val="nothing"/>
      <w:lvlText w:val=""/>
      <w:lvlJc w:val="left"/>
      <w:pPr>
        <w:ind w:left="0" w:firstLine="0"/>
      </w:pPr>
      <w:rPr>
        <w:rFonts w:hint="eastAsia"/>
      </w:rPr>
    </w:lvl>
    <w:lvl w:ilvl="7">
      <w:start w:val="1"/>
      <w:numFmt w:val="decimal"/>
      <w:pStyle w:val="726"/>
      <w:isLgl w:val="false"/>
      <w:suff w:val="nothing"/>
      <w:lvlText w:val=""/>
      <w:lvlJc w:val="left"/>
      <w:pPr>
        <w:ind w:left="0" w:firstLine="0"/>
      </w:pPr>
      <w:rPr>
        <w:rFonts w:hint="eastAsia"/>
      </w:rPr>
    </w:lvl>
    <w:lvl w:ilvl="8">
      <w:start w:val="1"/>
      <w:numFmt w:val="decimal"/>
      <w:pStyle w:val="727"/>
      <w:isLgl w:val="false"/>
      <w:suff w:val="nothing"/>
      <w:lvlText w:val=""/>
      <w:lvlJc w:val="left"/>
      <w:pPr>
        <w:ind w:left="0" w:firstLine="0"/>
      </w:pPr>
      <w:rPr>
        <w:rFonts w:hint="eastAsia"/>
      </w:rPr>
    </w:lvl>
  </w:abstractNum>
  <w:num w:numId="1">
    <w:abstractNumId w:val="14"/>
  </w:num>
  <w:num w:numId="2">
    <w:abstractNumId w:val="0"/>
  </w:num>
  <w:num w:numId="3">
    <w:abstractNumId w:val="8"/>
  </w:num>
  <w:num w:numId="4">
    <w:abstractNumId w:val="3"/>
  </w:num>
  <w:num w:numId="5">
    <w:abstractNumId w:val="12"/>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9"/>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7"/>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6">
    <w:name w:val="Caption Char"/>
    <w:basedOn w:val="739"/>
    <w:link w:val="738"/>
    <w:uiPriority w:val="99"/>
  </w:style>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18" w:default="1">
    <w:name w:val="Normal"/>
    <w:qFormat/>
    <w:pPr>
      <w:jc w:val="both"/>
      <w:widowControl w:val="off"/>
    </w:pPr>
    <w:rPr>
      <w:rFonts w:ascii="Times New Roman" w:hAnsi="Times New Roman"/>
      <w:sz w:val="21"/>
      <w:szCs w:val="21"/>
    </w:rPr>
  </w:style>
  <w:style w:type="paragraph" w:styleId="719">
    <w:name w:val="Heading 1"/>
    <w:basedOn w:val="718"/>
    <w:next w:val="718"/>
    <w:link w:val="817"/>
    <w:uiPriority w:val="9"/>
    <w:qFormat/>
    <w:pPr>
      <w:jc w:val="center"/>
      <w:keepNext/>
      <w:outlineLvl w:val="0"/>
    </w:pPr>
    <w:rPr>
      <w:rFonts w:ascii="楷体_GB2312" w:eastAsia="楷体_GB2312"/>
      <w:sz w:val="28"/>
      <w:szCs w:val="28"/>
    </w:rPr>
  </w:style>
  <w:style w:type="paragraph" w:styleId="720">
    <w:name w:val="Heading 2"/>
    <w:basedOn w:val="718"/>
    <w:next w:val="769"/>
    <w:link w:val="818"/>
    <w:qFormat/>
    <w:pPr>
      <w:jc w:val="center"/>
      <w:keepLines/>
      <w:keepNext/>
      <w:spacing w:before="260" w:after="260" w:line="416" w:lineRule="auto"/>
      <w:outlineLvl w:val="1"/>
    </w:pPr>
    <w:rPr>
      <w:rFonts w:ascii="Arial" w:hAnsi="Arial" w:eastAsia="幼圆" w:cs="Arial"/>
      <w:b/>
      <w:bCs/>
      <w:sz w:val="44"/>
      <w:szCs w:val="44"/>
    </w:rPr>
  </w:style>
  <w:style w:type="paragraph" w:styleId="721">
    <w:name w:val="Heading 3"/>
    <w:basedOn w:val="718"/>
    <w:next w:val="769"/>
    <w:link w:val="819"/>
    <w:uiPriority w:val="9"/>
    <w:qFormat/>
    <w:pPr>
      <w:keepLines/>
      <w:keepNext/>
      <w:spacing w:before="260" w:after="260" w:line="416" w:lineRule="auto"/>
      <w:outlineLvl w:val="2"/>
    </w:pPr>
    <w:rPr>
      <w:b/>
      <w:bCs/>
      <w:sz w:val="32"/>
      <w:szCs w:val="32"/>
    </w:rPr>
  </w:style>
  <w:style w:type="paragraph" w:styleId="722">
    <w:name w:val="Heading 4"/>
    <w:basedOn w:val="718"/>
    <w:next w:val="769"/>
    <w:link w:val="820"/>
    <w:uiPriority w:val="9"/>
    <w:qFormat/>
    <w:pPr>
      <w:keepLines/>
      <w:keepNext/>
      <w:spacing w:before="280" w:after="290" w:line="376" w:lineRule="auto"/>
      <w:outlineLvl w:val="3"/>
    </w:pPr>
    <w:rPr>
      <w:rFonts w:ascii="Arial" w:hAnsi="Arial" w:eastAsia="黑体" w:cs="Arial"/>
      <w:b/>
      <w:bCs/>
      <w:sz w:val="28"/>
      <w:szCs w:val="28"/>
    </w:rPr>
  </w:style>
  <w:style w:type="paragraph" w:styleId="723">
    <w:name w:val="Heading 5"/>
    <w:basedOn w:val="718"/>
    <w:next w:val="769"/>
    <w:link w:val="821"/>
    <w:uiPriority w:val="9"/>
    <w:qFormat/>
    <w:pPr>
      <w:keepNext/>
      <w:outlineLvl w:val="4"/>
    </w:pPr>
    <w:rPr>
      <w:rFonts w:ascii="宋体"/>
      <w:color w:val="000000"/>
      <w:sz w:val="28"/>
      <w:szCs w:val="28"/>
    </w:rPr>
  </w:style>
  <w:style w:type="paragraph" w:styleId="724">
    <w:name w:val="Heading 6"/>
    <w:basedOn w:val="718"/>
    <w:next w:val="718"/>
    <w:link w:val="822"/>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5">
    <w:name w:val="Heading 7"/>
    <w:basedOn w:val="718"/>
    <w:next w:val="718"/>
    <w:link w:val="823"/>
    <w:uiPriority w:val="9"/>
    <w:qFormat/>
    <w:pPr>
      <w:numPr>
        <w:ilvl w:val="6"/>
        <w:numId w:val="1"/>
      </w:numPr>
      <w:keepLines/>
      <w:keepNext/>
      <w:spacing w:before="240" w:after="64" w:line="320" w:lineRule="auto"/>
      <w:outlineLvl w:val="6"/>
    </w:pPr>
    <w:rPr>
      <w:b/>
      <w:bCs/>
      <w:sz w:val="24"/>
      <w:szCs w:val="24"/>
    </w:rPr>
  </w:style>
  <w:style w:type="paragraph" w:styleId="726">
    <w:name w:val="Heading 8"/>
    <w:basedOn w:val="718"/>
    <w:next w:val="718"/>
    <w:link w:val="824"/>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27">
    <w:name w:val="Heading 9"/>
    <w:basedOn w:val="718"/>
    <w:next w:val="718"/>
    <w:link w:val="825"/>
    <w:uiPriority w:val="9"/>
    <w:qFormat/>
    <w:pPr>
      <w:numPr>
        <w:ilvl w:val="8"/>
        <w:numId w:val="1"/>
      </w:numPr>
      <w:keepLines/>
      <w:keepNext/>
      <w:spacing w:before="240" w:after="64" w:line="320" w:lineRule="auto"/>
      <w:outlineLvl w:val="8"/>
    </w:pPr>
    <w:rPr>
      <w:rFonts w:ascii="Arial" w:hAnsi="Arial" w:eastAsia="黑体"/>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List Paragraph"/>
    <w:basedOn w:val="718"/>
    <w:uiPriority w:val="34"/>
    <w:qFormat/>
    <w:pPr>
      <w:contextualSpacing/>
      <w:ind w:left="720"/>
    </w:pPr>
  </w:style>
  <w:style w:type="paragraph" w:styleId="732">
    <w:name w:val="No Spacing"/>
    <w:uiPriority w:val="1"/>
    <w:qFormat/>
    <w:pPr>
      <w:jc w:val="both"/>
      <w:widowControl w:val="off"/>
    </w:pPr>
    <w:rPr>
      <w:rFonts w:ascii="Times New Roman" w:hAnsi="Times New Roman"/>
      <w:sz w:val="21"/>
      <w:szCs w:val="21"/>
    </w:rPr>
  </w:style>
  <w:style w:type="paragraph" w:styleId="733">
    <w:name w:val="Title"/>
    <w:basedOn w:val="718"/>
    <w:next w:val="718"/>
    <w:link w:val="809"/>
    <w:uiPriority w:val="10"/>
    <w:qFormat/>
    <w:pPr>
      <w:contextualSpacing/>
      <w:spacing w:before="300" w:after="200"/>
    </w:pPr>
    <w:rPr>
      <w:rFonts w:ascii="等线" w:hAnsi="等线"/>
      <w:sz w:val="48"/>
      <w:szCs w:val="48"/>
    </w:rPr>
  </w:style>
  <w:style w:type="paragraph" w:styleId="734">
    <w:name w:val="Subtitle"/>
    <w:basedOn w:val="718"/>
    <w:next w:val="718"/>
    <w:link w:val="797"/>
    <w:uiPriority w:val="11"/>
    <w:qFormat/>
    <w:pPr>
      <w:spacing w:before="200" w:after="200"/>
    </w:pPr>
    <w:rPr>
      <w:rFonts w:ascii="等线" w:hAnsi="等线"/>
      <w:sz w:val="24"/>
      <w:szCs w:val="24"/>
    </w:rPr>
  </w:style>
  <w:style w:type="paragraph" w:styleId="735">
    <w:name w:val="Quote"/>
    <w:basedOn w:val="718"/>
    <w:next w:val="718"/>
    <w:link w:val="835"/>
    <w:uiPriority w:val="29"/>
    <w:qFormat/>
    <w:pPr>
      <w:ind w:left="720" w:right="720"/>
    </w:pPr>
    <w:rPr>
      <w:rFonts w:ascii="等线" w:hAnsi="等线"/>
      <w:i/>
      <w:szCs w:val="22"/>
    </w:rPr>
  </w:style>
  <w:style w:type="paragraph" w:styleId="736">
    <w:name w:val="Intense Quote"/>
    <w:basedOn w:val="718"/>
    <w:next w:val="718"/>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paragraph" w:styleId="737">
    <w:name w:val="Header"/>
    <w:basedOn w:val="718"/>
    <w:link w:val="794"/>
    <w:uiPriority w:val="99"/>
    <w:unhideWhenUsed/>
    <w:pPr>
      <w:jc w:val="center"/>
      <w:tabs>
        <w:tab w:val="center" w:pos="4153" w:leader="none"/>
        <w:tab w:val="right" w:pos="8306" w:leader="none"/>
      </w:tabs>
      <w:pBdr>
        <w:bottom w:val="single" w:color="000000" w:sz="6" w:space="1"/>
      </w:pBdr>
    </w:pPr>
    <w:rPr>
      <w:sz w:val="18"/>
      <w:szCs w:val="18"/>
    </w:rPr>
  </w:style>
  <w:style w:type="paragraph" w:styleId="738">
    <w:name w:val="Footer"/>
    <w:basedOn w:val="718"/>
    <w:link w:val="845"/>
    <w:uiPriority w:val="99"/>
    <w:unhideWhenUsed/>
    <w:pPr>
      <w:tabs>
        <w:tab w:val="center" w:pos="7143" w:leader="none"/>
        <w:tab w:val="right" w:pos="14287" w:leader="none"/>
      </w:tabs>
    </w:pPr>
  </w:style>
  <w:style w:type="paragraph" w:styleId="739">
    <w:name w:val="Caption"/>
    <w:basedOn w:val="718"/>
    <w:next w:val="718"/>
    <w:uiPriority w:val="35"/>
    <w:semiHidden/>
    <w:unhideWhenUsed/>
    <w:qFormat/>
    <w:pPr>
      <w:spacing w:line="276" w:lineRule="auto"/>
    </w:pPr>
    <w:rPr>
      <w:b/>
      <w:bCs/>
      <w:color w:val="4f81bd" w:themeColor="accent1"/>
      <w:sz w:val="18"/>
      <w:szCs w:val="18"/>
    </w:rPr>
  </w:style>
  <w:style w:type="table" w:styleId="740">
    <w:name w:val="Table Grid"/>
    <w:basedOn w:val="729"/>
    <w:uiPriority w:val="39"/>
    <w:qFormat/>
    <w:pPr>
      <w:jc w:val="both"/>
      <w:widowControl w:val="off"/>
    </w:pPr>
    <w:rPr>
      <w:rFonts w:ascii="Times New Roman" w:hAnsi="Times New Roman"/>
    </w:rPr>
    <w:tblPr/>
  </w:style>
  <w:style w:type="table" w:styleId="741" w:customStyle="1">
    <w:name w:val="无格式表格 11"/>
    <w:basedOn w:val="729"/>
    <w:uiPriority w:val="59"/>
    <w:tblPr/>
  </w:style>
  <w:style w:type="table" w:styleId="742" w:customStyle="1">
    <w:name w:val="无格式表格 21"/>
    <w:basedOn w:val="729"/>
    <w:uiPriority w:val="59"/>
    <w:tblPr/>
  </w:style>
  <w:style w:type="table" w:styleId="743" w:customStyle="1">
    <w:name w:val="无格式表格 31"/>
    <w:basedOn w:val="729"/>
    <w:uiPriority w:val="99"/>
    <w:tblPr/>
  </w:style>
  <w:style w:type="table" w:styleId="744" w:customStyle="1">
    <w:name w:val="无格式表格 41"/>
    <w:basedOn w:val="729"/>
    <w:uiPriority w:val="99"/>
    <w:tblPr/>
  </w:style>
  <w:style w:type="table" w:styleId="745" w:customStyle="1">
    <w:name w:val="无格式表格 51"/>
    <w:basedOn w:val="729"/>
    <w:uiPriority w:val="99"/>
    <w:tblPr/>
  </w:style>
  <w:style w:type="table" w:styleId="746" w:customStyle="1">
    <w:name w:val="网格表 1 浅色1"/>
    <w:basedOn w:val="729"/>
    <w:uiPriority w:val="99"/>
    <w:tblPr/>
  </w:style>
  <w:style w:type="table" w:styleId="747" w:customStyle="1">
    <w:name w:val="网格表 21"/>
    <w:basedOn w:val="729"/>
    <w:uiPriority w:val="99"/>
    <w:tblPr/>
  </w:style>
  <w:style w:type="table" w:styleId="748" w:customStyle="1">
    <w:name w:val="网格表 31"/>
    <w:basedOn w:val="729"/>
    <w:uiPriority w:val="99"/>
    <w:tblPr/>
  </w:style>
  <w:style w:type="table" w:styleId="749" w:customStyle="1">
    <w:name w:val="网格表 41"/>
    <w:basedOn w:val="729"/>
    <w:uiPriority w:val="59"/>
    <w:tblPr/>
  </w:style>
  <w:style w:type="table" w:styleId="750" w:customStyle="1">
    <w:name w:val="网格表 5 深色1"/>
    <w:basedOn w:val="729"/>
    <w:uiPriority w:val="99"/>
    <w:tblPr/>
  </w:style>
  <w:style w:type="table" w:styleId="751" w:customStyle="1">
    <w:name w:val="网格表 6 彩色1"/>
    <w:basedOn w:val="729"/>
    <w:uiPriority w:val="99"/>
    <w:tblPr/>
  </w:style>
  <w:style w:type="table" w:styleId="752" w:customStyle="1">
    <w:name w:val="网格表 7 彩色1"/>
    <w:basedOn w:val="729"/>
    <w:uiPriority w:val="99"/>
    <w:tblPr/>
  </w:style>
  <w:style w:type="table" w:styleId="753" w:customStyle="1">
    <w:name w:val="清单表 1 浅色1"/>
    <w:basedOn w:val="729"/>
    <w:uiPriority w:val="99"/>
    <w:tblPr/>
  </w:style>
  <w:style w:type="table" w:styleId="754" w:customStyle="1">
    <w:name w:val="清单表 21"/>
    <w:basedOn w:val="729"/>
    <w:uiPriority w:val="99"/>
    <w:tblPr/>
  </w:style>
  <w:style w:type="table" w:styleId="755" w:customStyle="1">
    <w:name w:val="清单表 31"/>
    <w:basedOn w:val="729"/>
    <w:uiPriority w:val="99"/>
    <w:tblPr/>
  </w:style>
  <w:style w:type="table" w:styleId="756" w:customStyle="1">
    <w:name w:val="清单表 41"/>
    <w:basedOn w:val="729"/>
    <w:uiPriority w:val="99"/>
    <w:tblPr/>
  </w:style>
  <w:style w:type="table" w:styleId="757" w:customStyle="1">
    <w:name w:val="清单表 5 深色1"/>
    <w:basedOn w:val="729"/>
    <w:uiPriority w:val="99"/>
    <w:tblPr/>
  </w:style>
  <w:style w:type="table" w:styleId="758" w:customStyle="1">
    <w:name w:val="清单表 6 彩色1"/>
    <w:basedOn w:val="729"/>
    <w:uiPriority w:val="99"/>
    <w:tblPr/>
  </w:style>
  <w:style w:type="table" w:styleId="759" w:customStyle="1">
    <w:name w:val="清单表 7 彩色1"/>
    <w:basedOn w:val="729"/>
    <w:uiPriority w:val="99"/>
    <w:tblPr/>
  </w:style>
  <w:style w:type="character" w:styleId="760">
    <w:name w:val="Hyperlink"/>
    <w:uiPriority w:val="99"/>
    <w:rPr>
      <w:color w:val="0000ff"/>
      <w:u w:val="single"/>
    </w:rPr>
  </w:style>
  <w:style w:type="paragraph" w:styleId="761">
    <w:name w:val="footnote text"/>
    <w:basedOn w:val="718"/>
    <w:link w:val="799"/>
    <w:uiPriority w:val="99"/>
    <w:unhideWhenUsed/>
    <w:pPr>
      <w:spacing w:after="40"/>
    </w:pPr>
    <w:rPr>
      <w:rFonts w:ascii="等线" w:hAnsi="等线"/>
      <w:sz w:val="18"/>
      <w:szCs w:val="22"/>
    </w:rPr>
  </w:style>
  <w:style w:type="character" w:styleId="762">
    <w:name w:val="footnote reference"/>
    <w:uiPriority w:val="99"/>
    <w:unhideWhenUsed/>
    <w:rPr>
      <w:vertAlign w:val="superscript"/>
    </w:rPr>
  </w:style>
  <w:style w:type="paragraph" w:styleId="763">
    <w:name w:val="endnote text"/>
    <w:basedOn w:val="718"/>
    <w:link w:val="791"/>
    <w:uiPriority w:val="99"/>
    <w:unhideWhenUsed/>
    <w:rPr>
      <w:rFonts w:ascii="等线" w:hAnsi="等线"/>
      <w:sz w:val="20"/>
      <w:szCs w:val="22"/>
    </w:rPr>
  </w:style>
  <w:style w:type="character" w:styleId="764">
    <w:name w:val="endnote reference"/>
    <w:uiPriority w:val="99"/>
    <w:unhideWhenUsed/>
    <w:rPr>
      <w:vertAlign w:val="superscript"/>
    </w:rPr>
  </w:style>
  <w:style w:type="paragraph" w:styleId="765">
    <w:name w:val="TOC Heading"/>
    <w:uiPriority w:val="39"/>
    <w:qFormat/>
    <w:rPr>
      <w:rFonts w:ascii="Times New Roman" w:hAnsi="Times New Roman"/>
    </w:rPr>
  </w:style>
  <w:style w:type="paragraph" w:styleId="766">
    <w:name w:val="table of figures"/>
    <w:basedOn w:val="718"/>
    <w:next w:val="718"/>
    <w:uiPriority w:val="99"/>
    <w:semiHidden/>
    <w:pPr>
      <w:ind w:left="840" w:hanging="420"/>
    </w:pPr>
  </w:style>
  <w:style w:type="paragraph" w:styleId="767">
    <w:name w:val="List 3"/>
    <w:basedOn w:val="718"/>
    <w:pPr>
      <w:ind w:left="100" w:hanging="200"/>
    </w:pPr>
  </w:style>
  <w:style w:type="paragraph" w:styleId="768">
    <w:name w:val="toc 7"/>
    <w:basedOn w:val="718"/>
    <w:next w:val="718"/>
    <w:uiPriority w:val="39"/>
    <w:unhideWhenUsed/>
    <w:pPr>
      <w:ind w:left="1701"/>
      <w:spacing w:after="57"/>
    </w:pPr>
  </w:style>
  <w:style w:type="paragraph" w:styleId="769">
    <w:name w:val="Normal Indent"/>
    <w:basedOn w:val="718"/>
    <w:link w:val="770"/>
    <w:qFormat/>
    <w:pPr>
      <w:ind w:firstLine="420"/>
    </w:pPr>
  </w:style>
  <w:style w:type="character" w:styleId="770" w:customStyle="1">
    <w:name w:val="正文缩进 字符"/>
    <w:link w:val="769"/>
    <w:qFormat/>
    <w:rPr>
      <w:rFonts w:ascii="Times New Roman" w:hAnsi="Times New Roman" w:eastAsia="宋体" w:cs="Times New Roman"/>
      <w:szCs w:val="21"/>
    </w:rPr>
  </w:style>
  <w:style w:type="paragraph" w:styleId="771">
    <w:name w:val="Document Map"/>
    <w:basedOn w:val="718"/>
    <w:link w:val="772"/>
    <w:semiHidden/>
    <w:pPr>
      <w:shd w:val="clear" w:color="auto" w:fill="000080"/>
    </w:pPr>
  </w:style>
  <w:style w:type="character" w:styleId="772" w:customStyle="1">
    <w:name w:val="文档结构图 字符"/>
    <w:link w:val="771"/>
    <w:semiHidden/>
    <w:rPr>
      <w:rFonts w:ascii="Times New Roman" w:hAnsi="Times New Roman" w:eastAsia="宋体" w:cs="Times New Roman"/>
      <w:szCs w:val="21"/>
      <w:shd w:val="clear" w:color="auto" w:fill="000080"/>
    </w:rPr>
  </w:style>
  <w:style w:type="paragraph" w:styleId="773">
    <w:name w:val="annotation text"/>
    <w:basedOn w:val="718"/>
    <w:link w:val="774"/>
    <w:uiPriority w:val="99"/>
    <w:semiHidden/>
    <w:qFormat/>
    <w:pPr>
      <w:jc w:val="left"/>
    </w:pPr>
  </w:style>
  <w:style w:type="character" w:styleId="774" w:customStyle="1">
    <w:name w:val="批注文字 字符"/>
    <w:link w:val="773"/>
    <w:uiPriority w:val="99"/>
    <w:semiHidden/>
    <w:qFormat/>
    <w:rPr>
      <w:rFonts w:ascii="Times New Roman" w:hAnsi="Times New Roman" w:eastAsia="宋体" w:cs="Times New Roman"/>
      <w:szCs w:val="21"/>
    </w:rPr>
  </w:style>
  <w:style w:type="paragraph" w:styleId="775">
    <w:name w:val="Body Text 3"/>
    <w:basedOn w:val="718"/>
    <w:link w:val="776"/>
    <w:rPr>
      <w:rFonts w:ascii="仿宋_GB2312" w:hAnsi="Arial" w:eastAsia="仿宋_GB2312"/>
      <w:sz w:val="32"/>
      <w:szCs w:val="32"/>
    </w:rPr>
  </w:style>
  <w:style w:type="character" w:styleId="776" w:customStyle="1">
    <w:name w:val="正文文本 3 字符"/>
    <w:link w:val="775"/>
    <w:rPr>
      <w:rFonts w:ascii="仿宋_GB2312" w:hAnsi="Arial" w:eastAsia="仿宋_GB2312" w:cs="Times New Roman"/>
      <w:sz w:val="32"/>
      <w:szCs w:val="32"/>
    </w:rPr>
  </w:style>
  <w:style w:type="paragraph" w:styleId="777">
    <w:name w:val="Body Text"/>
    <w:basedOn w:val="718"/>
    <w:link w:val="778"/>
    <w:rPr>
      <w:rFonts w:ascii="楷体_GB2312" w:hAnsi="Arial" w:eastAsia="楷体_GB2312"/>
      <w:sz w:val="28"/>
      <w:szCs w:val="28"/>
    </w:rPr>
  </w:style>
  <w:style w:type="character" w:styleId="778" w:customStyle="1">
    <w:name w:val="正文文本 字符"/>
    <w:link w:val="777"/>
    <w:rPr>
      <w:rFonts w:ascii="楷体_GB2312" w:hAnsi="Arial" w:eastAsia="楷体_GB2312" w:cs="Times New Roman"/>
      <w:sz w:val="28"/>
      <w:szCs w:val="28"/>
    </w:rPr>
  </w:style>
  <w:style w:type="paragraph" w:styleId="779">
    <w:name w:val="Body Text Indent"/>
    <w:basedOn w:val="718"/>
    <w:link w:val="780"/>
    <w:pPr>
      <w:ind w:firstLine="645"/>
    </w:pPr>
    <w:rPr>
      <w:rFonts w:ascii="楷体_GB2312" w:eastAsia="楷体_GB2312"/>
      <w:sz w:val="32"/>
      <w:szCs w:val="32"/>
    </w:rPr>
  </w:style>
  <w:style w:type="character" w:styleId="780" w:customStyle="1">
    <w:name w:val="正文文本缩进 字符"/>
    <w:link w:val="779"/>
    <w:rPr>
      <w:rFonts w:ascii="楷体_GB2312" w:hAnsi="Times New Roman" w:eastAsia="楷体_GB2312" w:cs="Times New Roman"/>
      <w:sz w:val="32"/>
      <w:szCs w:val="32"/>
    </w:rPr>
  </w:style>
  <w:style w:type="paragraph" w:styleId="781">
    <w:name w:val="List 2"/>
    <w:basedOn w:val="718"/>
    <w:pPr>
      <w:ind w:left="100" w:hanging="200"/>
    </w:pPr>
  </w:style>
  <w:style w:type="paragraph" w:styleId="782">
    <w:name w:val="toc 5"/>
    <w:basedOn w:val="718"/>
    <w:next w:val="718"/>
    <w:uiPriority w:val="39"/>
    <w:unhideWhenUsed/>
    <w:pPr>
      <w:ind w:left="1134"/>
      <w:spacing w:after="57"/>
    </w:pPr>
  </w:style>
  <w:style w:type="paragraph" w:styleId="783">
    <w:name w:val="toc 3"/>
    <w:basedOn w:val="718"/>
    <w:next w:val="718"/>
    <w:uiPriority w:val="39"/>
    <w:unhideWhenUsed/>
    <w:pPr>
      <w:ind w:left="567"/>
      <w:spacing w:after="57"/>
    </w:pPr>
  </w:style>
  <w:style w:type="paragraph" w:styleId="784">
    <w:name w:val="Plain Text"/>
    <w:basedOn w:val="718"/>
    <w:link w:val="785"/>
    <w:qFormat/>
    <w:rPr>
      <w:rFonts w:ascii="宋体" w:hAnsi="Courier New" w:cs="Courier New"/>
    </w:rPr>
  </w:style>
  <w:style w:type="character" w:styleId="785" w:customStyle="1">
    <w:name w:val="纯文本 字符1"/>
    <w:link w:val="784"/>
    <w:qFormat/>
    <w:rPr>
      <w:rFonts w:ascii="宋体" w:hAnsi="Courier New" w:eastAsia="宋体" w:cs="Courier New"/>
      <w:szCs w:val="21"/>
    </w:rPr>
  </w:style>
  <w:style w:type="paragraph" w:styleId="786">
    <w:name w:val="toc 8"/>
    <w:basedOn w:val="718"/>
    <w:next w:val="718"/>
    <w:uiPriority w:val="39"/>
    <w:unhideWhenUsed/>
    <w:pPr>
      <w:ind w:left="1984"/>
      <w:spacing w:after="57"/>
    </w:pPr>
  </w:style>
  <w:style w:type="paragraph" w:styleId="787">
    <w:name w:val="Date"/>
    <w:basedOn w:val="718"/>
    <w:next w:val="718"/>
    <w:link w:val="788"/>
    <w:rPr>
      <w:sz w:val="24"/>
      <w:szCs w:val="24"/>
    </w:rPr>
  </w:style>
  <w:style w:type="character" w:styleId="788" w:customStyle="1">
    <w:name w:val="日期 字符"/>
    <w:link w:val="787"/>
    <w:rPr>
      <w:rFonts w:ascii="Times New Roman" w:hAnsi="Times New Roman" w:eastAsia="宋体" w:cs="Times New Roman"/>
      <w:sz w:val="24"/>
      <w:szCs w:val="24"/>
    </w:rPr>
  </w:style>
  <w:style w:type="paragraph" w:styleId="789">
    <w:name w:val="Body Text Indent 2"/>
    <w:basedOn w:val="718"/>
    <w:link w:val="790"/>
    <w:pPr>
      <w:ind w:left="630" w:firstLine="645"/>
    </w:pPr>
    <w:rPr>
      <w:rFonts w:ascii="Arial" w:hAnsi="Arial" w:eastAsia="仿宋_GB2312" w:cs="Arial"/>
      <w:sz w:val="32"/>
      <w:szCs w:val="32"/>
    </w:rPr>
  </w:style>
  <w:style w:type="character" w:styleId="790" w:customStyle="1">
    <w:name w:val="正文文本缩进 2 字符"/>
    <w:link w:val="789"/>
    <w:rPr>
      <w:rFonts w:ascii="Arial" w:hAnsi="Arial" w:eastAsia="仿宋_GB2312" w:cs="Arial"/>
      <w:sz w:val="32"/>
      <w:szCs w:val="32"/>
    </w:rPr>
  </w:style>
  <w:style w:type="character" w:styleId="791" w:customStyle="1">
    <w:name w:val="尾注文本 字符"/>
    <w:link w:val="763"/>
    <w:uiPriority w:val="99"/>
    <w:semiHidden/>
    <w:rPr>
      <w:rFonts w:ascii="等线" w:hAnsi="等线"/>
      <w:szCs w:val="22"/>
    </w:rPr>
  </w:style>
  <w:style w:type="paragraph" w:styleId="792">
    <w:name w:val="Balloon Text"/>
    <w:basedOn w:val="718"/>
    <w:link w:val="793"/>
    <w:uiPriority w:val="99"/>
    <w:semiHidden/>
    <w:rPr>
      <w:sz w:val="18"/>
      <w:szCs w:val="18"/>
    </w:rPr>
  </w:style>
  <w:style w:type="character" w:styleId="793" w:customStyle="1">
    <w:name w:val="批注框文本 字符"/>
    <w:link w:val="792"/>
    <w:uiPriority w:val="99"/>
    <w:semiHidden/>
    <w:rPr>
      <w:rFonts w:ascii="Times New Roman" w:hAnsi="Times New Roman" w:eastAsia="宋体" w:cs="Times New Roman"/>
      <w:sz w:val="18"/>
      <w:szCs w:val="18"/>
    </w:rPr>
  </w:style>
  <w:style w:type="character" w:styleId="794" w:customStyle="1">
    <w:name w:val="页眉 字符1"/>
    <w:link w:val="737"/>
    <w:uiPriority w:val="99"/>
    <w:rPr>
      <w:rFonts w:ascii="Times New Roman" w:hAnsi="Times New Roman"/>
      <w:sz w:val="18"/>
      <w:szCs w:val="18"/>
    </w:rPr>
  </w:style>
  <w:style w:type="paragraph" w:styleId="795">
    <w:name w:val="toc 1"/>
    <w:basedOn w:val="718"/>
    <w:next w:val="718"/>
    <w:uiPriority w:val="39"/>
    <w:unhideWhenUsed/>
    <w:qFormat/>
    <w:pPr>
      <w:spacing w:after="57"/>
    </w:pPr>
  </w:style>
  <w:style w:type="paragraph" w:styleId="796">
    <w:name w:val="toc 4"/>
    <w:basedOn w:val="718"/>
    <w:next w:val="718"/>
    <w:uiPriority w:val="39"/>
    <w:unhideWhenUsed/>
    <w:pPr>
      <w:ind w:left="850"/>
      <w:spacing w:after="57"/>
    </w:pPr>
  </w:style>
  <w:style w:type="character" w:styleId="797" w:customStyle="1">
    <w:name w:val="副标题 字符"/>
    <w:link w:val="734"/>
    <w:uiPriority w:val="11"/>
    <w:rPr>
      <w:rFonts w:ascii="等线" w:hAnsi="等线"/>
      <w:sz w:val="24"/>
      <w:szCs w:val="24"/>
    </w:rPr>
  </w:style>
  <w:style w:type="paragraph" w:styleId="798">
    <w:name w:val="List"/>
    <w:basedOn w:val="718"/>
    <w:pPr>
      <w:ind w:left="200" w:hanging="200"/>
    </w:pPr>
  </w:style>
  <w:style w:type="character" w:styleId="799" w:customStyle="1">
    <w:name w:val="脚注文本 字符"/>
    <w:link w:val="761"/>
    <w:uiPriority w:val="99"/>
    <w:semiHidden/>
    <w:rPr>
      <w:rFonts w:ascii="等线" w:hAnsi="等线"/>
      <w:sz w:val="18"/>
      <w:szCs w:val="22"/>
    </w:rPr>
  </w:style>
  <w:style w:type="paragraph" w:styleId="800">
    <w:name w:val="toc 6"/>
    <w:basedOn w:val="718"/>
    <w:next w:val="718"/>
    <w:uiPriority w:val="39"/>
    <w:unhideWhenUsed/>
    <w:pPr>
      <w:ind w:left="1417"/>
      <w:spacing w:after="57"/>
    </w:pPr>
  </w:style>
  <w:style w:type="paragraph" w:styleId="801">
    <w:name w:val="Body Text Indent 3"/>
    <w:basedOn w:val="718"/>
    <w:link w:val="802"/>
    <w:pPr>
      <w:ind w:left="645" w:firstLine="645"/>
    </w:pPr>
    <w:rPr>
      <w:rFonts w:ascii="Arial" w:hAnsi="Arial" w:eastAsia="仿宋_GB2312" w:cs="Arial"/>
      <w:color w:val="ffff00"/>
      <w:sz w:val="32"/>
      <w:szCs w:val="32"/>
    </w:rPr>
  </w:style>
  <w:style w:type="character" w:styleId="802" w:customStyle="1">
    <w:name w:val="正文文本缩进 3 字符"/>
    <w:link w:val="801"/>
    <w:rPr>
      <w:rFonts w:ascii="Arial" w:hAnsi="Arial" w:eastAsia="仿宋_GB2312" w:cs="Arial"/>
      <w:color w:val="ffff00"/>
      <w:sz w:val="32"/>
      <w:szCs w:val="32"/>
    </w:rPr>
  </w:style>
  <w:style w:type="paragraph" w:styleId="803">
    <w:name w:val="toc 2"/>
    <w:basedOn w:val="718"/>
    <w:next w:val="718"/>
    <w:uiPriority w:val="39"/>
    <w:unhideWhenUsed/>
    <w:pPr>
      <w:ind w:left="283"/>
      <w:spacing w:after="57"/>
    </w:pPr>
  </w:style>
  <w:style w:type="paragraph" w:styleId="804">
    <w:name w:val="toc 9"/>
    <w:basedOn w:val="718"/>
    <w:next w:val="718"/>
    <w:uiPriority w:val="39"/>
    <w:unhideWhenUsed/>
    <w:pPr>
      <w:ind w:left="2268"/>
      <w:spacing w:after="57"/>
    </w:pPr>
  </w:style>
  <w:style w:type="paragraph" w:styleId="805">
    <w:name w:val="Body Text 2"/>
    <w:basedOn w:val="718"/>
    <w:link w:val="806"/>
    <w:pPr>
      <w:jc w:val="center"/>
      <w:widowControl/>
    </w:pPr>
    <w:rPr>
      <w:rFonts w:ascii="楷体_GB2312" w:eastAsia="楷体_GB2312"/>
      <w:sz w:val="28"/>
      <w:szCs w:val="28"/>
    </w:rPr>
  </w:style>
  <w:style w:type="character" w:styleId="806" w:customStyle="1">
    <w:name w:val="正文文本 2 字符"/>
    <w:link w:val="805"/>
    <w:rPr>
      <w:rFonts w:ascii="楷体_GB2312" w:hAnsi="Times New Roman" w:eastAsia="楷体_GB2312" w:cs="Times New Roman"/>
      <w:sz w:val="28"/>
      <w:szCs w:val="28"/>
    </w:rPr>
  </w:style>
  <w:style w:type="paragraph" w:styleId="807">
    <w:name w:val="Normal (Web)"/>
    <w:basedOn w:val="718"/>
    <w:pPr>
      <w:jc w:val="left"/>
      <w:spacing w:before="100" w:beforeAutospacing="1" w:after="100" w:afterAutospacing="1"/>
      <w:widowControl/>
    </w:pPr>
    <w:rPr>
      <w:rFonts w:ascii="宋体" w:hAnsi="宋体" w:cs="宋体"/>
      <w:sz w:val="24"/>
      <w:szCs w:val="24"/>
    </w:rPr>
  </w:style>
  <w:style w:type="paragraph" w:styleId="808">
    <w:name w:val="index 1"/>
    <w:basedOn w:val="718"/>
    <w:next w:val="718"/>
    <w:semiHidden/>
    <w:pPr>
      <w:spacing w:line="240" w:lineRule="atLeast"/>
    </w:pPr>
    <w:rPr>
      <w:b/>
      <w:bCs/>
    </w:rPr>
  </w:style>
  <w:style w:type="character" w:styleId="809" w:customStyle="1">
    <w:name w:val="标题 字符"/>
    <w:link w:val="733"/>
    <w:uiPriority w:val="10"/>
    <w:rPr>
      <w:rFonts w:ascii="等线" w:hAnsi="等线"/>
      <w:sz w:val="48"/>
      <w:szCs w:val="48"/>
    </w:rPr>
  </w:style>
  <w:style w:type="paragraph" w:styleId="810">
    <w:name w:val="annotation subject"/>
    <w:basedOn w:val="773"/>
    <w:next w:val="773"/>
    <w:link w:val="811"/>
    <w:uiPriority w:val="99"/>
    <w:semiHidden/>
    <w:qFormat/>
    <w:rPr>
      <w:b/>
      <w:bCs/>
    </w:rPr>
  </w:style>
  <w:style w:type="character" w:styleId="811" w:customStyle="1">
    <w:name w:val="批注主题 字符"/>
    <w:link w:val="810"/>
    <w:uiPriority w:val="99"/>
    <w:semiHidden/>
    <w:qFormat/>
    <w:rPr>
      <w:rFonts w:ascii="Times New Roman" w:hAnsi="Times New Roman" w:eastAsia="宋体" w:cs="Times New Roman"/>
      <w:b/>
      <w:bCs/>
      <w:szCs w:val="21"/>
    </w:rPr>
  </w:style>
  <w:style w:type="character" w:styleId="812">
    <w:name w:val="Strong"/>
    <w:qFormat/>
    <w:rPr>
      <w:b/>
      <w:bCs/>
    </w:rPr>
  </w:style>
  <w:style w:type="character" w:styleId="813">
    <w:name w:val="page number"/>
  </w:style>
  <w:style w:type="character" w:styleId="814">
    <w:name w:val="FollowedHyperlink"/>
    <w:uiPriority w:val="99"/>
    <w:rPr>
      <w:color w:val="800080"/>
      <w:u w:val="single"/>
    </w:rPr>
  </w:style>
  <w:style w:type="character" w:styleId="815">
    <w:name w:val="Emphasis"/>
    <w:qFormat/>
    <w:rPr>
      <w:i/>
    </w:rPr>
  </w:style>
  <w:style w:type="character" w:styleId="816">
    <w:name w:val="annotation reference"/>
    <w:uiPriority w:val="99"/>
    <w:semiHidden/>
    <w:qFormat/>
    <w:rPr>
      <w:sz w:val="21"/>
      <w:szCs w:val="21"/>
    </w:rPr>
  </w:style>
  <w:style w:type="character" w:styleId="817" w:customStyle="1">
    <w:name w:val="标题 1 字符"/>
    <w:link w:val="719"/>
    <w:uiPriority w:val="9"/>
    <w:rPr>
      <w:rFonts w:ascii="楷体_GB2312" w:hAnsi="Times New Roman" w:eastAsia="楷体_GB2312" w:cs="Times New Roman"/>
      <w:sz w:val="28"/>
      <w:szCs w:val="28"/>
    </w:rPr>
  </w:style>
  <w:style w:type="character" w:styleId="818" w:customStyle="1">
    <w:name w:val="标题 2 字符"/>
    <w:link w:val="720"/>
    <w:qFormat/>
    <w:rPr>
      <w:rFonts w:ascii="Arial" w:hAnsi="Arial" w:eastAsia="幼圆" w:cs="Arial"/>
      <w:b/>
      <w:bCs/>
      <w:sz w:val="44"/>
      <w:szCs w:val="44"/>
    </w:rPr>
  </w:style>
  <w:style w:type="character" w:styleId="819" w:customStyle="1">
    <w:name w:val="标题 3 字符"/>
    <w:link w:val="721"/>
    <w:uiPriority w:val="9"/>
    <w:qFormat/>
    <w:rPr>
      <w:rFonts w:ascii="Times New Roman" w:hAnsi="Times New Roman" w:eastAsia="宋体" w:cs="Times New Roman"/>
      <w:b/>
      <w:bCs/>
      <w:sz w:val="32"/>
      <w:szCs w:val="32"/>
    </w:rPr>
  </w:style>
  <w:style w:type="character" w:styleId="820" w:customStyle="1">
    <w:name w:val="标题 4 字符"/>
    <w:link w:val="722"/>
    <w:uiPriority w:val="9"/>
    <w:rPr>
      <w:rFonts w:ascii="Arial" w:hAnsi="Arial" w:eastAsia="黑体" w:cs="Arial"/>
      <w:b/>
      <w:bCs/>
      <w:sz w:val="28"/>
      <w:szCs w:val="28"/>
    </w:rPr>
  </w:style>
  <w:style w:type="character" w:styleId="821" w:customStyle="1">
    <w:name w:val="标题 5 字符"/>
    <w:link w:val="723"/>
    <w:uiPriority w:val="9"/>
    <w:rPr>
      <w:rFonts w:ascii="宋体" w:hAnsi="Times New Roman" w:eastAsia="宋体" w:cs="Times New Roman"/>
      <w:color w:val="000000"/>
      <w:sz w:val="28"/>
      <w:szCs w:val="28"/>
    </w:rPr>
  </w:style>
  <w:style w:type="character" w:styleId="822" w:customStyle="1">
    <w:name w:val="标题 6 字符"/>
    <w:link w:val="724"/>
    <w:uiPriority w:val="9"/>
    <w:rPr>
      <w:rFonts w:ascii="Arial" w:hAnsi="Arial" w:eastAsia="黑体"/>
      <w:b/>
      <w:bCs/>
      <w:sz w:val="24"/>
      <w:szCs w:val="24"/>
    </w:rPr>
  </w:style>
  <w:style w:type="character" w:styleId="823" w:customStyle="1">
    <w:name w:val="标题 7 字符"/>
    <w:link w:val="725"/>
    <w:uiPriority w:val="9"/>
    <w:rPr>
      <w:rFonts w:ascii="Times New Roman" w:hAnsi="Times New Roman"/>
      <w:b/>
      <w:bCs/>
      <w:sz w:val="24"/>
      <w:szCs w:val="24"/>
    </w:rPr>
  </w:style>
  <w:style w:type="character" w:styleId="824" w:customStyle="1">
    <w:name w:val="标题 8 字符"/>
    <w:link w:val="726"/>
    <w:uiPriority w:val="9"/>
    <w:rPr>
      <w:rFonts w:ascii="Arial" w:hAnsi="Arial" w:eastAsia="黑体"/>
      <w:sz w:val="24"/>
      <w:szCs w:val="24"/>
    </w:rPr>
  </w:style>
  <w:style w:type="character" w:styleId="825" w:customStyle="1">
    <w:name w:val="标题 9 字符"/>
    <w:link w:val="727"/>
    <w:uiPriority w:val="9"/>
    <w:rPr>
      <w:rFonts w:ascii="Arial" w:hAnsi="Arial" w:eastAsia="黑体"/>
      <w:sz w:val="21"/>
      <w:szCs w:val="21"/>
    </w:rPr>
  </w:style>
  <w:style w:type="character" w:styleId="826" w:customStyle="1">
    <w:name w:val="Heading 1 Char"/>
    <w:uiPriority w:val="9"/>
    <w:rPr>
      <w:rFonts w:ascii="Arial" w:hAnsi="Arial" w:eastAsia="Arial" w:cs="Arial"/>
      <w:sz w:val="40"/>
      <w:szCs w:val="40"/>
    </w:rPr>
  </w:style>
  <w:style w:type="character" w:styleId="827" w:customStyle="1">
    <w:name w:val="Heading 4 Char"/>
    <w:uiPriority w:val="9"/>
    <w:rPr>
      <w:rFonts w:ascii="Arial" w:hAnsi="Arial" w:eastAsia="Arial" w:cs="Arial"/>
      <w:b/>
      <w:bCs/>
      <w:sz w:val="26"/>
      <w:szCs w:val="26"/>
    </w:rPr>
  </w:style>
  <w:style w:type="character" w:styleId="828" w:customStyle="1">
    <w:name w:val="Heading 5 Char"/>
    <w:uiPriority w:val="9"/>
    <w:rPr>
      <w:rFonts w:ascii="Arial" w:hAnsi="Arial" w:eastAsia="Arial" w:cs="Arial"/>
      <w:b/>
      <w:bCs/>
      <w:sz w:val="24"/>
      <w:szCs w:val="24"/>
    </w:rPr>
  </w:style>
  <w:style w:type="character" w:styleId="829" w:customStyle="1">
    <w:name w:val="Heading 6 Char"/>
    <w:uiPriority w:val="9"/>
    <w:rPr>
      <w:rFonts w:ascii="Arial" w:hAnsi="Arial" w:eastAsia="Arial" w:cs="Arial"/>
      <w:b/>
      <w:bCs/>
      <w:sz w:val="22"/>
      <w:szCs w:val="22"/>
    </w:rPr>
  </w:style>
  <w:style w:type="character" w:styleId="830" w:customStyle="1">
    <w:name w:val="Heading 7 Char"/>
    <w:uiPriority w:val="9"/>
    <w:rPr>
      <w:rFonts w:ascii="Arial" w:hAnsi="Arial" w:eastAsia="Arial" w:cs="Arial"/>
      <w:b/>
      <w:bCs/>
      <w:i/>
      <w:iCs/>
      <w:sz w:val="22"/>
      <w:szCs w:val="22"/>
    </w:rPr>
  </w:style>
  <w:style w:type="character" w:styleId="831" w:customStyle="1">
    <w:name w:val="Heading 8 Char"/>
    <w:uiPriority w:val="9"/>
    <w:rPr>
      <w:rFonts w:ascii="Arial" w:hAnsi="Arial" w:eastAsia="Arial" w:cs="Arial"/>
      <w:i/>
      <w:iCs/>
      <w:sz w:val="22"/>
      <w:szCs w:val="22"/>
    </w:rPr>
  </w:style>
  <w:style w:type="character" w:styleId="832" w:customStyle="1">
    <w:name w:val="Heading 9 Char"/>
    <w:uiPriority w:val="9"/>
    <w:rPr>
      <w:rFonts w:ascii="Arial" w:hAnsi="Arial" w:eastAsia="Arial" w:cs="Arial"/>
      <w:i/>
      <w:iCs/>
      <w:sz w:val="21"/>
      <w:szCs w:val="21"/>
    </w:rPr>
  </w:style>
  <w:style w:type="character" w:styleId="833" w:customStyle="1">
    <w:name w:val="Title Char"/>
    <w:uiPriority w:val="10"/>
    <w:rPr>
      <w:sz w:val="48"/>
      <w:szCs w:val="48"/>
    </w:rPr>
  </w:style>
  <w:style w:type="character" w:styleId="834" w:customStyle="1">
    <w:name w:val="Subtitle Char"/>
    <w:uiPriority w:val="11"/>
    <w:rPr>
      <w:sz w:val="24"/>
      <w:szCs w:val="24"/>
    </w:rPr>
  </w:style>
  <w:style w:type="character" w:styleId="835" w:customStyle="1">
    <w:name w:val="引用 字符"/>
    <w:link w:val="735"/>
    <w:uiPriority w:val="29"/>
    <w:rPr>
      <w:rFonts w:ascii="等线" w:hAnsi="等线"/>
      <w:i/>
      <w:sz w:val="21"/>
      <w:szCs w:val="22"/>
    </w:rPr>
  </w:style>
  <w:style w:type="character" w:styleId="836" w:customStyle="1">
    <w:name w:val="Quote Char"/>
    <w:uiPriority w:val="29"/>
    <w:rPr>
      <w:i/>
    </w:rPr>
  </w:style>
  <w:style w:type="character" w:styleId="837" w:customStyle="1">
    <w:name w:val="明显引用 字符"/>
    <w:link w:val="736"/>
    <w:uiPriority w:val="30"/>
    <w:rPr>
      <w:rFonts w:ascii="等线" w:hAnsi="等线"/>
      <w:i/>
      <w:sz w:val="21"/>
      <w:szCs w:val="22"/>
      <w:shd w:val="clear" w:color="auto" w:fill="f2f2f2"/>
    </w:rPr>
  </w:style>
  <w:style w:type="character" w:styleId="838" w:customStyle="1">
    <w:name w:val="Intense Quote Char"/>
    <w:uiPriority w:val="30"/>
    <w:rPr>
      <w:i/>
    </w:rPr>
  </w:style>
  <w:style w:type="paragraph" w:styleId="839" w:customStyle="1">
    <w:name w:val="Header1"/>
    <w:basedOn w:val="718"/>
    <w:link w:val="840"/>
    <w:uiPriority w:val="99"/>
    <w:pPr>
      <w:jc w:val="center"/>
      <w:tabs>
        <w:tab w:val="center" w:pos="4153" w:leader="none"/>
        <w:tab w:val="right" w:pos="8306" w:leader="none"/>
      </w:tabs>
      <w:pBdr>
        <w:bottom w:val="single" w:color="000000" w:sz="6" w:space="1"/>
      </w:pBdr>
    </w:pPr>
    <w:rPr>
      <w:sz w:val="18"/>
      <w:szCs w:val="18"/>
    </w:rPr>
  </w:style>
  <w:style w:type="character" w:styleId="840" w:customStyle="1">
    <w:name w:val="页眉 字符"/>
    <w:link w:val="839"/>
    <w:uiPriority w:val="99"/>
    <w:rPr>
      <w:rFonts w:ascii="Times New Roman" w:hAnsi="Times New Roman" w:eastAsia="宋体" w:cs="Times New Roman"/>
      <w:sz w:val="18"/>
      <w:szCs w:val="18"/>
    </w:rPr>
  </w:style>
  <w:style w:type="character" w:styleId="841" w:customStyle="1">
    <w:name w:val="Header Char"/>
    <w:uiPriority w:val="99"/>
  </w:style>
  <w:style w:type="paragraph" w:styleId="842" w:customStyle="1">
    <w:name w:val="Footer1"/>
    <w:basedOn w:val="718"/>
    <w:link w:val="843"/>
    <w:uiPriority w:val="99"/>
    <w:pPr>
      <w:jc w:val="left"/>
      <w:tabs>
        <w:tab w:val="center" w:pos="4153" w:leader="none"/>
        <w:tab w:val="right" w:pos="8306" w:leader="none"/>
      </w:tabs>
    </w:pPr>
    <w:rPr>
      <w:sz w:val="18"/>
      <w:szCs w:val="18"/>
    </w:rPr>
  </w:style>
  <w:style w:type="character" w:styleId="843" w:customStyle="1">
    <w:name w:val="页脚 字符"/>
    <w:link w:val="842"/>
    <w:uiPriority w:val="99"/>
    <w:rPr>
      <w:rFonts w:ascii="Times New Roman" w:hAnsi="Times New Roman" w:eastAsia="宋体" w:cs="Times New Roman"/>
      <w:sz w:val="18"/>
      <w:szCs w:val="18"/>
    </w:rPr>
  </w:style>
  <w:style w:type="paragraph" w:styleId="844" w:customStyle="1">
    <w:name w:val="Caption1"/>
    <w:basedOn w:val="718"/>
    <w:next w:val="718"/>
    <w:uiPriority w:val="35"/>
    <w:unhideWhenUsed/>
    <w:qFormat/>
    <w:pPr>
      <w:spacing w:line="276" w:lineRule="auto"/>
    </w:pPr>
    <w:rPr>
      <w:b/>
      <w:bCs/>
      <w:color w:val="4f81bd"/>
      <w:sz w:val="18"/>
      <w:szCs w:val="18"/>
    </w:rPr>
  </w:style>
  <w:style w:type="character" w:styleId="845" w:customStyle="1">
    <w:name w:val="页脚 字符1"/>
    <w:link w:val="738"/>
    <w:uiPriority w:val="99"/>
  </w:style>
  <w:style w:type="table" w:styleId="846" w:customStyle="1">
    <w:name w:val="无格式表格 11"/>
    <w:uiPriority w:val="59"/>
    <w:tblPr>
      <w:tblCellMar>
        <w:left w:w="0" w:type="dxa"/>
        <w:top w:w="0" w:type="dxa"/>
        <w:right w:w="0" w:type="dxa"/>
        <w:bottom w:w="0" w:type="dxa"/>
      </w:tblCellMar>
    </w:tblPr>
  </w:style>
  <w:style w:type="table" w:styleId="847" w:customStyle="1">
    <w:name w:val="无格式表格 21"/>
    <w:uiPriority w:val="59"/>
    <w:tblPr>
      <w:tblCellMar>
        <w:left w:w="0" w:type="dxa"/>
        <w:top w:w="0" w:type="dxa"/>
        <w:right w:w="0" w:type="dxa"/>
        <w:bottom w:w="0" w:type="dxa"/>
      </w:tblCellMar>
    </w:tblPr>
  </w:style>
  <w:style w:type="table" w:styleId="848" w:customStyle="1">
    <w:name w:val="无格式表格 31"/>
    <w:uiPriority w:val="99"/>
    <w:tblPr>
      <w:tblCellMar>
        <w:left w:w="0" w:type="dxa"/>
        <w:top w:w="0" w:type="dxa"/>
        <w:right w:w="0" w:type="dxa"/>
        <w:bottom w:w="0" w:type="dxa"/>
      </w:tblCellMar>
    </w:tblPr>
  </w:style>
  <w:style w:type="table" w:styleId="849" w:customStyle="1">
    <w:name w:val="无格式表格 41"/>
    <w:uiPriority w:val="99"/>
    <w:tblPr>
      <w:tblCellMar>
        <w:left w:w="0" w:type="dxa"/>
        <w:top w:w="0" w:type="dxa"/>
        <w:right w:w="0" w:type="dxa"/>
        <w:bottom w:w="0" w:type="dxa"/>
      </w:tblCellMar>
    </w:tblPr>
  </w:style>
  <w:style w:type="table" w:styleId="850" w:customStyle="1">
    <w:name w:val="无格式表格 51"/>
    <w:uiPriority w:val="99"/>
    <w:tblPr>
      <w:tblCellMar>
        <w:left w:w="0" w:type="dxa"/>
        <w:top w:w="0" w:type="dxa"/>
        <w:right w:w="0" w:type="dxa"/>
        <w:bottom w:w="0" w:type="dxa"/>
      </w:tblCellMar>
    </w:tblPr>
  </w:style>
  <w:style w:type="table" w:styleId="851" w:customStyle="1">
    <w:name w:val="网格表 1 浅色1"/>
    <w:uiPriority w:val="99"/>
    <w:tblPr>
      <w:tblCellMar>
        <w:left w:w="0" w:type="dxa"/>
        <w:top w:w="0" w:type="dxa"/>
        <w:right w:w="0" w:type="dxa"/>
        <w:bottom w:w="0" w:type="dxa"/>
      </w:tblCellMar>
    </w:tblPr>
  </w:style>
  <w:style w:type="table" w:styleId="852" w:customStyle="1">
    <w:name w:val="网格表 21"/>
    <w:uiPriority w:val="99"/>
    <w:tblPr>
      <w:tblCellMar>
        <w:left w:w="0" w:type="dxa"/>
        <w:top w:w="0" w:type="dxa"/>
        <w:right w:w="0" w:type="dxa"/>
        <w:bottom w:w="0" w:type="dxa"/>
      </w:tblCellMar>
    </w:tblPr>
  </w:style>
  <w:style w:type="table" w:styleId="853" w:customStyle="1">
    <w:name w:val="网格表 31"/>
    <w:uiPriority w:val="99"/>
    <w:tblPr>
      <w:tblCellMar>
        <w:left w:w="0" w:type="dxa"/>
        <w:top w:w="0" w:type="dxa"/>
        <w:right w:w="0" w:type="dxa"/>
        <w:bottom w:w="0" w:type="dxa"/>
      </w:tblCellMar>
    </w:tblPr>
  </w:style>
  <w:style w:type="table" w:styleId="854" w:customStyle="1">
    <w:name w:val="网格表 41"/>
    <w:uiPriority w:val="59"/>
    <w:tblPr>
      <w:tblCellMar>
        <w:left w:w="0" w:type="dxa"/>
        <w:top w:w="0" w:type="dxa"/>
        <w:right w:w="0" w:type="dxa"/>
        <w:bottom w:w="0" w:type="dxa"/>
      </w:tblCellMar>
    </w:tblPr>
  </w:style>
  <w:style w:type="table" w:styleId="855" w:customStyle="1">
    <w:name w:val="网格表 5 深色1"/>
    <w:uiPriority w:val="99"/>
    <w:tblPr>
      <w:tblCellMar>
        <w:left w:w="0" w:type="dxa"/>
        <w:top w:w="0" w:type="dxa"/>
        <w:right w:w="0" w:type="dxa"/>
        <w:bottom w:w="0" w:type="dxa"/>
      </w:tblCellMar>
    </w:tblPr>
  </w:style>
  <w:style w:type="table" w:styleId="856" w:customStyle="1">
    <w:name w:val="网格表 6 彩色1"/>
    <w:uiPriority w:val="99"/>
    <w:tblPr>
      <w:tblCellMar>
        <w:left w:w="0" w:type="dxa"/>
        <w:top w:w="0" w:type="dxa"/>
        <w:right w:w="0" w:type="dxa"/>
        <w:bottom w:w="0" w:type="dxa"/>
      </w:tblCellMar>
    </w:tblPr>
  </w:style>
  <w:style w:type="table" w:styleId="857" w:customStyle="1">
    <w:name w:val="网格表 7 彩色1"/>
    <w:uiPriority w:val="99"/>
    <w:tblPr>
      <w:tblCellMar>
        <w:left w:w="0" w:type="dxa"/>
        <w:top w:w="0" w:type="dxa"/>
        <w:right w:w="0" w:type="dxa"/>
        <w:bottom w:w="0" w:type="dxa"/>
      </w:tblCellMar>
    </w:tblPr>
  </w:style>
  <w:style w:type="table" w:styleId="858" w:customStyle="1">
    <w:name w:val="清单表 1 浅色1"/>
    <w:uiPriority w:val="99"/>
    <w:tblPr>
      <w:tblCellMar>
        <w:left w:w="0" w:type="dxa"/>
        <w:top w:w="0" w:type="dxa"/>
        <w:right w:w="0" w:type="dxa"/>
        <w:bottom w:w="0" w:type="dxa"/>
      </w:tblCellMar>
    </w:tblPr>
  </w:style>
  <w:style w:type="table" w:styleId="859" w:customStyle="1">
    <w:name w:val="清单表 21"/>
    <w:uiPriority w:val="99"/>
    <w:tblPr>
      <w:tblCellMar>
        <w:left w:w="0" w:type="dxa"/>
        <w:top w:w="0" w:type="dxa"/>
        <w:right w:w="0" w:type="dxa"/>
        <w:bottom w:w="0" w:type="dxa"/>
      </w:tblCellMar>
    </w:tblPr>
  </w:style>
  <w:style w:type="table" w:styleId="860" w:customStyle="1">
    <w:name w:val="清单表 31"/>
    <w:uiPriority w:val="99"/>
    <w:tblPr>
      <w:tblCellMar>
        <w:left w:w="0" w:type="dxa"/>
        <w:top w:w="0" w:type="dxa"/>
        <w:right w:w="0" w:type="dxa"/>
        <w:bottom w:w="0" w:type="dxa"/>
      </w:tblCellMar>
    </w:tblPr>
  </w:style>
  <w:style w:type="table" w:styleId="861" w:customStyle="1">
    <w:name w:val="清单表 41"/>
    <w:uiPriority w:val="99"/>
    <w:tblPr>
      <w:tblCellMar>
        <w:left w:w="0" w:type="dxa"/>
        <w:top w:w="0" w:type="dxa"/>
        <w:right w:w="0" w:type="dxa"/>
        <w:bottom w:w="0" w:type="dxa"/>
      </w:tblCellMar>
    </w:tblPr>
  </w:style>
  <w:style w:type="table" w:styleId="862" w:customStyle="1">
    <w:name w:val="清单表 5 深色1"/>
    <w:uiPriority w:val="99"/>
    <w:tblPr>
      <w:tblCellMar>
        <w:left w:w="0" w:type="dxa"/>
        <w:top w:w="0" w:type="dxa"/>
        <w:right w:w="0" w:type="dxa"/>
        <w:bottom w:w="0" w:type="dxa"/>
      </w:tblCellMar>
    </w:tblPr>
  </w:style>
  <w:style w:type="table" w:styleId="863" w:customStyle="1">
    <w:name w:val="清单表 6 彩色1"/>
    <w:uiPriority w:val="99"/>
    <w:tblPr>
      <w:tblCellMar>
        <w:left w:w="0" w:type="dxa"/>
        <w:top w:w="0" w:type="dxa"/>
        <w:right w:w="0" w:type="dxa"/>
        <w:bottom w:w="0" w:type="dxa"/>
      </w:tblCellMar>
    </w:tblPr>
  </w:style>
  <w:style w:type="table" w:styleId="864" w:customStyle="1">
    <w:name w:val="清单表 7 彩色1"/>
    <w:uiPriority w:val="99"/>
    <w:tblPr>
      <w:tblCellMar>
        <w:left w:w="0" w:type="dxa"/>
        <w:top w:w="0" w:type="dxa"/>
        <w:right w:w="0" w:type="dxa"/>
        <w:bottom w:w="0" w:type="dxa"/>
      </w:tblCellMar>
    </w:tblPr>
  </w:style>
  <w:style w:type="character" w:styleId="865" w:customStyle="1">
    <w:name w:val="Footnote Text Char"/>
    <w:uiPriority w:val="99"/>
    <w:rPr>
      <w:sz w:val="18"/>
    </w:rPr>
  </w:style>
  <w:style w:type="character" w:styleId="866" w:customStyle="1">
    <w:name w:val="Endnote Text Char"/>
    <w:uiPriority w:val="99"/>
    <w:rPr>
      <w:sz w:val="20"/>
    </w:rPr>
  </w:style>
  <w:style w:type="character" w:styleId="867" w:customStyle="1">
    <w:name w:val="Footer Char"/>
    <w:uiPriority w:val="99"/>
  </w:style>
  <w:style w:type="character" w:styleId="868" w:customStyle="1">
    <w:name w:val="Heading 2 Char"/>
    <w:uiPriority w:val="9"/>
    <w:rPr>
      <w:rFonts w:ascii="Arial" w:hAnsi="Arial" w:eastAsia="Arial" w:cs="Arial"/>
      <w:sz w:val="34"/>
    </w:rPr>
  </w:style>
  <w:style w:type="character" w:styleId="869" w:customStyle="1">
    <w:name w:val="正文首行缩进 Char"/>
    <w:link w:val="870"/>
    <w:rPr>
      <w:rFonts w:ascii="仿宋_GB2312" w:hAnsi="Times New Roman" w:eastAsia="仿宋_GB2312" w:cs="Times New Roman"/>
      <w:sz w:val="30"/>
      <w:szCs w:val="30"/>
    </w:rPr>
  </w:style>
  <w:style w:type="paragraph" w:styleId="870" w:customStyle="1">
    <w:name w:val="正文首行缩进1"/>
    <w:basedOn w:val="718"/>
    <w:link w:val="869"/>
    <w:pPr>
      <w:ind w:firstLine="200"/>
      <w:spacing w:line="360" w:lineRule="auto"/>
    </w:pPr>
    <w:rPr>
      <w:rFonts w:ascii="仿宋_GB2312" w:eastAsia="仿宋_GB2312"/>
      <w:sz w:val="30"/>
      <w:szCs w:val="30"/>
    </w:rPr>
  </w:style>
  <w:style w:type="character" w:styleId="871" w:customStyle="1">
    <w:name w:val="二级目录 Char"/>
    <w:link w:val="872"/>
    <w:rPr>
      <w:b/>
      <w:sz w:val="30"/>
      <w:szCs w:val="28"/>
    </w:rPr>
  </w:style>
  <w:style w:type="paragraph" w:styleId="872" w:customStyle="1">
    <w:name w:val="二级目录"/>
    <w:next w:val="718"/>
    <w:link w:val="871"/>
    <w:pPr>
      <w:numPr>
        <w:numId w:val="2"/>
      </w:numPr>
      <w:tabs>
        <w:tab w:val="left" w:pos="907" w:leader="none"/>
        <w:tab w:val="left" w:pos="1145" w:leader="none"/>
      </w:tabs>
      <w:outlineLvl w:val="1"/>
    </w:pPr>
    <w:rPr>
      <w:b/>
      <w:sz w:val="30"/>
      <w:szCs w:val="28"/>
    </w:rPr>
  </w:style>
  <w:style w:type="character" w:styleId="873" w:customStyle="1">
    <w:name w:val="Heading 3 Char"/>
    <w:uiPriority w:val="9"/>
    <w:rPr>
      <w:rFonts w:ascii="Arial" w:hAnsi="Arial" w:eastAsia="Arial" w:cs="Arial"/>
      <w:sz w:val="30"/>
      <w:szCs w:val="30"/>
    </w:rPr>
  </w:style>
  <w:style w:type="character" w:styleId="874" w:customStyle="1">
    <w:name w:val="正文首行缩进 2 Char"/>
    <w:link w:val="875"/>
    <w:rPr>
      <w:rFonts w:ascii="宋体" w:hAnsi="宋体" w:eastAsia="宋体" w:cs="Times New Roman"/>
      <w:sz w:val="32"/>
      <w:szCs w:val="20"/>
    </w:rPr>
  </w:style>
  <w:style w:type="paragraph" w:styleId="875" w:customStyle="1">
    <w:name w:val="正文首行缩进 21"/>
    <w:basedOn w:val="779"/>
    <w:link w:val="874"/>
    <w:pPr>
      <w:ind w:firstLine="420"/>
      <w:spacing w:line="360" w:lineRule="auto"/>
    </w:pPr>
    <w:rPr>
      <w:rFonts w:ascii="宋体" w:hAnsi="宋体" w:eastAsia="宋体"/>
      <w:sz w:val="21"/>
      <w:szCs w:val="20"/>
    </w:rPr>
  </w:style>
  <w:style w:type="character" w:styleId="876" w:customStyle="1">
    <w:name w:val="font5 Char"/>
    <w:rPr>
      <w:rFonts w:ascii="宋体" w:hAnsi="宋体" w:eastAsia="宋体"/>
      <w:sz w:val="28"/>
      <w:szCs w:val="28"/>
      <w:lang w:val="en-US" w:eastAsia="zh-CN" w:bidi="ar-SA"/>
    </w:rPr>
  </w:style>
  <w:style w:type="character" w:styleId="877" w:customStyle="1">
    <w:name w:val="列出段落 Char"/>
    <w:link w:val="878"/>
    <w:rPr>
      <w:rFonts w:ascii="Calibri" w:hAnsi="Calibri"/>
      <w:sz w:val="24"/>
      <w:szCs w:val="24"/>
      <w:lang w:eastAsia="en-US" w:bidi="en-US"/>
    </w:rPr>
  </w:style>
  <w:style w:type="paragraph" w:styleId="878" w:customStyle="1">
    <w:name w:val="列出段落1"/>
    <w:basedOn w:val="718"/>
    <w:link w:val="877"/>
    <w:qFormat/>
    <w:pPr>
      <w:contextualSpacing/>
      <w:ind w:left="720"/>
      <w:jc w:val="left"/>
      <w:widowControl/>
    </w:pPr>
    <w:rPr>
      <w:rFonts w:ascii="Calibri" w:hAnsi="Calibri"/>
      <w:sz w:val="24"/>
      <w:szCs w:val="24"/>
      <w:lang w:eastAsia="en-US" w:bidi="en-US"/>
    </w:rPr>
  </w:style>
  <w:style w:type="character" w:styleId="879" w:customStyle="1">
    <w:name w:val="标题5 Char"/>
    <w:link w:val="880"/>
    <w:qFormat/>
    <w:rPr>
      <w:szCs w:val="24"/>
    </w:rPr>
  </w:style>
  <w:style w:type="paragraph" w:styleId="880" w:customStyle="1">
    <w:name w:val="标题5"/>
    <w:basedOn w:val="718"/>
    <w:link w:val="879"/>
    <w:qFormat/>
    <w:pPr>
      <w:ind w:left="990" w:hanging="990"/>
      <w:spacing w:before="100" w:beforeAutospacing="1" w:after="100" w:afterAutospacing="1"/>
      <w:outlineLvl w:val="4"/>
    </w:pPr>
    <w:rPr>
      <w:rFonts w:ascii="Calibri" w:hAnsi="Calibri"/>
      <w:sz w:val="20"/>
      <w:szCs w:val="24"/>
    </w:rPr>
  </w:style>
  <w:style w:type="character" w:styleId="881" w:customStyle="1">
    <w:name w:val="纯文本 字符"/>
    <w:rPr>
      <w:rFonts w:ascii="宋体" w:hAnsi="Courier New" w:eastAsia="宋体" w:cs="Courier New"/>
      <w:szCs w:val="21"/>
    </w:rPr>
  </w:style>
  <w:style w:type="paragraph" w:styleId="882" w:customStyle="1">
    <w:name w:val="目录 31"/>
    <w:basedOn w:val="718"/>
    <w:next w:val="718"/>
    <w:uiPriority w:val="39"/>
    <w:semiHidden/>
    <w:pPr>
      <w:ind w:left="420"/>
      <w:jc w:val="left"/>
    </w:pPr>
    <w:rPr>
      <w:i/>
      <w:iCs/>
      <w:szCs w:val="24"/>
    </w:rPr>
  </w:style>
  <w:style w:type="paragraph" w:styleId="883" w:customStyle="1">
    <w:name w:val="目录 21"/>
    <w:basedOn w:val="718"/>
    <w:next w:val="718"/>
    <w:uiPriority w:val="39"/>
    <w:semiHidden/>
    <w:pPr>
      <w:ind w:left="210"/>
      <w:jc w:val="left"/>
    </w:pPr>
    <w:rPr>
      <w:smallCaps/>
      <w:szCs w:val="24"/>
    </w:rPr>
  </w:style>
  <w:style w:type="paragraph" w:styleId="884" w:customStyle="1">
    <w:name w:val="目录 81"/>
    <w:basedOn w:val="718"/>
    <w:next w:val="718"/>
    <w:uiPriority w:val="39"/>
    <w:semiHidden/>
    <w:pPr>
      <w:ind w:left="1470"/>
      <w:jc w:val="left"/>
    </w:pPr>
  </w:style>
  <w:style w:type="paragraph" w:styleId="885" w:customStyle="1">
    <w:name w:val="目录 91"/>
    <w:basedOn w:val="718"/>
    <w:next w:val="718"/>
    <w:uiPriority w:val="39"/>
    <w:semiHidden/>
    <w:pPr>
      <w:ind w:left="1680"/>
      <w:jc w:val="left"/>
    </w:pPr>
  </w:style>
  <w:style w:type="paragraph" w:styleId="886" w:customStyle="1">
    <w:name w:val="目录 71"/>
    <w:basedOn w:val="718"/>
    <w:next w:val="718"/>
    <w:uiPriority w:val="39"/>
    <w:semiHidden/>
    <w:pPr>
      <w:ind w:left="1260"/>
      <w:jc w:val="left"/>
    </w:pPr>
  </w:style>
  <w:style w:type="paragraph" w:styleId="887" w:customStyle="1">
    <w:name w:val="标题3"/>
    <w:basedOn w:val="718"/>
    <w:next w:val="718"/>
    <w:pPr>
      <w:ind w:firstLine="624"/>
      <w:spacing w:line="590" w:lineRule="atLeast"/>
    </w:pPr>
    <w:rPr>
      <w:rFonts w:ascii="方正黑体_GBK" w:eastAsia="方正黑体_GBK"/>
      <w:sz w:val="32"/>
      <w:szCs w:val="32"/>
    </w:rPr>
  </w:style>
  <w:style w:type="paragraph" w:styleId="888" w:customStyle="1">
    <w:name w:val="标题1"/>
    <w:basedOn w:val="718"/>
    <w:next w:val="718"/>
    <w:pPr>
      <w:jc w:val="center"/>
      <w:spacing w:line="700" w:lineRule="atLeast"/>
      <w:tabs>
        <w:tab w:val="left" w:pos="9193" w:leader="none"/>
        <w:tab w:val="left" w:pos="9827" w:leader="none"/>
      </w:tabs>
    </w:pPr>
    <w:rPr>
      <w:rFonts w:ascii="方正小标宋_GBK" w:eastAsia="方正小标宋_GBK"/>
      <w:sz w:val="44"/>
      <w:szCs w:val="20"/>
    </w:rPr>
  </w:style>
  <w:style w:type="paragraph" w:styleId="889" w:customStyle="1">
    <w:name w:val="目录 11"/>
    <w:basedOn w:val="718"/>
    <w:next w:val="718"/>
    <w:uiPriority w:val="39"/>
    <w:semiHidden/>
    <w:pPr>
      <w:jc w:val="left"/>
      <w:spacing w:before="120" w:after="120" w:line="400" w:lineRule="exact"/>
      <w:tabs>
        <w:tab w:val="right" w:pos="8720" w:leader="dot"/>
      </w:tabs>
    </w:pPr>
    <w:rPr>
      <w:rFonts w:ascii="宋体" w:hAnsi="宋体"/>
      <w:caps/>
      <w:sz w:val="24"/>
      <w:szCs w:val="24"/>
    </w:rPr>
  </w:style>
  <w:style w:type="paragraph" w:styleId="890" w:customStyle="1">
    <w:name w:val="目录 41"/>
    <w:basedOn w:val="718"/>
    <w:next w:val="718"/>
    <w:uiPriority w:val="39"/>
    <w:semiHidden/>
    <w:pPr>
      <w:ind w:left="630"/>
      <w:jc w:val="left"/>
    </w:pPr>
  </w:style>
  <w:style w:type="paragraph" w:styleId="891" w:customStyle="1">
    <w:name w:val="目录 61"/>
    <w:basedOn w:val="718"/>
    <w:next w:val="718"/>
    <w:uiPriority w:val="39"/>
    <w:semiHidden/>
    <w:pPr>
      <w:ind w:left="1050"/>
      <w:jc w:val="left"/>
    </w:pPr>
  </w:style>
  <w:style w:type="paragraph" w:styleId="892" w:customStyle="1">
    <w:name w:val="目录 51"/>
    <w:basedOn w:val="718"/>
    <w:next w:val="718"/>
    <w:uiPriority w:val="39"/>
    <w:semiHidden/>
    <w:pPr>
      <w:ind w:left="840"/>
      <w:jc w:val="left"/>
    </w:pPr>
  </w:style>
  <w:style w:type="paragraph" w:styleId="893" w:customStyle="1">
    <w:name w:val="Char"/>
    <w:basedOn w:val="718"/>
    <w:pPr>
      <w:ind w:firstLine="200"/>
      <w:tabs>
        <w:tab w:val="left" w:pos="360" w:leader="none"/>
      </w:tabs>
    </w:pPr>
    <w:rPr>
      <w:sz w:val="28"/>
      <w:szCs w:val="30"/>
    </w:rPr>
  </w:style>
  <w:style w:type="paragraph" w:styleId="894" w:customStyle="1">
    <w:name w:val="xl30"/>
    <w:basedOn w:val="718"/>
    <w:pPr>
      <w:jc w:val="center"/>
      <w:spacing w:before="100" w:beforeAutospacing="1" w:after="100" w:afterAutospacing="1"/>
      <w:widowControl/>
    </w:pPr>
    <w:rPr>
      <w:rFonts w:ascii="宋体" w:hAnsi="宋体"/>
      <w:b/>
      <w:bCs/>
      <w:sz w:val="36"/>
      <w:szCs w:val="36"/>
    </w:rPr>
  </w:style>
  <w:style w:type="paragraph" w:styleId="895" w:customStyle="1">
    <w:name w:val="Body Text(ch)"/>
    <w:basedOn w:val="718"/>
    <w:next w:val="777"/>
    <w:pPr>
      <w:spacing w:after="120"/>
    </w:pPr>
    <w:rPr>
      <w:rFonts w:ascii="宋体" w:hAnsi="Arial"/>
      <w:bCs/>
      <w:iCs/>
      <w:szCs w:val="24"/>
    </w:rPr>
  </w:style>
  <w:style w:type="paragraph" w:styleId="896" w:customStyle="1">
    <w:name w:val="xl28"/>
    <w:basedOn w:val="71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97" w:customStyle="1">
    <w:name w:val="xl27"/>
    <w:basedOn w:val="7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8" w:customStyle="1">
    <w:name w:val="xl26"/>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9" w:customStyle="1">
    <w:name w:val="Char_0"/>
    <w:basedOn w:val="771"/>
    <w:rPr>
      <w:rFonts w:ascii="Tahoma" w:hAnsi="Tahoma"/>
      <w:sz w:val="24"/>
      <w:szCs w:val="24"/>
    </w:rPr>
  </w:style>
  <w:style w:type="paragraph" w:styleId="900" w:customStyle="1">
    <w:name w:val="普通正文"/>
    <w:basedOn w:val="718"/>
    <w:qFormat/>
    <w:pPr>
      <w:ind w:firstLine="480"/>
      <w:jc w:val="left"/>
      <w:spacing w:before="120" w:after="120" w:line="360" w:lineRule="auto"/>
    </w:pPr>
    <w:rPr>
      <w:rFonts w:ascii="Arial" w:hAnsi="Arial"/>
      <w:sz w:val="24"/>
      <w:szCs w:val="24"/>
    </w:rPr>
  </w:style>
  <w:style w:type="paragraph" w:styleId="901" w:customStyle="1">
    <w:name w:val="table_lines"/>
    <w:basedOn w:val="718"/>
    <w:pPr>
      <w:jc w:val="left"/>
      <w:widowControl/>
    </w:pPr>
    <w:rPr>
      <w:sz w:val="20"/>
      <w:szCs w:val="20"/>
      <w:lang w:val="de-DE" w:eastAsia="de-DE"/>
    </w:rPr>
  </w:style>
  <w:style w:type="paragraph" w:styleId="902" w:customStyle="1">
    <w:name w:val="附录1"/>
    <w:pPr>
      <w:ind w:left="907" w:hanging="907"/>
      <w:spacing w:before="240" w:line="600" w:lineRule="atLeast"/>
      <w:tabs>
        <w:tab w:val="left" w:pos="907" w:leader="none"/>
      </w:tabs>
    </w:pPr>
    <w:rPr>
      <w:rFonts w:ascii="Times New Roman" w:hAnsi="Times New Roman"/>
      <w:b/>
      <w:i/>
      <w:sz w:val="28"/>
    </w:rPr>
  </w:style>
  <w:style w:type="paragraph" w:styleId="903" w:customStyle="1">
    <w:name w:val="font7"/>
    <w:basedOn w:val="718"/>
    <w:pPr>
      <w:jc w:val="left"/>
      <w:spacing w:before="100" w:beforeAutospacing="1" w:after="100" w:afterAutospacing="1"/>
      <w:widowControl/>
    </w:pPr>
    <w:rPr>
      <w:rFonts w:hint="eastAsia" w:ascii="宋体" w:hAnsi="宋体"/>
      <w:sz w:val="18"/>
      <w:szCs w:val="18"/>
    </w:rPr>
  </w:style>
  <w:style w:type="paragraph" w:styleId="904" w:customStyle="1">
    <w:name w:val="Char Char Char Char"/>
    <w:basedOn w:val="771"/>
    <w:pPr>
      <w:spacing w:line="360" w:lineRule="auto"/>
    </w:pPr>
    <w:rPr>
      <w:rFonts w:ascii="Tahoma" w:hAnsi="Tahoma"/>
      <w:sz w:val="24"/>
      <w:szCs w:val="24"/>
    </w:rPr>
  </w:style>
  <w:style w:type="paragraph" w:styleId="905" w:customStyle="1">
    <w:name w:val="列出段落2"/>
    <w:basedOn w:val="718"/>
    <w:uiPriority w:val="34"/>
    <w:qFormat/>
    <w:pPr>
      <w:contextualSpacing/>
      <w:ind w:left="720"/>
      <w:jc w:val="left"/>
      <w:widowControl/>
    </w:pPr>
    <w:rPr>
      <w:rFonts w:ascii="Calibri" w:hAnsi="Calibri"/>
      <w:sz w:val="24"/>
      <w:szCs w:val="24"/>
      <w:lang w:eastAsia="en-US" w:bidi="en-US"/>
    </w:rPr>
  </w:style>
  <w:style w:type="paragraph" w:styleId="906" w:customStyle="1">
    <w:name w:val="4"/>
    <w:basedOn w:val="718"/>
    <w:next w:val="801"/>
    <w:pPr>
      <w:ind w:firstLine="420"/>
      <w:spacing w:line="360" w:lineRule="auto"/>
    </w:pPr>
    <w:rPr>
      <w:color w:val="ff0000"/>
      <w:sz w:val="24"/>
      <w:szCs w:val="24"/>
    </w:rPr>
  </w:style>
  <w:style w:type="paragraph" w:styleId="907" w:customStyle="1">
    <w:name w:val="普通 (Web)"/>
    <w:basedOn w:val="718"/>
    <w:pPr>
      <w:jc w:val="left"/>
      <w:spacing w:before="100" w:beforeAutospacing="1" w:after="100" w:afterAutospacing="1"/>
      <w:widowControl/>
    </w:pPr>
    <w:rPr>
      <w:rFonts w:ascii="宋体" w:hAnsi="宋体"/>
      <w:sz w:val="24"/>
      <w:szCs w:val="24"/>
    </w:rPr>
  </w:style>
  <w:style w:type="paragraph" w:styleId="908" w:customStyle="1">
    <w:name w:val="Char Char Char Char Char Char Char Char Char Char"/>
    <w:basedOn w:val="718"/>
    <w:pPr>
      <w:spacing w:line="360" w:lineRule="auto"/>
    </w:pPr>
    <w:rPr>
      <w:sz w:val="24"/>
      <w:szCs w:val="20"/>
    </w:rPr>
  </w:style>
  <w:style w:type="paragraph" w:styleId="909" w:customStyle="1">
    <w:name w:val="样式1"/>
    <w:basedOn w:val="718"/>
    <w:pPr>
      <w:numPr>
        <w:numId w:val="3"/>
      </w:numPr>
      <w:tabs>
        <w:tab w:val="left" w:pos="709" w:leader="none"/>
      </w:tabs>
    </w:pPr>
    <w:rPr>
      <w:rFonts w:ascii="宋体" w:hAnsi="宋体"/>
    </w:rPr>
  </w:style>
  <w:style w:type="paragraph" w:styleId="910" w:customStyle="1">
    <w:name w:val="font6"/>
    <w:basedOn w:val="718"/>
    <w:pPr>
      <w:jc w:val="left"/>
      <w:spacing w:before="100" w:beforeAutospacing="1" w:after="100" w:afterAutospacing="1"/>
      <w:widowControl/>
    </w:pPr>
    <w:rPr>
      <w:rFonts w:hint="eastAsia" w:ascii="宋体" w:hAnsi="宋体"/>
      <w:sz w:val="28"/>
      <w:szCs w:val="28"/>
      <w:u w:val="single"/>
    </w:rPr>
  </w:style>
  <w:style w:type="paragraph" w:styleId="911" w:customStyle="1">
    <w:name w:val="xl25"/>
    <w:basedOn w:val="71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2" w:customStyle="1">
    <w:name w:val="图标"/>
    <w:basedOn w:val="718"/>
    <w:next w:val="71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3" w:customStyle="1">
    <w:name w:val="xl24"/>
    <w:basedOn w:val="7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4" w:customStyle="1">
    <w:name w:val="xl29"/>
    <w:basedOn w:val="71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5" w:customStyle="1">
    <w:name w:val="Char Char Char Char Char Char Char Char"/>
    <w:basedOn w:val="718"/>
    <w:pPr>
      <w:jc w:val="left"/>
      <w:spacing w:after="160" w:line="240" w:lineRule="exact"/>
      <w:widowControl/>
    </w:pPr>
    <w:rPr>
      <w:rFonts w:ascii="Verdana" w:hAnsi="Verdana"/>
      <w:sz w:val="20"/>
      <w:szCs w:val="20"/>
      <w:lang w:eastAsia="en-US"/>
    </w:rPr>
  </w:style>
  <w:style w:type="paragraph" w:styleId="916" w:customStyle="1">
    <w:name w:val="Char Char Char Char Char Char Char Char_0"/>
    <w:basedOn w:val="718"/>
    <w:pPr>
      <w:jc w:val="left"/>
      <w:spacing w:after="160" w:line="240" w:lineRule="exact"/>
      <w:widowControl/>
    </w:pPr>
    <w:rPr>
      <w:rFonts w:ascii="Verdana" w:hAnsi="Verdana"/>
      <w:sz w:val="20"/>
      <w:szCs w:val="20"/>
      <w:lang w:eastAsia="en-US"/>
    </w:rPr>
  </w:style>
  <w:style w:type="paragraph" w:styleId="917" w:customStyle="1">
    <w:name w:val="Char Char Char Char_0"/>
    <w:basedOn w:val="771"/>
    <w:pPr>
      <w:spacing w:line="360" w:lineRule="auto"/>
    </w:pPr>
    <w:rPr>
      <w:rFonts w:ascii="Tahoma" w:hAnsi="Tahoma"/>
      <w:sz w:val="24"/>
      <w:szCs w:val="24"/>
    </w:rPr>
  </w:style>
  <w:style w:type="paragraph" w:styleId="918" w:customStyle="1">
    <w:name w:val="table_1stline"/>
    <w:basedOn w:val="718"/>
    <w:pPr>
      <w:jc w:val="left"/>
      <w:spacing w:before="120"/>
      <w:widowControl/>
    </w:pPr>
    <w:rPr>
      <w:bCs/>
      <w:sz w:val="20"/>
      <w:szCs w:val="20"/>
      <w:lang w:val="de-DE" w:eastAsia="de-DE"/>
    </w:rPr>
  </w:style>
  <w:style w:type="paragraph" w:styleId="919" w:customStyle="1">
    <w:name w:val="font5"/>
    <w:basedOn w:val="718"/>
    <w:pPr>
      <w:jc w:val="left"/>
      <w:spacing w:before="100" w:beforeAutospacing="1" w:after="100" w:afterAutospacing="1"/>
      <w:widowControl/>
    </w:pPr>
    <w:rPr>
      <w:rFonts w:hint="eastAsia" w:ascii="宋体" w:hAnsi="宋体"/>
      <w:sz w:val="28"/>
      <w:szCs w:val="28"/>
    </w:rPr>
  </w:style>
  <w:style w:type="paragraph" w:styleId="920">
    <w:name w:val="Revision"/>
    <w:uiPriority w:val="99"/>
    <w:semiHidden/>
    <w:rPr>
      <w:rFonts w:ascii="Times New Roman" w:hAnsi="Times New Roman"/>
      <w:sz w:val="21"/>
      <w:szCs w:val="21"/>
    </w:rPr>
  </w:style>
  <w:style w:type="paragraph" w:styleId="921" w:customStyle="1">
    <w:name w:val="题注1"/>
    <w:basedOn w:val="718"/>
    <w:next w:val="718"/>
    <w:uiPriority w:val="35"/>
    <w:unhideWhenUsed/>
    <w:qFormat/>
    <w:pPr>
      <w:spacing w:line="276" w:lineRule="auto"/>
    </w:pPr>
    <w:rPr>
      <w:rFonts w:ascii="等线" w:hAnsi="等线"/>
      <w:b/>
      <w:bCs/>
      <w:color w:val="4472c4"/>
      <w:sz w:val="18"/>
      <w:szCs w:val="18"/>
    </w:rPr>
  </w:style>
  <w:style w:type="paragraph" w:styleId="922" w:customStyle="1">
    <w:name w:val="列表段落1"/>
    <w:basedOn w:val="718"/>
    <w:uiPriority w:val="34"/>
    <w:qFormat/>
    <w:pPr>
      <w:ind w:firstLine="420"/>
    </w:pPr>
    <w:rPr>
      <w:rFonts w:ascii="等线" w:hAnsi="等线"/>
      <w:szCs w:val="22"/>
    </w:rPr>
  </w:style>
  <w:style w:type="table" w:styleId="923" w:customStyle="1">
    <w:name w:val="Bordered - Accent 3"/>
    <w:basedOn w:val="729"/>
    <w:uiPriority w:val="99"/>
    <w:rPr>
      <w:rFonts w:ascii="Times New Roman" w:hAnsi="Times New Roman"/>
    </w:rPr>
    <w:tblPr/>
  </w:style>
  <w:style w:type="table" w:styleId="924" w:customStyle="1">
    <w:name w:val="清单表 5 深色1_0"/>
    <w:basedOn w:val="729"/>
    <w:uiPriority w:val="99"/>
    <w:rPr>
      <w:rFonts w:ascii="Times New Roman" w:hAnsi="Times New Roman"/>
    </w:rPr>
    <w:tblPr/>
  </w:style>
  <w:style w:type="table" w:styleId="925" w:customStyle="1">
    <w:name w:val="清单表 1 浅色1_0"/>
    <w:basedOn w:val="729"/>
    <w:uiPriority w:val="99"/>
    <w:rPr>
      <w:rFonts w:ascii="Times New Roman" w:hAnsi="Times New Roman"/>
    </w:rPr>
    <w:tblPr/>
  </w:style>
  <w:style w:type="table" w:styleId="926" w:customStyle="1">
    <w:name w:val="Grid Table 2 - Accent 6"/>
    <w:basedOn w:val="729"/>
    <w:uiPriority w:val="99"/>
    <w:rPr>
      <w:rFonts w:ascii="Times New Roman" w:hAnsi="Times New Roman"/>
    </w:rPr>
    <w:tblPr/>
  </w:style>
  <w:style w:type="table" w:styleId="927" w:customStyle="1">
    <w:name w:val="网格型1"/>
    <w:basedOn w:val="729"/>
    <w:uiPriority w:val="59"/>
    <w:rPr>
      <w:rFonts w:ascii="Times New Roman" w:hAnsi="Times New Roman"/>
    </w:rPr>
    <w:tblPr/>
  </w:style>
  <w:style w:type="table" w:styleId="928" w:customStyle="1">
    <w:name w:val="Bordered &amp; Lined - Accent 1"/>
    <w:basedOn w:val="729"/>
    <w:uiPriority w:val="99"/>
    <w:rPr>
      <w:rFonts w:ascii="Times New Roman" w:hAnsi="Times New Roman"/>
      <w:color w:val="404040"/>
    </w:rPr>
    <w:tblPr/>
  </w:style>
  <w:style w:type="table" w:styleId="929" w:customStyle="1">
    <w:name w:val="List Table 4 - Accent 2"/>
    <w:basedOn w:val="729"/>
    <w:uiPriority w:val="99"/>
    <w:rPr>
      <w:rFonts w:ascii="Times New Roman" w:hAnsi="Times New Roman"/>
    </w:rPr>
    <w:tblPr/>
  </w:style>
  <w:style w:type="table" w:styleId="930" w:customStyle="1">
    <w:name w:val="网格表 7 彩色1_0"/>
    <w:basedOn w:val="729"/>
    <w:uiPriority w:val="99"/>
    <w:rPr>
      <w:rFonts w:ascii="Times New Roman" w:hAnsi="Times New Roman"/>
    </w:rPr>
    <w:tblPr/>
  </w:style>
  <w:style w:type="table" w:styleId="931" w:customStyle="1">
    <w:name w:val="Grid Table 4 - Accent 3"/>
    <w:basedOn w:val="729"/>
    <w:uiPriority w:val="59"/>
    <w:rPr>
      <w:rFonts w:ascii="Times New Roman" w:hAnsi="Times New Roman"/>
    </w:rPr>
    <w:tblPr/>
  </w:style>
  <w:style w:type="table" w:styleId="932" w:customStyle="1">
    <w:name w:val="Table Grid Light"/>
    <w:basedOn w:val="729"/>
    <w:uiPriority w:val="59"/>
    <w:rPr>
      <w:rFonts w:ascii="Times New Roman" w:hAnsi="Times New Roman"/>
    </w:rPr>
    <w:tblPr/>
  </w:style>
  <w:style w:type="table" w:styleId="933" w:customStyle="1">
    <w:name w:val="Lined - Accent"/>
    <w:basedOn w:val="729"/>
    <w:uiPriority w:val="99"/>
    <w:rPr>
      <w:rFonts w:ascii="Times New Roman" w:hAnsi="Times New Roman"/>
      <w:color w:val="404040"/>
    </w:rPr>
    <w:tblPr/>
  </w:style>
  <w:style w:type="table" w:styleId="934" w:customStyle="1">
    <w:name w:val="Grid Table 7 Colorful - Accent 5"/>
    <w:basedOn w:val="729"/>
    <w:uiPriority w:val="99"/>
    <w:rPr>
      <w:rFonts w:ascii="Times New Roman" w:hAnsi="Times New Roman"/>
    </w:rPr>
    <w:tblPr/>
  </w:style>
  <w:style w:type="table" w:styleId="935" w:customStyle="1">
    <w:name w:val="Grid Table 5 Dark - Accent 3"/>
    <w:basedOn w:val="729"/>
    <w:uiPriority w:val="99"/>
    <w:rPr>
      <w:rFonts w:ascii="Times New Roman" w:hAnsi="Times New Roman"/>
    </w:rPr>
    <w:tblPr/>
  </w:style>
  <w:style w:type="table" w:styleId="936" w:customStyle="1">
    <w:name w:val="无格式表格 11_0"/>
    <w:basedOn w:val="729"/>
    <w:uiPriority w:val="59"/>
    <w:rPr>
      <w:rFonts w:ascii="Times New Roman" w:hAnsi="Times New Roman"/>
    </w:rPr>
    <w:tblPr/>
  </w:style>
  <w:style w:type="table" w:styleId="937" w:customStyle="1">
    <w:name w:val="Bordered - Accent 4"/>
    <w:basedOn w:val="729"/>
    <w:uiPriority w:val="99"/>
    <w:rPr>
      <w:rFonts w:ascii="Times New Roman" w:hAnsi="Times New Roman"/>
    </w:rPr>
    <w:tblPr/>
  </w:style>
  <w:style w:type="table" w:styleId="938" w:customStyle="1">
    <w:name w:val="List Table 5 Dark - Accent 2"/>
    <w:basedOn w:val="729"/>
    <w:uiPriority w:val="99"/>
    <w:rPr>
      <w:rFonts w:ascii="Times New Roman" w:hAnsi="Times New Roman"/>
    </w:rPr>
    <w:tblPr/>
  </w:style>
  <w:style w:type="table" w:styleId="939" w:customStyle="1">
    <w:name w:val="Grid Table 7 Colorful - Accent 1"/>
    <w:basedOn w:val="729"/>
    <w:uiPriority w:val="99"/>
    <w:rPr>
      <w:rFonts w:ascii="Times New Roman" w:hAnsi="Times New Roman"/>
    </w:rPr>
    <w:tblPr/>
  </w:style>
  <w:style w:type="table" w:styleId="940" w:customStyle="1">
    <w:name w:val="Grid Table 2 - Accent 3"/>
    <w:basedOn w:val="729"/>
    <w:uiPriority w:val="99"/>
    <w:rPr>
      <w:rFonts w:ascii="Times New Roman" w:hAnsi="Times New Roman"/>
    </w:rPr>
    <w:tblPr/>
  </w:style>
  <w:style w:type="table" w:styleId="941" w:customStyle="1">
    <w:name w:val="无格式表格 21_0"/>
    <w:basedOn w:val="729"/>
    <w:uiPriority w:val="59"/>
    <w:rPr>
      <w:rFonts w:ascii="Times New Roman" w:hAnsi="Times New Roman"/>
    </w:rPr>
    <w:tblPr/>
  </w:style>
  <w:style w:type="table" w:styleId="942" w:customStyle="1">
    <w:name w:val="List Table 5 Dark - Accent 5"/>
    <w:basedOn w:val="729"/>
    <w:uiPriority w:val="99"/>
    <w:rPr>
      <w:rFonts w:ascii="Times New Roman" w:hAnsi="Times New Roman"/>
    </w:rPr>
    <w:tblPr/>
  </w:style>
  <w:style w:type="table" w:styleId="943" w:customStyle="1">
    <w:name w:val="List Table 1 Light - Accent 1"/>
    <w:basedOn w:val="729"/>
    <w:uiPriority w:val="99"/>
    <w:rPr>
      <w:rFonts w:ascii="Times New Roman" w:hAnsi="Times New Roman"/>
    </w:rPr>
    <w:tblPr/>
  </w:style>
  <w:style w:type="table" w:styleId="944" w:customStyle="1">
    <w:name w:val="Grid Table 5 Dark - Accent 2"/>
    <w:basedOn w:val="729"/>
    <w:uiPriority w:val="99"/>
    <w:rPr>
      <w:rFonts w:ascii="Times New Roman" w:hAnsi="Times New Roman"/>
    </w:rPr>
    <w:tblPr/>
  </w:style>
  <w:style w:type="table" w:styleId="945" w:customStyle="1">
    <w:name w:val="无格式表格 31_0"/>
    <w:basedOn w:val="729"/>
    <w:uiPriority w:val="99"/>
    <w:rPr>
      <w:rFonts w:ascii="Times New Roman" w:hAnsi="Times New Roman"/>
    </w:rPr>
    <w:tblPr/>
  </w:style>
  <w:style w:type="table" w:styleId="946" w:customStyle="1">
    <w:name w:val="清单表 41_0"/>
    <w:basedOn w:val="729"/>
    <w:uiPriority w:val="99"/>
    <w:rPr>
      <w:rFonts w:ascii="Times New Roman" w:hAnsi="Times New Roman"/>
    </w:rPr>
    <w:tblPr/>
  </w:style>
  <w:style w:type="table" w:styleId="947" w:customStyle="1">
    <w:name w:val="List Table 2 - Accent 2"/>
    <w:basedOn w:val="729"/>
    <w:uiPriority w:val="99"/>
    <w:rPr>
      <w:rFonts w:ascii="Times New Roman" w:hAnsi="Times New Roman"/>
    </w:rPr>
    <w:tblPr/>
  </w:style>
  <w:style w:type="table" w:styleId="948" w:customStyle="1">
    <w:name w:val="网格表 5 深色1_0"/>
    <w:basedOn w:val="729"/>
    <w:uiPriority w:val="99"/>
    <w:rPr>
      <w:rFonts w:ascii="Times New Roman" w:hAnsi="Times New Roman"/>
    </w:rPr>
    <w:tblPr/>
  </w:style>
  <w:style w:type="table" w:styleId="949" w:customStyle="1">
    <w:name w:val="无格式表格 41_0"/>
    <w:basedOn w:val="729"/>
    <w:uiPriority w:val="99"/>
    <w:rPr>
      <w:rFonts w:ascii="Times New Roman" w:hAnsi="Times New Roman"/>
    </w:rPr>
    <w:tblPr/>
  </w:style>
  <w:style w:type="table" w:styleId="950" w:customStyle="1">
    <w:name w:val="Bordered - Accent 6"/>
    <w:basedOn w:val="729"/>
    <w:uiPriority w:val="99"/>
    <w:rPr>
      <w:rFonts w:ascii="Times New Roman" w:hAnsi="Times New Roman"/>
    </w:rPr>
    <w:tblPr/>
  </w:style>
  <w:style w:type="table" w:styleId="951" w:customStyle="1">
    <w:name w:val="List Table 7 Colorful - Accent 3"/>
    <w:basedOn w:val="729"/>
    <w:uiPriority w:val="99"/>
    <w:rPr>
      <w:rFonts w:ascii="Times New Roman" w:hAnsi="Times New Roman"/>
    </w:rPr>
    <w:tblPr/>
  </w:style>
  <w:style w:type="table" w:styleId="952" w:customStyle="1">
    <w:name w:val="List Table 1 Light - Accent 2"/>
    <w:basedOn w:val="729"/>
    <w:uiPriority w:val="99"/>
    <w:rPr>
      <w:rFonts w:ascii="Times New Roman" w:hAnsi="Times New Roman"/>
    </w:rPr>
    <w:tblPr/>
  </w:style>
  <w:style w:type="table" w:styleId="953" w:customStyle="1">
    <w:name w:val="Grid Table 5 Dark - Accent 5"/>
    <w:basedOn w:val="729"/>
    <w:uiPriority w:val="99"/>
    <w:rPr>
      <w:rFonts w:ascii="Times New Roman" w:hAnsi="Times New Roman"/>
    </w:rPr>
    <w:tblPr/>
  </w:style>
  <w:style w:type="table" w:styleId="954" w:customStyle="1">
    <w:name w:val="无格式表格 51_0"/>
    <w:basedOn w:val="729"/>
    <w:uiPriority w:val="99"/>
    <w:rPr>
      <w:rFonts w:ascii="Times New Roman" w:hAnsi="Times New Roman"/>
    </w:rPr>
    <w:tblPr/>
  </w:style>
  <w:style w:type="table" w:styleId="955" w:customStyle="1">
    <w:name w:val="List Table 7 Colorful - Accent 4"/>
    <w:basedOn w:val="729"/>
    <w:uiPriority w:val="99"/>
    <w:rPr>
      <w:rFonts w:ascii="Times New Roman" w:hAnsi="Times New Roman"/>
    </w:rPr>
    <w:tblPr/>
  </w:style>
  <w:style w:type="table" w:styleId="956" w:customStyle="1">
    <w:name w:val="List Table 2 - Accent 1"/>
    <w:basedOn w:val="729"/>
    <w:uiPriority w:val="99"/>
    <w:rPr>
      <w:rFonts w:ascii="Times New Roman" w:hAnsi="Times New Roman"/>
    </w:rPr>
    <w:tblPr/>
  </w:style>
  <w:style w:type="table" w:styleId="957" w:customStyle="1">
    <w:name w:val="Grid Table 5 Dark- Accent 1"/>
    <w:basedOn w:val="729"/>
    <w:uiPriority w:val="99"/>
    <w:rPr>
      <w:rFonts w:ascii="Times New Roman" w:hAnsi="Times New Roman"/>
    </w:rPr>
    <w:tblPr/>
  </w:style>
  <w:style w:type="table" w:styleId="958" w:customStyle="1">
    <w:name w:val="网格表 1 浅色1_0"/>
    <w:basedOn w:val="729"/>
    <w:uiPriority w:val="99"/>
    <w:rPr>
      <w:rFonts w:ascii="Times New Roman" w:hAnsi="Times New Roman"/>
    </w:rPr>
    <w:tblPr/>
  </w:style>
  <w:style w:type="table" w:styleId="959" w:customStyle="1">
    <w:name w:val="Bordered - Accent 1"/>
    <w:basedOn w:val="729"/>
    <w:uiPriority w:val="99"/>
    <w:rPr>
      <w:rFonts w:ascii="Times New Roman" w:hAnsi="Times New Roman"/>
    </w:rPr>
    <w:tblPr/>
  </w:style>
  <w:style w:type="table" w:styleId="960" w:customStyle="1">
    <w:name w:val="List Table 6 Colorful - Accent 1"/>
    <w:basedOn w:val="729"/>
    <w:uiPriority w:val="99"/>
    <w:rPr>
      <w:rFonts w:ascii="Times New Roman" w:hAnsi="Times New Roman"/>
    </w:rPr>
    <w:tblPr/>
  </w:style>
  <w:style w:type="table" w:styleId="961" w:customStyle="1">
    <w:name w:val="List Table 1 Light - Accent 6"/>
    <w:basedOn w:val="729"/>
    <w:uiPriority w:val="99"/>
    <w:rPr>
      <w:rFonts w:ascii="Times New Roman" w:hAnsi="Times New Roman"/>
    </w:rPr>
    <w:tblPr/>
  </w:style>
  <w:style w:type="table" w:styleId="962" w:customStyle="1">
    <w:name w:val="Grid Table 2 - Accent 1"/>
    <w:basedOn w:val="729"/>
    <w:uiPriority w:val="99"/>
    <w:rPr>
      <w:rFonts w:ascii="Times New Roman" w:hAnsi="Times New Roman"/>
    </w:rPr>
    <w:tblPr/>
  </w:style>
  <w:style w:type="table" w:styleId="963" w:customStyle="1">
    <w:name w:val="Grid Table 1 Light - Accent 1"/>
    <w:basedOn w:val="729"/>
    <w:uiPriority w:val="99"/>
    <w:rPr>
      <w:rFonts w:ascii="Times New Roman" w:hAnsi="Times New Roman"/>
    </w:rPr>
    <w:tblPr/>
  </w:style>
  <w:style w:type="table" w:styleId="964" w:customStyle="1">
    <w:name w:val="List Table 7 Colorful - Accent 1"/>
    <w:basedOn w:val="729"/>
    <w:uiPriority w:val="99"/>
    <w:rPr>
      <w:rFonts w:ascii="Times New Roman" w:hAnsi="Times New Roman"/>
    </w:rPr>
    <w:tblPr/>
  </w:style>
  <w:style w:type="table" w:styleId="965" w:customStyle="1">
    <w:name w:val="List Table 2 - Accent 5"/>
    <w:basedOn w:val="729"/>
    <w:uiPriority w:val="99"/>
    <w:rPr>
      <w:rFonts w:ascii="Times New Roman" w:hAnsi="Times New Roman"/>
    </w:rPr>
    <w:tblPr/>
  </w:style>
  <w:style w:type="table" w:styleId="966" w:customStyle="1">
    <w:name w:val="Grid Table 5 Dark- Accent 4"/>
    <w:basedOn w:val="729"/>
    <w:uiPriority w:val="99"/>
    <w:rPr>
      <w:rFonts w:ascii="Times New Roman" w:hAnsi="Times New Roman"/>
    </w:rPr>
    <w:tblPr/>
  </w:style>
  <w:style w:type="table" w:styleId="967" w:customStyle="1">
    <w:name w:val="Grid Table 1 Light - Accent 2"/>
    <w:basedOn w:val="729"/>
    <w:uiPriority w:val="99"/>
    <w:rPr>
      <w:rFonts w:ascii="Times New Roman" w:hAnsi="Times New Roman"/>
    </w:rPr>
    <w:tblPr/>
  </w:style>
  <w:style w:type="table" w:styleId="968" w:customStyle="1">
    <w:name w:val="Bordered - Accent 5"/>
    <w:basedOn w:val="729"/>
    <w:uiPriority w:val="99"/>
    <w:rPr>
      <w:rFonts w:ascii="Times New Roman" w:hAnsi="Times New Roman"/>
    </w:rPr>
    <w:tblPr/>
  </w:style>
  <w:style w:type="table" w:styleId="969" w:customStyle="1">
    <w:name w:val="List Table 7 Colorful - Accent 2"/>
    <w:basedOn w:val="729"/>
    <w:uiPriority w:val="99"/>
    <w:rPr>
      <w:rFonts w:ascii="Times New Roman" w:hAnsi="Times New Roman"/>
    </w:rPr>
    <w:tblPr/>
  </w:style>
  <w:style w:type="table" w:styleId="970" w:customStyle="1">
    <w:name w:val="List Table 3 - Accent 1"/>
    <w:basedOn w:val="729"/>
    <w:uiPriority w:val="99"/>
    <w:rPr>
      <w:rFonts w:ascii="Times New Roman" w:hAnsi="Times New Roman"/>
    </w:rPr>
    <w:tblPr/>
  </w:style>
  <w:style w:type="table" w:styleId="971" w:customStyle="1">
    <w:name w:val="Grid Table 1 Light - Accent 6"/>
    <w:basedOn w:val="729"/>
    <w:uiPriority w:val="99"/>
    <w:rPr>
      <w:rFonts w:ascii="Times New Roman" w:hAnsi="Times New Roman"/>
    </w:rPr>
    <w:tblPr/>
  </w:style>
  <w:style w:type="table" w:styleId="972" w:customStyle="1">
    <w:name w:val="Grid Table 1 Light - Accent 3"/>
    <w:basedOn w:val="729"/>
    <w:uiPriority w:val="99"/>
    <w:rPr>
      <w:rFonts w:ascii="Times New Roman" w:hAnsi="Times New Roman"/>
    </w:rPr>
    <w:tblPr/>
  </w:style>
  <w:style w:type="table" w:styleId="973" w:customStyle="1">
    <w:name w:val="Bordered &amp; Lined - Accent 2"/>
    <w:basedOn w:val="729"/>
    <w:uiPriority w:val="99"/>
    <w:rPr>
      <w:rFonts w:ascii="Times New Roman" w:hAnsi="Times New Roman"/>
      <w:color w:val="404040"/>
    </w:rPr>
    <w:tblPr/>
  </w:style>
  <w:style w:type="table" w:styleId="974" w:customStyle="1">
    <w:name w:val="List Table 6 Colorful - Accent 6"/>
    <w:basedOn w:val="729"/>
    <w:uiPriority w:val="99"/>
    <w:rPr>
      <w:rFonts w:ascii="Times New Roman" w:hAnsi="Times New Roman"/>
    </w:rPr>
    <w:tblPr/>
  </w:style>
  <w:style w:type="table" w:styleId="975" w:customStyle="1">
    <w:name w:val="List Table 3 - Accent 4"/>
    <w:basedOn w:val="729"/>
    <w:uiPriority w:val="99"/>
    <w:rPr>
      <w:rFonts w:ascii="Times New Roman" w:hAnsi="Times New Roman"/>
    </w:rPr>
    <w:tblPr/>
  </w:style>
  <w:style w:type="table" w:styleId="976" w:customStyle="1">
    <w:name w:val="Grid Table 1 Light - Accent 4"/>
    <w:basedOn w:val="729"/>
    <w:uiPriority w:val="99"/>
    <w:rPr>
      <w:rFonts w:ascii="Times New Roman" w:hAnsi="Times New Roman"/>
    </w:rPr>
    <w:tblPr/>
  </w:style>
  <w:style w:type="table" w:styleId="977" w:customStyle="1">
    <w:name w:val="Lined - Accent 2"/>
    <w:basedOn w:val="729"/>
    <w:uiPriority w:val="99"/>
    <w:rPr>
      <w:rFonts w:ascii="Times New Roman" w:hAnsi="Times New Roman"/>
      <w:color w:val="404040"/>
    </w:rPr>
    <w:tblPr/>
  </w:style>
  <w:style w:type="table" w:styleId="978" w:customStyle="1">
    <w:name w:val="List Table 5 Dark - Accent 1"/>
    <w:basedOn w:val="729"/>
    <w:uiPriority w:val="99"/>
    <w:rPr>
      <w:rFonts w:ascii="Times New Roman" w:hAnsi="Times New Roman"/>
    </w:rPr>
    <w:tblPr/>
  </w:style>
  <w:style w:type="table" w:styleId="979" w:customStyle="1">
    <w:name w:val="Grid Table 7 Colorful - Accent 3"/>
    <w:basedOn w:val="729"/>
    <w:uiPriority w:val="99"/>
    <w:rPr>
      <w:rFonts w:ascii="Times New Roman" w:hAnsi="Times New Roman"/>
    </w:rPr>
    <w:tblPr/>
  </w:style>
  <w:style w:type="table" w:styleId="980" w:customStyle="1">
    <w:name w:val="Grid Table 1 Light - Accent 5"/>
    <w:basedOn w:val="729"/>
    <w:uiPriority w:val="99"/>
    <w:rPr>
      <w:rFonts w:ascii="Times New Roman" w:hAnsi="Times New Roman"/>
    </w:rPr>
    <w:tblPr/>
  </w:style>
  <w:style w:type="table" w:styleId="981" w:customStyle="1">
    <w:name w:val="Lined - Accent 5"/>
    <w:basedOn w:val="729"/>
    <w:uiPriority w:val="99"/>
    <w:rPr>
      <w:rFonts w:ascii="Times New Roman" w:hAnsi="Times New Roman"/>
      <w:color w:val="404040"/>
    </w:rPr>
    <w:tblPr/>
  </w:style>
  <w:style w:type="table" w:styleId="982" w:customStyle="1">
    <w:name w:val="List Table 4 - Accent 3"/>
    <w:basedOn w:val="729"/>
    <w:uiPriority w:val="99"/>
    <w:rPr>
      <w:rFonts w:ascii="Times New Roman" w:hAnsi="Times New Roman"/>
    </w:rPr>
    <w:tblPr/>
  </w:style>
  <w:style w:type="table" w:styleId="983" w:customStyle="1">
    <w:name w:val="Grid Table 7 Colorful - Accent 4"/>
    <w:basedOn w:val="729"/>
    <w:uiPriority w:val="99"/>
    <w:rPr>
      <w:rFonts w:ascii="Times New Roman" w:hAnsi="Times New Roman"/>
    </w:rPr>
    <w:tblPr/>
  </w:style>
  <w:style w:type="table" w:styleId="984" w:customStyle="1">
    <w:name w:val="网格表 21_0"/>
    <w:basedOn w:val="729"/>
    <w:uiPriority w:val="99"/>
    <w:rPr>
      <w:rFonts w:ascii="Times New Roman" w:hAnsi="Times New Roman"/>
    </w:rPr>
    <w:tblPr/>
  </w:style>
  <w:style w:type="table" w:styleId="985" w:customStyle="1">
    <w:name w:val="清单表 7 彩色1_0"/>
    <w:basedOn w:val="729"/>
    <w:uiPriority w:val="99"/>
    <w:rPr>
      <w:rFonts w:ascii="Times New Roman" w:hAnsi="Times New Roman"/>
    </w:rPr>
    <w:tblPr/>
  </w:style>
  <w:style w:type="table" w:styleId="986" w:customStyle="1">
    <w:name w:val="Grid Table 6 Colorful - Accent 3"/>
    <w:basedOn w:val="729"/>
    <w:uiPriority w:val="99"/>
    <w:rPr>
      <w:rFonts w:ascii="Times New Roman" w:hAnsi="Times New Roman"/>
    </w:rPr>
    <w:tblPr/>
  </w:style>
  <w:style w:type="table" w:styleId="987" w:customStyle="1">
    <w:name w:val="Grid Table 2 - Accent 2"/>
    <w:basedOn w:val="729"/>
    <w:uiPriority w:val="99"/>
    <w:rPr>
      <w:rFonts w:ascii="Times New Roman" w:hAnsi="Times New Roman"/>
    </w:rPr>
    <w:tblPr/>
  </w:style>
  <w:style w:type="table" w:styleId="988" w:customStyle="1">
    <w:name w:val="List Table 4 - Accent 1"/>
    <w:basedOn w:val="729"/>
    <w:uiPriority w:val="99"/>
    <w:rPr>
      <w:rFonts w:ascii="Times New Roman" w:hAnsi="Times New Roman"/>
    </w:rPr>
    <w:tblPr/>
  </w:style>
  <w:style w:type="table" w:styleId="989" w:customStyle="1">
    <w:name w:val="Grid Table 6 Colorful - Accent 6"/>
    <w:basedOn w:val="729"/>
    <w:uiPriority w:val="99"/>
    <w:rPr>
      <w:rFonts w:ascii="Times New Roman" w:hAnsi="Times New Roman"/>
    </w:rPr>
    <w:tblPr/>
  </w:style>
  <w:style w:type="table" w:styleId="990" w:customStyle="1">
    <w:name w:val="Grid Table 2 - Accent 4"/>
    <w:basedOn w:val="729"/>
    <w:uiPriority w:val="99"/>
    <w:rPr>
      <w:rFonts w:ascii="Times New Roman" w:hAnsi="Times New Roman"/>
    </w:rPr>
    <w:tblPr/>
  </w:style>
  <w:style w:type="table" w:styleId="991" w:customStyle="1">
    <w:name w:val="Bordered &amp; Lined - Accent 5"/>
    <w:basedOn w:val="729"/>
    <w:uiPriority w:val="99"/>
    <w:rPr>
      <w:rFonts w:ascii="Times New Roman" w:hAnsi="Times New Roman"/>
      <w:color w:val="404040"/>
    </w:rPr>
    <w:tblPr/>
  </w:style>
  <w:style w:type="table" w:styleId="992" w:customStyle="1">
    <w:name w:val="List Table 7 Colorful - Accent 6"/>
    <w:basedOn w:val="729"/>
    <w:uiPriority w:val="99"/>
    <w:rPr>
      <w:rFonts w:ascii="Times New Roman" w:hAnsi="Times New Roman"/>
    </w:rPr>
    <w:tblPr/>
  </w:style>
  <w:style w:type="table" w:styleId="993" w:customStyle="1">
    <w:name w:val="Grid Table 6 Colorful - Accent 5"/>
    <w:basedOn w:val="729"/>
    <w:uiPriority w:val="99"/>
    <w:rPr>
      <w:rFonts w:ascii="Times New Roman" w:hAnsi="Times New Roman"/>
    </w:rPr>
    <w:tblPr/>
  </w:style>
  <w:style w:type="table" w:styleId="994" w:customStyle="1">
    <w:name w:val="Grid Table 2 - Accent 5"/>
    <w:basedOn w:val="729"/>
    <w:uiPriority w:val="99"/>
    <w:rPr>
      <w:rFonts w:ascii="Times New Roman" w:hAnsi="Times New Roman"/>
    </w:rPr>
    <w:tblPr/>
  </w:style>
  <w:style w:type="table" w:styleId="995" w:customStyle="1">
    <w:name w:val="Lined - Accent 4"/>
    <w:basedOn w:val="729"/>
    <w:uiPriority w:val="99"/>
    <w:rPr>
      <w:rFonts w:ascii="Times New Roman" w:hAnsi="Times New Roman"/>
      <w:color w:val="404040"/>
    </w:rPr>
    <w:tblPr/>
  </w:style>
  <w:style w:type="table" w:styleId="996" w:customStyle="1">
    <w:name w:val="List Table 4 - Accent 5"/>
    <w:basedOn w:val="729"/>
    <w:uiPriority w:val="99"/>
    <w:rPr>
      <w:rFonts w:ascii="Times New Roman" w:hAnsi="Times New Roman"/>
    </w:rPr>
    <w:tblPr/>
  </w:style>
  <w:style w:type="table" w:styleId="997" w:customStyle="1">
    <w:name w:val="Grid Table 6 Colorful - Accent 1"/>
    <w:basedOn w:val="729"/>
    <w:uiPriority w:val="99"/>
    <w:rPr>
      <w:rFonts w:ascii="Times New Roman" w:hAnsi="Times New Roman"/>
    </w:rPr>
    <w:tblPr/>
  </w:style>
  <w:style w:type="table" w:styleId="998" w:customStyle="1">
    <w:name w:val="网格表 31_0"/>
    <w:basedOn w:val="729"/>
    <w:uiPriority w:val="99"/>
    <w:rPr>
      <w:rFonts w:ascii="Times New Roman" w:hAnsi="Times New Roman"/>
    </w:rPr>
    <w:tblPr/>
  </w:style>
  <w:style w:type="table" w:styleId="999" w:customStyle="1">
    <w:name w:val="List Table 5 Dark - Accent 6"/>
    <w:basedOn w:val="729"/>
    <w:uiPriority w:val="99"/>
    <w:rPr>
      <w:rFonts w:ascii="Times New Roman" w:hAnsi="Times New Roman"/>
    </w:rPr>
    <w:tblPr/>
  </w:style>
  <w:style w:type="table" w:styleId="1000" w:customStyle="1">
    <w:name w:val="List Table 2 - Accent 6"/>
    <w:basedOn w:val="729"/>
    <w:uiPriority w:val="99"/>
    <w:rPr>
      <w:rFonts w:ascii="Times New Roman" w:hAnsi="Times New Roman"/>
    </w:rPr>
    <w:tblPr/>
  </w:style>
  <w:style w:type="table" w:styleId="1001" w:customStyle="1">
    <w:name w:val="Grid Table 3 - Accent 1"/>
    <w:basedOn w:val="729"/>
    <w:uiPriority w:val="99"/>
    <w:rPr>
      <w:rFonts w:ascii="Times New Roman" w:hAnsi="Times New Roman"/>
    </w:rPr>
    <w:tblPr/>
  </w:style>
  <w:style w:type="table" w:styleId="1002" w:customStyle="1">
    <w:name w:val="List Table 3 - Accent 6"/>
    <w:basedOn w:val="729"/>
    <w:uiPriority w:val="99"/>
    <w:rPr>
      <w:rFonts w:ascii="Times New Roman" w:hAnsi="Times New Roman"/>
    </w:rPr>
    <w:tblPr/>
  </w:style>
  <w:style w:type="table" w:styleId="1003" w:customStyle="1">
    <w:name w:val="清单表 21_0"/>
    <w:basedOn w:val="729"/>
    <w:uiPriority w:val="99"/>
    <w:rPr>
      <w:rFonts w:ascii="Times New Roman" w:hAnsi="Times New Roman"/>
    </w:rPr>
    <w:tblPr/>
  </w:style>
  <w:style w:type="table" w:styleId="1004" w:customStyle="1">
    <w:name w:val="Grid Table 3 - Accent 2"/>
    <w:basedOn w:val="729"/>
    <w:uiPriority w:val="99"/>
    <w:rPr>
      <w:rFonts w:ascii="Times New Roman" w:hAnsi="Times New Roman"/>
    </w:rPr>
    <w:tblPr/>
  </w:style>
  <w:style w:type="table" w:styleId="1005" w:customStyle="1">
    <w:name w:val="Bordered &amp; Lined - Accent 6"/>
    <w:basedOn w:val="729"/>
    <w:uiPriority w:val="99"/>
    <w:rPr>
      <w:rFonts w:ascii="Times New Roman" w:hAnsi="Times New Roman"/>
      <w:color w:val="404040"/>
    </w:rPr>
    <w:tblPr/>
  </w:style>
  <w:style w:type="table" w:styleId="1006" w:customStyle="1">
    <w:name w:val="List Table 5 Dark - Accent 3"/>
    <w:basedOn w:val="729"/>
    <w:uiPriority w:val="99"/>
    <w:rPr>
      <w:rFonts w:ascii="Times New Roman" w:hAnsi="Times New Roman"/>
    </w:rPr>
    <w:tblPr/>
  </w:style>
  <w:style w:type="table" w:styleId="1007" w:customStyle="1">
    <w:name w:val="List Table 1 Light - Accent 5"/>
    <w:basedOn w:val="729"/>
    <w:uiPriority w:val="99"/>
    <w:rPr>
      <w:rFonts w:ascii="Times New Roman" w:hAnsi="Times New Roman"/>
    </w:rPr>
    <w:tblPr/>
  </w:style>
  <w:style w:type="table" w:styleId="1008" w:customStyle="1">
    <w:name w:val="Grid Table 3 - Accent 3"/>
    <w:basedOn w:val="729"/>
    <w:uiPriority w:val="99"/>
    <w:rPr>
      <w:rFonts w:ascii="Times New Roman" w:hAnsi="Times New Roman"/>
    </w:rPr>
    <w:tblPr/>
  </w:style>
  <w:style w:type="table" w:styleId="1009" w:customStyle="1">
    <w:name w:val="Bordered &amp; Lined - Accent"/>
    <w:basedOn w:val="729"/>
    <w:uiPriority w:val="99"/>
    <w:rPr>
      <w:rFonts w:ascii="Times New Roman" w:hAnsi="Times New Roman"/>
      <w:color w:val="404040"/>
    </w:rPr>
    <w:tblPr/>
  </w:style>
  <w:style w:type="table" w:styleId="1010" w:customStyle="1">
    <w:name w:val="List Table 4 - Accent 6"/>
    <w:basedOn w:val="729"/>
    <w:uiPriority w:val="99"/>
    <w:rPr>
      <w:rFonts w:ascii="Times New Roman" w:hAnsi="Times New Roman"/>
    </w:rPr>
    <w:tblPr/>
  </w:style>
  <w:style w:type="table" w:styleId="1011" w:customStyle="1">
    <w:name w:val="List Table 3 - Accent 2"/>
    <w:basedOn w:val="729"/>
    <w:uiPriority w:val="99"/>
    <w:rPr>
      <w:rFonts w:ascii="Times New Roman" w:hAnsi="Times New Roman"/>
    </w:rPr>
    <w:tblPr/>
  </w:style>
  <w:style w:type="table" w:styleId="1012" w:customStyle="1">
    <w:name w:val="Grid Table 3 - Accent 4"/>
    <w:basedOn w:val="729"/>
    <w:uiPriority w:val="99"/>
    <w:rPr>
      <w:rFonts w:ascii="Times New Roman" w:hAnsi="Times New Roman"/>
    </w:rPr>
    <w:tblPr/>
  </w:style>
  <w:style w:type="table" w:styleId="1013" w:customStyle="1">
    <w:name w:val="Bordered - Accent 2"/>
    <w:basedOn w:val="729"/>
    <w:uiPriority w:val="99"/>
    <w:rPr>
      <w:rFonts w:ascii="Times New Roman" w:hAnsi="Times New Roman"/>
    </w:rPr>
    <w:tblPr/>
  </w:style>
  <w:style w:type="table" w:styleId="1014" w:customStyle="1">
    <w:name w:val="Lined - Accent 1"/>
    <w:basedOn w:val="729"/>
    <w:uiPriority w:val="99"/>
    <w:rPr>
      <w:rFonts w:ascii="Times New Roman" w:hAnsi="Times New Roman"/>
      <w:color w:val="404040"/>
    </w:rPr>
    <w:tblPr/>
  </w:style>
  <w:style w:type="table" w:styleId="1015" w:customStyle="1">
    <w:name w:val="List Table 2 - Accent 4"/>
    <w:basedOn w:val="729"/>
    <w:uiPriority w:val="99"/>
    <w:rPr>
      <w:rFonts w:ascii="Times New Roman" w:hAnsi="Times New Roman"/>
    </w:rPr>
    <w:tblPr/>
  </w:style>
  <w:style w:type="table" w:styleId="1016" w:customStyle="1">
    <w:name w:val="Grid Table 3 - Accent 5"/>
    <w:basedOn w:val="729"/>
    <w:uiPriority w:val="99"/>
    <w:rPr>
      <w:rFonts w:ascii="Times New Roman" w:hAnsi="Times New Roman"/>
    </w:rPr>
    <w:tblPr/>
  </w:style>
  <w:style w:type="table" w:styleId="1017" w:customStyle="1">
    <w:name w:val="List Table 6 Colorful - Accent 3"/>
    <w:basedOn w:val="729"/>
    <w:uiPriority w:val="99"/>
    <w:rPr>
      <w:rFonts w:ascii="Times New Roman" w:hAnsi="Times New Roman"/>
    </w:rPr>
    <w:tblPr/>
  </w:style>
  <w:style w:type="table" w:styleId="1018" w:customStyle="1">
    <w:name w:val="Grid Table 6 Colorful - Accent 4"/>
    <w:basedOn w:val="729"/>
    <w:uiPriority w:val="99"/>
    <w:rPr>
      <w:rFonts w:ascii="Times New Roman" w:hAnsi="Times New Roman"/>
    </w:rPr>
    <w:tblPr/>
  </w:style>
  <w:style w:type="table" w:styleId="1019" w:customStyle="1">
    <w:name w:val="Grid Table 3 - Accent 6"/>
    <w:basedOn w:val="729"/>
    <w:uiPriority w:val="99"/>
    <w:rPr>
      <w:rFonts w:ascii="Times New Roman" w:hAnsi="Times New Roman"/>
    </w:rPr>
    <w:tblPr/>
  </w:style>
  <w:style w:type="table" w:styleId="1020" w:customStyle="1">
    <w:name w:val="Bordered &amp; Lined - Accent 4"/>
    <w:basedOn w:val="729"/>
    <w:uiPriority w:val="99"/>
    <w:rPr>
      <w:rFonts w:ascii="Times New Roman" w:hAnsi="Times New Roman"/>
      <w:color w:val="404040"/>
    </w:rPr>
    <w:tblPr/>
  </w:style>
  <w:style w:type="table" w:styleId="1021" w:customStyle="1">
    <w:name w:val="List Table 3 - Accent 5"/>
    <w:basedOn w:val="729"/>
    <w:uiPriority w:val="99"/>
    <w:rPr>
      <w:rFonts w:ascii="Times New Roman" w:hAnsi="Times New Roman"/>
    </w:rPr>
    <w:tblPr/>
  </w:style>
  <w:style w:type="table" w:styleId="1022" w:customStyle="1">
    <w:name w:val="List Table 1 Light - Accent 4"/>
    <w:basedOn w:val="729"/>
    <w:uiPriority w:val="99"/>
    <w:rPr>
      <w:rFonts w:ascii="Times New Roman" w:hAnsi="Times New Roman"/>
    </w:rPr>
    <w:tblPr/>
  </w:style>
  <w:style w:type="table" w:styleId="1023" w:customStyle="1">
    <w:name w:val="网格表 41_0"/>
    <w:basedOn w:val="729"/>
    <w:uiPriority w:val="59"/>
    <w:rPr>
      <w:rFonts w:ascii="Times New Roman" w:hAnsi="Times New Roman"/>
    </w:rPr>
    <w:tblPr/>
  </w:style>
  <w:style w:type="table" w:styleId="1024" w:customStyle="1">
    <w:name w:val="Lined - Accent 6"/>
    <w:basedOn w:val="729"/>
    <w:uiPriority w:val="99"/>
    <w:rPr>
      <w:rFonts w:ascii="Times New Roman" w:hAnsi="Times New Roman"/>
      <w:color w:val="404040"/>
    </w:rPr>
    <w:tblPr/>
  </w:style>
  <w:style w:type="table" w:styleId="1025" w:customStyle="1">
    <w:name w:val="List Table 6 Colorful - Accent 2"/>
    <w:basedOn w:val="729"/>
    <w:uiPriority w:val="99"/>
    <w:rPr>
      <w:rFonts w:ascii="Times New Roman" w:hAnsi="Times New Roman"/>
    </w:rPr>
    <w:tblPr/>
  </w:style>
  <w:style w:type="table" w:styleId="1026" w:customStyle="1">
    <w:name w:val="Grid Table 7 Colorful - Accent 6"/>
    <w:basedOn w:val="729"/>
    <w:uiPriority w:val="99"/>
    <w:rPr>
      <w:rFonts w:ascii="Times New Roman" w:hAnsi="Times New Roman"/>
    </w:rPr>
    <w:tblPr/>
  </w:style>
  <w:style w:type="table" w:styleId="1027" w:customStyle="1">
    <w:name w:val="Grid Table 4 - Accent 1"/>
    <w:basedOn w:val="729"/>
    <w:uiPriority w:val="59"/>
    <w:rPr>
      <w:rFonts w:ascii="Times New Roman" w:hAnsi="Times New Roman"/>
    </w:rPr>
    <w:tblPr/>
  </w:style>
  <w:style w:type="table" w:styleId="1028" w:customStyle="1">
    <w:name w:val="Lined - Accent 3"/>
    <w:basedOn w:val="729"/>
    <w:uiPriority w:val="99"/>
    <w:rPr>
      <w:rFonts w:ascii="Times New Roman" w:hAnsi="Times New Roman"/>
      <w:color w:val="404040"/>
    </w:rPr>
    <w:tblPr/>
  </w:style>
  <w:style w:type="table" w:styleId="1029" w:customStyle="1">
    <w:name w:val="List Table 4 - Accent 4"/>
    <w:basedOn w:val="729"/>
    <w:uiPriority w:val="99"/>
    <w:rPr>
      <w:rFonts w:ascii="Times New Roman" w:hAnsi="Times New Roman"/>
    </w:rPr>
    <w:tblPr/>
  </w:style>
  <w:style w:type="table" w:styleId="1030" w:customStyle="1">
    <w:name w:val="清单表 31_0"/>
    <w:basedOn w:val="729"/>
    <w:uiPriority w:val="99"/>
    <w:rPr>
      <w:rFonts w:ascii="Times New Roman" w:hAnsi="Times New Roman"/>
    </w:rPr>
    <w:tblPr/>
  </w:style>
  <w:style w:type="table" w:styleId="1031" w:customStyle="1">
    <w:name w:val="Grid Table 4 - Accent 2"/>
    <w:basedOn w:val="729"/>
    <w:uiPriority w:val="59"/>
    <w:rPr>
      <w:rFonts w:ascii="Times New Roman" w:hAnsi="Times New Roman"/>
    </w:rPr>
    <w:tblPr/>
  </w:style>
  <w:style w:type="table" w:styleId="1032" w:customStyle="1">
    <w:name w:val="Bordered"/>
    <w:basedOn w:val="729"/>
    <w:uiPriority w:val="99"/>
    <w:rPr>
      <w:rFonts w:ascii="Times New Roman" w:hAnsi="Times New Roman"/>
    </w:rPr>
    <w:tblPr/>
  </w:style>
  <w:style w:type="table" w:styleId="1033" w:customStyle="1">
    <w:name w:val="List Table 5 Dark - Accent 4"/>
    <w:basedOn w:val="729"/>
    <w:uiPriority w:val="99"/>
    <w:rPr>
      <w:rFonts w:ascii="Times New Roman" w:hAnsi="Times New Roman"/>
    </w:rPr>
    <w:tblPr/>
  </w:style>
  <w:style w:type="table" w:styleId="1034" w:customStyle="1">
    <w:name w:val="List Table 3 - Accent 3"/>
    <w:basedOn w:val="729"/>
    <w:uiPriority w:val="99"/>
    <w:rPr>
      <w:rFonts w:ascii="Times New Roman" w:hAnsi="Times New Roman"/>
    </w:rPr>
    <w:tblPr/>
  </w:style>
  <w:style w:type="table" w:styleId="1035" w:customStyle="1">
    <w:name w:val="Grid Table 4 - Accent 4"/>
    <w:basedOn w:val="729"/>
    <w:uiPriority w:val="59"/>
    <w:rPr>
      <w:rFonts w:ascii="Times New Roman" w:hAnsi="Times New Roman"/>
    </w:rPr>
    <w:tblPr/>
  </w:style>
  <w:style w:type="table" w:styleId="1036" w:customStyle="1">
    <w:name w:val="List Table 6 Colorful - Accent 4"/>
    <w:basedOn w:val="729"/>
    <w:uiPriority w:val="99"/>
    <w:rPr>
      <w:rFonts w:ascii="Times New Roman" w:hAnsi="Times New Roman"/>
    </w:rPr>
    <w:tblPr/>
  </w:style>
  <w:style w:type="table" w:styleId="1037" w:customStyle="1">
    <w:name w:val="Grid Table 7 Colorful - Accent 2"/>
    <w:basedOn w:val="729"/>
    <w:uiPriority w:val="99"/>
    <w:rPr>
      <w:rFonts w:ascii="Times New Roman" w:hAnsi="Times New Roman"/>
    </w:rPr>
    <w:tblPr/>
  </w:style>
  <w:style w:type="table" w:styleId="1038" w:customStyle="1">
    <w:name w:val="Grid Table 4 - Accent 5"/>
    <w:basedOn w:val="729"/>
    <w:uiPriority w:val="59"/>
    <w:rPr>
      <w:rFonts w:ascii="Times New Roman" w:hAnsi="Times New Roman"/>
    </w:rPr>
    <w:tblPr/>
  </w:style>
  <w:style w:type="table" w:styleId="1039" w:customStyle="1">
    <w:name w:val="List Table 6 Colorful - Accent 5"/>
    <w:basedOn w:val="729"/>
    <w:uiPriority w:val="99"/>
    <w:rPr>
      <w:rFonts w:ascii="Times New Roman" w:hAnsi="Times New Roman"/>
    </w:rPr>
    <w:tblPr/>
  </w:style>
  <w:style w:type="table" w:styleId="1040" w:customStyle="1">
    <w:name w:val="List Table 1 Light - Accent 3"/>
    <w:basedOn w:val="729"/>
    <w:uiPriority w:val="99"/>
    <w:rPr>
      <w:rFonts w:ascii="Times New Roman" w:hAnsi="Times New Roman"/>
    </w:rPr>
    <w:tblPr/>
  </w:style>
  <w:style w:type="table" w:styleId="1041" w:customStyle="1">
    <w:name w:val="Grid Table 4 - Accent 6"/>
    <w:basedOn w:val="729"/>
    <w:uiPriority w:val="59"/>
    <w:rPr>
      <w:rFonts w:ascii="Times New Roman" w:hAnsi="Times New Roman"/>
    </w:rPr>
    <w:tblPr/>
  </w:style>
  <w:style w:type="table" w:styleId="1042" w:customStyle="1">
    <w:name w:val="List Table 7 Colorful - Accent 5"/>
    <w:basedOn w:val="729"/>
    <w:uiPriority w:val="99"/>
    <w:rPr>
      <w:rFonts w:ascii="Times New Roman" w:hAnsi="Times New Roman"/>
    </w:rPr>
    <w:tblPr/>
  </w:style>
  <w:style w:type="table" w:styleId="1043" w:customStyle="1">
    <w:name w:val="List Table 2 - Accent 3"/>
    <w:basedOn w:val="729"/>
    <w:uiPriority w:val="99"/>
    <w:rPr>
      <w:rFonts w:ascii="Times New Roman" w:hAnsi="Times New Roman"/>
    </w:rPr>
    <w:tblPr/>
  </w:style>
  <w:style w:type="table" w:styleId="1044" w:customStyle="1">
    <w:name w:val="Grid Table 5 Dark - Accent 6"/>
    <w:basedOn w:val="729"/>
    <w:uiPriority w:val="99"/>
    <w:rPr>
      <w:rFonts w:ascii="Times New Roman" w:hAnsi="Times New Roman"/>
    </w:rPr>
    <w:tblPr/>
  </w:style>
  <w:style w:type="table" w:styleId="1045" w:customStyle="1">
    <w:name w:val="Bordered &amp; Lined - Accent 3"/>
    <w:basedOn w:val="729"/>
    <w:uiPriority w:val="99"/>
    <w:rPr>
      <w:rFonts w:ascii="Times New Roman" w:hAnsi="Times New Roman"/>
      <w:color w:val="404040"/>
    </w:rPr>
    <w:tblPr/>
  </w:style>
  <w:style w:type="table" w:styleId="1046" w:customStyle="1">
    <w:name w:val="清单表 6 彩色1_0"/>
    <w:basedOn w:val="729"/>
    <w:uiPriority w:val="99"/>
    <w:rPr>
      <w:rFonts w:ascii="Times New Roman" w:hAnsi="Times New Roman"/>
    </w:rPr>
    <w:tblPr/>
  </w:style>
  <w:style w:type="table" w:styleId="1047" w:customStyle="1">
    <w:name w:val="Grid Table 6 Colorful - Accent 2"/>
    <w:basedOn w:val="729"/>
    <w:uiPriority w:val="99"/>
    <w:rPr>
      <w:rFonts w:ascii="Times New Roman" w:hAnsi="Times New Roman"/>
    </w:rPr>
    <w:tblPr/>
  </w:style>
  <w:style w:type="table" w:styleId="1048" w:customStyle="1">
    <w:name w:val="网格表 6 彩色1_0"/>
    <w:basedOn w:val="729"/>
    <w:uiPriority w:val="99"/>
    <w:rPr>
      <w:rFonts w:ascii="Times New Roman" w:hAnsi="Times New Roman"/>
    </w:rPr>
    <w:tblPr/>
  </w:style>
  <w:style w:type="paragraph" w:styleId="1049" w:customStyle="1">
    <w:name w:val="标题 11"/>
    <w:basedOn w:val="718"/>
    <w:link w:val="1050"/>
    <w:qFormat/>
    <w:pPr>
      <w:ind w:firstLine="640"/>
      <w:jc w:val="center"/>
      <w:keepNext/>
      <w:spacing w:before="60" w:after="60" w:line="360" w:lineRule="auto"/>
      <w:outlineLvl w:val="0"/>
    </w:pPr>
    <w:rPr>
      <w:rFonts w:ascii="楷体_GB2312" w:eastAsia="楷体_GB2312"/>
      <w:color w:val="333333"/>
      <w:sz w:val="28"/>
      <w:szCs w:val="28"/>
    </w:rPr>
  </w:style>
  <w:style w:type="character" w:styleId="1050" w:customStyle="1">
    <w:name w:val="标题 1 Char"/>
    <w:link w:val="1049"/>
    <w:qFormat/>
    <w:rPr>
      <w:rFonts w:ascii="楷体_GB2312" w:hAnsi="Times New Roman" w:eastAsia="楷体_GB2312"/>
      <w:color w:val="333333"/>
      <w:sz w:val="28"/>
      <w:szCs w:val="28"/>
    </w:rPr>
  </w:style>
  <w:style w:type="paragraph" w:styleId="1051" w:customStyle="1">
    <w:name w:val="首行缩进"/>
    <w:basedOn w:val="718"/>
    <w:uiPriority w:val="99"/>
    <w:qFormat/>
    <w:pPr>
      <w:ind w:firstLine="480"/>
      <w:spacing w:line="360" w:lineRule="auto"/>
    </w:pPr>
    <w:rPr>
      <w:rFonts w:ascii="Calibri" w:hAnsi="Calibri" w:eastAsia="微软雅黑"/>
      <w:sz w:val="24"/>
      <w:szCs w:val="22"/>
      <w:lang w:val="zh-CN"/>
    </w:rPr>
  </w:style>
  <w:style w:type="paragraph" w:styleId="1052" w:customStyle="1">
    <w:name w:val="索引 411"/>
    <w:basedOn w:val="718"/>
    <w:next w:val="718"/>
    <w:uiPriority w:val="99"/>
    <w:semiHidden/>
    <w:qFormat/>
    <w:pPr>
      <w:ind w:left="1260"/>
    </w:pPr>
    <w:rPr>
      <w:szCs w:val="22"/>
    </w:rPr>
  </w:style>
  <w:style w:type="paragraph" w:styleId="1053" w:customStyle="1">
    <w:name w:val="标题 31"/>
    <w:basedOn w:val="718"/>
    <w:next w:val="718"/>
    <w:qFormat/>
    <w:pPr>
      <w:keepLines/>
      <w:keepNext/>
      <w:spacing w:before="260" w:after="260" w:line="416" w:lineRule="auto"/>
      <w:outlineLvl w:val="2"/>
    </w:pPr>
    <w:rPr>
      <w:b/>
      <w:bCs/>
      <w:sz w:val="32"/>
      <w:szCs w:val="32"/>
    </w:rPr>
  </w:style>
  <w:style w:type="paragraph" w:styleId="1054" w:customStyle="1">
    <w:name w:val="标题 5（有编号）（绿盟科技）"/>
    <w:basedOn w:val="718"/>
    <w:next w:val="718"/>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55" w:customStyle="1">
    <w:name w:val="正文缩进1"/>
    <w:basedOn w:val="718"/>
    <w:qFormat/>
    <w:pPr>
      <w:ind w:firstLine="420"/>
    </w:pPr>
  </w:style>
  <w:style w:type="paragraph" w:styleId="1056" w:customStyle="1">
    <w:name w:val="正文文本1"/>
    <w:basedOn w:val="718"/>
    <w:qFormat/>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5</cp:revision>
  <dcterms:created xsi:type="dcterms:W3CDTF">2026-08-14T01:56:00Z</dcterms:created>
  <dcterms:modified xsi:type="dcterms:W3CDTF">2026-08-17T03:34:42Z</dcterms:modified>
  <cp:version>1048576</cp:version>
</cp:coreProperties>
</file>