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723"/>
        <w:jc w:val="right"/>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编号：JSZC-321000-NJJD-G2026-0012 </w:t>
      </w:r>
      <w:r/>
    </w:p>
    <w:p>
      <w:pPr>
        <w:ind w:left="0" w:right="0" w:firstLine="720"/>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3"/>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江苏省扬州技师学院集成电路技术应用专业实训场地建设</w:t>
      </w:r>
      <w:r/>
    </w:p>
    <w:p>
      <w:pPr>
        <w:ind w:left="0" w:right="0" w:firstLine="0"/>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公开招标文件</w:t>
      </w:r>
      <w:r/>
    </w:p>
    <w:p>
      <w:pPr>
        <w:ind w:left="0" w:right="0" w:firstLine="720"/>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pStyle w:val="642"/>
        <w:ind w:left="0" w:right="0" w:firstLine="602"/>
        <w:spacing w:before="0" w:after="0" w:line="34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rPr>
          <w:rFonts w:ascii="SimSun" w:hAnsi="SimSun" w:eastAsia="SimSun" w:cs="SimSun"/>
          <w:b/>
          <w:color w:val="000000"/>
          <w:sz w:val="36"/>
        </w:rPr>
        <w:t xml:space="preserve"> </w:t>
      </w:r>
      <w:r/>
    </w:p>
    <w:p>
      <w:pPr>
        <w:ind w:left="0" w:right="0" w:firstLine="723"/>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采购人：江苏省扬州技师学院</w:t>
      </w:r>
      <w:r/>
    </w:p>
    <w:p>
      <w:pPr>
        <w:ind w:left="0" w:right="0" w:firstLine="562"/>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发放时间：2026年9月3日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center"/>
        <w:spacing w:before="0" w:after="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64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 招标公告 2</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第二章 投标供应商须知 </w:t>
      </w:r>
      <w:r>
        <w:rPr>
          <w:rFonts w:ascii="Calibri" w:hAnsi="Calibri" w:eastAsia="Calibri" w:cs="Calibri"/>
          <w:color w:val="000000"/>
          <w:sz w:val="22"/>
        </w:rPr>
        <w:t xml:space="preserve">6</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第三章 合同条款及格式 </w:t>
      </w:r>
      <w:r>
        <w:rPr>
          <w:rFonts w:ascii="Calibri" w:hAnsi="Calibri" w:eastAsia="Calibri" w:cs="Calibri"/>
          <w:color w:val="000000"/>
          <w:sz w:val="22"/>
        </w:rPr>
        <w:t xml:space="preserve">22</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第四章 项目需求 </w:t>
      </w:r>
      <w:r>
        <w:rPr>
          <w:rFonts w:ascii="Calibri" w:hAnsi="Calibri" w:eastAsia="Calibri" w:cs="Calibri"/>
          <w:color w:val="000000"/>
          <w:sz w:val="22"/>
        </w:rPr>
        <w:t xml:space="preserve">29</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第五章 评标方法及评标标准 </w:t>
      </w:r>
      <w:r>
        <w:rPr>
          <w:rFonts w:ascii="Calibri" w:hAnsi="Calibri" w:eastAsia="Calibri" w:cs="Calibri"/>
          <w:color w:val="000000"/>
          <w:sz w:val="22"/>
        </w:rPr>
        <w:t xml:space="preserve">36</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第六章 投标文件格式 </w:t>
      </w:r>
      <w:r>
        <w:rPr>
          <w:rFonts w:ascii="Calibri" w:hAnsi="Calibri" w:eastAsia="Calibri" w:cs="Calibri"/>
          <w:color w:val="000000"/>
          <w:sz w:val="22"/>
        </w:rPr>
        <w:t xml:space="preserve">41</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br w:type="page" w:clear="all"/>
      </w:r>
      <w:r/>
    </w:p>
    <w:p>
      <w:pPr>
        <w:pStyle w:val="638"/>
        <w:ind w:left="0" w:right="0" w:firstLine="723"/>
        <w:jc w:val="center"/>
        <w:spacing w:before="0" w:after="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招标公告</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42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4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项目概况</w:t>
            </w:r>
            <w:r/>
          </w:p>
          <w:p>
            <w:pPr>
              <w:ind w:left="0" w:right="0" w:firstLine="4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江苏省扬州技师学院集成电路技术应用专业实训场地建设</w:t>
            </w:r>
            <w:r>
              <w:rPr>
                <w:rFonts w:ascii="SimSun" w:hAnsi="SimSun" w:eastAsia="SimSun" w:cs="SimSun"/>
                <w:color w:val="000000"/>
                <w:sz w:val="22"/>
              </w:rPr>
              <w:t xml:space="preserve">的潜在投标供应商可在</w:t>
            </w:r>
            <w:r>
              <w:rPr>
                <w:rFonts w:ascii="SimSun" w:hAnsi="SimSun" w:eastAsia="SimSun" w:cs="SimSun"/>
                <w:color w:val="000000"/>
                <w:sz w:val="22"/>
                <w:u w:val="single"/>
              </w:rPr>
              <w:t xml:space="preserve">“中国政府采购网”、“江苏省政府采购网”、“扬州市政府采购网”</w:t>
            </w:r>
            <w:r>
              <w:rPr>
                <w:rFonts w:ascii="SimSun" w:hAnsi="SimSun" w:eastAsia="SimSun" w:cs="SimSun"/>
                <w:color w:val="000000"/>
                <w:sz w:val="22"/>
              </w:rPr>
              <w:t xml:space="preserve">自行免费下载招标文件，并于</w:t>
            </w:r>
            <w:r>
              <w:rPr>
                <w:rFonts w:ascii="SimSun" w:hAnsi="SimSun" w:eastAsia="SimSun" w:cs="SimSun"/>
                <w:color w:val="000000"/>
                <w:sz w:val="22"/>
                <w:u w:val="single"/>
              </w:rPr>
              <w:t xml:space="preserve">2026年9月24日上午10点00分</w:t>
            </w:r>
            <w:r>
              <w:rPr>
                <w:rFonts w:ascii="SimSun" w:hAnsi="SimSun" w:eastAsia="SimSun" w:cs="SimSun"/>
                <w:color w:val="000000"/>
                <w:sz w:val="22"/>
              </w:rPr>
              <w:t xml:space="preserve">（北京时间）前递交投标文件。</w:t>
            </w:r>
            <w:r/>
          </w:p>
        </w:tc>
      </w:tr>
    </w:tbl>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一、项目基本情况</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项目编号：JSZC-321000-NJJD-G2026-0012号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项目名称：江苏省扬州技师学院集成电路技术应用专业实训场地建设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预算金额：人民币300万元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最高限价（如有）：人民币300万元，</w:t>
      </w:r>
      <w:r>
        <w:rPr>
          <w:rFonts w:ascii="SimSun" w:hAnsi="SimSun" w:eastAsia="SimSun" w:cs="SimSun"/>
          <w:b/>
          <w:color w:val="000000"/>
          <w:sz w:val="22"/>
        </w:rPr>
        <w:t xml:space="preserve">投标报价超过最高限价的作无效投标处理。</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采购方式：公开招标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采购需求：具体详见招标文件第四章项目需求。</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合同履行期限：合同签订之日起45日历天内完成项目所有内容，并经采购人验收合格，正常投入使用。</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本项目（是/否）接受联合体投标：不接受联合体 </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二、申请人的资格要求</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（一）满足《中华人民共和国政府采购法》第二十二条规定；</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1.法人或者其他组织的营业执照等证明文件，自然人的身份证明；</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2.上一年度的财务状况报告（成立不满一年无需提供）；</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4.具备履行合同所必需的设备和专业技术能力的书面声明；</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5.参加政府采购活动前3年内在经营活动中没有重大违法记录的书面声明；</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6.供应商信用承诺函。</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（二）落实政府采购政策需满足的资格要求：</w:t>
      </w:r>
      <w:r>
        <w:rPr>
          <w:rFonts w:ascii="SimSun" w:hAnsi="SimSun" w:eastAsia="SimSun" w:cs="SimSun"/>
          <w:b/>
          <w:i/>
          <w:color w:val="000000"/>
          <w:sz w:val="22"/>
          <w:u w:val="single"/>
        </w:rPr>
        <w:t xml:space="preserve">本项目专门面向中小企业采购。投标供应商投标时须提供《中小企业声明函》，《中小企业声明函》不符合要求或未提供的，投标文件无效。</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（三）本项目的特定资格要求： </w:t>
      </w:r>
      <w:r>
        <w:rPr>
          <w:rFonts w:ascii="SimSun" w:hAnsi="SimSun" w:eastAsia="SimSun" w:cs="SimSun"/>
          <w:b/>
          <w:i/>
          <w:color w:val="000000"/>
          <w:sz w:val="22"/>
          <w:u w:val="single"/>
        </w:rPr>
        <w:t xml:space="preserve">无。</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三、获取招标文件</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时间：自招标公告发布起5个工作日</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地点：“中国政府采购网”、“江苏省政府采购网”“扬州市政府采购网”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方式：本项目采用网上注册登记方式。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售价：0元</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四、提交投标文件截止时间、开标时间和地点</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投标文件接收截止时间及开标时间：2026年9月24日上午10点00分（北京时间）</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w:t>
      </w:r>
      <w:r>
        <w:rPr>
          <w:rFonts w:ascii="SimSun" w:hAnsi="SimSun" w:eastAsia="SimSun" w:cs="SimSun"/>
          <w:b/>
          <w:color w:val="000000"/>
          <w:sz w:val="22"/>
        </w:rPr>
        <w:t xml:space="preserve">“苏采云”系统（网址：</w:t>
      </w:r>
      <w:hyperlink r:id="rId9" w:tooltip="http://jszfcg.jsczt.cn/%EF%BC%89/%E2%80%9C%E5%BC%80%E6%A0%87%E5%A4%A7%E5%8E%85/%E2%80%9D" w:history="1">
        <w:r>
          <w:rPr>
            <w:rStyle w:val="798"/>
            <w:rFonts w:ascii="SimSun" w:hAnsi="SimSun" w:eastAsia="SimSun" w:cs="SimSun"/>
            <w:b/>
            <w:color w:val="0000ee"/>
            <w:sz w:val="22"/>
            <w:u w:val="single"/>
          </w:rPr>
          <w:t xml:space="preserve">http://jszfcg.jsczt.cn/）</w:t>
        </w:r>
      </w:hyperlink>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五、公告期限</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自本公告发布之日起5个工作日。</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六、其他补充事宜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1、本采购文件中斜体下划线部分为实质性响应条件，为必须遵守的条件，如不满足将作无效投标文件处理。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i/>
          <w:color w:val="000000"/>
          <w:sz w:val="22"/>
          <w:u w:val="single"/>
        </w:rPr>
        <w:t xml:space="preserve">供应商须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ascii="SimSun" w:hAnsi="SimSun" w:eastAsia="SimSun" w:cs="SimSun"/>
          <w:color w:val="000000"/>
          <w:sz w:val="22"/>
        </w:rPr>
        <w:t xml:space="preserve">（投标文件中无需提供证明材料）</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3、本次招标不收取投标保证金；不收取履约保证金。</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5、供应商如确定参加投标，可自行下载采购文件及有关资料，按照《操作手册》进行注册，领取CA和办理电子签章，并按《操作手册》要求制作、上传电子投标文件，技术支持联系方式：13813140731。</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6、请供应商在开标前登录谷歌浏览器进入不见面大厅，并准备好耳麦和摄像设备。因供应商网络与电源不稳定、未按要求配置上述设备、上述设备发生故障等自身原因，导致投标失败，供应商自行承担其后果。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7、潜在供应商对采购文件项目需求部分的询问、质疑请向采购人提出，由采购人负责答复。</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8、有关本次采购的事项若存在变动或修改，敬请及时关注 “扬州市政府采购网”、“江苏省政府采购网”、“中国政府采购网”发布的信息。</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10、供应商对于投标产品的包装应按照“财办库〔2020〕123号《关于印发《商品包装政府采购需求标准（试行）》、《快递包装政府采购需求标准（试行）》的通知》”执行；</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11、落实好政府采购履约资金扶持政策。中标/成交供应商可凭政府采购合同办理融资贷款，详见江苏政府采购网“政采贷”专栏；</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w:t>
      </w:r>
      <w:r>
        <w:rPr>
          <w:rFonts w:ascii="SimSun" w:hAnsi="SimSun" w:eastAsia="SimSun" w:cs="SimSun"/>
          <w:color w:val="000000"/>
          <w:sz w:val="22"/>
        </w:rPr>
        <w:t xml:space="preserve">先采购节能产品、环境标志产品。</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13、潜在供应商访问政府采购管理交易系统（苏采云）的网络地址和方法：</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（2）“CA数字证书”的获取：供应商需办理CA锁，“苏采云”系统目前仅支持“苏采云”系统下的政务CA，省内各地区办理的“苏采云”系统下的政务CA全省通用。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（3）“CA数字证书”的办理材料以及供应商操作手册详见：</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http://zfcg.yangzhou.gov.cn/zfcg/xzzx/202309/4d7de1f7865f4a2894fc22bc452f94d8.shtml。</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（4）潜在供应商访问“苏采云”系统的网络地址和方法：“苏采云”系统的网址：http://jszfcg.jsczt.cn/。</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（5）采购文件（后缀名为“.kedt”）、供应商操作手册及政府采购客户端工具也可通过“苏采云”系统--已报名项目--报名详情页面内相应链接进行下载。</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（6）招标代理机构（采购代理机构）将数据电文形式的采购文件加载至“苏采云”系统，供潜在供应商下载或者查阅。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（7）苏采云系统使用谷歌浏览器参与不见面开标。</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七、对本次招标提出询问，请按以下方式联系</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名称：江苏省扬州技师学院</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地址：江苏省扬州市邗江区职中路31号</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联系方式：徐老师 0514-87116390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2.采购代理机构信息</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名称：南京金鼎工程造价评估有限责任公司扬州分公司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地址：扬州市国展路29号（星耀天地商务中心）2幢9层903室</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联系方式：王石磊 18762317185</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3.项目联系方式</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联系方式：王石磊 18762317185</w:t>
        <w:br w:type="page" w:clear="all"/>
      </w:r>
      <w:r/>
    </w:p>
    <w:p>
      <w:pPr>
        <w:pStyle w:val="638"/>
        <w:ind w:left="0" w:right="0" w:firstLine="723"/>
        <w:jc w:val="center"/>
        <w:spacing w:before="0" w:after="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投标供应商须知</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1、招标方式</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本次招标采取公开招标方式，本招标文件仅适用于本项目。</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2、投标供应商</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本招标文件中“供应商”，即“投标供应商”，是指参加投标竞争，并符合招标文件规定资格条件的法人、其他组织或者自然人。</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2.2合格的投标供应商</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满足招标公告中供应商的资格条件要求的规定。</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 满足本文件实质性条款的规定。</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3、适用法律</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本次招标及由此产生的合同受中华人民共和国有关的法律法规制约和保护。</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4、投标费用</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投标供应商应自行承担所有与参加投标有关的费用，无论投标过程中的做法和结果如 何，代理机构在任何情况下均无义务和责任承担这些费用。</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4.2因本次采购预算中已包含代理服务费，故由中标供应商支付代理服务费。本次采购由中标供应商在领取中标通知书前根据《苏招协【2022】002号文》标准一次性支付给招标代理机构代理服务费。</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4.3专家评审费按照（扬财购〔2020〕40号）文《扬州市财政局关于进一步规范扬州市政府采购专家评审费标准的通知》标准执行。</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5、招标文件的约束力</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投标供应商一旦参加本项目采购活动，即被认为接受了本招标文件的规定和约束。</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6、招标文件构成</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招标文件有以下部分组成：</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（1）招标公告</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（2）投标供应商须知</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（3）合同条款及格式</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（4）项目需求</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（5）评标方法与评标标准</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（6）投标文件格式</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请仔细检查招标文件是否齐全，如有缺漏请立即与代理机构联系解决。</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招标的最小单位是包。招标服务数量及技术要求中未分包的，供应商对要求提供的服务不得部分投标；招标服务数量及技术要求中已经分包的，应当以包为单位投标。</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 招标文件如果要求供应商提交备选投标方案的，供应商可以提交备选方案；否则，备选方案将被拒绝。</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 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7、招标文件的澄清</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任何要求对招标文件进行澄清的投标供应商，应在投标截止日期的十日前按招标公告中的通讯地址，以书面形式通知代理机构。</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8、招标文件的修改</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在投标截止时间前，代理机构可以对招标文件进行修改。</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8.2代理机构在招标文件要求提交投标文件截止时间前，有权按照法定要求推迟投标截止时间和开标时间。</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8.3招标文件的修改将在“中国政府采购网”、“江苏省政府采购网”、“扬州市政府采购网”公布，补充文件将作为招标文件的组成部分，并对投标供应商具有约束力。</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9、投标文件的语言、度量衡单位、货币</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9.1投标供应商提交的投标文件以及投标供应商与代理机构就有关投标的所有来往通知、函件和文件均应使用简体中文。</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除技术性能另有规定外，投标文件所使用的度量衡单位，均须采用国家法定计量单位。</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9.3投标供应商应使用人民币报价。</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10、投标文件构成</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10.1投标文件由以下部分组成</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（1）资格审查响应对照表</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（2）符合性审查响应对照表</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（3）非实质性响应对照表</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（4）开标一览表 </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（5）分项报价表 </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（6）技术参数响应及偏离表 </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（7）商务条款响应及偏离表 </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（8）其他 （投标供应商认为有必要提供的声明和文件，如有自拟并自行添加）</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10.2投标供应商应当根据招标文件要求编制投标文件，投标文件应对招标文件提出的要求和条件作出响应，并在相应的投标文件中逐条标明满足与否。</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11、证明投标供应商资格及符合招标文件规定的文件</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11.1投标供应商应按要求提交资格证明文件及符合招标文件规定的文件。</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11.2投标供应商应提交证明其有资格参加投标和中标后有能力独立履行合同的文件。</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11.3投标供应商除必须具有履行合同所需提供的产品或服务的能力外，还必须具备相应的财务、技术方面的能力。</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11.4投标供应商应提交根据合同要求提供的证明服务质量合格以及符合招标文件规定的证明文件。</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11.5证明投标供应商所提供服务与招标文件的要求相一致的文件可以是手册、图纸、文字资料和数据。</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12、分项报价表</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投标供应商应按照招标文件规定格式填报分项报价表，每项服务只允许有一个报价，任何有选择的报价将不予接受。</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 标的物</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采购人需求的服务等。</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12.3有关费用处理</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招标报价采用总承包方式，投标供应商的报价应包含为完成本项目所有服务内容所涉及的一切费用</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12.4其它费用处理</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招标文件未列明，而投标供应商认为必需的费用也需列入报价。</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12.5投标货币</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投标文件中的服务单价和总价无特殊规定的采用人民币报价，以元为单位标注。招标文件中另有规定的按规定执行。</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13、技术参数响应及偏离表、商务条款响应及偏离表说明</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对招标文件中的技术与商务条款要求逐项作出响应或偏离，并说明原因；</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投标供应商认为需要的其他技术文件或说明。</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14、服务承诺及服务机构、人员的情况介绍</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14.1投标供应商的服务承诺应按不低于招标文件中商务要求的标准。</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14.2提供投标供应商有关服务的管理制度、服务机构的分布情况、服务人员的数量、素质、技术水平及售后服务的反应能力。</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15、投标函和开标一览表</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投标供应商应按照招标文件中提供的格式完整、正确填写投标函、开标一览表。</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 开标一览表中的价格应与投标文件中分项报价表中的价格一致，如不一致，不作为无效投标处理，但评标时按开标一览表中价格为准。</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16、投标有效期</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投标有效期为开标之日起六十（</w:t>
      </w:r>
      <w:r>
        <w:rPr>
          <w:rFonts w:ascii="SimSun" w:hAnsi="SimSun" w:eastAsia="SimSun" w:cs="SimSun"/>
          <w:b/>
          <w:color w:val="000000"/>
          <w:sz w:val="22"/>
        </w:rPr>
        <w:t xml:space="preserve">60</w:t>
      </w:r>
      <w:r>
        <w:rPr>
          <w:rFonts w:ascii="SimSun" w:hAnsi="SimSun" w:eastAsia="SimSun" w:cs="SimSun"/>
          <w:color w:val="000000"/>
          <w:sz w:val="22"/>
        </w:rPr>
        <w:t xml:space="preserve">）天。投标有效期比规定短的将被视为非响应性投标而予以拒绝。</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 在特殊情况下，代理机构于原投标有效期满之前，可向投标供应商提出延长投标有效期的要求。这种要求与答复均应采用书面形式。投标供应商可以拒绝代理机构的这一要求而放弃投标；同意延长投标有效期的投标供应商既不能要求也不允许修改其投标文件。本招标文件受投标有效期约束的所有权利与义务均延长至新的有效期。</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17、投标文件的递交</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电子投标文件的递交投标供应商应当按照《操作手册》规定，在投标截止时间前制作并上传电子投标文件。</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17.2政府采购管理交易系统（苏采云）相关要求是本招标文件的组成部分。</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17.3投标供应商应对CA 证书妥善保管，如被他人盗用投标，因此带来的结果均由投标供应商自行承担。</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17.4投标供应商应当对招标文件提出的要求和条件作出实质性响应，并在电子投标系统逐条应答。</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17.5投标供应商应对要求提供的资格证明文件（如资质证书、资格证书）、技术资料（如白皮书、彩页、手册、检测报告等）扫描上传至投标系统。</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17.6投标供应商应当在招标文件要求提交投标文件的截止时间前，将投标文件提交至“苏采云”系统，逾期提交的投标文件，“苏采云”系统将自动拒收。</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17.7各投标供应商应在规定时间内凭CA证书进行网上解密。</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18、投标截止日期</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18.1 投标供应商上传电子投标文件的时间不得迟于招标公告中规定的投标截止时间。</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投标供应商应充分考虑到网络环境、网络带宽等风险因素，如因投标供应商自身原因造成的电子投标文件上传不成功由投标供应商自行承担全部责任。</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代理机构可以按照规定，通过修改招标文件延长投标截止日期，在此情况下，投标供应商的所有权利和义务以及投标供应商受制的截止日期均应以延长后新的截止日期为准。</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19、投标文件的拒收</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19.1代理机构拒绝接收在其规定的投标截止时间后上传的任何投标文件。</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20、投标文件的撤回和修改</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投标文件的撤回</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 电子投标文件的撤回</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投标供应商可在投标截止时间前，撤回其电子投标文件，具体操作方法见《操作手册》。</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 投标供应商撤回电子投标文件，则认为其不再参与本项目投标活动。</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投标文件的修改</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投标供应商可在投标截止时间前，对其电子投标文件进行修改，具体操作方法见《操作手册》。</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在投标截止时间之后，投标供应商不得对其电子投标文件作任何修改。</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 在投标截止时间至招标文件中规定的投标有效期满之间的这段时间内，投标供应商不得撤回其投标。</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21、开标</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代理机构将在招标公告中规定的时间和地点组织公开开标。投标供应商应当按照《操作手册》规定，参加开标活动。投标供应商未参加开标的，视同认可开标结果。</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2"/>
        </w:rPr>
        <w:t xml:space="preserve">21.2开标仪式由代理机构组织。“政府采购管理交易系统（苏采云）”将自动对项目进行开标，并宣读各投标供应商的《开标一览表》。</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21.3投标供应商在开标过程中涉及到的投标文件解密、开标结果确认等工作，应按照《操作手册》规定执行。</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22、评标委员会</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开标后，代理机构将立即组织评标委员会（以下简称评委会）进行评标。</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 评委会由采购人代表和有关技术、经济等方面的专家组成，且人员构成符合政府采购有关规定。</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22.3评委会独立工作，负责评审所有投标文件并确定中标候选人。</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23、评标过程的保密与公正</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23.1公开开标后，直至签订合同之日止，凡是与审查、澄清、评价和比较投标的有关资料以及授标建议等，采购人、评委、代理机构工作人员均不得向投标供应商或与评标无关的其他人员透露。</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23.2在评标过程中，投标供应商不得以任何行为影响评标过程，否则其投标文件将被作为无效投标文件。</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 在评标期间，代理机构将设专门工作人员与投标供应商联系。</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 代理机构和评委会不向未中标的投标供应商解释未中标原因，也不公布评标过程中的相关细节。</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 采用综合评分法的项目，未中标的投标供应商可于中标结果公告期限届满之日起通过“政府采购管理交易系统（苏采云）”查看自己的评审得分及排序情况。</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24、投标的澄清</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24.1评标期间，为有助于对投标文件的审查、评价和比较，评委会有权以电子函件形式要求投标供应商对其投标文件进行澄清，但并非对每个投标供应商都作澄清要求。</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接到评委会澄清要求的投标供应商应派人按评委会规定的时间和格式在“政府采购管理交易系统（苏采云）”中做出澄清，澄清的内容作为投标文件的补充部分，但投标的价格和实质性的内容不得做任何更改。具体操作方式见《操作手册》。</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24.3 接到评委会澄清要求的投标供应商如未按规定做出澄清，其风险由投标供应商自行承担。</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25、对投标文件的初审</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25.1投标文件初审分为资格审查和符合性审查。</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25.1.1资格审查：依据法律法规和招标文件的规定，由采购人对投标文件中的资格证明文件进行审查。并将审查结论以书面形式向评委会反馈。</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在进行资格性审查的同时，将在“信用中国”网站（www.creditchina.gov.cn）、“中国政府采购网"(www.ccgp.gov.cn)对投标供应商是否被列入失信被执行人、重大税收违法案件当事人名单、政府采购严重失信行为记录名单情况进行查询，以确定投标供应商是否具备投标资格。查询结果将以网页打印的形式留存并归档。</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25.1.2符合性检查：依据招标文件的规定，由评委会从投标文件的有效性、完整性和对招标文件的响应程度进行审查，以确定是否对招标文件的实质性要求作出响应。</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25.1.3 未通过资格审查或符合性审查的投标供应商，代理机构将在“政府采购管理交易系统（苏采云）”中告知未通过资格审查或符合性审查的原因，评审结束后，代理机构将不再告知未通过资格审查或符合性审查的原因。</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招标文件规定的实质性要求存在负偏离，或者在实质上与招标文件不一致，而且限制了合同中买方（采购人）和见证方（代理机构）的权利或投标供应商的义务，纠正这些偏离或保留将会对其他实质性响应要求的投标供应商的竞争地位产生不公正的影响。是否属于重大偏离由评委会按照少数服从多数的原则作出结论。评委决定投标文件的响应性只根据投标文件本身的内容，而不寻求外部的证据。</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25.3如果投标文件实质上没有响应招标文件的要求，评委会将予以拒绝，投标供应商不得通过修改或撤销不合要求的偏离或保留而使其投标成为实质性响应的投标。</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25.4评委会将对确定为实质性响应的投标进行进一步审核，看其是否有计算上或累加上的算术错误，修正错误的原则如下：</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（1）投标文件中开标一览表内容与投标文件中相应内容不一致的，以开标一览表为准。</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（2）大写金额与小写金额不一致的，以大写金额为准。</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同时出现两种以上错误的，按照前款规定的顺序修正。</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评委会将按上述修正错误的方法调整投标文件中的投标报价，并通过“政府采购管理交易系统（苏采云）”告知投标供应商，调整后的价格应对投标供应商具有约束力。如果投标供应商不接受修正后的价格，则其投标将被拒绝。</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25.6评委会将允许修正投标文件中不构成重大偏离的、微小的、非正规的、不一致的或不规则的地方，但这些修改不能影响任何投标供应商相应的名次排列。</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25.7采用最低评标价法的采购项目，提供相同品牌产品的不同投标供应商参加同一合同项下投标的，以其中通过资格审查、符合性审查且报价最低的参加评标；报价相同的，由评委会按照招标文件规定的方式确定，招标文件未规定的通过随机抽取的方式确定一个参加评标的投标供应商，其他投标无效。</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综合评分法的采购项目，提供相同品牌产品且通过资格审查、符合性审查的不同投标供应商参加同一合同项下投标的，按一家投标供应商计算，评审后得分最高的同品牌投标供应商获得中标供应商推荐资格；评审得分相同的，由评委会根据招标文件规定的方式确定，招标文件未规定的采取随机抽取的方式确定一个中标候选人，其他同品牌投标供应商不作为中标候选人。</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非单一产品采购项目，招标文件中将载明其中的核心产品。多家投标供应商提供的核心产品品牌相同的，按前两款规定处理。</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25.8 投标供应商在开、评标全过程中应保持通讯畅通，并安排专人与代理机构及评委会联系。</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26、无效投标、废标及投标供应商不足三家的处理</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26.1无效投标条款</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 投标供应商未成功解密电子投标文件的。</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26.1.2 投标供应商未按照招标文件要求上传电子投标文件的。</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26.1.3投标供应商在报价时采用选择性报价的。</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26.1.4投标供应商不具备招标文件中规定资格要求的。</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26.1.5投标供应商的报价超过了采购预算或最高限价的。</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26.1.6未通过符合性审查的。</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26.1.7不符合招标文件中规定的其他实质性要求和条件的（</w:t>
      </w:r>
      <w:r>
        <w:rPr>
          <w:rFonts w:ascii="SimSun" w:hAnsi="SimSun" w:eastAsia="SimSun" w:cs="SimSun"/>
          <w:i/>
          <w:color w:val="000000"/>
          <w:sz w:val="22"/>
          <w:u w:val="single"/>
        </w:rPr>
        <w:t xml:space="preserve">本招标文件中斜体且有下划线部分为实质性要求和条件</w:t>
      </w:r>
      <w:r>
        <w:rPr>
          <w:rFonts w:ascii="SimSun" w:hAnsi="SimSun" w:eastAsia="SimSun" w:cs="SimSun"/>
          <w:color w:val="000000"/>
          <w:sz w:val="22"/>
        </w:rPr>
        <w:t xml:space="preserve">）。</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26.1.8 投标供应商被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26.1.9  投标文件含有采购人不能接受的附加条件的。</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26.1.10 评委会认为投标供应商的报价明显低于其他通过符合性审查投标供应商的报价，有可能影响产品质量或者不能诚信履约的，将通过“政府采购管理交易系统（苏采云）”要求其在合理的时间内提供说明，必要时提交相关证明材料；投标供应商不能证明其报价合理性的，评委会应当将其作为无效投标处理。</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26.1.11 本项目采购产品被财政部、国家发改委、生态环境部等列入“节能产品品目清单”、“环境标志产品品目清单”强制采购范围，而投标供应商所投标产品不在强制采购范围内的。</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26.1.12 投标文件未按照招标文件要求加盖电子签章。</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26.1.13其他法律、法规及本招标文件规定的属无效投标的情形。</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26.2废标条款：</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26.2.1符合专业条件的供应商或者对招标文件作实质响应的供应商不足三家的。26.2.2出现影响采购公正的违法、违规行为的。</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26.2.3因重大变故，采购任务取消的。</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26.2.4评委会认定招标文件存在歧义、重大缺陷导致评审工作无法进行。</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 投标截止时间结束后参加投标的供应商不足三家的处理：</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26.3.1如出现投标截止时间结束后参加投标的供应商或者在评标期间对招标文件做出实质性响应的供应商不足三家情况，按政府采购相关规定执行。</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27、确定中标单位</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27.1评委会根据本招标文件规定评标方法与评标标准向采购人推荐出中标候选人。</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 采购人应根据评委会推荐的中标候选人确定中标供应商。</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27.3代理机构将在“中国政府采购网”、“江苏省政府采购网”、“扬州市政府采购网”发布中标公告，公告期限为1个工作日。</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27.4若有充分证据证明，中标供应商出现下列情况之一的，一经查实，将被取消中标资格：</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27.4.1提供虚假材料谋取中标的；</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27.4.2向采购人、代理机构行贿或者提供其他不正当利益的；</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27.4.3恶意竞争，投标总报价明显低于其自身合理成本且又无法提供证明的；</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27.4.4属于本文件规定的无效条件，但在评标过程中又未被评委会发现的；</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27.4.5与采购人或者其他投标供应商恶意串通的；</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27.4.6采取不正当手段诋毁、排挤其他供应商的；</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27.4.7不符合法律、法规的规定的。</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 有下列情形之一的，视为投标供应商串通投标，投标无效：</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27.5.1不同投标供应商的投标文件由同一单位或者个人编制。</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27.5.2不同投标供应商委托同一单位或者个人办理投标事宜。</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27.5.3 不同投标供应商的投标文件载明的项目管理成员或者联系人员为同一人。</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27.5.4不同投标供应商的投标文件异常一致或者投标报价呈规律性差异。</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27.5.5不同投标供应商的投标文件相互混装。</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28、质疑处理</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28.1提出质疑的供应商应当是参与所质疑项目采购活动的供应商。潜在供应商依法获取其可质疑的采购文件的，可以对采购文件提出质疑。</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对项目需求部分的质疑，潜在供应商应向采购人提出，由采购人负责答复。</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28.2投标供应商认为采购文件、采购过程和中标或成交结果使自己的权益受到损害的，可以在知道或应知其权益受到损害之日起7个工作日内，以书面形式向采购人或代理机构提出质疑。</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28.2.1对采购文件提出质疑的，应当在获取采购文件之日或者采购文件公告期限届满之日起7个工作日内提出。</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28.2.2对采购过程提出质疑的，为各采购程序环节结束之日起7个工作日内提出。</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28.2.3对中标结果提出质疑的，为中标结果公告期限届满之日起7个工作日内提出。</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 代理机构及采购人只接收以纸质原件形式送达的质疑。</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采购人质疑接收人及联系方式见招标文件第一章。</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28.6代理机构收到质疑申请后，将对质疑的形式和内容进行审查，如质疑内容、格式不符合规定，代理机构将告知质疑人进行补正。</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28.7质疑人应当在法定质疑期限内进行补正并重新提交质疑函。</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 以下情形的质疑不予受理</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28.8.1 内容不符合《政府采购质疑和投诉办法》第十二条规定的质疑。</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28.8.2 超出政府采购法定期限的质疑。</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28.8.3 以传真、电子邮件等方式递交的非原件形式的质疑。</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28.8.4 未参加投标活动的供应商或在投标活动中自身权益未受到损害的供应商所提出的质疑。</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28.8.5供应商组成联合体参加投标，联合体中任何一方或多方未按要求签字、盖章、加盖公章的质疑。</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28.10代理机构应当在收到供应商的书面质疑后7个工作日内作出答复，并以书面形式通知质疑供应商和其他有关供应商，但答复的内容不得涉及商业秘密。</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29、中标通知书</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29.l 中标结果确定后，代理机构将向中标供应商发出中标通知书。</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 中标供应商可在“政府采购管理交易系统（苏采云）”中标通知书下载模块中自行下载中标通知书。</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29.3中标通知书将是合同的一个组成部分。对采购人和中标供应商均具有法律效力。中标通知书发出后，采购人改变中标结果的，或者中标供应商放弃中标项目的，应当依法承担法律责任。</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30、签订合同</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30.l中标供应商应在中标通知书发出之日起三十日内，按照招标文件确定的事项与采购人签订政府采购合同。</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 招标文件、中标供应商的投标文件及招标过程中有关澄清、承诺文件均应作为合同附件。</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30.3 合同在“政府采购管理交易系统（苏采云）”中签订，签订合同后，</w:t>
      </w:r>
      <w:r>
        <w:rPr>
          <w:rFonts w:ascii="SimSun" w:hAnsi="SimSun" w:eastAsia="SimSun" w:cs="SimSun"/>
          <w:i/>
          <w:color w:val="000000"/>
          <w:sz w:val="22"/>
          <w:u w:val="single"/>
        </w:rPr>
        <w:t xml:space="preserve">中标供应商不得将货物或服务及其他服务进行转包</w:t>
      </w:r>
      <w:r>
        <w:rPr>
          <w:rFonts w:ascii="SimSun" w:hAnsi="SimSun" w:eastAsia="SimSun" w:cs="SimSun"/>
          <w:color w:val="000000"/>
          <w:sz w:val="22"/>
        </w:rPr>
        <w:t xml:space="preserve">。未经采购人同意，中标供应商也不得采用分包的形式履行合同，否则采购人有权终止合同。转包或分包造成采购人损失的，中标供应商应承担赔偿责任。</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30.4采购人不得向中标供应商提出任何不合理的要求作为签订合同的条件，不得与中标供应商私下订立背离合同实质性内容的协议。所签订的合同不得对招标文件确定事项和中标供应商投标文件作实质性修改。</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31、电子投标文件要求</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31.1政府采购管理交易系统（苏采云）相关要求是本招标文件的组成部分。</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31.2投标供应商应对CA 证书妥善保管，如被他人盗用投标，因此带来的结果均由投标供应商自行承担。</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31.3投标供应商应当对招标文件提出的要求和条件作出实质性响应，并在电子投标系统逐条应答。</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31.4投标供应商应对要求提供的资格证明文件（如资质证书、资格证书）、技术资料（如白皮书、彩页、手册、检测报告等）扫描上传至投标系统。</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32、提交投标文件的截止时间（投标截止时间）</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32.1投标供应商应当在招标文件要求提交投标文件的截止时间前，将投标文件提交至“苏采云”系统，逾期提交的投标文件，“苏采云”系统将自动拒收。</w:t>
      </w:r>
      <w:r/>
    </w:p>
    <w:p>
      <w:pPr>
        <w:ind w:left="0" w:right="0" w:firstLine="44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32.2各投标供应商应在规定时间内凭CA证书进行网上解密。</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33、其他</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 依据《政府采购促进中小企业发展管理办法》享受享受扶持政策获得政府采购合同的，小微企业不得将合同分包给大中型企业，中型企业不得将合同分包给大型企业。</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br w:type="page" w:clear="all"/>
      </w:r>
      <w:r/>
    </w:p>
    <w:p>
      <w:pPr>
        <w:pStyle w:val="638"/>
        <w:ind w:left="0" w:right="0" w:firstLine="723"/>
        <w:jc w:val="center"/>
        <w:spacing w:before="0" w:after="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合同条款及格式</w:t>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以下为成交后签订本项目合同的通用条款，中标供应商不得提出实质性的修改，关于专用条款将由采购人与中标供应商结合本项目具体情况协商后签订。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江苏省扬州技师学院集成电路技术应用专业实训场地建设</w:t>
      </w:r>
      <w:r/>
    </w:p>
    <w:p>
      <w:pPr>
        <w:ind w:left="0" w:right="0" w:firstLine="0"/>
        <w:jc w:val="center"/>
        <w:spacing w:before="0" w:after="0"/>
        <w:tabs>
          <w:tab w:val="left" w:pos="63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采购合同</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JSZC-321000-NJJD-G2026-0012</w:t>
      </w:r>
      <w:r/>
    </w:p>
    <w:p>
      <w:pPr>
        <w:ind w:left="0" w:right="0" w:firstLine="0"/>
        <w:jc w:val="center"/>
        <w:spacing w:before="0" w:after="0"/>
        <w:tabs>
          <w:tab w:val="left" w:pos="63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0" w:after="0"/>
        <w:tabs>
          <w:tab w:val="left" w:pos="63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32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甲方：江苏省扬州技师学院</w:t>
      </w:r>
      <w:r/>
    </w:p>
    <w:p>
      <w:pPr>
        <w:ind w:left="0" w:right="0" w:firstLine="32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乙方：</w:t>
      </w:r>
      <w:r/>
    </w:p>
    <w:p>
      <w:pPr>
        <w:ind w:left="0" w:right="0" w:firstLine="32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见证方：南京金鼎工程造价评估有限责任公司扬州分公司</w:t>
      </w:r>
      <w:r/>
    </w:p>
    <w:p>
      <w:pPr>
        <w:ind w:left="1050" w:right="0" w:firstLine="27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1050" w:right="0" w:firstLine="59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1050" w:right="0" w:firstLine="59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w:t>
      </w: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   月   日</w:t>
      </w:r>
      <w:r/>
    </w:p>
    <w:p>
      <w:pPr>
        <w:ind w:left="0" w:right="0" w:firstLine="422"/>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采购合同</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项目名称：江苏省扬州技师学院集成电路技术应用专业实训场地建设</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编号：JSZC-321000-NJJD-G2026-0012号 </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甲方（采购人/买方）：江苏省扬州技师学院</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乙方（供应商/卖方）：</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见证方：南京金鼎工程造价评估有限责任公司扬州分公司</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根据《中华人民共和国政府采购法》和《中华人民共和国民法典》等法律法规的规定，甲乙双方按照本项目招标结果签订本合同。</w:t>
      </w:r>
      <w:r/>
    </w:p>
    <w:p>
      <w:pPr>
        <w:ind w:left="0" w:right="0" w:firstLine="422"/>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1.合同标的</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乙方根据甲方需求，提供下列产品：</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名称、规格及数量等要求详见招投标文件。</w:t>
      </w:r>
      <w:r/>
    </w:p>
    <w:p>
      <w:pPr>
        <w:ind w:left="0" w:right="0" w:firstLine="422"/>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2.合同总金额</w:t>
      </w:r>
      <w:r/>
    </w:p>
    <w:p>
      <w:pPr>
        <w:ind w:left="315" w:right="0" w:firstLine="105"/>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本合同金额为（大写）：_______________________________元人民币（¥_____元）。</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本合同总金额包括乙方提供产品费用、安装调试费、测试验收费、培训费、 运行维护费用、税金及其他有关的为完成本项目发生的所有费用，招标文件中另有规定的除外。</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在招标文件中未列明，而乙方认为履行本合同必需的费用也包含在合同总金额中。</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本合同总金额还包含乙方提供的伴随服务/售后服务费用。</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本合同签订后：甲方需追加与合同标的相同的货物和服务的，在不改变合同其他条款的前提下，可以与乙方协商签订补充合同，但所有补充合同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ind w:left="0" w:right="0" w:firstLine="422"/>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3.组成本合同的有关文件</w:t>
      </w:r>
      <w:r/>
    </w:p>
    <w:p>
      <w:pPr>
        <w:ind w:left="315" w:right="0" w:firstLine="105"/>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3.1乙方应按招标文件规定的时间向甲方提供使用产品的有关技术资料。</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ind w:left="315" w:right="0" w:firstLine="105"/>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关于本项目政府采购的招投标文件或与本次采购活动方式相适应的文件及有关附件是本合同不可分割的组成部分，这些文件包括但不限于：</w:t>
      </w:r>
      <w:r/>
    </w:p>
    <w:p>
      <w:pPr>
        <w:ind w:left="359" w:right="0" w:hanging="359"/>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（1）招标文件；                   （2）投标产品配置与报价文件；</w:t>
      </w:r>
      <w:r/>
    </w:p>
    <w:p>
      <w:pPr>
        <w:ind w:left="359" w:right="0" w:hanging="359"/>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（3）供货一览表；                 （4）技术参数响应表；</w:t>
      </w:r>
      <w:r/>
    </w:p>
    <w:p>
      <w:pPr>
        <w:ind w:left="359" w:right="0" w:hanging="359"/>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（5）服务承诺；                   （6）中标通知书；</w:t>
      </w:r>
      <w:r/>
    </w:p>
    <w:p>
      <w:pPr>
        <w:ind w:left="359" w:right="0" w:hanging="359"/>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（7）甲乙双方补充协议；           （8）乙方投标文件。</w:t>
      </w:r>
      <w:r/>
    </w:p>
    <w:p>
      <w:pPr>
        <w:ind w:left="315" w:right="0" w:firstLine="105"/>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4.知识产权保证</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乙方保证甲方在使用、接受本合同产品和服务或其任何一部分时，不受第三方提出侵犯其专利权、版权、商标权和工业设计权等知识产权的起诉。一旦出现侵权，由乙方负全部责任。</w:t>
      </w:r>
      <w:r/>
    </w:p>
    <w:p>
      <w:pPr>
        <w:ind w:left="0" w:right="0" w:firstLine="422"/>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5.产权保证</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乙方保证所交付的产品的所有权无任何抵押、查封等权利瑕疵。</w:t>
      </w:r>
      <w:r/>
    </w:p>
    <w:p>
      <w:pPr>
        <w:ind w:left="315" w:right="0" w:firstLine="105"/>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6.履约保证金</w:t>
      </w:r>
      <w:r>
        <w:rPr>
          <w:rFonts w:ascii="SimSun" w:hAnsi="SimSun" w:eastAsia="SimSun" w:cs="SimSun"/>
          <w:color w:val="000000"/>
          <w:sz w:val="21"/>
        </w:rPr>
        <w:t xml:space="preserve">： 无</w:t>
      </w:r>
      <w:r/>
    </w:p>
    <w:p>
      <w:pPr>
        <w:ind w:left="315" w:right="0" w:firstLine="105"/>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7.转包或分包</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本合同禁止转包，本合同范围内的项目，应由乙方直接供应的，不得转让他人供应。</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经甲方同意，乙方可以依法采取分包方式履行合同，但是分包方式履行的，乙方应就采购项目向甲方负全责。</w:t>
      </w:r>
      <w:r/>
    </w:p>
    <w:p>
      <w:pPr>
        <w:ind w:left="315" w:right="0" w:firstLine="105"/>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8.质保期等其他约定</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为货物从验收合格之日起</w:t>
      </w:r>
      <w:r>
        <w:rPr>
          <w:rFonts w:ascii="SimSun" w:hAnsi="SimSun" w:eastAsia="SimSun" w:cs="SimSun"/>
          <w:color w:val="000000"/>
          <w:sz w:val="21"/>
          <w:u w:val="single"/>
        </w:rPr>
        <w:t xml:space="preserve">  叁</w:t>
      </w:r>
      <w:r>
        <w:rPr>
          <w:rFonts w:ascii="SimSun" w:hAnsi="SimSun" w:eastAsia="SimSun" w:cs="SimSun"/>
          <w:color w:val="000000"/>
          <w:sz w:val="21"/>
        </w:rPr>
        <w:t xml:space="preserve">年。在质保期内因供应商责任而产生的质量问题，由其负责无偿返修。不能维修的，整件免费更换。由于采购人人为原因造成的损坏供应商只收配件费不收人工费。</w:t>
      </w:r>
      <w:r/>
    </w:p>
    <w:p>
      <w:pPr>
        <w:ind w:left="315" w:right="0" w:firstLine="105"/>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9.合同履行期限及地点</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9.1 </w:t>
      </w:r>
      <w:r>
        <w:rPr>
          <w:rFonts w:ascii="SimSun" w:hAnsi="SimSun" w:eastAsia="SimSun" w:cs="SimSun"/>
          <w:color w:val="000000"/>
          <w:sz w:val="21"/>
        </w:rPr>
        <w:t xml:space="preserve">合同履行期：</w:t>
      </w:r>
      <w:r>
        <w:rPr>
          <w:rFonts w:ascii="SimSun" w:hAnsi="SimSun" w:eastAsia="SimSun" w:cs="SimSun"/>
          <w:color w:val="000000"/>
          <w:sz w:val="21"/>
          <w:u w:val="single"/>
        </w:rPr>
        <w:t xml:space="preserve">合同签订之日起45日历天内完成项目所有内容，并经采购人验收合格，正常投入使用。</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9.2地点：</w:t>
      </w:r>
      <w:r>
        <w:rPr>
          <w:rFonts w:ascii="SimSun" w:hAnsi="SimSun" w:eastAsia="SimSun" w:cs="SimSun"/>
          <w:color w:val="000000"/>
          <w:sz w:val="21"/>
          <w:u w:val="single"/>
        </w:rPr>
        <w:t xml:space="preserve">甲方指定地点，运送所产生的所有费用由乙方承担。</w:t>
      </w:r>
      <w:r/>
    </w:p>
    <w:p>
      <w:pPr>
        <w:ind w:left="0" w:right="0" w:firstLine="422"/>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10.价款支付</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本合同项下所有款项均以人民币支付。 </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本合同项下的采购资金由甲方支付，付款前乙方向甲方开具发票。</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付款方式：</w:t>
      </w:r>
      <w:r>
        <w:rPr>
          <w:rFonts w:ascii="SimSun" w:hAnsi="SimSun" w:eastAsia="SimSun" w:cs="SimSun"/>
          <w:b/>
          <w:color w:val="000000"/>
          <w:sz w:val="21"/>
        </w:rPr>
        <w:t xml:space="preserve">合同签订后，甲方自收到发票之日起15日内，支付乙方合同总价30%的预付款；产品到甲方指定地点，安装调试并经验收合格后，甲方自收到发票之日起15日内，支付乙方合同余款。</w:t>
      </w:r>
      <w:r/>
    </w:p>
    <w:p>
      <w:pPr>
        <w:ind w:left="315" w:right="0" w:firstLine="105"/>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11.税费</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本合同执行中相关的一切税费均由乙方负担。</w:t>
      </w:r>
      <w:r/>
    </w:p>
    <w:p>
      <w:pPr>
        <w:ind w:left="315" w:right="0" w:firstLine="105"/>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12.质量保证及售后服务</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所有产品必须是厂商原装、全新的产品，符合国家及该产品的出厂标准、安全标准及环保标准。</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12.2设备外观清洁，标记编号以及盘面显示等字体清晰，明确。</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12.3对于影响设备正常工作的必要组成部分，无论在技术规范中指出与否，报价人都应提供在响应文件中明确列出。</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12.4所有产品、设备提供出厂合格证等质量证明文件。</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12.5所提供的产品必须是在中国范围内合法销售，原装、全新、并完全符合采购人要求的产品。</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12.6乙方应保证其提供的产品在正确安装、正常使用和保养条件下，在其使用寿命内具有良好的性能。验收后，在质量保证期内，乙方应对由于设计、工艺或材料的缺陷所发生的任何不足或故障负责，所需费用由乙方承担。</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12.7乙方提供的货物在质保期内因货物本身的质量问题发生故障，乙方应负责免费更换或维修、退货。具体按以下办法处理：</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（1）更换：无法维修的或者在质保期内同一设备出现2次及以上的故障，乙方应更换，并由乙方承担所发生的全部费用。</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（2）贬值处理：由甲乙双方合议定价。</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退货处理：若通过维修或更换无法解决的，或者通过维修或更换后在质保期内仍然有故障的，甲方有权退货，乙方应退还甲方支付的合同款，同时应承担该货物的直接费用（运输、保险、检验、货款利息及银行手续费等）。</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12.8 质保期内乙方提供免费上门服务，在质保期内设置7×24小时技术支持热线电话（固话或手机）。如电话响应无法解决，则12小时内到达现场，24小时内修复完成；如果设备故障在检修24小时后仍无法排除，乙方应在此后48小时内提供不低于故障设备规格型号档次的备用设备供采购人使用，直至故障设备修复。乙方未按上述规定解决故障的，采购人可采取必要的补救措施，但风险和费用全部由乙方承担。</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12.9在质保期内，乙方应对产品出现的质量及安全问题负责处理解决并承担一切费用。</w:t>
      </w:r>
      <w:r/>
    </w:p>
    <w:p>
      <w:pPr>
        <w:ind w:left="315" w:right="0" w:firstLine="105"/>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13.交货、调试和验收</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13.1乙方应当在合同生效后</w:t>
      </w:r>
      <w:r>
        <w:rPr>
          <w:rFonts w:ascii="SimSun" w:hAnsi="SimSun" w:eastAsia="SimSun" w:cs="SimSun"/>
          <w:color w:val="000000"/>
          <w:sz w:val="21"/>
          <w:u w:val="single"/>
        </w:rPr>
        <w:t xml:space="preserve"> 30 </w:t>
      </w:r>
      <w:r>
        <w:rPr>
          <w:rFonts w:ascii="SimSun" w:hAnsi="SimSun" w:eastAsia="SimSun" w:cs="SimSun"/>
          <w:color w:val="000000"/>
          <w:sz w:val="21"/>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货到甲方后，甲乙双方须在工作</w:t>
      </w:r>
      <w:r>
        <w:rPr>
          <w:rFonts w:ascii="SimSun" w:hAnsi="SimSun" w:eastAsia="SimSun" w:cs="SimSun"/>
          <w:color w:val="000000"/>
          <w:sz w:val="21"/>
          <w:u w:val="single"/>
        </w:rPr>
        <w:t xml:space="preserve"> 15 </w:t>
      </w:r>
      <w:r>
        <w:rPr>
          <w:rFonts w:ascii="SimSun" w:hAnsi="SimSun" w:eastAsia="SimSun" w:cs="SimSun"/>
          <w:color w:val="000000"/>
          <w:sz w:val="21"/>
        </w:rPr>
        <w:t xml:space="preserve">日内初步验收，甲方对乙方提交的货物依据招标文件上的技术规格要求和国家有关质量标准进行现场初步验收，外观、说明书、包装符合招标文件技术要求的，给予签收，初步验收不合格的不予签收。</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乙方按照招标文件要求负责产品安装并培训甲方的使用操作人员，乙方在甲方使用前进行调试，调试直到符合技术要求甲方才做最终验收。</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对技术复杂的货物，甲方可请国家认可的专业检测机构参与初步验收及最终验收，并由其出具质量检测报告。验收时乙方必须在现场，验收完毕后作出验收结果报告；若聘请第三方中立机构验收，如检测结果合格，检测费由甲方承担；不合格，由乙方承担。</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甲乙双方关于调试和验收的其他约定：</w:t>
      </w:r>
      <w:r/>
    </w:p>
    <w:p>
      <w:pPr>
        <w:ind w:left="315" w:right="0" w:firstLine="105"/>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14.包装、发运及运输</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由乙方负责按国家相关标准进行货物包装，货物的包装均应有良好的防湿、防锈、防潮、防雨、防腐及防碰撞的措施，所有货物在开箱检验时必须完好，无破损，配置与装箱单相符。货物外观清洁，标记编号以及字体清晰、明确。凡由于包装不良造成的损失和由此产生的费用均由乙方承担。</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乙方发货时，产品使用说明书、检验证明书、随配附件和工具以及清单一并附于货物内。</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乙方在发运手续办理完毕后24小时内或货到甲方48小时前通知甲方，以准备甲方接货。根据甲方通知的时间和指定的地点，乙方负责安排送货、装卸、清点、堆放，设备初验收合格前的保管工作由乙方负责，费用由乙方承担。</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在交付甲方前发生的风险均由乙方负责。</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 在规定的交付期限内由乙方送达甲方指定的地点，经初步验收即视为交付。</w:t>
      </w:r>
      <w:r/>
    </w:p>
    <w:p>
      <w:pPr>
        <w:ind w:left="315" w:right="0" w:firstLine="105"/>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15.违约责任</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甲方无正当理由拒绝初验收和终验收的，甲方应按未付款金额每日万分之五向乙方支付违约金。</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甲方无故逾期验收和无故逾期办理支付手续的，甲方应按逾期付款金额每日万分之五向乙方支付违约金。</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15.3乙方违约，在消除违约情形前，应按总额每日万分之五向甲方支付违约金，甲方可以从待付货款中扣除。如经甲方通知后仍未改正的，甲方有权解除本合同，同时乙方应按照合同总金额的</w:t>
      </w:r>
      <w:r>
        <w:rPr>
          <w:rFonts w:ascii="SimSun" w:hAnsi="SimSun" w:eastAsia="SimSun" w:cs="SimSun"/>
          <w:color w:val="000000"/>
          <w:sz w:val="21"/>
          <w:u w:val="single"/>
        </w:rPr>
        <w:t xml:space="preserve"> 30 </w:t>
      </w:r>
      <w:r>
        <w:rPr>
          <w:rFonts w:ascii="SimSun" w:hAnsi="SimSun" w:eastAsia="SimSun" w:cs="SimSun"/>
          <w:color w:val="000000"/>
          <w:sz w:val="21"/>
        </w:rPr>
        <w:t xml:space="preserve">%向甲方支付违约金。如造成甲方损失超过违约金的，超出部分由乙方继续承担赔偿责任。</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15.4乙方应按照合同约定交付货物，逾期交付或者不完整交付的，每逾期一日按照合同总额的千分之</w:t>
      </w:r>
      <w:r>
        <w:rPr>
          <w:rFonts w:ascii="SimSun" w:hAnsi="SimSun" w:eastAsia="SimSun" w:cs="SimSun"/>
          <w:color w:val="000000"/>
          <w:sz w:val="21"/>
          <w:u w:val="single"/>
        </w:rPr>
        <w:t xml:space="preserve"> 一 </w:t>
      </w:r>
      <w:r>
        <w:rPr>
          <w:rFonts w:ascii="SimSun" w:hAnsi="SimSun" w:eastAsia="SimSun" w:cs="SimSun"/>
          <w:color w:val="000000"/>
          <w:sz w:val="21"/>
        </w:rPr>
        <w:t xml:space="preserve">向甲方支付违约金，直至相应设备交付为止。乙方付款逾期超过</w:t>
      </w:r>
      <w:r>
        <w:rPr>
          <w:rFonts w:ascii="SimSun" w:hAnsi="SimSun" w:eastAsia="SimSun" w:cs="SimSun"/>
          <w:color w:val="000000"/>
          <w:sz w:val="21"/>
          <w:u w:val="single"/>
        </w:rPr>
        <w:t xml:space="preserve"> 15 </w:t>
      </w:r>
      <w:r>
        <w:rPr>
          <w:rFonts w:ascii="SimSun" w:hAnsi="SimSun" w:eastAsia="SimSun" w:cs="SimSun"/>
          <w:color w:val="000000"/>
          <w:sz w:val="21"/>
        </w:rPr>
        <w:t xml:space="preserve">天（含）以上，甲方有权解除合同，同时乙方应按照合同总金额的</w:t>
      </w:r>
      <w:r>
        <w:rPr>
          <w:rFonts w:ascii="SimSun" w:hAnsi="SimSun" w:eastAsia="SimSun" w:cs="SimSun"/>
          <w:color w:val="000000"/>
          <w:sz w:val="21"/>
          <w:u w:val="single"/>
        </w:rPr>
        <w:t xml:space="preserve"> 30 </w:t>
      </w:r>
      <w:r>
        <w:rPr>
          <w:rFonts w:ascii="SimSun" w:hAnsi="SimSun" w:eastAsia="SimSun" w:cs="SimSun"/>
          <w:color w:val="000000"/>
          <w:sz w:val="21"/>
        </w:rPr>
        <w:t xml:space="preserve">%向甲方支付违约金。如造成甲方损失超过违约金的，超出部分由乙方继续承担赔偿责任。</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乙方所交的全部或部分品种、型号、规格、技术参数、质量不符合合同规定及招标文件规定标准的，乙方更换但逾期交货的（甲方拒绝接受的除外），按乙方逾期交货处理；乙方拒绝更换的，甲方可选择解除本合同或本合同的一部分，并可追究乙方的其他违约责任。</w:t>
      </w:r>
      <w:r/>
    </w:p>
    <w:p>
      <w:pPr>
        <w:ind w:left="0" w:right="0" w:firstLine="420"/>
        <w:jc w:val="both"/>
        <w:spacing w:before="157"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15.6</w:t>
      </w:r>
      <w:r>
        <w:rPr>
          <w:rFonts w:ascii="SimSun" w:hAnsi="SimSun" w:eastAsia="SimSun" w:cs="SimSun"/>
          <w:color w:val="000000"/>
          <w:sz w:val="21"/>
        </w:rPr>
        <w:t xml:space="preserve">合同生效后，发现乙方投标属虚假承诺，或经权威部门监测提供的货物不能满足采购文件要求，造成合同无法继续履行的，还应向甲方支付不少于合同总价</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30 %</w:t>
      </w:r>
      <w:r>
        <w:rPr>
          <w:rFonts w:ascii="SimSun" w:hAnsi="SimSun" w:eastAsia="SimSun" w:cs="SimSun"/>
          <w:color w:val="000000"/>
          <w:sz w:val="21"/>
        </w:rPr>
        <w:t xml:space="preserve">赔偿金。</w:t>
      </w:r>
      <w:r/>
    </w:p>
    <w:p>
      <w:pPr>
        <w:ind w:left="315" w:right="0" w:firstLine="105"/>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16.不可抗力事件处理</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left="315" w:right="0" w:firstLine="105"/>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17.争议解决</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因项目质量问题发生争议的，可在国家认可的质量检测机构对质量进行鉴定。符合标准的，鉴定费由甲方承担；不符合质量标准的，鉴定费由乙方承担。</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因履行本合同引起的或与本合同有关的争议，甲、乙双方应首先通过友好协商解决；如果协商不能解决争议，甲乙双方同意采取下列两种方式的第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种方式解决争议：</w:t>
      </w:r>
      <w:r/>
    </w:p>
    <w:p>
      <w:pPr>
        <w:ind w:left="0" w:right="0" w:firstLine="315"/>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（1）向甲方所在地有管辖权的人民法院提起诉讼，适用中华人民共和国法律；</w:t>
      </w:r>
      <w:r/>
    </w:p>
    <w:p>
      <w:pPr>
        <w:ind w:left="420" w:right="0" w:hanging="105"/>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（2）向扬州仲裁委员会按其仲裁规则申请仲裁。</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若甲乙双方任何一方都没有选择解除合同的，为避免扩大损失，在诉讼或仲裁期间，双方应继续履行。</w:t>
      </w:r>
      <w:r/>
    </w:p>
    <w:p>
      <w:pPr>
        <w:ind w:left="315" w:right="0" w:firstLine="105"/>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18.合同其他</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乙方应诚实信用，严格按照招标文件要求和投标承诺履行合同，不向甲方进行商业贿赂或者提供不正当利益。</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合同经双方法定代表人或授权代表签字并加盖单位公章，并经见证方盖章后生效。</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18.2本合同未尽事宜，遵照《中华人民共和国民法典》有关条文执行。</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本合同正本一式伍份，具有同等法律效力，甲方、乙方各执贰份、见证方执一份。</w:t>
      </w:r>
      <w:r/>
    </w:p>
    <w:p>
      <w:pPr>
        <w:ind w:left="0" w:right="0" w:firstLine="420"/>
        <w:jc w:val="both"/>
        <w:spacing w:before="15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hanging="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21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甲方：乙方：</w:t>
        <w:tab/>
        <w:tab/>
        <w:tab/>
        <w:tab/>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w:t>
        <w:tab/>
        <w:tab/>
        <w:tab/>
        <w:tab/>
        <w:t xml:space="preserve">             地址： </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法定代表人或授权代表：法定代表人或授权代表：</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联系电话：联系电话：</w:t>
      </w:r>
      <w:r/>
    </w:p>
    <w:p>
      <w:pPr>
        <w:ind w:left="0" w:right="0" w:firstLine="63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日期：年月日日期：年月日</w:t>
      </w:r>
      <w:r/>
    </w:p>
    <w:p>
      <w:pPr>
        <w:ind w:left="0" w:right="0" w:firstLine="63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3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21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w:t>
        <w:tab/>
        <w:tab/>
        <w:tab/>
        <w:tab/>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w:t>
        <w:tab/>
        <w:tab/>
        <w:tab/>
        <w:tab/>
        <w:t xml:space="preserve">                    </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联系电话：</w:t>
      </w:r>
      <w:r/>
    </w:p>
    <w:p>
      <w:pPr>
        <w:ind w:left="0" w:right="0" w:firstLine="63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63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br w:type="page" w:clear="all"/>
      </w:r>
      <w:r/>
    </w:p>
    <w:p>
      <w:pPr>
        <w:pStyle w:val="638"/>
        <w:ind w:left="0" w:right="0" w:firstLine="723"/>
        <w:jc w:val="center"/>
        <w:spacing w:before="0" w:after="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项目需求</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一、项目概况:</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1、项目名称：江苏省扬州技师学院集成电路技术应用专业实训场地建设  </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2、最高限价：人民币300万元，</w:t>
      </w:r>
      <w:r>
        <w:rPr>
          <w:rFonts w:ascii="SimSun" w:hAnsi="SimSun" w:eastAsia="SimSun" w:cs="SimSun"/>
          <w:b/>
          <w:color w:val="000000"/>
          <w:sz w:val="22"/>
        </w:rPr>
        <w:t xml:space="preserve">投标报价超过最高限价的作无效投标处理。</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3、合同履行期限：合同签订之日起45日历天内完成项目所有内容，并经采购人验收合格，正常投入使用。</w:t>
      </w:r>
      <w:r/>
    </w:p>
    <w:p>
      <w:pPr>
        <w:ind w:left="0" w:right="0" w:firstLine="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二、技术参数</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2"/>
        <w:gridCol w:w="987"/>
        <w:gridCol w:w="6957"/>
        <w:gridCol w:w="788"/>
      </w:tblGrid>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技术参数要求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数量</w:t>
            </w:r>
            <w:r/>
          </w:p>
        </w:tc>
      </w:tr>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集成电路实训一体机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一、总体功能要求</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★（1）配套清洗台、匀胶机、热板、接触式光刻机、显影台、等离子体系统、磁控溅射台、离子注入、步进式光刻机、电子束蒸发、CVD、氧化扩散炉共12套虚拟仿真系统。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（2）各虚拟仿真系统采用C/S架构运行，能够与数据中心进行用户、任务、操作数据等信息交互。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（3）系统采用实时三维仿真技术，支持设备模型自由旋转、缩放、平移、视角切换及场景漫游，能够观察设备结构、操作部件和工艺现象。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（4）各系统均包含设备认知、理论学习和实训操作内容；设备认知应通过文字、图片或三维模型展示设备用途、主要结构、基本原理和安全注意事项。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★（5）系统至少包含教学、练习、考核3种模式。教学模式提供步骤说明和操作提示；练习模式支持自主操作；考核模式根据考核标准自动评分。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▲（6）教学和练习模式应支持下一步指引、返回上一步及关键部件高亮提示；返回上一步后，相关设备状态、参数及步骤状态应同步恢复。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▲（7）系统应能够识别操作顺序错误、必要步骤遗漏、参数超出允许范围等情况；教学模式提供纠正引导。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★（8）考核模式下，各系统应采集操作步骤、步骤时间、参数名称、参数设定值、参数修改记录、操作结果、错误类型和步骤得分等数据，并上传至数据中心。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（9）系统应支持通过账号登录，显示用户姓名、当前任务等必要信息，并具备安全退出功能。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★（10）系统运行过程中，触摸操作面板与数字孪生模型显示器应保持状态联动，如摄像头升降、晶圆搬运及工艺运行等，实现操作指令与三维模型的联动反馈。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★（11）系统应支持各仿真设备独立开展实训，也应支持由数据中心按照自定义工艺流程顺序联动调用。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二、接触式光刻机虚拟仿真系统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1.系统采用C/S架构，支持实验内容如下：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（1）支持光刻机曝光设置：模拟还原真实机台曝光设置，支持在虚拟场景下选择曝光的模式和曝光时间；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（2）支持板架安装：至少支持3种尺寸的板架选择，并展示相应的安装动画，具备已安装的校验功能；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（3）支持光刻版安装：至少支持3种尺寸的光刻版选择和安装正反面的选择，展示相应的安装动画，具备已安装的校验功能；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（4）支持晶圆安装：在晶圆安装过程中，具备模拟真实场景下光刻机的三点对齐功能；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模拟光刻机曝光对准功能：有扰动量设置，可模拟实际对准过程的误差，支持从上下左右四个不同方向移动显微镜；支持从上下、左右、顺时针旋转和逆时针旋转三个方面移动晶圆的位置；经过多次调整后，最终能呈现光刻版与晶圆的对准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（6）模拟光刻机摄像头移动速度调整，支持慢速和快速两种模式；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（7）支持曝光图案上标记位置功能，可通过快捷键在当前位置和标记位置之间来回切换；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（8）支持载片台、晶圆、板架的卸载流程，需和前期的安装流程相对应，以动画形式展示；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21"/>
              </w:rPr>
              <w:t xml:space="preserve">▲</w:t>
            </w:r>
            <w:r>
              <w:rPr>
                <w:rFonts w:ascii="SimSun" w:hAnsi="SimSun" w:eastAsia="SimSun" w:cs="SimSun"/>
                <w:color w:val="000000"/>
                <w:sz w:val="21"/>
              </w:rPr>
              <w:t xml:space="preserve">（9）通过与触摸屏按键的配合操作，实现吸附、对准、加速、定位等功能需求。根据操作步骤提示，按下触摸屏上的目标按键，显示器内容联动变化，该交互场景需不少于8次；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21"/>
              </w:rPr>
              <w:t xml:space="preserve">▲</w:t>
            </w:r>
            <w:r>
              <w:rPr>
                <w:rFonts w:ascii="SimSun" w:hAnsi="SimSun" w:eastAsia="SimSun" w:cs="SimSun"/>
                <w:color w:val="000000"/>
                <w:sz w:val="21"/>
              </w:rPr>
              <w:t xml:space="preserve">（10）支持正面光刻和背面光刻模式切换，切换后摄像头画面、对准方式及操作流程应同步变化。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21"/>
              </w:rPr>
              <w:t xml:space="preserve">▲</w:t>
            </w:r>
            <w:r>
              <w:rPr>
                <w:rFonts w:ascii="SimSun" w:hAnsi="SimSun" w:eastAsia="SimSun" w:cs="SimSun"/>
                <w:color w:val="000000"/>
                <w:sz w:val="21"/>
              </w:rPr>
              <w:t xml:space="preserve">（11）背面光刻模式下支持通过不少于2个底部摄像头画面对光刻版和晶圆进行监控，并支持辅助对准操作。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（12）考核模式下：系统应记录板架尺寸、光刻版尺寸、曝光模式、曝光时间、对准调整次数、最终对准偏差及错误操作等数据。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（13）考核模式下：应能够根据安装顺序、部件选择、对准精度、曝光参数和操作规范自动评分。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三、磁控溅射台虚拟仿真系统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（1）支持破真空操作流程，并动态展示腔体压力、阀门状态等变化。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21"/>
              </w:rPr>
              <w:t xml:space="preserve">▲</w:t>
            </w:r>
            <w:r>
              <w:rPr>
                <w:rFonts w:ascii="SimSun" w:hAnsi="SimSun" w:eastAsia="SimSun" w:cs="SimSun"/>
                <w:color w:val="000000"/>
                <w:sz w:val="21"/>
              </w:rPr>
              <w:t xml:space="preserve">（2）支持完整的靶材安装流程，至少包含打开腔盖、断开气管、拆卸套筒、拆装紧固件、放置靶材及恢复连接等环节。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（3）靶材库支持不少于15种材料，并展示材料名称。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（4）支持完整的样品装载、取出和腔体关闭流程，并通过三维动画展示关键操作。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（5）支持抽真空操作流程，动态展示腔体压力变化。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★（6）支持选择和编辑工艺程序，可用程序不少于20种，程序范围覆盖直流和射频两种类型。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（7）支持设置溅射方式、功率、气体流量、腔体压力、预溅射时间及沉积时间等参数。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21"/>
              </w:rPr>
              <w:t xml:space="preserve">▲</w:t>
            </w:r>
            <w:r>
              <w:rPr>
                <w:rFonts w:ascii="SimSun" w:hAnsi="SimSun" w:eastAsia="SimSun" w:cs="SimSun"/>
                <w:color w:val="000000"/>
                <w:sz w:val="21"/>
              </w:rPr>
              <w:t xml:space="preserve">（8）支持通过动画展示粒子碰撞、二次电子、磁场约束、靶材溅射及粒子沉积等原理动画。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（9）支持完整的靶材、样品卸载流程，且卸载顺序应与设备状态和真空状态联动。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（10）考核模式下：系统应记录靶材选择、程序名称、参数修改、操作顺序、操作内容及考核得分。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四、步进式光刻机虚拟仿真系统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（1）支持晶圆盒上料、机械手取片、曝光和下片等基本操作流程。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（2）支持设置曝光时间、曝光区域、步进间距等参数。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21"/>
              </w:rPr>
              <w:t xml:space="preserve">▲</w:t>
            </w:r>
            <w:r>
              <w:rPr>
                <w:rFonts w:ascii="SimSun" w:hAnsi="SimSun" w:eastAsia="SimSun" w:cs="SimSun"/>
                <w:color w:val="000000"/>
                <w:sz w:val="21"/>
              </w:rPr>
              <w:t xml:space="preserve">（3）支持展示曝光视场移动和分区域步进曝光过程。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（4）考核模式下：系统应记录上片流程、曝光参数、步进间距、曝光区域、操作顺序等信息，并纳入自动评分。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五、等离子体虚拟仿真系统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21"/>
              </w:rPr>
              <w:t xml:space="preserve">▲（</w:t>
            </w:r>
            <w:r>
              <w:rPr>
                <w:rFonts w:ascii="SimSun" w:hAnsi="SimSun" w:eastAsia="SimSun" w:cs="SimSun"/>
                <w:color w:val="000000"/>
                <w:sz w:val="21"/>
              </w:rPr>
              <w:t xml:space="preserve">1</w:t>
            </w:r>
            <w:r>
              <w:rPr>
                <w:rFonts w:ascii="STZhongsong" w:hAnsi="STZhongsong" w:eastAsia="STZhongsong" w:cs="STZhongsong"/>
                <w:color w:val="000000"/>
                <w:sz w:val="21"/>
              </w:rPr>
              <w:t xml:space="preserve">）支持晶圆上片、腔体关闭、抽真空、工艺参数设置、刻蚀运行、破真空和下片等操作流程。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21"/>
              </w:rPr>
              <w:t xml:space="preserve">（</w:t>
            </w:r>
            <w:r>
              <w:rPr>
                <w:rFonts w:ascii="SimSun" w:hAnsi="SimSun" w:eastAsia="SimSun" w:cs="SimSun"/>
                <w:color w:val="000000"/>
                <w:sz w:val="21"/>
              </w:rPr>
              <w:t xml:space="preserve">2</w:t>
            </w:r>
            <w:r>
              <w:rPr>
                <w:rFonts w:ascii="STZhongsong" w:hAnsi="STZhongsong" w:eastAsia="STZhongsong" w:cs="STZhongsong"/>
                <w:color w:val="000000"/>
                <w:sz w:val="21"/>
              </w:rPr>
              <w:t xml:space="preserve">）支持不少于</w:t>
            </w:r>
            <w:r>
              <w:rPr>
                <w:rFonts w:ascii="SimSun" w:hAnsi="SimSun" w:eastAsia="SimSun" w:cs="SimSun"/>
                <w:color w:val="000000"/>
                <w:sz w:val="21"/>
              </w:rPr>
              <w:t xml:space="preserve">8</w:t>
            </w:r>
            <w:r>
              <w:rPr>
                <w:rFonts w:ascii="STZhongsong" w:hAnsi="STZhongsong" w:eastAsia="STZhongsong" w:cs="STZhongsong"/>
                <w:color w:val="000000"/>
                <w:sz w:val="21"/>
              </w:rPr>
              <w:t xml:space="preserve">种刻蚀气体气体选择，并支持单一气体或预设气体组合。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21"/>
              </w:rPr>
              <w:t xml:space="preserve">（</w:t>
            </w:r>
            <w:r>
              <w:rPr>
                <w:rFonts w:ascii="SimSun" w:hAnsi="SimSun" w:eastAsia="SimSun" w:cs="SimSun"/>
                <w:color w:val="000000"/>
                <w:sz w:val="21"/>
              </w:rPr>
              <w:t xml:space="preserve">3</w:t>
            </w:r>
            <w:r>
              <w:rPr>
                <w:rFonts w:ascii="STZhongsong" w:hAnsi="STZhongsong" w:eastAsia="STZhongsong" w:cs="STZhongsong"/>
                <w:color w:val="000000"/>
                <w:sz w:val="21"/>
              </w:rPr>
              <w:t xml:space="preserve">）支持设置气体流量、腔体压力、射频功率、刻蚀时间等参数。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TZhongsong" w:hAnsi="STZhongsong" w:eastAsia="STZhongsong" w:cs="STZhongsong"/>
                <w:color w:val="000000"/>
                <w:sz w:val="21"/>
              </w:rPr>
              <w:t xml:space="preserve">（</w:t>
            </w:r>
            <w:r>
              <w:rPr>
                <w:rFonts w:ascii="SimSun" w:hAnsi="SimSun" w:eastAsia="SimSun" w:cs="SimSun"/>
                <w:color w:val="000000"/>
                <w:sz w:val="21"/>
              </w:rPr>
              <w:t xml:space="preserve">4</w:t>
            </w:r>
            <w:r>
              <w:rPr>
                <w:rFonts w:ascii="STZhongsong" w:hAnsi="STZhongsong" w:eastAsia="STZhongsong" w:cs="STZhongsong"/>
                <w:color w:val="000000"/>
                <w:sz w:val="21"/>
              </w:rPr>
              <w:t xml:space="preserve">）支持单次刻蚀和循环刻蚀两种工艺类型；循环刻蚀应支持设置循环次数及不同阶段参数。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21"/>
              </w:rPr>
              <w:t xml:space="preserve">▲（</w:t>
            </w:r>
            <w:r>
              <w:rPr>
                <w:rFonts w:ascii="SimSun" w:hAnsi="SimSun" w:eastAsia="SimSun" w:cs="SimSun"/>
                <w:color w:val="000000"/>
                <w:sz w:val="21"/>
              </w:rPr>
              <w:t xml:space="preserve">5</w:t>
            </w:r>
            <w:r>
              <w:rPr>
                <w:rFonts w:ascii="STZhongsong" w:hAnsi="STZhongsong" w:eastAsia="STZhongsong" w:cs="STZhongsong"/>
                <w:color w:val="000000"/>
                <w:sz w:val="21"/>
              </w:rPr>
              <w:t xml:space="preserve">）</w:t>
            </w:r>
            <w:r>
              <w:rPr>
                <w:rFonts w:ascii="SimSun" w:hAnsi="SimSun" w:eastAsia="SimSun" w:cs="SimSun"/>
                <w:color w:val="000000"/>
                <w:sz w:val="21"/>
              </w:rPr>
              <w:t xml:space="preserve">支持通过动画展示</w:t>
            </w:r>
            <w:r>
              <w:rPr>
                <w:rFonts w:ascii="STZhongsong" w:hAnsi="STZhongsong" w:eastAsia="STZhongsong" w:cs="STZhongsong"/>
                <w:color w:val="000000"/>
                <w:sz w:val="21"/>
              </w:rPr>
              <w:t xml:space="preserve">气体进入、等离子体形成、粒子运动及材料刻蚀等过程。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21"/>
              </w:rPr>
              <w:t xml:space="preserve">（</w:t>
            </w:r>
            <w:r>
              <w:rPr>
                <w:rFonts w:ascii="SimSun" w:hAnsi="SimSun" w:eastAsia="SimSun" w:cs="SimSun"/>
                <w:color w:val="000000"/>
                <w:sz w:val="21"/>
              </w:rPr>
              <w:t xml:space="preserve">6</w:t>
            </w:r>
            <w:r>
              <w:rPr>
                <w:rFonts w:ascii="STZhongsong" w:hAnsi="STZhongsong" w:eastAsia="STZhongsong" w:cs="STZhongsong"/>
                <w:color w:val="000000"/>
                <w:sz w:val="21"/>
              </w:rPr>
              <w:t xml:space="preserve">）</w:t>
            </w:r>
            <w:r>
              <w:rPr>
                <w:rFonts w:ascii="SimSun" w:hAnsi="SimSun" w:eastAsia="SimSun" w:cs="SimSun"/>
                <w:color w:val="000000"/>
                <w:sz w:val="21"/>
              </w:rPr>
              <w:t xml:space="preserve">考核模式下：</w:t>
            </w:r>
            <w:r>
              <w:rPr>
                <w:rFonts w:ascii="STZhongsong" w:hAnsi="STZhongsong" w:eastAsia="STZhongsong" w:cs="STZhongsong"/>
                <w:color w:val="000000"/>
                <w:sz w:val="21"/>
              </w:rPr>
              <w:t xml:space="preserve">系统应记录工艺气体、流量、压力、功率、时间、循环次数、操作顺序等信息，并纳入自动评分。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六、电子束蒸发虚拟仿真系统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（1）支持样品装载、蒸发材料选择、腔体关闭、抽真空、工艺参数设置、蒸发运行、破真空和下片等流程。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（2）支持设置蒸发材料、目标膜厚、蒸发速率等工艺参数。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（3）支持动态展示腔体真空变化。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（4）考核模式下：系统应记录蒸发材料、蒸发速率、运行时间、操作顺序等信息，并纳入自动评分。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七、离子注入虚拟仿真系统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（1）支持设置注入元素、注入时间、注入能量、注入剂量、气体压力和注入角度等参数。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21"/>
              </w:rPr>
              <w:t xml:space="preserve">▲</w:t>
            </w:r>
            <w:r>
              <w:rPr>
                <w:rFonts w:ascii="SimSun" w:hAnsi="SimSun" w:eastAsia="SimSun" w:cs="SimSun"/>
                <w:color w:val="000000"/>
                <w:sz w:val="21"/>
              </w:rPr>
              <w:t xml:space="preserve">（2）支持晶圆上料、机械臂取片、晶圆定位、工艺运行和下料等操作流程，并可从多个视角观察机械臂装片过程。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21"/>
              </w:rPr>
              <w:t xml:space="preserve">▲</w:t>
            </w:r>
            <w:r>
              <w:rPr>
                <w:rFonts w:ascii="SimSun" w:hAnsi="SimSun" w:eastAsia="SimSun" w:cs="SimSun"/>
                <w:color w:val="000000"/>
                <w:sz w:val="21"/>
              </w:rPr>
              <w:t xml:space="preserve">（3）支持通过动画展示离子产生、加速、质量分析、束流传输及离子进入晶圆的过程。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（4）考核模式下：系统应记录注入元素、能量、剂量、角度、时间、装片流程和操作顺序，并纳入自动评分。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八、清洗台虚拟仿真系统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21"/>
              </w:rPr>
              <w:t xml:space="preserve">▲</w:t>
            </w:r>
            <w:r>
              <w:rPr>
                <w:rFonts w:ascii="SimSun" w:hAnsi="SimSun" w:eastAsia="SimSun" w:cs="SimSun"/>
                <w:color w:val="000000"/>
                <w:sz w:val="21"/>
              </w:rPr>
              <w:t xml:space="preserve">（1）模拟晶圆制造过程中的清洗工艺，设备组成至少包含清洗槽、花篮或晶圆夹具、去离子水、氮气枪、超声波清洗机等可交互部件。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（2）支持有机清洗和无机清洗，并支持配置标准清洗流程或教师预设的清洗任务。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（3）支持选择清洗液、漂洗介质、清洗温度、清洗时间、漂洗时间和干燥方式等参数。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（4）支持晶圆装入花篮、转移、浸泡、超声清洗、去离子水漂洗和氮气吹干等操作。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（5）考核模式下：系统应记录清洗流程、清洗液类型、温度、时间、漂洗和干燥操作，并纳入自动评分。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九、匀胶机虚拟仿真系统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（1）模拟在晶圆或衬底表面滴注光刻胶后，通过低速铺胶及高速旋转匀胶形成胶膜的操作过程。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（2）支持晶圆放置、真空吸附、光刻胶选择、滴胶、程序设置、匀胶运行、停止和晶圆取下等流程。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（3）支持设置低速铺胶转速及时间、高速匀胶转速及时间等参数。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21"/>
              </w:rPr>
              <w:t xml:space="preserve">▲</w:t>
            </w:r>
            <w:r>
              <w:rPr>
                <w:rFonts w:ascii="SimSun" w:hAnsi="SimSun" w:eastAsia="SimSun" w:cs="SimSun"/>
                <w:color w:val="000000"/>
                <w:sz w:val="21"/>
              </w:rPr>
              <w:t xml:space="preserve">（4）支持单段和多段匀胶程序，多段程序至少能够分别设置转速和时间。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（5）考核模式下：系统应记录各阶段转速、时间以及操作顺序，并纳入自动评分。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十、热板虚拟仿真系统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（1）支持模拟光刻工艺中的热板烘烤过程，可开展涂胶后的软烘及显影后的坚膜工艺操作。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（2）支持晶圆放置、工艺参数设置、启动加热及晶圆取下等操作流程。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（3）支持设置目标温度和烘烤时间等参数。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（4）考核模式下：系统应记录目标温度、烘烤时间及操作顺序等信息，并纳入自动评分。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十一、显影台虚拟仿真系统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（1）模拟晶圆光刻后的手动显影操作，设备组成至少包含操作台、花篮、去离子水和氮气枪等可交互部件。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（2）支持晶圆转移、显影液处理、去离子水漂洗和氮气干燥等操作流程。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（3）支持选择显影液、设置时间、温度等参数。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（4）考核模式下：系统应记录显影液、时间、温度和操作顺序，并纳入自动评分。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十二、CVD虚拟仿真系统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21"/>
              </w:rPr>
              <w:t xml:space="preserve">▲</w:t>
            </w:r>
            <w:r>
              <w:rPr>
                <w:rFonts w:ascii="SimSun" w:hAnsi="SimSun" w:eastAsia="SimSun" w:cs="SimSun"/>
                <w:color w:val="000000"/>
                <w:sz w:val="21"/>
              </w:rPr>
              <w:t xml:space="preserve">（1）支持模拟化学气相沉积工艺的晶圆上片、腔体关闭、抽真空、参数设置、运行、破真空和下片流程。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（2）支持不少于8种反应气体选择，并支持预设气体组合。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（3）支持设置反应气体流量、腔体压力、温度、射频功率、沉积时间等参数。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（4）考核模式下：系统应记录气体种类及流量、压力、功率、时间和操作顺序，并纳入自动评分。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十三、氧化扩散炉虚拟仿真系统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（1）支持模拟晶圆制造中的退火和LPCVD工艺。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（2）支持装舟、进舟、工艺参数设置、出舟和取片等操作流程。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（3）支持设置工艺类型、目标温度、时间及相关气体参数。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（4）考核模式下：系统应记录工艺类型、温度、时间、相关气体参数和操作顺序，并纳入自动评分。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20台</w:t>
            </w:r>
            <w:r/>
          </w:p>
        </w:tc>
      </w:tr>
      <w:tr>
        <w:trPr>
          <w:trHeight w:val="54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7" w:type="dxa"/>
            <w:vAlign w:val="center"/>
            <w:textDirection w:val="lrTb"/>
            <w:noWrap w:val="false"/>
          </w:tcPr>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集成电路实训一体机参数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（1）整机采用一体化机柜设计，集成数字孪生模型显示器、虚拟仿真操作面板、计算终端及必要的输入设备；结构应稳固，满足教学实训环境长期使用要求。整机尺寸：长宽高：860mm×600mm×970mm（±2%）。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（2）输入电压：AC220V。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（3）对外接口：USB、HDMI、电源接口等。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（4）虚拟仿真计算终端：CPU：Intel-i5（第12代及以上）；内存</w:t>
            </w:r>
            <w:r>
              <w:rPr>
                <w:rFonts w:ascii="SimSun" w:hAnsi="SimSun" w:eastAsia="SimSun" w:cs="SimSun"/>
                <w:color w:val="000000"/>
                <w:sz w:val="24"/>
              </w:rPr>
              <w:t xml:space="preserve">≥</w:t>
            </w:r>
            <w:r>
              <w:rPr>
                <w:rFonts w:ascii="SimSun" w:hAnsi="SimSun" w:eastAsia="SimSun" w:cs="SimSun"/>
                <w:color w:val="000000"/>
                <w:sz w:val="21"/>
              </w:rPr>
              <w:t xml:space="preserve">16G；硬盘</w:t>
            </w:r>
            <w:r>
              <w:rPr>
                <w:rFonts w:ascii="SimSun" w:hAnsi="SimSun" w:eastAsia="SimSun" w:cs="SimSun"/>
                <w:color w:val="000000"/>
                <w:sz w:val="24"/>
              </w:rPr>
              <w:t xml:space="preserve">≥</w:t>
            </w:r>
            <w:r>
              <w:rPr>
                <w:rFonts w:ascii="SimSun" w:hAnsi="SimSun" w:eastAsia="SimSun" w:cs="SimSun"/>
                <w:color w:val="000000"/>
                <w:sz w:val="21"/>
              </w:rPr>
              <w:t xml:space="preserve">256G SSD；显卡：GTX 1660S（或同等及以上性能）；配有鼠标和键盘</w:t>
            </w:r>
            <w:r>
              <w:rPr>
                <w:rFonts w:ascii="Arial" w:hAnsi="Arial" w:eastAsia="Arial" w:cs="Arial"/>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5</w:t>
            </w:r>
            <w:r>
              <w:rPr>
                <w:rFonts w:ascii="Arial" w:hAnsi="Arial" w:eastAsia="Arial" w:cs="Arial"/>
                <w:color w:val="000000"/>
                <w:sz w:val="21"/>
              </w:rPr>
              <w:t xml:space="preserve">）数字孪生模型显示器：≥</w:t>
            </w:r>
            <w:r>
              <w:rPr>
                <w:rFonts w:ascii="SimSun" w:hAnsi="SimSun" w:eastAsia="SimSun" w:cs="SimSun"/>
                <w:color w:val="000000"/>
                <w:sz w:val="21"/>
              </w:rPr>
              <w:t xml:space="preserve">21</w:t>
            </w:r>
            <w:r>
              <w:rPr>
                <w:rFonts w:ascii="Arial" w:hAnsi="Arial" w:eastAsia="Arial" w:cs="Arial"/>
                <w:color w:val="000000"/>
                <w:sz w:val="21"/>
              </w:rPr>
              <w:t xml:space="preserve">寸，分辨率为全高清</w:t>
            </w:r>
            <w:r>
              <w:rPr>
                <w:rFonts w:ascii="SimSun" w:hAnsi="SimSun" w:eastAsia="SimSun" w:cs="SimSun"/>
                <w:color w:val="000000"/>
                <w:sz w:val="21"/>
              </w:rPr>
              <w:t xml:space="preserve">1920*1080</w:t>
            </w:r>
            <w:r>
              <w:rPr>
                <w:rFonts w:ascii="Arial" w:hAnsi="Arial" w:eastAsia="Arial" w:cs="Arial"/>
                <w:color w:val="000000"/>
                <w:sz w:val="21"/>
              </w:rPr>
              <w:t xml:space="preserve">；支持显示器高度调整</w:t>
            </w:r>
            <w:r>
              <w:rPr>
                <w:rFonts w:ascii="SimSun" w:hAnsi="SimSun" w:eastAsia="SimSun" w:cs="SimSun"/>
                <w:color w:val="000000"/>
                <w:sz w:val="21"/>
              </w:rPr>
              <w:t xml:space="preserve">,</w:t>
            </w:r>
            <w:r>
              <w:rPr>
                <w:rFonts w:ascii="Arial" w:hAnsi="Arial" w:eastAsia="Arial" w:cs="Arial"/>
                <w:color w:val="000000"/>
                <w:sz w:val="21"/>
              </w:rPr>
              <w:t xml:space="preserve">以便更好的适应理论教学的需求。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6</w:t>
            </w:r>
            <w:r>
              <w:rPr>
                <w:rFonts w:ascii="Arial" w:hAnsi="Arial" w:eastAsia="Arial" w:cs="Arial"/>
                <w:color w:val="000000"/>
                <w:sz w:val="21"/>
              </w:rPr>
              <w:t xml:space="preserve">）虚拟仿真操作面板：≥</w:t>
            </w:r>
            <w:r>
              <w:rPr>
                <w:rFonts w:ascii="SimSun" w:hAnsi="SimSun" w:eastAsia="SimSun" w:cs="SimSun"/>
                <w:color w:val="000000"/>
                <w:sz w:val="21"/>
              </w:rPr>
              <w:t xml:space="preserve">21</w:t>
            </w:r>
            <w:r>
              <w:rPr>
                <w:rFonts w:ascii="Arial" w:hAnsi="Arial" w:eastAsia="Arial" w:cs="Arial"/>
                <w:color w:val="000000"/>
                <w:sz w:val="21"/>
              </w:rPr>
              <w:t xml:space="preserve">英寸；触控技术：投射电容屏；接触点：</w:t>
            </w:r>
            <w:r>
              <w:rPr>
                <w:rFonts w:ascii="SimSun" w:hAnsi="SimSun" w:eastAsia="SimSun" w:cs="SimSun"/>
                <w:color w:val="000000"/>
                <w:sz w:val="21"/>
              </w:rPr>
              <w:t xml:space="preserve">10</w:t>
            </w:r>
            <w:r>
              <w:rPr>
                <w:rFonts w:ascii="Arial" w:hAnsi="Arial" w:eastAsia="Arial" w:cs="Arial"/>
                <w:color w:val="000000"/>
                <w:sz w:val="21"/>
              </w:rPr>
              <w:t xml:space="preserve">点；切换清洗台、匀胶机、光刻机等不同仿真系统时，触摸操作面板应自动加载并显示对应设备的操作按钮、参数设置及状态界面。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（7）工作温度：0℃-40℃，工作湿度：20%-95%（相对湿度无冷凝）。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（8）采用模块化设计并预留检修通道，计算终端、显示器、触摸屏等主要部件应便于独立检修和更换。</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7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数据中心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57" w:type="dxa"/>
            <w:vAlign w:val="center"/>
            <w:textDirection w:val="lrTb"/>
            <w:noWrap w:val="false"/>
          </w:tcPr>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一、考试平台功能</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）系统采用</w:t>
            </w:r>
            <w:r>
              <w:rPr>
                <w:rFonts w:ascii="SimSun" w:hAnsi="SimSun" w:eastAsia="SimSun" w:cs="SimSun"/>
                <w:color w:val="000000"/>
                <w:sz w:val="21"/>
              </w:rPr>
              <w:t xml:space="preserve">B/S</w:t>
            </w:r>
            <w:r>
              <w:rPr>
                <w:rFonts w:ascii="Arial" w:hAnsi="Arial" w:eastAsia="Arial" w:cs="Arial"/>
                <w:color w:val="000000"/>
                <w:sz w:val="21"/>
              </w:rPr>
              <w:t xml:space="preserve">架构，方便师生登录使用。</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（2）支持理论知识和虚拟实操组合考核，可按考试任务设置理论题和实操任务的成绩权重。</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3</w:t>
            </w:r>
            <w:r>
              <w:rPr>
                <w:rFonts w:ascii="Arial" w:hAnsi="Arial" w:eastAsia="Arial" w:cs="Arial"/>
                <w:color w:val="000000"/>
                <w:sz w:val="21"/>
              </w:rPr>
              <w:t xml:space="preserve">）支持考试报名功能，学生可通过线上完成报名，报名信息包括阅读包括须知、选择考试批次、基本信息填写、报名信息查询。</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4</w:t>
            </w:r>
            <w:r>
              <w:rPr>
                <w:rFonts w:ascii="Arial" w:hAnsi="Arial" w:eastAsia="Arial" w:cs="Arial"/>
                <w:color w:val="000000"/>
                <w:sz w:val="21"/>
              </w:rPr>
              <w:t xml:space="preserve">）支持学生在规定时间内进入考试，并可通过网页唤起或进入相应虚拟实训系统。</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（5）支持考试开始、异常恢复、交卷、超时自动提交等考试过程管理功能。</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6</w:t>
            </w:r>
            <w:r>
              <w:rPr>
                <w:rFonts w:ascii="Arial" w:hAnsi="Arial" w:eastAsia="Arial" w:cs="Arial"/>
                <w:color w:val="000000"/>
                <w:sz w:val="21"/>
              </w:rPr>
              <w:t xml:space="preserve">）支持学生查询历次考试成绩，并查看单次考试成绩明细信息。</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7）支持维护姓名、院系、专业、班级、联系方式等必要信息。</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（8）考试过程中应采集接触式光刻机、磁控溅射台、匀胶机等12套系统的操作步骤、程序编辑、参数设置、系统运行等数据。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（9）考试数据应按用户、考试、设备和时间进行关联，确保能够还原学生的主要操作过程。</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二、管理平台功能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（一）基础管理</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w:t>
            </w:r>
            <w:r>
              <w:rPr>
                <w:rFonts w:ascii="Arial" w:hAnsi="Arial" w:eastAsia="Arial" w:cs="Arial"/>
                <w:color w:val="000000"/>
                <w:sz w:val="21"/>
              </w:rPr>
              <w:t xml:space="preserve">）系统采用</w:t>
            </w:r>
            <w:r>
              <w:rPr>
                <w:rFonts w:ascii="SimSun" w:hAnsi="SimSun" w:eastAsia="SimSun" w:cs="SimSun"/>
                <w:color w:val="000000"/>
                <w:sz w:val="21"/>
              </w:rPr>
              <w:t xml:space="preserve">B/S</w:t>
            </w:r>
            <w:r>
              <w:rPr>
                <w:rFonts w:ascii="Arial" w:hAnsi="Arial" w:eastAsia="Arial" w:cs="Arial"/>
                <w:color w:val="000000"/>
                <w:sz w:val="21"/>
              </w:rPr>
              <w:t xml:space="preserve">架构，支持教师和管理员通过浏览器进行教学、考试和数据管理。</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（2）支持账号登录、退出、密码修改和基于角色的功能权限管理。</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（3）支持单个创建或批量导入学生账号，并支持查询、修改、停用及重置密码。</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（4）支持理论试题创建、编辑、查询和导入，题型至少包含单选题、多选题、判断题和填空题。</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（5）支持按照试题类型、院系、专业等条件查询试题。</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（6）支持创建和查询试卷，支持设置考试名称、考试时长、考核标准、理论与实操分值设置。</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7</w:t>
            </w:r>
            <w:r>
              <w:rPr>
                <w:rFonts w:ascii="Arial" w:hAnsi="Arial" w:eastAsia="Arial" w:cs="Arial"/>
                <w:color w:val="000000"/>
                <w:sz w:val="21"/>
              </w:rPr>
              <w:t xml:space="preserve">）支持成绩管理，可按照学生、院系、专业、班级等条件查询成绩，并查看单个学生的详细成绩；</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8</w:t>
            </w:r>
            <w:r>
              <w:rPr>
                <w:rFonts w:ascii="Arial" w:hAnsi="Arial" w:eastAsia="Arial" w:cs="Arial"/>
                <w:color w:val="000000"/>
                <w:sz w:val="21"/>
              </w:rPr>
              <w:t xml:space="preserve">）支持成绩统计和导出，至少能够导出考生姓名、理论成绩、实操成绩及总成绩。</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（9）支持查看单次实操的步骤记录、参数记录、错误记录和得分明细。</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（10）支持对实操考核标准进行复制，便于教师快速建立相似考核任务。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（二）自定义考核、自动评分及报告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★（1）支持分别针对清洗台、匀胶机、热板、接触式光刻机、显影台、等离子体系统、磁控溅射台、离子注入、步进式光刻机、电子束蒸发、CVD和氧化扩散炉自定义实操考核标准。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★（2）考核标准应支持配置考核步骤、步骤顺序、标准参数、参数允许误差范围和结果评分规则。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（3）系统应将学生操作数据与考核标准自动比对，计算步骤得分、参数得分和总成绩。</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4</w:t>
            </w:r>
            <w:r>
              <w:rPr>
                <w:rFonts w:ascii="Arial" w:hAnsi="Arial" w:eastAsia="Arial" w:cs="Arial"/>
                <w:color w:val="000000"/>
                <w:sz w:val="21"/>
              </w:rPr>
              <w:t xml:space="preserve">）支持自定义接触式光刻机的考核标准，至少包含载片台尺寸的选项、板架尺寸的选项、光刻版尺寸的选项、曝光模式和时间标准的设定等五个方面。</w:t>
            </w:r>
            <w:r/>
          </w:p>
          <w:p>
            <w:pPr>
              <w:ind w:left="0" w:right="0" w:firstLine="0"/>
              <w:spacing w:before="0" w:after="0"/>
              <w:tabs>
                <w:tab w:val="left" w:pos="4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5</w:t>
            </w:r>
            <w:r>
              <w:rPr>
                <w:rFonts w:ascii="Arial" w:hAnsi="Arial" w:eastAsia="Arial" w:cs="Arial"/>
                <w:color w:val="000000"/>
                <w:sz w:val="21"/>
              </w:rPr>
              <w:t xml:space="preserve">）支持自定义磁控溅射台的考核标准，至少包含靶材选项和程序设定等两个方面。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（6）评分标准修改后，应能够用于后续考试，且不影响已完成考试的历史成绩和评分依据。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（7）自动生成考试报告，报告至少包含学生信息、工艺流程、操作步骤、参数设置、步骤得分、理论成绩、实操成绩和总成绩等信息。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（8）支持报告在线查看，并支持导出为PDF、Excel或其他通用格式。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（三）工艺流程管理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★（1）支持基于12套仿真系统自定义工艺流程，可按照考核任务设置设备调用顺序。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（2）同一仿真设备在一个工艺流程中应支持被重复调用，并能够分别配置不同的任务说明或考核要求。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▲（3）学生进入任务后，客户端应按照教师设定的流程展示当前工序、已完成工序和待完成工序。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（4）完成当前工序后，系统应根据任务规则进入下一工序。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（5）各工序产生的操作数据、参数、结果和成绩应统一归集到同一工艺任务下，形成完整的工艺流程记录。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▲（6）支持流程模板保存和复用，可用于建立典型集成电路制造工艺实验流程。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1套</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b/>
          <w:color w:val="000000"/>
          <w:sz w:val="22"/>
        </w:rPr>
        <w:t xml:space="preserve">其他要求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1、质保要求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（1）项目验收交付使用后，投标人必须承诺对本项目软件、硬件设备提供3年及以上免费维保、技术维护和升级完善服务。</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（2）投标人须有完善的售后服务体系，提供报修电话（移动电话及固定电话），必须24小时开通。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（3）保修期内，所有硬件设备的维修及配件均为免费。</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2、中标单位必须服从现场管理，对设备安装工序和材料及时报验，原材料及配件必须符合国家标准，经复试合格后方可使用，不合格的检测费自行承担。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3、安装过程中产生的垃圾及时清运，费用由中标单位承担。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安装过程中，中标单位需采取措施保护现场及周边相关物品、设施等，因中标单位的不规范操作、误操作等原因造成相关设施、管线等的损坏、设备的停用等后果均由中标单位承担，由中标单位原样修复并自行承担相关费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5、本项目中标单位负责对采购方人员提供技术培训，包括操作人员培训和管理维护人员培训。</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人应彻底自行踏勘现场，以充分了解项目位置、交通状况以及工作范围等任何足以影响其报价的情况。任何忽视或误解项目基本情况，而使采购人在项目实施过程中蒙受的损失，将由投标人进行赔偿。安装现场实际情况：现状道路通畅；交通便利，有道路通入安装现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7、本次采购全部内容为“交钥匙”项目，所有的费用等均包含在报价内；请各投标供应商认真考虑各种风险。除合同另有规定之外，采购人不再另行支付。</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38"/>
        <w:ind w:left="0" w:right="0" w:firstLine="723"/>
        <w:jc w:val="center"/>
        <w:spacing w:before="0" w:after="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评标方法及评标标准</w:t>
      </w:r>
      <w:r/>
    </w:p>
    <w:p>
      <w:pPr>
        <w:ind w:left="0" w:right="0" w:firstLine="56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一、评标方法</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1、中小企业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（1）供应商需按照招标文件的要求提供相应的《中小企业声明函》。</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（2）企业标准请参照《关于印发中小企业划型标准规定的通知》（工信部联企业[2011]300号）文件规定自行填写。</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（1）本项目对残疾人福利性单位视同小型、微型企业。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（2）残疾人福利单位需按照采购文件的要求提供《残疾人福利性单位声明函》。</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（3）残疾人福利单位标准请参照《关于促进残疾人就业政府采购政策的通知》（财库〔2017〕141号）。</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3、监狱和戒毒企业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（1）本项目对监狱和戒毒企业（简称监狱企业）视同小型、微型企业。</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（2）监狱企业参加政府采购活动时，需提供由省级以上监狱管理局、戒毒管理局(含新疆生产建设兵团)出具的属于监狱企业的证明文件。</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（3）监狱企业标准请参照《关于政府采购支持监狱企业发展有关问题的通知》（财库[2014]68号）。</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4、残疾人福利单位、监狱企业属于小型、微型企业的，不重复享受政策。</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5、根据《江苏省政府采购信用管理暂行办法》的规定，供应商信用评价结果为三星的扣2分，评价结果为二星的扣3分，评价结果为一星的扣4分。</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6、采购本国产品的支持政策</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（1）政府采购活动中既有本国产品又有非本国产品参与竞争的，依法对本国产品给予价格评审优惠，对本国产品的报价给予20%的价格扣除，用扣除后的价格参与评审。</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（3）供应商需按照招标文件的要求提供《关于符合本国产品标准的声明函》（以下简称《声明函》），如不提供将不享受本国产品价格评审优惠。</w:t>
      </w:r>
      <w:r/>
    </w:p>
    <w:p>
      <w:pPr>
        <w:ind w:left="0" w:right="0" w:firstLine="4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left="0" w:right="0" w:firstLine="4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562"/>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2"/>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三、评标标准</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11"/>
        <w:gridCol w:w="1068"/>
        <w:gridCol w:w="6022"/>
      </w:tblGrid>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评分项目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tc>
      </w:tr>
      <w:tr>
        <w:trPr>
          <w:trHeight w:val="1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以满足招标文件要求的最低投标报价为评标基准价，得满分30分，其他投标报价得分=（评标基准价/其他投标报价）×30×100%。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注：评标委员会认为供应商的报价明显过低，有可能影响履约的，且供应商不能在评标现场合理的时间内证明其报价合理性的或提供相关证明资料的，评标委员会有权将其作为无效投标处理。</w:t>
            </w:r>
            <w:r/>
          </w:p>
        </w:tc>
      </w:tr>
      <w:tr>
        <w:trPr>
          <w:trHeight w:val="2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针对招标文件第四章项目需求中技术参数逐条响应，全部满足要求的得30分，其中标★项为关键指标，有一项未响应或负偏离做无效投标处理；标▲项为重要指标，每有1项未响应或负偏离扣2分，其他非演示项参数每有1项未响应或负偏离扣0.5分，扣完为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为产品关键参数指标，标“★”项需提供：1.具有检测检验资格机构出具的合格测试报告，2.相关功能截图，3.厂家出厂彩页。以上任意一种证明材料扫描上传，未按要求提供相关证明材料的视为未实质性响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其中标“</w:t>
            </w:r>
            <w:r>
              <w:rPr>
                <w:rFonts w:ascii="Arial" w:hAnsi="Arial" w:eastAsia="Arial" w:cs="Arial"/>
                <w:color w:val="000000"/>
                <w:sz w:val="21"/>
              </w:rPr>
              <w:t xml:space="preserve">▲</w:t>
            </w:r>
            <w:r>
              <w:rPr>
                <w:rFonts w:ascii="SimSun" w:hAnsi="SimSun" w:eastAsia="SimSun" w:cs="SimSun"/>
                <w:color w:val="000000"/>
                <w:sz w:val="21"/>
              </w:rPr>
              <w:t xml:space="preserve">”为产品重要参数指标，标“</w:t>
            </w:r>
            <w:r>
              <w:rPr>
                <w:rFonts w:ascii="Arial" w:hAnsi="Arial" w:eastAsia="Arial" w:cs="Arial"/>
                <w:color w:val="000000"/>
                <w:sz w:val="21"/>
              </w:rPr>
              <w:t xml:space="preserve">▲</w:t>
            </w:r>
            <w:r>
              <w:rPr>
                <w:rFonts w:ascii="SimSun" w:hAnsi="SimSun" w:eastAsia="SimSun" w:cs="SimSun"/>
                <w:color w:val="000000"/>
                <w:sz w:val="21"/>
              </w:rPr>
              <w:t xml:space="preserve">”项需提供：能直观体现参数对应功能的系统截图或设备实拍图扫描上传（截图需标注关键信息，确保内容清晰可辨）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其他非演示项参数以投标人提供的技术参数响应及偏离表为准。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若未按上述要求提供佐证材料，或提供的材料无法有效证明参数符合性，该参数将被视为“未响应”。</w:t>
            </w:r>
            <w:r/>
          </w:p>
        </w:tc>
      </w:tr>
      <w:tr>
        <w:trPr>
          <w:trHeight w:val="10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产品功能演示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演示必须基于真实软件环境进行（只演示功能，不做公司任何介绍）上传至系统中，视频时长总计不超过15分钟。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1.接触式光刻机虚拟仿真系统（9分）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①支持晶圆安装：在晶圆安装过程中，具备模拟真实场景下光刻机的三点对齐功能。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演示满足以上功能得3分，未提供演示或不满足不得分。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支持模拟光刻机曝光对准功能：有扰动量设置，可模拟实际对准过程的误差，支持从上下左右四个不同方向移动显微镜；支持从上下、左右、顺时针旋转和逆时针旋转三个方面移动晶圆的位置；经过多次调整后，最终能呈现光刻版与晶圆的对准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演示满足以上功能得3分，未提供演示或不满足不得分。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③支持曝光图案上标记位置功能，可通过快捷键在当前位置和标记位置之间来回切换，并支持对标记位置进行重新设置。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演示满足以上功能得3分，未提供演示或不满足不得分。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2.磁控溅射台虚拟仿真系统（6分）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①模拟在磁控溅射台上放靶材功能，具备完整的放靶材流程，包含但不限于打开盖子、拔下气管、拿下套筒、拧螺丝、放靶材等环节。其中涉及到选靶材环节，至少需支持15种材料。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演示满足以上功能得3分，未提供演示或不满足不得分。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②模拟磁控溅射台软件运行界面，具备运行程序的操作流程，并需在运行环节中展示粒子动画，能完整并准确的表达溅射的原理，包含但不限于粒子碰撞后的变化，磁场线路，粒子在磁场下的移动等场景。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演示满足以上功能得3分，未提供演示或不满足不得分。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3.数据中心（5分）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①支持自定义接触式光刻机的考核标准，至少包含载片台尺寸的选项、板架尺寸的选项、光刻版尺寸的选项、曝光模式和时间标准的设定等五个方面。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演示满足以上功能得2分，未提供演示或不满足不得分。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②创建工艺流程标准时，同一仿真设备在一个工艺流程中支持被重复调用，并能够分别配置不同的任务说明或考核要求。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演示满足以上功能得3分，未提供演示或不满足不得分。</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技术及服务方案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1.产品测试及验收方案：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针对性强，内容全面完善，并提供详细科学的验收标准，得4分；内容较全面，验收标准满足项目要求，描述基本合理、清晰，得2分；关于产品测试及验收方案内容简单，描述不清晰，得1分；未提供者不得分。</w:t>
            </w:r>
            <w:r/>
          </w:p>
          <w:p>
            <w:pPr>
              <w:numPr>
                <w:ilvl w:val="0"/>
                <w:numId w:val="4"/>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包含售后服务体系、响应时间、服务范围以及应急处理方案等，方案全面、及时、实用的得4分；方案较全面、及时、实用的得2分；方案不全面、不实用的得1分；未提供不得分。</w:t>
            </w:r>
            <w:r/>
          </w:p>
          <w:p>
            <w:pPr>
              <w:numPr>
                <w:ilvl w:val="0"/>
                <w:numId w:val="4"/>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培训方案内容包括但不限于培训的内容范围、培训方式、培训人员数量、培训时间、培训地点，方案全面、合理、实用的得4分；方案较全面、较合理、实用的得2分；方案不全面、不实用的得1分；未提供不得分。</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1.投标人具有有效期内的质量管理体系认证证书、环境管理体系认证证书、职业健康安全管理体系认证证书，每提供一个得1分，满分3分。投标文件中提供有效证书扫描件，未提供不得分。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或所投产品的制造商具有集成电路制造工艺仿真系统相关的软件著作权证书，且软件著作证书应与采购需求描述的仿真系统相关。提供证书原件扫描上传，每提供一个证书得1分，满分2分。不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3.投标人2023年1月1日至今（以合同签订时间为准），具有类似业绩，每提供一份得3分，满分3分。（须包含合同首页、体现具体服务内容/项目范围的“标的页”、双方签字盖章页及签订日期页）</w:t>
            </w:r>
            <w:r/>
          </w:p>
        </w:tc>
      </w:tr>
    </w:tbl>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1、评标时，未能按以上要求提供相应证明的，不作为评标依据，不得分。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2、若发现有提供虚假的证明材料，视为无效投标，并追究相关责任。</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3、评审委员会启动异常低价投标(响应)审查的情形和具体要求，包括：</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(一)评审过程中出现下列情形之一的，评审委员会应当启动异常低价投标(响应)审查程序：</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（1）投标(响应)报价低于采购项目预算 50%的，即投标(响应)报价&lt;采购项目预算*50%；</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（2）投标(响应)报价低于采购项目最高限价45%的，即投标(响应)报价&lt;采购项目最高限价*45%；</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（3）评审委员会认定的供应商报价过低、有可能影响产品质量或者不能诚信履约的其他情形。</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38"/>
        <w:ind w:left="0" w:right="0" w:firstLine="723"/>
        <w:jc w:val="center"/>
        <w:spacing w:before="0" w:after="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w:t>
      </w:r>
      <w:r/>
    </w:p>
    <w:p>
      <w:pPr>
        <w:ind w:left="0" w:right="0" w:firstLine="880"/>
        <w:jc w:val="both"/>
        <w:spacing w:before="0" w:after="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p>
    <w:p>
      <w:pPr>
        <w:ind w:left="0" w:right="0" w:firstLine="1446"/>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1446"/>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723"/>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 标 编 号：</w:t>
      </w:r>
      <w:r>
        <w:rPr>
          <w:rFonts w:ascii="SimSun" w:hAnsi="SimSun" w:eastAsia="SimSun" w:cs="SimSun"/>
          <w:b/>
          <w:color w:val="000000"/>
          <w:sz w:val="36"/>
          <w:u w:val="single"/>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投标供应商名称 ：</w:t>
      </w:r>
      <w:r>
        <w:rPr>
          <w:rFonts w:ascii="SimSun" w:hAnsi="SimSun" w:eastAsia="SimSun" w:cs="SimSun"/>
          <w:b/>
          <w:color w:val="000000"/>
          <w:sz w:val="36"/>
          <w:u w:val="single"/>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投标供应商：</w:t>
      </w:r>
      <w:r>
        <w:rPr>
          <w:rFonts w:ascii="SimSun" w:hAnsi="SimSun" w:eastAsia="SimSun" w:cs="SimSun"/>
          <w:b/>
          <w:color w:val="000000"/>
          <w:sz w:val="36"/>
          <w:u w:val="single"/>
        </w:rPr>
        <w:t xml:space="preserve">       </w:t>
      </w:r>
      <w:r>
        <w:rPr>
          <w:rFonts w:ascii="SimSun" w:hAnsi="SimSun" w:eastAsia="SimSun" w:cs="SimSun"/>
          <w:b/>
          <w:color w:val="000000"/>
          <w:sz w:val="36"/>
        </w:rPr>
        <w:t xml:space="preserve">（电子签章）</w:t>
      </w:r>
      <w:r/>
    </w:p>
    <w:p>
      <w:pPr>
        <w:ind w:left="0" w:right="0" w:firstLine="643"/>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投标主要文件目录</w:t>
      </w:r>
      <w:r/>
    </w:p>
    <w:p>
      <w:pPr>
        <w:ind w:left="0" w:right="0" w:firstLine="643"/>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48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二、上一年度的财务状况报告（成立不满一年无需提供）</w:t>
      </w:r>
      <w:r/>
    </w:p>
    <w:p>
      <w:pPr>
        <w:ind w:left="48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五、参加政府采购活动前3年内在经营活动中没有重大违法记录的书面声明</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六、供应商信用承诺函</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七、法人授权书</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八、投标函</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九、中小企业声明函</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十、开标一览表</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十一、投标分项报价表</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hd w:val="nil"/>
        <w:rPr>
          <w:rFonts w:ascii="Arial" w:hAnsi="Arial" w:eastAsia="Arial" w:cs="Arial"/>
          <w:sz w:val="21"/>
          <w:szCs w:val="21"/>
        </w:rPr>
      </w:pPr>
      <w:r>
        <w:rPr>
          <w:rFonts w:ascii="SimHei" w:hAnsi="SimHei" w:eastAsia="SimHei" w:cs="SimHei"/>
          <w:i/>
          <w:color w:val="000000"/>
          <w:sz w:val="32"/>
          <w:highlight w:val="none"/>
          <w:u w:val="single"/>
        </w:rPr>
        <w:br w:type="page" w:clear="all"/>
      </w:r>
      <w:r>
        <w:rPr>
          <w:rFonts w:ascii="SimHei" w:hAnsi="SimHei" w:eastAsia="SimHei" w:cs="SimHei"/>
          <w:i/>
          <w:color w:val="000000"/>
          <w:sz w:val="32"/>
          <w:highlight w:val="none"/>
          <w:u w:val="single"/>
        </w:rPr>
      </w:r>
    </w:p>
    <w:p>
      <w:pPr>
        <w:ind w:left="0" w:right="0" w:firstLine="0"/>
        <w:jc w:val="both"/>
        <w:spacing w:before="0" w:after="0" w:line="249" w:lineRule="atLeast"/>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二、上一年度的财务状况报告（成立不满一年无需提供）</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投标人成立不满一年不需提供</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六、供应商信用承诺函</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供应商信用承诺函</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承诺主体名称：</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为维护公平竞争、规范有序的市场秩序，营造诚实守信的信用环境，共同推进社会信用体系建设完善，树立企业诚信守法形象，本企业对项目政府采购活动郑重承诺如下：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一、对提供给注册登记部门、行业管理部门、司法部门、行业组织以及在政府采购活动中提交的所有资料的合法性、真实性、准确性和有效性负责；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四、自觉接受行政管理部门、行业组织、社会公众、新闻舆论的监督；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六、提出政府采购质疑和投诉坚持依法依规、诚实信用原则，在全国范围12个月内没有三次以上查无实据的政府采购投诉；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七、严格遵守信用信息公示相关规定，向社会公示信用信息；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八、在“信用中国”和“中国政府采购网”网站中无违法违规、较重或严重失信记录；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十、本承诺书自签订之日起生效。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（注：法定代表人或负责人、主体名称发生变更的应当重新做出承诺。）</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承诺单位（公章）：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号</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0"/>
        <w:ind w:left="0" w:right="0" w:firstLine="3390"/>
        <w:jc w:val="both"/>
        <w:spacing w:before="0" w:after="0" w:line="761" w:lineRule="atLeast"/>
        <w:pBdr>
          <w:top w:val="none" w:color="000000" w:sz="4" w:space="0"/>
          <w:left w:val="none" w:color="000000" w:sz="4" w:space="0"/>
          <w:bottom w:val="none" w:color="000000" w:sz="4" w:space="0"/>
          <w:right w:val="none" w:color="000000" w:sz="4" w:space="0"/>
        </w:pBdr>
      </w:pPr>
      <w:r>
        <w:br w:type="page" w:clear="all"/>
      </w:r>
      <w:r/>
    </w:p>
    <w:p>
      <w:pPr>
        <w:pStyle w:val="640"/>
        <w:ind w:left="0" w:right="0" w:firstLine="3390"/>
        <w:jc w:val="both"/>
        <w:spacing w:before="0" w:after="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八、投标函</w:t>
      </w:r>
      <w:r/>
    </w:p>
    <w:p>
      <w:pPr>
        <w:ind w:left="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江苏省扬州技师学院</w:t>
      </w:r>
      <w:r/>
    </w:p>
    <w:p>
      <w:pPr>
        <w:ind w:left="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w:t>
      </w:r>
      <w:r>
        <w:rPr>
          <w:rFonts w:ascii="SimSun" w:hAnsi="SimSun" w:eastAsia="SimSun" w:cs="SimSun"/>
          <w:color w:val="000000"/>
          <w:sz w:val="24"/>
        </w:rPr>
        <w:t xml:space="preserve">号</w:t>
      </w:r>
      <w:r>
        <w:rPr>
          <w:rFonts w:ascii="SimSun" w:hAnsi="SimSun" w:eastAsia="SimSun" w:cs="SimSun"/>
          <w:color w:val="000000"/>
          <w:sz w:val="24"/>
          <w:u w:val="single"/>
        </w:rPr>
        <w:t xml:space="preserve">       </w:t>
      </w:r>
      <w:r>
        <w:rPr>
          <w:rFonts w:ascii="SimSun" w:hAnsi="SimSun" w:eastAsia="SimSun" w:cs="SimSun"/>
          <w:color w:val="000000"/>
          <w:sz w:val="24"/>
        </w:rPr>
        <w:t xml:space="preserve">项目招标文件，正式授权下述签字人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(姓名)代表我方______________（投标人的名称），全权处理本次项目投标的有关事宜。</w:t>
      </w:r>
      <w:r/>
    </w:p>
    <w:p>
      <w:pPr>
        <w:ind w:left="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240" w:line="249" w:lineRule="atLeast"/>
        <w:tabs>
          <w:tab w:val="left" w:pos="3646" w:leader="none"/>
          <w:tab w:val="left" w:pos="4898"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九、中小企业声明函</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采购活动，提供的货物全部由符合政策要求的中小企业制造。相关企业（含联合体中的中小企业、签订分包意向协议的中小企业）的具体情况如下：</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hyperlink r:id="rId10" w:tooltip="https://jszfcg.jsczt.cn/jszc/onlyoffice/7.2.1-34/web-apps/apps/documenteditor/main/index_loader.html?_dc=7.2.1-34&amp;lang=zh&amp;customer=%20&amp;logo=%20&amp;headerlogo=%2Ffavicon.ico&amp;frameEditorId=iframePage&amp;compact=true&amp;parentOrigin=https://jszfcg.jsczt.cn#br1" w:history="1">
        <w:r>
          <w:rPr>
            <w:rStyle w:val="798"/>
            <w:rFonts w:ascii="SimSun" w:hAnsi="SimSun" w:eastAsia="SimSun" w:cs="SimSun"/>
            <w:color w:val="0000ee"/>
            <w:spacing w:val="-1"/>
            <w:sz w:val="24"/>
            <w:u w:val="single"/>
            <w:vertAlign w:val="superscript"/>
          </w:rPr>
          <w:t xml:space="preserve">1</w:t>
        </w:r>
      </w:hyperlink>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br w:type="page" w:clear="all"/>
      </w:r>
      <w:r/>
    </w:p>
    <w:p>
      <w:pPr>
        <w:ind w:left="0" w:right="0" w:firstLine="0"/>
        <w:jc w:val="center"/>
        <w:spacing w:before="300" w:after="300" w:line="24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中小微企业划型标准</w:t>
      </w:r>
      <w:r>
        <w:rPr>
          <w:rFonts w:ascii="Arial" w:hAnsi="Arial" w:eastAsia="Arial" w:cs="Arial"/>
          <w:b/>
          <w:color w:val="000000"/>
          <w:sz w:val="21"/>
        </w:rPr>
        <w:t xml:space="preserve"> </w:t>
      </w:r>
      <w:r/>
    </w:p>
    <w:p>
      <w:pPr>
        <w:ind w:left="0" w:right="0" w:firstLine="0"/>
        <w:spacing w:before="300" w:after="452"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中小微企业划型标准如下：</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1748"/>
        <w:gridCol w:w="732"/>
        <w:gridCol w:w="1922"/>
        <w:gridCol w:w="1739"/>
        <w:gridCol w:w="1545"/>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42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说明：上述标准参照《关于印发中小企业划型标准规定的通知》（工信部联企业</w:t>
      </w:r>
      <w:r>
        <w:rPr>
          <w:rFonts w:ascii="SimSun" w:hAnsi="SimSun" w:eastAsia="SimSun" w:cs="SimSun"/>
          <w:b/>
          <w:color w:val="000000"/>
          <w:sz w:val="21"/>
        </w:rPr>
        <w:t xml:space="preserve">[2011]300</w:t>
      </w:r>
      <w:r>
        <w:rPr>
          <w:rFonts w:ascii="DengXian" w:hAnsi="DengXian" w:eastAsia="DengXian" w:cs="DengXian"/>
          <w:b/>
          <w:color w:val="000000"/>
          <w:sz w:val="21"/>
        </w:rPr>
        <w:t xml:space="preserve">号），大型、中型和小型企业须同时满足所列指标的下限，否则下划一档；微型企业只须满足所列指标中的一项即可。</w:t>
        <w:br w:type="page" w:clear="all"/>
      </w:r>
      <w:r/>
    </w:p>
    <w:p>
      <w:pPr>
        <w:ind w:left="0" w:right="0" w:firstLine="0"/>
        <w:jc w:val="center"/>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残疾人福利性单位声明函（如有）</w:t>
      </w:r>
      <w:r/>
    </w:p>
    <w:p>
      <w:pPr>
        <w:ind w:left="0" w:right="0" w:firstLine="48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left="0" w:right="0" w:firstLine="48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本单位在本次政府采购活动中提供的残疾人福利单位产品报价合计为人民币（大写）圆整（￥：     ）。</w:t>
      </w:r>
      <w:r/>
    </w:p>
    <w:p>
      <w:pPr>
        <w:ind w:left="0" w:right="0" w:firstLine="48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2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444"/>
        <w:jc w:val="both"/>
        <w:spacing w:before="22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 </w:t>
      </w:r>
      <w:r/>
    </w:p>
    <w:p>
      <w:pPr>
        <w:ind w:left="0" w:right="0" w:firstLine="420"/>
        <w:jc w:val="center"/>
        <w:spacing w:before="220" w:after="0" w:line="113"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供应商全称（盖章）：</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w:t>
      </w:r>
      <w:r/>
    </w:p>
    <w:p>
      <w:pPr>
        <w:ind w:left="0" w:right="0" w:firstLine="42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single"/>
        </w:rPr>
        <w:t xml:space="preserve">（产品名称1）</w:t>
      </w:r>
      <w:r>
        <w:rPr>
          <w:rFonts w:ascii="SimSun" w:hAnsi="SimSun" w:eastAsia="SimSun" w:cs="SimSun"/>
          <w:color w:val="000000"/>
          <w:sz w:val="22"/>
          <w:vertAlign w:val="superscript"/>
        </w:rPr>
        <w:t xml:space="preserve">1</w:t>
      </w:r>
      <w:r>
        <w:rPr>
          <w:rFonts w:ascii="SimSun" w:hAnsi="SimSun" w:eastAsia="SimSun" w:cs="SimSun"/>
          <w:color w:val="000000"/>
          <w:sz w:val="22"/>
        </w:rPr>
        <w:t xml:space="preserve">，生产厂为</w:t>
      </w:r>
      <w:r>
        <w:rPr>
          <w:rFonts w:ascii="SimSun" w:hAnsi="SimSun" w:eastAsia="SimSun" w:cs="SimSun"/>
          <w:color w:val="000000"/>
          <w:sz w:val="22"/>
          <w:u w:val="single"/>
        </w:rPr>
        <w:t xml:space="preserve">（厂名）</w:t>
      </w:r>
      <w:r>
        <w:rPr>
          <w:rFonts w:ascii="SimSun" w:hAnsi="SimSun" w:eastAsia="SimSun" w:cs="SimSun"/>
          <w:color w:val="000000"/>
          <w:sz w:val="22"/>
          <w:vertAlign w:val="superscript"/>
        </w:rPr>
        <w:t xml:space="preserve">2</w:t>
      </w:r>
      <w:r>
        <w:rPr>
          <w:rFonts w:ascii="SimSun" w:hAnsi="SimSun" w:eastAsia="SimSun" w:cs="SimSun"/>
          <w:color w:val="000000"/>
          <w:sz w:val="22"/>
        </w:rPr>
        <w:t xml:space="preserve">，厂址为</w:t>
      </w:r>
      <w:r>
        <w:rPr>
          <w:rFonts w:ascii="SimSun" w:hAnsi="SimSun" w:eastAsia="SimSun" w:cs="SimSun"/>
          <w:color w:val="000000"/>
          <w:sz w:val="22"/>
          <w:u w:val="single"/>
        </w:rPr>
        <w:t xml:space="preserve">（生产厂址）</w:t>
      </w:r>
      <w:r>
        <w:rPr>
          <w:rFonts w:ascii="SimSun" w:hAnsi="SimSun" w:eastAsia="SimSun" w:cs="SimSun"/>
          <w:color w:val="000000"/>
          <w:sz w:val="22"/>
        </w:rPr>
        <w:t xml:space="preserve">。</w:t>
      </w:r>
      <w:r>
        <w:rPr>
          <w:rFonts w:ascii="SimSun" w:hAnsi="SimSun" w:eastAsia="SimSun" w:cs="SimSun"/>
          <w:color w:val="000000"/>
          <w:sz w:val="22"/>
          <w:u w:val="single"/>
        </w:rPr>
        <w:t xml:space="preserve"> </w:t>
      </w:r>
      <w:r>
        <w:rPr>
          <w:rFonts w:ascii="SimSun" w:hAnsi="SimSun" w:eastAsia="SimSun" w:cs="SimSun"/>
          <w:strike/>
          <w:color w:val="000000"/>
          <w:sz w:val="22"/>
          <w:u w:val="single"/>
        </w:rPr>
        <w:t xml:space="preserve">（产品名称1）</w:t>
      </w:r>
      <w:r>
        <w:rPr>
          <w:rFonts w:ascii="SimSun" w:hAnsi="SimSun" w:eastAsia="SimSun" w:cs="SimSun"/>
          <w:color w:val="000000"/>
          <w:sz w:val="22"/>
          <w:u w:val="single"/>
        </w:rPr>
        <w:t xml:space="preserve"> </w:t>
      </w:r>
      <w:r>
        <w:rPr>
          <w:rFonts w:ascii="SimSun" w:hAnsi="SimSun" w:eastAsia="SimSun" w:cs="SimSun"/>
          <w:color w:val="000000"/>
          <w:sz w:val="22"/>
        </w:rPr>
        <w:t xml:space="preserve">的中国境内生产的组件成本占比≥</w:t>
      </w:r>
      <w:r>
        <w:rPr>
          <w:rFonts w:ascii="SimSun" w:hAnsi="SimSun" w:eastAsia="SimSun" w:cs="SimSun"/>
          <w:strike/>
          <w:color w:val="000000"/>
          <w:sz w:val="22"/>
          <w:u w:val="single"/>
        </w:rPr>
        <w:t xml:space="preserve">（规定比例）</w:t>
      </w:r>
      <w:r>
        <w:rPr>
          <w:rFonts w:ascii="SimSun" w:hAnsi="SimSun" w:eastAsia="SimSun" w:cs="SimSun"/>
          <w:color w:val="000000"/>
          <w:sz w:val="22"/>
          <w:vertAlign w:val="superscript"/>
        </w:rPr>
        <w:t xml:space="preserve">3</w:t>
      </w:r>
      <w:r>
        <w:rPr>
          <w:rFonts w:ascii="SimSun" w:hAnsi="SimSun" w:eastAsia="SimSun" w:cs="SimSun"/>
          <w:color w:val="000000"/>
          <w:sz w:val="22"/>
        </w:rPr>
        <w:t xml:space="preserve">。</w:t>
      </w:r>
      <w:r>
        <w:rPr>
          <w:rFonts w:ascii="SimSun" w:hAnsi="SimSun" w:eastAsia="SimSun" w:cs="SimSun"/>
          <w:strike/>
          <w:color w:val="000000"/>
          <w:sz w:val="22"/>
          <w:u w:val="single"/>
        </w:rPr>
        <w:t xml:space="preserve">（产品名称1）</w:t>
      </w:r>
      <w:r>
        <w:rPr>
          <w:rFonts w:ascii="SimSun" w:hAnsi="SimSun" w:eastAsia="SimSun" w:cs="SimSun"/>
          <w:color w:val="000000"/>
          <w:sz w:val="22"/>
        </w:rPr>
        <w:t xml:space="preserve">的</w:t>
      </w:r>
      <w:r>
        <w:rPr>
          <w:rFonts w:ascii="SimSun" w:hAnsi="SimSun" w:eastAsia="SimSun" w:cs="SimSun"/>
          <w:strike/>
          <w:color w:val="000000"/>
          <w:sz w:val="22"/>
          <w:u w:val="single"/>
        </w:rPr>
        <w:t xml:space="preserve">（关键组件）</w:t>
      </w:r>
      <w:r>
        <w:rPr>
          <w:rFonts w:ascii="SimSun" w:hAnsi="SimSun" w:eastAsia="SimSun" w:cs="SimSun"/>
          <w:color w:val="000000"/>
          <w:sz w:val="22"/>
          <w:vertAlign w:val="superscript"/>
        </w:rPr>
        <w:t xml:space="preserve">4</w:t>
      </w:r>
      <w:r>
        <w:rPr>
          <w:rFonts w:ascii="SimSun" w:hAnsi="SimSun" w:eastAsia="SimSun" w:cs="SimSun"/>
          <w:color w:val="000000"/>
          <w:sz w:val="22"/>
        </w:rPr>
        <w:t xml:space="preserve">在中国境内生产。</w:t>
      </w:r>
      <w:r>
        <w:rPr>
          <w:rFonts w:ascii="SimSun" w:hAnsi="SimSun" w:eastAsia="SimSun" w:cs="SimSun"/>
          <w:strike/>
          <w:color w:val="000000"/>
          <w:sz w:val="22"/>
          <w:u w:val="single"/>
        </w:rPr>
        <w:t xml:space="preserve">（产品名称1）</w:t>
      </w:r>
      <w:r>
        <w:rPr>
          <w:rFonts w:ascii="SimSun" w:hAnsi="SimSun" w:eastAsia="SimSun" w:cs="SimSun"/>
          <w:color w:val="000000"/>
          <w:sz w:val="22"/>
        </w:rPr>
        <w:t xml:space="preserve">的</w:t>
      </w:r>
      <w:r>
        <w:rPr>
          <w:rFonts w:ascii="SimSun" w:hAnsi="SimSun" w:eastAsia="SimSun" w:cs="SimSun"/>
          <w:strike/>
          <w:color w:val="000000"/>
          <w:sz w:val="22"/>
          <w:u w:val="single"/>
        </w:rPr>
        <w:t xml:space="preserve">（关键工序）</w:t>
      </w:r>
      <w:r>
        <w:rPr>
          <w:rFonts w:ascii="SimSun" w:hAnsi="SimSun" w:eastAsia="SimSun" w:cs="SimSun"/>
          <w:color w:val="000000"/>
          <w:sz w:val="22"/>
          <w:vertAlign w:val="superscript"/>
        </w:rPr>
        <w:t xml:space="preserve">5</w:t>
      </w:r>
      <w:r>
        <w:rPr>
          <w:rFonts w:ascii="SimSun" w:hAnsi="SimSun" w:eastAsia="SimSun" w:cs="SimSun"/>
          <w:color w:val="000000"/>
          <w:sz w:val="22"/>
        </w:rPr>
        <w:t xml:space="preserve">在中国境内完成。</w:t>
      </w:r>
      <w:r/>
    </w:p>
    <w:p>
      <w:pPr>
        <w:ind w:left="0" w:right="0" w:firstLine="48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2"/>
          <w:u w:val="single"/>
        </w:rPr>
        <w:t xml:space="preserve">（产品名称2）</w:t>
      </w:r>
      <w:r>
        <w:rPr>
          <w:rFonts w:ascii="SimSun" w:hAnsi="SimSun" w:eastAsia="SimSun" w:cs="SimSun"/>
          <w:color w:val="000000"/>
          <w:sz w:val="22"/>
        </w:rPr>
        <w:t xml:space="preserve">，生产厂为</w:t>
      </w:r>
      <w:r>
        <w:rPr>
          <w:rFonts w:ascii="SimSun" w:hAnsi="SimSun" w:eastAsia="SimSun" w:cs="SimSun"/>
          <w:color w:val="000000"/>
          <w:sz w:val="22"/>
          <w:u w:val="single"/>
        </w:rPr>
        <w:t xml:space="preserve">（厂名）</w:t>
      </w:r>
      <w:r>
        <w:rPr>
          <w:rFonts w:ascii="SimSun" w:hAnsi="SimSun" w:eastAsia="SimSun" w:cs="SimSun"/>
          <w:color w:val="000000"/>
          <w:sz w:val="22"/>
        </w:rPr>
        <w:t xml:space="preserve">，厂址为</w:t>
      </w:r>
      <w:r>
        <w:rPr>
          <w:rFonts w:ascii="SimSun" w:hAnsi="SimSun" w:eastAsia="SimSun" w:cs="SimSun"/>
          <w:color w:val="000000"/>
          <w:sz w:val="22"/>
          <w:u w:val="single"/>
        </w:rPr>
        <w:t xml:space="preserve">（生产厂址）</w:t>
      </w:r>
      <w:r>
        <w:rPr>
          <w:rFonts w:ascii="SimSun" w:hAnsi="SimSun" w:eastAsia="SimSun" w:cs="SimSun"/>
          <w:color w:val="000000"/>
          <w:sz w:val="22"/>
        </w:rPr>
        <w:t xml:space="preserve">。</w:t>
      </w:r>
      <w:r>
        <w:rPr>
          <w:rFonts w:ascii="SimSun" w:hAnsi="SimSun" w:eastAsia="SimSun" w:cs="SimSun"/>
          <w:strike/>
          <w:color w:val="000000"/>
          <w:sz w:val="22"/>
          <w:u w:val="single"/>
        </w:rPr>
        <w:t xml:space="preserve">（产品名称2）</w:t>
      </w:r>
      <w:r>
        <w:rPr>
          <w:rFonts w:ascii="SimSun" w:hAnsi="SimSun" w:eastAsia="SimSun" w:cs="SimSun"/>
          <w:color w:val="000000"/>
          <w:sz w:val="22"/>
        </w:rPr>
        <w:t xml:space="preserve">的中国境内生产的组件成本占比≥</w:t>
      </w:r>
      <w:r>
        <w:rPr>
          <w:rFonts w:ascii="SimSun" w:hAnsi="SimSun" w:eastAsia="SimSun" w:cs="SimSun"/>
          <w:strike/>
          <w:color w:val="000000"/>
          <w:sz w:val="22"/>
          <w:u w:val="single"/>
        </w:rPr>
        <w:t xml:space="preserve">（规定比例）</w:t>
      </w:r>
      <w:r>
        <w:rPr>
          <w:rFonts w:ascii="SimSun" w:hAnsi="SimSun" w:eastAsia="SimSun" w:cs="SimSun"/>
          <w:color w:val="000000"/>
          <w:sz w:val="22"/>
        </w:rPr>
        <w:t xml:space="preserve">。</w:t>
      </w:r>
      <w:r>
        <w:rPr>
          <w:rFonts w:ascii="SimSun" w:hAnsi="SimSun" w:eastAsia="SimSun" w:cs="SimSun"/>
          <w:strike/>
          <w:color w:val="000000"/>
          <w:sz w:val="22"/>
          <w:u w:val="single"/>
        </w:rPr>
        <w:t xml:space="preserve">（产品名称2）</w:t>
      </w:r>
      <w:r>
        <w:rPr>
          <w:rFonts w:ascii="SimSun" w:hAnsi="SimSun" w:eastAsia="SimSun" w:cs="SimSun"/>
          <w:color w:val="000000"/>
          <w:sz w:val="22"/>
        </w:rPr>
        <w:t xml:space="preserve">的</w:t>
      </w:r>
      <w:r>
        <w:rPr>
          <w:rFonts w:ascii="SimSun" w:hAnsi="SimSun" w:eastAsia="SimSun" w:cs="SimSun"/>
          <w:strike/>
          <w:color w:val="000000"/>
          <w:sz w:val="22"/>
          <w:u w:val="single"/>
        </w:rPr>
        <w:t xml:space="preserve">（关键组件）</w:t>
      </w:r>
      <w:r>
        <w:rPr>
          <w:rFonts w:ascii="SimSun" w:hAnsi="SimSun" w:eastAsia="SimSun" w:cs="SimSun"/>
          <w:color w:val="000000"/>
          <w:sz w:val="22"/>
        </w:rPr>
        <w:t xml:space="preserve">在中国境内生产。</w:t>
      </w:r>
      <w:r>
        <w:rPr>
          <w:rFonts w:ascii="SimSun" w:hAnsi="SimSun" w:eastAsia="SimSun" w:cs="SimSun"/>
          <w:strike/>
          <w:color w:val="000000"/>
          <w:sz w:val="22"/>
          <w:u w:val="single"/>
        </w:rPr>
        <w:t xml:space="preserve">（产品名称1）</w:t>
      </w:r>
      <w:r>
        <w:rPr>
          <w:rFonts w:ascii="SimSun" w:hAnsi="SimSun" w:eastAsia="SimSun" w:cs="SimSun"/>
          <w:color w:val="000000"/>
          <w:sz w:val="22"/>
        </w:rPr>
        <w:t xml:space="preserve">的</w:t>
      </w:r>
      <w:r>
        <w:rPr>
          <w:rFonts w:ascii="SimSun" w:hAnsi="SimSun" w:eastAsia="SimSun" w:cs="SimSun"/>
          <w:strike/>
          <w:color w:val="000000"/>
          <w:sz w:val="22"/>
          <w:u w:val="single"/>
        </w:rPr>
        <w:t xml:space="preserve">（关键工序）</w:t>
      </w:r>
      <w:r>
        <w:rPr>
          <w:rFonts w:ascii="SimSun" w:hAnsi="SimSun" w:eastAsia="SimSun" w:cs="SimSun"/>
          <w:color w:val="000000"/>
          <w:sz w:val="22"/>
        </w:rPr>
        <w:t xml:space="preserve">在中国境内完成。</w:t>
      </w:r>
      <w:r/>
    </w:p>
    <w:p>
      <w:pPr>
        <w:ind w:left="0" w:right="0" w:firstLine="48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8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本公司（单位）对上述声明内容的真实性负责。如有虚假，愿承担相应法律责任。</w:t>
      </w:r>
      <w:r/>
    </w:p>
    <w:p>
      <w:pPr>
        <w:ind w:left="0" w:right="0" w:firstLine="48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40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公司（单位）名称（盖章）：　</w:t>
      </w:r>
      <w:r/>
    </w:p>
    <w:p>
      <w:pPr>
        <w:ind w:left="0" w:right="0" w:firstLine="2400"/>
        <w:jc w:val="both"/>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  日         </w:t>
      </w:r>
      <w:r/>
    </w:p>
    <w:p>
      <w:pPr>
        <w:ind w:left="0" w:right="0" w:firstLine="48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__________________</w:t>
      </w:r>
      <w:r/>
    </w:p>
    <w:p>
      <w:pPr>
        <w:ind w:left="0" w:right="0" w:firstLine="44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1.产品如有型号，请在“产品名称”栏一并填写。</w:t>
      </w:r>
      <w:r/>
    </w:p>
    <w:p>
      <w:pPr>
        <w:ind w:left="0" w:right="0" w:firstLine="44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2.生产厂名与厂址应与生产厂营业执照载明的相关信息保持一致。</w:t>
      </w:r>
      <w:r/>
    </w:p>
    <w:p>
      <w:pPr>
        <w:ind w:left="0" w:right="0" w:firstLine="44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3.该产品的中国境内生产的组件成本占比相关要求实施前，“规定比例”栏可不填，下同。</w:t>
      </w:r>
      <w:r/>
    </w:p>
    <w:p>
      <w:pPr>
        <w:ind w:left="0" w:right="0" w:firstLine="44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4.该产品的关键组件要求实施前，“关键组件”栏可不填，下同。</w:t>
      </w:r>
      <w:r/>
    </w:p>
    <w:p>
      <w:pPr>
        <w:ind w:left="0" w:right="0" w:firstLine="44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5.该产品的关键工序要求实施前，“关键工序”栏可不填，下同。</w:t>
      </w:r>
      <w:r/>
    </w:p>
    <w:p>
      <w:pPr>
        <w:ind w:left="0" w:right="0" w:firstLine="4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6.用横线划除的地方无需填写。</w:t>
      </w:r>
      <w:r>
        <w:rPr>
          <w:rFonts w:ascii="SimSun" w:hAnsi="SimSun" w:eastAsia="SimSun" w:cs="SimSun"/>
          <w:b/>
          <w:color w:val="000000"/>
          <w:sz w:val="28"/>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十、开标一览表</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投标人全称（盖章）：</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20"/>
      </w:tblGrid>
      <w:tr>
        <w:trPr>
          <w:trHeight w:val="7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2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投标报价（人民币：元）</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0"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p>
        </w:tc>
      </w:tr>
      <w:tr>
        <w:trPr>
          <w:trHeight w:val="7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0"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十一、分项报价表</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供应商全称（盖章）：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分包号：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335"/>
        <w:gridCol w:w="2788"/>
        <w:gridCol w:w="3000"/>
      </w:tblGrid>
      <w:tr>
        <w:trPr>
          <w:trHeight w:val="6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3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8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7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tc>
      </w:tr>
      <w:tr>
        <w:trPr>
          <w:trHeight w:val="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0"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十二、技术要求响应及偏离表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十三、商务要求响应及偏离表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562"/>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2"/>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十四、其他</w:t>
      </w:r>
      <w:r/>
    </w:p>
    <w:p>
      <w:pPr>
        <w:ind w:left="0" w:right="0" w:firstLine="482"/>
        <w:jc w:val="center"/>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（投标供应商认为有必要提供的声明和文件，如有自拟并自行添加）</w:t>
      </w:r>
      <w:r/>
    </w:p>
    <w:p>
      <w:pPr>
        <w:ind w:left="0" w:right="0" w:firstLine="480"/>
        <w:jc w:val="both"/>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60"/>
        <w:spacing w:before="0" w:after="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562"/>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主要标的信息（中标后将公示）</w:t>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投标供应商全称：</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01"/>
        <w:gridCol w:w="37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top"/>
            <w:textDirection w:val="lrTb"/>
            <w:noWrap/>
          </w:tcPr>
          <w:p>
            <w:pPr>
              <w:ind w:left="0" w:right="0" w:firstLine="56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80" w:type="dxa"/>
            <w:vAlign w:val="top"/>
            <w:textDirection w:val="lrTb"/>
            <w:noWrap/>
          </w:tcPr>
          <w:p>
            <w:pPr>
              <w:ind w:left="0" w:right="0" w:firstLine="56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top"/>
            <w:textDirection w:val="lrTb"/>
            <w:noWrap/>
          </w:tcPr>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品牌（如有）：</w:t>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w:t>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0" w:type="dxa"/>
            <w:vAlign w:val="top"/>
            <w:textDirection w:val="lrTb"/>
            <w:noWrap/>
          </w:tcPr>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服务范围：</w:t>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服务要求：</w:t>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服务时间：</w:t>
            </w:r>
            <w:r/>
          </w:p>
          <w:p>
            <w:pPr>
              <w:ind w:left="0" w:right="0" w:firstLine="56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服务标准：</w:t>
            </w:r>
            <w:r/>
          </w:p>
        </w:tc>
      </w:tr>
    </w:tbl>
    <w:p>
      <w:pPr>
        <w:ind w:left="0" w:right="0" w:firstLine="480"/>
        <w:spacing w:before="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right"/>
        <w:spacing w:before="0" w:after="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560"/>
        <w:spacing w:before="0" w:after="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footnotePr/>
      <w:endnotePr/>
      <w:type w:val="nextPage"/>
      <w:pgSz w:w="11906" w:h="16838" w:orient="portrait"/>
      <w:pgMar w:top="1440" w:right="1083" w:bottom="1440" w:left="1083"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YouYuan">
    <w:panose1 w:val="02010509060101010101"/>
  </w:font>
  <w:font w:name="FangSong">
    <w:panose1 w:val="02010609060101010101"/>
  </w:font>
  <w:font w:name="SimHei">
    <w:panose1 w:val="02010609060101010101"/>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EF%BC%89/%E2%80%9C%E5%BC%80%E6%A0%87%E5%A4%A7%E5%8E%85/%E2%80%9D"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br1"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王石磊</cp:lastModifiedBy>
  <cp:revision>2</cp:revision>
  <dcterms:created xsi:type="dcterms:W3CDTF">2026-09-02T06:23:26Z</dcterms:created>
  <dcterms:modified xsi:type="dcterms:W3CDTF">2026-09-03T03:27:15Z</dcterms:modified>
</cp:coreProperties>
</file>